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40" w:leftChars="100" w:firstLine="0" w:firstLineChars="0"/>
        <w:jc w:val="both"/>
        <w:rPr>
          <w:rFonts w:hint="eastAsia" w:ascii="FZXBSJW--GB1-0" w:hAnsi="FZXBSJW--GB1-0" w:eastAsia="FZXBSJW--GB1-0"/>
          <w:sz w:val="40"/>
          <w:lang w:val="en-US" w:eastAsia="zh-CN"/>
        </w:rPr>
      </w:pPr>
    </w:p>
    <w:p>
      <w:pPr>
        <w:ind w:left="0" w:leftChars="0" w:firstLine="0" w:firstLineChars="0"/>
        <w:jc w:val="center"/>
        <w:rPr>
          <w:rFonts w:hint="eastAsia" w:ascii="FZXBSJW--GB1-0" w:hAnsi="FZXBSJW--GB1-0" w:eastAsia="FZXBSJW--GB1-0"/>
          <w:sz w:val="40"/>
        </w:rPr>
      </w:pPr>
    </w:p>
    <w:p>
      <w:pPr>
        <w:bidi w:val="0"/>
        <w:ind w:left="0" w:leftChars="0" w:firstLine="0" w:firstLineChars="0"/>
        <w:jc w:val="center"/>
        <w:rPr>
          <w:rFonts w:hint="eastAsia"/>
          <w:b/>
          <w:bCs/>
          <w:sz w:val="48"/>
          <w:szCs w:val="36"/>
        </w:rPr>
      </w:pPr>
      <w:r>
        <w:rPr>
          <w:rFonts w:hint="eastAsia"/>
          <w:b/>
          <w:bCs/>
          <w:sz w:val="48"/>
          <w:szCs w:val="36"/>
        </w:rPr>
        <w:t>平昌县乐顺现代牲畜屠宰</w:t>
      </w:r>
    </w:p>
    <w:p>
      <w:pPr>
        <w:bidi w:val="0"/>
        <w:ind w:left="0" w:leftChars="0" w:firstLine="0" w:firstLineChars="0"/>
        <w:jc w:val="center"/>
        <w:rPr>
          <w:rFonts w:hint="eastAsia"/>
          <w:b/>
          <w:bCs/>
          <w:sz w:val="48"/>
          <w:szCs w:val="36"/>
        </w:rPr>
      </w:pPr>
      <w:r>
        <w:rPr>
          <w:rFonts w:hint="eastAsia"/>
          <w:b/>
          <w:bCs/>
          <w:sz w:val="48"/>
          <w:szCs w:val="36"/>
        </w:rPr>
        <w:t>冷链物流一体化建设项目</w:t>
      </w:r>
    </w:p>
    <w:p>
      <w:pPr>
        <w:bidi w:val="0"/>
        <w:ind w:left="0" w:leftChars="0" w:firstLine="0" w:firstLineChars="0"/>
        <w:jc w:val="center"/>
        <w:rPr>
          <w:rFonts w:hint="eastAsia"/>
          <w:b/>
          <w:bCs/>
          <w:sz w:val="48"/>
          <w:szCs w:val="36"/>
          <w:lang w:val="en-US" w:eastAsia="zh-CN"/>
        </w:rPr>
      </w:pPr>
      <w:r>
        <w:rPr>
          <w:rFonts w:hint="eastAsia"/>
          <w:b/>
          <w:bCs/>
          <w:sz w:val="48"/>
          <w:szCs w:val="36"/>
          <w:lang w:val="en-US" w:eastAsia="zh-CN"/>
        </w:rPr>
        <w:t>环境影响报告书</w:t>
      </w:r>
    </w:p>
    <w:p>
      <w:pPr>
        <w:bidi w:val="0"/>
        <w:ind w:left="0" w:leftChars="0" w:firstLine="0" w:firstLineChars="0"/>
        <w:jc w:val="center"/>
        <w:rPr>
          <w:rFonts w:hint="eastAsia"/>
          <w:b/>
          <w:bCs/>
          <w:sz w:val="48"/>
          <w:szCs w:val="36"/>
          <w:lang w:val="en-US" w:eastAsia="zh-CN"/>
        </w:rPr>
      </w:pPr>
      <w:r>
        <w:rPr>
          <w:rFonts w:hint="eastAsia"/>
          <w:b/>
          <w:bCs/>
          <w:sz w:val="48"/>
          <w:szCs w:val="36"/>
          <w:lang w:val="en-US" w:eastAsia="zh-CN"/>
        </w:rPr>
        <w:t>（公示本）</w:t>
      </w:r>
    </w:p>
    <w:p>
      <w:pPr>
        <w:bidi w:val="0"/>
        <w:ind w:left="0" w:leftChars="0" w:firstLine="0" w:firstLineChars="0"/>
        <w:jc w:val="center"/>
        <w:rPr>
          <w:rFonts w:hint="eastAsia"/>
          <w:b/>
          <w:bCs/>
          <w:sz w:val="48"/>
          <w:szCs w:val="36"/>
          <w:lang w:val="en-US" w:eastAsia="zh-CN"/>
        </w:rPr>
      </w:pPr>
    </w:p>
    <w:p>
      <w:pPr>
        <w:bidi w:val="0"/>
        <w:ind w:left="0" w:leftChars="0" w:firstLine="0" w:firstLineChars="0"/>
        <w:jc w:val="center"/>
        <w:rPr>
          <w:rFonts w:hint="eastAsia"/>
          <w:b/>
          <w:bCs/>
          <w:sz w:val="48"/>
          <w:szCs w:val="36"/>
          <w:lang w:val="en-US" w:eastAsia="zh-CN"/>
        </w:rPr>
      </w:pPr>
    </w:p>
    <w:p>
      <w:pPr>
        <w:bidi w:val="0"/>
        <w:ind w:left="0" w:leftChars="0" w:firstLine="0" w:firstLineChars="0"/>
        <w:jc w:val="center"/>
        <w:rPr>
          <w:rFonts w:hint="eastAsia"/>
          <w:b/>
          <w:bCs/>
          <w:sz w:val="48"/>
          <w:szCs w:val="36"/>
          <w:lang w:val="en-US" w:eastAsia="zh-CN"/>
        </w:rPr>
      </w:pPr>
    </w:p>
    <w:p>
      <w:pPr>
        <w:bidi w:val="0"/>
        <w:ind w:left="0" w:leftChars="0" w:firstLine="0" w:firstLineChars="0"/>
        <w:jc w:val="center"/>
        <w:rPr>
          <w:rFonts w:hint="eastAsia"/>
          <w:b/>
          <w:bCs/>
          <w:sz w:val="48"/>
          <w:szCs w:val="36"/>
          <w:lang w:val="en-US" w:eastAsia="zh-CN"/>
        </w:rPr>
      </w:pPr>
    </w:p>
    <w:p>
      <w:pPr>
        <w:bidi w:val="0"/>
        <w:ind w:left="0" w:leftChars="0" w:firstLine="0" w:firstLineChars="0"/>
        <w:jc w:val="center"/>
        <w:rPr>
          <w:rFonts w:hint="eastAsia"/>
          <w:b/>
          <w:bCs/>
          <w:sz w:val="48"/>
          <w:szCs w:val="36"/>
          <w:lang w:val="en-US" w:eastAsia="zh-CN"/>
        </w:rPr>
      </w:pPr>
    </w:p>
    <w:p>
      <w:pPr>
        <w:bidi w:val="0"/>
        <w:ind w:left="0" w:leftChars="0" w:firstLine="0" w:firstLineChars="0"/>
        <w:jc w:val="center"/>
        <w:rPr>
          <w:rFonts w:hint="eastAsia"/>
          <w:b/>
          <w:bCs/>
          <w:sz w:val="48"/>
          <w:szCs w:val="36"/>
          <w:lang w:val="en-US" w:eastAsia="zh-CN"/>
        </w:rPr>
      </w:pPr>
    </w:p>
    <w:p>
      <w:pPr>
        <w:bidi w:val="0"/>
        <w:ind w:left="0" w:leftChars="0" w:firstLine="0" w:firstLineChars="0"/>
        <w:jc w:val="center"/>
        <w:rPr>
          <w:rFonts w:hint="eastAsia"/>
          <w:b/>
          <w:bCs/>
          <w:sz w:val="48"/>
          <w:szCs w:val="36"/>
          <w:lang w:val="en-US" w:eastAsia="zh-CN"/>
        </w:rPr>
      </w:pPr>
    </w:p>
    <w:p>
      <w:pPr>
        <w:bidi w:val="0"/>
        <w:ind w:left="0" w:leftChars="0" w:firstLine="0" w:firstLineChars="0"/>
        <w:jc w:val="center"/>
        <w:rPr>
          <w:rFonts w:hint="eastAsia"/>
          <w:b/>
          <w:bCs/>
          <w:sz w:val="48"/>
          <w:szCs w:val="36"/>
          <w:lang w:val="en-US" w:eastAsia="zh-CN"/>
        </w:rPr>
      </w:pPr>
    </w:p>
    <w:p>
      <w:pPr>
        <w:bidi w:val="0"/>
        <w:ind w:left="0" w:leftChars="0" w:firstLine="0" w:firstLineChars="0"/>
        <w:jc w:val="center"/>
        <w:rPr>
          <w:rFonts w:hint="eastAsia"/>
          <w:b/>
          <w:bCs/>
          <w:sz w:val="48"/>
          <w:szCs w:val="36"/>
          <w:lang w:val="en-US" w:eastAsia="zh-CN"/>
        </w:rPr>
      </w:pPr>
    </w:p>
    <w:p>
      <w:pPr>
        <w:bidi w:val="0"/>
        <w:ind w:left="0" w:leftChars="0" w:firstLine="0" w:firstLineChars="0"/>
        <w:jc w:val="center"/>
        <w:rPr>
          <w:rFonts w:hint="eastAsia"/>
          <w:b/>
          <w:bCs/>
          <w:sz w:val="48"/>
          <w:szCs w:val="36"/>
          <w:lang w:val="en-US" w:eastAsia="zh-CN"/>
        </w:rPr>
      </w:pPr>
    </w:p>
    <w:p>
      <w:pPr>
        <w:bidi w:val="0"/>
        <w:ind w:left="0" w:leftChars="0" w:firstLine="0" w:firstLineChars="0"/>
        <w:jc w:val="center"/>
        <w:rPr>
          <w:rFonts w:hint="default" w:ascii="Times New Roman" w:hAnsi="Times New Roman"/>
          <w:b/>
          <w:bCs/>
          <w:sz w:val="32"/>
          <w:szCs w:val="22"/>
          <w:lang w:val="en-US" w:eastAsia="zh-CN"/>
        </w:rPr>
      </w:pPr>
      <w:r>
        <w:rPr>
          <w:rFonts w:hint="eastAsia" w:ascii="Times New Roman" w:hAnsi="Times New Roman"/>
          <w:b/>
          <w:bCs/>
          <w:sz w:val="32"/>
          <w:szCs w:val="22"/>
          <w:lang w:val="en-US" w:eastAsia="zh-CN"/>
        </w:rPr>
        <w:t>建设单位：平昌乐顺食品有限公司</w:t>
      </w:r>
    </w:p>
    <w:p>
      <w:pPr>
        <w:bidi w:val="0"/>
        <w:ind w:left="0" w:leftChars="0" w:firstLine="0" w:firstLineChars="0"/>
        <w:jc w:val="center"/>
        <w:rPr>
          <w:rFonts w:hint="eastAsia"/>
          <w:b/>
          <w:bCs/>
          <w:sz w:val="32"/>
          <w:szCs w:val="22"/>
          <w:lang w:val="en-US" w:eastAsia="zh-CN"/>
        </w:rPr>
      </w:pPr>
      <w:r>
        <w:rPr>
          <w:rFonts w:hint="eastAsia"/>
          <w:b/>
          <w:bCs/>
          <w:sz w:val="32"/>
          <w:szCs w:val="22"/>
          <w:lang w:val="en-US" w:eastAsia="zh-CN"/>
        </w:rPr>
        <w:t>编制单位：四川环川盛达环保科技有限责任公司</w:t>
      </w:r>
    </w:p>
    <w:p>
      <w:pPr>
        <w:bidi w:val="0"/>
        <w:ind w:left="0" w:leftChars="0" w:firstLine="0" w:firstLineChars="0"/>
        <w:jc w:val="center"/>
        <w:rPr>
          <w:rFonts w:hint="eastAsia"/>
          <w:b/>
          <w:bCs/>
          <w:sz w:val="32"/>
          <w:szCs w:val="22"/>
          <w:lang w:val="en-US" w:eastAsia="zh-CN"/>
        </w:rPr>
      </w:pPr>
      <w:r>
        <w:rPr>
          <w:rFonts w:hint="eastAsia"/>
          <w:b/>
          <w:bCs/>
          <w:sz w:val="32"/>
          <w:szCs w:val="22"/>
          <w:lang w:val="en-US" w:eastAsia="zh-CN"/>
        </w:rPr>
        <w:t>2022年3月</w:t>
      </w:r>
    </w:p>
    <w:p>
      <w:pPr>
        <w:rPr>
          <w:rFonts w:hint="eastAsia"/>
          <w:b/>
          <w:bCs/>
          <w:sz w:val="32"/>
          <w:szCs w:val="22"/>
          <w:lang w:val="en-US" w:eastAsia="zh-CN"/>
        </w:rPr>
      </w:pPr>
      <w:r>
        <w:rPr>
          <w:rFonts w:hint="eastAsia"/>
          <w:b/>
          <w:bCs/>
          <w:sz w:val="32"/>
          <w:szCs w:val="22"/>
          <w:lang w:val="en-US" w:eastAsia="zh-CN"/>
        </w:rPr>
        <w:br w:type="page"/>
      </w:r>
    </w:p>
    <w:p>
      <w:pPr>
        <w:pStyle w:val="3"/>
        <w:numPr>
          <w:ilvl w:val="0"/>
          <w:numId w:val="0"/>
        </w:numPr>
        <w:bidi w:val="0"/>
        <w:jc w:val="center"/>
        <w:rPr>
          <w:rFonts w:hint="eastAsia"/>
          <w:lang w:val="en-US" w:eastAsia="zh-CN"/>
        </w:rPr>
        <w:sectPr>
          <w:pgSz w:w="12240" w:h="15840"/>
          <w:pgMar w:top="1440" w:right="1417" w:bottom="1440" w:left="1417" w:header="720" w:footer="720" w:gutter="0"/>
          <w:pgBorders>
            <w:top w:val="none" w:sz="0" w:space="0"/>
            <w:left w:val="none" w:sz="0" w:space="0"/>
            <w:bottom w:val="none" w:sz="0" w:space="0"/>
            <w:right w:val="none" w:sz="0" w:space="0"/>
          </w:pgBorders>
          <w:lnNumType w:countBy="0" w:distance="360"/>
          <w:cols w:space="720" w:num="1"/>
          <w:docGrid w:type="lines" w:linePitch="312" w:charSpace="0"/>
        </w:sectPr>
      </w:pPr>
    </w:p>
    <w:p>
      <w:pPr>
        <w:pStyle w:val="3"/>
        <w:numPr>
          <w:ilvl w:val="0"/>
          <w:numId w:val="0"/>
        </w:numPr>
        <w:bidi w:val="0"/>
        <w:jc w:val="center"/>
        <w:rPr>
          <w:rFonts w:hint="eastAsia"/>
          <w:lang w:val="en-US" w:eastAsia="zh-CN"/>
        </w:rPr>
      </w:pPr>
      <w:bookmarkStart w:id="0" w:name="_Toc22709"/>
      <w:bookmarkStart w:id="1" w:name="_Toc15528"/>
      <w:bookmarkStart w:id="2" w:name="_Toc17683"/>
      <w:bookmarkStart w:id="3" w:name="_Toc24748"/>
      <w:r>
        <w:rPr>
          <w:rFonts w:hint="eastAsia"/>
          <w:lang w:val="en-US" w:eastAsia="zh-CN"/>
        </w:rPr>
        <w:t>概   述</w:t>
      </w:r>
      <w:bookmarkEnd w:id="0"/>
      <w:bookmarkEnd w:id="1"/>
      <w:bookmarkEnd w:id="2"/>
      <w:bookmarkEnd w:id="3"/>
    </w:p>
    <w:p>
      <w:pPr>
        <w:pStyle w:val="4"/>
        <w:numPr>
          <w:ilvl w:val="1"/>
          <w:numId w:val="0"/>
        </w:numPr>
        <w:bidi w:val="0"/>
        <w:ind w:leftChars="0"/>
        <w:rPr>
          <w:rFonts w:hint="eastAsia"/>
          <w:lang w:val="en-US" w:eastAsia="zh-CN"/>
        </w:rPr>
      </w:pPr>
      <w:bookmarkStart w:id="4" w:name="_Toc15332"/>
      <w:bookmarkStart w:id="5" w:name="_Toc15668"/>
      <w:bookmarkStart w:id="6" w:name="_Toc11347"/>
      <w:bookmarkStart w:id="7" w:name="_Toc10971"/>
      <w:r>
        <w:rPr>
          <w:rFonts w:hint="eastAsia"/>
          <w:lang w:val="en-US" w:eastAsia="zh-CN"/>
        </w:rPr>
        <w:t>1、项目概况</w:t>
      </w:r>
      <w:bookmarkEnd w:id="4"/>
      <w:bookmarkEnd w:id="5"/>
      <w:bookmarkEnd w:id="6"/>
      <w:bookmarkEnd w:id="7"/>
    </w:p>
    <w:p>
      <w:pPr>
        <w:bidi w:val="0"/>
        <w:rPr>
          <w:rFonts w:hint="default"/>
          <w:lang w:val="en-US" w:eastAsia="zh-CN"/>
        </w:rPr>
      </w:pPr>
      <w:r>
        <w:rPr>
          <w:rFonts w:hint="default"/>
          <w:lang w:val="en-US" w:eastAsia="zh-CN"/>
        </w:rPr>
        <w:t>随着我国经济的飞速发展，人民的生活水平和文化素养不断提高，随之而来的生活和饮食习惯也发生了很大的变化</w:t>
      </w:r>
      <w:r>
        <w:rPr>
          <w:rFonts w:hint="eastAsia"/>
          <w:lang w:val="en-US" w:eastAsia="zh-CN"/>
        </w:rPr>
        <w:t>，</w:t>
      </w:r>
      <w:r>
        <w:rPr>
          <w:rFonts w:hint="default"/>
          <w:lang w:val="en-US" w:eastAsia="zh-CN"/>
        </w:rPr>
        <w:t>人们对食品更加注重营养、卫生、方便、可口，畜禽类食品以其赋予食品良好的色、香、味，增加食欲，直接地起到主营养作用，已逐渐成为人们日常生活中不可缺少的主导食品。</w:t>
      </w:r>
    </w:p>
    <w:p>
      <w:pPr>
        <w:bidi w:val="0"/>
        <w:rPr>
          <w:rFonts w:hint="default"/>
          <w:lang w:val="en-US" w:eastAsia="zh-CN"/>
        </w:rPr>
      </w:pPr>
      <w:r>
        <w:rPr>
          <w:rFonts w:hint="eastAsia"/>
        </w:rPr>
        <w:t>随着生活水平的提高，人们对食品卫生安全和品质要求越来越高，无害化处理和肉类食品的运输问题日益突出。目前，平昌县没有专业冷链屠宰场，养殖户私屠滥宰的现象居多。其屠宰流程简化，卫生状况差，对于肉品的运输多采用小货车、摩托车或者人力三轮车等农用车辆暴露运输，且未对运输工具做严格消毒，使得肉品极易受污染。同时，肉品在销售过程中也缺乏冷藏保鲜和防尘蝇等卫生措施，使得肉品在运输和销售过程中的二次污染问题十分突出。此外，由于生猪肉和生牛肉多为私宰，对于病害猪、牛的流向和无害化处理缺乏监管，也容易造成病死猪、病死肉牛流通到销售市场。本项目不仅对规范屠宰市场，打击私宰现象具有重要意义；还对销售过程进行升级改造，彻底杜绝</w:t>
      </w:r>
      <w:r>
        <w:rPr>
          <w:rFonts w:hint="eastAsia"/>
          <w:lang w:eastAsia="zh-CN"/>
        </w:rPr>
        <w:t>“</w:t>
      </w:r>
      <w:r>
        <w:rPr>
          <w:rFonts w:hint="eastAsia"/>
        </w:rPr>
        <w:t>问题肉</w:t>
      </w:r>
      <w:r>
        <w:rPr>
          <w:rFonts w:hint="eastAsia"/>
          <w:lang w:eastAsia="zh-CN"/>
        </w:rPr>
        <w:t>”</w:t>
      </w:r>
      <w:r>
        <w:rPr>
          <w:rFonts w:hint="eastAsia"/>
        </w:rPr>
        <w:t>流向市场销售，保障生猪肉和生牛肉安全具有重要意义。</w:t>
      </w:r>
    </w:p>
    <w:p>
      <w:pPr>
        <w:spacing w:beforeLines="0" w:afterLines="0"/>
        <w:jc w:val="left"/>
        <w:rPr>
          <w:rFonts w:hint="default" w:eastAsia="宋体"/>
          <w:lang w:val="en-US" w:eastAsia="zh-CN"/>
        </w:rPr>
      </w:pPr>
      <w:r>
        <w:rPr>
          <w:rFonts w:hint="eastAsia"/>
          <w:lang w:val="en-US" w:eastAsia="zh-CN"/>
        </w:rPr>
        <w:t>为此</w:t>
      </w:r>
      <w:r>
        <w:rPr>
          <w:rFonts w:hint="eastAsia"/>
        </w:rPr>
        <w:t>平昌乐顺食品有限公司</w:t>
      </w:r>
      <w:r>
        <w:rPr>
          <w:rFonts w:hint="eastAsia"/>
          <w:lang w:val="en-US" w:eastAsia="zh-CN"/>
        </w:rPr>
        <w:t>拟投资5000万元在</w:t>
      </w:r>
      <w:r>
        <w:rPr>
          <w:rFonts w:hint="eastAsia"/>
        </w:rPr>
        <w:t>平昌县响滩镇石泉村</w:t>
      </w:r>
      <w:r>
        <w:rPr>
          <w:rFonts w:hint="eastAsia"/>
          <w:lang w:val="en-US" w:eastAsia="zh-CN"/>
        </w:rPr>
        <w:t>建设</w:t>
      </w:r>
      <w:r>
        <w:rPr>
          <w:rFonts w:hint="eastAsia"/>
        </w:rPr>
        <w:t>平昌县乐顺现代牲畜屠宰冷链物流一体化建设项目</w:t>
      </w:r>
      <w:r>
        <w:rPr>
          <w:rFonts w:hint="eastAsia"/>
          <w:lang w:eastAsia="zh-CN"/>
        </w:rPr>
        <w:t>，</w:t>
      </w:r>
      <w:r>
        <w:rPr>
          <w:rFonts w:hint="eastAsia"/>
        </w:rPr>
        <w:t>厂区占地面积约为</w:t>
      </w:r>
      <w:r>
        <w:rPr>
          <w:rFonts w:hint="eastAsia"/>
          <w:lang w:val="en-US" w:eastAsia="zh-CN"/>
        </w:rPr>
        <w:t>29</w:t>
      </w:r>
      <w:r>
        <w:rPr>
          <w:rFonts w:hint="eastAsia"/>
          <w:lang w:eastAsia="zh-CN"/>
        </w:rPr>
        <w:t>亩</w:t>
      </w:r>
      <w:r>
        <w:rPr>
          <w:rFonts w:hint="eastAsia"/>
        </w:rPr>
        <w:t>，总建筑面积为</w:t>
      </w:r>
      <w:r>
        <w:rPr>
          <w:rFonts w:hint="eastAsia"/>
          <w:lang w:eastAsia="zh-CN"/>
        </w:rPr>
        <w:t>17825平</w:t>
      </w:r>
      <w:r>
        <w:rPr>
          <w:rFonts w:hint="eastAsia"/>
        </w:rPr>
        <w:t>方米，该项目建成后将成为平昌县生猪肉和生牛肉的统一屠宰、分割和冷鲜加工的集中地</w:t>
      </w:r>
      <w:r>
        <w:rPr>
          <w:rFonts w:hint="eastAsia"/>
          <w:lang w:eastAsia="zh-CN"/>
        </w:rPr>
        <w:t>，</w:t>
      </w:r>
      <w:r>
        <w:rPr>
          <w:rFonts w:hint="eastAsia"/>
          <w:lang w:val="en-US" w:eastAsia="zh-CN"/>
        </w:rPr>
        <w:t>项目建成后，</w:t>
      </w:r>
      <w:r>
        <w:rPr>
          <w:rFonts w:hint="eastAsia"/>
        </w:rPr>
        <w:t>本项目运营期间对生猪的年屠宰量将达到</w:t>
      </w:r>
      <w:r>
        <w:rPr>
          <w:rFonts w:hint="eastAsia"/>
          <w:lang w:val="en-US" w:eastAsia="zh-CN"/>
        </w:rPr>
        <w:t>30万头</w:t>
      </w:r>
      <w:r>
        <w:rPr>
          <w:rFonts w:hint="eastAsia"/>
        </w:rPr>
        <w:t>，可加工生产出</w:t>
      </w:r>
      <w:r>
        <w:rPr>
          <w:rFonts w:hint="eastAsia"/>
          <w:lang w:val="en-US" w:eastAsia="zh-CN"/>
        </w:rPr>
        <w:t>45405</w:t>
      </w:r>
      <w:r>
        <w:rPr>
          <w:rFonts w:hint="eastAsia"/>
        </w:rPr>
        <w:t>吨生猪冷鲜肉</w:t>
      </w:r>
      <w:r>
        <w:rPr>
          <w:rFonts w:hint="eastAsia"/>
          <w:lang w:val="en-US" w:eastAsia="zh-CN"/>
        </w:rPr>
        <w:t>及副产品</w:t>
      </w:r>
      <w:r>
        <w:rPr>
          <w:rFonts w:hint="eastAsia"/>
        </w:rPr>
        <w:t>。同时年屠宰肉牛</w:t>
      </w:r>
      <w:r>
        <w:rPr>
          <w:rFonts w:hint="eastAsia"/>
          <w:lang w:val="en-US" w:eastAsia="zh-CN"/>
        </w:rPr>
        <w:t>1万头</w:t>
      </w:r>
      <w:r>
        <w:rPr>
          <w:rFonts w:hint="eastAsia"/>
          <w:lang w:eastAsia="zh-CN"/>
        </w:rPr>
        <w:t>，</w:t>
      </w:r>
      <w:r>
        <w:rPr>
          <w:rFonts w:hint="eastAsia"/>
          <w:lang w:val="en-US" w:eastAsia="zh-CN"/>
        </w:rPr>
        <w:t>可加工产出27530吨肉牛牛肉及副产品</w:t>
      </w:r>
      <w:r>
        <w:rPr>
          <w:rFonts w:hint="eastAsia"/>
        </w:rPr>
        <w:t>。</w:t>
      </w:r>
    </w:p>
    <w:p>
      <w:pPr>
        <w:bidi w:val="0"/>
        <w:rPr>
          <w:rFonts w:hint="eastAsia"/>
          <w:lang w:val="en-US" w:eastAsia="zh-CN"/>
        </w:rPr>
      </w:pPr>
      <w:r>
        <w:rPr>
          <w:rFonts w:hint="eastAsia"/>
          <w:lang w:val="en-US" w:eastAsia="zh-CN"/>
        </w:rPr>
        <w:t>为此</w:t>
      </w:r>
      <w:r>
        <w:rPr>
          <w:rFonts w:hint="eastAsia"/>
        </w:rPr>
        <w:t>平昌乐顺食品有限公司</w:t>
      </w:r>
      <w:r>
        <w:rPr>
          <w:rFonts w:hint="eastAsia"/>
          <w:lang w:val="en-US" w:eastAsia="zh-CN"/>
        </w:rPr>
        <w:t>委托宁四川环川盛达环保科技有限责任公司开展本项目环境影响评价工作，根据《中华人民共和国环境影响评价法》、《建设项目环境保护管理条例》、《建设项目环境影响评价分类管理名录（2021年版）》本项目属于“十、农副食品加工业”中“18、屠宰及肉类加工”，项目年屠宰30万头猪及1万头肉牛，屠宰类别属“屠宰生猪10万头、肉牛1万头、肉羊15万只、禽类1000万只及以上的”，因此，本项目应编制环境影响报告书。</w:t>
      </w:r>
    </w:p>
    <w:p>
      <w:pPr>
        <w:bidi w:val="0"/>
        <w:rPr>
          <w:rFonts w:hint="eastAsia"/>
          <w:lang w:val="en-US" w:eastAsia="zh-CN"/>
        </w:rPr>
      </w:pPr>
      <w:r>
        <w:rPr>
          <w:rFonts w:hint="eastAsia"/>
          <w:lang w:val="en-US" w:eastAsia="zh-CN"/>
        </w:rPr>
        <w:t>受</w:t>
      </w:r>
      <w:r>
        <w:rPr>
          <w:rFonts w:hint="eastAsia"/>
        </w:rPr>
        <w:t>平昌乐顺食品有限公司</w:t>
      </w:r>
      <w:r>
        <w:rPr>
          <w:rFonts w:hint="eastAsia"/>
          <w:lang w:val="en-US" w:eastAsia="zh-CN"/>
        </w:rPr>
        <w:t>委托的委托，四川环川盛达环保科技有限责任公司承担了本项目环境影响评价工作。根据环评技术导则要求，我单位通过现场踏查和收集有关资料，</w:t>
      </w:r>
      <w:r>
        <w:rPr>
          <w:rFonts w:hint="eastAsia"/>
          <w:b/>
          <w:bCs/>
          <w:lang w:val="en-US" w:eastAsia="zh-CN"/>
        </w:rPr>
        <w:t>项目厂房建设施工期已结束，设备设施暂未建设，项目属于未批先建，目前处于停止建设，现场未发现遗留环境问题。</w:t>
      </w:r>
      <w:r>
        <w:rPr>
          <w:rFonts w:hint="eastAsia"/>
          <w:lang w:val="en-US" w:eastAsia="zh-CN"/>
        </w:rPr>
        <w:t>我单位对厂址所在地环境质量现状进行评价，并在工程分析的基础上，明确各污染源排放源强及排放特征，分析对环境可能造成的影响程度和范围，提出切实可行的污染防治措施，为环保部门管理及设计部门设计提供科学依据。</w:t>
      </w:r>
    </w:p>
    <w:p>
      <w:pPr>
        <w:pStyle w:val="4"/>
        <w:numPr>
          <w:ilvl w:val="1"/>
          <w:numId w:val="0"/>
        </w:numPr>
        <w:bidi w:val="0"/>
        <w:ind w:leftChars="0"/>
        <w:rPr>
          <w:rFonts w:hint="eastAsia"/>
          <w:lang w:val="en-US" w:eastAsia="zh-CN"/>
        </w:rPr>
      </w:pPr>
      <w:bookmarkStart w:id="8" w:name="_Toc12249"/>
      <w:bookmarkStart w:id="9" w:name="_Toc3928"/>
      <w:bookmarkStart w:id="10" w:name="_Toc9750"/>
      <w:bookmarkStart w:id="11" w:name="_Toc7321"/>
      <w:r>
        <w:rPr>
          <w:rFonts w:hint="eastAsia"/>
          <w:lang w:val="en-US" w:eastAsia="zh-CN"/>
        </w:rPr>
        <w:t>2、项目特点</w:t>
      </w:r>
      <w:bookmarkEnd w:id="8"/>
      <w:bookmarkEnd w:id="9"/>
      <w:bookmarkEnd w:id="10"/>
      <w:bookmarkEnd w:id="11"/>
    </w:p>
    <w:p>
      <w:pPr>
        <w:bidi w:val="0"/>
        <w:rPr>
          <w:rFonts w:hint="eastAsia" w:ascii="宋体" w:hAnsi="宋体" w:eastAsia="宋体"/>
          <w:sz w:val="24"/>
        </w:rPr>
      </w:pPr>
      <w:r>
        <w:rPr>
          <w:rFonts w:hint="eastAsia" w:ascii="宋体" w:hAnsi="宋体" w:eastAsia="宋体"/>
          <w:sz w:val="24"/>
        </w:rPr>
        <w:t>本项目为生猪屠宰项目，根据项目的工程特点和污染特征，本项目的主要特点是生产过程涉及到屠宰废水、屠宰车间及待宰车间产生的恶臭，因此，本次评价过程主要关注废水的治理、废气的治理措施及其可行性。</w:t>
      </w:r>
    </w:p>
    <w:p>
      <w:pPr>
        <w:pStyle w:val="4"/>
        <w:numPr>
          <w:ilvl w:val="1"/>
          <w:numId w:val="0"/>
        </w:numPr>
        <w:bidi w:val="0"/>
        <w:ind w:leftChars="0"/>
        <w:rPr>
          <w:rFonts w:hint="default"/>
          <w:lang w:val="en-US" w:eastAsia="zh-CN"/>
        </w:rPr>
      </w:pPr>
      <w:bookmarkStart w:id="12" w:name="_Toc31246"/>
      <w:bookmarkStart w:id="13" w:name="_Toc21598"/>
      <w:bookmarkStart w:id="14" w:name="_Toc4627"/>
      <w:bookmarkStart w:id="15" w:name="_Toc29841"/>
      <w:r>
        <w:rPr>
          <w:rFonts w:hint="eastAsia"/>
          <w:lang w:val="en-US" w:eastAsia="zh-CN"/>
        </w:rPr>
        <w:t>3、环境影响评价的工作过程</w:t>
      </w:r>
      <w:bookmarkEnd w:id="12"/>
      <w:bookmarkEnd w:id="13"/>
      <w:bookmarkEnd w:id="14"/>
      <w:bookmarkEnd w:id="15"/>
    </w:p>
    <w:p>
      <w:pPr>
        <w:bidi w:val="0"/>
        <w:rPr>
          <w:rFonts w:hint="eastAsia" w:ascii="宋体" w:hAnsi="宋体"/>
          <w:sz w:val="24"/>
          <w:lang w:val="en-US" w:eastAsia="zh-CN"/>
        </w:rPr>
      </w:pPr>
      <w:r>
        <w:rPr>
          <w:rFonts w:hint="eastAsia" w:ascii="宋体" w:hAnsi="宋体"/>
          <w:sz w:val="24"/>
          <w:lang w:val="en-US" w:eastAsia="zh-CN"/>
        </w:rPr>
        <w:t>本次评价具体流程如下图：</w:t>
      </w:r>
    </w:p>
    <w:p>
      <w:pPr>
        <w:pStyle w:val="29"/>
        <w:bidi w:val="0"/>
        <w:rPr>
          <w:rFonts w:hint="default"/>
          <w:lang w:val="en-US" w:eastAsia="zh-CN"/>
        </w:rPr>
      </w:pPr>
      <w:r>
        <w:drawing>
          <wp:anchor distT="0" distB="0" distL="114300" distR="114300" simplePos="0" relativeHeight="251659264" behindDoc="0" locked="0" layoutInCell="1" allowOverlap="1">
            <wp:simplePos x="0" y="0"/>
            <wp:positionH relativeFrom="column">
              <wp:posOffset>200025</wp:posOffset>
            </wp:positionH>
            <wp:positionV relativeFrom="paragraph">
              <wp:posOffset>64135</wp:posOffset>
            </wp:positionV>
            <wp:extent cx="5519420" cy="5233670"/>
            <wp:effectExtent l="0" t="0" r="5080" b="508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519420" cy="5233670"/>
                    </a:xfrm>
                    <a:prstGeom prst="rect">
                      <a:avLst/>
                    </a:prstGeom>
                    <a:noFill/>
                    <a:ln>
                      <a:noFill/>
                    </a:ln>
                  </pic:spPr>
                </pic:pic>
              </a:graphicData>
            </a:graphic>
          </wp:anchor>
        </w:drawing>
      </w:r>
      <w:r>
        <w:rPr>
          <w:rFonts w:hint="eastAsia"/>
          <w:lang w:val="en-US" w:eastAsia="zh-CN"/>
        </w:rPr>
        <w:t>本项目环境影响评价工作程序图</w:t>
      </w:r>
    </w:p>
    <w:p>
      <w:pPr>
        <w:bidi w:val="0"/>
        <w:rPr>
          <w:rFonts w:hint="eastAsia"/>
          <w:lang w:val="en-US" w:eastAsia="zh-CN"/>
        </w:rPr>
      </w:pPr>
      <w:r>
        <w:rPr>
          <w:rFonts w:hint="eastAsia"/>
          <w:lang w:val="en-US" w:eastAsia="zh-CN"/>
        </w:rPr>
        <w:t>本次环境影响评价的工作过程主要包括以下三个阶段：</w:t>
      </w:r>
    </w:p>
    <w:p>
      <w:pPr>
        <w:bidi w:val="0"/>
        <w:rPr>
          <w:rFonts w:hint="eastAsia"/>
          <w:lang w:val="en-US" w:eastAsia="zh-CN"/>
        </w:rPr>
      </w:pPr>
      <w:r>
        <w:rPr>
          <w:rFonts w:hint="eastAsia"/>
          <w:lang w:val="en-US" w:eastAsia="zh-CN"/>
        </w:rPr>
        <w:t>第一阶段：调查分析和工作方案制定</w:t>
      </w:r>
    </w:p>
    <w:p>
      <w:pPr>
        <w:bidi w:val="0"/>
        <w:rPr>
          <w:rFonts w:hint="eastAsia"/>
          <w:lang w:val="en-US" w:eastAsia="zh-CN"/>
        </w:rPr>
      </w:pPr>
      <w:r>
        <w:rPr>
          <w:rFonts w:hint="eastAsia"/>
          <w:lang w:val="en-US" w:eastAsia="zh-CN"/>
        </w:rPr>
        <w:t>①按照《建设项目环境影响评价技术导则——总纲》（HJ2.1-2016）要求，受业主委托后，我单位研究国家和地方有关环境保护的法律法规、政策、标准及相关规划后，对项目开展了现状调查、初步工程分析和现场踏勘。</w:t>
      </w:r>
    </w:p>
    <w:p>
      <w:pPr>
        <w:bidi w:val="0"/>
        <w:rPr>
          <w:rFonts w:hint="eastAsia"/>
          <w:lang w:val="en-US" w:eastAsia="zh-CN"/>
        </w:rPr>
      </w:pPr>
      <w:r>
        <w:rPr>
          <w:rFonts w:hint="eastAsia"/>
          <w:lang w:val="en-US" w:eastAsia="zh-CN"/>
        </w:rPr>
        <w:t>②根据项目特点，研究相关技术文件和其他有关文件，明确本项目的评价重点，识别环境影响因素、筛选评价因子，对项目进行工程分析。对项目选址地进行实地踏勘，对项目周围地区气象、水文、项目所在地污染源分布情况进行了调查分析，确定环境保护目标、环评工作等级、评价范围和标准。</w:t>
      </w:r>
    </w:p>
    <w:p>
      <w:pPr>
        <w:bidi w:val="0"/>
        <w:rPr>
          <w:rFonts w:hint="eastAsia"/>
          <w:lang w:val="en-US" w:eastAsia="zh-CN"/>
        </w:rPr>
      </w:pPr>
      <w:r>
        <w:rPr>
          <w:rFonts w:hint="eastAsia"/>
          <w:lang w:val="en-US" w:eastAsia="zh-CN"/>
        </w:rPr>
        <w:t>③制定工作方案</w:t>
      </w:r>
    </w:p>
    <w:p>
      <w:pPr>
        <w:bidi w:val="0"/>
        <w:rPr>
          <w:rFonts w:hint="eastAsia"/>
          <w:lang w:val="en-US" w:eastAsia="zh-CN"/>
        </w:rPr>
      </w:pPr>
      <w:r>
        <w:rPr>
          <w:rFonts w:hint="eastAsia"/>
          <w:lang w:val="en-US" w:eastAsia="zh-CN"/>
        </w:rPr>
        <w:t>第二阶段：分析论证和预测评价</w:t>
      </w:r>
    </w:p>
    <w:p>
      <w:pPr>
        <w:bidi w:val="0"/>
        <w:rPr>
          <w:rFonts w:hint="eastAsia"/>
          <w:lang w:val="en-US" w:eastAsia="zh-CN"/>
        </w:rPr>
      </w:pPr>
      <w:r>
        <w:rPr>
          <w:rFonts w:hint="eastAsia"/>
          <w:lang w:val="en-US" w:eastAsia="zh-CN"/>
        </w:rPr>
        <w:t>①收集建设地环境特征资料包括自然环境、区域规划、基础设施现状以及区域污染源情况。完成环境现状调查与评价章节。</w:t>
      </w:r>
    </w:p>
    <w:p>
      <w:pPr>
        <w:bidi w:val="0"/>
        <w:rPr>
          <w:rFonts w:hint="eastAsia"/>
          <w:lang w:val="en-US" w:eastAsia="zh-CN"/>
        </w:rPr>
      </w:pPr>
      <w:r>
        <w:rPr>
          <w:rFonts w:hint="eastAsia"/>
          <w:lang w:val="en-US" w:eastAsia="zh-CN"/>
        </w:rPr>
        <w:t>②对建设项目进行详细工程分析。完成大气环境影响预测与评价、水环境影响预测与评价、声环境影响预测与评价等。</w:t>
      </w:r>
    </w:p>
    <w:p>
      <w:pPr>
        <w:bidi w:val="0"/>
        <w:rPr>
          <w:rFonts w:hint="eastAsia"/>
          <w:lang w:val="en-US" w:eastAsia="zh-CN"/>
        </w:rPr>
      </w:pPr>
      <w:r>
        <w:rPr>
          <w:rFonts w:hint="eastAsia"/>
          <w:lang w:val="en-US" w:eastAsia="zh-CN"/>
        </w:rPr>
        <w:t>第三阶段：环境影响报告编制</w:t>
      </w:r>
    </w:p>
    <w:p>
      <w:pPr>
        <w:bidi w:val="0"/>
        <w:rPr>
          <w:rFonts w:hint="eastAsia"/>
          <w:lang w:val="en-US" w:eastAsia="zh-CN"/>
        </w:rPr>
      </w:pPr>
      <w:r>
        <w:rPr>
          <w:rFonts w:hint="eastAsia"/>
          <w:lang w:val="en-US" w:eastAsia="zh-CN"/>
        </w:rPr>
        <w:t>①根据工程分析，提出环境保护措施，完成污染防治措施及其技术经济论证分析、列出本项目污染物排放清单。</w:t>
      </w:r>
    </w:p>
    <w:p>
      <w:pPr>
        <w:bidi w:val="0"/>
        <w:rPr>
          <w:rFonts w:hint="eastAsia"/>
          <w:lang w:val="en-US" w:eastAsia="zh-CN"/>
        </w:rPr>
      </w:pPr>
      <w:r>
        <w:rPr>
          <w:rFonts w:hint="eastAsia"/>
          <w:lang w:val="en-US" w:eastAsia="zh-CN"/>
        </w:rPr>
        <w:t>②根据建设项目环境影响情况，提出施工期和运营期的环境管理及监测计划要求，完成环境管理与环境监测章节撰写。</w:t>
      </w:r>
    </w:p>
    <w:p>
      <w:pPr>
        <w:bidi w:val="0"/>
        <w:rPr>
          <w:rFonts w:hint="eastAsia"/>
          <w:lang w:val="en-US" w:eastAsia="zh-CN"/>
        </w:rPr>
      </w:pPr>
      <w:r>
        <w:rPr>
          <w:rFonts w:hint="eastAsia"/>
          <w:lang w:val="en-US" w:eastAsia="zh-CN"/>
        </w:rPr>
        <w:t>③编制环境影响评价报告书，送审。</w:t>
      </w:r>
    </w:p>
    <w:p>
      <w:pPr>
        <w:bidi w:val="0"/>
        <w:rPr>
          <w:rFonts w:hint="eastAsia" w:ascii="宋体" w:hAnsi="宋体"/>
          <w:lang w:val="en-US" w:eastAsia="zh-CN"/>
        </w:rPr>
      </w:pPr>
      <w:r>
        <w:rPr>
          <w:rFonts w:hint="eastAsia"/>
          <w:lang w:val="en-US" w:eastAsia="zh-CN"/>
        </w:rPr>
        <w:t>④根据评审意见进行报告修改后报批。</w:t>
      </w:r>
    </w:p>
    <w:p>
      <w:pPr>
        <w:bidi w:val="0"/>
        <w:ind w:left="0" w:leftChars="0" w:firstLine="0" w:firstLineChars="0"/>
        <w:rPr>
          <w:rFonts w:hint="default" w:ascii="Times New Roman" w:hAnsi="Times New Roman" w:eastAsia="宋体" w:cs="Times New Roman"/>
          <w:b/>
          <w:kern w:val="2"/>
          <w:sz w:val="28"/>
          <w:lang w:val="en-US" w:eastAsia="zh-CN"/>
        </w:rPr>
      </w:pPr>
      <w:r>
        <w:rPr>
          <w:rFonts w:hint="eastAsia" w:cs="Times New Roman"/>
          <w:b/>
          <w:kern w:val="2"/>
          <w:sz w:val="28"/>
          <w:lang w:val="en-US" w:eastAsia="zh-CN"/>
        </w:rPr>
        <w:t>4</w:t>
      </w:r>
      <w:r>
        <w:rPr>
          <w:rFonts w:hint="eastAsia" w:ascii="Times New Roman" w:hAnsi="Times New Roman" w:eastAsia="宋体" w:cs="Times New Roman"/>
          <w:b/>
          <w:kern w:val="2"/>
          <w:sz w:val="28"/>
          <w:lang w:val="en-US" w:eastAsia="zh-CN"/>
        </w:rPr>
        <w:t>、建设项目前期分析判定</w:t>
      </w:r>
    </w:p>
    <w:p>
      <w:pPr>
        <w:bidi w:val="0"/>
        <w:rPr>
          <w:rFonts w:hint="eastAsia"/>
        </w:rPr>
      </w:pPr>
      <w:r>
        <w:rPr>
          <w:rFonts w:hint="eastAsia"/>
        </w:rPr>
        <w:t>（</w:t>
      </w:r>
      <w:r>
        <w:rPr>
          <w:rFonts w:hint="default"/>
        </w:rPr>
        <w:t>1</w:t>
      </w:r>
      <w:r>
        <w:rPr>
          <w:rFonts w:hint="eastAsia"/>
        </w:rPr>
        <w:t>）产业、规划选址判定</w:t>
      </w:r>
    </w:p>
    <w:p>
      <w:pPr>
        <w:bidi w:val="0"/>
        <w:rPr>
          <w:rFonts w:hint="default" w:eastAsia="宋体"/>
          <w:lang w:val="en-US" w:eastAsia="zh-CN"/>
        </w:rPr>
      </w:pPr>
      <w:r>
        <w:rPr>
          <w:rFonts w:hint="eastAsia"/>
        </w:rPr>
        <w:t>本项目为牲畜屠宰项目，年屠宰生猪</w:t>
      </w:r>
      <w:r>
        <w:rPr>
          <w:rFonts w:hint="eastAsia"/>
          <w:lang w:val="en-US" w:eastAsia="zh-CN"/>
        </w:rPr>
        <w:t>30万头</w:t>
      </w:r>
      <w:r>
        <w:rPr>
          <w:rFonts w:hint="eastAsia"/>
          <w:lang w:eastAsia="zh-CN"/>
        </w:rPr>
        <w:t>、</w:t>
      </w:r>
      <w:r>
        <w:rPr>
          <w:rFonts w:hint="eastAsia"/>
          <w:lang w:val="en-US" w:eastAsia="zh-CN"/>
        </w:rPr>
        <w:t>肉牛1万头</w:t>
      </w:r>
      <w:r>
        <w:rPr>
          <w:rFonts w:hint="eastAsia"/>
        </w:rPr>
        <w:t>，不属于《产业结构调整指导目录</w:t>
      </w:r>
      <w:r>
        <w:rPr>
          <w:rFonts w:hint="eastAsia"/>
          <w:lang w:eastAsia="zh-CN"/>
        </w:rPr>
        <w:t>（</w:t>
      </w:r>
      <w:r>
        <w:rPr>
          <w:rFonts w:hint="default"/>
        </w:rPr>
        <w:t xml:space="preserve">2019 </w:t>
      </w:r>
      <w:r>
        <w:rPr>
          <w:rFonts w:hint="eastAsia"/>
        </w:rPr>
        <w:t>年本）》中的鼓励类、限制类和淘汰类，为允许类。</w:t>
      </w:r>
      <w:r>
        <w:rPr>
          <w:rFonts w:hint="eastAsia"/>
          <w:highlight w:val="none"/>
          <w:lang w:val="en-US" w:eastAsia="zh-CN"/>
        </w:rPr>
        <w:t>根据中华人民共和国农业农村部公告第212号公布的1578家生猪屠宰企业，本项目属名单其中第1318个生猪屠宰企业。</w:t>
      </w:r>
    </w:p>
    <w:p>
      <w:pPr>
        <w:bidi w:val="0"/>
        <w:rPr>
          <w:rFonts w:hint="eastAsia"/>
        </w:rPr>
      </w:pPr>
      <w:r>
        <w:rPr>
          <w:rFonts w:hint="eastAsia"/>
        </w:rPr>
        <w:t>项目周边卫生良好，无污染工业企业，</w:t>
      </w:r>
      <w:r>
        <w:rPr>
          <w:rFonts w:hint="eastAsia"/>
          <w:lang w:val="en-US" w:eastAsia="zh-CN"/>
        </w:rPr>
        <w:t>无</w:t>
      </w:r>
      <w:r>
        <w:rPr>
          <w:rFonts w:hint="eastAsia"/>
        </w:rPr>
        <w:t>医院、学校社会福利机构等场所，</w:t>
      </w:r>
      <w:r>
        <w:rPr>
          <w:rFonts w:hint="eastAsia"/>
          <w:lang w:val="en-US" w:eastAsia="zh-CN"/>
        </w:rPr>
        <w:t>项目厂界北侧40m存在少数居民，</w:t>
      </w:r>
      <w:r>
        <w:rPr>
          <w:rFonts w:hint="eastAsia"/>
        </w:rPr>
        <w:t>水电市政供给，交通运输便利，不在饮用水源保护区、自然保护区等法定保护区内，符合</w:t>
      </w:r>
      <w:r>
        <w:rPr>
          <w:rFonts w:hint="default" w:ascii="Times New Roman" w:hAnsi="Times New Roman" w:cs="Times New Roman"/>
          <w:color w:val="auto"/>
          <w:sz w:val="24"/>
          <w:szCs w:val="24"/>
          <w:lang w:eastAsia="zh-CN"/>
        </w:rPr>
        <w:t>《生猪屠宰管理条例》、《生猪屠宰管理条例实施办法》、《四川省生猪屠宰管理办法》、《猪屠宰与分割车间设计规范》、</w:t>
      </w:r>
      <w:r>
        <w:rPr>
          <w:rFonts w:hint="default" w:ascii="Times New Roman" w:hAnsi="Times New Roman" w:cs="Times New Roman"/>
          <w:bCs/>
          <w:color w:val="auto"/>
          <w:sz w:val="24"/>
          <w:szCs w:val="24"/>
          <w:lang w:val="en-US" w:eastAsia="zh-CN"/>
        </w:rPr>
        <w:t>《牛羊屠宰与分割车间设计规范》、</w:t>
      </w:r>
      <w:r>
        <w:rPr>
          <w:rFonts w:hint="default" w:ascii="Times New Roman" w:hAnsi="Times New Roman" w:eastAsia="宋体" w:cs="Times New Roman"/>
          <w:bCs/>
          <w:color w:val="auto"/>
          <w:sz w:val="24"/>
          <w:szCs w:val="24"/>
          <w:lang w:val="en-US" w:eastAsia="zh-CN"/>
        </w:rPr>
        <w:t>《食品生产通用卫生规范》及《屠宰和肉类加工企业卫生管理规范》</w:t>
      </w:r>
      <w:r>
        <w:rPr>
          <w:rFonts w:hint="eastAsia"/>
        </w:rPr>
        <w:t>等选址要求。</w:t>
      </w:r>
    </w:p>
    <w:p>
      <w:pPr>
        <w:bidi w:val="0"/>
        <w:rPr>
          <w:rFonts w:hint="eastAsia"/>
        </w:rPr>
      </w:pPr>
      <w:r>
        <w:rPr>
          <w:rFonts w:hint="eastAsia"/>
        </w:rPr>
        <w:t>本项目选址不在四川省生态保护红线范围内，符合资源利用上线以及环境准入负面清单管理要求。本项目区域地表水、环境空气、声环境质量符合环境质量底线。</w:t>
      </w:r>
    </w:p>
    <w:p>
      <w:pPr>
        <w:bidi w:val="0"/>
        <w:rPr>
          <w:rFonts w:hint="eastAsia"/>
        </w:rPr>
      </w:pPr>
      <w:r>
        <w:rPr>
          <w:rFonts w:hint="eastAsia"/>
        </w:rPr>
        <w:t>（</w:t>
      </w:r>
      <w:r>
        <w:rPr>
          <w:rFonts w:hint="default"/>
        </w:rPr>
        <w:t>2</w:t>
      </w:r>
      <w:r>
        <w:rPr>
          <w:rFonts w:hint="eastAsia"/>
        </w:rPr>
        <w:t>）评价等级判定</w:t>
      </w:r>
    </w:p>
    <w:p>
      <w:pPr>
        <w:bidi w:val="0"/>
        <w:rPr>
          <w:rFonts w:hint="eastAsia"/>
          <w:color w:val="auto"/>
          <w:highlight w:val="none"/>
          <w:lang w:val="en-US" w:eastAsia="zh-CN"/>
        </w:rPr>
      </w:pPr>
      <w:r>
        <w:rPr>
          <w:rFonts w:hint="eastAsia"/>
          <w:color w:val="auto"/>
          <w:highlight w:val="none"/>
        </w:rPr>
        <w:t>本项目环境空气评价等级为二级、地表水环境评价等级为</w:t>
      </w:r>
      <w:r>
        <w:rPr>
          <w:rFonts w:hint="eastAsia"/>
          <w:color w:val="auto"/>
          <w:highlight w:val="none"/>
          <w:lang w:val="en-US" w:eastAsia="zh-CN"/>
        </w:rPr>
        <w:t>三级B</w:t>
      </w:r>
      <w:r>
        <w:rPr>
          <w:rFonts w:hint="eastAsia"/>
          <w:color w:val="auto"/>
          <w:highlight w:val="none"/>
        </w:rPr>
        <w:t>，地下水环境评价等级为三级，声环境评价等级为二级，生态环境评价等级为三级，可不开展土壤环境影响评价工作，环境风险为简单分析。</w:t>
      </w:r>
    </w:p>
    <w:p>
      <w:pPr>
        <w:pStyle w:val="4"/>
        <w:numPr>
          <w:ilvl w:val="1"/>
          <w:numId w:val="0"/>
        </w:numPr>
        <w:bidi w:val="0"/>
        <w:ind w:leftChars="0"/>
        <w:rPr>
          <w:rFonts w:hint="default"/>
          <w:lang w:val="en-US" w:eastAsia="zh-CN"/>
        </w:rPr>
      </w:pPr>
      <w:bookmarkStart w:id="16" w:name="_Toc25596"/>
      <w:bookmarkStart w:id="17" w:name="_Toc28755"/>
      <w:bookmarkStart w:id="18" w:name="_Toc19168"/>
      <w:bookmarkStart w:id="19" w:name="_Toc21142"/>
      <w:r>
        <w:rPr>
          <w:rFonts w:hint="eastAsia"/>
          <w:lang w:val="en-US" w:eastAsia="zh-CN"/>
        </w:rPr>
        <w:t>5、评价关注的主要环境问题及环境影响</w:t>
      </w:r>
      <w:bookmarkEnd w:id="16"/>
      <w:bookmarkEnd w:id="17"/>
      <w:bookmarkEnd w:id="18"/>
      <w:bookmarkEnd w:id="19"/>
    </w:p>
    <w:p>
      <w:pPr>
        <w:bidi w:val="0"/>
        <w:rPr>
          <w:rFonts w:hint="eastAsia"/>
          <w:lang w:val="en-US" w:eastAsia="zh-CN"/>
        </w:rPr>
      </w:pPr>
      <w:r>
        <w:rPr>
          <w:rFonts w:hint="eastAsia"/>
          <w:lang w:val="en-US" w:eastAsia="zh-CN"/>
        </w:rPr>
        <w:t>根据项目的工程特点和污染特征，环评过程主要关注的环境问题及环境影响如下：</w:t>
      </w:r>
    </w:p>
    <w:p>
      <w:pPr>
        <w:bidi w:val="0"/>
        <w:rPr>
          <w:rFonts w:hint="eastAsia"/>
          <w:highlight w:val="none"/>
          <w:lang w:val="en-US" w:eastAsia="zh-CN"/>
        </w:rPr>
      </w:pPr>
      <w:r>
        <w:rPr>
          <w:rFonts w:hint="eastAsia"/>
          <w:highlight w:val="none"/>
          <w:lang w:val="en-US" w:eastAsia="zh-CN"/>
        </w:rPr>
        <w:t>（1）废气</w:t>
      </w:r>
    </w:p>
    <w:p>
      <w:pPr>
        <w:bidi w:val="0"/>
        <w:rPr>
          <w:rFonts w:hint="eastAsia"/>
          <w:highlight w:val="none"/>
          <w:lang w:val="en-US" w:eastAsia="zh-CN"/>
        </w:rPr>
      </w:pPr>
      <w:r>
        <w:rPr>
          <w:rFonts w:hint="eastAsia"/>
          <w:highlight w:val="none"/>
          <w:lang w:val="en-US" w:eastAsia="zh-CN"/>
        </w:rPr>
        <w:t>关注项目营运期过程待宰圈、屠宰车间、污水处理站所产生的恶臭，重点分析废气源强、治理措施的可行性及对周边大气环境的影响。</w:t>
      </w:r>
    </w:p>
    <w:p>
      <w:pPr>
        <w:bidi w:val="0"/>
        <w:rPr>
          <w:rFonts w:hint="eastAsia"/>
          <w:highlight w:val="none"/>
          <w:lang w:val="en-US" w:eastAsia="zh-CN"/>
        </w:rPr>
      </w:pPr>
      <w:r>
        <w:rPr>
          <w:rFonts w:hint="eastAsia"/>
          <w:highlight w:val="none"/>
          <w:lang w:val="en-US" w:eastAsia="zh-CN"/>
        </w:rPr>
        <w:t>（2）废水</w:t>
      </w:r>
    </w:p>
    <w:p>
      <w:pPr>
        <w:bidi w:val="0"/>
        <w:rPr>
          <w:rFonts w:hint="eastAsia"/>
          <w:highlight w:val="none"/>
          <w:lang w:val="en-US" w:eastAsia="zh-CN"/>
        </w:rPr>
      </w:pPr>
      <w:r>
        <w:rPr>
          <w:rFonts w:hint="eastAsia"/>
          <w:highlight w:val="none"/>
          <w:lang w:val="en-US" w:eastAsia="zh-CN"/>
        </w:rPr>
        <w:t>地表水：关注项目营运期过程所产生的屠宰废水、处理设施，评价屠宰废水经处理用于农田灌溉的可行性。</w:t>
      </w:r>
    </w:p>
    <w:p>
      <w:pPr>
        <w:bidi w:val="0"/>
        <w:rPr>
          <w:rFonts w:hint="eastAsia"/>
          <w:highlight w:val="none"/>
          <w:lang w:val="en-US" w:eastAsia="zh-CN"/>
        </w:rPr>
      </w:pPr>
      <w:r>
        <w:rPr>
          <w:rFonts w:hint="eastAsia"/>
          <w:highlight w:val="none"/>
          <w:lang w:val="en-US" w:eastAsia="zh-CN"/>
        </w:rPr>
        <w:t>地下水：主要分析项目对地下水的影响以及分区防渗的要求。</w:t>
      </w:r>
    </w:p>
    <w:p>
      <w:pPr>
        <w:bidi w:val="0"/>
        <w:rPr>
          <w:rFonts w:hint="eastAsia"/>
          <w:highlight w:val="none"/>
          <w:lang w:val="en-US" w:eastAsia="zh-CN"/>
        </w:rPr>
      </w:pPr>
      <w:r>
        <w:rPr>
          <w:rFonts w:hint="eastAsia"/>
          <w:highlight w:val="none"/>
          <w:lang w:val="en-US" w:eastAsia="zh-CN"/>
        </w:rPr>
        <w:t>（3）噪声</w:t>
      </w:r>
    </w:p>
    <w:p>
      <w:pPr>
        <w:bidi w:val="0"/>
        <w:rPr>
          <w:rFonts w:hint="eastAsia"/>
          <w:highlight w:val="none"/>
          <w:lang w:val="en-US" w:eastAsia="zh-CN"/>
        </w:rPr>
      </w:pPr>
      <w:r>
        <w:rPr>
          <w:rFonts w:hint="eastAsia"/>
          <w:highlight w:val="none"/>
          <w:lang w:val="en-US" w:eastAsia="zh-CN"/>
        </w:rPr>
        <w:t>关注营运期噪声是否可以达到相应的要求。重点分析噪声控制措施的可行性及厂界的达标可行性。</w:t>
      </w:r>
    </w:p>
    <w:p>
      <w:pPr>
        <w:bidi w:val="0"/>
        <w:rPr>
          <w:rFonts w:hint="eastAsia"/>
          <w:highlight w:val="none"/>
          <w:lang w:val="en-US" w:eastAsia="zh-CN"/>
        </w:rPr>
      </w:pPr>
      <w:r>
        <w:rPr>
          <w:rFonts w:hint="eastAsia"/>
          <w:highlight w:val="none"/>
          <w:lang w:val="en-US" w:eastAsia="zh-CN"/>
        </w:rPr>
        <w:t>（4）固废</w:t>
      </w:r>
    </w:p>
    <w:p>
      <w:pPr>
        <w:bidi w:val="0"/>
        <w:rPr>
          <w:rFonts w:hint="eastAsia"/>
          <w:highlight w:val="none"/>
          <w:lang w:val="en-US" w:eastAsia="zh-CN"/>
        </w:rPr>
      </w:pPr>
      <w:r>
        <w:rPr>
          <w:rFonts w:hint="eastAsia"/>
          <w:highlight w:val="none"/>
          <w:lang w:val="en-US" w:eastAsia="zh-CN"/>
        </w:rPr>
        <w:t>关注固废尤其是危废的产生情况、暂存要求和处理去向是否符合环保要求。</w:t>
      </w:r>
    </w:p>
    <w:p>
      <w:pPr>
        <w:bidi w:val="0"/>
        <w:rPr>
          <w:rFonts w:hint="eastAsia"/>
          <w:highlight w:val="none"/>
          <w:lang w:val="en-US" w:eastAsia="zh-CN"/>
        </w:rPr>
      </w:pPr>
      <w:r>
        <w:rPr>
          <w:rFonts w:hint="eastAsia"/>
          <w:highlight w:val="none"/>
          <w:lang w:val="en-US" w:eastAsia="zh-CN"/>
        </w:rPr>
        <w:t>（5）环境风险</w:t>
      </w:r>
    </w:p>
    <w:p>
      <w:pPr>
        <w:bidi w:val="0"/>
        <w:rPr>
          <w:rFonts w:hint="eastAsia"/>
          <w:highlight w:val="none"/>
          <w:lang w:val="en-US" w:eastAsia="zh-CN"/>
        </w:rPr>
      </w:pPr>
      <w:r>
        <w:rPr>
          <w:rFonts w:hint="eastAsia"/>
          <w:highlight w:val="none"/>
          <w:lang w:val="en-US" w:eastAsia="zh-CN"/>
        </w:rPr>
        <w:t>关注危化品泄漏以及废水、废气事故性排放环境风险的防控。</w:t>
      </w:r>
    </w:p>
    <w:p>
      <w:pPr>
        <w:pStyle w:val="4"/>
        <w:numPr>
          <w:ilvl w:val="1"/>
          <w:numId w:val="0"/>
        </w:numPr>
        <w:bidi w:val="0"/>
        <w:ind w:leftChars="0"/>
        <w:rPr>
          <w:rFonts w:hint="default"/>
          <w:lang w:val="en-US" w:eastAsia="zh-CN"/>
        </w:rPr>
      </w:pPr>
      <w:bookmarkStart w:id="20" w:name="_Toc6176"/>
      <w:bookmarkStart w:id="21" w:name="_Toc7031"/>
      <w:bookmarkStart w:id="22" w:name="_Toc24132"/>
      <w:bookmarkStart w:id="23" w:name="_Toc23613"/>
      <w:r>
        <w:rPr>
          <w:rFonts w:hint="eastAsia"/>
          <w:lang w:val="en-US" w:eastAsia="zh-CN"/>
        </w:rPr>
        <w:t>5、报告书主要结论</w:t>
      </w:r>
      <w:bookmarkEnd w:id="20"/>
      <w:bookmarkEnd w:id="21"/>
      <w:bookmarkEnd w:id="22"/>
      <w:bookmarkEnd w:id="23"/>
    </w:p>
    <w:p>
      <w:pPr>
        <w:bidi w:val="0"/>
        <w:rPr>
          <w:rFonts w:hint="eastAsia" w:ascii="宋体" w:hAnsi="宋体"/>
          <w:sz w:val="24"/>
          <w:highlight w:val="yellow"/>
          <w:lang w:val="en-US" w:eastAsia="zh-CN"/>
        </w:rPr>
      </w:pPr>
      <w:r>
        <w:rPr>
          <w:rFonts w:hint="eastAsia"/>
        </w:rPr>
        <w:t>平昌乐顺食品有限公司</w:t>
      </w:r>
      <w:r>
        <w:rPr>
          <w:rFonts w:hint="eastAsia" w:ascii="宋体" w:hAnsi="宋体"/>
          <w:sz w:val="24"/>
          <w:highlight w:val="none"/>
          <w:lang w:val="en-US" w:eastAsia="zh-CN"/>
        </w:rPr>
        <w:t>拟建的</w:t>
      </w:r>
      <w:r>
        <w:rPr>
          <w:rFonts w:hint="eastAsia"/>
          <w:highlight w:val="none"/>
        </w:rPr>
        <w:t>平昌县乐顺现代牲畜屠宰冷链物流一体化建设项目</w:t>
      </w:r>
      <w:r>
        <w:rPr>
          <w:rFonts w:hint="eastAsia" w:ascii="宋体" w:hAnsi="宋体"/>
          <w:sz w:val="24"/>
          <w:highlight w:val="none"/>
          <w:lang w:val="en-US" w:eastAsia="zh-CN"/>
        </w:rPr>
        <w:t>，符合国家当前产业政策。项目运营过程中尽管其生产不可避免产生一定量的废水、废气、噪声和固体废物，但与之配套的环保设施比较完善，治理方案选择合理，只要认真加强管理、落实环保措施，能满足国家和地方环境保护法规和标准要求。在贯彻落实本环境影响报告书各项环境保护措施的前提下，从环境影响的角度而言，本项目在平昌县响滩镇石泉村是可行的。</w:t>
      </w:r>
    </w:p>
    <w:p>
      <w:pPr>
        <w:rPr>
          <w:rFonts w:hint="eastAsia" w:ascii="宋体" w:hAnsi="宋体"/>
          <w:sz w:val="24"/>
          <w:lang w:val="en-US" w:eastAsia="zh-CN"/>
        </w:rPr>
      </w:pPr>
      <w:r>
        <w:rPr>
          <w:rFonts w:hint="eastAsia" w:ascii="宋体" w:hAnsi="宋体"/>
          <w:sz w:val="24"/>
          <w:lang w:val="en-US" w:eastAsia="zh-CN"/>
        </w:rPr>
        <w:br w:type="page"/>
      </w:r>
    </w:p>
    <w:p>
      <w:pPr>
        <w:tabs>
          <w:tab w:val="right" w:leader="dot" w:pos="9406"/>
        </w:tabs>
        <w:bidi w:val="0"/>
        <w:ind w:left="0" w:leftChars="0" w:firstLine="0" w:firstLineChars="0"/>
        <w:jc w:val="center"/>
        <w:rPr>
          <w:rFonts w:hint="eastAsia" w:ascii="宋体" w:hAnsi="宋体" w:eastAsia="宋体" w:cs="Times New Roman"/>
          <w:kern w:val="2"/>
          <w:sz w:val="24"/>
          <w:lang w:val="en-US" w:eastAsia="zh-CN"/>
        </w:rPr>
      </w:pPr>
      <w:r>
        <w:rPr>
          <w:rFonts w:hint="eastAsia" w:ascii="宋体" w:hAnsi="宋体"/>
          <w:sz w:val="48"/>
          <w:szCs w:val="36"/>
          <w:lang w:val="en-US" w:eastAsia="zh-CN"/>
        </w:rPr>
        <w:t>目  录</w:t>
      </w:r>
      <w:r>
        <w:rPr>
          <w:rFonts w:hint="eastAsia" w:ascii="宋体" w:hAnsi="宋体"/>
          <w:sz w:val="24"/>
          <w:lang w:val="en-US" w:eastAsia="zh-CN"/>
        </w:rPr>
        <w:fldChar w:fldCharType="begin"/>
      </w:r>
      <w:r>
        <w:rPr>
          <w:rFonts w:hint="eastAsia" w:ascii="宋体" w:hAnsi="宋体"/>
          <w:sz w:val="24"/>
          <w:lang w:val="en-US" w:eastAsia="zh-CN"/>
        </w:rPr>
        <w:instrText xml:space="preserve">TOC \o "1-2" \h \u </w:instrText>
      </w:r>
      <w:r>
        <w:rPr>
          <w:rFonts w:hint="eastAsia" w:ascii="宋体" w:hAnsi="宋体"/>
          <w:sz w:val="24"/>
          <w:lang w:val="en-US" w:eastAsia="zh-CN"/>
        </w:rPr>
        <w:fldChar w:fldCharType="separate"/>
      </w:r>
    </w:p>
    <w:p>
      <w:pPr>
        <w:pStyle w:val="19"/>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_Toc16281 </w:instrText>
      </w:r>
      <w:r>
        <w:rPr>
          <w:rFonts w:hint="eastAsia" w:ascii="宋体" w:hAnsi="宋体"/>
          <w:lang w:val="en-US" w:eastAsia="zh-CN"/>
        </w:rPr>
        <w:fldChar w:fldCharType="separate"/>
      </w:r>
      <w:r>
        <w:rPr>
          <w:rFonts w:hint="default" w:ascii="Times New Roman" w:hAnsi="Times New Roman" w:eastAsia="宋体" w:cs="宋体"/>
          <w:szCs w:val="32"/>
          <w:lang w:val="en-US" w:eastAsia="zh-CN"/>
        </w:rPr>
        <w:t xml:space="preserve">1 </w:t>
      </w:r>
      <w:r>
        <w:rPr>
          <w:rFonts w:hint="eastAsia"/>
          <w:lang w:val="en-US" w:eastAsia="zh-CN"/>
        </w:rPr>
        <w:t>总  则</w:t>
      </w:r>
      <w:r>
        <w:tab/>
      </w:r>
      <w:r>
        <w:fldChar w:fldCharType="begin"/>
      </w:r>
      <w:r>
        <w:instrText xml:space="preserve"> PAGEREF _Toc16281 \h </w:instrText>
      </w:r>
      <w:r>
        <w:fldChar w:fldCharType="separate"/>
      </w:r>
      <w:r>
        <w:t>- 1 -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_Toc30964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1.1 </w:t>
      </w:r>
      <w:r>
        <w:rPr>
          <w:rFonts w:hint="eastAsia"/>
          <w:lang w:val="en-US" w:eastAsia="zh-CN"/>
        </w:rPr>
        <w:t>编制依据</w:t>
      </w:r>
      <w:r>
        <w:tab/>
      </w:r>
      <w:r>
        <w:fldChar w:fldCharType="begin"/>
      </w:r>
      <w:r>
        <w:instrText xml:space="preserve"> PAGEREF _Toc30964 \h </w:instrText>
      </w:r>
      <w:r>
        <w:fldChar w:fldCharType="separate"/>
      </w:r>
      <w:r>
        <w:t>- 1 -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_Toc25920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1.2 </w:t>
      </w:r>
      <w:r>
        <w:rPr>
          <w:rFonts w:hint="eastAsia"/>
          <w:lang w:val="en-US" w:eastAsia="zh-CN"/>
        </w:rPr>
        <w:t>评价目的与工作原则</w:t>
      </w:r>
      <w:r>
        <w:tab/>
      </w:r>
      <w:r>
        <w:fldChar w:fldCharType="begin"/>
      </w:r>
      <w:r>
        <w:instrText xml:space="preserve"> PAGEREF _Toc25920 \h </w:instrText>
      </w:r>
      <w:r>
        <w:fldChar w:fldCharType="separate"/>
      </w:r>
      <w:r>
        <w:t>- 3 -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_Toc8243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1.3 </w:t>
      </w:r>
      <w:r>
        <w:rPr>
          <w:rFonts w:hint="eastAsia"/>
          <w:lang w:val="en-US" w:eastAsia="zh-CN"/>
        </w:rPr>
        <w:t>评价内容和评价重点</w:t>
      </w:r>
      <w:r>
        <w:tab/>
      </w:r>
      <w:r>
        <w:fldChar w:fldCharType="begin"/>
      </w:r>
      <w:r>
        <w:instrText xml:space="preserve"> PAGEREF _Toc8243 \h </w:instrText>
      </w:r>
      <w:r>
        <w:fldChar w:fldCharType="separate"/>
      </w:r>
      <w:r>
        <w:t>- 4 -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_Toc21763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1.4 </w:t>
      </w:r>
      <w:r>
        <w:rPr>
          <w:rFonts w:hint="eastAsia"/>
          <w:lang w:val="en-US" w:eastAsia="zh-CN"/>
        </w:rPr>
        <w:t>环境要素识别及评价因子</w:t>
      </w:r>
      <w:r>
        <w:tab/>
      </w:r>
      <w:r>
        <w:fldChar w:fldCharType="begin"/>
      </w:r>
      <w:r>
        <w:instrText xml:space="preserve"> PAGEREF _Toc21763 \h </w:instrText>
      </w:r>
      <w:r>
        <w:fldChar w:fldCharType="separate"/>
      </w:r>
      <w:r>
        <w:t>- 4 -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_Toc5640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1.5 </w:t>
      </w:r>
      <w:r>
        <w:rPr>
          <w:rFonts w:hint="eastAsia"/>
          <w:lang w:val="en-US" w:eastAsia="zh-CN"/>
        </w:rPr>
        <w:t>评价标准</w:t>
      </w:r>
      <w:r>
        <w:tab/>
      </w:r>
      <w:r>
        <w:fldChar w:fldCharType="begin"/>
      </w:r>
      <w:r>
        <w:instrText xml:space="preserve"> PAGEREF _Toc5640 \h </w:instrText>
      </w:r>
      <w:r>
        <w:fldChar w:fldCharType="separate"/>
      </w:r>
      <w:r>
        <w:t>- 6 -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_Toc17229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1.6 </w:t>
      </w:r>
      <w:r>
        <w:rPr>
          <w:rFonts w:hint="eastAsia"/>
          <w:lang w:val="en-US" w:eastAsia="zh-CN"/>
        </w:rPr>
        <w:t>评价工作等级和评价范围</w:t>
      </w:r>
      <w:r>
        <w:tab/>
      </w:r>
      <w:r>
        <w:fldChar w:fldCharType="begin"/>
      </w:r>
      <w:r>
        <w:instrText xml:space="preserve"> PAGEREF _Toc17229 \h </w:instrText>
      </w:r>
      <w:r>
        <w:fldChar w:fldCharType="separate"/>
      </w:r>
      <w:r>
        <w:t>- 10 -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_Toc32370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1.7 </w:t>
      </w:r>
      <w:r>
        <w:rPr>
          <w:rFonts w:hint="eastAsia"/>
          <w:lang w:val="en-US" w:eastAsia="zh-CN"/>
        </w:rPr>
        <w:t>产业政策及规划的符合性分析</w:t>
      </w:r>
      <w:r>
        <w:tab/>
      </w:r>
      <w:r>
        <w:fldChar w:fldCharType="begin"/>
      </w:r>
      <w:r>
        <w:instrText xml:space="preserve"> PAGEREF _Toc32370 \h </w:instrText>
      </w:r>
      <w:r>
        <w:fldChar w:fldCharType="separate"/>
      </w:r>
      <w:r>
        <w:t>- 17 -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_Toc2136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1.8 </w:t>
      </w:r>
      <w:r>
        <w:rPr>
          <w:rFonts w:hint="eastAsia"/>
          <w:lang w:val="en-US" w:eastAsia="zh-CN"/>
        </w:rPr>
        <w:t>外环境关系及选址合理性分析</w:t>
      </w:r>
      <w:r>
        <w:tab/>
      </w:r>
      <w:r>
        <w:fldChar w:fldCharType="begin"/>
      </w:r>
      <w:r>
        <w:instrText xml:space="preserve"> PAGEREF _Toc2136 \h </w:instrText>
      </w:r>
      <w:r>
        <w:fldChar w:fldCharType="separate"/>
      </w:r>
      <w:r>
        <w:t>- 21 -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_Toc27667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1.9 </w:t>
      </w:r>
      <w:r>
        <w:rPr>
          <w:rFonts w:hint="eastAsia"/>
          <w:lang w:val="en-US" w:eastAsia="zh-CN"/>
        </w:rPr>
        <w:t>污染控制与环境保护目标</w:t>
      </w:r>
      <w:r>
        <w:tab/>
      </w:r>
      <w:r>
        <w:fldChar w:fldCharType="begin"/>
      </w:r>
      <w:r>
        <w:instrText xml:space="preserve"> PAGEREF _Toc27667 \h </w:instrText>
      </w:r>
      <w:r>
        <w:fldChar w:fldCharType="separate"/>
      </w:r>
      <w:r>
        <w:t>- 22 -</w:t>
      </w:r>
      <w:r>
        <w:fldChar w:fldCharType="end"/>
      </w:r>
      <w:r>
        <w:rPr>
          <w:rFonts w:hint="eastAsia" w:ascii="宋体" w:hAnsi="宋体"/>
          <w:lang w:val="en-US" w:eastAsia="zh-CN"/>
        </w:rPr>
        <w:fldChar w:fldCharType="end"/>
      </w:r>
    </w:p>
    <w:p>
      <w:pPr>
        <w:pStyle w:val="19"/>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_Toc25162 </w:instrText>
      </w:r>
      <w:r>
        <w:rPr>
          <w:rFonts w:hint="eastAsia" w:ascii="宋体" w:hAnsi="宋体"/>
          <w:lang w:val="en-US" w:eastAsia="zh-CN"/>
        </w:rPr>
        <w:fldChar w:fldCharType="separate"/>
      </w:r>
      <w:r>
        <w:rPr>
          <w:rFonts w:hint="default" w:ascii="Times New Roman" w:hAnsi="Times New Roman" w:eastAsia="宋体" w:cs="宋体"/>
          <w:szCs w:val="32"/>
          <w:lang w:val="en-US" w:eastAsia="zh-CN"/>
        </w:rPr>
        <w:t xml:space="preserve">2 </w:t>
      </w:r>
      <w:r>
        <w:rPr>
          <w:rFonts w:hint="eastAsia"/>
          <w:lang w:val="en-US" w:eastAsia="zh-CN"/>
        </w:rPr>
        <w:t>建设项目概况</w:t>
      </w:r>
      <w:r>
        <w:tab/>
      </w:r>
      <w:r>
        <w:fldChar w:fldCharType="begin"/>
      </w:r>
      <w:r>
        <w:instrText xml:space="preserve"> PAGEREF _Toc25162 \h </w:instrText>
      </w:r>
      <w:r>
        <w:fldChar w:fldCharType="separate"/>
      </w:r>
      <w:r>
        <w:t>- 25 -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_Toc27233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2.1 </w:t>
      </w:r>
      <w:r>
        <w:rPr>
          <w:rFonts w:hint="eastAsia"/>
          <w:lang w:val="en-US" w:eastAsia="zh-CN"/>
        </w:rPr>
        <w:t>项目基本情况</w:t>
      </w:r>
      <w:r>
        <w:tab/>
      </w:r>
      <w:r>
        <w:fldChar w:fldCharType="begin"/>
      </w:r>
      <w:r>
        <w:instrText xml:space="preserve"> PAGEREF _Toc27233 \h </w:instrText>
      </w:r>
      <w:r>
        <w:fldChar w:fldCharType="separate"/>
      </w:r>
      <w:r>
        <w:t>- 25 -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_Toc25881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2.2 </w:t>
      </w:r>
      <w:r>
        <w:rPr>
          <w:rFonts w:hint="eastAsia"/>
          <w:lang w:val="en-US" w:eastAsia="zh-CN"/>
        </w:rPr>
        <w:t>产品方案及技术经济指标</w:t>
      </w:r>
      <w:r>
        <w:tab/>
      </w:r>
      <w:r>
        <w:fldChar w:fldCharType="begin"/>
      </w:r>
      <w:r>
        <w:instrText xml:space="preserve"> PAGEREF _Toc25881 \h </w:instrText>
      </w:r>
      <w:r>
        <w:fldChar w:fldCharType="separate"/>
      </w:r>
      <w:r>
        <w:t>- 25 -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_Toc613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2.3 </w:t>
      </w:r>
      <w:r>
        <w:rPr>
          <w:rFonts w:hint="eastAsia"/>
          <w:lang w:val="en-US" w:eastAsia="zh-CN"/>
        </w:rPr>
        <w:t>项目基本组成</w:t>
      </w:r>
      <w:r>
        <w:tab/>
      </w:r>
      <w:r>
        <w:fldChar w:fldCharType="begin"/>
      </w:r>
      <w:r>
        <w:instrText xml:space="preserve"> PAGEREF _Toc613 \h </w:instrText>
      </w:r>
      <w:r>
        <w:fldChar w:fldCharType="separate"/>
      </w:r>
      <w:r>
        <w:t>- 26 -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_Toc28376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2.4 </w:t>
      </w:r>
      <w:r>
        <w:rPr>
          <w:rFonts w:hint="eastAsia"/>
          <w:lang w:val="en-US" w:eastAsia="zh-CN"/>
        </w:rPr>
        <w:t>原辅材料</w:t>
      </w:r>
      <w:r>
        <w:tab/>
      </w:r>
      <w:r>
        <w:fldChar w:fldCharType="begin"/>
      </w:r>
      <w:r>
        <w:instrText xml:space="preserve"> PAGEREF _Toc28376 \h </w:instrText>
      </w:r>
      <w:r>
        <w:fldChar w:fldCharType="separate"/>
      </w:r>
      <w:r>
        <w:t>- 28 -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_Toc22123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2.5 </w:t>
      </w:r>
      <w:r>
        <w:rPr>
          <w:rFonts w:hint="eastAsia"/>
          <w:highlight w:val="none"/>
          <w:lang w:val="en-US" w:eastAsia="zh-CN"/>
        </w:rPr>
        <w:t>项目总平面布置合理性分析</w:t>
      </w:r>
      <w:r>
        <w:tab/>
      </w:r>
      <w:r>
        <w:fldChar w:fldCharType="begin"/>
      </w:r>
      <w:r>
        <w:instrText xml:space="preserve"> PAGEREF _Toc22123 \h </w:instrText>
      </w:r>
      <w:r>
        <w:fldChar w:fldCharType="separate"/>
      </w:r>
      <w:r>
        <w:t>- 29 -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_Toc27414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2.6 </w:t>
      </w:r>
      <w:r>
        <w:rPr>
          <w:rFonts w:hint="eastAsia"/>
          <w:lang w:val="en-US" w:eastAsia="zh-CN"/>
        </w:rPr>
        <w:t>主要设备</w:t>
      </w:r>
      <w:r>
        <w:tab/>
      </w:r>
      <w:r>
        <w:fldChar w:fldCharType="begin"/>
      </w:r>
      <w:r>
        <w:instrText xml:space="preserve"> PAGEREF _Toc27414 \h </w:instrText>
      </w:r>
      <w:r>
        <w:fldChar w:fldCharType="separate"/>
      </w:r>
      <w:r>
        <w:t>- 31 -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_Toc5211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2.7 </w:t>
      </w:r>
      <w:r>
        <w:rPr>
          <w:rFonts w:hint="eastAsia"/>
          <w:lang w:val="en-US" w:eastAsia="zh-CN"/>
        </w:rPr>
        <w:t>公用工程</w:t>
      </w:r>
      <w:r>
        <w:tab/>
      </w:r>
      <w:r>
        <w:fldChar w:fldCharType="begin"/>
      </w:r>
      <w:r>
        <w:instrText xml:space="preserve"> PAGEREF _Toc5211 \h </w:instrText>
      </w:r>
      <w:r>
        <w:fldChar w:fldCharType="separate"/>
      </w:r>
      <w:r>
        <w:t>- 36 -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_Toc18029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2.8 </w:t>
      </w:r>
      <w:r>
        <w:rPr>
          <w:rFonts w:hint="eastAsia"/>
          <w:lang w:val="en-US" w:eastAsia="zh-CN"/>
        </w:rPr>
        <w:t>储运工程</w:t>
      </w:r>
      <w:r>
        <w:tab/>
      </w:r>
      <w:r>
        <w:fldChar w:fldCharType="begin"/>
      </w:r>
      <w:r>
        <w:instrText xml:space="preserve"> PAGEREF _Toc18029 \h </w:instrText>
      </w:r>
      <w:r>
        <w:fldChar w:fldCharType="separate"/>
      </w:r>
      <w:r>
        <w:t>- 37 -</w:t>
      </w:r>
      <w:r>
        <w:fldChar w:fldCharType="end"/>
      </w:r>
      <w:r>
        <w:rPr>
          <w:rFonts w:hint="eastAsia" w:ascii="宋体" w:hAnsi="宋体"/>
          <w:lang w:val="en-US" w:eastAsia="zh-CN"/>
        </w:rPr>
        <w:fldChar w:fldCharType="end"/>
      </w:r>
    </w:p>
    <w:p>
      <w:pPr>
        <w:pStyle w:val="19"/>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_Toc15236 </w:instrText>
      </w:r>
      <w:r>
        <w:rPr>
          <w:rFonts w:hint="eastAsia" w:ascii="宋体" w:hAnsi="宋体"/>
          <w:lang w:val="en-US" w:eastAsia="zh-CN"/>
        </w:rPr>
        <w:fldChar w:fldCharType="separate"/>
      </w:r>
      <w:r>
        <w:rPr>
          <w:rFonts w:hint="default" w:ascii="Times New Roman" w:hAnsi="Times New Roman" w:eastAsia="宋体" w:cs="宋体"/>
          <w:szCs w:val="32"/>
          <w:lang w:val="en-US" w:eastAsia="zh-CN"/>
        </w:rPr>
        <w:t xml:space="preserve">3 </w:t>
      </w:r>
      <w:r>
        <w:rPr>
          <w:rFonts w:hint="eastAsia"/>
          <w:lang w:val="en-US" w:eastAsia="zh-CN"/>
        </w:rPr>
        <w:t>工程分析</w:t>
      </w:r>
      <w:r>
        <w:tab/>
      </w:r>
      <w:r>
        <w:fldChar w:fldCharType="begin"/>
      </w:r>
      <w:r>
        <w:instrText xml:space="preserve"> PAGEREF _Toc15236 \h </w:instrText>
      </w:r>
      <w:r>
        <w:fldChar w:fldCharType="separate"/>
      </w:r>
      <w:r>
        <w:t>- 39 -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_Toc23080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3.1 </w:t>
      </w:r>
      <w:r>
        <w:rPr>
          <w:rFonts w:hint="eastAsia"/>
          <w:lang w:val="en-US" w:eastAsia="zh-CN"/>
        </w:rPr>
        <w:t>施工期工程分析</w:t>
      </w:r>
      <w:r>
        <w:tab/>
      </w:r>
      <w:r>
        <w:fldChar w:fldCharType="begin"/>
      </w:r>
      <w:r>
        <w:instrText xml:space="preserve"> PAGEREF _Toc23080 \h </w:instrText>
      </w:r>
      <w:r>
        <w:fldChar w:fldCharType="separate"/>
      </w:r>
      <w:r>
        <w:t>- 39 -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_Toc11523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3.2 </w:t>
      </w:r>
      <w:r>
        <w:rPr>
          <w:rFonts w:hint="eastAsia"/>
          <w:lang w:val="en-US" w:eastAsia="zh-CN"/>
        </w:rPr>
        <w:t>营运期工程分析</w:t>
      </w:r>
      <w:r>
        <w:tab/>
      </w:r>
      <w:r>
        <w:fldChar w:fldCharType="begin"/>
      </w:r>
      <w:r>
        <w:instrText xml:space="preserve"> PAGEREF _Toc11523 \h </w:instrText>
      </w:r>
      <w:r>
        <w:fldChar w:fldCharType="separate"/>
      </w:r>
      <w:r>
        <w:t>- 42 -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_Toc18445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3.3 </w:t>
      </w:r>
      <w:r>
        <w:rPr>
          <w:rFonts w:hint="eastAsia"/>
          <w:lang w:val="en-US" w:eastAsia="zh-CN"/>
        </w:rPr>
        <w:t>物料平衡及水平衡</w:t>
      </w:r>
      <w:r>
        <w:tab/>
      </w:r>
      <w:r>
        <w:fldChar w:fldCharType="begin"/>
      </w:r>
      <w:r>
        <w:instrText xml:space="preserve"> PAGEREF _Toc18445 \h </w:instrText>
      </w:r>
      <w:r>
        <w:fldChar w:fldCharType="separate"/>
      </w:r>
      <w:r>
        <w:t>- 53 -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_Toc7247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3.4 </w:t>
      </w:r>
      <w:r>
        <w:rPr>
          <w:rFonts w:hint="eastAsia"/>
          <w:lang w:val="en-US" w:eastAsia="zh-CN"/>
        </w:rPr>
        <w:t>营运期污染物排放及治理措施</w:t>
      </w:r>
      <w:r>
        <w:tab/>
      </w:r>
      <w:r>
        <w:fldChar w:fldCharType="begin"/>
      </w:r>
      <w:r>
        <w:instrText xml:space="preserve"> PAGEREF _Toc7247 \h </w:instrText>
      </w:r>
      <w:r>
        <w:fldChar w:fldCharType="separate"/>
      </w:r>
      <w:r>
        <w:t>- 60 -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_Toc20181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3.5 </w:t>
      </w:r>
      <w:r>
        <w:rPr>
          <w:rFonts w:hint="eastAsia"/>
          <w:lang w:val="en-US" w:eastAsia="zh-CN"/>
        </w:rPr>
        <w:t>清洁生产及总量控制</w:t>
      </w:r>
      <w:r>
        <w:tab/>
      </w:r>
      <w:r>
        <w:fldChar w:fldCharType="begin"/>
      </w:r>
      <w:r>
        <w:instrText xml:space="preserve"> PAGEREF _Toc20181 \h </w:instrText>
      </w:r>
      <w:r>
        <w:fldChar w:fldCharType="separate"/>
      </w:r>
      <w:r>
        <w:t>- 82 -</w:t>
      </w:r>
      <w:r>
        <w:fldChar w:fldCharType="end"/>
      </w:r>
      <w:r>
        <w:rPr>
          <w:rFonts w:hint="eastAsia" w:ascii="宋体" w:hAnsi="宋体"/>
          <w:lang w:val="en-US" w:eastAsia="zh-CN"/>
        </w:rPr>
        <w:fldChar w:fldCharType="end"/>
      </w:r>
    </w:p>
    <w:p>
      <w:pPr>
        <w:pStyle w:val="19"/>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_Toc2829 </w:instrText>
      </w:r>
      <w:r>
        <w:rPr>
          <w:rFonts w:hint="eastAsia" w:ascii="宋体" w:hAnsi="宋体"/>
          <w:lang w:val="en-US" w:eastAsia="zh-CN"/>
        </w:rPr>
        <w:fldChar w:fldCharType="separate"/>
      </w:r>
      <w:r>
        <w:rPr>
          <w:rFonts w:hint="default" w:ascii="Times New Roman" w:hAnsi="Times New Roman" w:eastAsia="宋体" w:cs="宋体"/>
          <w:szCs w:val="32"/>
          <w:lang w:val="en-US" w:eastAsia="zh-CN"/>
        </w:rPr>
        <w:t xml:space="preserve">4 </w:t>
      </w:r>
      <w:r>
        <w:rPr>
          <w:rFonts w:hint="eastAsia"/>
          <w:lang w:val="en-US" w:eastAsia="zh-CN"/>
        </w:rPr>
        <w:t>环境现状调查与评价</w:t>
      </w:r>
      <w:r>
        <w:tab/>
      </w:r>
      <w:r>
        <w:fldChar w:fldCharType="begin"/>
      </w:r>
      <w:r>
        <w:instrText xml:space="preserve"> PAGEREF _Toc2829 \h </w:instrText>
      </w:r>
      <w:r>
        <w:fldChar w:fldCharType="separate"/>
      </w:r>
      <w:r>
        <w:t>- 86 -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_Toc30200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4.1 </w:t>
      </w:r>
      <w:r>
        <w:rPr>
          <w:rFonts w:hint="eastAsia"/>
          <w:lang w:val="en-US" w:eastAsia="zh-CN"/>
        </w:rPr>
        <w:t>自然环境概况</w:t>
      </w:r>
      <w:r>
        <w:tab/>
      </w:r>
      <w:r>
        <w:fldChar w:fldCharType="begin"/>
      </w:r>
      <w:r>
        <w:instrText xml:space="preserve"> PAGEREF _Toc30200 \h </w:instrText>
      </w:r>
      <w:r>
        <w:fldChar w:fldCharType="separate"/>
      </w:r>
      <w:r>
        <w:t>- 86 -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_Toc17842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4.2 </w:t>
      </w:r>
      <w:r>
        <w:rPr>
          <w:rFonts w:hint="eastAsia"/>
          <w:lang w:val="en-US" w:eastAsia="zh-CN"/>
        </w:rPr>
        <w:t>环境质量现状监测与评价</w:t>
      </w:r>
      <w:r>
        <w:tab/>
      </w:r>
      <w:r>
        <w:fldChar w:fldCharType="begin"/>
      </w:r>
      <w:r>
        <w:instrText xml:space="preserve"> PAGEREF _Toc17842 \h </w:instrText>
      </w:r>
      <w:r>
        <w:fldChar w:fldCharType="separate"/>
      </w:r>
      <w:r>
        <w:t>- 95 -</w:t>
      </w:r>
      <w:r>
        <w:fldChar w:fldCharType="end"/>
      </w:r>
      <w:r>
        <w:rPr>
          <w:rFonts w:hint="eastAsia" w:ascii="宋体" w:hAnsi="宋体"/>
          <w:lang w:val="en-US" w:eastAsia="zh-CN"/>
        </w:rPr>
        <w:fldChar w:fldCharType="end"/>
      </w:r>
    </w:p>
    <w:p>
      <w:pPr>
        <w:pStyle w:val="19"/>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_Toc6023 </w:instrText>
      </w:r>
      <w:r>
        <w:rPr>
          <w:rFonts w:hint="eastAsia" w:ascii="宋体" w:hAnsi="宋体"/>
          <w:lang w:val="en-US" w:eastAsia="zh-CN"/>
        </w:rPr>
        <w:fldChar w:fldCharType="separate"/>
      </w:r>
      <w:r>
        <w:rPr>
          <w:rFonts w:hint="default" w:ascii="Times New Roman" w:hAnsi="Times New Roman" w:eastAsia="宋体" w:cs="宋体"/>
          <w:szCs w:val="32"/>
          <w:lang w:val="en-US" w:eastAsia="zh-CN"/>
        </w:rPr>
        <w:t xml:space="preserve">5 </w:t>
      </w:r>
      <w:r>
        <w:rPr>
          <w:rFonts w:hint="eastAsia"/>
          <w:lang w:val="en-US" w:eastAsia="zh-CN"/>
        </w:rPr>
        <w:t>环境影响预测与评价</w:t>
      </w:r>
      <w:r>
        <w:tab/>
      </w:r>
      <w:r>
        <w:fldChar w:fldCharType="begin"/>
      </w:r>
      <w:r>
        <w:instrText xml:space="preserve"> PAGEREF _Toc6023 \h </w:instrText>
      </w:r>
      <w:r>
        <w:fldChar w:fldCharType="separate"/>
      </w:r>
      <w:r>
        <w:t>- 107 -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_Toc18351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5.1 </w:t>
      </w:r>
      <w:r>
        <w:rPr>
          <w:rFonts w:hint="eastAsia"/>
          <w:lang w:val="en-US" w:eastAsia="zh-CN"/>
        </w:rPr>
        <w:t>施工期环境影响预测与评价</w:t>
      </w:r>
      <w:r>
        <w:tab/>
      </w:r>
      <w:r>
        <w:fldChar w:fldCharType="begin"/>
      </w:r>
      <w:r>
        <w:instrText xml:space="preserve"> PAGEREF _Toc18351 \h </w:instrText>
      </w:r>
      <w:r>
        <w:fldChar w:fldCharType="separate"/>
      </w:r>
      <w:r>
        <w:t>- 107 -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_Toc19500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5.2 </w:t>
      </w:r>
      <w:r>
        <w:rPr>
          <w:rFonts w:hint="eastAsia"/>
          <w:lang w:val="en-US" w:eastAsia="zh-CN"/>
        </w:rPr>
        <w:t>营运期环境影响预测与评价</w:t>
      </w:r>
      <w:r>
        <w:tab/>
      </w:r>
      <w:r>
        <w:fldChar w:fldCharType="begin"/>
      </w:r>
      <w:r>
        <w:instrText xml:space="preserve"> PAGEREF _Toc19500 \h </w:instrText>
      </w:r>
      <w:r>
        <w:fldChar w:fldCharType="separate"/>
      </w:r>
      <w:r>
        <w:t>- 110 -</w:t>
      </w:r>
      <w:r>
        <w:fldChar w:fldCharType="end"/>
      </w:r>
      <w:r>
        <w:rPr>
          <w:rFonts w:hint="eastAsia" w:ascii="宋体" w:hAnsi="宋体"/>
          <w:lang w:val="en-US" w:eastAsia="zh-CN"/>
        </w:rPr>
        <w:fldChar w:fldCharType="end"/>
      </w:r>
    </w:p>
    <w:p>
      <w:pPr>
        <w:pStyle w:val="19"/>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_Toc11780 </w:instrText>
      </w:r>
      <w:r>
        <w:rPr>
          <w:rFonts w:hint="eastAsia" w:ascii="宋体" w:hAnsi="宋体"/>
          <w:lang w:val="en-US" w:eastAsia="zh-CN"/>
        </w:rPr>
        <w:fldChar w:fldCharType="separate"/>
      </w:r>
      <w:r>
        <w:rPr>
          <w:rFonts w:hint="default" w:ascii="Times New Roman" w:hAnsi="Times New Roman" w:eastAsia="宋体" w:cs="宋体"/>
          <w:szCs w:val="32"/>
          <w:lang w:val="en-US" w:eastAsia="zh-CN"/>
        </w:rPr>
        <w:t xml:space="preserve">6 </w:t>
      </w:r>
      <w:r>
        <w:rPr>
          <w:rFonts w:hint="eastAsia"/>
          <w:lang w:val="en-US" w:eastAsia="zh-CN"/>
        </w:rPr>
        <w:t>环境风险评价</w:t>
      </w:r>
      <w:r>
        <w:tab/>
      </w:r>
      <w:r>
        <w:fldChar w:fldCharType="begin"/>
      </w:r>
      <w:r>
        <w:instrText xml:space="preserve"> PAGEREF _Toc11780 \h </w:instrText>
      </w:r>
      <w:r>
        <w:fldChar w:fldCharType="separate"/>
      </w:r>
      <w:r>
        <w:t>- 145 -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_Toc28673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6.1 </w:t>
      </w:r>
      <w:r>
        <w:rPr>
          <w:rFonts w:hint="eastAsia"/>
          <w:lang w:val="en-US" w:eastAsia="zh-CN"/>
        </w:rPr>
        <w:t>评价依据</w:t>
      </w:r>
      <w:r>
        <w:tab/>
      </w:r>
      <w:r>
        <w:fldChar w:fldCharType="begin"/>
      </w:r>
      <w:r>
        <w:instrText xml:space="preserve"> PAGEREF _Toc28673 \h </w:instrText>
      </w:r>
      <w:r>
        <w:fldChar w:fldCharType="separate"/>
      </w:r>
      <w:r>
        <w:t>- 145 -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_Toc4910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6.2 </w:t>
      </w:r>
      <w:r>
        <w:rPr>
          <w:rFonts w:hint="eastAsia"/>
          <w:highlight w:val="none"/>
          <w:lang w:val="en-US" w:eastAsia="zh-CN"/>
        </w:rPr>
        <w:t>环境风险识别</w:t>
      </w:r>
      <w:r>
        <w:tab/>
      </w:r>
      <w:r>
        <w:fldChar w:fldCharType="begin"/>
      </w:r>
      <w:r>
        <w:instrText xml:space="preserve"> PAGEREF _Toc4910 \h </w:instrText>
      </w:r>
      <w:r>
        <w:fldChar w:fldCharType="separate"/>
      </w:r>
      <w:r>
        <w:t>- 147 -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_Toc20267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6.3 </w:t>
      </w:r>
      <w:r>
        <w:rPr>
          <w:rFonts w:hint="eastAsia"/>
          <w:lang w:val="en-US" w:eastAsia="zh-CN"/>
        </w:rPr>
        <w:t>环境风险分析</w:t>
      </w:r>
      <w:r>
        <w:tab/>
      </w:r>
      <w:r>
        <w:fldChar w:fldCharType="begin"/>
      </w:r>
      <w:r>
        <w:instrText xml:space="preserve"> PAGEREF _Toc20267 \h </w:instrText>
      </w:r>
      <w:r>
        <w:fldChar w:fldCharType="separate"/>
      </w:r>
      <w:r>
        <w:t>- 148 -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_Toc18389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6.4 </w:t>
      </w:r>
      <w:r>
        <w:rPr>
          <w:rFonts w:hint="eastAsia"/>
          <w:lang w:val="en-US" w:eastAsia="zh-CN"/>
        </w:rPr>
        <w:t>环境风险防范措施及应急要求</w:t>
      </w:r>
      <w:r>
        <w:tab/>
      </w:r>
      <w:r>
        <w:fldChar w:fldCharType="begin"/>
      </w:r>
      <w:r>
        <w:instrText xml:space="preserve"> PAGEREF _Toc18389 \h </w:instrText>
      </w:r>
      <w:r>
        <w:fldChar w:fldCharType="separate"/>
      </w:r>
      <w:r>
        <w:t>- 151 -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_Toc16489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6.5 </w:t>
      </w:r>
      <w:r>
        <w:rPr>
          <w:rFonts w:hint="eastAsia"/>
          <w:lang w:val="en-US" w:eastAsia="zh-CN"/>
        </w:rPr>
        <w:t>环境风险评价结论</w:t>
      </w:r>
      <w:r>
        <w:tab/>
      </w:r>
      <w:r>
        <w:fldChar w:fldCharType="begin"/>
      </w:r>
      <w:r>
        <w:instrText xml:space="preserve"> PAGEREF _Toc16489 \h </w:instrText>
      </w:r>
      <w:r>
        <w:fldChar w:fldCharType="separate"/>
      </w:r>
      <w:r>
        <w:t>- 155 -</w:t>
      </w:r>
      <w:r>
        <w:fldChar w:fldCharType="end"/>
      </w:r>
      <w:r>
        <w:rPr>
          <w:rFonts w:hint="eastAsia" w:ascii="宋体" w:hAnsi="宋体"/>
          <w:lang w:val="en-US" w:eastAsia="zh-CN"/>
        </w:rPr>
        <w:fldChar w:fldCharType="end"/>
      </w:r>
    </w:p>
    <w:p>
      <w:pPr>
        <w:pStyle w:val="19"/>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_Toc13734 </w:instrText>
      </w:r>
      <w:r>
        <w:rPr>
          <w:rFonts w:hint="eastAsia" w:ascii="宋体" w:hAnsi="宋体"/>
          <w:lang w:val="en-US" w:eastAsia="zh-CN"/>
        </w:rPr>
        <w:fldChar w:fldCharType="separate"/>
      </w:r>
      <w:r>
        <w:rPr>
          <w:rFonts w:hint="default" w:ascii="Times New Roman" w:hAnsi="Times New Roman" w:eastAsia="宋体" w:cs="宋体"/>
          <w:szCs w:val="32"/>
          <w:lang w:val="en-US" w:eastAsia="zh-CN"/>
        </w:rPr>
        <w:t xml:space="preserve">7 </w:t>
      </w:r>
      <w:r>
        <w:rPr>
          <w:rFonts w:hint="eastAsia"/>
          <w:lang w:val="en-US" w:eastAsia="zh-CN"/>
        </w:rPr>
        <w:t>环境保护措施及其可行性论证</w:t>
      </w:r>
      <w:r>
        <w:tab/>
      </w:r>
      <w:r>
        <w:fldChar w:fldCharType="begin"/>
      </w:r>
      <w:r>
        <w:instrText xml:space="preserve"> PAGEREF _Toc13734 \h </w:instrText>
      </w:r>
      <w:r>
        <w:fldChar w:fldCharType="separate"/>
      </w:r>
      <w:r>
        <w:t>- 157 -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_Toc25842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7.1 </w:t>
      </w:r>
      <w:r>
        <w:rPr>
          <w:rFonts w:hint="eastAsia"/>
          <w:lang w:val="en-US" w:eastAsia="zh-CN"/>
        </w:rPr>
        <w:t>施工期环境保护措施</w:t>
      </w:r>
      <w:r>
        <w:tab/>
      </w:r>
      <w:r>
        <w:fldChar w:fldCharType="begin"/>
      </w:r>
      <w:r>
        <w:instrText xml:space="preserve"> PAGEREF _Toc25842 \h </w:instrText>
      </w:r>
      <w:r>
        <w:fldChar w:fldCharType="separate"/>
      </w:r>
      <w:r>
        <w:t>- 157 -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_Toc26169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7.2 </w:t>
      </w:r>
      <w:r>
        <w:rPr>
          <w:rFonts w:hint="eastAsia"/>
          <w:lang w:val="en-US" w:eastAsia="zh-CN"/>
        </w:rPr>
        <w:t>营运期环境保护措施</w:t>
      </w:r>
      <w:r>
        <w:tab/>
      </w:r>
      <w:r>
        <w:fldChar w:fldCharType="begin"/>
      </w:r>
      <w:r>
        <w:instrText xml:space="preserve"> PAGEREF _Toc26169 \h </w:instrText>
      </w:r>
      <w:r>
        <w:fldChar w:fldCharType="separate"/>
      </w:r>
      <w:r>
        <w:t>- 161 -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_Toc16463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7.3 </w:t>
      </w:r>
      <w:r>
        <w:rPr>
          <w:rFonts w:hint="eastAsia"/>
          <w:lang w:val="en-US" w:eastAsia="zh-CN"/>
        </w:rPr>
        <w:t>环保投资估算</w:t>
      </w:r>
      <w:r>
        <w:tab/>
      </w:r>
      <w:r>
        <w:fldChar w:fldCharType="begin"/>
      </w:r>
      <w:r>
        <w:instrText xml:space="preserve"> PAGEREF _Toc16463 \h </w:instrText>
      </w:r>
      <w:r>
        <w:fldChar w:fldCharType="separate"/>
      </w:r>
      <w:r>
        <w:t>- 176 -</w:t>
      </w:r>
      <w:r>
        <w:fldChar w:fldCharType="end"/>
      </w:r>
      <w:r>
        <w:rPr>
          <w:rFonts w:hint="eastAsia" w:ascii="宋体" w:hAnsi="宋体"/>
          <w:lang w:val="en-US" w:eastAsia="zh-CN"/>
        </w:rPr>
        <w:fldChar w:fldCharType="end"/>
      </w:r>
    </w:p>
    <w:p>
      <w:pPr>
        <w:pStyle w:val="19"/>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_Toc13819 </w:instrText>
      </w:r>
      <w:r>
        <w:rPr>
          <w:rFonts w:hint="eastAsia" w:ascii="宋体" w:hAnsi="宋体"/>
          <w:lang w:val="en-US" w:eastAsia="zh-CN"/>
        </w:rPr>
        <w:fldChar w:fldCharType="separate"/>
      </w:r>
      <w:r>
        <w:rPr>
          <w:rFonts w:hint="default" w:ascii="Times New Roman" w:hAnsi="Times New Roman" w:eastAsia="宋体" w:cs="宋体"/>
          <w:szCs w:val="32"/>
          <w:lang w:val="en-US" w:eastAsia="zh-CN"/>
        </w:rPr>
        <w:t xml:space="preserve">8 </w:t>
      </w:r>
      <w:r>
        <w:rPr>
          <w:rFonts w:hint="eastAsia"/>
        </w:rPr>
        <w:t>环境影响经济损益分析</w:t>
      </w:r>
      <w:r>
        <w:tab/>
      </w:r>
      <w:r>
        <w:fldChar w:fldCharType="begin"/>
      </w:r>
      <w:r>
        <w:instrText xml:space="preserve"> PAGEREF _Toc13819 \h </w:instrText>
      </w:r>
      <w:r>
        <w:fldChar w:fldCharType="separate"/>
      </w:r>
      <w:r>
        <w:t>- 178 -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_Toc12321 </w:instrText>
      </w:r>
      <w:r>
        <w:rPr>
          <w:rFonts w:hint="eastAsia" w:ascii="宋体" w:hAnsi="宋体"/>
          <w:lang w:val="en-US" w:eastAsia="zh-CN"/>
        </w:rPr>
        <w:fldChar w:fldCharType="separate"/>
      </w:r>
      <w:r>
        <w:rPr>
          <w:rFonts w:hint="default" w:ascii="Times New Roman" w:hAnsi="Times New Roman" w:eastAsia="宋体" w:cs="宋体"/>
          <w:szCs w:val="24"/>
        </w:rPr>
        <w:t xml:space="preserve">8.1 </w:t>
      </w:r>
      <w:r>
        <w:rPr>
          <w:rFonts w:hint="eastAsia"/>
        </w:rPr>
        <w:t>社会效益分析</w:t>
      </w:r>
      <w:r>
        <w:tab/>
      </w:r>
      <w:r>
        <w:fldChar w:fldCharType="begin"/>
      </w:r>
      <w:r>
        <w:instrText xml:space="preserve"> PAGEREF _Toc12321 \h </w:instrText>
      </w:r>
      <w:r>
        <w:fldChar w:fldCharType="separate"/>
      </w:r>
      <w:r>
        <w:t>- 178 -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_Toc15204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8.2 </w:t>
      </w:r>
      <w:r>
        <w:rPr>
          <w:rFonts w:hint="eastAsia"/>
          <w:lang w:val="en-US" w:eastAsia="zh-CN"/>
        </w:rPr>
        <w:t>经济效益分析</w:t>
      </w:r>
      <w:r>
        <w:tab/>
      </w:r>
      <w:r>
        <w:fldChar w:fldCharType="begin"/>
      </w:r>
      <w:r>
        <w:instrText xml:space="preserve"> PAGEREF _Toc15204 \h </w:instrText>
      </w:r>
      <w:r>
        <w:fldChar w:fldCharType="separate"/>
      </w:r>
      <w:r>
        <w:t>- 179 -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_Toc19179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8.3 </w:t>
      </w:r>
      <w:r>
        <w:rPr>
          <w:rFonts w:hint="eastAsia"/>
          <w:lang w:val="en-US" w:eastAsia="zh-CN"/>
        </w:rPr>
        <w:t>环境效益分析</w:t>
      </w:r>
      <w:r>
        <w:tab/>
      </w:r>
      <w:r>
        <w:fldChar w:fldCharType="begin"/>
      </w:r>
      <w:r>
        <w:instrText xml:space="preserve"> PAGEREF _Toc19179 \h </w:instrText>
      </w:r>
      <w:r>
        <w:fldChar w:fldCharType="separate"/>
      </w:r>
      <w:r>
        <w:t>- 179 -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_Toc27921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8.4 </w:t>
      </w:r>
      <w:r>
        <w:rPr>
          <w:rFonts w:hint="eastAsia"/>
          <w:lang w:val="en-US" w:eastAsia="zh-CN"/>
        </w:rPr>
        <w:t>环境经济损益分析结论</w:t>
      </w:r>
      <w:r>
        <w:tab/>
      </w:r>
      <w:r>
        <w:fldChar w:fldCharType="begin"/>
      </w:r>
      <w:r>
        <w:instrText xml:space="preserve"> PAGEREF _Toc27921 \h </w:instrText>
      </w:r>
      <w:r>
        <w:fldChar w:fldCharType="separate"/>
      </w:r>
      <w:r>
        <w:t>- 179 -</w:t>
      </w:r>
      <w:r>
        <w:fldChar w:fldCharType="end"/>
      </w:r>
      <w:r>
        <w:rPr>
          <w:rFonts w:hint="eastAsia" w:ascii="宋体" w:hAnsi="宋体"/>
          <w:lang w:val="en-US" w:eastAsia="zh-CN"/>
        </w:rPr>
        <w:fldChar w:fldCharType="end"/>
      </w:r>
    </w:p>
    <w:p>
      <w:pPr>
        <w:pStyle w:val="19"/>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_Toc9819 </w:instrText>
      </w:r>
      <w:r>
        <w:rPr>
          <w:rFonts w:hint="eastAsia" w:ascii="宋体" w:hAnsi="宋体"/>
          <w:lang w:val="en-US" w:eastAsia="zh-CN"/>
        </w:rPr>
        <w:fldChar w:fldCharType="separate"/>
      </w:r>
      <w:r>
        <w:rPr>
          <w:rFonts w:hint="default" w:ascii="Times New Roman" w:hAnsi="Times New Roman" w:eastAsia="宋体" w:cs="宋体"/>
          <w:szCs w:val="32"/>
          <w:lang w:val="en-US" w:eastAsia="zh-CN"/>
        </w:rPr>
        <w:t xml:space="preserve">9 </w:t>
      </w:r>
      <w:r>
        <w:rPr>
          <w:rFonts w:hint="eastAsia"/>
          <w:lang w:val="en-US" w:eastAsia="zh-CN"/>
        </w:rPr>
        <w:t>环境管理及监测计划</w:t>
      </w:r>
      <w:r>
        <w:tab/>
      </w:r>
      <w:r>
        <w:fldChar w:fldCharType="begin"/>
      </w:r>
      <w:r>
        <w:instrText xml:space="preserve"> PAGEREF _Toc9819 \h </w:instrText>
      </w:r>
      <w:r>
        <w:fldChar w:fldCharType="separate"/>
      </w:r>
      <w:r>
        <w:t>- 181 -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_Toc9591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9.1 </w:t>
      </w:r>
      <w:r>
        <w:rPr>
          <w:rFonts w:hint="eastAsia"/>
          <w:lang w:val="en-US" w:eastAsia="zh-CN"/>
        </w:rPr>
        <w:t>环境管理</w:t>
      </w:r>
      <w:r>
        <w:tab/>
      </w:r>
      <w:r>
        <w:fldChar w:fldCharType="begin"/>
      </w:r>
      <w:r>
        <w:instrText xml:space="preserve"> PAGEREF _Toc9591 \h </w:instrText>
      </w:r>
      <w:r>
        <w:fldChar w:fldCharType="separate"/>
      </w:r>
      <w:r>
        <w:t>- 181 -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_Toc18598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9.2 </w:t>
      </w:r>
      <w:r>
        <w:rPr>
          <w:rFonts w:hint="eastAsia"/>
          <w:lang w:val="en-US" w:eastAsia="zh-CN"/>
        </w:rPr>
        <w:t>环境监测</w:t>
      </w:r>
      <w:r>
        <w:tab/>
      </w:r>
      <w:r>
        <w:fldChar w:fldCharType="begin"/>
      </w:r>
      <w:r>
        <w:instrText xml:space="preserve"> PAGEREF _Toc18598 \h </w:instrText>
      </w:r>
      <w:r>
        <w:fldChar w:fldCharType="separate"/>
      </w:r>
      <w:r>
        <w:t>- 183 -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_Toc22848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9.3 </w:t>
      </w:r>
      <w:r>
        <w:rPr>
          <w:rFonts w:hint="eastAsia"/>
          <w:lang w:val="en-US" w:eastAsia="zh-CN"/>
        </w:rPr>
        <w:t>环保竣工验收</w:t>
      </w:r>
      <w:r>
        <w:tab/>
      </w:r>
      <w:r>
        <w:fldChar w:fldCharType="begin"/>
      </w:r>
      <w:r>
        <w:instrText xml:space="preserve"> PAGEREF _Toc22848 \h </w:instrText>
      </w:r>
      <w:r>
        <w:fldChar w:fldCharType="separate"/>
      </w:r>
      <w:r>
        <w:t>- 186 -</w:t>
      </w:r>
      <w:r>
        <w:fldChar w:fldCharType="end"/>
      </w:r>
      <w:r>
        <w:rPr>
          <w:rFonts w:hint="eastAsia" w:ascii="宋体" w:hAnsi="宋体"/>
          <w:lang w:val="en-US" w:eastAsia="zh-CN"/>
        </w:rPr>
        <w:fldChar w:fldCharType="end"/>
      </w:r>
    </w:p>
    <w:p>
      <w:pPr>
        <w:pStyle w:val="19"/>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_Toc26096 </w:instrText>
      </w:r>
      <w:r>
        <w:rPr>
          <w:rFonts w:hint="eastAsia" w:ascii="宋体" w:hAnsi="宋体"/>
          <w:lang w:val="en-US" w:eastAsia="zh-CN"/>
        </w:rPr>
        <w:fldChar w:fldCharType="separate"/>
      </w:r>
      <w:r>
        <w:rPr>
          <w:rFonts w:hint="default" w:ascii="Times New Roman" w:hAnsi="Times New Roman" w:eastAsia="宋体" w:cs="宋体"/>
          <w:szCs w:val="32"/>
          <w:lang w:val="en-US" w:eastAsia="zh-CN"/>
        </w:rPr>
        <w:t xml:space="preserve">10 </w:t>
      </w:r>
      <w:r>
        <w:rPr>
          <w:rFonts w:hint="eastAsia"/>
          <w:lang w:val="en-US" w:eastAsia="zh-CN"/>
        </w:rPr>
        <w:t>环境影响评价结论与建议</w:t>
      </w:r>
      <w:r>
        <w:tab/>
      </w:r>
      <w:r>
        <w:fldChar w:fldCharType="begin"/>
      </w:r>
      <w:r>
        <w:instrText xml:space="preserve"> PAGEREF _Toc26096 \h </w:instrText>
      </w:r>
      <w:r>
        <w:fldChar w:fldCharType="separate"/>
      </w:r>
      <w:r>
        <w:t>- 188 -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_Toc15770 </w:instrText>
      </w:r>
      <w:r>
        <w:rPr>
          <w:rFonts w:hint="eastAsia" w:ascii="宋体" w:hAnsi="宋体"/>
          <w:lang w:val="en-US" w:eastAsia="zh-CN"/>
        </w:rPr>
        <w:fldChar w:fldCharType="separate"/>
      </w:r>
      <w:r>
        <w:rPr>
          <w:rFonts w:hint="default" w:ascii="Times New Roman" w:hAnsi="Times New Roman" w:eastAsia="宋体" w:cs="宋体"/>
          <w:szCs w:val="24"/>
          <w:lang w:val="en-US" w:eastAsia="zh-CN"/>
        </w:rPr>
        <w:t xml:space="preserve">10.1 </w:t>
      </w:r>
      <w:r>
        <w:rPr>
          <w:rFonts w:hint="eastAsia"/>
          <w:lang w:val="en-US" w:eastAsia="zh-CN"/>
        </w:rPr>
        <w:t>建设项目影响评价结论</w:t>
      </w:r>
      <w:r>
        <w:tab/>
      </w:r>
      <w:r>
        <w:fldChar w:fldCharType="begin"/>
      </w:r>
      <w:r>
        <w:instrText xml:space="preserve"> PAGEREF _Toc15770 \h </w:instrText>
      </w:r>
      <w:r>
        <w:fldChar w:fldCharType="separate"/>
      </w:r>
      <w:r>
        <w:t>- 188 -</w:t>
      </w:r>
      <w:r>
        <w:fldChar w:fldCharType="end"/>
      </w:r>
      <w:r>
        <w:rPr>
          <w:rFonts w:hint="eastAsia" w:ascii="宋体" w:hAnsi="宋体"/>
          <w:lang w:val="en-US" w:eastAsia="zh-CN"/>
        </w:rPr>
        <w:fldChar w:fldCharType="end"/>
      </w:r>
    </w:p>
    <w:p>
      <w:pPr>
        <w:pStyle w:val="20"/>
        <w:tabs>
          <w:tab w:val="right" w:leader="dot" w:pos="9406"/>
        </w:tabs>
      </w:pPr>
      <w:r>
        <w:rPr>
          <w:rFonts w:hint="eastAsia" w:ascii="宋体" w:hAnsi="宋体"/>
          <w:lang w:val="en-US" w:eastAsia="zh-CN"/>
        </w:rPr>
        <w:fldChar w:fldCharType="begin"/>
      </w:r>
      <w:r>
        <w:rPr>
          <w:rFonts w:hint="eastAsia" w:ascii="宋体" w:hAnsi="宋体"/>
          <w:lang w:val="en-US" w:eastAsia="zh-CN"/>
        </w:rPr>
        <w:instrText xml:space="preserve"> HYPERLINK \l _Toc20957 </w:instrText>
      </w:r>
      <w:r>
        <w:rPr>
          <w:rFonts w:hint="eastAsia" w:ascii="宋体" w:hAnsi="宋体"/>
          <w:lang w:val="en-US" w:eastAsia="zh-CN"/>
        </w:rPr>
        <w:fldChar w:fldCharType="separate"/>
      </w:r>
      <w:r>
        <w:rPr>
          <w:rFonts w:hint="default" w:ascii="Times New Roman" w:hAnsi="Times New Roman" w:eastAsia="宋体" w:cs="宋体"/>
          <w:szCs w:val="24"/>
        </w:rPr>
        <w:t xml:space="preserve">10.2 </w:t>
      </w:r>
      <w:r>
        <w:rPr>
          <w:rFonts w:hint="eastAsia"/>
        </w:rPr>
        <w:t>环境保护对策建议</w:t>
      </w:r>
      <w:r>
        <w:tab/>
      </w:r>
      <w:r>
        <w:fldChar w:fldCharType="begin"/>
      </w:r>
      <w:r>
        <w:instrText xml:space="preserve"> PAGEREF _Toc20957 \h </w:instrText>
      </w:r>
      <w:r>
        <w:fldChar w:fldCharType="separate"/>
      </w:r>
      <w:r>
        <w:t>- 190 -</w:t>
      </w:r>
      <w:r>
        <w:fldChar w:fldCharType="end"/>
      </w:r>
      <w:r>
        <w:rPr>
          <w:rFonts w:hint="eastAsia" w:ascii="宋体" w:hAnsi="宋体"/>
          <w:lang w:val="en-US" w:eastAsia="zh-CN"/>
        </w:rPr>
        <w:fldChar w:fldCharType="end"/>
      </w:r>
    </w:p>
    <w:p>
      <w:pPr>
        <w:pStyle w:val="20"/>
        <w:tabs>
          <w:tab w:val="right" w:leader="dot" w:pos="9406"/>
        </w:tabs>
        <w:bidi w:val="0"/>
        <w:ind w:left="0" w:leftChars="0" w:firstLine="0" w:firstLineChars="0"/>
        <w:jc w:val="center"/>
        <w:rPr>
          <w:rFonts w:hint="default"/>
          <w:lang w:val="en-US" w:eastAsia="zh-CN"/>
        </w:rPr>
        <w:sectPr>
          <w:footerReference r:id="rId5" w:type="default"/>
          <w:pgSz w:w="12240" w:h="15840"/>
          <w:pgMar w:top="1440" w:right="1417" w:bottom="1440" w:left="1417" w:header="720" w:footer="720" w:gutter="0"/>
          <w:pgBorders>
            <w:top w:val="none" w:sz="0" w:space="0"/>
            <w:left w:val="none" w:sz="0" w:space="0"/>
            <w:bottom w:val="none" w:sz="0" w:space="0"/>
            <w:right w:val="none" w:sz="0" w:space="0"/>
          </w:pgBorders>
          <w:lnNumType w:countBy="0" w:distance="360"/>
          <w:pgNumType w:fmt="numberInDash" w:start="1"/>
          <w:cols w:space="720" w:num="1"/>
          <w:docGrid w:type="lines" w:linePitch="312" w:charSpace="0"/>
        </w:sectPr>
      </w:pPr>
      <w:r>
        <w:rPr>
          <w:rFonts w:hint="eastAsia" w:ascii="宋体" w:hAnsi="宋体"/>
          <w:lang w:val="en-US" w:eastAsia="zh-CN"/>
        </w:rPr>
        <w:fldChar w:fldCharType="end"/>
      </w:r>
    </w:p>
    <w:p>
      <w:pPr>
        <w:pStyle w:val="3"/>
        <w:bidi w:val="0"/>
        <w:rPr>
          <w:rFonts w:hint="default"/>
          <w:lang w:val="en-US" w:eastAsia="zh-CN"/>
        </w:rPr>
      </w:pPr>
      <w:bookmarkStart w:id="24" w:name="_Toc16281"/>
      <w:r>
        <w:rPr>
          <w:rFonts w:hint="eastAsia"/>
          <w:lang w:val="en-US" w:eastAsia="zh-CN"/>
        </w:rPr>
        <w:t>总  则</w:t>
      </w:r>
      <w:bookmarkEnd w:id="24"/>
    </w:p>
    <w:p>
      <w:pPr>
        <w:pStyle w:val="4"/>
        <w:bidi w:val="0"/>
        <w:rPr>
          <w:rFonts w:hint="eastAsia"/>
          <w:lang w:val="en-US" w:eastAsia="zh-CN"/>
        </w:rPr>
      </w:pPr>
      <w:bookmarkStart w:id="25" w:name="_Toc30964"/>
      <w:r>
        <w:rPr>
          <w:rFonts w:hint="eastAsia"/>
          <w:lang w:val="en-US" w:eastAsia="zh-CN"/>
        </w:rPr>
        <w:t>编制依据</w:t>
      </w:r>
      <w:bookmarkEnd w:id="25"/>
    </w:p>
    <w:p>
      <w:pPr>
        <w:pStyle w:val="5"/>
        <w:bidi w:val="0"/>
        <w:rPr>
          <w:rFonts w:hint="eastAsia"/>
          <w:lang w:val="en-US" w:eastAsia="zh-CN"/>
        </w:rPr>
      </w:pPr>
      <w:r>
        <w:rPr>
          <w:rFonts w:hint="eastAsia"/>
          <w:lang w:val="en-US" w:eastAsia="zh-CN"/>
        </w:rPr>
        <w:t>国家法律、法规及文件</w:t>
      </w:r>
    </w:p>
    <w:p>
      <w:pPr>
        <w:bidi w:val="0"/>
        <w:rPr>
          <w:rFonts w:hint="eastAsia" w:eastAsia="宋体"/>
          <w:lang w:eastAsia="zh-CN"/>
        </w:rPr>
      </w:pPr>
      <w:r>
        <w:rPr>
          <w:rFonts w:hint="eastAsia"/>
          <w:lang w:eastAsia="zh-CN"/>
        </w:rPr>
        <w:t>（</w:t>
      </w:r>
      <w:r>
        <w:rPr>
          <w:rFonts w:hint="eastAsia"/>
        </w:rPr>
        <w:t>1</w:t>
      </w:r>
      <w:r>
        <w:rPr>
          <w:rFonts w:hint="eastAsia"/>
          <w:lang w:eastAsia="zh-CN"/>
        </w:rPr>
        <w:t>）</w:t>
      </w:r>
      <w:r>
        <w:rPr>
          <w:rFonts w:hint="eastAsia"/>
        </w:rPr>
        <w:t>《中华人民共和国环境保护法》2015.1.1</w:t>
      </w:r>
      <w:r>
        <w:rPr>
          <w:rFonts w:hint="eastAsia"/>
          <w:lang w:eastAsia="zh-CN"/>
        </w:rPr>
        <w:t>；</w:t>
      </w:r>
    </w:p>
    <w:p>
      <w:pPr>
        <w:bidi w:val="0"/>
        <w:rPr>
          <w:rFonts w:hint="eastAsia" w:eastAsia="宋体"/>
          <w:lang w:eastAsia="zh-CN"/>
        </w:rPr>
      </w:pPr>
      <w:r>
        <w:rPr>
          <w:rFonts w:hint="eastAsia"/>
          <w:lang w:eastAsia="zh-CN"/>
        </w:rPr>
        <w:t>（</w:t>
      </w:r>
      <w:r>
        <w:rPr>
          <w:rFonts w:hint="eastAsia"/>
        </w:rPr>
        <w:t>2</w:t>
      </w:r>
      <w:r>
        <w:rPr>
          <w:rFonts w:hint="eastAsia"/>
          <w:lang w:eastAsia="zh-CN"/>
        </w:rPr>
        <w:t>）</w:t>
      </w:r>
      <w:r>
        <w:rPr>
          <w:rFonts w:hint="eastAsia"/>
        </w:rPr>
        <w:t>《中华人民共和国环境影响评价法》2018.12.29</w:t>
      </w:r>
      <w:r>
        <w:rPr>
          <w:rFonts w:hint="eastAsia"/>
          <w:lang w:eastAsia="zh-CN"/>
        </w:rPr>
        <w:t>；</w:t>
      </w:r>
    </w:p>
    <w:p>
      <w:pPr>
        <w:bidi w:val="0"/>
        <w:rPr>
          <w:rFonts w:hint="eastAsia" w:eastAsia="宋体"/>
          <w:lang w:eastAsia="zh-CN"/>
        </w:rPr>
      </w:pPr>
      <w:r>
        <w:rPr>
          <w:rFonts w:hint="eastAsia"/>
          <w:lang w:eastAsia="zh-CN"/>
        </w:rPr>
        <w:t>（</w:t>
      </w:r>
      <w:r>
        <w:rPr>
          <w:rFonts w:hint="eastAsia"/>
        </w:rPr>
        <w:t>3）《中华人民共和国水污染防治法》2018.1.1</w:t>
      </w:r>
      <w:r>
        <w:rPr>
          <w:rFonts w:hint="eastAsia"/>
          <w:lang w:eastAsia="zh-CN"/>
        </w:rPr>
        <w:t>；</w:t>
      </w:r>
    </w:p>
    <w:p>
      <w:pPr>
        <w:bidi w:val="0"/>
        <w:rPr>
          <w:rFonts w:hint="eastAsia" w:eastAsia="宋体"/>
          <w:lang w:eastAsia="zh-CN"/>
        </w:rPr>
      </w:pPr>
      <w:r>
        <w:rPr>
          <w:rFonts w:hint="eastAsia"/>
          <w:lang w:eastAsia="zh-CN"/>
        </w:rPr>
        <w:t>（</w:t>
      </w:r>
      <w:r>
        <w:rPr>
          <w:rFonts w:hint="eastAsia"/>
        </w:rPr>
        <w:t>4</w:t>
      </w:r>
      <w:r>
        <w:rPr>
          <w:rFonts w:hint="eastAsia"/>
          <w:lang w:eastAsia="zh-CN"/>
        </w:rPr>
        <w:t>）</w:t>
      </w:r>
      <w:r>
        <w:rPr>
          <w:rFonts w:hint="eastAsia"/>
        </w:rPr>
        <w:t>《中华人民共和国大气污染防治法》2018.10.26</w:t>
      </w:r>
      <w:r>
        <w:rPr>
          <w:rFonts w:hint="eastAsia"/>
          <w:lang w:eastAsia="zh-CN"/>
        </w:rPr>
        <w:t>；</w:t>
      </w:r>
    </w:p>
    <w:p>
      <w:pPr>
        <w:bidi w:val="0"/>
        <w:rPr>
          <w:rFonts w:hint="eastAsia" w:eastAsia="宋体"/>
          <w:lang w:eastAsia="zh-CN"/>
        </w:rPr>
      </w:pPr>
      <w:r>
        <w:rPr>
          <w:rFonts w:hint="eastAsia"/>
          <w:lang w:eastAsia="zh-CN"/>
        </w:rPr>
        <w:t>（</w:t>
      </w:r>
      <w:r>
        <w:rPr>
          <w:rFonts w:hint="eastAsia"/>
        </w:rPr>
        <w:t>5）《中华人民共和国环境噪声污染防治法》2018.12.29</w:t>
      </w:r>
      <w:r>
        <w:rPr>
          <w:rFonts w:hint="eastAsia"/>
          <w:lang w:eastAsia="zh-CN"/>
        </w:rPr>
        <w:t>；</w:t>
      </w:r>
    </w:p>
    <w:p>
      <w:pPr>
        <w:bidi w:val="0"/>
        <w:rPr>
          <w:rFonts w:hint="eastAsia" w:eastAsia="宋体"/>
          <w:lang w:eastAsia="zh-CN"/>
        </w:rPr>
      </w:pPr>
      <w:r>
        <w:rPr>
          <w:rFonts w:hint="eastAsia"/>
          <w:lang w:eastAsia="zh-CN"/>
        </w:rPr>
        <w:t>（</w:t>
      </w:r>
      <w:r>
        <w:rPr>
          <w:rFonts w:hint="eastAsia"/>
        </w:rPr>
        <w:t>6）《中华人民共和国固体废物污染环境防治法》</w:t>
      </w:r>
      <w:r>
        <w:rPr>
          <w:rFonts w:hint="eastAsia"/>
          <w:lang w:val="en-US" w:eastAsia="zh-CN"/>
        </w:rPr>
        <w:t>2020.4.30</w:t>
      </w:r>
      <w:r>
        <w:rPr>
          <w:rFonts w:hint="eastAsia"/>
          <w:lang w:eastAsia="zh-CN"/>
        </w:rPr>
        <w:t>；</w:t>
      </w:r>
    </w:p>
    <w:p>
      <w:pPr>
        <w:bidi w:val="0"/>
        <w:rPr>
          <w:rFonts w:hint="eastAsia"/>
        </w:rPr>
      </w:pPr>
      <w:r>
        <w:rPr>
          <w:rFonts w:hint="eastAsia"/>
          <w:lang w:eastAsia="zh-CN"/>
        </w:rPr>
        <w:t>（</w:t>
      </w:r>
      <w:r>
        <w:rPr>
          <w:rFonts w:hint="eastAsia"/>
        </w:rPr>
        <w:t>7</w:t>
      </w:r>
      <w:r>
        <w:rPr>
          <w:rFonts w:hint="eastAsia"/>
          <w:lang w:eastAsia="zh-CN"/>
        </w:rPr>
        <w:t>）</w:t>
      </w:r>
      <w:r>
        <w:rPr>
          <w:rFonts w:hint="eastAsia"/>
        </w:rPr>
        <w:t>《中华人民共和国清洁生产促进法》2012.7.1。</w:t>
      </w:r>
    </w:p>
    <w:p>
      <w:pPr>
        <w:pStyle w:val="5"/>
        <w:bidi w:val="0"/>
        <w:rPr>
          <w:rFonts w:hint="default"/>
          <w:lang w:val="en-US" w:eastAsia="zh-CN"/>
        </w:rPr>
      </w:pPr>
      <w:r>
        <w:rPr>
          <w:rFonts w:hint="eastAsia"/>
          <w:lang w:val="en-US" w:eastAsia="zh-CN"/>
        </w:rPr>
        <w:t>相关文件</w:t>
      </w:r>
    </w:p>
    <w:p>
      <w:pPr>
        <w:bidi w:val="0"/>
        <w:rPr>
          <w:rFonts w:hint="eastAsia"/>
          <w:lang w:val="en-US" w:eastAsia="zh-CN"/>
        </w:rPr>
      </w:pPr>
      <w:r>
        <w:rPr>
          <w:rFonts w:hint="eastAsia"/>
          <w:lang w:val="en-US" w:eastAsia="zh-CN"/>
        </w:rPr>
        <w:t>（1）中华人民共和国国务院2017年第682号令《建设项目环境保护管理条例》，2017年10月1日。</w:t>
      </w:r>
    </w:p>
    <w:p>
      <w:pPr>
        <w:bidi w:val="0"/>
        <w:rPr>
          <w:rFonts w:hint="eastAsia"/>
          <w:lang w:val="en-US" w:eastAsia="zh-CN"/>
        </w:rPr>
      </w:pPr>
      <w:r>
        <w:rPr>
          <w:rFonts w:hint="eastAsia"/>
          <w:lang w:val="en-US" w:eastAsia="zh-CN"/>
        </w:rPr>
        <w:t>（2）国家环境保护总局环发（1999）61号文件《关于贯彻实施“建设项目环境保护管理条例”的通知》，1999年3月17日。</w:t>
      </w:r>
    </w:p>
    <w:p>
      <w:pPr>
        <w:bidi w:val="0"/>
        <w:rPr>
          <w:rFonts w:hint="eastAsia"/>
          <w:lang w:val="en-US" w:eastAsia="zh-CN"/>
        </w:rPr>
      </w:pPr>
      <w:r>
        <w:rPr>
          <w:rFonts w:hint="eastAsia"/>
          <w:lang w:val="en-US" w:eastAsia="zh-CN"/>
        </w:rPr>
        <w:t>（3）中华人民共和国生态环境部令第16号《建设项目环境影响评价分类管理名录（2021版）》，2020年11月30日。</w:t>
      </w:r>
    </w:p>
    <w:p>
      <w:pPr>
        <w:bidi w:val="0"/>
        <w:rPr>
          <w:rFonts w:hint="eastAsia"/>
          <w:lang w:val="en-US" w:eastAsia="zh-CN"/>
        </w:rPr>
      </w:pPr>
      <w:r>
        <w:rPr>
          <w:rFonts w:hint="eastAsia"/>
          <w:lang w:val="en-US" w:eastAsia="zh-CN"/>
        </w:rPr>
        <w:t>（4）环境保护部、国家发展和改革委员会环发[2011]99号《关于进一步规范环境影响评价工作的通知》，2011年08月11日。</w:t>
      </w:r>
    </w:p>
    <w:p>
      <w:pPr>
        <w:bidi w:val="0"/>
        <w:rPr>
          <w:rFonts w:hint="eastAsia"/>
          <w:lang w:val="en-US" w:eastAsia="zh-CN"/>
        </w:rPr>
      </w:pPr>
      <w:r>
        <w:rPr>
          <w:rFonts w:hint="eastAsia"/>
          <w:lang w:val="en-US" w:eastAsia="zh-CN"/>
        </w:rPr>
        <w:t>（5）环发（2012）77号《关于进一步加强环境影响评价管理防范环境风险的通知》，（2012.7.3）；</w:t>
      </w:r>
    </w:p>
    <w:p>
      <w:pPr>
        <w:bidi w:val="0"/>
        <w:rPr>
          <w:rFonts w:hint="eastAsia"/>
          <w:lang w:val="en-US" w:eastAsia="zh-CN"/>
        </w:rPr>
      </w:pPr>
      <w:r>
        <w:rPr>
          <w:rFonts w:hint="eastAsia"/>
          <w:lang w:val="en-US" w:eastAsia="zh-CN"/>
        </w:rPr>
        <w:t>（6）</w:t>
      </w:r>
      <w:r>
        <w:rPr>
          <w:rFonts w:hint="eastAsia"/>
        </w:rPr>
        <w:t>中华人民共和国国家发展和改革委员会令</w:t>
      </w:r>
      <w:r>
        <w:rPr>
          <w:rFonts w:hint="eastAsia"/>
          <w:lang w:val="en-US" w:eastAsia="zh-CN"/>
        </w:rPr>
        <w:t>第29号《产业结构调整指导目录（2019年本）》2019年10月30日。</w:t>
      </w:r>
    </w:p>
    <w:p>
      <w:pPr>
        <w:bidi w:val="0"/>
        <w:rPr>
          <w:rFonts w:hint="eastAsia"/>
          <w:lang w:val="en-US" w:eastAsia="zh-CN"/>
        </w:rPr>
      </w:pPr>
      <w:r>
        <w:rPr>
          <w:rFonts w:hint="eastAsia"/>
          <w:lang w:val="en-US" w:eastAsia="zh-CN"/>
        </w:rPr>
        <w:t>（7）《环境影响评价公众参与办法（部令第4号）》（2019.1.1）；</w:t>
      </w:r>
    </w:p>
    <w:p>
      <w:pPr>
        <w:bidi w:val="0"/>
        <w:rPr>
          <w:rFonts w:hint="eastAsia"/>
          <w:lang w:val="en-US" w:eastAsia="zh-CN"/>
        </w:rPr>
      </w:pPr>
      <w:r>
        <w:rPr>
          <w:rFonts w:hint="eastAsia"/>
          <w:lang w:val="en-US" w:eastAsia="zh-CN"/>
        </w:rPr>
        <w:t>（8）《国务院关于落实科技发展观加强环境保护的决定》（国发[2005]39号）；</w:t>
      </w:r>
    </w:p>
    <w:p>
      <w:pPr>
        <w:bidi w:val="0"/>
        <w:rPr>
          <w:rFonts w:hint="eastAsia"/>
          <w:lang w:val="en-US" w:eastAsia="zh-CN"/>
        </w:rPr>
      </w:pPr>
      <w:r>
        <w:rPr>
          <w:rFonts w:hint="eastAsia"/>
          <w:lang w:val="en-US" w:eastAsia="zh-CN"/>
        </w:rPr>
        <w:t>（9）</w:t>
      </w:r>
      <w:r>
        <w:rPr>
          <w:rFonts w:hint="eastAsia" w:ascii="Times New Roman" w:hAnsi="Times New Roman" w:eastAsia="宋体" w:cs="Times New Roman"/>
          <w:sz w:val="24"/>
        </w:rPr>
        <w:t>生态环境</w:t>
      </w:r>
      <w:r>
        <w:rPr>
          <w:rFonts w:hint="eastAsia"/>
        </w:rPr>
        <w:t>部令第15号</w:t>
      </w:r>
      <w:r>
        <w:rPr>
          <w:rFonts w:hint="eastAsia"/>
          <w:lang w:val="en-US" w:eastAsia="zh-CN"/>
        </w:rPr>
        <w:t>《国家危险废物名录（2021年版）》2020年11月25日；</w:t>
      </w:r>
    </w:p>
    <w:p>
      <w:pPr>
        <w:bidi w:val="0"/>
        <w:rPr>
          <w:rFonts w:hint="eastAsia"/>
          <w:lang w:val="en-US" w:eastAsia="zh-CN"/>
        </w:rPr>
      </w:pPr>
      <w:r>
        <w:rPr>
          <w:rFonts w:hint="eastAsia"/>
          <w:lang w:val="en-US" w:eastAsia="zh-CN"/>
        </w:rPr>
        <w:t>（10）《建设项目环境影响评价政府信息公开指南（试行）》；</w:t>
      </w:r>
    </w:p>
    <w:p>
      <w:pPr>
        <w:bidi w:val="0"/>
        <w:rPr>
          <w:rFonts w:hint="eastAsia"/>
          <w:lang w:val="en-US" w:eastAsia="zh-CN"/>
        </w:rPr>
      </w:pPr>
      <w:r>
        <w:rPr>
          <w:rFonts w:hint="eastAsia"/>
          <w:lang w:val="en-US" w:eastAsia="zh-CN"/>
        </w:rPr>
        <w:t>（11）《国务院办公厅关于加强环境监管执法的通知》（国办发[2015]56号）；</w:t>
      </w:r>
    </w:p>
    <w:p>
      <w:pPr>
        <w:bidi w:val="0"/>
        <w:rPr>
          <w:rFonts w:hint="eastAsia"/>
          <w:lang w:val="en-US" w:eastAsia="zh-CN"/>
        </w:rPr>
      </w:pPr>
      <w:r>
        <w:rPr>
          <w:rFonts w:hint="eastAsia"/>
          <w:lang w:val="en-US" w:eastAsia="zh-CN"/>
        </w:rPr>
        <w:t>（12）《关于西部大开发中加强建设项目环境保护管理的若干意见》（环发[2001]4号）；</w:t>
      </w:r>
    </w:p>
    <w:p>
      <w:pPr>
        <w:bidi w:val="0"/>
        <w:rPr>
          <w:rFonts w:hint="eastAsia"/>
          <w:lang w:val="en-US" w:eastAsia="zh-CN"/>
        </w:rPr>
      </w:pPr>
      <w:r>
        <w:rPr>
          <w:rFonts w:hint="eastAsia"/>
          <w:lang w:val="en-US" w:eastAsia="zh-CN"/>
        </w:rPr>
        <w:t>（13）《四川省人民政府贯彻〈国务院关于落实科学发展观加强环境保护的决定〉的实施意见》（川府发[2007]17号）；</w:t>
      </w:r>
    </w:p>
    <w:p>
      <w:pPr>
        <w:bidi w:val="0"/>
        <w:rPr>
          <w:rFonts w:hint="eastAsia"/>
          <w:lang w:val="en-US" w:eastAsia="zh-CN"/>
        </w:rPr>
      </w:pPr>
      <w:r>
        <w:rPr>
          <w:rFonts w:hint="eastAsia"/>
          <w:lang w:val="en-US" w:eastAsia="zh-CN"/>
        </w:rPr>
        <w:t>（14）《四川省环境保护局关于依法加强环境影响评价管理防范环境风险的通知》（川环发[2006]1号）；</w:t>
      </w:r>
    </w:p>
    <w:p>
      <w:pPr>
        <w:bidi w:val="0"/>
        <w:rPr>
          <w:rFonts w:hint="eastAsia"/>
          <w:lang w:val="en-US" w:eastAsia="zh-CN"/>
        </w:rPr>
      </w:pPr>
      <w:r>
        <w:rPr>
          <w:rFonts w:hint="eastAsia"/>
          <w:lang w:val="en-US" w:eastAsia="zh-CN"/>
        </w:rPr>
        <w:t>（15）</w:t>
      </w:r>
      <w:r>
        <w:rPr>
          <w:sz w:val="24"/>
          <w:szCs w:val="24"/>
        </w:rPr>
        <w:t>《四川省</w:t>
      </w:r>
      <w:r>
        <w:rPr>
          <w:rFonts w:hint="eastAsia"/>
          <w:sz w:val="24"/>
          <w:szCs w:val="24"/>
          <w:lang w:eastAsia="zh-CN"/>
        </w:rPr>
        <w:t>“</w:t>
      </w:r>
      <w:r>
        <w:rPr>
          <w:sz w:val="24"/>
          <w:szCs w:val="24"/>
        </w:rPr>
        <w:t>十三五</w:t>
      </w:r>
      <w:r>
        <w:rPr>
          <w:rFonts w:hint="eastAsia"/>
          <w:sz w:val="24"/>
          <w:szCs w:val="24"/>
          <w:lang w:eastAsia="zh-CN"/>
        </w:rPr>
        <w:t>”</w:t>
      </w:r>
      <w:r>
        <w:rPr>
          <w:sz w:val="24"/>
          <w:szCs w:val="24"/>
        </w:rPr>
        <w:t>环境保护规划》（川府发【2017】14号）；</w:t>
      </w:r>
      <w:r>
        <w:rPr>
          <w:rFonts w:hint="eastAsia"/>
          <w:lang w:val="en-US" w:eastAsia="zh-CN"/>
        </w:rPr>
        <w:t>。</w:t>
      </w:r>
    </w:p>
    <w:p>
      <w:pPr>
        <w:bidi w:val="0"/>
        <w:rPr>
          <w:rFonts w:hint="eastAsia"/>
          <w:lang w:val="en-US" w:eastAsia="zh-CN"/>
        </w:rPr>
      </w:pPr>
      <w:r>
        <w:rPr>
          <w:rFonts w:hint="eastAsia"/>
          <w:lang w:val="en-US" w:eastAsia="zh-CN"/>
        </w:rPr>
        <w:t>（16）《四川省环境保护条例》（2018.1.1施行）；</w:t>
      </w:r>
    </w:p>
    <w:p>
      <w:pPr>
        <w:bidi w:val="0"/>
        <w:rPr>
          <w:rFonts w:hint="eastAsia"/>
          <w:lang w:val="en-US" w:eastAsia="zh-CN"/>
        </w:rPr>
      </w:pPr>
      <w:r>
        <w:rPr>
          <w:rFonts w:hint="eastAsia"/>
          <w:lang w:val="en-US" w:eastAsia="zh-CN"/>
        </w:rPr>
        <w:t>（17）《四川省&lt;中华人民共和国环境影响评价法&gt;实施办法》修正案（2019.10.15施行）；</w:t>
      </w:r>
    </w:p>
    <w:p>
      <w:pPr>
        <w:bidi w:val="0"/>
        <w:rPr>
          <w:rFonts w:hint="eastAsia"/>
          <w:lang w:val="en-US" w:eastAsia="zh-CN"/>
        </w:rPr>
      </w:pPr>
      <w:r>
        <w:rPr>
          <w:rFonts w:hint="eastAsia"/>
          <w:lang w:val="en-US" w:eastAsia="zh-CN"/>
        </w:rPr>
        <w:t>（18）《四川省〈中华人民共和国大气污染防治法〉实施办法》（2019.1.1施行）</w:t>
      </w:r>
    </w:p>
    <w:p>
      <w:pPr>
        <w:bidi w:val="0"/>
        <w:rPr>
          <w:rFonts w:hint="eastAsia"/>
          <w:lang w:val="en-US" w:eastAsia="zh-CN"/>
        </w:rPr>
      </w:pPr>
      <w:r>
        <w:rPr>
          <w:rFonts w:hint="eastAsia"/>
          <w:lang w:val="en-US" w:eastAsia="zh-CN"/>
        </w:rPr>
        <w:t>（19）《生猪屠宰管理条例》，中华人民共和国国务院令第666号，2016</w:t>
      </w:r>
      <w:r>
        <w:rPr>
          <w:rFonts w:hint="eastAsia"/>
          <w:lang w:val="en-US" w:eastAsia="zh-CN"/>
        </w:rPr>
        <w:tab/>
      </w:r>
      <w:r>
        <w:rPr>
          <w:rFonts w:hint="eastAsia"/>
          <w:lang w:val="en-US" w:eastAsia="zh-CN"/>
        </w:rPr>
        <w:t>年2月6日；</w:t>
      </w:r>
    </w:p>
    <w:p>
      <w:pPr>
        <w:bidi w:val="0"/>
        <w:rPr>
          <w:rFonts w:hint="eastAsia"/>
          <w:lang w:val="en-US" w:eastAsia="zh-CN"/>
        </w:rPr>
      </w:pPr>
      <w:r>
        <w:rPr>
          <w:rFonts w:hint="eastAsia"/>
          <w:lang w:val="en-US" w:eastAsia="zh-CN"/>
        </w:rPr>
        <w:t>（20）《生猪屠宰企业资质等级要求》，中华人民共和国国内贸易行业标准，SB/T10396-2011。</w:t>
      </w:r>
    </w:p>
    <w:p>
      <w:pPr>
        <w:bidi w:val="0"/>
        <w:rPr>
          <w:rFonts w:hint="eastAsia"/>
          <w:lang w:val="en-US" w:eastAsia="zh-CN"/>
        </w:rPr>
      </w:pPr>
      <w:r>
        <w:rPr>
          <w:rFonts w:hint="eastAsia"/>
          <w:lang w:val="en-US" w:eastAsia="zh-CN"/>
        </w:rPr>
        <w:t>（21）《四川省人民政府办公厅关于加强灰霾污染防治的通知》（川办发[2013]32号）；</w:t>
      </w:r>
    </w:p>
    <w:p>
      <w:pPr>
        <w:bidi w:val="0"/>
        <w:rPr>
          <w:rFonts w:hint="eastAsia"/>
          <w:lang w:val="en-US" w:eastAsia="zh-CN"/>
        </w:rPr>
      </w:pPr>
      <w:r>
        <w:rPr>
          <w:rFonts w:hint="eastAsia"/>
          <w:lang w:val="en-US" w:eastAsia="zh-CN"/>
        </w:rPr>
        <w:t>（22）《</w:t>
      </w:r>
      <w:r>
        <w:t>四川省大气污染防治行动计划实施细则2017年度实施计划</w:t>
      </w:r>
      <w:r>
        <w:rPr>
          <w:rFonts w:hint="eastAsia"/>
          <w:lang w:val="en-US" w:eastAsia="zh-CN"/>
        </w:rPr>
        <w:t>》（川办函[2017]102号）；</w:t>
      </w:r>
    </w:p>
    <w:p>
      <w:pPr>
        <w:bidi w:val="0"/>
        <w:rPr>
          <w:rFonts w:hint="eastAsia"/>
          <w:lang w:val="en-US" w:eastAsia="zh-CN"/>
        </w:rPr>
      </w:pPr>
      <w:r>
        <w:rPr>
          <w:rFonts w:hint="eastAsia"/>
          <w:lang w:val="en-US" w:eastAsia="zh-CN"/>
        </w:rPr>
        <w:t>（23）</w:t>
      </w:r>
      <w:r>
        <w:rPr>
          <w:sz w:val="24"/>
          <w:szCs w:val="24"/>
        </w:rPr>
        <w:t>四川省人民政府《关于印发四川省打赢蓝天保卫战等九个实施方案的通知》（川府发【2019】4号）</w:t>
      </w:r>
      <w:r>
        <w:rPr>
          <w:rFonts w:hint="eastAsia"/>
          <w:lang w:val="en-US" w:eastAsia="zh-CN"/>
        </w:rPr>
        <w:t>；</w:t>
      </w:r>
    </w:p>
    <w:p>
      <w:pPr>
        <w:pStyle w:val="5"/>
        <w:bidi w:val="0"/>
        <w:rPr>
          <w:rFonts w:hint="default"/>
          <w:lang w:val="en-US" w:eastAsia="zh-CN"/>
        </w:rPr>
      </w:pPr>
      <w:r>
        <w:rPr>
          <w:rFonts w:hint="eastAsia"/>
          <w:lang w:val="en-US" w:eastAsia="zh-CN"/>
        </w:rPr>
        <w:t>技术导则及规范</w:t>
      </w:r>
    </w:p>
    <w:p>
      <w:pPr>
        <w:bidi w:val="0"/>
        <w:rPr>
          <w:rFonts w:hint="eastAsia"/>
          <w:lang w:val="en-US" w:eastAsia="zh-CN"/>
        </w:rPr>
      </w:pPr>
      <w:r>
        <w:rPr>
          <w:rFonts w:hint="eastAsia"/>
          <w:lang w:val="en-US" w:eastAsia="zh-CN"/>
        </w:rPr>
        <w:t>（1）《建设项目环境影响评价技术导则—总纲》（HJ2.1—2016）；</w:t>
      </w:r>
    </w:p>
    <w:p>
      <w:pPr>
        <w:bidi w:val="0"/>
        <w:rPr>
          <w:rFonts w:hint="eastAsia"/>
          <w:lang w:val="en-US" w:eastAsia="zh-CN"/>
        </w:rPr>
      </w:pPr>
      <w:r>
        <w:rPr>
          <w:rFonts w:hint="eastAsia"/>
          <w:lang w:val="en-US" w:eastAsia="zh-CN"/>
        </w:rPr>
        <w:t>（2）《环境影响评价技术导则—大气环境》（HJ2.2-2018）；</w:t>
      </w:r>
    </w:p>
    <w:p>
      <w:pPr>
        <w:bidi w:val="0"/>
        <w:rPr>
          <w:rFonts w:hint="eastAsia"/>
          <w:lang w:val="en-US" w:eastAsia="zh-CN"/>
        </w:rPr>
      </w:pPr>
      <w:r>
        <w:rPr>
          <w:rFonts w:hint="eastAsia"/>
          <w:lang w:val="en-US" w:eastAsia="zh-CN"/>
        </w:rPr>
        <w:t>（3）《环境影响评价技术导则―地表水环境》（HJ2.3-2018）；</w:t>
      </w:r>
    </w:p>
    <w:p>
      <w:pPr>
        <w:bidi w:val="0"/>
        <w:rPr>
          <w:rFonts w:hint="eastAsia"/>
          <w:lang w:val="en-US" w:eastAsia="zh-CN"/>
        </w:rPr>
      </w:pPr>
      <w:r>
        <w:rPr>
          <w:rFonts w:hint="eastAsia"/>
          <w:lang w:val="en-US" w:eastAsia="zh-CN"/>
        </w:rPr>
        <w:t>（4）《环境影响评价技术导则一声环境》（HJ2.4-2009）；</w:t>
      </w:r>
    </w:p>
    <w:p>
      <w:pPr>
        <w:bidi w:val="0"/>
        <w:rPr>
          <w:rFonts w:hint="eastAsia"/>
          <w:lang w:val="en-US" w:eastAsia="zh-CN"/>
        </w:rPr>
      </w:pPr>
      <w:r>
        <w:rPr>
          <w:rFonts w:hint="eastAsia"/>
          <w:lang w:val="en-US" w:eastAsia="zh-CN"/>
        </w:rPr>
        <w:t>（5）《环境影响评价技术导则一地下水环境》（HJ610-2016）；</w:t>
      </w:r>
    </w:p>
    <w:p>
      <w:pPr>
        <w:bidi w:val="0"/>
        <w:rPr>
          <w:rFonts w:hint="eastAsia"/>
          <w:lang w:val="en-US" w:eastAsia="zh-CN"/>
        </w:rPr>
      </w:pPr>
      <w:r>
        <w:rPr>
          <w:rFonts w:hint="eastAsia"/>
          <w:lang w:val="en-US" w:eastAsia="zh-CN"/>
        </w:rPr>
        <w:t>（6）《环境影响评价技术导则一生态影响》（HJ19-2011）；</w:t>
      </w:r>
    </w:p>
    <w:p>
      <w:pPr>
        <w:bidi w:val="0"/>
        <w:rPr>
          <w:rFonts w:hint="eastAsia"/>
          <w:lang w:val="en-US" w:eastAsia="zh-CN"/>
        </w:rPr>
      </w:pPr>
      <w:r>
        <w:rPr>
          <w:rFonts w:hint="eastAsia"/>
          <w:lang w:val="en-US" w:eastAsia="zh-CN"/>
        </w:rPr>
        <w:t>（7）《建设项目环境风险评价技术导则》（HJ169-2018）；</w:t>
      </w:r>
    </w:p>
    <w:p>
      <w:pPr>
        <w:bidi w:val="0"/>
        <w:rPr>
          <w:rFonts w:hint="eastAsia"/>
          <w:lang w:val="en-US" w:eastAsia="zh-CN"/>
        </w:rPr>
      </w:pPr>
      <w:r>
        <w:rPr>
          <w:rFonts w:hint="eastAsia"/>
          <w:lang w:val="en-US" w:eastAsia="zh-CN"/>
        </w:rPr>
        <w:t>（8）《屠宰与肉类加工废水治理工程技术规范》（HJ2004-2010）；</w:t>
      </w:r>
    </w:p>
    <w:p>
      <w:pPr>
        <w:bidi w:val="0"/>
        <w:rPr>
          <w:rFonts w:hint="eastAsia"/>
          <w:lang w:val="en-US" w:eastAsia="zh-CN"/>
        </w:rPr>
      </w:pPr>
      <w:r>
        <w:rPr>
          <w:rFonts w:hint="eastAsia"/>
          <w:lang w:val="en-US" w:eastAsia="zh-CN"/>
        </w:rPr>
        <w:t>（9）《猪屠宰分割车间设计规范》（GB50317-2000）；</w:t>
      </w:r>
    </w:p>
    <w:p>
      <w:pPr>
        <w:bidi w:val="0"/>
        <w:rPr>
          <w:rFonts w:hint="eastAsia"/>
          <w:lang w:val="en-US" w:eastAsia="zh-CN"/>
        </w:rPr>
      </w:pPr>
      <w:r>
        <w:rPr>
          <w:rFonts w:hint="eastAsia"/>
          <w:lang w:val="en-US" w:eastAsia="zh-CN"/>
        </w:rPr>
        <w:t>（10）《禽兽病害肉尸及其产品无害化处理规程》（GB16548-1996）；</w:t>
      </w:r>
    </w:p>
    <w:p>
      <w:pPr>
        <w:bidi w:val="0"/>
        <w:rPr>
          <w:rFonts w:hint="eastAsia"/>
          <w:lang w:val="en-US" w:eastAsia="zh-CN"/>
        </w:rPr>
      </w:pPr>
      <w:r>
        <w:rPr>
          <w:rFonts w:hint="eastAsia"/>
          <w:lang w:val="en-US" w:eastAsia="zh-CN"/>
        </w:rPr>
        <w:t>（11）《四川省用水定额》（川府函[2021]8号）；</w:t>
      </w:r>
    </w:p>
    <w:p>
      <w:pPr>
        <w:bidi w:val="0"/>
        <w:rPr>
          <w:rFonts w:hint="eastAsia"/>
          <w:lang w:val="en-US" w:eastAsia="zh-CN"/>
        </w:rPr>
      </w:pPr>
      <w:r>
        <w:rPr>
          <w:rFonts w:hint="eastAsia"/>
          <w:lang w:val="en-US" w:eastAsia="zh-CN"/>
        </w:rPr>
        <w:t>（12）《畜类屠宰加工通用技术条件》（GB/T17237-2008）；</w:t>
      </w:r>
    </w:p>
    <w:p>
      <w:pPr>
        <w:bidi w:val="0"/>
        <w:rPr>
          <w:rFonts w:hint="eastAsia"/>
          <w:lang w:val="en-US" w:eastAsia="zh-CN"/>
        </w:rPr>
      </w:pPr>
      <w:r>
        <w:rPr>
          <w:rFonts w:hint="eastAsia"/>
          <w:lang w:val="en-US" w:eastAsia="zh-CN"/>
        </w:rPr>
        <w:t>（13）《生猪屠宰操作规程》（GB/T17236-1998）；</w:t>
      </w:r>
    </w:p>
    <w:p>
      <w:pPr>
        <w:bidi w:val="0"/>
        <w:rPr>
          <w:rFonts w:hint="eastAsia"/>
          <w:lang w:val="en-US" w:eastAsia="zh-CN"/>
        </w:rPr>
      </w:pPr>
      <w:r>
        <w:rPr>
          <w:rFonts w:hint="eastAsia"/>
          <w:lang w:val="en-US" w:eastAsia="zh-CN"/>
        </w:rPr>
        <w:t>（14）《农副食品加工业卫生防护距离标准（第一部分：屠宰与肉类加工业）》（GB18078.1-2012）相关规定。</w:t>
      </w:r>
    </w:p>
    <w:p>
      <w:pPr>
        <w:bidi w:val="0"/>
        <w:rPr>
          <w:rFonts w:hint="eastAsia"/>
          <w:lang w:val="en-US" w:eastAsia="zh-CN"/>
        </w:rPr>
      </w:pPr>
      <w:r>
        <w:rPr>
          <w:rFonts w:hint="eastAsia"/>
          <w:lang w:val="en-US" w:eastAsia="zh-CN"/>
        </w:rPr>
        <w:t>（15）《排污许可证申请与核发技术规范农副食品加工工业一屠宰及肉类加工工业》（HJ860.3—2018）。</w:t>
      </w:r>
    </w:p>
    <w:p>
      <w:pPr>
        <w:pStyle w:val="5"/>
        <w:bidi w:val="0"/>
        <w:rPr>
          <w:rFonts w:hint="default"/>
          <w:lang w:val="en-US" w:eastAsia="zh-CN"/>
        </w:rPr>
      </w:pPr>
      <w:r>
        <w:rPr>
          <w:rFonts w:hint="eastAsia"/>
          <w:lang w:val="en-US" w:eastAsia="zh-CN"/>
        </w:rPr>
        <w:t>与项目有关的文件、资料</w:t>
      </w:r>
    </w:p>
    <w:p>
      <w:pPr>
        <w:numPr>
          <w:ilvl w:val="0"/>
          <w:numId w:val="2"/>
        </w:numPr>
        <w:rPr>
          <w:rFonts w:hint="eastAsia"/>
          <w:lang w:val="en-US" w:eastAsia="zh-CN"/>
        </w:rPr>
      </w:pPr>
      <w:r>
        <w:rPr>
          <w:rFonts w:hint="eastAsia"/>
        </w:rPr>
        <w:t>平昌乐顺食品有限公司</w:t>
      </w:r>
      <w:r>
        <w:rPr>
          <w:rFonts w:hint="eastAsia"/>
          <w:lang w:val="en-US" w:eastAsia="zh-CN"/>
        </w:rPr>
        <w:t>环境影响评价委托书；</w:t>
      </w:r>
    </w:p>
    <w:p>
      <w:pPr>
        <w:numPr>
          <w:ilvl w:val="0"/>
          <w:numId w:val="2"/>
        </w:numPr>
        <w:rPr>
          <w:rFonts w:hint="default"/>
          <w:lang w:val="en-US" w:eastAsia="zh-CN"/>
        </w:rPr>
      </w:pPr>
      <w:r>
        <w:rPr>
          <w:rFonts w:hint="eastAsia"/>
          <w:lang w:val="en-US" w:eastAsia="zh-CN"/>
        </w:rPr>
        <w:t>业主提供的有关环评的资料。</w:t>
      </w:r>
    </w:p>
    <w:p>
      <w:pPr>
        <w:pStyle w:val="4"/>
        <w:bidi w:val="0"/>
        <w:rPr>
          <w:rFonts w:hint="default"/>
          <w:lang w:val="en-US" w:eastAsia="zh-CN"/>
        </w:rPr>
      </w:pPr>
      <w:bookmarkStart w:id="26" w:name="_Toc25920"/>
      <w:r>
        <w:rPr>
          <w:rFonts w:hint="eastAsia"/>
          <w:lang w:val="en-US" w:eastAsia="zh-CN"/>
        </w:rPr>
        <w:t>评价目的与工作原则</w:t>
      </w:r>
      <w:bookmarkEnd w:id="26"/>
    </w:p>
    <w:p>
      <w:pPr>
        <w:pStyle w:val="5"/>
        <w:bidi w:val="0"/>
        <w:rPr>
          <w:rFonts w:hint="default"/>
          <w:lang w:val="en-US" w:eastAsia="zh-CN"/>
        </w:rPr>
      </w:pPr>
      <w:r>
        <w:rPr>
          <w:rFonts w:hint="eastAsia"/>
          <w:lang w:val="en-US" w:eastAsia="zh-CN"/>
        </w:rPr>
        <w:t>评价目的</w:t>
      </w:r>
    </w:p>
    <w:p>
      <w:pPr>
        <w:rPr>
          <w:rFonts w:hint="eastAsia"/>
          <w:lang w:val="en-US" w:eastAsia="zh-CN"/>
        </w:rPr>
      </w:pPr>
      <w:r>
        <w:rPr>
          <w:rFonts w:hint="eastAsia"/>
          <w:lang w:val="en-US" w:eastAsia="zh-CN"/>
        </w:rPr>
        <w:t>环境影响报告书（表）制度是各级领导机关和环境主管部门强化环境管理的一项重要措施，其目的是为建设项目的优化合理布局、优化工程设计及优化日常环境管理提供科学的依据，以实现建设项目的经济效益、社会效益和环境效益的协调同步发展。本次评价的目的如下：</w:t>
      </w:r>
    </w:p>
    <w:p>
      <w:pPr>
        <w:rPr>
          <w:rFonts w:hint="eastAsia"/>
          <w:lang w:val="en-US" w:eastAsia="zh-CN"/>
        </w:rPr>
      </w:pPr>
      <w:r>
        <w:rPr>
          <w:rFonts w:hint="eastAsia"/>
          <w:lang w:val="en-US" w:eastAsia="zh-CN"/>
        </w:rPr>
        <w:t>（1）通过对拟建工程所涉及的自然环境、社会环境的调查，了解区内环境现状，论述本工程建设对当地社会经济发展的影响。</w:t>
      </w:r>
    </w:p>
    <w:p>
      <w:pPr>
        <w:rPr>
          <w:rFonts w:hint="eastAsia"/>
          <w:lang w:val="en-US" w:eastAsia="zh-CN"/>
        </w:rPr>
      </w:pPr>
      <w:r>
        <w:rPr>
          <w:rFonts w:hint="eastAsia"/>
          <w:lang w:val="en-US" w:eastAsia="zh-CN"/>
        </w:rPr>
        <w:t>（2）通过对项目的工程分析和工程施工期、运营期产生的环境影响进行分析、预测和评价，确定工程对周围环境的影响程度和范围；并提出切实可行的环境保护对策与建议，使该项目的建设对环境的影响降至最低程度。使该项目在建设及运营过程与保护环境协调发展。并充分论证项目建设的正面影响。</w:t>
      </w:r>
    </w:p>
    <w:p>
      <w:pPr>
        <w:rPr>
          <w:rFonts w:hint="eastAsia"/>
          <w:lang w:val="en-US" w:eastAsia="zh-CN"/>
        </w:rPr>
      </w:pPr>
      <w:r>
        <w:rPr>
          <w:rFonts w:hint="eastAsia"/>
          <w:lang w:val="en-US" w:eastAsia="zh-CN"/>
        </w:rPr>
        <w:t>（3）为本项目的环境管理和实施污染物排放总量控制提供科学的依据。</w:t>
      </w:r>
    </w:p>
    <w:p>
      <w:pPr>
        <w:rPr>
          <w:rFonts w:hint="eastAsia"/>
          <w:lang w:val="en-US" w:eastAsia="zh-CN"/>
        </w:rPr>
      </w:pPr>
      <w:r>
        <w:rPr>
          <w:rFonts w:hint="eastAsia"/>
          <w:lang w:val="en-US" w:eastAsia="zh-CN"/>
        </w:rPr>
        <w:t>（4）从环保角度论述本项目选址的合理性，为本工程建设的环保设计及环境管理提供科学的依据。</w:t>
      </w:r>
    </w:p>
    <w:p>
      <w:pPr>
        <w:pStyle w:val="5"/>
        <w:bidi w:val="0"/>
        <w:rPr>
          <w:rFonts w:hint="default"/>
          <w:lang w:val="en-US" w:eastAsia="zh-CN"/>
        </w:rPr>
      </w:pPr>
      <w:r>
        <w:rPr>
          <w:rFonts w:hint="eastAsia"/>
          <w:lang w:val="en-US" w:eastAsia="zh-CN"/>
        </w:rPr>
        <w:t>评价原则</w:t>
      </w:r>
    </w:p>
    <w:p>
      <w:pPr>
        <w:numPr>
          <w:ilvl w:val="0"/>
          <w:numId w:val="3"/>
        </w:numPr>
        <w:rPr>
          <w:rFonts w:hint="eastAsia"/>
          <w:lang w:val="en-US" w:eastAsia="zh-CN"/>
        </w:rPr>
      </w:pPr>
      <w:r>
        <w:rPr>
          <w:rFonts w:hint="eastAsia"/>
          <w:lang w:val="en-US" w:eastAsia="zh-CN"/>
        </w:rPr>
        <w:t>严格执行国家和地方有关环保的法规、法令、标准及规范；</w:t>
      </w:r>
    </w:p>
    <w:p>
      <w:pPr>
        <w:numPr>
          <w:ilvl w:val="0"/>
          <w:numId w:val="3"/>
        </w:numPr>
        <w:rPr>
          <w:rFonts w:hint="eastAsia"/>
          <w:lang w:val="en-US" w:eastAsia="zh-CN"/>
        </w:rPr>
      </w:pPr>
      <w:r>
        <w:rPr>
          <w:rFonts w:hint="eastAsia"/>
          <w:lang w:val="en-US" w:eastAsia="zh-CN"/>
        </w:rPr>
        <w:t>坚持实事求是、认真负责的原则；</w:t>
      </w:r>
    </w:p>
    <w:p>
      <w:pPr>
        <w:rPr>
          <w:rFonts w:hint="eastAsia"/>
          <w:lang w:val="en-US" w:eastAsia="zh-CN"/>
        </w:rPr>
      </w:pPr>
      <w:r>
        <w:rPr>
          <w:rFonts w:hint="eastAsia"/>
          <w:lang w:val="en-US" w:eastAsia="zh-CN"/>
        </w:rPr>
        <w:t>（3）坚持有针对性、科学性和实用性的原则；</w:t>
      </w:r>
    </w:p>
    <w:p>
      <w:pPr>
        <w:rPr>
          <w:rFonts w:hint="eastAsia"/>
          <w:lang w:val="en-US" w:eastAsia="zh-CN"/>
        </w:rPr>
      </w:pPr>
      <w:r>
        <w:rPr>
          <w:rFonts w:hint="eastAsia"/>
          <w:lang w:val="en-US" w:eastAsia="zh-CN"/>
        </w:rPr>
        <w:t>（4）通过类比分析和实地考察，提出可靠、经济、操作性强的环境保护措施；</w:t>
      </w:r>
    </w:p>
    <w:p>
      <w:pPr>
        <w:rPr>
          <w:rFonts w:hint="eastAsia"/>
          <w:lang w:val="en-US" w:eastAsia="zh-CN"/>
        </w:rPr>
      </w:pPr>
      <w:r>
        <w:rPr>
          <w:rFonts w:hint="eastAsia"/>
          <w:lang w:val="en-US" w:eastAsia="zh-CN"/>
        </w:rPr>
        <w:t>（5）坚持环境、经济、社会三效益统一的原则。</w:t>
      </w:r>
    </w:p>
    <w:p>
      <w:pPr>
        <w:pStyle w:val="4"/>
        <w:bidi w:val="0"/>
        <w:rPr>
          <w:rFonts w:hint="default"/>
          <w:lang w:val="en-US" w:eastAsia="zh-CN"/>
        </w:rPr>
      </w:pPr>
      <w:bookmarkStart w:id="27" w:name="_Toc8243"/>
      <w:r>
        <w:rPr>
          <w:rFonts w:hint="eastAsia"/>
          <w:lang w:val="en-US" w:eastAsia="zh-CN"/>
        </w:rPr>
        <w:t>评价内容和评价重点</w:t>
      </w:r>
      <w:bookmarkEnd w:id="27"/>
    </w:p>
    <w:p>
      <w:pPr>
        <w:bidi w:val="0"/>
        <w:rPr>
          <w:rFonts w:hint="eastAsia"/>
          <w:b/>
          <w:bCs/>
        </w:rPr>
      </w:pPr>
      <w:r>
        <w:rPr>
          <w:rFonts w:hint="eastAsia"/>
          <w:b/>
          <w:bCs/>
        </w:rPr>
        <w:t>（</w:t>
      </w:r>
      <w:r>
        <w:rPr>
          <w:rFonts w:hint="default"/>
          <w:b/>
          <w:bCs/>
        </w:rPr>
        <w:t>1</w:t>
      </w:r>
      <w:r>
        <w:rPr>
          <w:rFonts w:hint="eastAsia"/>
          <w:b/>
          <w:bCs/>
        </w:rPr>
        <w:t>）评价内容</w:t>
      </w:r>
    </w:p>
    <w:p>
      <w:pPr>
        <w:bidi w:val="0"/>
        <w:rPr>
          <w:rFonts w:hint="eastAsia"/>
        </w:rPr>
      </w:pPr>
      <w:r>
        <w:rPr>
          <w:rFonts w:hint="eastAsia"/>
        </w:rPr>
        <w:t>本项目产生的污染物主要是生产废水、生活污水、工艺废气、固体废物和噪声，因此，根据工程特征及所在地的环境特征，确定评价内容包括：工程分析，废水排放影响分析，大气环境现状及影响评价、声环境现状及影响评价，固体废物环境影响分析，清洁生产分析，环境保护措施及技术经济分析，环境风险分析，总量控制分析等。</w:t>
      </w:r>
    </w:p>
    <w:p>
      <w:pPr>
        <w:bidi w:val="0"/>
        <w:rPr>
          <w:rFonts w:hint="eastAsia"/>
          <w:b/>
          <w:bCs/>
        </w:rPr>
      </w:pPr>
      <w:r>
        <w:rPr>
          <w:rFonts w:hint="eastAsia"/>
          <w:b/>
          <w:bCs/>
        </w:rPr>
        <w:t>（</w:t>
      </w:r>
      <w:r>
        <w:rPr>
          <w:rFonts w:hint="default"/>
          <w:b/>
          <w:bCs/>
        </w:rPr>
        <w:t>2</w:t>
      </w:r>
      <w:r>
        <w:rPr>
          <w:rFonts w:hint="eastAsia"/>
          <w:b/>
          <w:bCs/>
        </w:rPr>
        <w:t>）评价重点</w:t>
      </w:r>
    </w:p>
    <w:p>
      <w:pPr>
        <w:bidi w:val="0"/>
        <w:rPr>
          <w:rFonts w:hint="eastAsia"/>
          <w:lang w:val="en-US" w:eastAsia="zh-CN"/>
        </w:rPr>
      </w:pPr>
      <w:r>
        <w:rPr>
          <w:rFonts w:hint="eastAsia"/>
        </w:rPr>
        <w:t>根据本项目主要污染物排放情况，综合考虑项目外环境关系及主要环境保护目标，确定本次评价工作重点为：分析项目采取的污染治理措施的可靠性和有效性及存在的问题，提出相应的对策措施。评价以工程分析和环境影响预测为重点，着重分析大气污染物、声环境影响范围和程度，强化项目废气污染和噪声污染防治措施的可行性分析。</w:t>
      </w:r>
    </w:p>
    <w:p>
      <w:pPr>
        <w:pStyle w:val="4"/>
        <w:bidi w:val="0"/>
        <w:rPr>
          <w:rFonts w:hint="default"/>
          <w:lang w:val="en-US" w:eastAsia="zh-CN"/>
        </w:rPr>
      </w:pPr>
      <w:bookmarkStart w:id="28" w:name="_Toc21763"/>
      <w:r>
        <w:rPr>
          <w:rFonts w:hint="eastAsia"/>
          <w:lang w:val="en-US" w:eastAsia="zh-CN"/>
        </w:rPr>
        <w:t>环境要素识别及评价因子</w:t>
      </w:r>
      <w:bookmarkEnd w:id="28"/>
    </w:p>
    <w:p>
      <w:pPr>
        <w:pStyle w:val="5"/>
        <w:bidi w:val="0"/>
        <w:rPr>
          <w:rFonts w:hint="default"/>
          <w:lang w:val="en-US" w:eastAsia="zh-CN"/>
        </w:rPr>
      </w:pPr>
      <w:r>
        <w:rPr>
          <w:rFonts w:hint="eastAsia"/>
          <w:lang w:val="en-US" w:eastAsia="zh-CN"/>
        </w:rPr>
        <w:t>环境要素识别</w:t>
      </w:r>
    </w:p>
    <w:p>
      <w:pPr>
        <w:bidi w:val="0"/>
        <w:rPr>
          <w:rFonts w:hint="eastAsia"/>
        </w:rPr>
      </w:pPr>
      <w:r>
        <w:rPr>
          <w:rFonts w:hint="eastAsia"/>
        </w:rPr>
        <w:t>项目建设对环境的影响要素见表</w:t>
      </w:r>
      <w:r>
        <w:rPr>
          <w:rFonts w:hint="default"/>
        </w:rPr>
        <w:t>1.4-1</w:t>
      </w:r>
      <w:r>
        <w:rPr>
          <w:rFonts w:hint="eastAsia"/>
        </w:rPr>
        <w:t>，各环境因素影响分析见表</w:t>
      </w:r>
      <w:r>
        <w:rPr>
          <w:rFonts w:hint="default"/>
        </w:rPr>
        <w:t>1.4-2</w:t>
      </w:r>
      <w:r>
        <w:rPr>
          <w:rFonts w:hint="eastAsia"/>
        </w:rPr>
        <w:t>。</w:t>
      </w:r>
    </w:p>
    <w:p>
      <w:pPr>
        <w:pStyle w:val="29"/>
        <w:bidi w:val="0"/>
        <w:rPr>
          <w:rFonts w:hint="eastAsia"/>
          <w:lang w:val="en-US" w:eastAsia="zh-CN"/>
        </w:rPr>
      </w:pPr>
      <w:r>
        <w:rPr>
          <w:rFonts w:hint="eastAsia"/>
          <w:lang w:val="en-US" w:eastAsia="zh-CN"/>
        </w:rPr>
        <w:t>表1.4-1  工程建设的环境影响要素分析</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395"/>
        <w:gridCol w:w="986"/>
        <w:gridCol w:w="960"/>
        <w:gridCol w:w="1260"/>
        <w:gridCol w:w="39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4" w:type="dxa"/>
            <w:gridSpan w:val="2"/>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环境影响要素</w:t>
            </w:r>
          </w:p>
        </w:tc>
        <w:tc>
          <w:tcPr>
            <w:tcW w:w="986"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施工期</w:t>
            </w:r>
          </w:p>
        </w:tc>
        <w:tc>
          <w:tcPr>
            <w:tcW w:w="96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营运期</w:t>
            </w:r>
          </w:p>
        </w:tc>
        <w:tc>
          <w:tcPr>
            <w:tcW w:w="126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综合影响</w:t>
            </w:r>
          </w:p>
        </w:tc>
        <w:tc>
          <w:tcPr>
            <w:tcW w:w="3962"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自然环境</w:t>
            </w:r>
          </w:p>
        </w:tc>
        <w:tc>
          <w:tcPr>
            <w:tcW w:w="139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环境空气</w:t>
            </w:r>
          </w:p>
        </w:tc>
        <w:tc>
          <w:tcPr>
            <w:tcW w:w="98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96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126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w:t>
            </w:r>
          </w:p>
        </w:tc>
        <w:tc>
          <w:tcPr>
            <w:tcW w:w="3962" w:type="dxa"/>
            <w:vMerge w:val="restart"/>
            <w:tcBorders>
              <w:tl2br w:val="nil"/>
              <w:tr2bl w:val="nil"/>
            </w:tcBorders>
            <w:vAlign w:val="center"/>
          </w:tcPr>
          <w:p>
            <w:pPr>
              <w:pStyle w:val="30"/>
              <w:widowControl w:val="0"/>
              <w:bidi w:val="0"/>
              <w:rPr>
                <w:rFonts w:hint="default" w:eastAsia="宋体"/>
                <w:vertAlign w:val="subscript"/>
                <w:lang w:val="en-US" w:eastAsia="zh-CN"/>
              </w:rPr>
            </w:pPr>
            <w:r>
              <w:rPr>
                <w:rFonts w:hint="eastAsia"/>
              </w:rPr>
              <w:t>注：</w:t>
            </w:r>
            <w:r>
              <w:rPr>
                <w:rFonts w:hint="eastAsia"/>
                <w:lang w:eastAsia="zh-CN"/>
              </w:rPr>
              <w:t>“</w:t>
            </w:r>
            <w:r>
              <w:rPr>
                <w:rFonts w:hint="default"/>
              </w:rPr>
              <w:t>-</w:t>
            </w:r>
            <w:r>
              <w:rPr>
                <w:rFonts w:hint="eastAsia"/>
                <w:lang w:eastAsia="zh-CN"/>
              </w:rPr>
              <w:t>”</w:t>
            </w:r>
            <w:r>
              <w:rPr>
                <w:rFonts w:hint="eastAsia"/>
              </w:rPr>
              <w:t>表示不利影响，</w:t>
            </w:r>
            <w:r>
              <w:rPr>
                <w:rFonts w:hint="eastAsia"/>
                <w:lang w:eastAsia="zh-CN"/>
              </w:rPr>
              <w:t>“</w:t>
            </w:r>
            <w:r>
              <w:rPr>
                <w:rFonts w:hint="default"/>
              </w:rPr>
              <w:t>+</w:t>
            </w:r>
            <w:r>
              <w:rPr>
                <w:rFonts w:hint="eastAsia"/>
                <w:lang w:eastAsia="zh-CN"/>
              </w:rPr>
              <w:t>”</w:t>
            </w:r>
            <w:r>
              <w:rPr>
                <w:rFonts w:hint="eastAsia"/>
              </w:rPr>
              <w:t>表示有利影响，数字大小表示影响程度。</w:t>
            </w:r>
            <w:r>
              <w:rPr>
                <w:rFonts w:hint="default"/>
              </w:rPr>
              <w:t>1</w:t>
            </w:r>
            <w:r>
              <w:rPr>
                <w:rFonts w:hint="eastAsia"/>
                <w:lang w:eastAsia="zh-CN"/>
              </w:rPr>
              <w:t>——</w:t>
            </w:r>
            <w:r>
              <w:rPr>
                <w:rFonts w:hint="eastAsia"/>
              </w:rPr>
              <w:t>轻度影响；</w:t>
            </w:r>
            <w:r>
              <w:rPr>
                <w:rFonts w:hint="default"/>
              </w:rPr>
              <w:t>2</w:t>
            </w:r>
            <w:r>
              <w:rPr>
                <w:rFonts w:hint="eastAsia"/>
                <w:lang w:eastAsia="zh-CN"/>
              </w:rPr>
              <w:t>——</w:t>
            </w:r>
            <w:r>
              <w:rPr>
                <w:rFonts w:hint="eastAsia"/>
              </w:rPr>
              <w:t>中度</w:t>
            </w:r>
            <w:r>
              <w:rPr>
                <w:rFonts w:hint="eastAsia"/>
                <w:lang w:val="en-US" w:eastAsia="zh-CN"/>
              </w:rPr>
              <w:t>影响；3——重度影响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39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地表水水质</w:t>
            </w:r>
          </w:p>
        </w:tc>
        <w:tc>
          <w:tcPr>
            <w:tcW w:w="98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96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126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3962"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39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环境噪声</w:t>
            </w:r>
          </w:p>
        </w:tc>
        <w:tc>
          <w:tcPr>
            <w:tcW w:w="98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96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126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3962"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39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土壤</w:t>
            </w:r>
          </w:p>
        </w:tc>
        <w:tc>
          <w:tcPr>
            <w:tcW w:w="98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96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126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3962"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生态环境</w:t>
            </w:r>
          </w:p>
        </w:tc>
        <w:tc>
          <w:tcPr>
            <w:tcW w:w="139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植被</w:t>
            </w:r>
          </w:p>
        </w:tc>
        <w:tc>
          <w:tcPr>
            <w:tcW w:w="98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96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w:t>
            </w:r>
          </w:p>
        </w:tc>
        <w:tc>
          <w:tcPr>
            <w:tcW w:w="126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3962"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39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水土流失</w:t>
            </w:r>
          </w:p>
        </w:tc>
        <w:tc>
          <w:tcPr>
            <w:tcW w:w="98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96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w:t>
            </w:r>
          </w:p>
        </w:tc>
        <w:tc>
          <w:tcPr>
            <w:tcW w:w="126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3962" w:type="dxa"/>
            <w:vMerge w:val="continue"/>
            <w:tcBorders>
              <w:tl2br w:val="nil"/>
              <w:tr2bl w:val="nil"/>
            </w:tcBorders>
            <w:vAlign w:val="center"/>
          </w:tcPr>
          <w:p>
            <w:pPr>
              <w:pStyle w:val="30"/>
              <w:widowControl w:val="0"/>
              <w:jc w:val="center"/>
              <w:rPr>
                <w:rFonts w:hint="default"/>
                <w:vertAlign w:val="baseline"/>
                <w:lang w:val="en-US" w:eastAsia="zh-CN"/>
              </w:rPr>
            </w:pPr>
          </w:p>
        </w:tc>
      </w:tr>
    </w:tbl>
    <w:p>
      <w:pPr>
        <w:pStyle w:val="29"/>
        <w:bidi w:val="0"/>
        <w:rPr>
          <w:rFonts w:hint="eastAsia"/>
          <w:lang w:val="en-US" w:eastAsia="zh-CN"/>
        </w:rPr>
      </w:pPr>
      <w:r>
        <w:rPr>
          <w:rFonts w:hint="eastAsia"/>
          <w:lang w:val="en-US" w:eastAsia="zh-CN"/>
        </w:rPr>
        <w:t>表1.4-2  工程建设的环境影响性质因素分析</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712"/>
        <w:gridCol w:w="712"/>
        <w:gridCol w:w="712"/>
        <w:gridCol w:w="712"/>
        <w:gridCol w:w="712"/>
        <w:gridCol w:w="712"/>
        <w:gridCol w:w="712"/>
        <w:gridCol w:w="712"/>
        <w:gridCol w:w="712"/>
        <w:gridCol w:w="712"/>
        <w:gridCol w:w="712"/>
        <w:gridCol w:w="7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环境影响因素</w:t>
            </w:r>
          </w:p>
        </w:tc>
        <w:tc>
          <w:tcPr>
            <w:tcW w:w="2219" w:type="pct"/>
            <w:gridSpan w:val="6"/>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施工期</w:t>
            </w:r>
          </w:p>
        </w:tc>
        <w:tc>
          <w:tcPr>
            <w:tcW w:w="2224" w:type="pct"/>
            <w:gridSpan w:val="6"/>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vMerge w:val="continue"/>
            <w:tcBorders>
              <w:tl2br w:val="nil"/>
              <w:tr2bl w:val="nil"/>
            </w:tcBorders>
            <w:vAlign w:val="center"/>
          </w:tcPr>
          <w:p>
            <w:pPr>
              <w:pStyle w:val="30"/>
              <w:widowControl w:val="0"/>
              <w:jc w:val="center"/>
              <w:rPr>
                <w:rFonts w:hint="default"/>
                <w:b/>
                <w:bCs/>
                <w:vertAlign w:val="baseline"/>
                <w:lang w:val="en-US" w:eastAsia="zh-CN"/>
              </w:rPr>
            </w:pPr>
          </w:p>
        </w:tc>
        <w:tc>
          <w:tcPr>
            <w:tcW w:w="369"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短期影响</w:t>
            </w:r>
          </w:p>
        </w:tc>
        <w:tc>
          <w:tcPr>
            <w:tcW w:w="369"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长期影响</w:t>
            </w:r>
          </w:p>
        </w:tc>
        <w:tc>
          <w:tcPr>
            <w:tcW w:w="369"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可逆影响</w:t>
            </w:r>
          </w:p>
        </w:tc>
        <w:tc>
          <w:tcPr>
            <w:tcW w:w="36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不可逆影响</w:t>
            </w:r>
          </w:p>
        </w:tc>
        <w:tc>
          <w:tcPr>
            <w:tcW w:w="36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直接影响</w:t>
            </w:r>
          </w:p>
        </w:tc>
        <w:tc>
          <w:tcPr>
            <w:tcW w:w="36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间接影响</w:t>
            </w:r>
          </w:p>
        </w:tc>
        <w:tc>
          <w:tcPr>
            <w:tcW w:w="369" w:type="pct"/>
            <w:tcBorders>
              <w:tl2br w:val="nil"/>
              <w:tr2bl w:val="nil"/>
            </w:tcBorders>
            <w:vAlign w:val="center"/>
          </w:tcPr>
          <w:p>
            <w:pPr>
              <w:pStyle w:val="30"/>
              <w:widowControl w:val="0"/>
              <w:ind w:firstLine="0" w:firstLineChars="0"/>
              <w:jc w:val="center"/>
              <w:rPr>
                <w:rFonts w:hint="default"/>
                <w:b/>
                <w:bCs/>
                <w:vertAlign w:val="baseline"/>
                <w:lang w:val="en-US" w:eastAsia="zh-CN"/>
              </w:rPr>
            </w:pPr>
            <w:r>
              <w:rPr>
                <w:rFonts w:hint="eastAsia"/>
                <w:b/>
                <w:bCs/>
                <w:vertAlign w:val="baseline"/>
                <w:lang w:val="en-US" w:eastAsia="zh-CN"/>
              </w:rPr>
              <w:t>短期影响</w:t>
            </w:r>
          </w:p>
        </w:tc>
        <w:tc>
          <w:tcPr>
            <w:tcW w:w="369" w:type="pct"/>
            <w:tcBorders>
              <w:tl2br w:val="nil"/>
              <w:tr2bl w:val="nil"/>
            </w:tcBorders>
            <w:vAlign w:val="center"/>
          </w:tcPr>
          <w:p>
            <w:pPr>
              <w:pStyle w:val="30"/>
              <w:widowControl w:val="0"/>
              <w:ind w:firstLine="0" w:firstLineChars="0"/>
              <w:jc w:val="center"/>
              <w:rPr>
                <w:rFonts w:hint="default"/>
                <w:b/>
                <w:bCs/>
                <w:vertAlign w:val="baseline"/>
                <w:lang w:val="en-US" w:eastAsia="zh-CN"/>
              </w:rPr>
            </w:pPr>
            <w:r>
              <w:rPr>
                <w:rFonts w:hint="eastAsia"/>
                <w:b/>
                <w:bCs/>
                <w:vertAlign w:val="baseline"/>
                <w:lang w:val="en-US" w:eastAsia="zh-CN"/>
              </w:rPr>
              <w:t>长期影响</w:t>
            </w:r>
          </w:p>
        </w:tc>
        <w:tc>
          <w:tcPr>
            <w:tcW w:w="369" w:type="pct"/>
            <w:tcBorders>
              <w:tl2br w:val="nil"/>
              <w:tr2bl w:val="nil"/>
            </w:tcBorders>
            <w:vAlign w:val="center"/>
          </w:tcPr>
          <w:p>
            <w:pPr>
              <w:pStyle w:val="30"/>
              <w:widowControl w:val="0"/>
              <w:ind w:firstLine="0" w:firstLineChars="0"/>
              <w:jc w:val="center"/>
              <w:rPr>
                <w:rFonts w:hint="default"/>
                <w:b/>
                <w:bCs/>
                <w:vertAlign w:val="baseline"/>
                <w:lang w:val="en-US" w:eastAsia="zh-CN"/>
              </w:rPr>
            </w:pPr>
            <w:r>
              <w:rPr>
                <w:rFonts w:hint="eastAsia"/>
                <w:b/>
                <w:bCs/>
                <w:vertAlign w:val="baseline"/>
                <w:lang w:val="en-US" w:eastAsia="zh-CN"/>
              </w:rPr>
              <w:t>可逆影响</w:t>
            </w:r>
          </w:p>
        </w:tc>
        <w:tc>
          <w:tcPr>
            <w:tcW w:w="369" w:type="pct"/>
            <w:tcBorders>
              <w:tl2br w:val="nil"/>
              <w:tr2bl w:val="nil"/>
            </w:tcBorders>
            <w:vAlign w:val="center"/>
          </w:tcPr>
          <w:p>
            <w:pPr>
              <w:pStyle w:val="30"/>
              <w:widowControl w:val="0"/>
              <w:ind w:firstLine="0" w:firstLineChars="0"/>
              <w:jc w:val="center"/>
              <w:rPr>
                <w:rFonts w:hint="default"/>
                <w:b/>
                <w:bCs/>
                <w:vertAlign w:val="baseline"/>
                <w:lang w:val="en-US" w:eastAsia="zh-CN"/>
              </w:rPr>
            </w:pPr>
            <w:r>
              <w:rPr>
                <w:rFonts w:hint="eastAsia"/>
                <w:b/>
                <w:bCs/>
                <w:vertAlign w:val="baseline"/>
                <w:lang w:val="en-US" w:eastAsia="zh-CN"/>
              </w:rPr>
              <w:t>不可逆影响</w:t>
            </w:r>
          </w:p>
        </w:tc>
        <w:tc>
          <w:tcPr>
            <w:tcW w:w="369" w:type="pct"/>
            <w:tcBorders>
              <w:tl2br w:val="nil"/>
              <w:tr2bl w:val="nil"/>
            </w:tcBorders>
            <w:vAlign w:val="center"/>
          </w:tcPr>
          <w:p>
            <w:pPr>
              <w:pStyle w:val="30"/>
              <w:widowControl w:val="0"/>
              <w:ind w:firstLine="0" w:firstLineChars="0"/>
              <w:jc w:val="center"/>
              <w:rPr>
                <w:rFonts w:hint="default"/>
                <w:b/>
                <w:bCs/>
                <w:vertAlign w:val="baseline"/>
                <w:lang w:val="en-US" w:eastAsia="zh-CN"/>
              </w:rPr>
            </w:pPr>
            <w:r>
              <w:rPr>
                <w:rFonts w:hint="eastAsia"/>
                <w:b/>
                <w:bCs/>
                <w:vertAlign w:val="baseline"/>
                <w:lang w:val="en-US" w:eastAsia="zh-CN"/>
              </w:rPr>
              <w:t>直接影响</w:t>
            </w:r>
          </w:p>
        </w:tc>
        <w:tc>
          <w:tcPr>
            <w:tcW w:w="374" w:type="pct"/>
            <w:tcBorders>
              <w:tl2br w:val="nil"/>
              <w:tr2bl w:val="nil"/>
            </w:tcBorders>
            <w:vAlign w:val="center"/>
          </w:tcPr>
          <w:p>
            <w:pPr>
              <w:pStyle w:val="30"/>
              <w:widowControl w:val="0"/>
              <w:ind w:firstLine="0" w:firstLineChars="0"/>
              <w:jc w:val="center"/>
              <w:rPr>
                <w:rFonts w:hint="default"/>
                <w:b/>
                <w:bCs/>
                <w:vertAlign w:val="baseline"/>
                <w:lang w:val="en-US" w:eastAsia="zh-CN"/>
              </w:rPr>
            </w:pPr>
            <w:r>
              <w:rPr>
                <w:rFonts w:hint="eastAsia"/>
                <w:b/>
                <w:bCs/>
                <w:vertAlign w:val="baseline"/>
                <w:lang w:val="en-US" w:eastAsia="zh-CN"/>
              </w:rPr>
              <w:t>间接影响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环境空气</w:t>
            </w:r>
          </w:p>
        </w:tc>
        <w:tc>
          <w:tcPr>
            <w:tcW w:w="369" w:type="pct"/>
            <w:tcBorders>
              <w:tl2br w:val="nil"/>
              <w:tr2bl w:val="nil"/>
            </w:tcBorders>
            <w:vAlign w:val="center"/>
          </w:tcPr>
          <w:p>
            <w:pPr>
              <w:pStyle w:val="30"/>
              <w:widowControl w:val="0"/>
              <w:jc w:val="center"/>
              <w:rPr>
                <w:rFonts w:hint="default"/>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default" w:ascii="Times New Roman" w:hAnsi="Times New Roman" w:cs="Times New Roman"/>
                <w:vertAlign w:val="baseline"/>
                <w:lang w:val="en-US" w:eastAsia="zh-CN"/>
              </w:rPr>
              <w:t>√</w:t>
            </w:r>
          </w:p>
        </w:tc>
        <w:tc>
          <w:tcPr>
            <w:tcW w:w="374" w:type="pct"/>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地表水</w:t>
            </w:r>
          </w:p>
        </w:tc>
        <w:tc>
          <w:tcPr>
            <w:tcW w:w="369" w:type="pct"/>
            <w:tcBorders>
              <w:tl2br w:val="nil"/>
              <w:tr2bl w:val="nil"/>
            </w:tcBorders>
            <w:vAlign w:val="center"/>
          </w:tcPr>
          <w:p>
            <w:pPr>
              <w:pStyle w:val="30"/>
              <w:widowControl w:val="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jc w:val="center"/>
              <w:rPr>
                <w:rFonts w:hint="default"/>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ind w:firstLine="0" w:firstLineChars="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74"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环境噪声</w:t>
            </w:r>
          </w:p>
        </w:tc>
        <w:tc>
          <w:tcPr>
            <w:tcW w:w="369" w:type="pct"/>
            <w:tcBorders>
              <w:tl2br w:val="nil"/>
              <w:tr2bl w:val="nil"/>
            </w:tcBorders>
            <w:vAlign w:val="center"/>
          </w:tcPr>
          <w:p>
            <w:pPr>
              <w:pStyle w:val="30"/>
              <w:widowControl w:val="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default" w:ascii="Times New Roman" w:hAnsi="Times New Roman" w:cs="Times New Roman"/>
                <w:vertAlign w:val="baseline"/>
                <w:lang w:val="en-US" w:eastAsia="zh-CN"/>
              </w:rPr>
              <w:t>√</w:t>
            </w:r>
          </w:p>
        </w:tc>
        <w:tc>
          <w:tcPr>
            <w:tcW w:w="374" w:type="pct"/>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土壤</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w:t>
            </w: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69" w:type="pct"/>
            <w:tcBorders>
              <w:tl2br w:val="nil"/>
              <w:tr2bl w:val="nil"/>
            </w:tcBorders>
            <w:vAlign w:val="center"/>
          </w:tcPr>
          <w:p>
            <w:pPr>
              <w:pStyle w:val="30"/>
              <w:widowControl w:val="0"/>
              <w:jc w:val="center"/>
              <w:rPr>
                <w:rFonts w:hint="default"/>
                <w:vertAlign w:val="baseline"/>
                <w:lang w:val="en-US" w:eastAsia="zh-CN"/>
              </w:rPr>
            </w:pPr>
          </w:p>
        </w:tc>
        <w:tc>
          <w:tcPr>
            <w:tcW w:w="374" w:type="pct"/>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13"/>
            <w:tcBorders>
              <w:tl2br w:val="nil"/>
              <w:tr2bl w:val="nil"/>
            </w:tcBorders>
            <w:vAlign w:val="center"/>
          </w:tcPr>
          <w:p>
            <w:pPr>
              <w:pStyle w:val="30"/>
              <w:widowControl w:val="0"/>
              <w:jc w:val="both"/>
              <w:rPr>
                <w:rFonts w:hint="default"/>
                <w:vertAlign w:val="baseline"/>
                <w:lang w:val="en-US" w:eastAsia="zh-CN"/>
              </w:rPr>
            </w:pPr>
            <w:r>
              <w:rPr>
                <w:rFonts w:hint="eastAsia" w:ascii="宋体" w:hAnsi="宋体" w:eastAsia="宋体"/>
                <w:sz w:val="22"/>
                <w:szCs w:val="24"/>
              </w:rPr>
              <w:t>注：表中</w:t>
            </w:r>
            <w:r>
              <w:rPr>
                <w:rFonts w:hint="eastAsia" w:ascii="TimesNewRomanPSMT" w:hAnsi="TimesNewRomanPSMT"/>
                <w:sz w:val="22"/>
                <w:szCs w:val="24"/>
                <w:lang w:eastAsia="zh-CN"/>
              </w:rPr>
              <w:t>“</w:t>
            </w:r>
            <w:r>
              <w:rPr>
                <w:rFonts w:hint="default" w:ascii="Times New Roman" w:hAnsi="Times New Roman" w:cs="Times New Roman"/>
                <w:vertAlign w:val="baseline"/>
                <w:lang w:val="en-US" w:eastAsia="zh-CN"/>
              </w:rPr>
              <w:t>√</w:t>
            </w:r>
            <w:r>
              <w:rPr>
                <w:rFonts w:hint="eastAsia" w:ascii="TimesNewRomanPSMT" w:hAnsi="TimesNewRomanPSMT"/>
                <w:sz w:val="22"/>
                <w:szCs w:val="24"/>
                <w:lang w:eastAsia="zh-CN"/>
              </w:rPr>
              <w:t>”</w:t>
            </w:r>
            <w:r>
              <w:rPr>
                <w:rFonts w:hint="eastAsia" w:ascii="宋体" w:hAnsi="宋体" w:eastAsia="宋体"/>
                <w:sz w:val="22"/>
                <w:szCs w:val="24"/>
              </w:rPr>
              <w:t>表示有关联作用。</w:t>
            </w:r>
          </w:p>
        </w:tc>
      </w:tr>
    </w:tbl>
    <w:p>
      <w:pPr>
        <w:pStyle w:val="5"/>
        <w:bidi w:val="0"/>
        <w:rPr>
          <w:rFonts w:hint="default"/>
          <w:lang w:val="en-US" w:eastAsia="zh-CN"/>
        </w:rPr>
      </w:pPr>
      <w:r>
        <w:rPr>
          <w:rFonts w:hint="eastAsia"/>
          <w:lang w:val="en-US" w:eastAsia="zh-CN"/>
        </w:rPr>
        <w:t>评价因子</w:t>
      </w:r>
    </w:p>
    <w:p>
      <w:pPr>
        <w:bidi w:val="0"/>
        <w:rPr>
          <w:rFonts w:hint="eastAsia"/>
        </w:rPr>
      </w:pPr>
      <w:r>
        <w:rPr>
          <w:rFonts w:hint="eastAsia"/>
        </w:rPr>
        <w:t>根据环境影响评价因子识别结果，确定以对环境影响较大及较为敏感的环境因子作为评价因子。</w:t>
      </w:r>
    </w:p>
    <w:p>
      <w:pPr>
        <w:bidi w:val="0"/>
        <w:rPr>
          <w:rFonts w:hint="eastAsia"/>
        </w:rPr>
      </w:pPr>
      <w:r>
        <w:rPr>
          <w:rFonts w:hint="eastAsia"/>
        </w:rPr>
        <w:t>（</w:t>
      </w:r>
      <w:r>
        <w:rPr>
          <w:rFonts w:hint="default"/>
        </w:rPr>
        <w:t>1</w:t>
      </w:r>
      <w:r>
        <w:rPr>
          <w:rFonts w:hint="eastAsia"/>
        </w:rPr>
        <w:t>）环境空气</w:t>
      </w:r>
    </w:p>
    <w:p>
      <w:pPr>
        <w:bidi w:val="0"/>
        <w:rPr>
          <w:rFonts w:hint="eastAsia"/>
        </w:rPr>
      </w:pPr>
      <w:r>
        <w:rPr>
          <w:rFonts w:hint="eastAsia"/>
        </w:rPr>
        <w:t>现状评价因子：</w:t>
      </w:r>
      <w:r>
        <w:rPr>
          <w:rFonts w:hint="default"/>
        </w:rPr>
        <w:t>SO</w:t>
      </w:r>
      <w:r>
        <w:rPr>
          <w:rFonts w:hint="default"/>
          <w:vertAlign w:val="subscript"/>
        </w:rPr>
        <w:t>2</w:t>
      </w:r>
      <w:r>
        <w:rPr>
          <w:rFonts w:hint="eastAsia"/>
        </w:rPr>
        <w:t>、</w:t>
      </w:r>
      <w:r>
        <w:rPr>
          <w:rFonts w:hint="default"/>
        </w:rPr>
        <w:t>NO</w:t>
      </w:r>
      <w:r>
        <w:rPr>
          <w:rFonts w:hint="default"/>
          <w:vertAlign w:val="subscript"/>
        </w:rPr>
        <w:t>2</w:t>
      </w:r>
      <w:r>
        <w:rPr>
          <w:rFonts w:hint="eastAsia"/>
        </w:rPr>
        <w:t>、</w:t>
      </w:r>
      <w:r>
        <w:rPr>
          <w:rFonts w:hint="default"/>
        </w:rPr>
        <w:t>PM</w:t>
      </w:r>
      <w:r>
        <w:rPr>
          <w:rFonts w:hint="default"/>
          <w:vertAlign w:val="subscript"/>
        </w:rPr>
        <w:t>10</w:t>
      </w:r>
      <w:r>
        <w:rPr>
          <w:rFonts w:hint="eastAsia"/>
        </w:rPr>
        <w:t>、</w:t>
      </w:r>
      <w:r>
        <w:rPr>
          <w:rFonts w:hint="default"/>
        </w:rPr>
        <w:t>PM</w:t>
      </w:r>
      <w:r>
        <w:rPr>
          <w:rFonts w:hint="default"/>
          <w:vertAlign w:val="subscript"/>
        </w:rPr>
        <w:t>2.5</w:t>
      </w:r>
      <w:r>
        <w:rPr>
          <w:rFonts w:hint="eastAsia"/>
        </w:rPr>
        <w:t>、</w:t>
      </w:r>
      <w:r>
        <w:rPr>
          <w:rFonts w:hint="default"/>
        </w:rPr>
        <w:t>CO</w:t>
      </w:r>
      <w:r>
        <w:rPr>
          <w:rFonts w:hint="eastAsia"/>
        </w:rPr>
        <w:t>、</w:t>
      </w:r>
      <w:r>
        <w:rPr>
          <w:rFonts w:hint="default"/>
        </w:rPr>
        <w:t>O</w:t>
      </w:r>
      <w:r>
        <w:rPr>
          <w:rFonts w:hint="default"/>
          <w:vertAlign w:val="subscript"/>
        </w:rPr>
        <w:t>3</w:t>
      </w:r>
      <w:r>
        <w:rPr>
          <w:rFonts w:hint="eastAsia"/>
        </w:rPr>
        <w:t>、</w:t>
      </w:r>
      <w:r>
        <w:rPr>
          <w:rFonts w:hint="default"/>
        </w:rPr>
        <w:t>H</w:t>
      </w:r>
      <w:r>
        <w:rPr>
          <w:rFonts w:hint="default"/>
          <w:vertAlign w:val="subscript"/>
        </w:rPr>
        <w:t>2</w:t>
      </w:r>
      <w:r>
        <w:rPr>
          <w:rFonts w:hint="default"/>
        </w:rPr>
        <w:t>S</w:t>
      </w:r>
      <w:r>
        <w:rPr>
          <w:rFonts w:hint="eastAsia"/>
        </w:rPr>
        <w:t>、</w:t>
      </w:r>
      <w:r>
        <w:rPr>
          <w:rFonts w:hint="default"/>
        </w:rPr>
        <w:t>NH</w:t>
      </w:r>
      <w:r>
        <w:rPr>
          <w:rFonts w:hint="default"/>
          <w:vertAlign w:val="subscript"/>
        </w:rPr>
        <w:t>3</w:t>
      </w:r>
      <w:r>
        <w:rPr>
          <w:rFonts w:hint="eastAsia"/>
        </w:rPr>
        <w:t>。</w:t>
      </w:r>
    </w:p>
    <w:p>
      <w:pPr>
        <w:bidi w:val="0"/>
        <w:rPr>
          <w:rFonts w:hint="eastAsia"/>
        </w:rPr>
      </w:pPr>
      <w:r>
        <w:rPr>
          <w:rFonts w:hint="eastAsia"/>
        </w:rPr>
        <w:t>预测评价因子：</w:t>
      </w:r>
      <w:r>
        <w:rPr>
          <w:rFonts w:hint="default"/>
        </w:rPr>
        <w:t>H</w:t>
      </w:r>
      <w:r>
        <w:rPr>
          <w:rFonts w:hint="default"/>
          <w:vertAlign w:val="subscript"/>
        </w:rPr>
        <w:t>2</w:t>
      </w:r>
      <w:r>
        <w:rPr>
          <w:rFonts w:hint="default"/>
        </w:rPr>
        <w:t>S</w:t>
      </w:r>
      <w:r>
        <w:rPr>
          <w:rFonts w:hint="eastAsia"/>
        </w:rPr>
        <w:t>、</w:t>
      </w:r>
      <w:r>
        <w:rPr>
          <w:rFonts w:hint="default"/>
        </w:rPr>
        <w:t>NH</w:t>
      </w:r>
      <w:r>
        <w:rPr>
          <w:rFonts w:hint="default"/>
          <w:vertAlign w:val="subscript"/>
        </w:rPr>
        <w:t>3</w:t>
      </w:r>
    </w:p>
    <w:p>
      <w:pPr>
        <w:bidi w:val="0"/>
        <w:rPr>
          <w:rFonts w:hint="eastAsia"/>
        </w:rPr>
      </w:pPr>
      <w:r>
        <w:rPr>
          <w:rFonts w:hint="eastAsia"/>
        </w:rPr>
        <w:t>（</w:t>
      </w:r>
      <w:r>
        <w:rPr>
          <w:rFonts w:hint="default"/>
        </w:rPr>
        <w:t>2</w:t>
      </w:r>
      <w:r>
        <w:rPr>
          <w:rFonts w:hint="eastAsia"/>
        </w:rPr>
        <w:t>）地表水环境</w:t>
      </w:r>
    </w:p>
    <w:p>
      <w:pPr>
        <w:bidi w:val="0"/>
        <w:rPr>
          <w:rFonts w:hint="eastAsia"/>
        </w:rPr>
      </w:pPr>
      <w:r>
        <w:rPr>
          <w:rFonts w:hint="eastAsia"/>
        </w:rPr>
        <w:t>现状评价因子：</w:t>
      </w:r>
      <w:r>
        <w:rPr>
          <w:rFonts w:hint="default"/>
        </w:rPr>
        <w:t>pH</w:t>
      </w:r>
      <w:r>
        <w:rPr>
          <w:rFonts w:hint="eastAsia"/>
        </w:rPr>
        <w:t>、氨氮、总磷、总氮、</w:t>
      </w:r>
      <w:r>
        <w:rPr>
          <w:rFonts w:hint="default"/>
        </w:rPr>
        <w:t>COD</w:t>
      </w:r>
      <w:r>
        <w:rPr>
          <w:rFonts w:hint="eastAsia"/>
        </w:rPr>
        <w:t>、</w:t>
      </w:r>
      <w:r>
        <w:rPr>
          <w:rFonts w:hint="default"/>
        </w:rPr>
        <w:t>BOD</w:t>
      </w:r>
      <w:r>
        <w:rPr>
          <w:rFonts w:hint="default"/>
          <w:vertAlign w:val="subscript"/>
        </w:rPr>
        <w:t>5</w:t>
      </w:r>
      <w:r>
        <w:rPr>
          <w:rFonts w:hint="eastAsia"/>
        </w:rPr>
        <w:t>、动植物油</w:t>
      </w:r>
      <w:r>
        <w:rPr>
          <w:rFonts w:hint="eastAsia"/>
          <w:lang w:eastAsia="zh-CN"/>
        </w:rPr>
        <w:t>、</w:t>
      </w:r>
      <w:r>
        <w:rPr>
          <w:rFonts w:hint="eastAsia"/>
          <w:lang w:val="en-US" w:eastAsia="zh-CN"/>
        </w:rPr>
        <w:t>SS</w:t>
      </w:r>
      <w:r>
        <w:rPr>
          <w:rFonts w:hint="eastAsia"/>
        </w:rPr>
        <w:t>。</w:t>
      </w:r>
    </w:p>
    <w:p>
      <w:pPr>
        <w:bidi w:val="0"/>
        <w:rPr>
          <w:rFonts w:hint="eastAsia"/>
        </w:rPr>
      </w:pPr>
      <w:r>
        <w:rPr>
          <w:rFonts w:hint="eastAsia"/>
        </w:rPr>
        <w:t>预测评价因子：氨氮、</w:t>
      </w:r>
      <w:r>
        <w:rPr>
          <w:rFonts w:hint="default"/>
        </w:rPr>
        <w:t>COD</w:t>
      </w:r>
      <w:r>
        <w:rPr>
          <w:rFonts w:hint="eastAsia"/>
        </w:rPr>
        <w:t>。</w:t>
      </w:r>
    </w:p>
    <w:p>
      <w:pPr>
        <w:bidi w:val="0"/>
        <w:rPr>
          <w:rFonts w:hint="eastAsia"/>
        </w:rPr>
      </w:pPr>
      <w:r>
        <w:rPr>
          <w:rFonts w:hint="eastAsia"/>
        </w:rPr>
        <w:t>（</w:t>
      </w:r>
      <w:r>
        <w:rPr>
          <w:rFonts w:hint="default"/>
        </w:rPr>
        <w:t>3</w:t>
      </w:r>
      <w:r>
        <w:rPr>
          <w:rFonts w:hint="eastAsia"/>
        </w:rPr>
        <w:t>）地下水环境</w:t>
      </w:r>
    </w:p>
    <w:p>
      <w:pPr>
        <w:bidi w:val="0"/>
        <w:rPr>
          <w:rFonts w:hint="eastAsia"/>
        </w:rPr>
      </w:pPr>
      <w:r>
        <w:rPr>
          <w:rFonts w:hint="eastAsia"/>
        </w:rPr>
        <w:t>现状评价因子：pH、耗氧量、溶解性总固体、总硬度、碳酸根、重碳酸根、氨氮、铬（六价）、挥发酚、氰化物、氟化物（氟离子）、氯化物（氯离子）、亚硝酸盐氮（亚硝酸根）、硝酸根（硝酸盐氮）、硫酸盐（硫酸根）、钾、钠、钙、镁、铁、锰、铅、镉、汞、砷、总大肠菌群、细菌总数。</w:t>
      </w:r>
    </w:p>
    <w:p>
      <w:pPr>
        <w:bidi w:val="0"/>
        <w:rPr>
          <w:rFonts w:hint="eastAsia" w:eastAsia="宋体"/>
          <w:lang w:val="en-US" w:eastAsia="zh-CN"/>
        </w:rPr>
      </w:pPr>
      <w:r>
        <w:rPr>
          <w:rFonts w:hint="eastAsia"/>
          <w:lang w:val="en-US" w:eastAsia="zh-CN"/>
        </w:rPr>
        <w:t>预测评价因子：</w:t>
      </w:r>
      <w:r>
        <w:rPr>
          <w:rFonts w:hint="eastAsia"/>
        </w:rPr>
        <w:t>氨氮、</w:t>
      </w:r>
      <w:r>
        <w:rPr>
          <w:rFonts w:hint="default"/>
        </w:rPr>
        <w:t>COD</w:t>
      </w:r>
      <w:r>
        <w:rPr>
          <w:rFonts w:hint="eastAsia"/>
          <w:lang w:eastAsia="zh-CN"/>
        </w:rPr>
        <w:t>。</w:t>
      </w:r>
    </w:p>
    <w:p>
      <w:pPr>
        <w:bidi w:val="0"/>
        <w:rPr>
          <w:rFonts w:hint="eastAsia"/>
        </w:rPr>
      </w:pPr>
      <w:r>
        <w:rPr>
          <w:rFonts w:hint="eastAsia"/>
        </w:rPr>
        <w:t>（</w:t>
      </w:r>
      <w:r>
        <w:rPr>
          <w:rFonts w:hint="default"/>
        </w:rPr>
        <w:t>4</w:t>
      </w:r>
      <w:r>
        <w:rPr>
          <w:rFonts w:hint="eastAsia"/>
        </w:rPr>
        <w:t>）声环境</w:t>
      </w:r>
    </w:p>
    <w:p>
      <w:pPr>
        <w:bidi w:val="0"/>
        <w:rPr>
          <w:rFonts w:hint="eastAsia"/>
        </w:rPr>
      </w:pPr>
      <w:r>
        <w:rPr>
          <w:rFonts w:hint="eastAsia"/>
        </w:rPr>
        <w:t>现状评价因子：等效连续</w:t>
      </w:r>
      <w:r>
        <w:rPr>
          <w:rFonts w:hint="default"/>
        </w:rPr>
        <w:t>A</w:t>
      </w:r>
      <w:r>
        <w:rPr>
          <w:rFonts w:hint="eastAsia"/>
        </w:rPr>
        <w:t>声级。</w:t>
      </w:r>
    </w:p>
    <w:p>
      <w:pPr>
        <w:bidi w:val="0"/>
        <w:rPr>
          <w:rFonts w:hint="eastAsia"/>
          <w:lang w:val="en-US" w:eastAsia="zh-CN"/>
        </w:rPr>
      </w:pPr>
      <w:r>
        <w:rPr>
          <w:rFonts w:hint="eastAsia"/>
        </w:rPr>
        <w:t>预测评价因子：等效连续</w:t>
      </w:r>
      <w:r>
        <w:rPr>
          <w:rFonts w:hint="default"/>
        </w:rPr>
        <w:t>A</w:t>
      </w:r>
      <w:r>
        <w:rPr>
          <w:rFonts w:hint="eastAsia"/>
        </w:rPr>
        <w:t>声级。</w:t>
      </w:r>
    </w:p>
    <w:p>
      <w:pPr>
        <w:pStyle w:val="4"/>
        <w:bidi w:val="0"/>
        <w:rPr>
          <w:rFonts w:hint="default"/>
          <w:lang w:val="en-US" w:eastAsia="zh-CN"/>
        </w:rPr>
      </w:pPr>
      <w:bookmarkStart w:id="29" w:name="_Toc5640"/>
      <w:r>
        <w:rPr>
          <w:rFonts w:hint="eastAsia"/>
          <w:lang w:val="en-US" w:eastAsia="zh-CN"/>
        </w:rPr>
        <w:t>评价标准</w:t>
      </w:r>
      <w:bookmarkEnd w:id="29"/>
    </w:p>
    <w:p>
      <w:pPr>
        <w:pStyle w:val="5"/>
        <w:bidi w:val="0"/>
        <w:rPr>
          <w:rFonts w:hint="default"/>
          <w:lang w:val="en-US" w:eastAsia="zh-CN"/>
        </w:rPr>
      </w:pPr>
      <w:r>
        <w:rPr>
          <w:rFonts w:hint="eastAsia"/>
          <w:lang w:val="en-US" w:eastAsia="zh-CN"/>
        </w:rPr>
        <w:t>环境功能区划分区</w:t>
      </w:r>
    </w:p>
    <w:p>
      <w:pPr>
        <w:bidi w:val="0"/>
        <w:rPr>
          <w:rFonts w:hint="eastAsia"/>
        </w:rPr>
      </w:pPr>
      <w:r>
        <w:rPr>
          <w:rFonts w:hint="eastAsia"/>
        </w:rPr>
        <w:t>（</w:t>
      </w:r>
      <w:r>
        <w:rPr>
          <w:rFonts w:hint="default"/>
        </w:rPr>
        <w:t>1</w:t>
      </w:r>
      <w:r>
        <w:rPr>
          <w:rFonts w:hint="eastAsia"/>
        </w:rPr>
        <w:t>）环境空气功能区分类</w:t>
      </w:r>
    </w:p>
    <w:p>
      <w:pPr>
        <w:bidi w:val="0"/>
        <w:rPr>
          <w:rFonts w:hint="eastAsia"/>
          <w:lang w:val="en-US" w:eastAsia="zh-CN"/>
        </w:rPr>
      </w:pPr>
      <w:r>
        <w:rPr>
          <w:rFonts w:hint="eastAsia"/>
        </w:rPr>
        <w:t>拟建项目位于</w:t>
      </w:r>
      <w:r>
        <w:rPr>
          <w:rFonts w:hint="eastAsia"/>
          <w:lang w:val="en-US" w:eastAsia="zh-CN"/>
        </w:rPr>
        <w:t>平昌县响滩镇</w:t>
      </w:r>
      <w:r>
        <w:rPr>
          <w:rFonts w:hint="eastAsia"/>
        </w:rPr>
        <w:t>，属于农村环境，按照《环境空气质量标准》（</w:t>
      </w:r>
      <w:r>
        <w:rPr>
          <w:rFonts w:hint="default"/>
        </w:rPr>
        <w:t>GB3095-2012</w:t>
      </w:r>
      <w:r>
        <w:rPr>
          <w:rFonts w:hint="eastAsia"/>
        </w:rPr>
        <w:t>）中的规定，该区域的环境空气质量功能区划属于二类功能区。</w:t>
      </w:r>
    </w:p>
    <w:p>
      <w:pPr>
        <w:bidi w:val="0"/>
        <w:rPr>
          <w:rFonts w:hint="eastAsia"/>
        </w:rPr>
      </w:pPr>
      <w:r>
        <w:rPr>
          <w:rFonts w:hint="eastAsia"/>
        </w:rPr>
        <w:t>（</w:t>
      </w:r>
      <w:r>
        <w:rPr>
          <w:rFonts w:hint="default"/>
        </w:rPr>
        <w:t>2</w:t>
      </w:r>
      <w:r>
        <w:rPr>
          <w:rFonts w:hint="eastAsia"/>
        </w:rPr>
        <w:t>）地表水功能区分类</w:t>
      </w:r>
    </w:p>
    <w:p>
      <w:pPr>
        <w:bidi w:val="0"/>
        <w:rPr>
          <w:rFonts w:hint="eastAsia"/>
        </w:rPr>
      </w:pPr>
      <w:r>
        <w:rPr>
          <w:rFonts w:hint="eastAsia"/>
        </w:rPr>
        <w:t>拟建项目</w:t>
      </w:r>
      <w:r>
        <w:rPr>
          <w:rFonts w:hint="eastAsia"/>
          <w:lang w:val="en-US" w:eastAsia="zh-CN"/>
        </w:rPr>
        <w:t>废水部分回用厂区冲洗，剩余部分用于农田灌溉，不外排</w:t>
      </w:r>
      <w:r>
        <w:rPr>
          <w:rFonts w:hint="eastAsia"/>
        </w:rPr>
        <w:t>。</w:t>
      </w:r>
    </w:p>
    <w:p>
      <w:pPr>
        <w:bidi w:val="0"/>
        <w:rPr>
          <w:rFonts w:hint="eastAsia"/>
        </w:rPr>
      </w:pPr>
      <w:r>
        <w:rPr>
          <w:rFonts w:hint="eastAsia"/>
        </w:rPr>
        <w:t>（</w:t>
      </w:r>
      <w:r>
        <w:rPr>
          <w:rFonts w:hint="default"/>
        </w:rPr>
        <w:t>3</w:t>
      </w:r>
      <w:r>
        <w:rPr>
          <w:rFonts w:hint="eastAsia"/>
        </w:rPr>
        <w:t>）地下水功能区分类</w:t>
      </w:r>
    </w:p>
    <w:p>
      <w:pPr>
        <w:bidi w:val="0"/>
        <w:rPr>
          <w:rFonts w:hint="eastAsia"/>
        </w:rPr>
      </w:pPr>
      <w:r>
        <w:rPr>
          <w:rFonts w:hint="eastAsia"/>
        </w:rPr>
        <w:t>拟建项目位于</w:t>
      </w:r>
      <w:r>
        <w:rPr>
          <w:rFonts w:hint="eastAsia"/>
          <w:lang w:val="en-US" w:eastAsia="zh-CN"/>
        </w:rPr>
        <w:t>平昌县响滩镇</w:t>
      </w:r>
      <w:r>
        <w:rPr>
          <w:rFonts w:hint="eastAsia"/>
        </w:rPr>
        <w:t>，根据《地下水质量标准》（</w:t>
      </w:r>
      <w:r>
        <w:rPr>
          <w:rFonts w:hint="default"/>
        </w:rPr>
        <w:t>GB14848-2017</w:t>
      </w:r>
      <w:r>
        <w:rPr>
          <w:rFonts w:hint="eastAsia"/>
        </w:rPr>
        <w:t>）中的划定，项目区域地下水水质目标为</w:t>
      </w:r>
      <w:r>
        <w:rPr>
          <w:rFonts w:hint="default" w:ascii="Times New Roman" w:hAnsi="Times New Roman" w:cs="Times New Roman"/>
        </w:rPr>
        <w:t>Ⅲ</w:t>
      </w:r>
      <w:r>
        <w:rPr>
          <w:rFonts w:hint="eastAsia"/>
        </w:rPr>
        <w:t>类。</w:t>
      </w:r>
    </w:p>
    <w:p>
      <w:pPr>
        <w:bidi w:val="0"/>
        <w:rPr>
          <w:rFonts w:hint="eastAsia"/>
        </w:rPr>
      </w:pPr>
      <w:r>
        <w:rPr>
          <w:rFonts w:hint="eastAsia"/>
        </w:rPr>
        <w:t>（</w:t>
      </w:r>
      <w:r>
        <w:rPr>
          <w:rFonts w:hint="default"/>
        </w:rPr>
        <w:t>4</w:t>
      </w:r>
      <w:r>
        <w:rPr>
          <w:rFonts w:hint="eastAsia"/>
        </w:rPr>
        <w:t>）声环境功能区分类</w:t>
      </w:r>
    </w:p>
    <w:p>
      <w:pPr>
        <w:bidi w:val="0"/>
        <w:rPr>
          <w:rFonts w:hint="eastAsia"/>
          <w:lang w:val="en-US" w:eastAsia="zh-CN"/>
        </w:rPr>
      </w:pPr>
      <w:r>
        <w:rPr>
          <w:rFonts w:hint="eastAsia"/>
        </w:rPr>
        <w:t>拟建项目位于</w:t>
      </w:r>
      <w:r>
        <w:rPr>
          <w:rFonts w:hint="eastAsia"/>
          <w:lang w:val="en-US" w:eastAsia="zh-CN"/>
        </w:rPr>
        <w:t>平昌县响滩镇</w:t>
      </w:r>
      <w:r>
        <w:rPr>
          <w:rFonts w:hint="eastAsia"/>
        </w:rPr>
        <w:t>，其属于农村环境，根据建设项目周边环境现状，参照</w:t>
      </w:r>
      <w:r>
        <w:rPr>
          <w:rFonts w:hint="default"/>
        </w:rPr>
        <w:t>GB3096-2008</w:t>
      </w:r>
      <w:r>
        <w:rPr>
          <w:rFonts w:hint="eastAsia"/>
        </w:rPr>
        <w:t>《声环境质量标准》中的规定，划分为</w:t>
      </w:r>
      <w:r>
        <w:rPr>
          <w:rFonts w:hint="default"/>
        </w:rPr>
        <w:t>2</w:t>
      </w:r>
      <w:r>
        <w:rPr>
          <w:rFonts w:hint="eastAsia"/>
        </w:rPr>
        <w:t>类标准适用区域。</w:t>
      </w:r>
    </w:p>
    <w:p>
      <w:pPr>
        <w:pStyle w:val="5"/>
        <w:bidi w:val="0"/>
        <w:rPr>
          <w:rFonts w:hint="default"/>
          <w:lang w:val="en-US" w:eastAsia="zh-CN"/>
        </w:rPr>
      </w:pPr>
      <w:r>
        <w:rPr>
          <w:rFonts w:hint="eastAsia"/>
          <w:lang w:val="en-US" w:eastAsia="zh-CN"/>
        </w:rPr>
        <w:t>评价标准</w:t>
      </w:r>
    </w:p>
    <w:p>
      <w:pPr>
        <w:pStyle w:val="6"/>
        <w:bidi w:val="0"/>
        <w:rPr>
          <w:rFonts w:hint="default"/>
          <w:lang w:val="en-US" w:eastAsia="zh-CN"/>
        </w:rPr>
      </w:pPr>
      <w:r>
        <w:rPr>
          <w:rFonts w:hint="eastAsia"/>
          <w:lang w:val="en-US" w:eastAsia="zh-CN"/>
        </w:rPr>
        <w:t>环境质量标准</w:t>
      </w:r>
    </w:p>
    <w:p>
      <w:pPr>
        <w:rPr>
          <w:rFonts w:hint="default"/>
          <w:b/>
          <w:bCs/>
          <w:lang w:val="en-US" w:eastAsia="zh-CN"/>
        </w:rPr>
      </w:pPr>
      <w:r>
        <w:rPr>
          <w:rFonts w:hint="eastAsia"/>
          <w:b/>
          <w:bCs/>
          <w:lang w:val="en-US" w:eastAsia="zh-CN"/>
        </w:rPr>
        <w:t>（1）环境空气质量标准</w:t>
      </w:r>
    </w:p>
    <w:p>
      <w:pPr>
        <w:bidi w:val="0"/>
        <w:rPr>
          <w:rFonts w:hint="eastAsia"/>
          <w:lang w:val="en-US" w:eastAsia="zh-CN"/>
        </w:rPr>
      </w:pPr>
      <w:r>
        <w:rPr>
          <w:rFonts w:hint="eastAsia"/>
        </w:rPr>
        <w:t>本项目所在地属环境空气二类功能区，环境空气质量常规因子现状评价执行《环境空气质量标准》（</w:t>
      </w:r>
      <w:r>
        <w:rPr>
          <w:rFonts w:hint="default"/>
        </w:rPr>
        <w:t>GB3095-2012</w:t>
      </w:r>
      <w:r>
        <w:rPr>
          <w:rFonts w:hint="eastAsia"/>
        </w:rPr>
        <w:t>）二级标准要求，特征污染物</w:t>
      </w:r>
      <w:r>
        <w:rPr>
          <w:rFonts w:hint="default"/>
        </w:rPr>
        <w:t>H</w:t>
      </w:r>
      <w:r>
        <w:rPr>
          <w:rFonts w:hint="default"/>
          <w:vertAlign w:val="subscript"/>
        </w:rPr>
        <w:t>2</w:t>
      </w:r>
      <w:r>
        <w:rPr>
          <w:rFonts w:hint="default"/>
        </w:rPr>
        <w:t>S</w:t>
      </w:r>
      <w:r>
        <w:rPr>
          <w:rFonts w:hint="eastAsia"/>
        </w:rPr>
        <w:t>、</w:t>
      </w:r>
      <w:r>
        <w:rPr>
          <w:rFonts w:hint="default"/>
        </w:rPr>
        <w:t>NH</w:t>
      </w:r>
      <w:r>
        <w:rPr>
          <w:rFonts w:hint="default"/>
          <w:vertAlign w:val="subscript"/>
        </w:rPr>
        <w:t>3</w:t>
      </w:r>
      <w:r>
        <w:rPr>
          <w:rFonts w:hint="eastAsia"/>
        </w:rPr>
        <w:t>执行《环境影响评价技术导则 大气环境》（</w:t>
      </w:r>
      <w:r>
        <w:rPr>
          <w:rFonts w:hint="default"/>
        </w:rPr>
        <w:t>HJ2.2-2018</w:t>
      </w:r>
      <w:r>
        <w:rPr>
          <w:rFonts w:hint="eastAsia"/>
        </w:rPr>
        <w:t>）附录</w:t>
      </w:r>
      <w:r>
        <w:rPr>
          <w:rFonts w:hint="default"/>
        </w:rPr>
        <w:t>D</w:t>
      </w:r>
      <w:r>
        <w:rPr>
          <w:rFonts w:hint="eastAsia"/>
        </w:rPr>
        <w:t>中其他污染物空气质量浓度参考限值，其标准值见表</w:t>
      </w:r>
      <w:r>
        <w:rPr>
          <w:rFonts w:hint="default"/>
        </w:rPr>
        <w:t>1.5-1</w:t>
      </w:r>
      <w:r>
        <w:rPr>
          <w:rFonts w:hint="eastAsia"/>
        </w:rPr>
        <w:t>。</w:t>
      </w:r>
    </w:p>
    <w:p>
      <w:pPr>
        <w:pStyle w:val="29"/>
        <w:bidi w:val="0"/>
        <w:rPr>
          <w:rFonts w:hint="eastAsia"/>
        </w:rPr>
      </w:pPr>
      <w:r>
        <w:rPr>
          <w:rFonts w:hint="eastAsia"/>
        </w:rPr>
        <w:t>表</w:t>
      </w:r>
      <w:r>
        <w:rPr>
          <w:rFonts w:hint="default"/>
        </w:rPr>
        <w:t>1.5-1</w:t>
      </w:r>
      <w:r>
        <w:rPr>
          <w:rFonts w:hint="eastAsia"/>
          <w:lang w:val="en-US" w:eastAsia="zh-CN"/>
        </w:rPr>
        <w:t xml:space="preserve">  </w:t>
      </w:r>
      <w:r>
        <w:rPr>
          <w:rFonts w:hint="eastAsia"/>
        </w:rPr>
        <w:t>环境空气质量标准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25"/>
        <w:gridCol w:w="1260"/>
        <w:gridCol w:w="1931"/>
        <w:gridCol w:w="2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标准</w:t>
            </w:r>
          </w:p>
        </w:tc>
        <w:tc>
          <w:tcPr>
            <w:tcW w:w="126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w:t>
            </w:r>
          </w:p>
        </w:tc>
        <w:tc>
          <w:tcPr>
            <w:tcW w:w="1931"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平均时间</w:t>
            </w:r>
          </w:p>
        </w:tc>
        <w:tc>
          <w:tcPr>
            <w:tcW w:w="2406"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restar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《环境空气质量标准》（GB3095-2012）</w:t>
            </w:r>
          </w:p>
          <w:p>
            <w:pPr>
              <w:pStyle w:val="30"/>
              <w:widowControl w:val="0"/>
              <w:jc w:val="center"/>
              <w:rPr>
                <w:rFonts w:hint="default"/>
                <w:vertAlign w:val="baseline"/>
                <w:lang w:val="en-US" w:eastAsia="zh-CN"/>
              </w:rPr>
            </w:pPr>
            <w:r>
              <w:rPr>
                <w:rFonts w:hint="eastAsia"/>
                <w:vertAlign w:val="baseline"/>
                <w:lang w:val="en-US" w:eastAsia="zh-CN"/>
              </w:rPr>
              <w:t>二级标准</w:t>
            </w:r>
          </w:p>
        </w:tc>
        <w:tc>
          <w:tcPr>
            <w:tcW w:w="1260" w:type="dxa"/>
            <w:vMerge w:val="restart"/>
            <w:tcBorders>
              <w:tl2br w:val="nil"/>
              <w:tr2bl w:val="nil"/>
            </w:tcBorders>
            <w:vAlign w:val="center"/>
          </w:tcPr>
          <w:p>
            <w:pPr>
              <w:pStyle w:val="30"/>
              <w:widowControl w:val="0"/>
              <w:jc w:val="center"/>
              <w:rPr>
                <w:rFonts w:hint="default"/>
                <w:vertAlign w:val="subscript"/>
                <w:lang w:val="en-US" w:eastAsia="zh-CN"/>
              </w:rPr>
            </w:pPr>
            <w:r>
              <w:rPr>
                <w:rFonts w:hint="eastAsia"/>
                <w:vertAlign w:val="baseline"/>
                <w:lang w:val="en-US" w:eastAsia="zh-CN"/>
              </w:rPr>
              <w:t>SO</w:t>
            </w:r>
            <w:r>
              <w:rPr>
                <w:rFonts w:hint="eastAsia"/>
                <w:vertAlign w:val="subscript"/>
                <w:lang w:val="en-US" w:eastAsia="zh-CN"/>
              </w:rPr>
              <w:t>2</w:t>
            </w:r>
          </w:p>
        </w:tc>
        <w:tc>
          <w:tcPr>
            <w:tcW w:w="193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年平均</w:t>
            </w:r>
          </w:p>
        </w:tc>
        <w:tc>
          <w:tcPr>
            <w:tcW w:w="2406" w:type="dxa"/>
            <w:tcBorders>
              <w:tl2br w:val="nil"/>
              <w:tr2bl w:val="nil"/>
            </w:tcBorders>
            <w:vAlign w:val="center"/>
          </w:tcPr>
          <w:p>
            <w:pPr>
              <w:pStyle w:val="30"/>
              <w:widowControl w:val="0"/>
              <w:jc w:val="center"/>
              <w:rPr>
                <w:rFonts w:hint="default"/>
                <w:vertAlign w:val="superscript"/>
                <w:lang w:val="en-US" w:eastAsia="zh-CN"/>
              </w:rPr>
            </w:pPr>
            <w:r>
              <w:rPr>
                <w:rFonts w:hint="eastAsia"/>
                <w:vertAlign w:val="baseline"/>
                <w:lang w:val="en-US" w:eastAsia="zh-CN"/>
              </w:rPr>
              <w:t>60</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260"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93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24小时平均</w:t>
            </w:r>
          </w:p>
        </w:tc>
        <w:tc>
          <w:tcPr>
            <w:tcW w:w="240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150</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260"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93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1小时平均</w:t>
            </w:r>
          </w:p>
        </w:tc>
        <w:tc>
          <w:tcPr>
            <w:tcW w:w="240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500</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260" w:type="dxa"/>
            <w:vMerge w:val="restart"/>
            <w:tcBorders>
              <w:tl2br w:val="nil"/>
              <w:tr2bl w:val="nil"/>
            </w:tcBorders>
            <w:vAlign w:val="center"/>
          </w:tcPr>
          <w:p>
            <w:pPr>
              <w:pStyle w:val="30"/>
              <w:widowControl w:val="0"/>
              <w:jc w:val="center"/>
              <w:rPr>
                <w:rFonts w:hint="default"/>
                <w:vertAlign w:val="subscript"/>
                <w:lang w:val="en-US" w:eastAsia="zh-CN"/>
              </w:rPr>
            </w:pPr>
            <w:r>
              <w:rPr>
                <w:rFonts w:hint="eastAsia"/>
                <w:vertAlign w:val="baseline"/>
                <w:lang w:val="en-US" w:eastAsia="zh-CN"/>
              </w:rPr>
              <w:t>NO</w:t>
            </w:r>
            <w:r>
              <w:rPr>
                <w:rFonts w:hint="eastAsia"/>
                <w:vertAlign w:val="subscript"/>
                <w:lang w:val="en-US" w:eastAsia="zh-CN"/>
              </w:rPr>
              <w:t>2</w:t>
            </w:r>
          </w:p>
        </w:tc>
        <w:tc>
          <w:tcPr>
            <w:tcW w:w="1931"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年平均</w:t>
            </w:r>
          </w:p>
        </w:tc>
        <w:tc>
          <w:tcPr>
            <w:tcW w:w="240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40</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260"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931"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24小时平均</w:t>
            </w:r>
          </w:p>
        </w:tc>
        <w:tc>
          <w:tcPr>
            <w:tcW w:w="240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80</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260"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931"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1小时平均</w:t>
            </w:r>
          </w:p>
        </w:tc>
        <w:tc>
          <w:tcPr>
            <w:tcW w:w="240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200</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260" w:type="dxa"/>
            <w:vMerge w:val="restart"/>
            <w:tcBorders>
              <w:tl2br w:val="nil"/>
              <w:tr2bl w:val="nil"/>
            </w:tcBorders>
            <w:vAlign w:val="center"/>
          </w:tcPr>
          <w:p>
            <w:pPr>
              <w:pStyle w:val="30"/>
              <w:widowControl w:val="0"/>
              <w:jc w:val="center"/>
              <w:rPr>
                <w:rFonts w:hint="default"/>
                <w:vertAlign w:val="subscript"/>
                <w:lang w:val="en-US" w:eastAsia="zh-CN"/>
              </w:rPr>
            </w:pPr>
            <w:r>
              <w:rPr>
                <w:rFonts w:hint="eastAsia"/>
                <w:vertAlign w:val="baseline"/>
                <w:lang w:val="en-US" w:eastAsia="zh-CN"/>
              </w:rPr>
              <w:t>PM</w:t>
            </w:r>
            <w:r>
              <w:rPr>
                <w:rFonts w:hint="eastAsia"/>
                <w:vertAlign w:val="subscript"/>
                <w:lang w:val="en-US" w:eastAsia="zh-CN"/>
              </w:rPr>
              <w:t>10</w:t>
            </w:r>
          </w:p>
        </w:tc>
        <w:tc>
          <w:tcPr>
            <w:tcW w:w="1931"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年平均</w:t>
            </w:r>
          </w:p>
        </w:tc>
        <w:tc>
          <w:tcPr>
            <w:tcW w:w="240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70</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30"/>
              <w:widowControl w:val="0"/>
              <w:jc w:val="center"/>
              <w:rPr>
                <w:rFonts w:hint="eastAsia"/>
                <w:vertAlign w:val="baseline"/>
                <w:lang w:val="en-US" w:eastAsia="zh-CN"/>
              </w:rPr>
            </w:pPr>
          </w:p>
        </w:tc>
        <w:tc>
          <w:tcPr>
            <w:tcW w:w="1260" w:type="dxa"/>
            <w:vMerge w:val="continue"/>
            <w:vAlign w:val="center"/>
          </w:tcPr>
          <w:p>
            <w:pPr>
              <w:pStyle w:val="30"/>
              <w:widowControl w:val="0"/>
              <w:jc w:val="center"/>
              <w:rPr>
                <w:rFonts w:hint="eastAsia"/>
                <w:vertAlign w:val="baseline"/>
                <w:lang w:val="en-US" w:eastAsia="zh-CN"/>
              </w:rPr>
            </w:pPr>
          </w:p>
        </w:tc>
        <w:tc>
          <w:tcPr>
            <w:tcW w:w="1931" w:type="dxa"/>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24小时平均</w:t>
            </w:r>
          </w:p>
        </w:tc>
        <w:tc>
          <w:tcPr>
            <w:tcW w:w="0" w:type="auto"/>
            <w:vAlign w:val="center"/>
          </w:tcPr>
          <w:p>
            <w:pPr>
              <w:pStyle w:val="30"/>
              <w:widowControl w:val="0"/>
              <w:jc w:val="center"/>
              <w:rPr>
                <w:rFonts w:hint="default"/>
                <w:vertAlign w:val="baseline"/>
                <w:lang w:val="en-US" w:eastAsia="zh-CN"/>
              </w:rPr>
            </w:pPr>
            <w:r>
              <w:rPr>
                <w:rFonts w:hint="eastAsia"/>
                <w:vertAlign w:val="baseline"/>
                <w:lang w:val="en-US" w:eastAsia="zh-CN"/>
              </w:rPr>
              <w:t>150</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30"/>
              <w:widowControl w:val="0"/>
              <w:jc w:val="center"/>
              <w:rPr>
                <w:rFonts w:hint="eastAsia"/>
                <w:vertAlign w:val="baseline"/>
                <w:lang w:val="en-US" w:eastAsia="zh-CN"/>
              </w:rPr>
            </w:pPr>
          </w:p>
        </w:tc>
        <w:tc>
          <w:tcPr>
            <w:tcW w:w="1260" w:type="dxa"/>
            <w:vMerge w:val="restart"/>
            <w:vAlign w:val="center"/>
          </w:tcPr>
          <w:p>
            <w:pPr>
              <w:pStyle w:val="30"/>
              <w:widowControl w:val="0"/>
              <w:jc w:val="center"/>
              <w:rPr>
                <w:rFonts w:hint="default"/>
                <w:vertAlign w:val="subscript"/>
                <w:lang w:val="en-US" w:eastAsia="zh-CN"/>
              </w:rPr>
            </w:pPr>
            <w:r>
              <w:rPr>
                <w:rFonts w:hint="eastAsia"/>
                <w:vertAlign w:val="baseline"/>
                <w:lang w:val="en-US" w:eastAsia="zh-CN"/>
              </w:rPr>
              <w:t>PM</w:t>
            </w:r>
            <w:r>
              <w:rPr>
                <w:rFonts w:hint="eastAsia"/>
                <w:vertAlign w:val="subscript"/>
                <w:lang w:val="en-US" w:eastAsia="zh-CN"/>
              </w:rPr>
              <w:t>2.5</w:t>
            </w:r>
          </w:p>
        </w:tc>
        <w:tc>
          <w:tcPr>
            <w:tcW w:w="1931" w:type="dxa"/>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年平均</w:t>
            </w:r>
          </w:p>
        </w:tc>
        <w:tc>
          <w:tcPr>
            <w:tcW w:w="0" w:type="auto"/>
            <w:vAlign w:val="center"/>
          </w:tcPr>
          <w:p>
            <w:pPr>
              <w:pStyle w:val="30"/>
              <w:widowControl w:val="0"/>
              <w:jc w:val="center"/>
              <w:rPr>
                <w:rFonts w:hint="default"/>
                <w:vertAlign w:val="baseline"/>
                <w:lang w:val="en-US" w:eastAsia="zh-CN"/>
              </w:rPr>
            </w:pPr>
            <w:r>
              <w:rPr>
                <w:rFonts w:hint="eastAsia"/>
                <w:vertAlign w:val="baseline"/>
                <w:lang w:val="en-US" w:eastAsia="zh-CN"/>
              </w:rPr>
              <w:t>35</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30"/>
              <w:widowControl w:val="0"/>
              <w:jc w:val="center"/>
              <w:rPr>
                <w:rFonts w:hint="eastAsia"/>
                <w:vertAlign w:val="baseline"/>
                <w:lang w:val="en-US" w:eastAsia="zh-CN"/>
              </w:rPr>
            </w:pPr>
          </w:p>
        </w:tc>
        <w:tc>
          <w:tcPr>
            <w:tcW w:w="1260" w:type="dxa"/>
            <w:vMerge w:val="continue"/>
            <w:vAlign w:val="center"/>
          </w:tcPr>
          <w:p>
            <w:pPr>
              <w:pStyle w:val="30"/>
              <w:widowControl w:val="0"/>
              <w:jc w:val="center"/>
              <w:rPr>
                <w:rFonts w:hint="eastAsia"/>
                <w:vertAlign w:val="baseline"/>
                <w:lang w:val="en-US" w:eastAsia="zh-CN"/>
              </w:rPr>
            </w:pPr>
          </w:p>
        </w:tc>
        <w:tc>
          <w:tcPr>
            <w:tcW w:w="1931" w:type="dxa"/>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24小时平均</w:t>
            </w:r>
          </w:p>
        </w:tc>
        <w:tc>
          <w:tcPr>
            <w:tcW w:w="0" w:type="auto"/>
            <w:vAlign w:val="center"/>
          </w:tcPr>
          <w:p>
            <w:pPr>
              <w:pStyle w:val="30"/>
              <w:widowControl w:val="0"/>
              <w:jc w:val="center"/>
              <w:rPr>
                <w:rFonts w:hint="default"/>
                <w:vertAlign w:val="baseline"/>
                <w:lang w:val="en-US" w:eastAsia="zh-CN"/>
              </w:rPr>
            </w:pPr>
            <w:r>
              <w:rPr>
                <w:rFonts w:hint="eastAsia"/>
                <w:vertAlign w:val="baseline"/>
                <w:lang w:val="en-US" w:eastAsia="zh-CN"/>
              </w:rPr>
              <w:t>75</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30"/>
              <w:widowControl w:val="0"/>
              <w:jc w:val="center"/>
              <w:rPr>
                <w:rFonts w:hint="eastAsia"/>
                <w:vertAlign w:val="baseline"/>
                <w:lang w:val="en-US" w:eastAsia="zh-CN"/>
              </w:rPr>
            </w:pPr>
          </w:p>
        </w:tc>
        <w:tc>
          <w:tcPr>
            <w:tcW w:w="1260" w:type="dxa"/>
            <w:vMerge w:val="restart"/>
            <w:vAlign w:val="center"/>
          </w:tcPr>
          <w:p>
            <w:pPr>
              <w:pStyle w:val="30"/>
              <w:widowControl w:val="0"/>
              <w:jc w:val="center"/>
              <w:rPr>
                <w:rFonts w:hint="default"/>
                <w:vertAlign w:val="baseline"/>
                <w:lang w:val="en-US" w:eastAsia="zh-CN"/>
              </w:rPr>
            </w:pPr>
            <w:r>
              <w:rPr>
                <w:rFonts w:hint="eastAsia"/>
                <w:vertAlign w:val="baseline"/>
                <w:lang w:val="en-US" w:eastAsia="zh-CN"/>
              </w:rPr>
              <w:t>CO</w:t>
            </w:r>
          </w:p>
        </w:tc>
        <w:tc>
          <w:tcPr>
            <w:tcW w:w="1931" w:type="dxa"/>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24小时平均</w:t>
            </w:r>
          </w:p>
        </w:tc>
        <w:tc>
          <w:tcPr>
            <w:tcW w:w="0" w:type="auto"/>
            <w:vAlign w:val="center"/>
          </w:tcPr>
          <w:p>
            <w:pPr>
              <w:pStyle w:val="30"/>
              <w:widowControl w:val="0"/>
              <w:jc w:val="center"/>
              <w:rPr>
                <w:rFonts w:hint="default"/>
                <w:vertAlign w:val="baseline"/>
                <w:lang w:val="en-US" w:eastAsia="zh-CN"/>
              </w:rPr>
            </w:pPr>
            <w:r>
              <w:rPr>
                <w:rFonts w:hint="eastAsia"/>
                <w:vertAlign w:val="baseline"/>
                <w:lang w:val="en-US" w:eastAsia="zh-CN"/>
              </w:rPr>
              <w:t>4m</w:t>
            </w:r>
            <w:r>
              <w:rPr>
                <w:rFonts w:hint="default" w:ascii="Times New Roman" w:hAnsi="Times New Roman" w:cs="Times New Roman"/>
                <w:vertAlign w:val="baseline"/>
                <w:lang w:val="en-US" w:eastAsia="zh-CN"/>
              </w:rPr>
              <w:t>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30"/>
              <w:widowControl w:val="0"/>
              <w:jc w:val="center"/>
              <w:rPr>
                <w:rFonts w:hint="eastAsia"/>
                <w:vertAlign w:val="baseline"/>
                <w:lang w:val="en-US" w:eastAsia="zh-CN"/>
              </w:rPr>
            </w:pPr>
          </w:p>
        </w:tc>
        <w:tc>
          <w:tcPr>
            <w:tcW w:w="1260" w:type="dxa"/>
            <w:vMerge w:val="continue"/>
            <w:vAlign w:val="center"/>
          </w:tcPr>
          <w:p>
            <w:pPr>
              <w:pStyle w:val="30"/>
              <w:widowControl w:val="0"/>
              <w:jc w:val="center"/>
              <w:rPr>
                <w:rFonts w:hint="eastAsia"/>
                <w:vertAlign w:val="baseline"/>
                <w:lang w:val="en-US" w:eastAsia="zh-CN"/>
              </w:rPr>
            </w:pPr>
          </w:p>
        </w:tc>
        <w:tc>
          <w:tcPr>
            <w:tcW w:w="1931" w:type="dxa"/>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1小时平均</w:t>
            </w:r>
          </w:p>
        </w:tc>
        <w:tc>
          <w:tcPr>
            <w:tcW w:w="0" w:type="auto"/>
            <w:vAlign w:val="center"/>
          </w:tcPr>
          <w:p>
            <w:pPr>
              <w:pStyle w:val="30"/>
              <w:widowControl w:val="0"/>
              <w:jc w:val="center"/>
              <w:rPr>
                <w:rFonts w:hint="default"/>
                <w:vertAlign w:val="baseline"/>
                <w:lang w:val="en-US" w:eastAsia="zh-CN"/>
              </w:rPr>
            </w:pPr>
            <w:r>
              <w:rPr>
                <w:rFonts w:hint="eastAsia"/>
                <w:vertAlign w:val="baseline"/>
                <w:lang w:val="en-US" w:eastAsia="zh-CN"/>
              </w:rPr>
              <w:t>10m</w:t>
            </w:r>
            <w:r>
              <w:rPr>
                <w:rFonts w:hint="default" w:ascii="Times New Roman" w:hAnsi="Times New Roman" w:cs="Times New Roman"/>
                <w:vertAlign w:val="baseline"/>
                <w:lang w:val="en-US" w:eastAsia="zh-CN"/>
              </w:rPr>
              <w:t>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30"/>
              <w:widowControl w:val="0"/>
              <w:jc w:val="center"/>
              <w:rPr>
                <w:rFonts w:hint="eastAsia"/>
                <w:vertAlign w:val="baseline"/>
                <w:lang w:val="en-US" w:eastAsia="zh-CN"/>
              </w:rPr>
            </w:pPr>
          </w:p>
        </w:tc>
        <w:tc>
          <w:tcPr>
            <w:tcW w:w="1260" w:type="dxa"/>
            <w:vMerge w:val="restart"/>
            <w:vAlign w:val="center"/>
          </w:tcPr>
          <w:p>
            <w:pPr>
              <w:pStyle w:val="30"/>
              <w:widowControl w:val="0"/>
              <w:jc w:val="center"/>
              <w:rPr>
                <w:rFonts w:hint="default"/>
                <w:vertAlign w:val="subscript"/>
                <w:lang w:val="en-US" w:eastAsia="zh-CN"/>
              </w:rPr>
            </w:pPr>
            <w:r>
              <w:rPr>
                <w:rFonts w:hint="eastAsia"/>
                <w:vertAlign w:val="baseline"/>
                <w:lang w:val="en-US" w:eastAsia="zh-CN"/>
              </w:rPr>
              <w:t>O</w:t>
            </w:r>
            <w:r>
              <w:rPr>
                <w:rFonts w:hint="eastAsia"/>
                <w:vertAlign w:val="subscript"/>
                <w:lang w:val="en-US" w:eastAsia="zh-CN"/>
              </w:rPr>
              <w:t>3</w:t>
            </w:r>
          </w:p>
        </w:tc>
        <w:tc>
          <w:tcPr>
            <w:tcW w:w="1931" w:type="dxa"/>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日最大8小时平均</w:t>
            </w:r>
          </w:p>
        </w:tc>
        <w:tc>
          <w:tcPr>
            <w:tcW w:w="0" w:type="auto"/>
            <w:vAlign w:val="center"/>
          </w:tcPr>
          <w:p>
            <w:pPr>
              <w:pStyle w:val="30"/>
              <w:widowControl w:val="0"/>
              <w:jc w:val="center"/>
              <w:rPr>
                <w:rFonts w:hint="eastAsia"/>
                <w:vertAlign w:val="baseline"/>
                <w:lang w:val="en-US" w:eastAsia="zh-CN"/>
              </w:rPr>
            </w:pPr>
            <w:r>
              <w:rPr>
                <w:rFonts w:hint="eastAsia" w:cs="Times New Roman"/>
                <w:vertAlign w:val="baseline"/>
                <w:lang w:val="en-US" w:eastAsia="zh-CN"/>
              </w:rPr>
              <w:t>160</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30"/>
              <w:widowControl w:val="0"/>
              <w:jc w:val="center"/>
              <w:rPr>
                <w:rFonts w:hint="eastAsia"/>
                <w:vertAlign w:val="baseline"/>
                <w:lang w:val="en-US" w:eastAsia="zh-CN"/>
              </w:rPr>
            </w:pPr>
          </w:p>
        </w:tc>
        <w:tc>
          <w:tcPr>
            <w:tcW w:w="1260" w:type="dxa"/>
            <w:vMerge w:val="continue"/>
            <w:vAlign w:val="center"/>
          </w:tcPr>
          <w:p>
            <w:pPr>
              <w:pStyle w:val="30"/>
              <w:widowControl w:val="0"/>
              <w:jc w:val="center"/>
              <w:rPr>
                <w:rFonts w:hint="eastAsia"/>
                <w:vertAlign w:val="baseline"/>
                <w:lang w:val="en-US" w:eastAsia="zh-CN"/>
              </w:rPr>
            </w:pPr>
          </w:p>
        </w:tc>
        <w:tc>
          <w:tcPr>
            <w:tcW w:w="1931" w:type="dxa"/>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1小时平均</w:t>
            </w:r>
          </w:p>
        </w:tc>
        <w:tc>
          <w:tcPr>
            <w:tcW w:w="0" w:type="auto"/>
            <w:vAlign w:val="center"/>
          </w:tcPr>
          <w:p>
            <w:pPr>
              <w:pStyle w:val="30"/>
              <w:widowControl w:val="0"/>
              <w:jc w:val="center"/>
              <w:rPr>
                <w:rFonts w:hint="default"/>
                <w:vertAlign w:val="baseline"/>
                <w:lang w:val="en-US" w:eastAsia="zh-CN"/>
              </w:rPr>
            </w:pPr>
            <w:r>
              <w:rPr>
                <w:rFonts w:hint="eastAsia"/>
                <w:vertAlign w:val="baseline"/>
                <w:lang w:val="en-US" w:eastAsia="zh-CN"/>
              </w:rPr>
              <w:t>200</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restart"/>
            <w:vAlign w:val="center"/>
          </w:tcPr>
          <w:p>
            <w:pPr>
              <w:pStyle w:val="30"/>
              <w:widowControl w:val="0"/>
              <w:bidi w:val="0"/>
              <w:jc w:val="center"/>
              <w:rPr>
                <w:rFonts w:hint="eastAsia"/>
                <w:vertAlign w:val="baseline"/>
                <w:lang w:val="en-US" w:eastAsia="zh-CN"/>
              </w:rPr>
            </w:pPr>
            <w:r>
              <w:rPr>
                <w:rFonts w:hint="eastAsia"/>
              </w:rPr>
              <w:t>《环境影响评价技术导则 大气环境》（</w:t>
            </w:r>
            <w:r>
              <w:rPr>
                <w:rFonts w:hint="default"/>
              </w:rPr>
              <w:t>HJ2.2-2018</w:t>
            </w:r>
            <w:r>
              <w:rPr>
                <w:rFonts w:hint="eastAsia"/>
              </w:rPr>
              <w:t>）附录</w:t>
            </w:r>
            <w:r>
              <w:rPr>
                <w:rFonts w:hint="default"/>
              </w:rPr>
              <w:t>D</w:t>
            </w:r>
          </w:p>
        </w:tc>
        <w:tc>
          <w:tcPr>
            <w:tcW w:w="1260" w:type="dxa"/>
            <w:vAlign w:val="center"/>
          </w:tcPr>
          <w:p>
            <w:pPr>
              <w:pStyle w:val="30"/>
              <w:widowControl w:val="0"/>
              <w:jc w:val="center"/>
              <w:rPr>
                <w:rFonts w:hint="default"/>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1931" w:type="dxa"/>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1小时平均</w:t>
            </w:r>
          </w:p>
        </w:tc>
        <w:tc>
          <w:tcPr>
            <w:tcW w:w="0" w:type="auto"/>
            <w:vAlign w:val="center"/>
          </w:tcPr>
          <w:p>
            <w:pPr>
              <w:pStyle w:val="30"/>
              <w:widowControl w:val="0"/>
              <w:jc w:val="center"/>
              <w:rPr>
                <w:rFonts w:hint="default"/>
                <w:vertAlign w:val="baseline"/>
                <w:lang w:val="en-US" w:eastAsia="zh-CN"/>
              </w:rPr>
            </w:pPr>
            <w:r>
              <w:rPr>
                <w:rFonts w:hint="eastAsia"/>
                <w:vertAlign w:val="baseline"/>
                <w:lang w:val="en-US" w:eastAsia="zh-CN"/>
              </w:rPr>
              <w:t>10</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5" w:type="dxa"/>
            <w:vMerge w:val="continue"/>
          </w:tcPr>
          <w:p>
            <w:pPr>
              <w:pStyle w:val="30"/>
              <w:widowControl w:val="0"/>
              <w:jc w:val="center"/>
              <w:rPr>
                <w:rFonts w:hint="eastAsia"/>
                <w:vertAlign w:val="baseline"/>
                <w:lang w:val="en-US" w:eastAsia="zh-CN"/>
              </w:rPr>
            </w:pPr>
          </w:p>
        </w:tc>
        <w:tc>
          <w:tcPr>
            <w:tcW w:w="1260" w:type="dxa"/>
            <w:vAlign w:val="center"/>
          </w:tcPr>
          <w:p>
            <w:pPr>
              <w:pStyle w:val="30"/>
              <w:widowControl w:val="0"/>
              <w:jc w:val="center"/>
              <w:rPr>
                <w:rFonts w:hint="default"/>
                <w:vertAlign w:val="subscript"/>
                <w:lang w:val="en-US" w:eastAsia="zh-CN"/>
              </w:rPr>
            </w:pPr>
            <w:r>
              <w:rPr>
                <w:rFonts w:hint="eastAsia"/>
                <w:vertAlign w:val="baseline"/>
                <w:lang w:val="en-US" w:eastAsia="zh-CN"/>
              </w:rPr>
              <w:t>NH</w:t>
            </w:r>
            <w:r>
              <w:rPr>
                <w:rFonts w:hint="eastAsia"/>
                <w:vertAlign w:val="subscript"/>
                <w:lang w:val="en-US" w:eastAsia="zh-CN"/>
              </w:rPr>
              <w:t>3</w:t>
            </w:r>
          </w:p>
        </w:tc>
        <w:tc>
          <w:tcPr>
            <w:tcW w:w="1931" w:type="dxa"/>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1小时平均</w:t>
            </w:r>
          </w:p>
        </w:tc>
        <w:tc>
          <w:tcPr>
            <w:tcW w:w="0" w:type="auto"/>
            <w:vAlign w:val="center"/>
          </w:tcPr>
          <w:p>
            <w:pPr>
              <w:pStyle w:val="30"/>
              <w:widowControl w:val="0"/>
              <w:jc w:val="center"/>
              <w:rPr>
                <w:rFonts w:hint="default"/>
                <w:vertAlign w:val="baseline"/>
                <w:lang w:val="en-US" w:eastAsia="zh-CN"/>
              </w:rPr>
            </w:pPr>
            <w:r>
              <w:rPr>
                <w:rFonts w:hint="eastAsia"/>
                <w:vertAlign w:val="baseline"/>
                <w:lang w:val="en-US" w:eastAsia="zh-CN"/>
              </w:rPr>
              <w:t>200</w:t>
            </w:r>
            <w:r>
              <w:rPr>
                <w:rFonts w:hint="default" w:ascii="Times New Roman" w:hAnsi="Times New Roman" w:cs="Times New Roman"/>
                <w:vertAlign w:val="baseline"/>
                <w:lang w:val="en-US" w:eastAsia="zh-CN"/>
              </w:rPr>
              <w:t>μg/m</w:t>
            </w:r>
            <w:r>
              <w:rPr>
                <w:rFonts w:hint="default" w:ascii="Times New Roman" w:hAnsi="Times New Roman" w:cs="Times New Roman"/>
                <w:vertAlign w:val="superscript"/>
                <w:lang w:val="en-US" w:eastAsia="zh-CN"/>
              </w:rPr>
              <w:t>3</w:t>
            </w:r>
          </w:p>
        </w:tc>
      </w:tr>
    </w:tbl>
    <w:p>
      <w:pPr>
        <w:bidi w:val="0"/>
        <w:rPr>
          <w:rFonts w:hint="default"/>
          <w:b/>
          <w:bCs/>
          <w:lang w:val="en-US" w:eastAsia="zh-CN"/>
        </w:rPr>
      </w:pPr>
      <w:r>
        <w:rPr>
          <w:rFonts w:hint="eastAsia"/>
          <w:b/>
          <w:bCs/>
          <w:lang w:val="en-US" w:eastAsia="zh-CN"/>
        </w:rPr>
        <w:t>（2）地表水环境质量标准</w:t>
      </w:r>
    </w:p>
    <w:p>
      <w:pPr>
        <w:bidi w:val="0"/>
        <w:rPr>
          <w:rFonts w:hint="eastAsia"/>
          <w:lang w:val="en-US" w:eastAsia="zh-CN"/>
        </w:rPr>
      </w:pPr>
      <w:r>
        <w:rPr>
          <w:rFonts w:hint="eastAsia"/>
        </w:rPr>
        <w:t>地表水环境质量执行《地表水环境质量标准》（</w:t>
      </w:r>
      <w:r>
        <w:rPr>
          <w:rFonts w:hint="default"/>
        </w:rPr>
        <w:t>GB3838-2002</w:t>
      </w:r>
      <w:r>
        <w:rPr>
          <w:rFonts w:hint="eastAsia"/>
        </w:rPr>
        <w:t>）</w:t>
      </w:r>
      <w:r>
        <w:rPr>
          <w:rFonts w:hint="default" w:ascii="Times New Roman" w:hAnsi="Times New Roman" w:cs="Times New Roman"/>
        </w:rPr>
        <w:t>Ⅲ</w:t>
      </w:r>
      <w:r>
        <w:rPr>
          <w:rFonts w:hint="eastAsia"/>
        </w:rPr>
        <w:t>类水质标准，标准值见表</w:t>
      </w:r>
      <w:r>
        <w:rPr>
          <w:rFonts w:hint="default"/>
        </w:rPr>
        <w:t>1.5-2</w:t>
      </w:r>
      <w:r>
        <w:rPr>
          <w:rFonts w:hint="eastAsia"/>
        </w:rPr>
        <w:t>。</w:t>
      </w:r>
    </w:p>
    <w:p>
      <w:pPr>
        <w:pStyle w:val="29"/>
        <w:bidi w:val="0"/>
        <w:rPr>
          <w:rFonts w:hint="eastAsia"/>
        </w:rPr>
      </w:pPr>
      <w:r>
        <w:rPr>
          <w:rFonts w:hint="eastAsia"/>
        </w:rPr>
        <w:t>表</w:t>
      </w:r>
      <w:r>
        <w:rPr>
          <w:rFonts w:hint="default"/>
        </w:rPr>
        <w:t>1.5-2</w:t>
      </w:r>
      <w:r>
        <w:rPr>
          <w:rFonts w:hint="eastAsia"/>
          <w:lang w:val="en-US" w:eastAsia="zh-CN"/>
        </w:rPr>
        <w:t xml:space="preserve">  </w:t>
      </w:r>
      <w:r>
        <w:rPr>
          <w:rFonts w:hint="eastAsia"/>
        </w:rPr>
        <w:t>地表水环境质量标准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7"/>
        <w:gridCol w:w="3207"/>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标准</w:t>
            </w:r>
          </w:p>
        </w:tc>
        <w:tc>
          <w:tcPr>
            <w:tcW w:w="3207"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w:t>
            </w:r>
          </w:p>
        </w:tc>
        <w:tc>
          <w:tcPr>
            <w:tcW w:w="3208"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30"/>
              <w:widowControl w:val="0"/>
              <w:jc w:val="center"/>
              <w:rPr>
                <w:rFonts w:hint="eastAsia"/>
                <w:vertAlign w:val="baseline"/>
                <w:lang w:val="en-US" w:eastAsia="zh-CN"/>
              </w:rPr>
            </w:pPr>
            <w:r>
              <w:rPr>
                <w:rFonts w:hint="eastAsia"/>
              </w:rPr>
              <w:t>《地表水环境质量标准》（</w:t>
            </w:r>
            <w:r>
              <w:rPr>
                <w:rFonts w:hint="default"/>
              </w:rPr>
              <w:t>GB3838-2002</w:t>
            </w:r>
            <w:r>
              <w:rPr>
                <w:rFonts w:hint="eastAsia"/>
              </w:rPr>
              <w:t>）</w:t>
            </w:r>
            <w:r>
              <w:rPr>
                <w:rFonts w:hint="default" w:ascii="Times New Roman" w:hAnsi="Times New Roman" w:cs="Times New Roman"/>
              </w:rPr>
              <w:t>Ⅲ</w:t>
            </w:r>
            <w:r>
              <w:rPr>
                <w:rFonts w:hint="eastAsia"/>
              </w:rPr>
              <w:t>类</w:t>
            </w:r>
          </w:p>
        </w:tc>
        <w:tc>
          <w:tcPr>
            <w:tcW w:w="3207" w:type="dxa"/>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rPr>
              <w:t>pH</w:t>
            </w:r>
          </w:p>
        </w:tc>
        <w:tc>
          <w:tcPr>
            <w:tcW w:w="3208" w:type="dxa"/>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6-9（无量纲）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水温</w:t>
            </w:r>
          </w:p>
        </w:tc>
        <w:tc>
          <w:tcPr>
            <w:tcW w:w="3208" w:type="dxa"/>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溶解氧</w:t>
            </w:r>
          </w:p>
        </w:tc>
        <w:tc>
          <w:tcPr>
            <w:tcW w:w="3208" w:type="dxa"/>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≥5</w:t>
            </w:r>
            <w:r>
              <w:rPr>
                <w:rFonts w:hint="default"/>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悬浮物</w:t>
            </w:r>
          </w:p>
        </w:tc>
        <w:tc>
          <w:tcPr>
            <w:tcW w:w="3208" w:type="dxa"/>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rPr>
              <w:t>化学需氧量</w:t>
            </w:r>
          </w:p>
        </w:tc>
        <w:tc>
          <w:tcPr>
            <w:tcW w:w="3208" w:type="dxa"/>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20</w:t>
            </w:r>
            <w:r>
              <w:rPr>
                <w:rFonts w:hint="default"/>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五日生化需氧量</w:t>
            </w:r>
          </w:p>
        </w:tc>
        <w:tc>
          <w:tcPr>
            <w:tcW w:w="3208" w:type="dxa"/>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4</w:t>
            </w:r>
            <w:r>
              <w:rPr>
                <w:rFonts w:hint="default"/>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石油类</w:t>
            </w:r>
          </w:p>
        </w:tc>
        <w:tc>
          <w:tcPr>
            <w:tcW w:w="0" w:type="auto"/>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0.05</w:t>
            </w:r>
            <w:r>
              <w:rPr>
                <w:rFonts w:hint="default"/>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rPr>
              <w:t>氨氮</w:t>
            </w:r>
          </w:p>
        </w:tc>
        <w:tc>
          <w:tcPr>
            <w:tcW w:w="0" w:type="auto"/>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1.0</w:t>
            </w:r>
            <w:r>
              <w:rPr>
                <w:rFonts w:hint="default"/>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总氮</w:t>
            </w:r>
          </w:p>
        </w:tc>
        <w:tc>
          <w:tcPr>
            <w:tcW w:w="0" w:type="auto"/>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1.0</w:t>
            </w:r>
            <w:r>
              <w:rPr>
                <w:rFonts w:hint="default"/>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总磷</w:t>
            </w:r>
          </w:p>
        </w:tc>
        <w:tc>
          <w:tcPr>
            <w:tcW w:w="0" w:type="auto"/>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0.2</w:t>
            </w:r>
            <w:r>
              <w:rPr>
                <w:rFonts w:hint="default"/>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挥发酚</w:t>
            </w:r>
          </w:p>
        </w:tc>
        <w:tc>
          <w:tcPr>
            <w:tcW w:w="0" w:type="auto"/>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0.005</w:t>
            </w:r>
            <w:r>
              <w:rPr>
                <w:rFonts w:hint="default"/>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粪大肠菌群</w:t>
            </w:r>
          </w:p>
        </w:tc>
        <w:tc>
          <w:tcPr>
            <w:tcW w:w="0" w:type="auto"/>
            <w:vAlign w:val="center"/>
          </w:tcPr>
          <w:p>
            <w:pPr>
              <w:pStyle w:val="30"/>
              <w:widowControl w:val="0"/>
              <w:bidi w:val="0"/>
              <w:ind w:firstLine="0" w:firstLineChars="0"/>
              <w:rPr>
                <w:rFonts w:hint="default" w:ascii="Times New Roman" w:hAnsi="Times New Roman" w:eastAsia="宋体" w:cs="Times New Roman"/>
                <w:kern w:val="2"/>
                <w:sz w:val="21"/>
                <w:vertAlign w:val="superscript"/>
                <w:lang w:val="en-US" w:eastAsia="zh-CN"/>
              </w:rPr>
            </w:pPr>
            <w:r>
              <w:rPr>
                <w:rFonts w:hint="eastAsia"/>
                <w:lang w:val="en-US" w:eastAsia="zh-CN"/>
              </w:rPr>
              <w:t>1</w:t>
            </w:r>
            <w:r>
              <w:rPr>
                <w:rFonts w:hint="default"/>
                <w:lang w:val="en-US" w:eastAsia="zh-CN"/>
              </w:rPr>
              <w:t>×10</w:t>
            </w:r>
            <w:r>
              <w:rPr>
                <w:rFonts w:hint="eastAsia"/>
                <w:vertAlign w:val="superscript"/>
                <w:lang w:val="en-US" w:eastAsia="zh-CN"/>
              </w:rPr>
              <w:t>4</w:t>
            </w:r>
            <w:r>
              <w:rPr>
                <w:rFonts w:hint="default"/>
                <w:lang w:val="en-US" w:eastAsia="zh-CN"/>
              </w:rPr>
              <w:t>MPN/L</w:t>
            </w:r>
          </w:p>
        </w:tc>
      </w:tr>
    </w:tbl>
    <w:p>
      <w:pPr>
        <w:bidi w:val="0"/>
        <w:rPr>
          <w:rFonts w:hint="eastAsia"/>
          <w:b/>
          <w:bCs/>
        </w:rPr>
      </w:pPr>
      <w:r>
        <w:rPr>
          <w:rFonts w:hint="eastAsia"/>
          <w:b/>
          <w:bCs/>
        </w:rPr>
        <w:t>（</w:t>
      </w:r>
      <w:r>
        <w:rPr>
          <w:rFonts w:hint="default"/>
          <w:b/>
          <w:bCs/>
        </w:rPr>
        <w:t>3</w:t>
      </w:r>
      <w:r>
        <w:rPr>
          <w:rFonts w:hint="eastAsia"/>
          <w:b/>
          <w:bCs/>
        </w:rPr>
        <w:t>）地下水环境质量标准</w:t>
      </w:r>
    </w:p>
    <w:p>
      <w:pPr>
        <w:bidi w:val="0"/>
        <w:rPr>
          <w:rFonts w:hint="eastAsia"/>
          <w:lang w:val="en-US" w:eastAsia="zh-CN"/>
        </w:rPr>
      </w:pPr>
      <w:r>
        <w:rPr>
          <w:rFonts w:hint="eastAsia"/>
        </w:rPr>
        <w:t>区域地下水环境质量标准执行《地下水质量标准》（</w:t>
      </w:r>
      <w:r>
        <w:rPr>
          <w:rFonts w:hint="default"/>
        </w:rPr>
        <w:t>GB/T14848-2017</w:t>
      </w:r>
      <w:r>
        <w:rPr>
          <w:rFonts w:hint="eastAsia"/>
        </w:rPr>
        <w:t>）</w:t>
      </w:r>
      <w:r>
        <w:rPr>
          <w:rFonts w:hint="default" w:ascii="Times New Roman" w:hAnsi="Times New Roman" w:cs="Times New Roman"/>
        </w:rPr>
        <w:t>Ⅲ</w:t>
      </w:r>
      <w:r>
        <w:rPr>
          <w:rFonts w:hint="eastAsia"/>
        </w:rPr>
        <w:t>类标准。具体标准值见表</w:t>
      </w:r>
      <w:r>
        <w:rPr>
          <w:rFonts w:hint="default"/>
        </w:rPr>
        <w:t>1.5-3</w:t>
      </w:r>
      <w:r>
        <w:rPr>
          <w:rFonts w:hint="eastAsia"/>
        </w:rPr>
        <w:t>。</w:t>
      </w:r>
    </w:p>
    <w:p>
      <w:pPr>
        <w:pStyle w:val="29"/>
        <w:bidi w:val="0"/>
        <w:rPr>
          <w:rFonts w:hint="eastAsia"/>
        </w:rPr>
      </w:pPr>
      <w:r>
        <w:rPr>
          <w:rFonts w:hint="eastAsia"/>
        </w:rPr>
        <w:t>表</w:t>
      </w:r>
      <w:r>
        <w:rPr>
          <w:rFonts w:hint="default"/>
        </w:rPr>
        <w:t>1.5-3</w:t>
      </w:r>
      <w:r>
        <w:rPr>
          <w:rFonts w:hint="eastAsia"/>
          <w:lang w:val="en-US" w:eastAsia="zh-CN"/>
        </w:rPr>
        <w:t xml:space="preserve">  </w:t>
      </w:r>
      <w:r>
        <w:rPr>
          <w:rFonts w:hint="eastAsia"/>
        </w:rPr>
        <w:t>地下水环境质量标准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7"/>
        <w:gridCol w:w="3207"/>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标准</w:t>
            </w:r>
          </w:p>
        </w:tc>
        <w:tc>
          <w:tcPr>
            <w:tcW w:w="3207"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w:t>
            </w:r>
          </w:p>
        </w:tc>
        <w:tc>
          <w:tcPr>
            <w:tcW w:w="3208"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30"/>
              <w:widowControl w:val="0"/>
              <w:jc w:val="center"/>
              <w:rPr>
                <w:rFonts w:hint="eastAsia"/>
                <w:vertAlign w:val="baseline"/>
                <w:lang w:val="en-US" w:eastAsia="zh-CN"/>
              </w:rPr>
            </w:pPr>
            <w:r>
              <w:rPr>
                <w:rFonts w:hint="eastAsia"/>
              </w:rPr>
              <w:t>《地下水质量标准》（</w:t>
            </w:r>
            <w:r>
              <w:rPr>
                <w:rFonts w:hint="default"/>
              </w:rPr>
              <w:t>GB/T14848-2017</w:t>
            </w:r>
            <w:r>
              <w:rPr>
                <w:rFonts w:hint="eastAsia"/>
              </w:rPr>
              <w:t>）</w:t>
            </w:r>
          </w:p>
        </w:tc>
        <w:tc>
          <w:tcPr>
            <w:tcW w:w="32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TimesNewRomanPSMT" w:hAnsi="TimesNewRomanPSMT" w:eastAsia="TimesNewRomanPSMT"/>
                <w:sz w:val="21"/>
              </w:rPr>
              <w:t>pH</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6.5~8.5（无量纲）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宋体" w:hAnsi="宋体" w:eastAsia="宋体"/>
                <w:sz w:val="21"/>
              </w:rPr>
              <w:t>耗氧量</w:t>
            </w:r>
          </w:p>
        </w:tc>
        <w:tc>
          <w:tcPr>
            <w:tcW w:w="3208"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≤3.0mg/L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宋体" w:hAnsi="宋体" w:eastAsia="宋体"/>
                <w:sz w:val="21"/>
              </w:rPr>
              <w:t>溶解性总固体</w:t>
            </w:r>
          </w:p>
        </w:tc>
        <w:tc>
          <w:tcPr>
            <w:tcW w:w="3208"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≤1000mg/L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宋体" w:hAnsi="宋体" w:eastAsia="宋体"/>
                <w:sz w:val="21"/>
              </w:rPr>
              <w:t>总硬度</w:t>
            </w:r>
          </w:p>
        </w:tc>
        <w:tc>
          <w:tcPr>
            <w:tcW w:w="3208"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≤450mg/L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宋体" w:hAnsi="宋体" w:eastAsia="宋体"/>
                <w:sz w:val="21"/>
              </w:rPr>
              <w:t>碳酸根</w:t>
            </w:r>
          </w:p>
        </w:tc>
        <w:tc>
          <w:tcPr>
            <w:tcW w:w="3208"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宋体" w:hAnsi="宋体" w:eastAsia="宋体"/>
                <w:sz w:val="21"/>
              </w:rPr>
              <w:t>重碳酸根</w:t>
            </w:r>
          </w:p>
        </w:tc>
        <w:tc>
          <w:tcPr>
            <w:tcW w:w="3208"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宋体" w:hAnsi="宋体" w:eastAsia="宋体"/>
                <w:sz w:val="21"/>
              </w:rPr>
              <w:t>氨氮</w:t>
            </w:r>
          </w:p>
        </w:tc>
        <w:tc>
          <w:tcPr>
            <w:tcW w:w="3208" w:type="dxa"/>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≤0.5</w:t>
            </w:r>
            <w:r>
              <w:rPr>
                <w:rFonts w:hint="eastAsia"/>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rPr>
              <w:t>铬（六价）</w:t>
            </w:r>
          </w:p>
        </w:tc>
        <w:tc>
          <w:tcPr>
            <w:tcW w:w="3208" w:type="dxa"/>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≤0.05</w:t>
            </w:r>
            <w:r>
              <w:rPr>
                <w:rFonts w:hint="eastAsia"/>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rPr>
              <w:t>挥发酚</w:t>
            </w:r>
          </w:p>
        </w:tc>
        <w:tc>
          <w:tcPr>
            <w:tcW w:w="3208" w:type="dxa"/>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≤1.00</w:t>
            </w:r>
            <w:r>
              <w:rPr>
                <w:rFonts w:hint="eastAsia"/>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rPr>
              <w:t>氰化物</w:t>
            </w:r>
          </w:p>
        </w:tc>
        <w:tc>
          <w:tcPr>
            <w:tcW w:w="3208"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rPr>
              <w:t>氟化物（氟离子）</w:t>
            </w:r>
          </w:p>
        </w:tc>
        <w:tc>
          <w:tcPr>
            <w:tcW w:w="3208"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bidi w:val="0"/>
              <w:jc w:val="center"/>
              <w:rPr>
                <w:rFonts w:hint="eastAsia"/>
              </w:rPr>
            </w:pPr>
            <w:r>
              <w:rPr>
                <w:rFonts w:hint="eastAsia"/>
              </w:rPr>
              <w:t>亚硝酸盐氮</w:t>
            </w:r>
          </w:p>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rPr>
              <w:t>（亚硝酸根）</w:t>
            </w:r>
          </w:p>
        </w:tc>
        <w:tc>
          <w:tcPr>
            <w:tcW w:w="3208"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≤1.00mg/L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bidi w:val="0"/>
              <w:jc w:val="center"/>
              <w:rPr>
                <w:rFonts w:hint="eastAsia"/>
              </w:rPr>
            </w:pPr>
            <w:r>
              <w:rPr>
                <w:rFonts w:hint="eastAsia"/>
              </w:rPr>
              <w:t>硝酸根</w:t>
            </w:r>
          </w:p>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rPr>
              <w:t>（硝酸盐氮）</w:t>
            </w:r>
          </w:p>
        </w:tc>
        <w:tc>
          <w:tcPr>
            <w:tcW w:w="3208"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≤20.0mg/L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rPr>
              <w:t>氯化物（氯离子）</w:t>
            </w:r>
          </w:p>
        </w:tc>
        <w:tc>
          <w:tcPr>
            <w:tcW w:w="3208"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207" w:type="dxa"/>
            <w:tcBorders>
              <w:tl2br w:val="nil"/>
              <w:tr2bl w:val="nil"/>
            </w:tcBorders>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rPr>
              <w:t>硫酸盐（硫酸根）</w:t>
            </w:r>
          </w:p>
        </w:tc>
        <w:tc>
          <w:tcPr>
            <w:tcW w:w="3208"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钾</w:t>
            </w:r>
          </w:p>
        </w:tc>
        <w:tc>
          <w:tcPr>
            <w:tcW w:w="0" w:type="auto"/>
            <w:vAlign w:val="top"/>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kern w:val="2"/>
                <w:sz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钠</w:t>
            </w:r>
          </w:p>
        </w:tc>
        <w:tc>
          <w:tcPr>
            <w:tcW w:w="0" w:type="auto"/>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钙</w:t>
            </w:r>
          </w:p>
        </w:tc>
        <w:tc>
          <w:tcPr>
            <w:tcW w:w="0" w:type="auto"/>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镁</w:t>
            </w:r>
          </w:p>
        </w:tc>
        <w:tc>
          <w:tcPr>
            <w:tcW w:w="0" w:type="auto"/>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铁</w:t>
            </w:r>
          </w:p>
        </w:tc>
        <w:tc>
          <w:tcPr>
            <w:tcW w:w="0" w:type="auto"/>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锰</w:t>
            </w:r>
          </w:p>
        </w:tc>
        <w:tc>
          <w:tcPr>
            <w:tcW w:w="0" w:type="auto"/>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铅</w:t>
            </w:r>
          </w:p>
        </w:tc>
        <w:tc>
          <w:tcPr>
            <w:tcW w:w="0" w:type="auto"/>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≤0.01</w:t>
            </w:r>
            <w:r>
              <w:rPr>
                <w:rFonts w:hint="default" w:ascii="Times New Roman" w:hAnsi="Times New Roman" w:cs="Times New Roman"/>
                <w:vertAlign w:val="baseline"/>
                <w:lang w:val="en-US" w:eastAsia="zh-CN"/>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镉</w:t>
            </w:r>
          </w:p>
        </w:tc>
        <w:tc>
          <w:tcPr>
            <w:tcW w:w="0" w:type="auto"/>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≤0.005</w:t>
            </w:r>
            <w:r>
              <w:rPr>
                <w:rFonts w:hint="default" w:ascii="Times New Roman" w:hAnsi="Times New Roman" w:cs="Times New Roman"/>
                <w:vertAlign w:val="baseline"/>
                <w:lang w:val="en-US" w:eastAsia="zh-CN"/>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汞</w:t>
            </w:r>
          </w:p>
        </w:tc>
        <w:tc>
          <w:tcPr>
            <w:tcW w:w="0" w:type="auto"/>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≤0.001</w:t>
            </w:r>
            <w:r>
              <w:rPr>
                <w:rFonts w:hint="default" w:ascii="Times New Roman" w:hAnsi="Times New Roman" w:cs="Times New Roman"/>
                <w:vertAlign w:val="baseline"/>
                <w:lang w:val="en-US" w:eastAsia="zh-CN"/>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砷</w:t>
            </w:r>
          </w:p>
        </w:tc>
        <w:tc>
          <w:tcPr>
            <w:tcW w:w="0" w:type="auto"/>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≤0.01</w:t>
            </w:r>
            <w:r>
              <w:rPr>
                <w:rFonts w:hint="default" w:ascii="Times New Roman" w:hAnsi="Times New Roman" w:cs="Times New Roman"/>
                <w:vertAlign w:val="baseline"/>
                <w:lang w:val="en-US" w:eastAsia="zh-CN"/>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总大肠菌群</w:t>
            </w:r>
          </w:p>
        </w:tc>
        <w:tc>
          <w:tcPr>
            <w:tcW w:w="0" w:type="auto"/>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≤3.0MPN/L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Pr>
          <w:p>
            <w:pPr>
              <w:pStyle w:val="30"/>
              <w:widowControl w:val="0"/>
              <w:jc w:val="center"/>
              <w:rPr>
                <w:rFonts w:hint="eastAsia"/>
                <w:vertAlign w:val="baseline"/>
                <w:lang w:val="en-US" w:eastAsia="zh-CN"/>
              </w:rPr>
            </w:pPr>
          </w:p>
        </w:tc>
        <w:tc>
          <w:tcPr>
            <w:tcW w:w="0" w:type="auto"/>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细菌总数</w:t>
            </w:r>
          </w:p>
        </w:tc>
        <w:tc>
          <w:tcPr>
            <w:tcW w:w="0" w:type="auto"/>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≤100CFU/mL</w:t>
            </w:r>
          </w:p>
        </w:tc>
      </w:tr>
    </w:tbl>
    <w:p>
      <w:pPr>
        <w:bidi w:val="0"/>
        <w:rPr>
          <w:rFonts w:hint="default"/>
          <w:b/>
          <w:bCs/>
          <w:lang w:val="en-US" w:eastAsia="zh-CN"/>
        </w:rPr>
      </w:pPr>
      <w:r>
        <w:rPr>
          <w:rFonts w:hint="eastAsia"/>
          <w:b/>
          <w:bCs/>
          <w:lang w:val="en-US" w:eastAsia="zh-CN"/>
        </w:rPr>
        <w:t>（4）声环境质量标准</w:t>
      </w:r>
    </w:p>
    <w:p>
      <w:pPr>
        <w:bidi w:val="0"/>
        <w:rPr>
          <w:rFonts w:hint="eastAsia"/>
        </w:rPr>
      </w:pPr>
      <w:r>
        <w:rPr>
          <w:rFonts w:hint="eastAsia"/>
        </w:rPr>
        <w:t>本项目声环境质量执行《声环境质量标准》（</w:t>
      </w:r>
      <w:r>
        <w:rPr>
          <w:rFonts w:hint="default"/>
        </w:rPr>
        <w:t>GB3096-2008</w:t>
      </w:r>
      <w:r>
        <w:rPr>
          <w:rFonts w:hint="eastAsia"/>
        </w:rPr>
        <w:t>）</w:t>
      </w:r>
      <w:r>
        <w:rPr>
          <w:rFonts w:hint="default"/>
        </w:rPr>
        <w:t>2</w:t>
      </w:r>
      <w:r>
        <w:rPr>
          <w:rFonts w:hint="eastAsia"/>
        </w:rPr>
        <w:t>类标准，见表</w:t>
      </w:r>
      <w:r>
        <w:rPr>
          <w:rFonts w:hint="default"/>
        </w:rPr>
        <w:t>1.5-4</w:t>
      </w:r>
      <w:r>
        <w:rPr>
          <w:rFonts w:hint="eastAsia"/>
        </w:rPr>
        <w:t>。</w:t>
      </w:r>
    </w:p>
    <w:p>
      <w:pPr>
        <w:pStyle w:val="29"/>
        <w:bidi w:val="0"/>
        <w:rPr>
          <w:rFonts w:hint="eastAsia"/>
          <w:lang w:val="en-US" w:eastAsia="zh-CN"/>
        </w:rPr>
      </w:pPr>
      <w:r>
        <w:rPr>
          <w:rFonts w:hint="eastAsia"/>
        </w:rPr>
        <w:t>表</w:t>
      </w:r>
      <w:r>
        <w:rPr>
          <w:rFonts w:hint="default"/>
        </w:rPr>
        <w:t xml:space="preserve">1.5-4 </w:t>
      </w:r>
      <w:r>
        <w:rPr>
          <w:rFonts w:hint="eastAsia"/>
          <w:lang w:val="en-US" w:eastAsia="zh-CN"/>
        </w:rPr>
        <w:t xml:space="preserve"> </w:t>
      </w:r>
      <w:r>
        <w:rPr>
          <w:rFonts w:hint="eastAsia"/>
        </w:rPr>
        <w:t>声环境质量标准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7"/>
        <w:gridCol w:w="3207"/>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标准</w:t>
            </w:r>
          </w:p>
        </w:tc>
        <w:tc>
          <w:tcPr>
            <w:tcW w:w="3207"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类别</w:t>
            </w:r>
          </w:p>
        </w:tc>
        <w:tc>
          <w:tcPr>
            <w:tcW w:w="3208"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噪声限值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30"/>
              <w:widowControl w:val="0"/>
              <w:bidi w:val="0"/>
              <w:jc w:val="center"/>
              <w:rPr>
                <w:rFonts w:hint="eastAsia"/>
                <w:lang w:val="en-US" w:eastAsia="zh-CN"/>
              </w:rPr>
            </w:pPr>
            <w:r>
              <w:rPr>
                <w:rFonts w:hint="eastAsia"/>
              </w:rPr>
              <w:t>《声环境质量标准》（</w:t>
            </w:r>
            <w:r>
              <w:rPr>
                <w:rFonts w:hint="default"/>
              </w:rPr>
              <w:t>GB3096-2008</w:t>
            </w:r>
            <w:r>
              <w:rPr>
                <w:rFonts w:hint="eastAsia"/>
              </w:rPr>
              <w:t>）</w:t>
            </w:r>
          </w:p>
        </w:tc>
        <w:tc>
          <w:tcPr>
            <w:tcW w:w="3207" w:type="dxa"/>
            <w:vMerge w:val="restart"/>
            <w:tcBorders>
              <w:tl2br w:val="nil"/>
              <w:tr2bl w:val="nil"/>
            </w:tcBorders>
            <w:vAlign w:val="center"/>
          </w:tcPr>
          <w:p>
            <w:pPr>
              <w:pStyle w:val="30"/>
              <w:widowControl w:val="0"/>
              <w:bidi w:val="0"/>
              <w:jc w:val="center"/>
              <w:rPr>
                <w:rFonts w:hint="eastAsia"/>
                <w:lang w:val="en-US" w:eastAsia="zh-CN"/>
              </w:rPr>
            </w:pPr>
            <w:r>
              <w:rPr>
                <w:rFonts w:hint="eastAsia" w:ascii="宋体" w:hAnsi="宋体" w:eastAsia="宋体"/>
                <w:sz w:val="22"/>
                <w:szCs w:val="24"/>
              </w:rPr>
              <w:t>等效连续声级</w:t>
            </w:r>
            <w:r>
              <w:rPr>
                <w:rFonts w:hint="default" w:ascii="Times New Roman" w:hAnsi="Times New Roman" w:eastAsia="Times New Roman"/>
                <w:sz w:val="22"/>
                <w:szCs w:val="24"/>
              </w:rPr>
              <w:t>Leq</w:t>
            </w:r>
          </w:p>
        </w:tc>
        <w:tc>
          <w:tcPr>
            <w:tcW w:w="3208" w:type="dxa"/>
            <w:tcBorders>
              <w:tl2br w:val="nil"/>
              <w:tr2bl w:val="nil"/>
            </w:tcBorders>
            <w:vAlign w:val="center"/>
          </w:tcPr>
          <w:p>
            <w:pPr>
              <w:pStyle w:val="30"/>
              <w:widowControl w:val="0"/>
              <w:bidi w:val="0"/>
              <w:jc w:val="center"/>
              <w:rPr>
                <w:rFonts w:hint="eastAsia"/>
                <w:lang w:val="en-US" w:eastAsia="zh-CN"/>
              </w:rPr>
            </w:pPr>
            <w:r>
              <w:rPr>
                <w:rFonts w:hint="eastAsia" w:ascii="宋体" w:hAnsi="宋体" w:eastAsia="宋体"/>
                <w:sz w:val="22"/>
                <w:szCs w:val="24"/>
              </w:rPr>
              <w:t>昼间</w:t>
            </w:r>
            <w:r>
              <w:rPr>
                <w:rFonts w:hint="default" w:ascii="Times New Roman" w:hAnsi="Times New Roman" w:eastAsia="Times New Roman"/>
                <w:sz w:val="22"/>
                <w:szCs w:val="24"/>
              </w:rPr>
              <w:t>60dB</w:t>
            </w:r>
            <w:r>
              <w:rPr>
                <w:rFonts w:hint="eastAsia" w:ascii="宋体" w:hAnsi="宋体" w:eastAsia="宋体"/>
                <w:sz w:val="22"/>
                <w:szCs w:val="24"/>
              </w:rPr>
              <w:t>（</w:t>
            </w:r>
            <w:r>
              <w:rPr>
                <w:rFonts w:hint="default" w:ascii="Times New Roman" w:hAnsi="Times New Roman" w:eastAsia="Times New Roman"/>
                <w:sz w:val="22"/>
                <w:szCs w:val="24"/>
              </w:rPr>
              <w:t>A</w:t>
            </w:r>
            <w:r>
              <w:rPr>
                <w:rFonts w:hint="eastAsia" w:ascii="宋体" w:hAnsi="宋体" w:eastAsia="宋体"/>
                <w:sz w:val="22"/>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bidi w:val="0"/>
              <w:jc w:val="center"/>
              <w:rPr>
                <w:rFonts w:hint="eastAsia"/>
                <w:lang w:val="en-US" w:eastAsia="zh-CN"/>
              </w:rPr>
            </w:pPr>
          </w:p>
        </w:tc>
        <w:tc>
          <w:tcPr>
            <w:tcW w:w="3207" w:type="dxa"/>
            <w:vMerge w:val="continue"/>
            <w:tcBorders>
              <w:tl2br w:val="nil"/>
              <w:tr2bl w:val="nil"/>
            </w:tcBorders>
            <w:vAlign w:val="center"/>
          </w:tcPr>
          <w:p>
            <w:pPr>
              <w:pStyle w:val="30"/>
              <w:widowControl w:val="0"/>
              <w:bidi w:val="0"/>
              <w:jc w:val="center"/>
              <w:rPr>
                <w:rFonts w:hint="eastAsia"/>
                <w:lang w:val="en-US" w:eastAsia="zh-CN"/>
              </w:rPr>
            </w:pPr>
          </w:p>
        </w:tc>
        <w:tc>
          <w:tcPr>
            <w:tcW w:w="3208" w:type="dxa"/>
            <w:tcBorders>
              <w:tl2br w:val="nil"/>
              <w:tr2bl w:val="nil"/>
            </w:tcBorders>
            <w:vAlign w:val="center"/>
          </w:tcPr>
          <w:p>
            <w:pPr>
              <w:pStyle w:val="30"/>
              <w:widowControl w:val="0"/>
              <w:bidi w:val="0"/>
              <w:jc w:val="center"/>
              <w:rPr>
                <w:rFonts w:hint="eastAsia"/>
                <w:lang w:val="en-US" w:eastAsia="zh-CN"/>
              </w:rPr>
            </w:pPr>
            <w:r>
              <w:rPr>
                <w:rFonts w:hint="eastAsia" w:ascii="宋体" w:hAnsi="宋体" w:eastAsia="宋体"/>
                <w:sz w:val="22"/>
                <w:szCs w:val="24"/>
              </w:rPr>
              <w:t>夜间</w:t>
            </w:r>
            <w:r>
              <w:rPr>
                <w:rFonts w:hint="default" w:ascii="Times New Roman" w:hAnsi="Times New Roman" w:eastAsia="Times New Roman"/>
                <w:sz w:val="22"/>
                <w:szCs w:val="24"/>
              </w:rPr>
              <w:t>50dB</w:t>
            </w:r>
            <w:r>
              <w:rPr>
                <w:rFonts w:hint="eastAsia" w:ascii="宋体" w:hAnsi="宋体" w:eastAsia="宋体"/>
                <w:sz w:val="22"/>
                <w:szCs w:val="24"/>
              </w:rPr>
              <w:t>（</w:t>
            </w:r>
            <w:r>
              <w:rPr>
                <w:rFonts w:hint="default" w:ascii="Times New Roman" w:hAnsi="Times New Roman" w:eastAsia="Times New Roman"/>
                <w:sz w:val="22"/>
                <w:szCs w:val="24"/>
              </w:rPr>
              <w:t>A</w:t>
            </w:r>
            <w:r>
              <w:rPr>
                <w:rFonts w:hint="eastAsia" w:ascii="宋体" w:hAnsi="宋体" w:eastAsia="宋体"/>
                <w:sz w:val="22"/>
                <w:szCs w:val="24"/>
              </w:rPr>
              <w:t>）</w:t>
            </w:r>
          </w:p>
        </w:tc>
      </w:tr>
    </w:tbl>
    <w:p>
      <w:pPr>
        <w:pStyle w:val="6"/>
        <w:bidi w:val="0"/>
        <w:rPr>
          <w:rFonts w:hint="default"/>
          <w:lang w:val="en-US" w:eastAsia="zh-CN"/>
        </w:rPr>
      </w:pPr>
      <w:r>
        <w:rPr>
          <w:rFonts w:hint="eastAsia"/>
          <w:lang w:val="en-US" w:eastAsia="zh-CN"/>
        </w:rPr>
        <w:t>污染物排放标准</w:t>
      </w:r>
    </w:p>
    <w:p>
      <w:pPr>
        <w:rPr>
          <w:rFonts w:hint="default"/>
          <w:b/>
          <w:bCs/>
          <w:lang w:val="en-US" w:eastAsia="zh-CN"/>
        </w:rPr>
      </w:pPr>
      <w:r>
        <w:rPr>
          <w:rFonts w:hint="eastAsia"/>
          <w:b/>
          <w:bCs/>
          <w:lang w:val="en-US" w:eastAsia="zh-CN"/>
        </w:rPr>
        <w:t>（1）大气污染物</w:t>
      </w:r>
    </w:p>
    <w:p>
      <w:pPr>
        <w:bidi w:val="0"/>
        <w:rPr>
          <w:rFonts w:hint="eastAsia"/>
          <w:lang w:val="en-US" w:eastAsia="zh-CN"/>
        </w:rPr>
      </w:pPr>
      <w:r>
        <w:rPr>
          <w:rFonts w:hint="eastAsia"/>
        </w:rPr>
        <w:t>本项目废气主要是氨、硫化氢，执行《恶臭污染物排放标准》（</w:t>
      </w:r>
      <w:r>
        <w:rPr>
          <w:rFonts w:hint="default"/>
        </w:rPr>
        <w:t>GB14554-93</w:t>
      </w:r>
      <w:r>
        <w:rPr>
          <w:rFonts w:hint="eastAsia"/>
        </w:rPr>
        <w:t>）表</w:t>
      </w:r>
      <w:r>
        <w:rPr>
          <w:rFonts w:hint="default"/>
        </w:rPr>
        <w:t>1</w:t>
      </w:r>
      <w:r>
        <w:rPr>
          <w:rFonts w:hint="eastAsia"/>
        </w:rPr>
        <w:t>表</w:t>
      </w:r>
      <w:r>
        <w:rPr>
          <w:rFonts w:hint="default"/>
        </w:rPr>
        <w:t>2</w:t>
      </w:r>
      <w:r>
        <w:rPr>
          <w:rFonts w:hint="eastAsia"/>
        </w:rPr>
        <w:t>中相应标准，排放标准值见表</w:t>
      </w:r>
      <w:r>
        <w:rPr>
          <w:rFonts w:hint="default"/>
        </w:rPr>
        <w:t>1.5-5</w:t>
      </w:r>
      <w:r>
        <w:rPr>
          <w:rFonts w:hint="eastAsia"/>
        </w:rPr>
        <w:t>。</w:t>
      </w:r>
    </w:p>
    <w:p>
      <w:pPr>
        <w:pStyle w:val="29"/>
        <w:bidi w:val="0"/>
        <w:rPr>
          <w:rFonts w:hint="eastAsia"/>
        </w:rPr>
      </w:pPr>
      <w:r>
        <w:rPr>
          <w:rFonts w:hint="eastAsia"/>
        </w:rPr>
        <w:t>表</w:t>
      </w:r>
      <w:r>
        <w:rPr>
          <w:rFonts w:hint="default"/>
        </w:rPr>
        <w:t>1.5-5</w:t>
      </w:r>
      <w:r>
        <w:rPr>
          <w:rFonts w:hint="eastAsia"/>
          <w:lang w:val="en-US" w:eastAsia="zh-CN"/>
        </w:rPr>
        <w:t xml:space="preserve">  </w:t>
      </w:r>
      <w:r>
        <w:rPr>
          <w:rFonts w:hint="eastAsia"/>
        </w:rPr>
        <w:t>恶臭污染物排放标准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2610"/>
        <w:gridCol w:w="2040"/>
        <w:gridCol w:w="3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5"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控制项目</w:t>
            </w:r>
          </w:p>
        </w:tc>
        <w:tc>
          <w:tcPr>
            <w:tcW w:w="4650" w:type="dxa"/>
            <w:gridSpan w:val="2"/>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有组织排放</w:t>
            </w:r>
          </w:p>
        </w:tc>
        <w:tc>
          <w:tcPr>
            <w:tcW w:w="3407"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5" w:type="dxa"/>
            <w:vMerge w:val="continue"/>
            <w:tcBorders>
              <w:tl2br w:val="nil"/>
              <w:tr2bl w:val="nil"/>
            </w:tcBorders>
            <w:vAlign w:val="center"/>
          </w:tcPr>
          <w:p>
            <w:pPr>
              <w:pStyle w:val="30"/>
              <w:widowControl w:val="0"/>
              <w:jc w:val="center"/>
              <w:rPr>
                <w:rFonts w:hint="eastAsia"/>
                <w:b/>
                <w:bCs/>
                <w:vertAlign w:val="baseline"/>
                <w:lang w:val="en-US" w:eastAsia="zh-CN"/>
              </w:rPr>
            </w:pPr>
          </w:p>
        </w:tc>
        <w:tc>
          <w:tcPr>
            <w:tcW w:w="261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排气筒高度（m）</w:t>
            </w:r>
          </w:p>
        </w:tc>
        <w:tc>
          <w:tcPr>
            <w:tcW w:w="204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标准值（kg/h）</w:t>
            </w:r>
          </w:p>
        </w:tc>
        <w:tc>
          <w:tcPr>
            <w:tcW w:w="3407"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二级（新改扩建，mg/m</w:t>
            </w:r>
            <w:r>
              <w:rPr>
                <w:rFonts w:hint="eastAsia"/>
                <w:b/>
                <w:bCs/>
                <w:vertAlign w:val="superscript"/>
                <w:lang w:val="en-US" w:eastAsia="zh-CN"/>
              </w:rPr>
              <w:t>3</w:t>
            </w:r>
            <w:r>
              <w:rPr>
                <w:rFonts w:hint="eastAsia"/>
                <w:b/>
                <w:bCs/>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氨</w:t>
            </w:r>
          </w:p>
        </w:tc>
        <w:tc>
          <w:tcPr>
            <w:tcW w:w="26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15</w:t>
            </w:r>
          </w:p>
        </w:tc>
        <w:tc>
          <w:tcPr>
            <w:tcW w:w="204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4.9</w:t>
            </w:r>
          </w:p>
        </w:tc>
        <w:tc>
          <w:tcPr>
            <w:tcW w:w="34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硫化氢</w:t>
            </w:r>
          </w:p>
        </w:tc>
        <w:tc>
          <w:tcPr>
            <w:tcW w:w="26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15</w:t>
            </w:r>
          </w:p>
        </w:tc>
        <w:tc>
          <w:tcPr>
            <w:tcW w:w="204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0.33</w:t>
            </w:r>
          </w:p>
        </w:tc>
        <w:tc>
          <w:tcPr>
            <w:tcW w:w="34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0.06</w:t>
            </w:r>
          </w:p>
        </w:tc>
      </w:tr>
    </w:tbl>
    <w:p>
      <w:pPr>
        <w:bidi w:val="0"/>
        <w:rPr>
          <w:rFonts w:hint="default"/>
          <w:b/>
          <w:bCs/>
          <w:lang w:val="en-US" w:eastAsia="zh-CN"/>
        </w:rPr>
      </w:pPr>
      <w:r>
        <w:rPr>
          <w:rFonts w:hint="eastAsia"/>
          <w:b/>
          <w:bCs/>
          <w:lang w:val="en-US" w:eastAsia="zh-CN"/>
        </w:rPr>
        <w:t>（2）废水</w:t>
      </w:r>
    </w:p>
    <w:p>
      <w:pPr>
        <w:bidi w:val="0"/>
        <w:rPr>
          <w:rFonts w:hint="default"/>
          <w:lang w:val="en-US"/>
        </w:rPr>
      </w:pPr>
      <w:r>
        <w:rPr>
          <w:rFonts w:hint="eastAsia"/>
          <w:lang w:val="en-US" w:eastAsia="zh-CN"/>
        </w:rPr>
        <w:t>本项目综合废水经过自建污水处理站处理后，一部分回用于进出车辆冲洗、地面冲洗、待宰圈冲洗和洗涤塔补水等，剩余部分用于农田灌溉，不外排。</w:t>
      </w:r>
      <w:r>
        <w:rPr>
          <w:rFonts w:hint="eastAsia"/>
        </w:rPr>
        <w:t>项目产生的污废水经自建的污水处理设施处理，</w:t>
      </w:r>
      <w:r>
        <w:rPr>
          <w:rFonts w:hint="eastAsia"/>
          <w:lang w:val="en-US" w:eastAsia="zh-CN"/>
        </w:rPr>
        <w:t>可</w:t>
      </w:r>
      <w:r>
        <w:rPr>
          <w:rFonts w:hint="eastAsia"/>
        </w:rPr>
        <w:t>达到</w:t>
      </w:r>
      <w:r>
        <w:rPr>
          <w:rFonts w:hint="eastAsia"/>
          <w:lang w:eastAsia="zh-CN"/>
        </w:rPr>
        <w:t>《城镇污水处理厂污染物排放标准》（GB18918-2002）</w:t>
      </w:r>
      <w:r>
        <w:rPr>
          <w:rFonts w:hint="eastAsia"/>
          <w:lang w:val="en-US" w:eastAsia="zh-CN"/>
        </w:rPr>
        <w:t>中一级A</w:t>
      </w:r>
      <w:r>
        <w:rPr>
          <w:rFonts w:hint="eastAsia"/>
        </w:rPr>
        <w:t>排放标准</w:t>
      </w:r>
      <w:r>
        <w:rPr>
          <w:rFonts w:hint="eastAsia"/>
          <w:lang w:eastAsia="zh-CN"/>
        </w:rPr>
        <w:t>，</w:t>
      </w:r>
      <w:r>
        <w:rPr>
          <w:rFonts w:hint="eastAsia"/>
          <w:lang w:val="en-US" w:eastAsia="zh-CN"/>
        </w:rPr>
        <w:t>满足</w:t>
      </w:r>
      <w:r>
        <w:rPr>
          <w:rFonts w:hint="eastAsia"/>
          <w:lang w:eastAsia="zh-CN"/>
        </w:rPr>
        <w:t>《</w:t>
      </w:r>
      <w:r>
        <w:rPr>
          <w:rFonts w:hint="eastAsia"/>
          <w:lang w:val="en-US" w:eastAsia="zh-CN"/>
        </w:rPr>
        <w:t>肉类加工工业水污染物排放标准</w:t>
      </w:r>
      <w:r>
        <w:rPr>
          <w:rFonts w:hint="eastAsia"/>
          <w:lang w:eastAsia="zh-CN"/>
        </w:rPr>
        <w:t>》（</w:t>
      </w:r>
      <w:r>
        <w:rPr>
          <w:rFonts w:hint="eastAsia"/>
          <w:lang w:val="en-US" w:eastAsia="zh-CN"/>
        </w:rPr>
        <w:t>GB13457-92</w:t>
      </w:r>
      <w:r>
        <w:rPr>
          <w:rFonts w:hint="eastAsia"/>
          <w:lang w:eastAsia="zh-CN"/>
        </w:rPr>
        <w:t>）</w:t>
      </w:r>
      <w:r>
        <w:rPr>
          <w:rFonts w:hint="eastAsia"/>
          <w:lang w:val="en-US" w:eastAsia="zh-CN"/>
        </w:rPr>
        <w:t>中一级标准，满足《农田灌溉水质标准》（GB 5084-2005），且满足《城市污水再生利用城市杂用水水质》（GB/T18920-2002）中道路清扫、消防以及车辆冲洗水质要求。</w:t>
      </w:r>
    </w:p>
    <w:p>
      <w:pPr>
        <w:pStyle w:val="29"/>
        <w:bidi w:val="0"/>
        <w:rPr>
          <w:rFonts w:hint="default"/>
        </w:rPr>
      </w:pPr>
      <w:r>
        <w:rPr>
          <w:rFonts w:hint="eastAsia"/>
        </w:rPr>
        <w:t>表</w:t>
      </w:r>
      <w:r>
        <w:rPr>
          <w:rFonts w:hint="default"/>
        </w:rPr>
        <w:t>1.5-</w:t>
      </w:r>
      <w:r>
        <w:rPr>
          <w:rFonts w:hint="eastAsia"/>
          <w:lang w:val="en-US" w:eastAsia="zh-CN"/>
        </w:rPr>
        <w:t>6</w:t>
      </w:r>
      <w:r>
        <w:rPr>
          <w:rFonts w:hint="default"/>
        </w:rPr>
        <w:t xml:space="preserve"> </w:t>
      </w:r>
      <w:r>
        <w:rPr>
          <w:rFonts w:hint="eastAsia"/>
          <w:lang w:val="en-US" w:eastAsia="zh-CN"/>
        </w:rPr>
        <w:t xml:space="preserve"> 项目废水执行标准一览表</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842"/>
        <w:gridCol w:w="900"/>
        <w:gridCol w:w="825"/>
        <w:gridCol w:w="795"/>
        <w:gridCol w:w="645"/>
        <w:gridCol w:w="645"/>
        <w:gridCol w:w="705"/>
        <w:gridCol w:w="945"/>
        <w:gridCol w:w="1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9" w:type="pct"/>
            <w:gridSpan w:val="2"/>
            <w:vAlign w:val="center"/>
          </w:tcPr>
          <w:p>
            <w:pPr>
              <w:pStyle w:val="30"/>
              <w:widowControl w:val="0"/>
              <w:jc w:val="center"/>
              <w:rPr>
                <w:rFonts w:hint="default"/>
                <w:vertAlign w:val="baseline"/>
                <w:lang w:val="en-US" w:eastAsia="zh-CN"/>
              </w:rPr>
            </w:pPr>
            <w:r>
              <w:rPr>
                <w:rFonts w:hint="eastAsia"/>
                <w:vertAlign w:val="baseline"/>
                <w:lang w:val="en-US" w:eastAsia="zh-CN"/>
              </w:rPr>
              <w:t>污染物</w:t>
            </w:r>
          </w:p>
        </w:tc>
        <w:tc>
          <w:tcPr>
            <w:tcW w:w="46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pH</w:t>
            </w:r>
          </w:p>
        </w:tc>
        <w:tc>
          <w:tcPr>
            <w:tcW w:w="42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COD</w:t>
            </w:r>
          </w:p>
        </w:tc>
        <w:tc>
          <w:tcPr>
            <w:tcW w:w="413" w:type="pct"/>
            <w:tcBorders>
              <w:tl2br w:val="nil"/>
              <w:tr2bl w:val="nil"/>
            </w:tcBorders>
            <w:vAlign w:val="center"/>
          </w:tcPr>
          <w:p>
            <w:pPr>
              <w:pStyle w:val="30"/>
              <w:widowControl w:val="0"/>
              <w:jc w:val="center"/>
              <w:rPr>
                <w:rFonts w:hint="default"/>
                <w:vertAlign w:val="subscript"/>
                <w:lang w:val="en-US" w:eastAsia="zh-CN"/>
              </w:rPr>
            </w:pPr>
            <w:r>
              <w:rPr>
                <w:rFonts w:hint="eastAsia"/>
                <w:vertAlign w:val="baseline"/>
                <w:lang w:val="en-US" w:eastAsia="zh-CN"/>
              </w:rPr>
              <w:t>BOD</w:t>
            </w:r>
            <w:r>
              <w:rPr>
                <w:rFonts w:hint="eastAsia"/>
                <w:vertAlign w:val="subscript"/>
                <w:lang w:val="en-US" w:eastAsia="zh-CN"/>
              </w:rPr>
              <w:t>5</w:t>
            </w:r>
          </w:p>
        </w:tc>
        <w:tc>
          <w:tcPr>
            <w:tcW w:w="33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SS</w:t>
            </w:r>
          </w:p>
        </w:tc>
        <w:tc>
          <w:tcPr>
            <w:tcW w:w="33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氨氮</w:t>
            </w:r>
          </w:p>
        </w:tc>
        <w:tc>
          <w:tcPr>
            <w:tcW w:w="36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动植物油</w:t>
            </w:r>
          </w:p>
        </w:tc>
        <w:tc>
          <w:tcPr>
            <w:tcW w:w="49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粪大肠菌群数(个/L)</w:t>
            </w:r>
          </w:p>
        </w:tc>
        <w:tc>
          <w:tcPr>
            <w:tcW w:w="709"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排水量</w:t>
            </w:r>
          </w:p>
          <w:p>
            <w:pPr>
              <w:pStyle w:val="30"/>
              <w:widowControl w:val="0"/>
              <w:jc w:val="center"/>
              <w:rPr>
                <w:rFonts w:hint="eastAsia"/>
                <w:vertAlign w:val="baseline"/>
                <w:lang w:val="en-US" w:eastAsia="zh-CN"/>
              </w:rPr>
            </w:pPr>
            <w:r>
              <w:rPr>
                <w:rFonts w:hint="eastAsia"/>
                <w:vertAlign w:val="baseline"/>
                <w:lang w:val="en-US" w:eastAsia="zh-CN"/>
              </w:rPr>
              <w:t>m</w:t>
            </w:r>
            <w:r>
              <w:rPr>
                <w:rFonts w:hint="eastAsia"/>
                <w:vertAlign w:val="superscript"/>
                <w:lang w:val="en-US" w:eastAsia="zh-CN"/>
              </w:rPr>
              <w:t>3</w:t>
            </w:r>
            <w:r>
              <w:rPr>
                <w:rFonts w:hint="eastAsia"/>
                <w:vertAlign w:val="baseline"/>
                <w:lang w:val="en-US" w:eastAsia="zh-CN"/>
              </w:rPr>
              <w:t>/t(活屠量)</w:t>
            </w:r>
          </w:p>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m</w:t>
            </w:r>
            <w:r>
              <w:rPr>
                <w:rFonts w:hint="eastAsia"/>
                <w:vertAlign w:val="superscript"/>
                <w:lang w:val="en-US" w:eastAsia="zh-CN"/>
              </w:rPr>
              <w:t>3</w:t>
            </w:r>
            <w:r>
              <w:rPr>
                <w:rFonts w:hint="eastAsia"/>
                <w:vertAlign w:val="baseline"/>
                <w:lang w:val="en-US" w:eastAsia="zh-CN"/>
              </w:rPr>
              <w:t>/t(原料肉)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1" w:type="pct"/>
            <w:tcBorders>
              <w:tl2br w:val="nil"/>
              <w:tr2bl w:val="nil"/>
            </w:tcBorders>
            <w:vAlign w:val="center"/>
          </w:tcPr>
          <w:p>
            <w:pPr>
              <w:pStyle w:val="30"/>
              <w:keepNext w:val="0"/>
              <w:keepLines w:val="0"/>
              <w:pageBreakBefore w:val="0"/>
              <w:widowControl w:val="0"/>
              <w:kinsoku/>
              <w:wordWrap w:val="0"/>
              <w:overflowPunct/>
              <w:topLinePunct w:val="0"/>
              <w:autoSpaceDE/>
              <w:autoSpaceDN/>
              <w:bidi w:val="0"/>
              <w:adjustRightInd/>
              <w:snapToGrid/>
              <w:jc w:val="center"/>
              <w:textAlignment w:val="auto"/>
              <w:rPr>
                <w:rFonts w:hint="default" w:eastAsia="宋体"/>
                <w:vertAlign w:val="baseline"/>
                <w:lang w:val="en-US" w:eastAsia="zh-CN"/>
              </w:rPr>
            </w:pPr>
            <w:r>
              <w:rPr>
                <w:rFonts w:hint="eastAsia"/>
                <w:lang w:eastAsia="zh-CN"/>
              </w:rPr>
              <w:t>《城镇污水处理厂污染物排放标准》（GB18918-2002）</w:t>
            </w:r>
            <w:r>
              <w:rPr>
                <w:rFonts w:hint="eastAsia"/>
                <w:lang w:val="en-US" w:eastAsia="zh-CN"/>
              </w:rPr>
              <w:t>一级A排放标准</w:t>
            </w:r>
          </w:p>
        </w:tc>
        <w:tc>
          <w:tcPr>
            <w:tcW w:w="438"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排放浓度(mg/L)</w:t>
            </w:r>
          </w:p>
        </w:tc>
        <w:tc>
          <w:tcPr>
            <w:tcW w:w="46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6~9</w:t>
            </w:r>
          </w:p>
        </w:tc>
        <w:tc>
          <w:tcPr>
            <w:tcW w:w="42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50</w:t>
            </w:r>
          </w:p>
        </w:tc>
        <w:tc>
          <w:tcPr>
            <w:tcW w:w="41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w:t>
            </w:r>
          </w:p>
        </w:tc>
        <w:tc>
          <w:tcPr>
            <w:tcW w:w="33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w:t>
            </w:r>
          </w:p>
        </w:tc>
        <w:tc>
          <w:tcPr>
            <w:tcW w:w="33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w:t>
            </w:r>
          </w:p>
        </w:tc>
        <w:tc>
          <w:tcPr>
            <w:tcW w:w="36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49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1000</w:t>
            </w:r>
          </w:p>
        </w:tc>
        <w:tc>
          <w:tcPr>
            <w:tcW w:w="70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1" w:type="pct"/>
            <w:vMerge w:val="restart"/>
            <w:tcBorders>
              <w:tl2br w:val="nil"/>
              <w:tr2bl w:val="nil"/>
            </w:tcBorders>
            <w:vAlign w:val="center"/>
          </w:tcPr>
          <w:p>
            <w:pPr>
              <w:pStyle w:val="30"/>
              <w:keepNext w:val="0"/>
              <w:keepLines w:val="0"/>
              <w:pageBreakBefore w:val="0"/>
              <w:widowControl w:val="0"/>
              <w:kinsoku/>
              <w:wordWrap w:val="0"/>
              <w:overflowPunct/>
              <w:topLinePunct w:val="0"/>
              <w:autoSpaceDE/>
              <w:autoSpaceDN/>
              <w:bidi w:val="0"/>
              <w:adjustRightInd/>
              <w:snapToGrid/>
              <w:jc w:val="center"/>
              <w:textAlignment w:val="auto"/>
              <w:rPr>
                <w:rFonts w:hint="eastAsia"/>
                <w:vertAlign w:val="baseline"/>
                <w:lang w:val="en-US" w:eastAsia="zh-CN"/>
              </w:rPr>
            </w:pPr>
            <w:r>
              <w:rPr>
                <w:rFonts w:hint="eastAsia"/>
                <w:lang w:eastAsia="zh-CN"/>
              </w:rPr>
              <w:t>《</w:t>
            </w:r>
            <w:r>
              <w:rPr>
                <w:rFonts w:hint="eastAsia"/>
                <w:lang w:val="en-US" w:eastAsia="zh-CN"/>
              </w:rPr>
              <w:t>肉类加工工业水污染物排放标准</w:t>
            </w:r>
            <w:r>
              <w:rPr>
                <w:rFonts w:hint="eastAsia"/>
                <w:lang w:eastAsia="zh-CN"/>
              </w:rPr>
              <w:t>》（</w:t>
            </w:r>
            <w:r>
              <w:rPr>
                <w:rFonts w:hint="eastAsia"/>
                <w:lang w:val="en-US" w:eastAsia="zh-CN"/>
              </w:rPr>
              <w:t>GB13457-92</w:t>
            </w:r>
            <w:r>
              <w:rPr>
                <w:rFonts w:hint="eastAsia"/>
                <w:lang w:eastAsia="zh-CN"/>
              </w:rPr>
              <w:t>）</w:t>
            </w:r>
            <w:r>
              <w:rPr>
                <w:rFonts w:hint="eastAsia"/>
                <w:lang w:val="en-US" w:eastAsia="zh-CN"/>
              </w:rPr>
              <w:t>一级标准</w:t>
            </w:r>
          </w:p>
        </w:tc>
        <w:tc>
          <w:tcPr>
            <w:tcW w:w="438"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排放浓度(mg/L)</w:t>
            </w:r>
          </w:p>
        </w:tc>
        <w:tc>
          <w:tcPr>
            <w:tcW w:w="468" w:type="pct"/>
            <w:vMerge w:val="restar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6.0~8.5</w:t>
            </w:r>
          </w:p>
        </w:tc>
        <w:tc>
          <w:tcPr>
            <w:tcW w:w="429"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80</w:t>
            </w:r>
          </w:p>
        </w:tc>
        <w:tc>
          <w:tcPr>
            <w:tcW w:w="413"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30</w:t>
            </w:r>
          </w:p>
        </w:tc>
        <w:tc>
          <w:tcPr>
            <w:tcW w:w="335"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60</w:t>
            </w:r>
          </w:p>
        </w:tc>
        <w:tc>
          <w:tcPr>
            <w:tcW w:w="335"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15</w:t>
            </w:r>
          </w:p>
        </w:tc>
        <w:tc>
          <w:tcPr>
            <w:tcW w:w="366"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15</w:t>
            </w:r>
          </w:p>
        </w:tc>
        <w:tc>
          <w:tcPr>
            <w:tcW w:w="491" w:type="pct"/>
            <w:vMerge w:val="restar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5000</w:t>
            </w:r>
          </w:p>
        </w:tc>
        <w:tc>
          <w:tcPr>
            <w:tcW w:w="709"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1" w:type="pct"/>
            <w:vMerge w:val="continue"/>
            <w:tcBorders>
              <w:tl2br w:val="nil"/>
              <w:tr2bl w:val="nil"/>
            </w:tcBorders>
            <w:vAlign w:val="center"/>
          </w:tcPr>
          <w:p>
            <w:pPr>
              <w:pStyle w:val="30"/>
              <w:keepNext w:val="0"/>
              <w:keepLines w:val="0"/>
              <w:pageBreakBefore w:val="0"/>
              <w:widowControl w:val="0"/>
              <w:kinsoku/>
              <w:wordWrap w:val="0"/>
              <w:overflowPunct/>
              <w:topLinePunct w:val="0"/>
              <w:autoSpaceDE/>
              <w:autoSpaceDN/>
              <w:bidi w:val="0"/>
              <w:adjustRightInd/>
              <w:snapToGrid/>
              <w:jc w:val="center"/>
              <w:textAlignment w:val="auto"/>
              <w:rPr>
                <w:rFonts w:hint="eastAsia"/>
                <w:vertAlign w:val="baseline"/>
                <w:lang w:val="en-US" w:eastAsia="zh-CN"/>
              </w:rPr>
            </w:pPr>
          </w:p>
        </w:tc>
        <w:tc>
          <w:tcPr>
            <w:tcW w:w="438"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排放总量</w:t>
            </w:r>
          </w:p>
          <w:p>
            <w:pPr>
              <w:pStyle w:val="30"/>
              <w:widowControl w:val="0"/>
              <w:jc w:val="center"/>
              <w:rPr>
                <w:rFonts w:hint="eastAsia"/>
                <w:vertAlign w:val="baseline"/>
                <w:lang w:val="en-US" w:eastAsia="zh-CN"/>
              </w:rPr>
            </w:pPr>
            <w:r>
              <w:rPr>
                <w:rFonts w:hint="eastAsia"/>
                <w:vertAlign w:val="baseline"/>
                <w:lang w:val="en-US" w:eastAsia="zh-CN"/>
              </w:rPr>
              <w:t>kg/t(活屠量)</w:t>
            </w:r>
          </w:p>
        </w:tc>
        <w:tc>
          <w:tcPr>
            <w:tcW w:w="468"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429"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0.5</w:t>
            </w:r>
          </w:p>
        </w:tc>
        <w:tc>
          <w:tcPr>
            <w:tcW w:w="413"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0.2</w:t>
            </w:r>
          </w:p>
        </w:tc>
        <w:tc>
          <w:tcPr>
            <w:tcW w:w="335"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0.4</w:t>
            </w:r>
          </w:p>
        </w:tc>
        <w:tc>
          <w:tcPr>
            <w:tcW w:w="335"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0.1</w:t>
            </w:r>
          </w:p>
        </w:tc>
        <w:tc>
          <w:tcPr>
            <w:tcW w:w="366"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0.1</w:t>
            </w:r>
          </w:p>
        </w:tc>
        <w:tc>
          <w:tcPr>
            <w:tcW w:w="491"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709" w:type="pct"/>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1" w:type="pct"/>
            <w:tcBorders>
              <w:tl2br w:val="nil"/>
              <w:tr2bl w:val="nil"/>
            </w:tcBorders>
            <w:vAlign w:val="center"/>
          </w:tcPr>
          <w:p>
            <w:pPr>
              <w:pStyle w:val="30"/>
              <w:keepNext w:val="0"/>
              <w:keepLines w:val="0"/>
              <w:pageBreakBefore w:val="0"/>
              <w:widowControl w:val="0"/>
              <w:kinsoku/>
              <w:wordWrap w:val="0"/>
              <w:overflowPunct/>
              <w:topLinePunct w:val="0"/>
              <w:autoSpaceDE/>
              <w:autoSpaceDN/>
              <w:bidi w:val="0"/>
              <w:adjustRightInd/>
              <w:snapToGrid/>
              <w:jc w:val="center"/>
              <w:textAlignment w:val="auto"/>
              <w:rPr>
                <w:rFonts w:hint="eastAsia"/>
                <w:vertAlign w:val="baseline"/>
                <w:lang w:val="en-US" w:eastAsia="zh-CN"/>
              </w:rPr>
            </w:pPr>
            <w:r>
              <w:rPr>
                <w:rFonts w:hint="eastAsia"/>
                <w:lang w:val="en-US" w:eastAsia="zh-CN"/>
              </w:rPr>
              <w:t>《农田灌溉水质标准》（GB 5084-2005）</w:t>
            </w:r>
          </w:p>
        </w:tc>
        <w:tc>
          <w:tcPr>
            <w:tcW w:w="43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旱作水质(mg/L)</w:t>
            </w:r>
          </w:p>
        </w:tc>
        <w:tc>
          <w:tcPr>
            <w:tcW w:w="46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5.5~8.5</w:t>
            </w:r>
          </w:p>
        </w:tc>
        <w:tc>
          <w:tcPr>
            <w:tcW w:w="42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200</w:t>
            </w:r>
          </w:p>
        </w:tc>
        <w:tc>
          <w:tcPr>
            <w:tcW w:w="41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100</w:t>
            </w:r>
          </w:p>
        </w:tc>
        <w:tc>
          <w:tcPr>
            <w:tcW w:w="33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100</w:t>
            </w:r>
          </w:p>
        </w:tc>
        <w:tc>
          <w:tcPr>
            <w:tcW w:w="33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6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49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40000</w:t>
            </w:r>
          </w:p>
        </w:tc>
        <w:tc>
          <w:tcPr>
            <w:tcW w:w="70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1" w:type="pct"/>
            <w:vMerge w:val="restart"/>
            <w:tcBorders>
              <w:tl2br w:val="nil"/>
              <w:tr2bl w:val="nil"/>
            </w:tcBorders>
            <w:vAlign w:val="center"/>
          </w:tcPr>
          <w:p>
            <w:pPr>
              <w:pStyle w:val="30"/>
              <w:keepNext w:val="0"/>
              <w:keepLines w:val="0"/>
              <w:pageBreakBefore w:val="0"/>
              <w:widowControl w:val="0"/>
              <w:kinsoku/>
              <w:wordWrap w:val="0"/>
              <w:overflowPunct/>
              <w:topLinePunct w:val="0"/>
              <w:autoSpaceDE/>
              <w:autoSpaceDN/>
              <w:bidi w:val="0"/>
              <w:adjustRightInd/>
              <w:snapToGrid/>
              <w:jc w:val="center"/>
              <w:textAlignment w:val="auto"/>
              <w:rPr>
                <w:rFonts w:hint="default"/>
                <w:vertAlign w:val="baseline"/>
                <w:lang w:val="en-US" w:eastAsia="zh-CN"/>
              </w:rPr>
            </w:pPr>
            <w:r>
              <w:rPr>
                <w:rFonts w:hint="eastAsia"/>
                <w:lang w:val="en-US" w:eastAsia="zh-CN"/>
              </w:rPr>
              <w:t>《城市污水再生利用城市杂用水水质》（GB/T18920-2002）</w:t>
            </w:r>
          </w:p>
        </w:tc>
        <w:tc>
          <w:tcPr>
            <w:tcW w:w="43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道路清扫、消防水质(mg/L)</w:t>
            </w:r>
          </w:p>
        </w:tc>
        <w:tc>
          <w:tcPr>
            <w:tcW w:w="468"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6.0~9.0</w:t>
            </w:r>
          </w:p>
        </w:tc>
        <w:tc>
          <w:tcPr>
            <w:tcW w:w="42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41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15</w:t>
            </w:r>
          </w:p>
        </w:tc>
        <w:tc>
          <w:tcPr>
            <w:tcW w:w="33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3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w:t>
            </w:r>
          </w:p>
        </w:tc>
        <w:tc>
          <w:tcPr>
            <w:tcW w:w="36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49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70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1"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43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车辆冲洗水质(mg/L)</w:t>
            </w:r>
          </w:p>
        </w:tc>
        <w:tc>
          <w:tcPr>
            <w:tcW w:w="468"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42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41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w:t>
            </w:r>
          </w:p>
        </w:tc>
        <w:tc>
          <w:tcPr>
            <w:tcW w:w="33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3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w:t>
            </w:r>
          </w:p>
        </w:tc>
        <w:tc>
          <w:tcPr>
            <w:tcW w:w="36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49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70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bidi w:val="0"/>
        <w:rPr>
          <w:rFonts w:hint="default"/>
          <w:b/>
          <w:bCs/>
          <w:lang w:val="en-US" w:eastAsia="zh-CN"/>
        </w:rPr>
      </w:pPr>
      <w:r>
        <w:rPr>
          <w:rFonts w:hint="eastAsia"/>
          <w:b/>
          <w:bCs/>
          <w:lang w:val="en-US" w:eastAsia="zh-CN"/>
        </w:rPr>
        <w:t>（3）噪声</w:t>
      </w:r>
    </w:p>
    <w:p>
      <w:pPr>
        <w:bidi w:val="0"/>
        <w:rPr>
          <w:rFonts w:hint="eastAsia"/>
        </w:rPr>
      </w:pPr>
      <w:r>
        <w:rPr>
          <w:rFonts w:hint="eastAsia"/>
        </w:rPr>
        <w:t>施工期噪声执行《建筑施工场界环境噪声排放标准》</w:t>
      </w:r>
      <w:r>
        <w:rPr>
          <w:rFonts w:hint="eastAsia"/>
          <w:lang w:eastAsia="zh-CN"/>
        </w:rPr>
        <w:t>（</w:t>
      </w:r>
      <w:r>
        <w:rPr>
          <w:rFonts w:hint="default"/>
        </w:rPr>
        <w:t>GB12523-2011</w:t>
      </w:r>
      <w:r>
        <w:rPr>
          <w:rFonts w:hint="eastAsia"/>
          <w:lang w:eastAsia="zh-CN"/>
        </w:rPr>
        <w:t>）</w:t>
      </w:r>
      <w:r>
        <w:rPr>
          <w:rFonts w:hint="eastAsia"/>
        </w:rPr>
        <w:t>相应标准，即昼间</w:t>
      </w:r>
      <w:r>
        <w:rPr>
          <w:rFonts w:hint="default"/>
        </w:rPr>
        <w:t>70dB</w:t>
      </w:r>
      <w:r>
        <w:rPr>
          <w:rFonts w:hint="eastAsia"/>
        </w:rPr>
        <w:t>（</w:t>
      </w:r>
      <w:r>
        <w:rPr>
          <w:rFonts w:hint="default"/>
        </w:rPr>
        <w:t>A</w:t>
      </w:r>
      <w:r>
        <w:rPr>
          <w:rFonts w:hint="eastAsia"/>
        </w:rPr>
        <w:t>）、夜间</w:t>
      </w:r>
      <w:r>
        <w:rPr>
          <w:rFonts w:hint="default"/>
        </w:rPr>
        <w:t>55dB</w:t>
      </w:r>
      <w:r>
        <w:rPr>
          <w:rFonts w:hint="eastAsia"/>
        </w:rPr>
        <w:t>（</w:t>
      </w:r>
      <w:r>
        <w:rPr>
          <w:rFonts w:hint="default"/>
        </w:rPr>
        <w:t>A</w:t>
      </w:r>
      <w:r>
        <w:rPr>
          <w:rFonts w:hint="eastAsia"/>
        </w:rPr>
        <w:t>）。</w:t>
      </w:r>
    </w:p>
    <w:p>
      <w:pPr>
        <w:bidi w:val="0"/>
        <w:rPr>
          <w:rFonts w:hint="eastAsia"/>
        </w:rPr>
      </w:pPr>
      <w:r>
        <w:rPr>
          <w:rFonts w:hint="eastAsia"/>
        </w:rPr>
        <w:t>营运期项目所在区域噪声执行《工业企业厂界环境噪声排放标准》</w:t>
      </w:r>
      <w:r>
        <w:rPr>
          <w:rFonts w:hint="eastAsia"/>
          <w:lang w:eastAsia="zh-CN"/>
        </w:rPr>
        <w:t>（</w:t>
      </w:r>
      <w:r>
        <w:rPr>
          <w:rFonts w:hint="default"/>
        </w:rPr>
        <w:t>GB12348-2008</w:t>
      </w:r>
      <w:r>
        <w:rPr>
          <w:rFonts w:hint="eastAsia"/>
          <w:lang w:eastAsia="zh-CN"/>
        </w:rPr>
        <w:t>）</w:t>
      </w:r>
      <w:r>
        <w:rPr>
          <w:rFonts w:hint="eastAsia"/>
        </w:rPr>
        <w:t>中的</w:t>
      </w:r>
      <w:r>
        <w:rPr>
          <w:rFonts w:hint="default"/>
        </w:rPr>
        <w:t>2</w:t>
      </w:r>
      <w:r>
        <w:rPr>
          <w:rFonts w:hint="eastAsia"/>
        </w:rPr>
        <w:t>类标准，即昼间</w:t>
      </w:r>
      <w:r>
        <w:rPr>
          <w:rFonts w:hint="default"/>
        </w:rPr>
        <w:t>60dB</w:t>
      </w:r>
      <w:r>
        <w:rPr>
          <w:rFonts w:hint="eastAsia"/>
        </w:rPr>
        <w:t>（</w:t>
      </w:r>
      <w:r>
        <w:rPr>
          <w:rFonts w:hint="default"/>
        </w:rPr>
        <w:t>A</w:t>
      </w:r>
      <w:r>
        <w:rPr>
          <w:rFonts w:hint="eastAsia"/>
        </w:rPr>
        <w:t>），夜间</w:t>
      </w:r>
      <w:r>
        <w:rPr>
          <w:rFonts w:hint="default"/>
        </w:rPr>
        <w:t>50dB</w:t>
      </w:r>
      <w:r>
        <w:rPr>
          <w:rFonts w:hint="eastAsia"/>
        </w:rPr>
        <w:t>（</w:t>
      </w:r>
      <w:r>
        <w:rPr>
          <w:rFonts w:hint="default"/>
        </w:rPr>
        <w:t>A</w:t>
      </w:r>
      <w:r>
        <w:rPr>
          <w:rFonts w:hint="eastAsia"/>
        </w:rPr>
        <w:t>）。</w:t>
      </w:r>
    </w:p>
    <w:p>
      <w:pPr>
        <w:pStyle w:val="29"/>
        <w:bidi w:val="0"/>
        <w:rPr>
          <w:rFonts w:hint="default"/>
          <w:lang w:val="en-US" w:eastAsia="zh-CN"/>
        </w:rPr>
      </w:pPr>
      <w:r>
        <w:rPr>
          <w:rFonts w:hint="eastAsia"/>
          <w:lang w:val="en-US" w:eastAsia="zh-CN"/>
        </w:rPr>
        <w:t>表1.5-7  项目噪声排放标准一览表  单位：</w:t>
      </w:r>
      <w:r>
        <w:rPr>
          <w:rFonts w:hint="default"/>
        </w:rPr>
        <w:t>50dB</w:t>
      </w:r>
      <w:r>
        <w:rPr>
          <w:rFonts w:hint="eastAsia"/>
        </w:rPr>
        <w:t>（</w:t>
      </w:r>
      <w:r>
        <w:rPr>
          <w:rFonts w:hint="default"/>
        </w:rPr>
        <w:t>A</w:t>
      </w:r>
      <w:r>
        <w:rPr>
          <w:rFonts w:hint="eastAsia"/>
        </w:rPr>
        <w:t>）</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6765"/>
        <w:gridCol w:w="934"/>
        <w:gridCol w:w="9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6"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类别</w:t>
            </w:r>
          </w:p>
        </w:tc>
        <w:tc>
          <w:tcPr>
            <w:tcW w:w="676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执行标准</w:t>
            </w:r>
          </w:p>
        </w:tc>
        <w:tc>
          <w:tcPr>
            <w:tcW w:w="934"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昼间</w:t>
            </w:r>
          </w:p>
        </w:tc>
        <w:tc>
          <w:tcPr>
            <w:tcW w:w="935"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b/>
                <w:bCs/>
                <w:kern w:val="2"/>
                <w:sz w:val="21"/>
                <w:vertAlign w:val="baseline"/>
                <w:lang w:val="en-US" w:eastAsia="zh-CN"/>
              </w:rPr>
            </w:pPr>
            <w:r>
              <w:rPr>
                <w:rFonts w:hint="eastAsia"/>
                <w:b/>
                <w:bCs/>
                <w:vertAlign w:val="baseli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施工期</w:t>
            </w:r>
          </w:p>
        </w:tc>
        <w:tc>
          <w:tcPr>
            <w:tcW w:w="6765" w:type="dxa"/>
            <w:tcBorders>
              <w:tl2br w:val="nil"/>
              <w:tr2bl w:val="nil"/>
            </w:tcBorders>
            <w:vAlign w:val="center"/>
          </w:tcPr>
          <w:p>
            <w:pPr>
              <w:pStyle w:val="30"/>
              <w:widowControl w:val="0"/>
              <w:jc w:val="center"/>
              <w:rPr>
                <w:rFonts w:hint="default"/>
                <w:vertAlign w:val="baseline"/>
                <w:lang w:val="en-US" w:eastAsia="zh-CN"/>
              </w:rPr>
            </w:pPr>
            <w:r>
              <w:rPr>
                <w:rFonts w:hint="eastAsia"/>
              </w:rPr>
              <w:t>《建筑施工场界环境噪声排放标准》</w:t>
            </w:r>
            <w:r>
              <w:rPr>
                <w:rFonts w:hint="eastAsia"/>
                <w:lang w:eastAsia="zh-CN"/>
              </w:rPr>
              <w:t>（</w:t>
            </w:r>
            <w:r>
              <w:rPr>
                <w:rFonts w:hint="default"/>
              </w:rPr>
              <w:t>GB12523-2011</w:t>
            </w:r>
            <w:r>
              <w:rPr>
                <w:rFonts w:hint="eastAsia"/>
                <w:lang w:eastAsia="zh-CN"/>
              </w:rPr>
              <w:t>）</w:t>
            </w:r>
          </w:p>
        </w:tc>
        <w:tc>
          <w:tcPr>
            <w:tcW w:w="93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70</w:t>
            </w:r>
          </w:p>
        </w:tc>
        <w:tc>
          <w:tcPr>
            <w:tcW w:w="93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营运期</w:t>
            </w:r>
          </w:p>
        </w:tc>
        <w:tc>
          <w:tcPr>
            <w:tcW w:w="6765" w:type="dxa"/>
            <w:tcBorders>
              <w:tl2br w:val="nil"/>
              <w:tr2bl w:val="nil"/>
            </w:tcBorders>
            <w:vAlign w:val="center"/>
          </w:tcPr>
          <w:p>
            <w:pPr>
              <w:pStyle w:val="30"/>
              <w:widowControl w:val="0"/>
              <w:jc w:val="center"/>
              <w:rPr>
                <w:rFonts w:hint="default"/>
                <w:vertAlign w:val="baseline"/>
                <w:lang w:val="en-US" w:eastAsia="zh-CN"/>
              </w:rPr>
            </w:pPr>
            <w:r>
              <w:rPr>
                <w:rFonts w:hint="eastAsia"/>
              </w:rPr>
              <w:t>《工业企业厂界环境噪声排放标准》</w:t>
            </w:r>
            <w:r>
              <w:rPr>
                <w:rFonts w:hint="eastAsia"/>
                <w:lang w:eastAsia="zh-CN"/>
              </w:rPr>
              <w:t>（</w:t>
            </w:r>
            <w:r>
              <w:rPr>
                <w:rFonts w:hint="default"/>
              </w:rPr>
              <w:t>GB12348-2008</w:t>
            </w:r>
            <w:r>
              <w:rPr>
                <w:rFonts w:hint="eastAsia"/>
                <w:lang w:eastAsia="zh-CN"/>
              </w:rPr>
              <w:t>）</w:t>
            </w:r>
            <w:r>
              <w:rPr>
                <w:rFonts w:hint="eastAsia"/>
              </w:rPr>
              <w:t>中的</w:t>
            </w:r>
            <w:r>
              <w:rPr>
                <w:rFonts w:hint="default"/>
              </w:rPr>
              <w:t>2</w:t>
            </w:r>
            <w:r>
              <w:rPr>
                <w:rFonts w:hint="eastAsia"/>
              </w:rPr>
              <w:t>类标准</w:t>
            </w:r>
          </w:p>
        </w:tc>
        <w:tc>
          <w:tcPr>
            <w:tcW w:w="93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60</w:t>
            </w:r>
          </w:p>
        </w:tc>
        <w:tc>
          <w:tcPr>
            <w:tcW w:w="93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50</w:t>
            </w:r>
          </w:p>
        </w:tc>
      </w:tr>
    </w:tbl>
    <w:p>
      <w:pPr>
        <w:bidi w:val="0"/>
        <w:rPr>
          <w:rFonts w:hint="eastAsia"/>
          <w:b/>
          <w:bCs/>
        </w:rPr>
      </w:pPr>
      <w:r>
        <w:rPr>
          <w:rFonts w:hint="eastAsia"/>
          <w:b/>
          <w:bCs/>
        </w:rPr>
        <w:t>（</w:t>
      </w:r>
      <w:r>
        <w:rPr>
          <w:rFonts w:hint="default"/>
          <w:b/>
          <w:bCs/>
        </w:rPr>
        <w:t>4</w:t>
      </w:r>
      <w:r>
        <w:rPr>
          <w:rFonts w:hint="eastAsia"/>
          <w:b/>
          <w:bCs/>
        </w:rPr>
        <w:t>）固体废物</w:t>
      </w:r>
    </w:p>
    <w:p>
      <w:pPr>
        <w:bidi w:val="0"/>
        <w:rPr>
          <w:rFonts w:hint="eastAsia"/>
        </w:rPr>
      </w:pPr>
      <w:r>
        <w:rPr>
          <w:rFonts w:hint="eastAsia"/>
        </w:rPr>
        <w:t>对进厂检验与检疫不合格的畜禽及其产品按《病害动物和病害动物产品生物安全处理规程》（</w:t>
      </w:r>
      <w:r>
        <w:rPr>
          <w:rFonts w:hint="default"/>
        </w:rPr>
        <w:t>GB16548-2006</w:t>
      </w:r>
      <w:r>
        <w:rPr>
          <w:rFonts w:hint="eastAsia"/>
        </w:rPr>
        <w:t>）执行。一般工业固体废物在厂区的贮存执行《</w:t>
      </w:r>
      <w:r>
        <w:rPr>
          <w:rFonts w:hint="eastAsia"/>
          <w:lang w:val="en-US" w:eastAsia="zh-CN"/>
        </w:rPr>
        <w:t>一般工业固体废物贮存和填埋污染控制标准</w:t>
      </w:r>
      <w:r>
        <w:rPr>
          <w:rFonts w:hint="eastAsia"/>
        </w:rPr>
        <w:t>》（</w:t>
      </w:r>
      <w:r>
        <w:rPr>
          <w:rFonts w:hint="default"/>
        </w:rPr>
        <w:t>GB18599-2</w:t>
      </w:r>
      <w:r>
        <w:rPr>
          <w:rFonts w:hint="eastAsia"/>
          <w:lang w:val="en-US" w:eastAsia="zh-CN"/>
        </w:rPr>
        <w:t>020</w:t>
      </w:r>
      <w:r>
        <w:rPr>
          <w:rFonts w:hint="eastAsia"/>
        </w:rPr>
        <w:t>）。</w:t>
      </w:r>
    </w:p>
    <w:p>
      <w:pPr>
        <w:bidi w:val="0"/>
        <w:rPr>
          <w:rFonts w:hint="eastAsia"/>
          <w:lang w:val="en-US" w:eastAsia="zh-CN"/>
        </w:rPr>
      </w:pPr>
      <w:r>
        <w:rPr>
          <w:rFonts w:hint="eastAsia"/>
        </w:rPr>
        <w:t>危险废物《危险废物贮存污染控制标准》（</w:t>
      </w:r>
      <w:r>
        <w:rPr>
          <w:rFonts w:hint="default"/>
        </w:rPr>
        <w:t>GB18597-2001</w:t>
      </w:r>
      <w:r>
        <w:rPr>
          <w:rFonts w:hint="eastAsia"/>
        </w:rPr>
        <w:t>）及其修改清单标准。</w:t>
      </w:r>
    </w:p>
    <w:p>
      <w:pPr>
        <w:pStyle w:val="4"/>
        <w:bidi w:val="0"/>
        <w:rPr>
          <w:rFonts w:hint="default"/>
          <w:lang w:val="en-US" w:eastAsia="zh-CN"/>
        </w:rPr>
      </w:pPr>
      <w:bookmarkStart w:id="30" w:name="_Toc17229"/>
      <w:r>
        <w:rPr>
          <w:rFonts w:hint="eastAsia"/>
          <w:lang w:val="en-US" w:eastAsia="zh-CN"/>
        </w:rPr>
        <w:t>评价工作等级和评价范围</w:t>
      </w:r>
      <w:bookmarkEnd w:id="30"/>
    </w:p>
    <w:p>
      <w:pPr>
        <w:pStyle w:val="5"/>
        <w:bidi w:val="0"/>
        <w:rPr>
          <w:rFonts w:hint="default"/>
          <w:lang w:val="en-US" w:eastAsia="zh-CN"/>
        </w:rPr>
      </w:pPr>
      <w:r>
        <w:rPr>
          <w:rFonts w:hint="eastAsia"/>
          <w:lang w:val="en-US" w:eastAsia="zh-CN"/>
        </w:rPr>
        <w:t>评价工作等级</w:t>
      </w:r>
    </w:p>
    <w:p>
      <w:pPr>
        <w:pStyle w:val="6"/>
        <w:bidi w:val="0"/>
        <w:rPr>
          <w:rFonts w:hint="default"/>
          <w:lang w:val="en-US" w:eastAsia="zh-CN"/>
        </w:rPr>
      </w:pPr>
      <w:r>
        <w:rPr>
          <w:rFonts w:hint="eastAsia"/>
          <w:lang w:val="en-US" w:eastAsia="zh-CN"/>
        </w:rPr>
        <w:t>大气环境</w:t>
      </w:r>
    </w:p>
    <w:p>
      <w:pPr>
        <w:bidi w:val="0"/>
        <w:rPr>
          <w:rFonts w:hint="eastAsia"/>
        </w:rPr>
      </w:pPr>
      <w:r>
        <w:rPr>
          <w:rFonts w:hint="eastAsia"/>
        </w:rPr>
        <w:t>项目运行期间产生的大气污染物主要为</w:t>
      </w:r>
      <w:r>
        <w:rPr>
          <w:rFonts w:hint="eastAsia"/>
          <w:lang w:eastAsia="zh-CN"/>
        </w:rPr>
        <w:t>待宰圈</w:t>
      </w:r>
      <w:r>
        <w:rPr>
          <w:rFonts w:hint="eastAsia"/>
        </w:rPr>
        <w:t>、屠宰车间以及污水处理设施臭气。</w:t>
      </w:r>
    </w:p>
    <w:p>
      <w:pPr>
        <w:bidi w:val="0"/>
        <w:rPr>
          <w:rFonts w:hint="default"/>
          <w:b/>
          <w:bCs/>
          <w:lang w:val="en-US" w:eastAsia="zh-CN"/>
        </w:rPr>
      </w:pPr>
      <w:r>
        <w:rPr>
          <w:rFonts w:hint="eastAsia"/>
          <w:b/>
          <w:bCs/>
          <w:lang w:val="en-US" w:eastAsia="zh-CN"/>
        </w:rPr>
        <w:t>（1）污染源强</w:t>
      </w:r>
    </w:p>
    <w:p>
      <w:pPr>
        <w:rPr>
          <w:rFonts w:hint="default"/>
          <w:lang w:val="en-US" w:eastAsia="zh-CN"/>
        </w:rPr>
      </w:pPr>
      <w:r>
        <w:rPr>
          <w:rFonts w:hint="eastAsia"/>
          <w:lang w:val="en-US" w:eastAsia="zh-CN"/>
        </w:rPr>
        <w:t>项目预测污染源情况统计见下表。</w:t>
      </w:r>
    </w:p>
    <w:p>
      <w:pPr>
        <w:pStyle w:val="29"/>
        <w:bidi w:val="0"/>
        <w:rPr>
          <w:rFonts w:hint="eastAsia"/>
          <w:highlight w:val="none"/>
          <w:lang w:val="en-US" w:eastAsia="zh-CN"/>
        </w:rPr>
      </w:pPr>
      <w:r>
        <w:rPr>
          <w:rFonts w:hint="eastAsia"/>
          <w:highlight w:val="none"/>
          <w:lang w:val="en-US" w:eastAsia="zh-CN"/>
        </w:rPr>
        <w:t>表1.5-8  主要废气污染源参数一览表（点源）</w:t>
      </w:r>
    </w:p>
    <w:tbl>
      <w:tblPr>
        <w:tblStyle w:val="23"/>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157"/>
        <w:gridCol w:w="1050"/>
        <w:gridCol w:w="1275"/>
        <w:gridCol w:w="975"/>
        <w:gridCol w:w="883"/>
        <w:gridCol w:w="1112"/>
        <w:gridCol w:w="675"/>
        <w:gridCol w:w="1034"/>
        <w:gridCol w:w="10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16" w:type="pct"/>
            <w:vMerge w:val="restar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编号</w:t>
            </w:r>
          </w:p>
        </w:tc>
        <w:tc>
          <w:tcPr>
            <w:tcW w:w="601" w:type="pct"/>
            <w:vMerge w:val="restar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名称</w:t>
            </w:r>
          </w:p>
        </w:tc>
        <w:tc>
          <w:tcPr>
            <w:tcW w:w="546" w:type="pct"/>
            <w:vMerge w:val="restar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排气筒高度（m）</w:t>
            </w:r>
          </w:p>
        </w:tc>
        <w:tc>
          <w:tcPr>
            <w:tcW w:w="663" w:type="pct"/>
            <w:vMerge w:val="restar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排气筒出口内径（m）</w:t>
            </w:r>
          </w:p>
        </w:tc>
        <w:tc>
          <w:tcPr>
            <w:tcW w:w="507" w:type="pct"/>
            <w:vMerge w:val="restar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烟气流速（m/s）</w:t>
            </w:r>
          </w:p>
        </w:tc>
        <w:tc>
          <w:tcPr>
            <w:tcW w:w="459" w:type="pct"/>
            <w:vMerge w:val="restar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烟气温度（</w:t>
            </w:r>
            <w:r>
              <w:rPr>
                <w:rFonts w:hint="default" w:ascii="Times New Roman" w:hAnsi="Times New Roman" w:cs="Times New Roman"/>
                <w:b/>
                <w:bCs/>
                <w:highlight w:val="none"/>
                <w:vertAlign w:val="baseline"/>
                <w:lang w:val="en-US" w:eastAsia="zh-CN"/>
              </w:rPr>
              <w:t>℃</w:t>
            </w:r>
            <w:r>
              <w:rPr>
                <w:rFonts w:hint="eastAsia"/>
                <w:b/>
                <w:bCs/>
                <w:highlight w:val="none"/>
                <w:vertAlign w:val="baseline"/>
                <w:lang w:val="en-US" w:eastAsia="zh-CN"/>
              </w:rPr>
              <w:t>）</w:t>
            </w:r>
          </w:p>
        </w:tc>
        <w:tc>
          <w:tcPr>
            <w:tcW w:w="578" w:type="pct"/>
            <w:vMerge w:val="restar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年排放小时数（h）</w:t>
            </w:r>
          </w:p>
        </w:tc>
        <w:tc>
          <w:tcPr>
            <w:tcW w:w="351" w:type="pct"/>
            <w:vMerge w:val="restar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排放工况</w:t>
            </w:r>
          </w:p>
        </w:tc>
        <w:tc>
          <w:tcPr>
            <w:tcW w:w="1076" w:type="pct"/>
            <w:gridSpan w:val="2"/>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 w:type="pct"/>
            <w:vMerge w:val="continue"/>
            <w:tcBorders>
              <w:tl2br w:val="nil"/>
              <w:tr2bl w:val="nil"/>
            </w:tcBorders>
            <w:vAlign w:val="center"/>
          </w:tcPr>
          <w:p>
            <w:pPr>
              <w:pStyle w:val="30"/>
              <w:widowControl w:val="0"/>
              <w:jc w:val="center"/>
              <w:rPr>
                <w:b/>
                <w:bCs/>
                <w:highlight w:val="none"/>
              </w:rPr>
            </w:pPr>
          </w:p>
        </w:tc>
        <w:tc>
          <w:tcPr>
            <w:tcW w:w="601" w:type="pct"/>
            <w:vMerge w:val="continue"/>
            <w:tcBorders>
              <w:tl2br w:val="nil"/>
              <w:tr2bl w:val="nil"/>
            </w:tcBorders>
            <w:vAlign w:val="center"/>
          </w:tcPr>
          <w:p>
            <w:pPr>
              <w:pStyle w:val="30"/>
              <w:widowControl w:val="0"/>
              <w:jc w:val="center"/>
              <w:rPr>
                <w:b/>
                <w:bCs/>
                <w:highlight w:val="none"/>
              </w:rPr>
            </w:pPr>
          </w:p>
        </w:tc>
        <w:tc>
          <w:tcPr>
            <w:tcW w:w="546" w:type="pct"/>
            <w:vMerge w:val="continue"/>
            <w:tcBorders>
              <w:tl2br w:val="nil"/>
              <w:tr2bl w:val="nil"/>
            </w:tcBorders>
            <w:vAlign w:val="center"/>
          </w:tcPr>
          <w:p>
            <w:pPr>
              <w:pStyle w:val="30"/>
              <w:widowControl w:val="0"/>
              <w:jc w:val="center"/>
              <w:rPr>
                <w:b/>
                <w:bCs/>
                <w:highlight w:val="none"/>
              </w:rPr>
            </w:pPr>
          </w:p>
        </w:tc>
        <w:tc>
          <w:tcPr>
            <w:tcW w:w="663" w:type="pct"/>
            <w:vMerge w:val="continue"/>
            <w:tcBorders>
              <w:tl2br w:val="nil"/>
              <w:tr2bl w:val="nil"/>
            </w:tcBorders>
            <w:vAlign w:val="center"/>
          </w:tcPr>
          <w:p>
            <w:pPr>
              <w:pStyle w:val="30"/>
              <w:widowControl w:val="0"/>
              <w:jc w:val="center"/>
              <w:rPr>
                <w:b/>
                <w:bCs/>
                <w:highlight w:val="none"/>
              </w:rPr>
            </w:pPr>
          </w:p>
        </w:tc>
        <w:tc>
          <w:tcPr>
            <w:tcW w:w="507" w:type="pct"/>
            <w:vMerge w:val="continue"/>
            <w:tcBorders>
              <w:tl2br w:val="nil"/>
              <w:tr2bl w:val="nil"/>
            </w:tcBorders>
            <w:vAlign w:val="center"/>
          </w:tcPr>
          <w:p>
            <w:pPr>
              <w:pStyle w:val="30"/>
              <w:widowControl w:val="0"/>
              <w:jc w:val="center"/>
              <w:rPr>
                <w:b/>
                <w:bCs/>
                <w:highlight w:val="none"/>
              </w:rPr>
            </w:pPr>
          </w:p>
        </w:tc>
        <w:tc>
          <w:tcPr>
            <w:tcW w:w="459" w:type="pct"/>
            <w:vMerge w:val="continue"/>
            <w:tcBorders>
              <w:tl2br w:val="nil"/>
              <w:tr2bl w:val="nil"/>
            </w:tcBorders>
            <w:vAlign w:val="center"/>
          </w:tcPr>
          <w:p>
            <w:pPr>
              <w:pStyle w:val="30"/>
              <w:widowControl w:val="0"/>
              <w:jc w:val="center"/>
              <w:rPr>
                <w:b/>
                <w:bCs/>
                <w:highlight w:val="none"/>
              </w:rPr>
            </w:pPr>
          </w:p>
        </w:tc>
        <w:tc>
          <w:tcPr>
            <w:tcW w:w="578" w:type="pct"/>
            <w:vMerge w:val="continue"/>
            <w:tcBorders>
              <w:tl2br w:val="nil"/>
              <w:tr2bl w:val="nil"/>
            </w:tcBorders>
            <w:vAlign w:val="center"/>
          </w:tcPr>
          <w:p>
            <w:pPr>
              <w:pStyle w:val="30"/>
              <w:widowControl w:val="0"/>
              <w:jc w:val="center"/>
              <w:rPr>
                <w:b/>
                <w:bCs/>
                <w:highlight w:val="none"/>
              </w:rPr>
            </w:pPr>
          </w:p>
        </w:tc>
        <w:tc>
          <w:tcPr>
            <w:tcW w:w="351" w:type="pct"/>
            <w:vMerge w:val="continue"/>
            <w:tcBorders>
              <w:tl2br w:val="nil"/>
              <w:tr2bl w:val="nil"/>
            </w:tcBorders>
            <w:vAlign w:val="center"/>
          </w:tcPr>
          <w:p>
            <w:pPr>
              <w:pStyle w:val="30"/>
              <w:widowControl w:val="0"/>
              <w:jc w:val="center"/>
              <w:rPr>
                <w:b/>
                <w:bCs/>
                <w:highlight w:val="none"/>
              </w:rPr>
            </w:pPr>
          </w:p>
        </w:tc>
        <w:tc>
          <w:tcPr>
            <w:tcW w:w="537" w:type="pct"/>
            <w:tcBorders>
              <w:tl2br w:val="nil"/>
              <w:tr2bl w:val="nil"/>
            </w:tcBorders>
            <w:vAlign w:val="center"/>
          </w:tcPr>
          <w:p>
            <w:pPr>
              <w:pStyle w:val="30"/>
              <w:widowControl w:val="0"/>
              <w:jc w:val="center"/>
              <w:rPr>
                <w:rFonts w:hint="default"/>
                <w:b/>
                <w:bCs/>
                <w:highlight w:val="none"/>
                <w:vertAlign w:val="subscript"/>
                <w:lang w:val="en-US" w:eastAsia="zh-CN"/>
              </w:rPr>
            </w:pPr>
            <w:r>
              <w:rPr>
                <w:rFonts w:hint="eastAsia"/>
                <w:b/>
                <w:bCs/>
                <w:highlight w:val="none"/>
                <w:vertAlign w:val="baseline"/>
                <w:lang w:val="en-US" w:eastAsia="zh-CN"/>
              </w:rPr>
              <w:t>NH</w:t>
            </w:r>
            <w:r>
              <w:rPr>
                <w:rFonts w:hint="eastAsia"/>
                <w:b/>
                <w:bCs/>
                <w:highlight w:val="none"/>
                <w:vertAlign w:val="subscript"/>
                <w:lang w:val="en-US" w:eastAsia="zh-CN"/>
              </w:rPr>
              <w:t>3</w:t>
            </w:r>
          </w:p>
        </w:tc>
        <w:tc>
          <w:tcPr>
            <w:tcW w:w="538" w:type="pc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H</w:t>
            </w:r>
            <w:r>
              <w:rPr>
                <w:rFonts w:hint="eastAsia"/>
                <w:b/>
                <w:bCs/>
                <w:highlight w:val="none"/>
                <w:vertAlign w:val="subscript"/>
                <w:lang w:val="en-US" w:eastAsia="zh-CN"/>
              </w:rPr>
              <w:t>2</w:t>
            </w:r>
            <w:r>
              <w:rPr>
                <w:rFonts w:hint="eastAsia"/>
                <w:b/>
                <w:bCs/>
                <w:highlight w:val="none"/>
                <w:vertAlign w:val="baseline"/>
                <w:lang w:val="en-US" w:eastAsia="zh-CN"/>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w:t>
            </w:r>
          </w:p>
        </w:tc>
        <w:tc>
          <w:tcPr>
            <w:tcW w:w="601"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P1排气筒</w:t>
            </w:r>
          </w:p>
        </w:tc>
        <w:tc>
          <w:tcPr>
            <w:tcW w:w="546"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15</w:t>
            </w:r>
          </w:p>
        </w:tc>
        <w:tc>
          <w:tcPr>
            <w:tcW w:w="663"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0.8</w:t>
            </w:r>
          </w:p>
        </w:tc>
        <w:tc>
          <w:tcPr>
            <w:tcW w:w="507"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8.84</w:t>
            </w:r>
          </w:p>
        </w:tc>
        <w:tc>
          <w:tcPr>
            <w:tcW w:w="459"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20</w:t>
            </w:r>
          </w:p>
        </w:tc>
        <w:tc>
          <w:tcPr>
            <w:tcW w:w="578"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7200</w:t>
            </w:r>
          </w:p>
        </w:tc>
        <w:tc>
          <w:tcPr>
            <w:tcW w:w="351"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正常</w:t>
            </w:r>
          </w:p>
        </w:tc>
        <w:tc>
          <w:tcPr>
            <w:tcW w:w="1034"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0.027</w:t>
            </w:r>
          </w:p>
        </w:tc>
        <w:tc>
          <w:tcPr>
            <w:tcW w:w="1035"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2</w:t>
            </w:r>
          </w:p>
        </w:tc>
        <w:tc>
          <w:tcPr>
            <w:tcW w:w="601"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P2排气筒</w:t>
            </w:r>
          </w:p>
        </w:tc>
        <w:tc>
          <w:tcPr>
            <w:tcW w:w="546"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15</w:t>
            </w:r>
          </w:p>
        </w:tc>
        <w:tc>
          <w:tcPr>
            <w:tcW w:w="663"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1.2</w:t>
            </w:r>
          </w:p>
        </w:tc>
        <w:tc>
          <w:tcPr>
            <w:tcW w:w="507"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11.3</w:t>
            </w:r>
          </w:p>
        </w:tc>
        <w:tc>
          <w:tcPr>
            <w:tcW w:w="459"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20</w:t>
            </w:r>
          </w:p>
        </w:tc>
        <w:tc>
          <w:tcPr>
            <w:tcW w:w="578"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2400</w:t>
            </w:r>
          </w:p>
        </w:tc>
        <w:tc>
          <w:tcPr>
            <w:tcW w:w="351"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正常</w:t>
            </w:r>
          </w:p>
        </w:tc>
        <w:tc>
          <w:tcPr>
            <w:tcW w:w="1034"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0.015</w:t>
            </w:r>
          </w:p>
        </w:tc>
        <w:tc>
          <w:tcPr>
            <w:tcW w:w="1035"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0.00014</w:t>
            </w:r>
          </w:p>
        </w:tc>
      </w:tr>
    </w:tbl>
    <w:p>
      <w:pPr>
        <w:pStyle w:val="29"/>
        <w:bidi w:val="0"/>
        <w:rPr>
          <w:rFonts w:hint="default"/>
          <w:highlight w:val="none"/>
          <w:lang w:val="en-US" w:eastAsia="zh-CN"/>
        </w:rPr>
      </w:pPr>
      <w:r>
        <w:rPr>
          <w:rFonts w:hint="eastAsia"/>
          <w:highlight w:val="none"/>
          <w:lang w:val="en-US" w:eastAsia="zh-CN"/>
        </w:rPr>
        <w:t>表1.5-9  主要废气污染源参数一览表（面源）</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57"/>
        <w:gridCol w:w="1069"/>
        <w:gridCol w:w="880"/>
        <w:gridCol w:w="880"/>
        <w:gridCol w:w="880"/>
        <w:gridCol w:w="1065"/>
        <w:gridCol w:w="750"/>
        <w:gridCol w:w="1407"/>
        <w:gridCol w:w="1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27" w:type="dxa"/>
            <w:vMerge w:val="restar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编号</w:t>
            </w:r>
          </w:p>
        </w:tc>
        <w:tc>
          <w:tcPr>
            <w:tcW w:w="1926" w:type="dxa"/>
            <w:gridSpan w:val="2"/>
            <w:vMerge w:val="restar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名称</w:t>
            </w:r>
          </w:p>
        </w:tc>
        <w:tc>
          <w:tcPr>
            <w:tcW w:w="2640" w:type="dxa"/>
            <w:gridSpan w:val="3"/>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面源参数</w:t>
            </w:r>
          </w:p>
        </w:tc>
        <w:tc>
          <w:tcPr>
            <w:tcW w:w="1065" w:type="dxa"/>
            <w:vMerge w:val="restar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年排放小时数（h）</w:t>
            </w:r>
          </w:p>
        </w:tc>
        <w:tc>
          <w:tcPr>
            <w:tcW w:w="750" w:type="dxa"/>
            <w:vMerge w:val="restar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排放工况</w:t>
            </w:r>
          </w:p>
        </w:tc>
        <w:tc>
          <w:tcPr>
            <w:tcW w:w="2814" w:type="dxa"/>
            <w:gridSpan w:val="2"/>
            <w:tcBorders>
              <w:tl2br w:val="nil"/>
              <w:tr2bl w:val="nil"/>
            </w:tcBorders>
            <w:vAlign w:val="center"/>
          </w:tcPr>
          <w:p>
            <w:pPr>
              <w:pStyle w:val="30"/>
              <w:widowControl w:val="0"/>
              <w:ind w:firstLine="0" w:firstLineChars="0"/>
              <w:jc w:val="center"/>
              <w:rPr>
                <w:rFonts w:hint="default"/>
                <w:b/>
                <w:bCs/>
                <w:highlight w:val="none"/>
                <w:vertAlign w:val="baseline"/>
                <w:lang w:val="en-US" w:eastAsia="zh-CN"/>
              </w:rPr>
            </w:pPr>
            <w:r>
              <w:rPr>
                <w:rFonts w:hint="eastAsia"/>
                <w:b/>
                <w:bCs/>
                <w:highlight w:val="none"/>
                <w:vertAlign w:val="baseline"/>
                <w:lang w:val="en-US" w:eastAsia="zh-CN"/>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27" w:type="dxa"/>
            <w:vMerge w:val="continue"/>
            <w:tcBorders>
              <w:tl2br w:val="nil"/>
              <w:tr2bl w:val="nil"/>
            </w:tcBorders>
            <w:vAlign w:val="center"/>
          </w:tcPr>
          <w:p>
            <w:pPr>
              <w:pStyle w:val="30"/>
              <w:widowControl w:val="0"/>
              <w:jc w:val="center"/>
              <w:rPr>
                <w:b/>
                <w:bCs/>
                <w:highlight w:val="none"/>
              </w:rPr>
            </w:pPr>
          </w:p>
        </w:tc>
        <w:tc>
          <w:tcPr>
            <w:tcW w:w="1926" w:type="dxa"/>
            <w:gridSpan w:val="2"/>
            <w:vMerge w:val="continue"/>
            <w:tcBorders>
              <w:tl2br w:val="nil"/>
              <w:tr2bl w:val="nil"/>
            </w:tcBorders>
            <w:vAlign w:val="center"/>
          </w:tcPr>
          <w:p>
            <w:pPr>
              <w:pStyle w:val="30"/>
              <w:widowControl w:val="0"/>
              <w:jc w:val="center"/>
              <w:rPr>
                <w:b/>
                <w:bCs/>
                <w:highlight w:val="none"/>
              </w:rPr>
            </w:pPr>
          </w:p>
        </w:tc>
        <w:tc>
          <w:tcPr>
            <w:tcW w:w="880" w:type="dxa"/>
            <w:tcBorders>
              <w:tl2br w:val="nil"/>
              <w:tr2bl w:val="nil"/>
            </w:tcBorders>
            <w:vAlign w:val="center"/>
          </w:tcPr>
          <w:p>
            <w:pPr>
              <w:pStyle w:val="30"/>
              <w:widowControl w:val="0"/>
              <w:ind w:firstLine="0" w:firstLineChars="0"/>
              <w:jc w:val="center"/>
              <w:rPr>
                <w:b/>
                <w:bCs/>
                <w:highlight w:val="none"/>
              </w:rPr>
            </w:pPr>
            <w:r>
              <w:rPr>
                <w:rFonts w:hint="eastAsia"/>
                <w:b/>
                <w:bCs/>
                <w:highlight w:val="none"/>
                <w:vertAlign w:val="baseline"/>
                <w:lang w:val="en-US" w:eastAsia="zh-CN"/>
              </w:rPr>
              <w:t>长（m）</w:t>
            </w:r>
          </w:p>
        </w:tc>
        <w:tc>
          <w:tcPr>
            <w:tcW w:w="880" w:type="dxa"/>
            <w:tcBorders>
              <w:tl2br w:val="nil"/>
              <w:tr2bl w:val="nil"/>
            </w:tcBorders>
            <w:vAlign w:val="center"/>
          </w:tcPr>
          <w:p>
            <w:pPr>
              <w:pStyle w:val="30"/>
              <w:widowControl w:val="0"/>
              <w:ind w:firstLine="0" w:firstLineChars="0"/>
              <w:jc w:val="center"/>
              <w:rPr>
                <w:b/>
                <w:bCs/>
                <w:highlight w:val="none"/>
              </w:rPr>
            </w:pPr>
            <w:r>
              <w:rPr>
                <w:rFonts w:hint="eastAsia"/>
                <w:b/>
                <w:bCs/>
                <w:highlight w:val="none"/>
                <w:vertAlign w:val="baseline"/>
                <w:lang w:val="en-US" w:eastAsia="zh-CN"/>
              </w:rPr>
              <w:t>宽（m）</w:t>
            </w:r>
          </w:p>
        </w:tc>
        <w:tc>
          <w:tcPr>
            <w:tcW w:w="880" w:type="dxa"/>
            <w:tcBorders>
              <w:tl2br w:val="nil"/>
              <w:tr2bl w:val="nil"/>
            </w:tcBorders>
            <w:vAlign w:val="center"/>
          </w:tcPr>
          <w:p>
            <w:pPr>
              <w:pStyle w:val="30"/>
              <w:widowControl w:val="0"/>
              <w:ind w:firstLine="0" w:firstLineChars="0"/>
              <w:jc w:val="center"/>
              <w:rPr>
                <w:b/>
                <w:bCs/>
                <w:highlight w:val="none"/>
              </w:rPr>
            </w:pPr>
            <w:r>
              <w:rPr>
                <w:rFonts w:hint="eastAsia"/>
                <w:b/>
                <w:bCs/>
                <w:highlight w:val="none"/>
                <w:vertAlign w:val="baseline"/>
                <w:lang w:val="en-US" w:eastAsia="zh-CN"/>
              </w:rPr>
              <w:t>高（m）</w:t>
            </w:r>
          </w:p>
        </w:tc>
        <w:tc>
          <w:tcPr>
            <w:tcW w:w="1065" w:type="dxa"/>
            <w:vMerge w:val="continue"/>
            <w:tcBorders>
              <w:tl2br w:val="nil"/>
              <w:tr2bl w:val="nil"/>
            </w:tcBorders>
            <w:vAlign w:val="center"/>
          </w:tcPr>
          <w:p>
            <w:pPr>
              <w:pStyle w:val="30"/>
              <w:widowControl w:val="0"/>
              <w:jc w:val="center"/>
              <w:rPr>
                <w:b/>
                <w:bCs/>
                <w:highlight w:val="none"/>
              </w:rPr>
            </w:pPr>
          </w:p>
        </w:tc>
        <w:tc>
          <w:tcPr>
            <w:tcW w:w="750" w:type="dxa"/>
            <w:vMerge w:val="continue"/>
            <w:tcBorders>
              <w:tl2br w:val="nil"/>
              <w:tr2bl w:val="nil"/>
            </w:tcBorders>
            <w:vAlign w:val="center"/>
          </w:tcPr>
          <w:p>
            <w:pPr>
              <w:pStyle w:val="30"/>
              <w:widowControl w:val="0"/>
              <w:jc w:val="center"/>
              <w:rPr>
                <w:b/>
                <w:bCs/>
                <w:highlight w:val="none"/>
              </w:rPr>
            </w:pPr>
          </w:p>
        </w:tc>
        <w:tc>
          <w:tcPr>
            <w:tcW w:w="1407" w:type="dxa"/>
            <w:tcBorders>
              <w:tl2br w:val="nil"/>
              <w:tr2bl w:val="nil"/>
            </w:tcBorders>
            <w:vAlign w:val="center"/>
          </w:tcPr>
          <w:p>
            <w:pPr>
              <w:pStyle w:val="30"/>
              <w:widowControl w:val="0"/>
              <w:ind w:firstLine="0" w:firstLineChars="0"/>
              <w:jc w:val="center"/>
              <w:rPr>
                <w:rFonts w:hint="default"/>
                <w:b/>
                <w:bCs/>
                <w:highlight w:val="none"/>
                <w:vertAlign w:val="baseline"/>
                <w:lang w:val="en-US" w:eastAsia="zh-CN"/>
              </w:rPr>
            </w:pPr>
            <w:r>
              <w:rPr>
                <w:rFonts w:hint="eastAsia"/>
                <w:b/>
                <w:bCs/>
                <w:highlight w:val="none"/>
                <w:vertAlign w:val="baseline"/>
                <w:lang w:val="en-US" w:eastAsia="zh-CN"/>
              </w:rPr>
              <w:t>NH</w:t>
            </w:r>
            <w:r>
              <w:rPr>
                <w:rFonts w:hint="eastAsia"/>
                <w:b/>
                <w:bCs/>
                <w:highlight w:val="none"/>
                <w:vertAlign w:val="subscript"/>
                <w:lang w:val="en-US" w:eastAsia="zh-CN"/>
              </w:rPr>
              <w:t>3</w:t>
            </w:r>
          </w:p>
        </w:tc>
        <w:tc>
          <w:tcPr>
            <w:tcW w:w="1407" w:type="dxa"/>
            <w:tcBorders>
              <w:tl2br w:val="nil"/>
              <w:tr2bl w:val="nil"/>
            </w:tcBorders>
            <w:vAlign w:val="center"/>
          </w:tcPr>
          <w:p>
            <w:pPr>
              <w:pStyle w:val="30"/>
              <w:widowControl w:val="0"/>
              <w:ind w:firstLine="0" w:firstLineChars="0"/>
              <w:jc w:val="center"/>
              <w:rPr>
                <w:rFonts w:hint="default"/>
                <w:b/>
                <w:bCs/>
                <w:highlight w:val="none"/>
                <w:vertAlign w:val="baseline"/>
                <w:lang w:val="en-US" w:eastAsia="zh-CN"/>
              </w:rPr>
            </w:pPr>
            <w:r>
              <w:rPr>
                <w:rFonts w:hint="eastAsia"/>
                <w:b/>
                <w:bCs/>
                <w:highlight w:val="none"/>
                <w:vertAlign w:val="baseline"/>
                <w:lang w:val="en-US" w:eastAsia="zh-CN"/>
              </w:rPr>
              <w:t>H</w:t>
            </w:r>
            <w:r>
              <w:rPr>
                <w:rFonts w:hint="eastAsia"/>
                <w:b/>
                <w:bCs/>
                <w:highlight w:val="none"/>
                <w:vertAlign w:val="subscript"/>
                <w:lang w:val="en-US" w:eastAsia="zh-CN"/>
              </w:rPr>
              <w:t>2</w:t>
            </w:r>
            <w:r>
              <w:rPr>
                <w:rFonts w:hint="eastAsia"/>
                <w:b/>
                <w:bCs/>
                <w:highlight w:val="none"/>
                <w:vertAlign w:val="baseline"/>
                <w:lang w:val="en-US" w:eastAsia="zh-CN"/>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vMerge w:val="restar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w:t>
            </w:r>
          </w:p>
        </w:tc>
        <w:tc>
          <w:tcPr>
            <w:tcW w:w="857" w:type="dxa"/>
            <w:vMerge w:val="restart"/>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屠宰车间</w:t>
            </w:r>
          </w:p>
        </w:tc>
        <w:tc>
          <w:tcPr>
            <w:tcW w:w="1069" w:type="dxa"/>
            <w:vMerge w:val="restart"/>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生猪</w:t>
            </w:r>
          </w:p>
        </w:tc>
        <w:tc>
          <w:tcPr>
            <w:tcW w:w="880" w:type="dxa"/>
            <w:vMerge w:val="restart"/>
            <w:tcBorders>
              <w:tl2br w:val="nil"/>
              <w:tr2bl w:val="nil"/>
            </w:tcBorders>
            <w:vAlign w:val="center"/>
          </w:tcPr>
          <w:p>
            <w:pPr>
              <w:pStyle w:val="30"/>
              <w:widowControl w:val="0"/>
              <w:ind w:firstLine="0" w:firstLineChars="0"/>
              <w:jc w:val="center"/>
              <w:rPr>
                <w:rFonts w:hint="eastAsia"/>
                <w:highlight w:val="none"/>
                <w:vertAlign w:val="baseline"/>
                <w:lang w:val="en-US" w:eastAsia="zh-CN"/>
              </w:rPr>
            </w:pPr>
            <w:r>
              <w:rPr>
                <w:rFonts w:hint="eastAsia"/>
                <w:highlight w:val="none"/>
                <w:vertAlign w:val="baseline"/>
                <w:lang w:val="en-US" w:eastAsia="zh-CN"/>
              </w:rPr>
              <w:t>150</w:t>
            </w:r>
          </w:p>
        </w:tc>
        <w:tc>
          <w:tcPr>
            <w:tcW w:w="880" w:type="dxa"/>
            <w:vMerge w:val="restart"/>
            <w:tcBorders>
              <w:tl2br w:val="nil"/>
              <w:tr2bl w:val="nil"/>
            </w:tcBorders>
            <w:vAlign w:val="center"/>
          </w:tcPr>
          <w:p>
            <w:pPr>
              <w:pStyle w:val="30"/>
              <w:widowControl w:val="0"/>
              <w:ind w:firstLine="0" w:firstLineChars="0"/>
              <w:jc w:val="center"/>
              <w:rPr>
                <w:rFonts w:hint="eastAsia"/>
                <w:highlight w:val="none"/>
                <w:vertAlign w:val="baseline"/>
                <w:lang w:val="en-US" w:eastAsia="zh-CN"/>
              </w:rPr>
            </w:pPr>
            <w:r>
              <w:rPr>
                <w:rFonts w:hint="eastAsia"/>
                <w:highlight w:val="none"/>
                <w:vertAlign w:val="baseline"/>
                <w:lang w:val="en-US" w:eastAsia="zh-CN"/>
              </w:rPr>
              <w:t>64</w:t>
            </w:r>
          </w:p>
        </w:tc>
        <w:tc>
          <w:tcPr>
            <w:tcW w:w="880" w:type="dxa"/>
            <w:vMerge w:val="restart"/>
            <w:tcBorders>
              <w:tl2br w:val="nil"/>
              <w:tr2bl w:val="nil"/>
            </w:tcBorders>
            <w:vAlign w:val="center"/>
          </w:tcPr>
          <w:p>
            <w:pPr>
              <w:pStyle w:val="30"/>
              <w:widowControl w:val="0"/>
              <w:ind w:firstLine="0" w:firstLineChars="0"/>
              <w:jc w:val="center"/>
              <w:rPr>
                <w:rFonts w:hint="eastAsia"/>
                <w:highlight w:val="none"/>
                <w:vertAlign w:val="baseline"/>
                <w:lang w:val="en-US" w:eastAsia="zh-CN"/>
              </w:rPr>
            </w:pPr>
            <w:r>
              <w:rPr>
                <w:rFonts w:hint="eastAsia"/>
                <w:highlight w:val="none"/>
                <w:vertAlign w:val="baseline"/>
                <w:lang w:val="en-US" w:eastAsia="zh-CN"/>
              </w:rPr>
              <w:t>8</w:t>
            </w:r>
          </w:p>
        </w:tc>
        <w:tc>
          <w:tcPr>
            <w:tcW w:w="1065" w:type="dxa"/>
            <w:vMerge w:val="restar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2400</w:t>
            </w:r>
          </w:p>
        </w:tc>
        <w:tc>
          <w:tcPr>
            <w:tcW w:w="750" w:type="dxa"/>
            <w:vMerge w:val="restart"/>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正常</w:t>
            </w:r>
          </w:p>
        </w:tc>
        <w:tc>
          <w:tcPr>
            <w:tcW w:w="1407" w:type="dxa"/>
            <w:tcBorders>
              <w:tl2br w:val="nil"/>
              <w:tr2bl w:val="nil"/>
            </w:tcBorders>
            <w:vAlign w:val="center"/>
          </w:tcPr>
          <w:p>
            <w:pPr>
              <w:pStyle w:val="30"/>
              <w:widowControl w:val="0"/>
              <w:ind w:firstLine="0" w:firstLineChars="0"/>
              <w:rPr>
                <w:rFonts w:hint="default"/>
                <w:highlight w:val="none"/>
                <w:lang w:val="en-US" w:eastAsia="zh-CN"/>
              </w:rPr>
            </w:pPr>
            <w:r>
              <w:rPr>
                <w:rFonts w:hint="eastAsia"/>
                <w:highlight w:val="none"/>
                <w:lang w:val="en-US" w:eastAsia="zh-CN"/>
              </w:rPr>
              <w:t>0.022</w:t>
            </w:r>
          </w:p>
        </w:tc>
        <w:tc>
          <w:tcPr>
            <w:tcW w:w="1407" w:type="dxa"/>
            <w:tcBorders>
              <w:tl2br w:val="nil"/>
              <w:tr2bl w:val="nil"/>
            </w:tcBorders>
            <w:vAlign w:val="center"/>
          </w:tcPr>
          <w:p>
            <w:pPr>
              <w:pStyle w:val="30"/>
              <w:widowControl w:val="0"/>
              <w:ind w:firstLine="0" w:firstLineChars="0"/>
              <w:rPr>
                <w:rFonts w:hint="default"/>
                <w:highlight w:val="none"/>
                <w:lang w:val="en-US" w:eastAsia="zh-CN"/>
              </w:rPr>
            </w:pPr>
            <w:r>
              <w:rPr>
                <w:rFonts w:hint="eastAsia"/>
                <w:highlight w:val="none"/>
                <w:lang w:val="en-US" w:eastAsia="zh-CN"/>
              </w:rPr>
              <w:t>0.0045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2</w:t>
            </w:r>
          </w:p>
        </w:tc>
        <w:tc>
          <w:tcPr>
            <w:tcW w:w="857" w:type="dxa"/>
            <w:vMerge w:val="continue"/>
            <w:tcBorders>
              <w:tl2br w:val="nil"/>
              <w:tr2bl w:val="nil"/>
            </w:tcBorders>
            <w:vAlign w:val="center"/>
          </w:tcPr>
          <w:p>
            <w:pPr>
              <w:pStyle w:val="30"/>
              <w:widowControl w:val="0"/>
              <w:ind w:firstLine="0" w:firstLineChars="0"/>
              <w:jc w:val="center"/>
              <w:rPr>
                <w:rFonts w:hint="eastAsia"/>
                <w:highlight w:val="none"/>
                <w:vertAlign w:val="baseline"/>
                <w:lang w:val="en-US" w:eastAsia="zh-CN"/>
              </w:rPr>
            </w:pPr>
          </w:p>
        </w:tc>
        <w:tc>
          <w:tcPr>
            <w:tcW w:w="1069"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肉牛</w:t>
            </w:r>
          </w:p>
        </w:tc>
        <w:tc>
          <w:tcPr>
            <w:tcW w:w="880" w:type="dxa"/>
            <w:tcBorders>
              <w:tl2br w:val="nil"/>
              <w:tr2bl w:val="nil"/>
            </w:tcBorders>
            <w:vAlign w:val="center"/>
          </w:tcPr>
          <w:p>
            <w:pPr>
              <w:pStyle w:val="30"/>
              <w:widowControl w:val="0"/>
              <w:ind w:firstLine="0" w:firstLineChars="0"/>
              <w:jc w:val="center"/>
              <w:rPr>
                <w:rFonts w:hint="eastAsia"/>
                <w:highlight w:val="none"/>
                <w:vertAlign w:val="baseline"/>
                <w:lang w:val="en-US" w:eastAsia="zh-CN"/>
              </w:rPr>
            </w:pPr>
            <w:r>
              <w:rPr>
                <w:rFonts w:hint="eastAsia"/>
                <w:highlight w:val="none"/>
                <w:vertAlign w:val="baseline"/>
                <w:lang w:val="en-US" w:eastAsia="zh-CN"/>
              </w:rPr>
              <w:t>65</w:t>
            </w:r>
          </w:p>
        </w:tc>
        <w:tc>
          <w:tcPr>
            <w:tcW w:w="880" w:type="dxa"/>
            <w:tcBorders>
              <w:tl2br w:val="nil"/>
              <w:tr2bl w:val="nil"/>
            </w:tcBorders>
            <w:vAlign w:val="center"/>
          </w:tcPr>
          <w:p>
            <w:pPr>
              <w:pStyle w:val="30"/>
              <w:widowControl w:val="0"/>
              <w:ind w:firstLine="0" w:firstLineChars="0"/>
              <w:jc w:val="center"/>
              <w:rPr>
                <w:rFonts w:hint="eastAsia"/>
                <w:highlight w:val="none"/>
                <w:vertAlign w:val="baseline"/>
                <w:lang w:val="en-US" w:eastAsia="zh-CN"/>
              </w:rPr>
            </w:pPr>
            <w:r>
              <w:rPr>
                <w:rFonts w:hint="eastAsia"/>
                <w:highlight w:val="none"/>
                <w:vertAlign w:val="baseline"/>
                <w:lang w:val="en-US" w:eastAsia="zh-CN"/>
              </w:rPr>
              <w:t>30</w:t>
            </w:r>
          </w:p>
        </w:tc>
        <w:tc>
          <w:tcPr>
            <w:tcW w:w="880" w:type="dxa"/>
            <w:tcBorders>
              <w:tl2br w:val="nil"/>
              <w:tr2bl w:val="nil"/>
            </w:tcBorders>
            <w:vAlign w:val="center"/>
          </w:tcPr>
          <w:p>
            <w:pPr>
              <w:pStyle w:val="30"/>
              <w:widowControl w:val="0"/>
              <w:ind w:firstLine="0" w:firstLineChars="0"/>
              <w:jc w:val="center"/>
              <w:rPr>
                <w:rFonts w:hint="eastAsia"/>
                <w:highlight w:val="none"/>
                <w:vertAlign w:val="baseline"/>
                <w:lang w:val="en-US" w:eastAsia="zh-CN"/>
              </w:rPr>
            </w:pPr>
            <w:r>
              <w:rPr>
                <w:rFonts w:hint="eastAsia"/>
                <w:highlight w:val="none"/>
                <w:vertAlign w:val="baseline"/>
                <w:lang w:val="en-US" w:eastAsia="zh-CN"/>
              </w:rPr>
              <w:t>8</w:t>
            </w:r>
          </w:p>
        </w:tc>
        <w:tc>
          <w:tcPr>
            <w:tcW w:w="1065" w:type="dxa"/>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1200</w:t>
            </w:r>
          </w:p>
        </w:tc>
        <w:tc>
          <w:tcPr>
            <w:tcW w:w="750" w:type="dxa"/>
            <w:tcBorders>
              <w:tl2br w:val="nil"/>
              <w:tr2bl w:val="nil"/>
            </w:tcBorders>
            <w:vAlign w:val="center"/>
          </w:tcPr>
          <w:p>
            <w:pPr>
              <w:pStyle w:val="30"/>
              <w:widowControl w:val="0"/>
              <w:ind w:firstLine="0" w:firstLineChars="0"/>
              <w:jc w:val="center"/>
              <w:rPr>
                <w:rFonts w:hint="eastAsia"/>
                <w:highlight w:val="none"/>
                <w:vertAlign w:val="baseline"/>
                <w:lang w:val="en-US" w:eastAsia="zh-CN"/>
              </w:rPr>
            </w:pPr>
            <w:r>
              <w:rPr>
                <w:rFonts w:hint="eastAsia"/>
                <w:highlight w:val="none"/>
                <w:vertAlign w:val="baseline"/>
                <w:lang w:val="en-US" w:eastAsia="zh-CN"/>
              </w:rPr>
              <w:t>正常</w:t>
            </w:r>
          </w:p>
        </w:tc>
        <w:tc>
          <w:tcPr>
            <w:tcW w:w="1407" w:type="dxa"/>
            <w:tcBorders>
              <w:tl2br w:val="nil"/>
              <w:tr2bl w:val="nil"/>
            </w:tcBorders>
            <w:vAlign w:val="center"/>
          </w:tcPr>
          <w:p>
            <w:pPr>
              <w:pStyle w:val="30"/>
              <w:widowControl w:val="0"/>
              <w:ind w:firstLine="0" w:firstLineChars="0"/>
              <w:rPr>
                <w:rFonts w:hint="default"/>
                <w:highlight w:val="none"/>
                <w:lang w:val="en-US" w:eastAsia="zh-CN"/>
              </w:rPr>
            </w:pPr>
            <w:r>
              <w:rPr>
                <w:rFonts w:hint="eastAsia"/>
                <w:highlight w:val="none"/>
                <w:lang w:val="en-US" w:eastAsia="zh-CN"/>
              </w:rPr>
              <w:t>0.0144</w:t>
            </w:r>
          </w:p>
        </w:tc>
        <w:tc>
          <w:tcPr>
            <w:tcW w:w="1407" w:type="dxa"/>
            <w:tcBorders>
              <w:tl2br w:val="nil"/>
              <w:tr2bl w:val="nil"/>
            </w:tcBorders>
            <w:vAlign w:val="center"/>
          </w:tcPr>
          <w:p>
            <w:pPr>
              <w:pStyle w:val="30"/>
              <w:widowControl w:val="0"/>
              <w:ind w:firstLine="0" w:firstLineChars="0"/>
              <w:rPr>
                <w:rFonts w:hint="default"/>
                <w:highlight w:val="none"/>
                <w:lang w:val="en-US" w:eastAsia="zh-CN"/>
              </w:rPr>
            </w:pPr>
            <w:r>
              <w:rPr>
                <w:rFonts w:hint="eastAsia"/>
                <w:highlight w:val="none"/>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3</w:t>
            </w:r>
          </w:p>
        </w:tc>
        <w:tc>
          <w:tcPr>
            <w:tcW w:w="1926" w:type="dxa"/>
            <w:gridSpan w:val="2"/>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待宰圈</w:t>
            </w:r>
          </w:p>
        </w:tc>
        <w:tc>
          <w:tcPr>
            <w:tcW w:w="880"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90</w:t>
            </w:r>
          </w:p>
        </w:tc>
        <w:tc>
          <w:tcPr>
            <w:tcW w:w="880"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32</w:t>
            </w:r>
          </w:p>
        </w:tc>
        <w:tc>
          <w:tcPr>
            <w:tcW w:w="880"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5</w:t>
            </w:r>
          </w:p>
        </w:tc>
        <w:tc>
          <w:tcPr>
            <w:tcW w:w="1065" w:type="dxa"/>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7200</w:t>
            </w:r>
          </w:p>
        </w:tc>
        <w:tc>
          <w:tcPr>
            <w:tcW w:w="750"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正常</w:t>
            </w:r>
          </w:p>
        </w:tc>
        <w:tc>
          <w:tcPr>
            <w:tcW w:w="1407" w:type="dxa"/>
            <w:tcBorders>
              <w:tl2br w:val="nil"/>
              <w:tr2bl w:val="nil"/>
            </w:tcBorders>
            <w:vAlign w:val="center"/>
          </w:tcPr>
          <w:p>
            <w:pPr>
              <w:pStyle w:val="30"/>
              <w:widowControl w:val="0"/>
              <w:ind w:firstLine="0" w:firstLineChars="0"/>
              <w:rPr>
                <w:rFonts w:hint="default"/>
                <w:highlight w:val="none"/>
                <w:lang w:val="en-US" w:eastAsia="zh-CN"/>
              </w:rPr>
            </w:pPr>
            <w:r>
              <w:rPr>
                <w:rFonts w:hint="eastAsia"/>
                <w:highlight w:val="none"/>
                <w:lang w:val="en-US" w:eastAsia="zh-CN"/>
              </w:rPr>
              <w:t>0.024</w:t>
            </w:r>
          </w:p>
        </w:tc>
        <w:tc>
          <w:tcPr>
            <w:tcW w:w="1407" w:type="dxa"/>
            <w:tcBorders>
              <w:tl2br w:val="nil"/>
              <w:tr2bl w:val="nil"/>
            </w:tcBorders>
            <w:vAlign w:val="center"/>
          </w:tcPr>
          <w:p>
            <w:pPr>
              <w:pStyle w:val="30"/>
              <w:widowControl w:val="0"/>
              <w:ind w:firstLine="0" w:firstLineChars="0"/>
              <w:rPr>
                <w:rFonts w:hint="default"/>
                <w:highlight w:val="none"/>
                <w:lang w:val="en-US" w:eastAsia="zh-CN"/>
              </w:rPr>
            </w:pPr>
            <w:r>
              <w:rPr>
                <w:rFonts w:hint="eastAsia"/>
                <w:highlight w:val="no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4</w:t>
            </w:r>
          </w:p>
        </w:tc>
        <w:tc>
          <w:tcPr>
            <w:tcW w:w="1926" w:type="dxa"/>
            <w:gridSpan w:val="2"/>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污水处理站</w:t>
            </w:r>
          </w:p>
        </w:tc>
        <w:tc>
          <w:tcPr>
            <w:tcW w:w="880"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41</w:t>
            </w:r>
          </w:p>
        </w:tc>
        <w:tc>
          <w:tcPr>
            <w:tcW w:w="880"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25</w:t>
            </w:r>
          </w:p>
        </w:tc>
        <w:tc>
          <w:tcPr>
            <w:tcW w:w="880"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3</w:t>
            </w:r>
          </w:p>
        </w:tc>
        <w:tc>
          <w:tcPr>
            <w:tcW w:w="1065" w:type="dxa"/>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7200</w:t>
            </w:r>
          </w:p>
        </w:tc>
        <w:tc>
          <w:tcPr>
            <w:tcW w:w="750"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正常</w:t>
            </w:r>
          </w:p>
        </w:tc>
        <w:tc>
          <w:tcPr>
            <w:tcW w:w="1407" w:type="dxa"/>
            <w:tcBorders>
              <w:tl2br w:val="nil"/>
              <w:tr2bl w:val="nil"/>
            </w:tcBorders>
            <w:vAlign w:val="center"/>
          </w:tcPr>
          <w:p>
            <w:pPr>
              <w:pStyle w:val="30"/>
              <w:widowControl w:val="0"/>
              <w:ind w:firstLine="0" w:firstLineChars="0"/>
              <w:rPr>
                <w:rFonts w:hint="default"/>
                <w:highlight w:val="none"/>
                <w:lang w:val="en-US" w:eastAsia="zh-CN"/>
              </w:rPr>
            </w:pPr>
            <w:r>
              <w:rPr>
                <w:rFonts w:hint="eastAsia"/>
                <w:highlight w:val="none"/>
                <w:lang w:val="en-US" w:eastAsia="zh-CN"/>
              </w:rPr>
              <w:t>0.008</w:t>
            </w:r>
          </w:p>
        </w:tc>
        <w:tc>
          <w:tcPr>
            <w:tcW w:w="1407" w:type="dxa"/>
            <w:tcBorders>
              <w:tl2br w:val="nil"/>
              <w:tr2bl w:val="nil"/>
            </w:tcBorders>
            <w:vAlign w:val="center"/>
          </w:tcPr>
          <w:p>
            <w:pPr>
              <w:pStyle w:val="30"/>
              <w:widowControl w:val="0"/>
              <w:ind w:firstLine="0" w:firstLineChars="0"/>
              <w:rPr>
                <w:rFonts w:hint="default"/>
                <w:highlight w:val="none"/>
                <w:lang w:val="en-US" w:eastAsia="zh-CN"/>
              </w:rPr>
            </w:pPr>
            <w:r>
              <w:rPr>
                <w:rFonts w:hint="eastAsia"/>
                <w:highlight w:val="none"/>
                <w:lang w:val="en-US" w:eastAsia="zh-CN"/>
              </w:rPr>
              <w:t>0.0003</w:t>
            </w:r>
          </w:p>
        </w:tc>
      </w:tr>
    </w:tbl>
    <w:p>
      <w:pPr>
        <w:bidi w:val="0"/>
        <w:rPr>
          <w:rFonts w:hint="default"/>
          <w:lang w:val="en-US" w:eastAsia="zh-CN"/>
        </w:rPr>
      </w:pPr>
      <w:r>
        <w:rPr>
          <w:rFonts w:hint="eastAsia"/>
          <w:b/>
          <w:bCs/>
          <w:lang w:val="en-US" w:eastAsia="zh-CN"/>
        </w:rPr>
        <w:t>（2）核实大气评价等级及范围</w:t>
      </w:r>
    </w:p>
    <w:p>
      <w:pPr>
        <w:bidi w:val="0"/>
        <w:rPr>
          <w:rFonts w:hint="eastAsia"/>
        </w:rPr>
      </w:pPr>
      <w:r>
        <w:rPr>
          <w:rFonts w:hint="eastAsia"/>
        </w:rPr>
        <w:t>根据《环境影响评价技术导则 大气环境》（</w:t>
      </w:r>
      <w:r>
        <w:rPr>
          <w:rFonts w:hint="default"/>
        </w:rPr>
        <w:t>HJ 2.2-2018</w:t>
      </w:r>
      <w:r>
        <w:rPr>
          <w:rFonts w:hint="eastAsia"/>
        </w:rPr>
        <w:t>），选择项目污染源正常排放的主要污染物及排放参数，采用附录</w:t>
      </w:r>
      <w:r>
        <w:rPr>
          <w:rFonts w:hint="default"/>
        </w:rPr>
        <w:t>A</w:t>
      </w:r>
      <w:r>
        <w:rPr>
          <w:rFonts w:hint="eastAsia"/>
        </w:rPr>
        <w:t>推荐模型中估算模型</w:t>
      </w:r>
      <w:r>
        <w:rPr>
          <w:rFonts w:hint="default"/>
        </w:rPr>
        <w:t>AERSCREEN</w:t>
      </w:r>
      <w:r>
        <w:rPr>
          <w:rFonts w:hint="eastAsia"/>
        </w:rPr>
        <w:t>分别计算项目污染源的大环境影响，然后按评价工作分级判据进行分级。</w:t>
      </w:r>
    </w:p>
    <w:p>
      <w:pPr>
        <w:bidi w:val="0"/>
        <w:rPr>
          <w:rFonts w:hint="eastAsia"/>
        </w:rPr>
      </w:pPr>
      <w:r>
        <w:rPr>
          <w:rFonts w:hint="eastAsia"/>
        </w:rPr>
        <w:t>根据《环境影响评价技术导则 大气环境》（</w:t>
      </w:r>
      <w:r>
        <w:rPr>
          <w:rFonts w:hint="default"/>
        </w:rPr>
        <w:t>HJ 2.2-2018</w:t>
      </w:r>
      <w:r>
        <w:rPr>
          <w:rFonts w:hint="eastAsia"/>
        </w:rPr>
        <w:t>）中推荐模式中的估算模式进行大气环境影响评价工作分级。</w:t>
      </w:r>
    </w:p>
    <w:p>
      <w:pPr>
        <w:bidi w:val="0"/>
        <w:rPr>
          <w:rFonts w:hint="eastAsia"/>
          <w:lang w:val="en-US" w:eastAsia="zh-CN"/>
        </w:rPr>
      </w:pPr>
      <w:r>
        <w:rPr>
          <w:rFonts w:hint="eastAsia"/>
        </w:rPr>
        <w:t>计算公式如下：</w:t>
      </w:r>
    </w:p>
    <w:p>
      <w:pPr>
        <w:ind w:left="0" w:leftChars="0" w:firstLine="0" w:firstLineChars="0"/>
        <w:jc w:val="center"/>
        <w:rPr>
          <w:rFonts w:hint="eastAsia"/>
          <w:lang w:val="en-US" w:eastAsia="zh-CN"/>
        </w:rPr>
      </w:pPr>
      <w:r>
        <w:rPr>
          <w:rFonts w:hint="eastAsia"/>
          <w:position w:val="-30"/>
          <w:lang w:val="en-US" w:eastAsia="zh-CN"/>
        </w:rPr>
        <w:object>
          <v:shape id="_x0000_i1025" o:spt="75" type="#_x0000_t75" style="height:34pt;width:78pt;" o:ole="t" filled="f" o:preferrelative="t" stroked="f" coordsize="21600,21600">
            <v:path/>
            <v:fill on="f" focussize="0,0"/>
            <v:stroke on="f"/>
            <v:imagedata r:id="rId10" o:title=""/>
            <o:lock v:ext="edit" aspectratio="t"/>
            <w10:wrap type="none"/>
            <w10:anchorlock/>
          </v:shape>
          <o:OLEObject Type="Embed" ProgID="Equation.KSEE3" ShapeID="_x0000_i1025" DrawAspect="Content" ObjectID="_1468075725" r:id="rId9">
            <o:LockedField>false</o:LockedField>
          </o:OLEObject>
        </w:object>
      </w:r>
    </w:p>
    <w:p>
      <w:pPr>
        <w:bidi w:val="0"/>
        <w:rPr>
          <w:rFonts w:hint="eastAsia"/>
          <w:lang w:val="en-US" w:eastAsia="zh-CN"/>
        </w:rPr>
      </w:pPr>
      <w:r>
        <w:rPr>
          <w:rFonts w:hint="eastAsia"/>
          <w:lang w:val="en-US" w:eastAsia="zh-CN"/>
        </w:rPr>
        <w:t>式中：</w:t>
      </w:r>
    </w:p>
    <w:p>
      <w:pPr>
        <w:bidi w:val="0"/>
        <w:rPr>
          <w:rFonts w:hint="eastAsia"/>
        </w:rPr>
      </w:pPr>
      <w:r>
        <w:rPr>
          <w:rFonts w:hint="eastAsia"/>
          <w:lang w:val="en-US" w:eastAsia="zh-CN"/>
        </w:rPr>
        <w:t xml:space="preserve">      </w:t>
      </w:r>
      <w:r>
        <w:rPr>
          <w:rFonts w:hint="default"/>
        </w:rPr>
        <w:t>P</w:t>
      </w:r>
      <w:r>
        <w:rPr>
          <w:rFonts w:hint="default"/>
          <w:vertAlign w:val="subscript"/>
        </w:rPr>
        <w:t>i</w:t>
      </w:r>
      <w:r>
        <w:rPr>
          <w:rFonts w:hint="eastAsia"/>
          <w:lang w:eastAsia="zh-CN"/>
        </w:rPr>
        <w:t>——</w:t>
      </w:r>
      <w:r>
        <w:rPr>
          <w:rFonts w:hint="eastAsia"/>
        </w:rPr>
        <w:t>第</w:t>
      </w:r>
      <w:r>
        <w:rPr>
          <w:rFonts w:hint="default"/>
        </w:rPr>
        <w:t>i</w:t>
      </w:r>
      <w:r>
        <w:rPr>
          <w:rFonts w:hint="eastAsia"/>
        </w:rPr>
        <w:t>个污染物的最大地面空气质量浓度占标率，</w:t>
      </w:r>
      <w:r>
        <w:rPr>
          <w:rFonts w:hint="default"/>
        </w:rPr>
        <w:t>%</w:t>
      </w:r>
      <w:r>
        <w:rPr>
          <w:rFonts w:hint="eastAsia"/>
        </w:rPr>
        <w:t>；</w:t>
      </w:r>
    </w:p>
    <w:p>
      <w:pPr>
        <w:bidi w:val="0"/>
        <w:ind w:firstLine="1200" w:firstLineChars="500"/>
        <w:rPr>
          <w:rFonts w:hint="eastAsia"/>
        </w:rPr>
      </w:pPr>
      <w:r>
        <w:rPr>
          <w:rFonts w:hint="default"/>
        </w:rPr>
        <w:t>C</w:t>
      </w:r>
      <w:r>
        <w:rPr>
          <w:rFonts w:hint="default"/>
          <w:vertAlign w:val="subscript"/>
        </w:rPr>
        <w:t>i</w:t>
      </w:r>
      <w:r>
        <w:rPr>
          <w:rFonts w:hint="eastAsia"/>
          <w:lang w:eastAsia="zh-CN"/>
        </w:rPr>
        <w:t>——</w:t>
      </w:r>
      <w:r>
        <w:rPr>
          <w:rFonts w:hint="eastAsia"/>
        </w:rPr>
        <w:t>采用估算模式计算出的第</w:t>
      </w:r>
      <w:r>
        <w:rPr>
          <w:rFonts w:hint="default"/>
        </w:rPr>
        <w:t>i</w:t>
      </w:r>
      <w:r>
        <w:rPr>
          <w:rFonts w:hint="eastAsia"/>
        </w:rPr>
        <w:t>个污染物的最大</w:t>
      </w:r>
      <w:r>
        <w:rPr>
          <w:rFonts w:hint="default"/>
        </w:rPr>
        <w:t>1h</w:t>
      </w:r>
      <w:r>
        <w:rPr>
          <w:rFonts w:hint="eastAsia"/>
        </w:rPr>
        <w:t>地面空气质量浓度，</w:t>
      </w:r>
      <w:r>
        <w:rPr>
          <w:rFonts w:hint="default" w:ascii="Times New Roman" w:hAnsi="Times New Roman" w:cs="Times New Roman"/>
        </w:rPr>
        <w:t>μ</w:t>
      </w:r>
      <w:r>
        <w:rPr>
          <w:rFonts w:hint="eastAsia"/>
        </w:rPr>
        <w:t>g/m</w:t>
      </w:r>
      <w:r>
        <w:rPr>
          <w:rFonts w:hint="default"/>
          <w:vertAlign w:val="superscript"/>
        </w:rPr>
        <w:t>3</w:t>
      </w:r>
      <w:r>
        <w:rPr>
          <w:rFonts w:hint="eastAsia"/>
        </w:rPr>
        <w:t>；</w:t>
      </w:r>
    </w:p>
    <w:p>
      <w:pPr>
        <w:bidi w:val="0"/>
        <w:ind w:firstLine="1200" w:firstLineChars="500"/>
        <w:rPr>
          <w:rFonts w:hint="eastAsia"/>
        </w:rPr>
      </w:pPr>
      <w:r>
        <w:rPr>
          <w:rFonts w:hint="default"/>
        </w:rPr>
        <w:t>C</w:t>
      </w:r>
      <w:r>
        <w:rPr>
          <w:rFonts w:hint="eastAsia"/>
          <w:vertAlign w:val="subscript"/>
          <w:lang w:val="en-US" w:eastAsia="zh-CN"/>
        </w:rPr>
        <w:t>0</w:t>
      </w:r>
      <w:r>
        <w:rPr>
          <w:rFonts w:hint="default"/>
          <w:vertAlign w:val="subscript"/>
        </w:rPr>
        <w:t>i</w:t>
      </w:r>
      <w:r>
        <w:rPr>
          <w:rFonts w:hint="eastAsia"/>
          <w:lang w:eastAsia="zh-CN"/>
        </w:rPr>
        <w:t>——</w:t>
      </w:r>
      <w:r>
        <w:rPr>
          <w:rFonts w:hint="eastAsia"/>
        </w:rPr>
        <w:t>第</w:t>
      </w:r>
      <w:r>
        <w:rPr>
          <w:rFonts w:hint="default"/>
        </w:rPr>
        <w:t>i</w:t>
      </w:r>
      <w:r>
        <w:rPr>
          <w:rFonts w:hint="eastAsia"/>
        </w:rPr>
        <w:t>个污染物的环境空气质量浓度标准，</w:t>
      </w:r>
      <w:r>
        <w:rPr>
          <w:rFonts w:hint="default" w:ascii="Times New Roman" w:hAnsi="Times New Roman" w:cs="Times New Roman"/>
        </w:rPr>
        <w:t>μ</w:t>
      </w:r>
      <w:r>
        <w:rPr>
          <w:rFonts w:hint="eastAsia"/>
        </w:rPr>
        <w:t>g/m</w:t>
      </w:r>
      <w:r>
        <w:rPr>
          <w:rFonts w:hint="default"/>
          <w:vertAlign w:val="superscript"/>
        </w:rPr>
        <w:t>3</w:t>
      </w:r>
      <w:r>
        <w:rPr>
          <w:rFonts w:hint="eastAsia"/>
        </w:rPr>
        <w:t>。</w:t>
      </w:r>
    </w:p>
    <w:p>
      <w:pPr>
        <w:bidi w:val="0"/>
        <w:rPr>
          <w:rFonts w:hint="default"/>
          <w:lang w:val="en-US" w:eastAsia="zh-CN"/>
        </w:rPr>
      </w:pPr>
      <w:r>
        <w:rPr>
          <w:rFonts w:hint="eastAsia"/>
        </w:rPr>
        <w:t>评价工作等级按下表的分级判据进行划分，如果污染物数</w:t>
      </w:r>
      <w:r>
        <w:rPr>
          <w:rFonts w:hint="default"/>
        </w:rPr>
        <w:t>i</w:t>
      </w:r>
      <w:r>
        <w:rPr>
          <w:rFonts w:hint="eastAsia"/>
        </w:rPr>
        <w:t>大于</w:t>
      </w:r>
      <w:r>
        <w:rPr>
          <w:rFonts w:hint="default"/>
        </w:rPr>
        <w:t>1</w:t>
      </w:r>
      <w:r>
        <w:rPr>
          <w:rFonts w:hint="eastAsia"/>
        </w:rPr>
        <w:t>，取</w:t>
      </w:r>
      <w:r>
        <w:rPr>
          <w:rFonts w:hint="default"/>
        </w:rPr>
        <w:t>P</w:t>
      </w:r>
      <w:r>
        <w:rPr>
          <w:rFonts w:hint="eastAsia"/>
        </w:rPr>
        <w:t>值中大者</w:t>
      </w:r>
      <w:r>
        <w:rPr>
          <w:rFonts w:hint="default"/>
        </w:rPr>
        <w:t>Pmax</w:t>
      </w:r>
      <w:r>
        <w:rPr>
          <w:rFonts w:hint="eastAsia"/>
        </w:rPr>
        <w:t>。同一项目有多个污染源（两个级以上）时，则按各污染源分别确定其评价等级，并取评价等级高者作为项目的评价等级。</w:t>
      </w:r>
    </w:p>
    <w:p>
      <w:pPr>
        <w:pStyle w:val="29"/>
        <w:bidi w:val="0"/>
        <w:rPr>
          <w:rFonts w:hint="eastAsia"/>
          <w:lang w:val="en-US" w:eastAsia="zh-CN"/>
        </w:rPr>
      </w:pPr>
      <w:r>
        <w:rPr>
          <w:rFonts w:hint="eastAsia"/>
          <w:lang w:val="en-US" w:eastAsia="zh-CN"/>
        </w:rPr>
        <w:t>表1.5-10  评价等级判别表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11"/>
        <w:gridCol w:w="48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1"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评价工作等级</w:t>
            </w:r>
          </w:p>
        </w:tc>
        <w:tc>
          <w:tcPr>
            <w:tcW w:w="4811"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一级</w:t>
            </w:r>
          </w:p>
        </w:tc>
        <w:tc>
          <w:tcPr>
            <w:tcW w:w="481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二级</w:t>
            </w:r>
          </w:p>
        </w:tc>
        <w:tc>
          <w:tcPr>
            <w:tcW w:w="481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1%≤Pmax&lt;10%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三级</w:t>
            </w:r>
          </w:p>
        </w:tc>
        <w:tc>
          <w:tcPr>
            <w:tcW w:w="481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Pmax&lt;1%</w:t>
            </w:r>
          </w:p>
        </w:tc>
      </w:tr>
    </w:tbl>
    <w:p>
      <w:pPr>
        <w:bidi w:val="0"/>
        <w:rPr>
          <w:rFonts w:hint="default"/>
          <w:lang w:val="en-US" w:eastAsia="zh-CN"/>
        </w:rPr>
      </w:pPr>
      <w:r>
        <w:rPr>
          <w:rFonts w:hint="eastAsia"/>
        </w:rPr>
        <w:t>同一项目有多个污染源（两个及以上，下同）时，则按各污染源分别确定评价等级，并取评价等级高者作为项目的评价等级。</w:t>
      </w:r>
    </w:p>
    <w:p>
      <w:pPr>
        <w:pStyle w:val="29"/>
        <w:bidi w:val="0"/>
        <w:rPr>
          <w:rFonts w:hint="eastAsia"/>
          <w:lang w:val="en-US" w:eastAsia="zh-CN"/>
        </w:rPr>
      </w:pPr>
      <w:r>
        <w:rPr>
          <w:rFonts w:hint="eastAsia"/>
          <w:lang w:val="en-US" w:eastAsia="zh-CN"/>
        </w:rPr>
        <w:t>表1.5-11  估算模型参数</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7"/>
        <w:gridCol w:w="3207"/>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参数</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城市/农村选项</w:t>
            </w: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城市/农村</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default"/>
                <w:vertAlign w:val="baseline"/>
                <w:lang w:val="en-US" w:eastAsia="zh-CN"/>
              </w:rPr>
            </w:pP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人口数（城市选项时）</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最高环境温度/</w:t>
            </w:r>
            <w:r>
              <w:rPr>
                <w:rFonts w:hint="default" w:ascii="Times New Roman" w:hAnsi="Times New Roman" w:cs="Times New Roman"/>
                <w:vertAlign w:val="baseline"/>
                <w:lang w:val="en-US" w:eastAsia="zh-CN"/>
              </w:rPr>
              <w:t>℃</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40.6</w:t>
            </w:r>
            <w:r>
              <w:rPr>
                <w:rFonts w:hint="default" w:ascii="Times New Roman" w:hAnsi="Times New Roman" w:cs="Times New Roman"/>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最低环境温度/</w:t>
            </w:r>
            <w:r>
              <w:rPr>
                <w:rFonts w:hint="default" w:ascii="Times New Roman" w:hAnsi="Times New Roman" w:cs="Times New Roman"/>
                <w:vertAlign w:val="baseline"/>
                <w:lang w:val="en-US" w:eastAsia="zh-CN"/>
              </w:rPr>
              <w:t>℃</w:t>
            </w:r>
          </w:p>
        </w:tc>
        <w:tc>
          <w:tcPr>
            <w:tcW w:w="3208"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lang w:val="en-US" w:eastAsia="zh-CN"/>
              </w:rPr>
              <w:t>-5.3</w:t>
            </w:r>
            <w:r>
              <w:rPr>
                <w:rFonts w:hint="default" w:ascii="Times New Roman" w:hAnsi="Times New Roman" w:cs="Times New Roman"/>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土地利用类型</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区域湿度条件</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潮湿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是否考虑地形</w:t>
            </w: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考虑地形</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default"/>
                <w:vertAlign w:val="baseline"/>
                <w:lang w:val="en-US" w:eastAsia="zh-CN"/>
              </w:rPr>
            </w:pP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地形数据分辨率/m</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是否考虑岸线熏烟</w:t>
            </w: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考虑岸线熏烟</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default"/>
                <w:vertAlign w:val="baseline"/>
                <w:lang w:val="en-US" w:eastAsia="zh-CN"/>
              </w:rPr>
            </w:pP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岸线距离/km</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default"/>
                <w:vertAlign w:val="baseline"/>
                <w:lang w:val="en-US" w:eastAsia="zh-CN"/>
              </w:rPr>
            </w:pP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岸线方向/°</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pStyle w:val="29"/>
        <w:bidi w:val="0"/>
        <w:rPr>
          <w:rFonts w:hint="eastAsia"/>
          <w:highlight w:val="none"/>
          <w:lang w:val="en-US" w:eastAsia="zh-CN"/>
        </w:rPr>
      </w:pPr>
      <w:r>
        <w:rPr>
          <w:rFonts w:hint="eastAsia"/>
          <w:highlight w:val="none"/>
          <w:lang w:val="en-US" w:eastAsia="zh-CN"/>
        </w:rPr>
        <w:t>表1.5-12  评价因子和评价标准表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1335"/>
        <w:gridCol w:w="2130"/>
        <w:gridCol w:w="50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3" w:type="dxa"/>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评价因子</w:t>
            </w:r>
          </w:p>
        </w:tc>
        <w:tc>
          <w:tcPr>
            <w:tcW w:w="1335" w:type="dxa"/>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评价时段</w:t>
            </w:r>
          </w:p>
        </w:tc>
        <w:tc>
          <w:tcPr>
            <w:tcW w:w="2130" w:type="dxa"/>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标准值（</w:t>
            </w:r>
            <w:r>
              <w:rPr>
                <w:rFonts w:hint="default" w:ascii="Times New Roman" w:hAnsi="Times New Roman" w:cs="Times New Roman"/>
                <w:b/>
                <w:bCs/>
                <w:highlight w:val="none"/>
              </w:rPr>
              <w:t>μ</w:t>
            </w:r>
            <w:r>
              <w:rPr>
                <w:rFonts w:hint="eastAsia"/>
                <w:b/>
                <w:bCs/>
                <w:highlight w:val="none"/>
              </w:rPr>
              <w:t>g/m</w:t>
            </w:r>
            <w:r>
              <w:rPr>
                <w:rFonts w:hint="default"/>
                <w:b/>
                <w:bCs/>
                <w:highlight w:val="none"/>
                <w:vertAlign w:val="superscript"/>
              </w:rPr>
              <w:t>3</w:t>
            </w:r>
            <w:r>
              <w:rPr>
                <w:rFonts w:hint="eastAsia"/>
                <w:b/>
                <w:bCs/>
                <w:highlight w:val="none"/>
                <w:vertAlign w:val="baseline"/>
                <w:lang w:val="en-US" w:eastAsia="zh-CN"/>
              </w:rPr>
              <w:t>）</w:t>
            </w:r>
          </w:p>
        </w:tc>
        <w:tc>
          <w:tcPr>
            <w:tcW w:w="5034" w:type="dxa"/>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23" w:type="dxa"/>
            <w:tcBorders>
              <w:tl2br w:val="nil"/>
              <w:tr2bl w:val="nil"/>
            </w:tcBorders>
            <w:vAlign w:val="center"/>
          </w:tcPr>
          <w:p>
            <w:pPr>
              <w:pStyle w:val="30"/>
              <w:widowControl w:val="0"/>
              <w:jc w:val="center"/>
              <w:rPr>
                <w:rFonts w:hint="default"/>
                <w:highlight w:val="none"/>
                <w:vertAlign w:val="subscript"/>
                <w:lang w:val="en-US" w:eastAsia="zh-CN"/>
              </w:rPr>
            </w:pPr>
            <w:r>
              <w:rPr>
                <w:rFonts w:hint="eastAsia"/>
                <w:highlight w:val="none"/>
                <w:vertAlign w:val="baseline"/>
                <w:lang w:val="en-US" w:eastAsia="zh-CN"/>
              </w:rPr>
              <w:t>NH</w:t>
            </w:r>
            <w:r>
              <w:rPr>
                <w:rFonts w:hint="eastAsia"/>
                <w:highlight w:val="none"/>
                <w:vertAlign w:val="subscript"/>
                <w:lang w:val="en-US" w:eastAsia="zh-CN"/>
              </w:rPr>
              <w:t>3</w:t>
            </w:r>
          </w:p>
        </w:tc>
        <w:tc>
          <w:tcPr>
            <w:tcW w:w="1335" w:type="dxa"/>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1小时平均</w:t>
            </w:r>
          </w:p>
        </w:tc>
        <w:tc>
          <w:tcPr>
            <w:tcW w:w="2130" w:type="dxa"/>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200</w:t>
            </w:r>
          </w:p>
        </w:tc>
        <w:tc>
          <w:tcPr>
            <w:tcW w:w="5034" w:type="dxa"/>
            <w:vMerge w:val="restar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《环境影响评价技术导则 大气环境》（HJ2.2-2018）附录D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3" w:type="dxa"/>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H</w:t>
            </w:r>
            <w:r>
              <w:rPr>
                <w:rFonts w:hint="eastAsia"/>
                <w:highlight w:val="none"/>
                <w:vertAlign w:val="subscript"/>
                <w:lang w:val="en-US" w:eastAsia="zh-CN"/>
              </w:rPr>
              <w:t>2</w:t>
            </w:r>
            <w:r>
              <w:rPr>
                <w:rFonts w:hint="eastAsia"/>
                <w:highlight w:val="none"/>
                <w:vertAlign w:val="baseline"/>
                <w:lang w:val="en-US" w:eastAsia="zh-CN"/>
              </w:rPr>
              <w:t>S</w:t>
            </w:r>
          </w:p>
        </w:tc>
        <w:tc>
          <w:tcPr>
            <w:tcW w:w="1335" w:type="dxa"/>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1小时平均</w:t>
            </w:r>
          </w:p>
        </w:tc>
        <w:tc>
          <w:tcPr>
            <w:tcW w:w="2130" w:type="dxa"/>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10</w:t>
            </w:r>
          </w:p>
        </w:tc>
        <w:tc>
          <w:tcPr>
            <w:tcW w:w="5034" w:type="dxa"/>
            <w:vMerge w:val="continue"/>
            <w:tcBorders>
              <w:tl2br w:val="nil"/>
              <w:tr2bl w:val="nil"/>
            </w:tcBorders>
            <w:vAlign w:val="center"/>
          </w:tcPr>
          <w:p>
            <w:pPr>
              <w:pStyle w:val="30"/>
              <w:widowControl w:val="0"/>
              <w:jc w:val="center"/>
              <w:rPr>
                <w:rFonts w:hint="default"/>
                <w:highlight w:val="none"/>
                <w:vertAlign w:val="baseline"/>
                <w:lang w:val="en-US" w:eastAsia="zh-CN"/>
              </w:rPr>
            </w:pPr>
          </w:p>
        </w:tc>
      </w:tr>
    </w:tbl>
    <w:p>
      <w:pPr>
        <w:pStyle w:val="29"/>
        <w:bidi w:val="0"/>
        <w:rPr>
          <w:rFonts w:hint="eastAsia"/>
          <w:highlight w:val="none"/>
          <w:lang w:val="en-US" w:eastAsia="zh-CN"/>
        </w:rPr>
      </w:pPr>
      <w:r>
        <w:rPr>
          <w:rFonts w:hint="eastAsia"/>
          <w:highlight w:val="none"/>
          <w:lang w:val="en-US" w:eastAsia="zh-CN"/>
        </w:rPr>
        <w:t>表5.2-13  有组织废气排放估算结果</w:t>
      </w:r>
    </w:p>
    <w:tbl>
      <w:tblPr>
        <w:tblStyle w:val="2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4"/>
        <w:gridCol w:w="655"/>
        <w:gridCol w:w="855"/>
        <w:gridCol w:w="1230"/>
        <w:gridCol w:w="1949"/>
        <w:gridCol w:w="1961"/>
        <w:gridCol w:w="1122"/>
        <w:gridCol w:w="1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93" w:type="pct"/>
            <w:tcBorders>
              <w:tl2br w:val="nil"/>
              <w:tr2bl w:val="nil"/>
            </w:tcBorders>
            <w:vAlign w:val="center"/>
          </w:tcPr>
          <w:p>
            <w:pPr>
              <w:pStyle w:val="30"/>
              <w:jc w:val="center"/>
              <w:rPr>
                <w:b/>
                <w:bCs/>
                <w:highlight w:val="none"/>
              </w:rPr>
            </w:pPr>
            <w:r>
              <w:rPr>
                <w:b/>
                <w:bCs/>
                <w:highlight w:val="none"/>
              </w:rPr>
              <w:t>序号</w:t>
            </w:r>
          </w:p>
        </w:tc>
        <w:tc>
          <w:tcPr>
            <w:tcW w:w="785" w:type="pct"/>
            <w:gridSpan w:val="2"/>
            <w:tcBorders>
              <w:tl2br w:val="nil"/>
              <w:tr2bl w:val="nil"/>
            </w:tcBorders>
            <w:vAlign w:val="center"/>
          </w:tcPr>
          <w:p>
            <w:pPr>
              <w:pStyle w:val="30"/>
              <w:jc w:val="center"/>
              <w:rPr>
                <w:b/>
                <w:bCs/>
                <w:highlight w:val="none"/>
              </w:rPr>
            </w:pPr>
            <w:r>
              <w:rPr>
                <w:rFonts w:hint="eastAsia"/>
                <w:b/>
                <w:bCs/>
                <w:highlight w:val="none"/>
              </w:rPr>
              <w:t>排放源</w:t>
            </w:r>
          </w:p>
        </w:tc>
        <w:tc>
          <w:tcPr>
            <w:tcW w:w="639" w:type="pct"/>
            <w:tcBorders>
              <w:tl2br w:val="nil"/>
              <w:tr2bl w:val="nil"/>
            </w:tcBorders>
            <w:vAlign w:val="center"/>
          </w:tcPr>
          <w:p>
            <w:pPr>
              <w:pStyle w:val="30"/>
              <w:jc w:val="center"/>
              <w:rPr>
                <w:b/>
                <w:bCs/>
                <w:highlight w:val="none"/>
              </w:rPr>
            </w:pPr>
            <w:r>
              <w:rPr>
                <w:rFonts w:hint="eastAsia"/>
                <w:b/>
                <w:bCs/>
                <w:highlight w:val="none"/>
              </w:rPr>
              <w:t>评价因子</w:t>
            </w:r>
          </w:p>
        </w:tc>
        <w:tc>
          <w:tcPr>
            <w:tcW w:w="1013" w:type="pct"/>
            <w:tcBorders>
              <w:tl2br w:val="nil"/>
              <w:tr2bl w:val="nil"/>
            </w:tcBorders>
            <w:vAlign w:val="center"/>
          </w:tcPr>
          <w:p>
            <w:pPr>
              <w:pStyle w:val="30"/>
              <w:jc w:val="center"/>
              <w:rPr>
                <w:b/>
                <w:bCs/>
                <w:highlight w:val="none"/>
              </w:rPr>
            </w:pPr>
            <w:r>
              <w:rPr>
                <w:b/>
                <w:bCs/>
                <w:highlight w:val="none"/>
              </w:rPr>
              <w:t>最大落地浓度</w:t>
            </w:r>
          </w:p>
          <w:p>
            <w:pPr>
              <w:pStyle w:val="30"/>
              <w:jc w:val="center"/>
              <w:rPr>
                <w:b/>
                <w:bCs/>
                <w:highlight w:val="none"/>
              </w:rPr>
            </w:pPr>
            <w:r>
              <w:rPr>
                <w:b/>
                <w:bCs/>
                <w:highlight w:val="none"/>
              </w:rPr>
              <w:t>μ</w:t>
            </w:r>
            <w:r>
              <w:rPr>
                <w:rFonts w:hint="eastAsia"/>
                <w:b/>
                <w:bCs/>
                <w:highlight w:val="none"/>
              </w:rPr>
              <w:t>g</w:t>
            </w:r>
            <w:r>
              <w:rPr>
                <w:b/>
                <w:bCs/>
                <w:highlight w:val="none"/>
              </w:rPr>
              <w:t>/m</w:t>
            </w:r>
            <w:r>
              <w:rPr>
                <w:b/>
                <w:bCs/>
                <w:highlight w:val="none"/>
                <w:vertAlign w:val="superscript"/>
              </w:rPr>
              <w:t>3</w:t>
            </w:r>
          </w:p>
        </w:tc>
        <w:tc>
          <w:tcPr>
            <w:tcW w:w="1019" w:type="pct"/>
            <w:tcBorders>
              <w:tl2br w:val="nil"/>
              <w:tr2bl w:val="nil"/>
            </w:tcBorders>
            <w:vAlign w:val="center"/>
          </w:tcPr>
          <w:p>
            <w:pPr>
              <w:pStyle w:val="30"/>
              <w:jc w:val="center"/>
              <w:rPr>
                <w:b/>
                <w:bCs/>
                <w:highlight w:val="none"/>
              </w:rPr>
            </w:pPr>
            <w:r>
              <w:rPr>
                <w:b/>
                <w:bCs/>
                <w:highlight w:val="none"/>
              </w:rPr>
              <w:t>最大占标率%</w:t>
            </w:r>
          </w:p>
        </w:tc>
        <w:tc>
          <w:tcPr>
            <w:tcW w:w="583" w:type="pct"/>
            <w:tcBorders>
              <w:tl2br w:val="nil"/>
              <w:tr2bl w:val="nil"/>
            </w:tcBorders>
            <w:vAlign w:val="center"/>
          </w:tcPr>
          <w:p>
            <w:pPr>
              <w:pStyle w:val="30"/>
              <w:jc w:val="center"/>
              <w:rPr>
                <w:b/>
                <w:bCs/>
                <w:highlight w:val="none"/>
              </w:rPr>
            </w:pPr>
            <w:r>
              <w:rPr>
                <w:rFonts w:hint="eastAsia"/>
                <w:b/>
                <w:bCs/>
                <w:highlight w:val="none"/>
              </w:rPr>
              <w:t>D10%</w:t>
            </w:r>
          </w:p>
        </w:tc>
        <w:tc>
          <w:tcPr>
            <w:tcW w:w="665" w:type="pct"/>
            <w:tcBorders>
              <w:tl2br w:val="nil"/>
              <w:tr2bl w:val="nil"/>
            </w:tcBorders>
            <w:vAlign w:val="center"/>
          </w:tcPr>
          <w:p>
            <w:pPr>
              <w:pStyle w:val="30"/>
              <w:jc w:val="center"/>
              <w:rPr>
                <w:b/>
                <w:bCs/>
                <w:highlight w:val="none"/>
              </w:rPr>
            </w:pPr>
            <w:r>
              <w:rPr>
                <w:rFonts w:hint="eastAsia"/>
                <w:b/>
                <w:bCs/>
                <w:highlight w:val="none"/>
              </w:rPr>
              <w:t>推荐评价等级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restart"/>
            <w:tcBorders>
              <w:tl2br w:val="nil"/>
              <w:tr2bl w:val="nil"/>
            </w:tcBorders>
            <w:vAlign w:val="center"/>
          </w:tcPr>
          <w:p>
            <w:pPr>
              <w:pStyle w:val="30"/>
              <w:jc w:val="center"/>
              <w:rPr>
                <w:highlight w:val="none"/>
              </w:rPr>
            </w:pPr>
            <w:r>
              <w:rPr>
                <w:rFonts w:hint="eastAsia"/>
                <w:highlight w:val="none"/>
              </w:rPr>
              <w:t>1</w:t>
            </w:r>
          </w:p>
        </w:tc>
        <w:tc>
          <w:tcPr>
            <w:tcW w:w="785" w:type="pct"/>
            <w:gridSpan w:val="2"/>
            <w:vMerge w:val="restart"/>
            <w:tcBorders>
              <w:tl2br w:val="nil"/>
              <w:tr2bl w:val="nil"/>
            </w:tcBorders>
            <w:vAlign w:val="center"/>
          </w:tcPr>
          <w:p>
            <w:pPr>
              <w:pStyle w:val="30"/>
              <w:jc w:val="center"/>
              <w:rPr>
                <w:highlight w:val="none"/>
              </w:rPr>
            </w:pPr>
            <w:r>
              <w:rPr>
                <w:rFonts w:hint="eastAsia"/>
                <w:highlight w:val="none"/>
              </w:rPr>
              <w:t>1#排气筒</w:t>
            </w:r>
          </w:p>
        </w:tc>
        <w:tc>
          <w:tcPr>
            <w:tcW w:w="639" w:type="pct"/>
            <w:tcBorders>
              <w:tl2br w:val="nil"/>
              <w:tr2bl w:val="nil"/>
            </w:tcBorders>
            <w:vAlign w:val="center"/>
          </w:tcPr>
          <w:p>
            <w:pPr>
              <w:pStyle w:val="30"/>
              <w:jc w:val="center"/>
              <w:rPr>
                <w:highlight w:val="none"/>
              </w:rPr>
            </w:pPr>
            <w:r>
              <w:rPr>
                <w:highlight w:val="none"/>
              </w:rPr>
              <w:t>NH</w:t>
            </w:r>
            <w:r>
              <w:rPr>
                <w:highlight w:val="none"/>
                <w:vertAlign w:val="subscript"/>
              </w:rPr>
              <w:t>3</w:t>
            </w:r>
          </w:p>
        </w:tc>
        <w:tc>
          <w:tcPr>
            <w:tcW w:w="1013"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rFonts w:hint="eastAsia"/>
                <w:highlight w:val="none"/>
                <w:lang w:val="en-US" w:eastAsia="zh-CN"/>
              </w:rPr>
              <w:t>18</w:t>
            </w:r>
            <w:r>
              <w:rPr>
                <w:highlight w:val="none"/>
              </w:rPr>
              <w:t>.8570</w:t>
            </w:r>
          </w:p>
        </w:tc>
        <w:tc>
          <w:tcPr>
            <w:tcW w:w="1019"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rFonts w:hint="eastAsia"/>
                <w:highlight w:val="none"/>
                <w:lang w:val="en-US" w:eastAsia="zh-CN"/>
              </w:rPr>
              <w:t>9.9563</w:t>
            </w:r>
          </w:p>
        </w:tc>
        <w:tc>
          <w:tcPr>
            <w:tcW w:w="583" w:type="pct"/>
            <w:tcBorders>
              <w:tl2br w:val="nil"/>
              <w:tr2bl w:val="nil"/>
            </w:tcBorders>
            <w:vAlign w:val="center"/>
          </w:tcPr>
          <w:p>
            <w:pPr>
              <w:pStyle w:val="30"/>
              <w:jc w:val="center"/>
              <w:rPr>
                <w:highlight w:val="none"/>
              </w:rPr>
            </w:pPr>
            <w:r>
              <w:rPr>
                <w:rFonts w:hint="eastAsia"/>
                <w:highlight w:val="none"/>
              </w:rPr>
              <w:t>/</w:t>
            </w:r>
          </w:p>
        </w:tc>
        <w:tc>
          <w:tcPr>
            <w:tcW w:w="665" w:type="pct"/>
            <w:tcBorders>
              <w:tl2br w:val="nil"/>
              <w:tr2bl w:val="nil"/>
            </w:tcBorders>
            <w:vAlign w:val="center"/>
          </w:tcPr>
          <w:p>
            <w:pPr>
              <w:pStyle w:val="30"/>
              <w:ind w:firstLine="0" w:firstLineChars="0"/>
              <w:jc w:val="center"/>
              <w:rPr>
                <w:highlight w:val="none"/>
              </w:rPr>
            </w:pPr>
            <w:r>
              <w:rPr>
                <w:rFonts w:hint="eastAsia"/>
                <w:highlight w:val="none"/>
                <w:lang w:val="en-US" w:eastAsia="zh-CN"/>
              </w:rPr>
              <w:t>二</w:t>
            </w:r>
            <w:r>
              <w:rPr>
                <w:rFonts w:hint="eastAsia"/>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tcBorders>
              <w:tl2br w:val="nil"/>
              <w:tr2bl w:val="nil"/>
            </w:tcBorders>
            <w:vAlign w:val="center"/>
          </w:tcPr>
          <w:p>
            <w:pPr>
              <w:pStyle w:val="30"/>
              <w:jc w:val="center"/>
              <w:rPr>
                <w:highlight w:val="none"/>
              </w:rPr>
            </w:pPr>
          </w:p>
        </w:tc>
        <w:tc>
          <w:tcPr>
            <w:tcW w:w="785" w:type="pct"/>
            <w:gridSpan w:val="2"/>
            <w:vMerge w:val="continue"/>
            <w:tcBorders>
              <w:tl2br w:val="nil"/>
              <w:tr2bl w:val="nil"/>
            </w:tcBorders>
            <w:vAlign w:val="center"/>
          </w:tcPr>
          <w:p>
            <w:pPr>
              <w:pStyle w:val="30"/>
              <w:jc w:val="center"/>
              <w:rPr>
                <w:highlight w:val="none"/>
              </w:rPr>
            </w:pPr>
          </w:p>
        </w:tc>
        <w:tc>
          <w:tcPr>
            <w:tcW w:w="639" w:type="pct"/>
            <w:tcBorders>
              <w:tl2br w:val="nil"/>
              <w:tr2bl w:val="nil"/>
            </w:tcBorders>
            <w:vAlign w:val="center"/>
          </w:tcPr>
          <w:p>
            <w:pPr>
              <w:pStyle w:val="30"/>
              <w:jc w:val="center"/>
              <w:rPr>
                <w:highlight w:val="none"/>
              </w:rPr>
            </w:pPr>
            <w:r>
              <w:rPr>
                <w:highlight w:val="none"/>
              </w:rPr>
              <w:t>H</w:t>
            </w:r>
            <w:r>
              <w:rPr>
                <w:highlight w:val="none"/>
                <w:vertAlign w:val="subscript"/>
              </w:rPr>
              <w:t>2</w:t>
            </w:r>
            <w:r>
              <w:rPr>
                <w:highlight w:val="none"/>
              </w:rPr>
              <w:t>S</w:t>
            </w:r>
          </w:p>
        </w:tc>
        <w:tc>
          <w:tcPr>
            <w:tcW w:w="1013"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rFonts w:hint="eastAsia"/>
                <w:highlight w:val="none"/>
                <w:lang w:val="en-US" w:eastAsia="zh-CN"/>
              </w:rPr>
              <w:t>0</w:t>
            </w:r>
            <w:r>
              <w:rPr>
                <w:highlight w:val="none"/>
              </w:rPr>
              <w:t>.5820</w:t>
            </w:r>
          </w:p>
        </w:tc>
        <w:tc>
          <w:tcPr>
            <w:tcW w:w="1019"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rFonts w:hint="eastAsia"/>
                <w:highlight w:val="none"/>
                <w:lang w:val="en-US" w:eastAsia="zh-CN"/>
              </w:rPr>
              <w:t>9.8200</w:t>
            </w:r>
          </w:p>
        </w:tc>
        <w:tc>
          <w:tcPr>
            <w:tcW w:w="583" w:type="pct"/>
            <w:tcBorders>
              <w:tl2br w:val="nil"/>
              <w:tr2bl w:val="nil"/>
            </w:tcBorders>
            <w:vAlign w:val="center"/>
          </w:tcPr>
          <w:p>
            <w:pPr>
              <w:pStyle w:val="30"/>
              <w:jc w:val="center"/>
              <w:rPr>
                <w:highlight w:val="none"/>
              </w:rPr>
            </w:pPr>
            <w:r>
              <w:rPr>
                <w:rFonts w:hint="eastAsia"/>
                <w:highlight w:val="none"/>
              </w:rPr>
              <w:t>/</w:t>
            </w:r>
          </w:p>
        </w:tc>
        <w:tc>
          <w:tcPr>
            <w:tcW w:w="665" w:type="pct"/>
            <w:tcBorders>
              <w:tl2br w:val="nil"/>
              <w:tr2bl w:val="nil"/>
            </w:tcBorders>
            <w:vAlign w:val="center"/>
          </w:tcPr>
          <w:p>
            <w:pPr>
              <w:pStyle w:val="30"/>
              <w:ind w:firstLine="0" w:firstLineChars="0"/>
              <w:jc w:val="center"/>
              <w:rPr>
                <w:highlight w:val="none"/>
              </w:rPr>
            </w:pPr>
            <w:r>
              <w:rPr>
                <w:rFonts w:hint="eastAsia"/>
                <w:highlight w:val="none"/>
                <w:lang w:val="en-US" w:eastAsia="zh-CN"/>
              </w:rPr>
              <w:t>二</w:t>
            </w:r>
            <w:r>
              <w:rPr>
                <w:rFonts w:hint="eastAsia"/>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restart"/>
            <w:tcBorders>
              <w:tl2br w:val="nil"/>
              <w:tr2bl w:val="nil"/>
            </w:tcBorders>
            <w:vAlign w:val="center"/>
          </w:tcPr>
          <w:p>
            <w:pPr>
              <w:pStyle w:val="30"/>
              <w:jc w:val="center"/>
              <w:rPr>
                <w:rFonts w:hint="eastAsia" w:eastAsia="宋体"/>
                <w:highlight w:val="none"/>
                <w:lang w:val="en-US" w:eastAsia="zh-CN"/>
              </w:rPr>
            </w:pPr>
            <w:r>
              <w:rPr>
                <w:rFonts w:hint="eastAsia"/>
                <w:highlight w:val="none"/>
                <w:lang w:val="en-US" w:eastAsia="zh-CN"/>
              </w:rPr>
              <w:t>2</w:t>
            </w:r>
          </w:p>
        </w:tc>
        <w:tc>
          <w:tcPr>
            <w:tcW w:w="785" w:type="pct"/>
            <w:gridSpan w:val="2"/>
            <w:vMerge w:val="restart"/>
            <w:tcBorders>
              <w:tl2br w:val="nil"/>
              <w:tr2bl w:val="nil"/>
            </w:tcBorders>
            <w:vAlign w:val="center"/>
          </w:tcPr>
          <w:p>
            <w:pPr>
              <w:pStyle w:val="30"/>
              <w:ind w:firstLine="0" w:firstLineChars="0"/>
              <w:jc w:val="center"/>
              <w:rPr>
                <w:highlight w:val="none"/>
              </w:rPr>
            </w:pPr>
            <w:r>
              <w:rPr>
                <w:rFonts w:hint="eastAsia"/>
                <w:highlight w:val="none"/>
                <w:lang w:val="en-US" w:eastAsia="zh-CN"/>
              </w:rPr>
              <w:t>2</w:t>
            </w:r>
            <w:r>
              <w:rPr>
                <w:rFonts w:hint="eastAsia"/>
                <w:highlight w:val="none"/>
              </w:rPr>
              <w:t>#排气筒</w:t>
            </w:r>
          </w:p>
        </w:tc>
        <w:tc>
          <w:tcPr>
            <w:tcW w:w="639" w:type="pct"/>
            <w:tcBorders>
              <w:tl2br w:val="nil"/>
              <w:tr2bl w:val="nil"/>
            </w:tcBorders>
            <w:vAlign w:val="center"/>
          </w:tcPr>
          <w:p>
            <w:pPr>
              <w:pStyle w:val="30"/>
              <w:ind w:firstLine="0" w:firstLineChars="0"/>
              <w:jc w:val="center"/>
              <w:rPr>
                <w:highlight w:val="none"/>
              </w:rPr>
            </w:pPr>
            <w:r>
              <w:rPr>
                <w:highlight w:val="none"/>
              </w:rPr>
              <w:t>NH</w:t>
            </w:r>
            <w:r>
              <w:rPr>
                <w:highlight w:val="none"/>
                <w:vertAlign w:val="subscript"/>
              </w:rPr>
              <w:t>3</w:t>
            </w:r>
          </w:p>
        </w:tc>
        <w:tc>
          <w:tcPr>
            <w:tcW w:w="1013"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rFonts w:hint="eastAsia"/>
                <w:highlight w:val="none"/>
                <w:lang w:val="en-US" w:eastAsia="zh-CN"/>
              </w:rPr>
              <w:t>15</w:t>
            </w:r>
            <w:r>
              <w:rPr>
                <w:highlight w:val="none"/>
              </w:rPr>
              <w:t>.6560</w:t>
            </w:r>
          </w:p>
        </w:tc>
        <w:tc>
          <w:tcPr>
            <w:tcW w:w="1019"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rFonts w:hint="eastAsia"/>
                <w:highlight w:val="none"/>
                <w:lang w:val="en-US" w:eastAsia="zh-CN"/>
              </w:rPr>
              <w:t>9</w:t>
            </w:r>
            <w:r>
              <w:rPr>
                <w:highlight w:val="none"/>
              </w:rPr>
              <w:t>.</w:t>
            </w:r>
            <w:r>
              <w:rPr>
                <w:rFonts w:hint="eastAsia"/>
                <w:highlight w:val="none"/>
                <w:lang w:val="en-US" w:eastAsia="zh-CN"/>
              </w:rPr>
              <w:t>49</w:t>
            </w:r>
            <w:r>
              <w:rPr>
                <w:highlight w:val="none"/>
              </w:rPr>
              <w:t>80</w:t>
            </w:r>
          </w:p>
        </w:tc>
        <w:tc>
          <w:tcPr>
            <w:tcW w:w="583" w:type="pct"/>
            <w:tcBorders>
              <w:tl2br w:val="nil"/>
              <w:tr2bl w:val="nil"/>
            </w:tcBorders>
            <w:vAlign w:val="center"/>
          </w:tcPr>
          <w:p>
            <w:pPr>
              <w:pStyle w:val="30"/>
              <w:ind w:firstLine="0" w:firstLineChars="0"/>
              <w:jc w:val="center"/>
              <w:rPr>
                <w:rFonts w:hint="eastAsia" w:ascii="Times New Roman" w:hAnsi="Times New Roman" w:eastAsia="宋体" w:cs="Times New Roman"/>
                <w:kern w:val="2"/>
                <w:sz w:val="21"/>
                <w:highlight w:val="none"/>
              </w:rPr>
            </w:pPr>
            <w:r>
              <w:rPr>
                <w:rFonts w:hint="eastAsia"/>
                <w:highlight w:val="none"/>
              </w:rPr>
              <w:t>/</w:t>
            </w:r>
          </w:p>
        </w:tc>
        <w:tc>
          <w:tcPr>
            <w:tcW w:w="665" w:type="pct"/>
            <w:tcBorders>
              <w:tl2br w:val="nil"/>
              <w:tr2bl w:val="nil"/>
            </w:tcBorders>
            <w:vAlign w:val="center"/>
          </w:tcPr>
          <w:p>
            <w:pPr>
              <w:pStyle w:val="30"/>
              <w:ind w:firstLine="0" w:firstLineChars="0"/>
              <w:jc w:val="center"/>
              <w:rPr>
                <w:rFonts w:hint="eastAsia"/>
                <w:highlight w:val="none"/>
              </w:rPr>
            </w:pPr>
            <w:r>
              <w:rPr>
                <w:rFonts w:hint="eastAsia"/>
                <w:highlight w:val="none"/>
                <w:lang w:val="en-US" w:eastAsia="zh-CN"/>
              </w:rPr>
              <w:t>二</w:t>
            </w:r>
            <w:r>
              <w:rPr>
                <w:rFonts w:hint="eastAsia"/>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continue"/>
            <w:tcBorders>
              <w:tl2br w:val="nil"/>
              <w:tr2bl w:val="nil"/>
            </w:tcBorders>
            <w:vAlign w:val="center"/>
          </w:tcPr>
          <w:p>
            <w:pPr>
              <w:pStyle w:val="30"/>
              <w:jc w:val="center"/>
              <w:rPr>
                <w:highlight w:val="none"/>
              </w:rPr>
            </w:pPr>
          </w:p>
        </w:tc>
        <w:tc>
          <w:tcPr>
            <w:tcW w:w="785" w:type="pct"/>
            <w:gridSpan w:val="2"/>
            <w:vMerge w:val="continue"/>
            <w:tcBorders>
              <w:tl2br w:val="nil"/>
              <w:tr2bl w:val="nil"/>
            </w:tcBorders>
            <w:vAlign w:val="center"/>
          </w:tcPr>
          <w:p>
            <w:pPr>
              <w:pStyle w:val="30"/>
              <w:ind w:firstLine="0" w:firstLineChars="0"/>
              <w:jc w:val="center"/>
              <w:rPr>
                <w:highlight w:val="none"/>
              </w:rPr>
            </w:pPr>
          </w:p>
        </w:tc>
        <w:tc>
          <w:tcPr>
            <w:tcW w:w="639" w:type="pct"/>
            <w:tcBorders>
              <w:tl2br w:val="nil"/>
              <w:tr2bl w:val="nil"/>
            </w:tcBorders>
            <w:vAlign w:val="center"/>
          </w:tcPr>
          <w:p>
            <w:pPr>
              <w:pStyle w:val="30"/>
              <w:ind w:firstLine="0" w:firstLineChars="0"/>
              <w:jc w:val="center"/>
              <w:rPr>
                <w:highlight w:val="none"/>
              </w:rPr>
            </w:pPr>
            <w:r>
              <w:rPr>
                <w:highlight w:val="none"/>
              </w:rPr>
              <w:t>H</w:t>
            </w:r>
            <w:r>
              <w:rPr>
                <w:highlight w:val="none"/>
                <w:vertAlign w:val="subscript"/>
              </w:rPr>
              <w:t>2</w:t>
            </w:r>
            <w:r>
              <w:rPr>
                <w:highlight w:val="none"/>
              </w:rPr>
              <w:t>S</w:t>
            </w:r>
          </w:p>
        </w:tc>
        <w:tc>
          <w:tcPr>
            <w:tcW w:w="1013"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0.3048</w:t>
            </w:r>
          </w:p>
        </w:tc>
        <w:tc>
          <w:tcPr>
            <w:tcW w:w="1019"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3.0479</w:t>
            </w:r>
          </w:p>
        </w:tc>
        <w:tc>
          <w:tcPr>
            <w:tcW w:w="583" w:type="pct"/>
            <w:tcBorders>
              <w:tl2br w:val="nil"/>
              <w:tr2bl w:val="nil"/>
            </w:tcBorders>
            <w:vAlign w:val="center"/>
          </w:tcPr>
          <w:p>
            <w:pPr>
              <w:pStyle w:val="30"/>
              <w:ind w:firstLine="0" w:firstLineChars="0"/>
              <w:jc w:val="center"/>
              <w:rPr>
                <w:rFonts w:hint="eastAsia" w:ascii="Times New Roman" w:hAnsi="Times New Roman" w:eastAsia="宋体" w:cs="Times New Roman"/>
                <w:kern w:val="2"/>
                <w:sz w:val="21"/>
                <w:highlight w:val="none"/>
              </w:rPr>
            </w:pPr>
            <w:r>
              <w:rPr>
                <w:rFonts w:hint="eastAsia"/>
                <w:highlight w:val="none"/>
              </w:rPr>
              <w:t>/</w:t>
            </w:r>
          </w:p>
        </w:tc>
        <w:tc>
          <w:tcPr>
            <w:tcW w:w="665" w:type="pct"/>
            <w:tcBorders>
              <w:tl2br w:val="nil"/>
              <w:tr2bl w:val="nil"/>
            </w:tcBorders>
            <w:vAlign w:val="center"/>
          </w:tcPr>
          <w:p>
            <w:pPr>
              <w:pStyle w:val="30"/>
              <w:ind w:firstLine="0" w:firstLineChars="0"/>
              <w:jc w:val="center"/>
              <w:rPr>
                <w:rFonts w:hint="eastAsia"/>
                <w:highlight w:val="none"/>
              </w:rPr>
            </w:pPr>
            <w:r>
              <w:rPr>
                <w:rFonts w:hint="eastAsia"/>
                <w:highlight w:val="none"/>
                <w:lang w:val="en-US" w:eastAsia="zh-CN"/>
              </w:rPr>
              <w:t>二</w:t>
            </w:r>
            <w:r>
              <w:rPr>
                <w:rFonts w:hint="eastAsia"/>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restart"/>
            <w:tcBorders>
              <w:tl2br w:val="nil"/>
              <w:tr2bl w:val="nil"/>
            </w:tcBorders>
            <w:vAlign w:val="center"/>
          </w:tcPr>
          <w:p>
            <w:pPr>
              <w:pStyle w:val="30"/>
              <w:jc w:val="center"/>
              <w:rPr>
                <w:rFonts w:hint="eastAsia" w:eastAsia="宋体"/>
                <w:highlight w:val="none"/>
                <w:lang w:val="en-US" w:eastAsia="zh-CN"/>
              </w:rPr>
            </w:pPr>
            <w:r>
              <w:rPr>
                <w:rFonts w:hint="eastAsia"/>
                <w:highlight w:val="none"/>
                <w:lang w:val="en-US" w:eastAsia="zh-CN"/>
              </w:rPr>
              <w:t>3</w:t>
            </w:r>
          </w:p>
        </w:tc>
        <w:tc>
          <w:tcPr>
            <w:tcW w:w="340" w:type="pct"/>
            <w:vMerge w:val="restart"/>
            <w:tcBorders>
              <w:tl2br w:val="nil"/>
              <w:tr2bl w:val="nil"/>
            </w:tcBorders>
            <w:vAlign w:val="center"/>
          </w:tcPr>
          <w:p>
            <w:pPr>
              <w:pStyle w:val="30"/>
              <w:jc w:val="center"/>
              <w:rPr>
                <w:rFonts w:hint="default" w:eastAsia="宋体"/>
                <w:highlight w:val="none"/>
                <w:lang w:val="en-US" w:eastAsia="zh-CN"/>
              </w:rPr>
            </w:pPr>
            <w:r>
              <w:rPr>
                <w:rFonts w:hint="eastAsia" w:eastAsia="宋体"/>
                <w:highlight w:val="none"/>
                <w:lang w:val="en-US" w:eastAsia="zh-CN"/>
              </w:rPr>
              <w:t>屠宰车间</w:t>
            </w:r>
          </w:p>
        </w:tc>
        <w:tc>
          <w:tcPr>
            <w:tcW w:w="444" w:type="pct"/>
            <w:vMerge w:val="restart"/>
            <w:tcBorders>
              <w:tl2br w:val="nil"/>
              <w:tr2bl w:val="nil"/>
            </w:tcBorders>
            <w:vAlign w:val="center"/>
          </w:tcPr>
          <w:p>
            <w:pPr>
              <w:pStyle w:val="30"/>
              <w:jc w:val="center"/>
              <w:rPr>
                <w:rFonts w:hint="eastAsia" w:eastAsia="宋体"/>
                <w:highlight w:val="none"/>
                <w:lang w:val="en-US" w:eastAsia="zh-CN"/>
              </w:rPr>
            </w:pPr>
            <w:r>
              <w:rPr>
                <w:rFonts w:hint="eastAsia"/>
                <w:highlight w:val="none"/>
                <w:lang w:val="en-US" w:eastAsia="zh-CN"/>
              </w:rPr>
              <w:t>生猪</w:t>
            </w:r>
          </w:p>
        </w:tc>
        <w:tc>
          <w:tcPr>
            <w:tcW w:w="639" w:type="pct"/>
            <w:tcBorders>
              <w:tl2br w:val="nil"/>
              <w:tr2bl w:val="nil"/>
            </w:tcBorders>
            <w:vAlign w:val="center"/>
          </w:tcPr>
          <w:p>
            <w:pPr>
              <w:pStyle w:val="30"/>
              <w:ind w:firstLine="0" w:firstLineChars="0"/>
              <w:jc w:val="center"/>
              <w:rPr>
                <w:rFonts w:ascii="Times New Roman" w:hAnsi="Times New Roman" w:eastAsia="宋体" w:cs="Times New Roman"/>
                <w:kern w:val="2"/>
                <w:sz w:val="21"/>
                <w:highlight w:val="none"/>
              </w:rPr>
            </w:pPr>
            <w:r>
              <w:rPr>
                <w:highlight w:val="none"/>
              </w:rPr>
              <w:t>NH</w:t>
            </w:r>
            <w:r>
              <w:rPr>
                <w:highlight w:val="none"/>
                <w:vertAlign w:val="subscript"/>
              </w:rPr>
              <w:t>3</w:t>
            </w:r>
          </w:p>
        </w:tc>
        <w:tc>
          <w:tcPr>
            <w:tcW w:w="1013"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4.8957</w:t>
            </w:r>
          </w:p>
        </w:tc>
        <w:tc>
          <w:tcPr>
            <w:tcW w:w="1019"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2.4478</w:t>
            </w:r>
          </w:p>
        </w:tc>
        <w:tc>
          <w:tcPr>
            <w:tcW w:w="583" w:type="pct"/>
            <w:tcBorders>
              <w:tl2br w:val="nil"/>
              <w:tr2bl w:val="nil"/>
            </w:tcBorders>
            <w:vAlign w:val="center"/>
          </w:tcPr>
          <w:p>
            <w:pPr>
              <w:pStyle w:val="30"/>
              <w:ind w:firstLine="0" w:firstLineChars="0"/>
              <w:jc w:val="center"/>
              <w:rPr>
                <w:rFonts w:hint="eastAsia"/>
                <w:highlight w:val="none"/>
              </w:rPr>
            </w:pPr>
            <w:r>
              <w:rPr>
                <w:rFonts w:hint="eastAsia"/>
                <w:highlight w:val="none"/>
              </w:rPr>
              <w:t>/</w:t>
            </w:r>
          </w:p>
        </w:tc>
        <w:tc>
          <w:tcPr>
            <w:tcW w:w="665" w:type="pct"/>
            <w:tcBorders>
              <w:tl2br w:val="nil"/>
              <w:tr2bl w:val="nil"/>
            </w:tcBorders>
            <w:vAlign w:val="center"/>
          </w:tcPr>
          <w:p>
            <w:pPr>
              <w:pStyle w:val="30"/>
              <w:ind w:firstLine="0" w:firstLineChars="0"/>
              <w:jc w:val="center"/>
              <w:rPr>
                <w:rFonts w:hint="eastAsia"/>
                <w:highlight w:val="none"/>
              </w:rPr>
            </w:pPr>
            <w:r>
              <w:rPr>
                <w:rFonts w:hint="eastAsia"/>
                <w:highlight w:val="none"/>
                <w:lang w:val="en-US" w:eastAsia="zh-CN"/>
              </w:rPr>
              <w:t>三</w:t>
            </w:r>
            <w:r>
              <w:rPr>
                <w:rFonts w:hint="eastAsia"/>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continue"/>
            <w:tcBorders>
              <w:tl2br w:val="nil"/>
              <w:tr2bl w:val="nil"/>
            </w:tcBorders>
            <w:vAlign w:val="center"/>
          </w:tcPr>
          <w:p>
            <w:pPr>
              <w:pStyle w:val="30"/>
              <w:jc w:val="center"/>
              <w:rPr>
                <w:highlight w:val="none"/>
              </w:rPr>
            </w:pPr>
          </w:p>
        </w:tc>
        <w:tc>
          <w:tcPr>
            <w:tcW w:w="340" w:type="pct"/>
            <w:vMerge w:val="continue"/>
            <w:tcBorders>
              <w:tl2br w:val="nil"/>
              <w:tr2bl w:val="nil"/>
            </w:tcBorders>
            <w:vAlign w:val="center"/>
          </w:tcPr>
          <w:p>
            <w:pPr>
              <w:pStyle w:val="30"/>
              <w:jc w:val="center"/>
              <w:rPr>
                <w:rFonts w:hint="eastAsia"/>
                <w:highlight w:val="none"/>
                <w:lang w:val="en-US" w:eastAsia="zh-CN"/>
              </w:rPr>
            </w:pPr>
          </w:p>
        </w:tc>
        <w:tc>
          <w:tcPr>
            <w:tcW w:w="444" w:type="pct"/>
            <w:vMerge w:val="continue"/>
            <w:tcBorders>
              <w:tl2br w:val="nil"/>
              <w:tr2bl w:val="nil"/>
            </w:tcBorders>
            <w:vAlign w:val="center"/>
          </w:tcPr>
          <w:p>
            <w:pPr>
              <w:pStyle w:val="30"/>
              <w:jc w:val="center"/>
              <w:rPr>
                <w:rFonts w:hint="eastAsia"/>
                <w:highlight w:val="none"/>
                <w:lang w:val="en-US" w:eastAsia="zh-CN"/>
              </w:rPr>
            </w:pPr>
          </w:p>
        </w:tc>
        <w:tc>
          <w:tcPr>
            <w:tcW w:w="639" w:type="pct"/>
            <w:tcBorders>
              <w:tl2br w:val="nil"/>
              <w:tr2bl w:val="nil"/>
            </w:tcBorders>
            <w:vAlign w:val="center"/>
          </w:tcPr>
          <w:p>
            <w:pPr>
              <w:pStyle w:val="30"/>
              <w:ind w:firstLine="0" w:firstLineChars="0"/>
              <w:jc w:val="center"/>
              <w:rPr>
                <w:rFonts w:ascii="Times New Roman" w:hAnsi="Times New Roman" w:eastAsia="宋体" w:cs="Times New Roman"/>
                <w:kern w:val="2"/>
                <w:sz w:val="21"/>
                <w:highlight w:val="none"/>
              </w:rPr>
            </w:pPr>
            <w:r>
              <w:rPr>
                <w:highlight w:val="none"/>
              </w:rPr>
              <w:t>H</w:t>
            </w:r>
            <w:r>
              <w:rPr>
                <w:highlight w:val="none"/>
                <w:vertAlign w:val="subscript"/>
              </w:rPr>
              <w:t>2</w:t>
            </w:r>
            <w:r>
              <w:rPr>
                <w:highlight w:val="none"/>
              </w:rPr>
              <w:t>S</w:t>
            </w:r>
          </w:p>
        </w:tc>
        <w:tc>
          <w:tcPr>
            <w:tcW w:w="1013"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1.0014</w:t>
            </w:r>
          </w:p>
        </w:tc>
        <w:tc>
          <w:tcPr>
            <w:tcW w:w="1019" w:type="pct"/>
            <w:tcBorders>
              <w:tl2br w:val="nil"/>
              <w:tr2bl w:val="nil"/>
            </w:tcBorders>
            <w:vAlign w:val="center"/>
          </w:tcPr>
          <w:p>
            <w:pPr>
              <w:pStyle w:val="30"/>
              <w:bidi w:val="0"/>
              <w:ind w:firstLine="0" w:firstLineChars="0"/>
              <w:rPr>
                <w:rFonts w:hint="eastAsia" w:ascii="Times New Roman" w:hAnsi="Times New Roman" w:eastAsia="宋体" w:cs="Times New Roman"/>
                <w:kern w:val="2"/>
                <w:sz w:val="21"/>
                <w:highlight w:val="none"/>
                <w:lang w:val="en-US" w:eastAsia="zh-CN"/>
              </w:rPr>
            </w:pPr>
            <w:r>
              <w:rPr>
                <w:rFonts w:hint="eastAsia"/>
                <w:highlight w:val="none"/>
                <w:lang w:val="en-US" w:eastAsia="zh-CN"/>
              </w:rPr>
              <w:t>9.8694</w:t>
            </w:r>
          </w:p>
        </w:tc>
        <w:tc>
          <w:tcPr>
            <w:tcW w:w="583" w:type="pct"/>
            <w:tcBorders>
              <w:tl2br w:val="nil"/>
              <w:tr2bl w:val="nil"/>
            </w:tcBorders>
            <w:vAlign w:val="center"/>
          </w:tcPr>
          <w:p>
            <w:pPr>
              <w:pStyle w:val="30"/>
              <w:ind w:firstLine="0" w:firstLineChars="0"/>
              <w:jc w:val="center"/>
              <w:rPr>
                <w:rFonts w:hint="eastAsia"/>
                <w:highlight w:val="none"/>
              </w:rPr>
            </w:pPr>
            <w:r>
              <w:rPr>
                <w:rFonts w:hint="eastAsia"/>
                <w:highlight w:val="none"/>
              </w:rPr>
              <w:t>/</w:t>
            </w:r>
          </w:p>
        </w:tc>
        <w:tc>
          <w:tcPr>
            <w:tcW w:w="665" w:type="pct"/>
            <w:tcBorders>
              <w:tl2br w:val="nil"/>
              <w:tr2bl w:val="nil"/>
            </w:tcBorders>
            <w:vAlign w:val="center"/>
          </w:tcPr>
          <w:p>
            <w:pPr>
              <w:pStyle w:val="30"/>
              <w:ind w:firstLine="0" w:firstLineChars="0"/>
              <w:jc w:val="center"/>
              <w:rPr>
                <w:rFonts w:hint="eastAsia"/>
                <w:highlight w:val="none"/>
              </w:rPr>
            </w:pPr>
            <w:r>
              <w:rPr>
                <w:rFonts w:hint="eastAsia"/>
                <w:highlight w:val="none"/>
                <w:lang w:val="en-US" w:eastAsia="zh-CN"/>
              </w:rPr>
              <w:t>三</w:t>
            </w:r>
            <w:r>
              <w:rPr>
                <w:rFonts w:hint="eastAsia"/>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restart"/>
            <w:tcBorders>
              <w:tl2br w:val="nil"/>
              <w:tr2bl w:val="nil"/>
            </w:tcBorders>
            <w:vAlign w:val="center"/>
          </w:tcPr>
          <w:p>
            <w:pPr>
              <w:pStyle w:val="30"/>
              <w:jc w:val="center"/>
              <w:rPr>
                <w:rFonts w:hint="eastAsia" w:eastAsia="宋体"/>
                <w:highlight w:val="none"/>
                <w:lang w:val="en-US" w:eastAsia="zh-CN"/>
              </w:rPr>
            </w:pPr>
            <w:r>
              <w:rPr>
                <w:rFonts w:hint="eastAsia"/>
                <w:highlight w:val="none"/>
                <w:lang w:val="en-US" w:eastAsia="zh-CN"/>
              </w:rPr>
              <w:t>4</w:t>
            </w:r>
          </w:p>
        </w:tc>
        <w:tc>
          <w:tcPr>
            <w:tcW w:w="340" w:type="pct"/>
            <w:vMerge w:val="continue"/>
            <w:tcBorders>
              <w:tl2br w:val="nil"/>
              <w:tr2bl w:val="nil"/>
            </w:tcBorders>
            <w:vAlign w:val="center"/>
          </w:tcPr>
          <w:p>
            <w:pPr>
              <w:pStyle w:val="30"/>
              <w:jc w:val="center"/>
              <w:rPr>
                <w:highlight w:val="none"/>
              </w:rPr>
            </w:pPr>
          </w:p>
        </w:tc>
        <w:tc>
          <w:tcPr>
            <w:tcW w:w="444" w:type="pct"/>
            <w:vMerge w:val="restart"/>
            <w:tcBorders>
              <w:tl2br w:val="nil"/>
              <w:tr2bl w:val="nil"/>
            </w:tcBorders>
            <w:vAlign w:val="center"/>
          </w:tcPr>
          <w:p>
            <w:pPr>
              <w:pStyle w:val="30"/>
              <w:jc w:val="center"/>
              <w:rPr>
                <w:rFonts w:hint="default" w:eastAsia="宋体"/>
                <w:highlight w:val="none"/>
                <w:lang w:val="en-US" w:eastAsia="zh-CN"/>
              </w:rPr>
            </w:pPr>
            <w:r>
              <w:rPr>
                <w:rFonts w:hint="eastAsia" w:eastAsia="宋体"/>
                <w:highlight w:val="none"/>
                <w:lang w:val="en-US" w:eastAsia="zh-CN"/>
              </w:rPr>
              <w:t>肉牛</w:t>
            </w:r>
          </w:p>
        </w:tc>
        <w:tc>
          <w:tcPr>
            <w:tcW w:w="639" w:type="pct"/>
            <w:tcBorders>
              <w:tl2br w:val="nil"/>
              <w:tr2bl w:val="nil"/>
            </w:tcBorders>
            <w:vAlign w:val="center"/>
          </w:tcPr>
          <w:p>
            <w:pPr>
              <w:pStyle w:val="30"/>
              <w:ind w:firstLine="0" w:firstLineChars="0"/>
              <w:jc w:val="center"/>
              <w:rPr>
                <w:rFonts w:ascii="Times New Roman" w:hAnsi="Times New Roman" w:eastAsia="宋体" w:cs="Times New Roman"/>
                <w:kern w:val="2"/>
                <w:sz w:val="21"/>
                <w:highlight w:val="none"/>
              </w:rPr>
            </w:pPr>
            <w:r>
              <w:rPr>
                <w:highlight w:val="none"/>
              </w:rPr>
              <w:t>NH</w:t>
            </w:r>
            <w:r>
              <w:rPr>
                <w:highlight w:val="none"/>
                <w:vertAlign w:val="subscript"/>
              </w:rPr>
              <w:t>3</w:t>
            </w:r>
          </w:p>
        </w:tc>
        <w:tc>
          <w:tcPr>
            <w:tcW w:w="1013"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8.1598</w:t>
            </w:r>
          </w:p>
        </w:tc>
        <w:tc>
          <w:tcPr>
            <w:tcW w:w="1019" w:type="pct"/>
            <w:tcBorders>
              <w:tl2br w:val="nil"/>
              <w:tr2bl w:val="nil"/>
            </w:tcBorders>
            <w:vAlign w:val="center"/>
          </w:tcPr>
          <w:p>
            <w:pPr>
              <w:pStyle w:val="30"/>
              <w:bidi w:val="0"/>
              <w:ind w:firstLine="0" w:firstLineChars="0"/>
              <w:rPr>
                <w:rFonts w:hint="eastAsia" w:ascii="Times New Roman" w:hAnsi="Times New Roman" w:eastAsia="宋体" w:cs="Times New Roman"/>
                <w:kern w:val="2"/>
                <w:sz w:val="21"/>
                <w:highlight w:val="none"/>
                <w:lang w:val="en-US" w:eastAsia="zh-CN"/>
              </w:rPr>
            </w:pPr>
            <w:r>
              <w:rPr>
                <w:highlight w:val="none"/>
              </w:rPr>
              <w:t>4.0799</w:t>
            </w:r>
          </w:p>
        </w:tc>
        <w:tc>
          <w:tcPr>
            <w:tcW w:w="583" w:type="pct"/>
            <w:tcBorders>
              <w:tl2br w:val="nil"/>
              <w:tr2bl w:val="nil"/>
            </w:tcBorders>
            <w:vAlign w:val="center"/>
          </w:tcPr>
          <w:p>
            <w:pPr>
              <w:pStyle w:val="30"/>
              <w:ind w:firstLine="0" w:firstLineChars="0"/>
              <w:jc w:val="center"/>
              <w:rPr>
                <w:rFonts w:hint="eastAsia"/>
                <w:highlight w:val="none"/>
              </w:rPr>
            </w:pPr>
            <w:r>
              <w:rPr>
                <w:rFonts w:hint="eastAsia"/>
                <w:highlight w:val="none"/>
              </w:rPr>
              <w:t>/</w:t>
            </w:r>
          </w:p>
        </w:tc>
        <w:tc>
          <w:tcPr>
            <w:tcW w:w="665" w:type="pct"/>
            <w:tcBorders>
              <w:tl2br w:val="nil"/>
              <w:tr2bl w:val="nil"/>
            </w:tcBorders>
            <w:vAlign w:val="center"/>
          </w:tcPr>
          <w:p>
            <w:pPr>
              <w:pStyle w:val="30"/>
              <w:ind w:firstLine="0" w:firstLineChars="0"/>
              <w:jc w:val="center"/>
              <w:rPr>
                <w:rFonts w:hint="eastAsia"/>
                <w:highlight w:val="none"/>
              </w:rPr>
            </w:pPr>
            <w:r>
              <w:rPr>
                <w:rFonts w:hint="eastAsia"/>
                <w:highlight w:val="none"/>
                <w:lang w:val="en-US" w:eastAsia="zh-CN"/>
              </w:rPr>
              <w:t>二</w:t>
            </w:r>
            <w:r>
              <w:rPr>
                <w:rFonts w:hint="eastAsia"/>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continue"/>
            <w:tcBorders>
              <w:tl2br w:val="nil"/>
              <w:tr2bl w:val="nil"/>
            </w:tcBorders>
            <w:vAlign w:val="center"/>
          </w:tcPr>
          <w:p>
            <w:pPr>
              <w:pStyle w:val="30"/>
              <w:jc w:val="center"/>
              <w:rPr>
                <w:highlight w:val="none"/>
              </w:rPr>
            </w:pPr>
          </w:p>
        </w:tc>
        <w:tc>
          <w:tcPr>
            <w:tcW w:w="340" w:type="pct"/>
            <w:vMerge w:val="continue"/>
            <w:tcBorders>
              <w:tl2br w:val="nil"/>
              <w:tr2bl w:val="nil"/>
            </w:tcBorders>
            <w:vAlign w:val="center"/>
          </w:tcPr>
          <w:p>
            <w:pPr>
              <w:pStyle w:val="30"/>
              <w:jc w:val="center"/>
              <w:rPr>
                <w:highlight w:val="none"/>
              </w:rPr>
            </w:pPr>
          </w:p>
        </w:tc>
        <w:tc>
          <w:tcPr>
            <w:tcW w:w="444" w:type="pct"/>
            <w:vMerge w:val="continue"/>
            <w:tcBorders>
              <w:tl2br w:val="nil"/>
              <w:tr2bl w:val="nil"/>
            </w:tcBorders>
            <w:vAlign w:val="center"/>
          </w:tcPr>
          <w:p>
            <w:pPr>
              <w:pStyle w:val="30"/>
              <w:jc w:val="center"/>
              <w:rPr>
                <w:rFonts w:hint="eastAsia"/>
                <w:highlight w:val="none"/>
                <w:lang w:val="en-US" w:eastAsia="zh-CN"/>
              </w:rPr>
            </w:pPr>
          </w:p>
        </w:tc>
        <w:tc>
          <w:tcPr>
            <w:tcW w:w="639" w:type="pct"/>
            <w:tcBorders>
              <w:tl2br w:val="nil"/>
              <w:tr2bl w:val="nil"/>
            </w:tcBorders>
            <w:vAlign w:val="center"/>
          </w:tcPr>
          <w:p>
            <w:pPr>
              <w:pStyle w:val="30"/>
              <w:ind w:firstLine="0" w:firstLineChars="0"/>
              <w:jc w:val="center"/>
              <w:rPr>
                <w:rFonts w:ascii="Times New Roman" w:hAnsi="Times New Roman" w:eastAsia="宋体" w:cs="Times New Roman"/>
                <w:kern w:val="2"/>
                <w:sz w:val="21"/>
                <w:highlight w:val="none"/>
              </w:rPr>
            </w:pPr>
            <w:r>
              <w:rPr>
                <w:highlight w:val="none"/>
              </w:rPr>
              <w:t>H</w:t>
            </w:r>
            <w:r>
              <w:rPr>
                <w:highlight w:val="none"/>
                <w:vertAlign w:val="subscript"/>
              </w:rPr>
              <w:t>2</w:t>
            </w:r>
            <w:r>
              <w:rPr>
                <w:highlight w:val="none"/>
              </w:rPr>
              <w:t>S</w:t>
            </w:r>
          </w:p>
        </w:tc>
        <w:tc>
          <w:tcPr>
            <w:tcW w:w="1013"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0.0567</w:t>
            </w:r>
          </w:p>
        </w:tc>
        <w:tc>
          <w:tcPr>
            <w:tcW w:w="1019"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0.5667</w:t>
            </w:r>
          </w:p>
        </w:tc>
        <w:tc>
          <w:tcPr>
            <w:tcW w:w="583" w:type="pct"/>
            <w:tcBorders>
              <w:tl2br w:val="nil"/>
              <w:tr2bl w:val="nil"/>
            </w:tcBorders>
            <w:vAlign w:val="center"/>
          </w:tcPr>
          <w:p>
            <w:pPr>
              <w:pStyle w:val="30"/>
              <w:ind w:firstLine="0" w:firstLineChars="0"/>
              <w:jc w:val="center"/>
              <w:rPr>
                <w:rFonts w:hint="eastAsia"/>
                <w:highlight w:val="none"/>
              </w:rPr>
            </w:pPr>
            <w:r>
              <w:rPr>
                <w:rFonts w:hint="eastAsia"/>
                <w:highlight w:val="none"/>
              </w:rPr>
              <w:t>/</w:t>
            </w:r>
          </w:p>
        </w:tc>
        <w:tc>
          <w:tcPr>
            <w:tcW w:w="665" w:type="pct"/>
            <w:tcBorders>
              <w:tl2br w:val="nil"/>
              <w:tr2bl w:val="nil"/>
            </w:tcBorders>
            <w:vAlign w:val="center"/>
          </w:tcPr>
          <w:p>
            <w:pPr>
              <w:pStyle w:val="30"/>
              <w:ind w:firstLine="0" w:firstLineChars="0"/>
              <w:jc w:val="center"/>
              <w:rPr>
                <w:rFonts w:hint="eastAsia"/>
                <w:highlight w:val="none"/>
              </w:rPr>
            </w:pPr>
            <w:r>
              <w:rPr>
                <w:rFonts w:hint="eastAsia"/>
                <w:highlight w:val="none"/>
                <w:lang w:val="en-US" w:eastAsia="zh-CN"/>
              </w:rPr>
              <w:t>三</w:t>
            </w:r>
            <w:r>
              <w:rPr>
                <w:rFonts w:hint="eastAsia"/>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restart"/>
            <w:tcBorders>
              <w:tl2br w:val="nil"/>
              <w:tr2bl w:val="nil"/>
            </w:tcBorders>
            <w:vAlign w:val="center"/>
          </w:tcPr>
          <w:p>
            <w:pPr>
              <w:pStyle w:val="30"/>
              <w:jc w:val="center"/>
              <w:rPr>
                <w:rFonts w:hint="eastAsia" w:eastAsia="宋体"/>
                <w:highlight w:val="none"/>
                <w:lang w:val="en-US" w:eastAsia="zh-CN"/>
              </w:rPr>
            </w:pPr>
            <w:r>
              <w:rPr>
                <w:rFonts w:hint="eastAsia"/>
                <w:highlight w:val="none"/>
                <w:lang w:val="en-US" w:eastAsia="zh-CN"/>
              </w:rPr>
              <w:t>5</w:t>
            </w:r>
          </w:p>
        </w:tc>
        <w:tc>
          <w:tcPr>
            <w:tcW w:w="785" w:type="pct"/>
            <w:gridSpan w:val="2"/>
            <w:vMerge w:val="restart"/>
            <w:tcBorders>
              <w:tl2br w:val="nil"/>
              <w:tr2bl w:val="nil"/>
            </w:tcBorders>
            <w:vAlign w:val="center"/>
          </w:tcPr>
          <w:p>
            <w:pPr>
              <w:pStyle w:val="30"/>
              <w:ind w:firstLine="0" w:firstLineChars="0"/>
              <w:jc w:val="center"/>
              <w:rPr>
                <w:highlight w:val="none"/>
              </w:rPr>
            </w:pPr>
            <w:r>
              <w:rPr>
                <w:rFonts w:hint="eastAsia"/>
                <w:highlight w:val="none"/>
                <w:lang w:val="en-US" w:eastAsia="zh-CN"/>
              </w:rPr>
              <w:t>待宰圈</w:t>
            </w:r>
          </w:p>
        </w:tc>
        <w:tc>
          <w:tcPr>
            <w:tcW w:w="639" w:type="pct"/>
            <w:tcBorders>
              <w:tl2br w:val="nil"/>
              <w:tr2bl w:val="nil"/>
            </w:tcBorders>
            <w:vAlign w:val="center"/>
          </w:tcPr>
          <w:p>
            <w:pPr>
              <w:pStyle w:val="30"/>
              <w:ind w:firstLine="0" w:firstLineChars="0"/>
              <w:jc w:val="center"/>
              <w:rPr>
                <w:rFonts w:ascii="Times New Roman" w:hAnsi="Times New Roman" w:eastAsia="宋体" w:cs="Times New Roman"/>
                <w:kern w:val="2"/>
                <w:sz w:val="21"/>
                <w:highlight w:val="none"/>
              </w:rPr>
            </w:pPr>
            <w:r>
              <w:rPr>
                <w:highlight w:val="none"/>
              </w:rPr>
              <w:t>NH</w:t>
            </w:r>
            <w:r>
              <w:rPr>
                <w:highlight w:val="none"/>
                <w:vertAlign w:val="subscript"/>
              </w:rPr>
              <w:t>3</w:t>
            </w:r>
          </w:p>
        </w:tc>
        <w:tc>
          <w:tcPr>
            <w:tcW w:w="1013"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8.4095</w:t>
            </w:r>
          </w:p>
        </w:tc>
        <w:tc>
          <w:tcPr>
            <w:tcW w:w="1019"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4.2047</w:t>
            </w:r>
          </w:p>
        </w:tc>
        <w:tc>
          <w:tcPr>
            <w:tcW w:w="583" w:type="pct"/>
            <w:tcBorders>
              <w:tl2br w:val="nil"/>
              <w:tr2bl w:val="nil"/>
            </w:tcBorders>
            <w:vAlign w:val="center"/>
          </w:tcPr>
          <w:p>
            <w:pPr>
              <w:pStyle w:val="30"/>
              <w:ind w:firstLine="0" w:firstLineChars="0"/>
              <w:jc w:val="center"/>
              <w:rPr>
                <w:rFonts w:hint="eastAsia"/>
                <w:highlight w:val="none"/>
              </w:rPr>
            </w:pPr>
            <w:r>
              <w:rPr>
                <w:rFonts w:hint="eastAsia"/>
                <w:highlight w:val="none"/>
              </w:rPr>
              <w:t>/</w:t>
            </w:r>
          </w:p>
        </w:tc>
        <w:tc>
          <w:tcPr>
            <w:tcW w:w="665" w:type="pct"/>
            <w:tcBorders>
              <w:tl2br w:val="nil"/>
              <w:tr2bl w:val="nil"/>
            </w:tcBorders>
            <w:vAlign w:val="center"/>
          </w:tcPr>
          <w:p>
            <w:pPr>
              <w:pStyle w:val="30"/>
              <w:ind w:firstLine="0" w:firstLineChars="0"/>
              <w:jc w:val="center"/>
              <w:rPr>
                <w:rFonts w:hint="eastAsia"/>
                <w:highlight w:val="none"/>
              </w:rPr>
            </w:pPr>
            <w:r>
              <w:rPr>
                <w:rFonts w:hint="eastAsia"/>
                <w:highlight w:val="none"/>
                <w:lang w:val="en-US" w:eastAsia="zh-CN"/>
              </w:rPr>
              <w:t>二</w:t>
            </w:r>
            <w:r>
              <w:rPr>
                <w:rFonts w:hint="eastAsia"/>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continue"/>
            <w:tcBorders>
              <w:tl2br w:val="nil"/>
              <w:tr2bl w:val="nil"/>
            </w:tcBorders>
            <w:vAlign w:val="center"/>
          </w:tcPr>
          <w:p>
            <w:pPr>
              <w:pStyle w:val="30"/>
              <w:jc w:val="center"/>
              <w:rPr>
                <w:highlight w:val="none"/>
              </w:rPr>
            </w:pPr>
          </w:p>
        </w:tc>
        <w:tc>
          <w:tcPr>
            <w:tcW w:w="785" w:type="pct"/>
            <w:gridSpan w:val="2"/>
            <w:vMerge w:val="continue"/>
            <w:tcBorders>
              <w:tl2br w:val="nil"/>
              <w:tr2bl w:val="nil"/>
            </w:tcBorders>
            <w:vAlign w:val="center"/>
          </w:tcPr>
          <w:p>
            <w:pPr>
              <w:pStyle w:val="30"/>
              <w:ind w:firstLine="0" w:firstLineChars="0"/>
              <w:jc w:val="center"/>
              <w:rPr>
                <w:highlight w:val="none"/>
              </w:rPr>
            </w:pPr>
          </w:p>
        </w:tc>
        <w:tc>
          <w:tcPr>
            <w:tcW w:w="639" w:type="pct"/>
            <w:tcBorders>
              <w:tl2br w:val="nil"/>
              <w:tr2bl w:val="nil"/>
            </w:tcBorders>
            <w:vAlign w:val="center"/>
          </w:tcPr>
          <w:p>
            <w:pPr>
              <w:pStyle w:val="30"/>
              <w:ind w:firstLine="0" w:firstLineChars="0"/>
              <w:jc w:val="center"/>
              <w:rPr>
                <w:rFonts w:ascii="Times New Roman" w:hAnsi="Times New Roman" w:eastAsia="宋体" w:cs="Times New Roman"/>
                <w:kern w:val="2"/>
                <w:sz w:val="21"/>
                <w:highlight w:val="none"/>
              </w:rPr>
            </w:pPr>
            <w:r>
              <w:rPr>
                <w:highlight w:val="none"/>
              </w:rPr>
              <w:t>H</w:t>
            </w:r>
            <w:r>
              <w:rPr>
                <w:highlight w:val="none"/>
                <w:vertAlign w:val="subscript"/>
              </w:rPr>
              <w:t>2</w:t>
            </w:r>
            <w:r>
              <w:rPr>
                <w:highlight w:val="none"/>
              </w:rPr>
              <w:t>S</w:t>
            </w:r>
          </w:p>
        </w:tc>
        <w:tc>
          <w:tcPr>
            <w:tcW w:w="1013"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0.7008</w:t>
            </w:r>
          </w:p>
        </w:tc>
        <w:tc>
          <w:tcPr>
            <w:tcW w:w="1019"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7.0079</w:t>
            </w:r>
          </w:p>
        </w:tc>
        <w:tc>
          <w:tcPr>
            <w:tcW w:w="583" w:type="pct"/>
            <w:tcBorders>
              <w:tl2br w:val="nil"/>
              <w:tr2bl w:val="nil"/>
            </w:tcBorders>
            <w:vAlign w:val="center"/>
          </w:tcPr>
          <w:p>
            <w:pPr>
              <w:pStyle w:val="30"/>
              <w:ind w:firstLine="0" w:firstLineChars="0"/>
              <w:jc w:val="center"/>
              <w:rPr>
                <w:rFonts w:hint="eastAsia"/>
                <w:highlight w:val="none"/>
              </w:rPr>
            </w:pPr>
            <w:r>
              <w:rPr>
                <w:rFonts w:hint="eastAsia"/>
                <w:highlight w:val="none"/>
              </w:rPr>
              <w:t>/</w:t>
            </w:r>
          </w:p>
        </w:tc>
        <w:tc>
          <w:tcPr>
            <w:tcW w:w="665" w:type="pct"/>
            <w:tcBorders>
              <w:tl2br w:val="nil"/>
              <w:tr2bl w:val="nil"/>
            </w:tcBorders>
            <w:vAlign w:val="center"/>
          </w:tcPr>
          <w:p>
            <w:pPr>
              <w:pStyle w:val="30"/>
              <w:ind w:firstLine="0" w:firstLineChars="0"/>
              <w:jc w:val="center"/>
              <w:rPr>
                <w:rFonts w:hint="eastAsia"/>
                <w:highlight w:val="none"/>
              </w:rPr>
            </w:pPr>
            <w:r>
              <w:rPr>
                <w:rFonts w:hint="eastAsia"/>
                <w:highlight w:val="none"/>
                <w:lang w:val="en-US" w:eastAsia="zh-CN"/>
              </w:rPr>
              <w:t>二</w:t>
            </w:r>
            <w:r>
              <w:rPr>
                <w:rFonts w:hint="eastAsia"/>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restart"/>
            <w:tcBorders>
              <w:tl2br w:val="nil"/>
              <w:tr2bl w:val="nil"/>
            </w:tcBorders>
            <w:vAlign w:val="center"/>
          </w:tcPr>
          <w:p>
            <w:pPr>
              <w:pStyle w:val="30"/>
              <w:jc w:val="center"/>
              <w:rPr>
                <w:rFonts w:hint="eastAsia" w:eastAsia="宋体"/>
                <w:highlight w:val="none"/>
                <w:lang w:val="en-US" w:eastAsia="zh-CN"/>
              </w:rPr>
            </w:pPr>
            <w:r>
              <w:rPr>
                <w:rFonts w:hint="eastAsia"/>
                <w:highlight w:val="none"/>
                <w:lang w:val="en-US" w:eastAsia="zh-CN"/>
              </w:rPr>
              <w:t>7</w:t>
            </w:r>
          </w:p>
        </w:tc>
        <w:tc>
          <w:tcPr>
            <w:tcW w:w="785" w:type="pct"/>
            <w:gridSpan w:val="2"/>
            <w:vMerge w:val="restart"/>
            <w:tcBorders>
              <w:tl2br w:val="nil"/>
              <w:tr2bl w:val="nil"/>
            </w:tcBorders>
            <w:vAlign w:val="center"/>
          </w:tcPr>
          <w:p>
            <w:pPr>
              <w:pStyle w:val="30"/>
              <w:ind w:firstLine="0" w:firstLineChars="0"/>
              <w:jc w:val="center"/>
              <w:rPr>
                <w:rFonts w:hint="default" w:eastAsia="宋体"/>
                <w:highlight w:val="none"/>
                <w:lang w:val="en-US" w:eastAsia="zh-CN"/>
              </w:rPr>
            </w:pPr>
            <w:r>
              <w:rPr>
                <w:rFonts w:hint="eastAsia"/>
                <w:highlight w:val="none"/>
                <w:lang w:val="en-US" w:eastAsia="zh-CN"/>
              </w:rPr>
              <w:t>污水处理站</w:t>
            </w:r>
          </w:p>
        </w:tc>
        <w:tc>
          <w:tcPr>
            <w:tcW w:w="639" w:type="pct"/>
            <w:tcBorders>
              <w:tl2br w:val="nil"/>
              <w:tr2bl w:val="nil"/>
            </w:tcBorders>
            <w:vAlign w:val="center"/>
          </w:tcPr>
          <w:p>
            <w:pPr>
              <w:pStyle w:val="30"/>
              <w:ind w:firstLine="0" w:firstLineChars="0"/>
              <w:jc w:val="center"/>
              <w:rPr>
                <w:rFonts w:ascii="Times New Roman" w:hAnsi="Times New Roman" w:eastAsia="宋体" w:cs="Times New Roman"/>
                <w:kern w:val="2"/>
                <w:sz w:val="21"/>
                <w:highlight w:val="none"/>
              </w:rPr>
            </w:pPr>
            <w:r>
              <w:rPr>
                <w:highlight w:val="none"/>
              </w:rPr>
              <w:t>NH</w:t>
            </w:r>
            <w:r>
              <w:rPr>
                <w:highlight w:val="none"/>
                <w:vertAlign w:val="subscript"/>
              </w:rPr>
              <w:t>3</w:t>
            </w:r>
          </w:p>
        </w:tc>
        <w:tc>
          <w:tcPr>
            <w:tcW w:w="1013"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4.0248</w:t>
            </w:r>
          </w:p>
        </w:tc>
        <w:tc>
          <w:tcPr>
            <w:tcW w:w="1019"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2.0124</w:t>
            </w:r>
          </w:p>
        </w:tc>
        <w:tc>
          <w:tcPr>
            <w:tcW w:w="583" w:type="pct"/>
            <w:tcBorders>
              <w:tl2br w:val="nil"/>
              <w:tr2bl w:val="nil"/>
            </w:tcBorders>
            <w:vAlign w:val="center"/>
          </w:tcPr>
          <w:p>
            <w:pPr>
              <w:pStyle w:val="30"/>
              <w:ind w:firstLine="0" w:firstLineChars="0"/>
              <w:jc w:val="center"/>
              <w:rPr>
                <w:rFonts w:hint="eastAsia" w:ascii="Times New Roman" w:hAnsi="Times New Roman" w:eastAsia="宋体" w:cs="Times New Roman"/>
                <w:kern w:val="2"/>
                <w:sz w:val="21"/>
                <w:highlight w:val="none"/>
              </w:rPr>
            </w:pPr>
            <w:r>
              <w:rPr>
                <w:rFonts w:hint="eastAsia"/>
                <w:highlight w:val="none"/>
              </w:rPr>
              <w:t>/</w:t>
            </w:r>
          </w:p>
        </w:tc>
        <w:tc>
          <w:tcPr>
            <w:tcW w:w="665" w:type="pct"/>
            <w:tcBorders>
              <w:tl2br w:val="nil"/>
              <w:tr2bl w:val="nil"/>
            </w:tcBorders>
            <w:vAlign w:val="center"/>
          </w:tcPr>
          <w:p>
            <w:pPr>
              <w:pStyle w:val="30"/>
              <w:ind w:firstLine="0" w:firstLineChars="0"/>
              <w:jc w:val="center"/>
              <w:rPr>
                <w:rFonts w:hint="eastAsia" w:ascii="Times New Roman" w:hAnsi="Times New Roman" w:eastAsia="宋体" w:cs="Times New Roman"/>
                <w:kern w:val="2"/>
                <w:sz w:val="21"/>
                <w:highlight w:val="none"/>
                <w:lang w:val="en-US" w:eastAsia="zh-CN"/>
              </w:rPr>
            </w:pPr>
            <w:r>
              <w:rPr>
                <w:rFonts w:hint="eastAsia"/>
                <w:highlight w:val="none"/>
                <w:lang w:val="en-US" w:eastAsia="zh-CN"/>
              </w:rPr>
              <w:t>二</w:t>
            </w:r>
            <w:r>
              <w:rPr>
                <w:rFonts w:hint="eastAsia"/>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3" w:type="pct"/>
            <w:vMerge w:val="continue"/>
            <w:tcBorders>
              <w:tl2br w:val="nil"/>
              <w:tr2bl w:val="nil"/>
            </w:tcBorders>
            <w:vAlign w:val="center"/>
          </w:tcPr>
          <w:p>
            <w:pPr>
              <w:pStyle w:val="30"/>
              <w:jc w:val="center"/>
              <w:rPr>
                <w:highlight w:val="none"/>
              </w:rPr>
            </w:pPr>
          </w:p>
        </w:tc>
        <w:tc>
          <w:tcPr>
            <w:tcW w:w="785" w:type="pct"/>
            <w:gridSpan w:val="2"/>
            <w:vMerge w:val="continue"/>
            <w:tcBorders>
              <w:tl2br w:val="nil"/>
              <w:tr2bl w:val="nil"/>
            </w:tcBorders>
            <w:vAlign w:val="center"/>
          </w:tcPr>
          <w:p>
            <w:pPr>
              <w:pStyle w:val="30"/>
              <w:ind w:firstLine="0" w:firstLineChars="0"/>
              <w:jc w:val="center"/>
              <w:rPr>
                <w:highlight w:val="none"/>
              </w:rPr>
            </w:pPr>
          </w:p>
        </w:tc>
        <w:tc>
          <w:tcPr>
            <w:tcW w:w="639" w:type="pct"/>
            <w:tcBorders>
              <w:tl2br w:val="nil"/>
              <w:tr2bl w:val="nil"/>
            </w:tcBorders>
            <w:vAlign w:val="center"/>
          </w:tcPr>
          <w:p>
            <w:pPr>
              <w:pStyle w:val="30"/>
              <w:ind w:firstLine="0" w:firstLineChars="0"/>
              <w:jc w:val="center"/>
              <w:rPr>
                <w:rFonts w:ascii="Times New Roman" w:hAnsi="Times New Roman" w:eastAsia="宋体" w:cs="Times New Roman"/>
                <w:kern w:val="2"/>
                <w:sz w:val="21"/>
                <w:highlight w:val="none"/>
              </w:rPr>
            </w:pPr>
            <w:r>
              <w:rPr>
                <w:highlight w:val="none"/>
              </w:rPr>
              <w:t>H</w:t>
            </w:r>
            <w:r>
              <w:rPr>
                <w:highlight w:val="none"/>
                <w:vertAlign w:val="subscript"/>
              </w:rPr>
              <w:t>2</w:t>
            </w:r>
            <w:r>
              <w:rPr>
                <w:highlight w:val="none"/>
              </w:rPr>
              <w:t>S</w:t>
            </w:r>
          </w:p>
        </w:tc>
        <w:tc>
          <w:tcPr>
            <w:tcW w:w="1013"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0.1509</w:t>
            </w:r>
          </w:p>
        </w:tc>
        <w:tc>
          <w:tcPr>
            <w:tcW w:w="1019" w:type="pct"/>
            <w:tcBorders>
              <w:tl2br w:val="nil"/>
              <w:tr2bl w:val="nil"/>
            </w:tcBorders>
            <w:vAlign w:val="center"/>
          </w:tcPr>
          <w:p>
            <w:pPr>
              <w:pStyle w:val="30"/>
              <w:bidi w:val="0"/>
              <w:ind w:firstLine="0" w:firstLineChars="0"/>
              <w:rPr>
                <w:rFonts w:hint="default" w:ascii="Times New Roman" w:hAnsi="Times New Roman" w:eastAsia="宋体" w:cs="Times New Roman"/>
                <w:kern w:val="2"/>
                <w:sz w:val="21"/>
                <w:highlight w:val="none"/>
                <w:lang w:val="en-US" w:eastAsia="zh-CN"/>
              </w:rPr>
            </w:pPr>
            <w:r>
              <w:rPr>
                <w:highlight w:val="none"/>
              </w:rPr>
              <w:t>1.5093</w:t>
            </w:r>
          </w:p>
        </w:tc>
        <w:tc>
          <w:tcPr>
            <w:tcW w:w="583" w:type="pct"/>
            <w:tcBorders>
              <w:tl2br w:val="nil"/>
              <w:tr2bl w:val="nil"/>
            </w:tcBorders>
            <w:vAlign w:val="center"/>
          </w:tcPr>
          <w:p>
            <w:pPr>
              <w:pStyle w:val="30"/>
              <w:ind w:firstLine="0" w:firstLineChars="0"/>
              <w:jc w:val="center"/>
              <w:rPr>
                <w:rFonts w:hint="eastAsia" w:ascii="Times New Roman" w:hAnsi="Times New Roman" w:eastAsia="宋体" w:cs="Times New Roman"/>
                <w:kern w:val="2"/>
                <w:sz w:val="21"/>
                <w:highlight w:val="none"/>
              </w:rPr>
            </w:pPr>
            <w:r>
              <w:rPr>
                <w:rFonts w:hint="eastAsia"/>
                <w:highlight w:val="none"/>
              </w:rPr>
              <w:t>/</w:t>
            </w:r>
          </w:p>
        </w:tc>
        <w:tc>
          <w:tcPr>
            <w:tcW w:w="665" w:type="pct"/>
            <w:tcBorders>
              <w:tl2br w:val="nil"/>
              <w:tr2bl w:val="nil"/>
            </w:tcBorders>
            <w:vAlign w:val="center"/>
          </w:tcPr>
          <w:p>
            <w:pPr>
              <w:pStyle w:val="30"/>
              <w:ind w:firstLine="0" w:firstLineChars="0"/>
              <w:jc w:val="center"/>
              <w:rPr>
                <w:rFonts w:hint="eastAsia" w:ascii="Times New Roman" w:hAnsi="Times New Roman" w:eastAsia="宋体" w:cs="Times New Roman"/>
                <w:kern w:val="2"/>
                <w:sz w:val="21"/>
                <w:highlight w:val="none"/>
                <w:lang w:val="en-US" w:eastAsia="zh-CN"/>
              </w:rPr>
            </w:pPr>
            <w:r>
              <w:rPr>
                <w:rFonts w:hint="eastAsia"/>
                <w:highlight w:val="none"/>
                <w:lang w:val="en-US" w:eastAsia="zh-CN"/>
              </w:rPr>
              <w:t>二</w:t>
            </w:r>
            <w:r>
              <w:rPr>
                <w:rFonts w:hint="eastAsia"/>
                <w:highlight w:val="none"/>
              </w:rPr>
              <w:t>级</w:t>
            </w:r>
          </w:p>
        </w:tc>
      </w:tr>
    </w:tbl>
    <w:p>
      <w:pPr>
        <w:bidi w:val="0"/>
        <w:rPr>
          <w:rFonts w:hint="eastAsia"/>
          <w:highlight w:val="none"/>
        </w:rPr>
      </w:pPr>
      <w:r>
        <w:rPr>
          <w:rFonts w:hint="eastAsia"/>
          <w:highlight w:val="none"/>
        </w:rPr>
        <w:t>根据</w:t>
      </w:r>
      <w:r>
        <w:rPr>
          <w:rFonts w:hint="default"/>
          <w:highlight w:val="none"/>
        </w:rPr>
        <w:t>AERSCREEN</w:t>
      </w:r>
      <w:r>
        <w:rPr>
          <w:rFonts w:hint="eastAsia"/>
          <w:highlight w:val="none"/>
        </w:rPr>
        <w:t>估算模式计算结果显示可知，本项目</w:t>
      </w:r>
      <w:r>
        <w:rPr>
          <w:rFonts w:hint="default"/>
          <w:highlight w:val="none"/>
        </w:rPr>
        <w:t>Pmax=</w:t>
      </w:r>
      <w:r>
        <w:rPr>
          <w:rFonts w:hint="eastAsia"/>
          <w:highlight w:val="none"/>
          <w:lang w:val="en-US" w:eastAsia="zh-CN"/>
        </w:rPr>
        <w:t>9.9563</w:t>
      </w:r>
      <w:r>
        <w:rPr>
          <w:rFonts w:hint="default"/>
          <w:highlight w:val="none"/>
        </w:rPr>
        <w:t>%</w:t>
      </w:r>
      <w:r>
        <w:rPr>
          <w:rFonts w:hint="eastAsia"/>
          <w:highlight w:val="none"/>
        </w:rPr>
        <w:t>，小于</w:t>
      </w:r>
      <w:r>
        <w:rPr>
          <w:rFonts w:hint="default"/>
          <w:highlight w:val="none"/>
        </w:rPr>
        <w:t>10%</w:t>
      </w:r>
      <w:r>
        <w:rPr>
          <w:rFonts w:hint="eastAsia"/>
          <w:highlight w:val="none"/>
        </w:rPr>
        <w:t>，根据上述等级划分原则，本项目大气环境预测评价工作等级为二级。</w:t>
      </w:r>
    </w:p>
    <w:p>
      <w:pPr>
        <w:pStyle w:val="5"/>
        <w:bidi w:val="0"/>
        <w:rPr>
          <w:rFonts w:hint="eastAsia"/>
        </w:rPr>
      </w:pPr>
      <w:r>
        <w:rPr>
          <w:rFonts w:hint="eastAsia"/>
        </w:rPr>
        <w:t>地表水环境</w:t>
      </w:r>
    </w:p>
    <w:p>
      <w:pPr>
        <w:bidi w:val="0"/>
        <w:rPr>
          <w:rFonts w:hint="eastAsia"/>
          <w:lang w:val="en-US" w:eastAsia="zh-CN"/>
        </w:rPr>
      </w:pPr>
      <w:r>
        <w:rPr>
          <w:rFonts w:hint="default" w:ascii="Times New Roman" w:hAnsi="Times New Roman" w:cs="Times New Roman"/>
          <w:color w:val="000000" w:themeColor="text1"/>
          <w:sz w:val="24"/>
          <w:lang w:val="en-US" w:eastAsia="zh-CN"/>
          <w14:textFill>
            <w14:solidFill>
              <w14:schemeClr w14:val="tx1"/>
            </w14:solidFill>
          </w14:textFill>
        </w:rPr>
        <w:t>本项目污水主要为</w:t>
      </w:r>
      <w:r>
        <w:rPr>
          <w:rFonts w:hint="eastAsia"/>
          <w:vertAlign w:val="baseline"/>
          <w:lang w:val="en-US" w:eastAsia="zh-CN"/>
        </w:rPr>
        <w:t>屠宰废水、地面及车辆冲洗废水及生活污水</w:t>
      </w:r>
      <w:r>
        <w:rPr>
          <w:rFonts w:hint="default" w:ascii="Times New Roman" w:hAnsi="Times New Roman" w:cs="Times New Roman"/>
          <w:color w:val="000000" w:themeColor="text1"/>
          <w:sz w:val="24"/>
          <w:lang w:val="en-US" w:eastAsia="zh-CN"/>
          <w14:textFill>
            <w14:solidFill>
              <w14:schemeClr w14:val="tx1"/>
            </w14:solidFill>
          </w14:textFill>
        </w:rPr>
        <w:t>。综合废水属于高浓度有机废水，废水中主要污染物pH、COD、BOD</w:t>
      </w:r>
      <w:r>
        <w:rPr>
          <w:rFonts w:hint="default" w:ascii="Times New Roman" w:hAnsi="Times New Roman" w:cs="Times New Roman"/>
          <w:color w:val="000000" w:themeColor="text1"/>
          <w:sz w:val="24"/>
          <w:vertAlign w:val="subscript"/>
          <w:lang w:val="en-US" w:eastAsia="zh-CN"/>
          <w14:textFill>
            <w14:solidFill>
              <w14:schemeClr w14:val="tx1"/>
            </w14:solidFill>
          </w14:textFill>
        </w:rPr>
        <w:t>5</w:t>
      </w:r>
      <w:r>
        <w:rPr>
          <w:rFonts w:hint="default" w:ascii="Times New Roman" w:hAnsi="Times New Roman" w:cs="Times New Roman"/>
          <w:color w:val="000000" w:themeColor="text1"/>
          <w:sz w:val="24"/>
          <w:lang w:val="en-US" w:eastAsia="zh-CN"/>
          <w14:textFill>
            <w14:solidFill>
              <w14:schemeClr w14:val="tx1"/>
            </w14:solidFill>
          </w14:textFill>
        </w:rPr>
        <w:t>、SS和NH</w:t>
      </w:r>
      <w:r>
        <w:rPr>
          <w:rFonts w:hint="default" w:ascii="Times New Roman" w:hAnsi="Times New Roman" w:cs="Times New Roman"/>
          <w:color w:val="000000" w:themeColor="text1"/>
          <w:sz w:val="24"/>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-N均很高，且含有大量的大肠杆菌及蛔虫卵等</w:t>
      </w:r>
      <w:r>
        <w:rPr>
          <w:rFonts w:hint="eastAsia" w:cs="Times New Roman"/>
          <w:color w:val="000000" w:themeColor="text1"/>
          <w:sz w:val="24"/>
          <w:lang w:val="en-US" w:eastAsia="zh-CN"/>
          <w14:textFill>
            <w14:solidFill>
              <w14:schemeClr w14:val="tx1"/>
            </w14:solidFill>
          </w14:textFill>
        </w:rPr>
        <w:t>。污水</w:t>
      </w:r>
      <w:r>
        <w:rPr>
          <w:rFonts w:hint="default" w:ascii="Times New Roman" w:hAnsi="Times New Roman" w:cs="Times New Roman"/>
          <w:color w:val="000000" w:themeColor="text1"/>
          <w:sz w:val="24"/>
          <w:lang w:val="en-US" w:eastAsia="zh-CN"/>
          <w14:textFill>
            <w14:solidFill>
              <w14:schemeClr w14:val="tx1"/>
            </w14:solidFill>
          </w14:textFill>
        </w:rPr>
        <w:t>采用</w:t>
      </w:r>
      <w:r>
        <w:rPr>
          <w:rFonts w:hint="default" w:cs="Times New Roman"/>
          <w:color w:val="000000" w:themeColor="text1"/>
          <w:sz w:val="24"/>
          <w:lang w:val="en-US" w:eastAsia="zh-CN"/>
          <w14:textFill>
            <w14:solidFill>
              <w14:schemeClr w14:val="tx1"/>
            </w14:solidFill>
          </w14:textFill>
        </w:rPr>
        <w:t>“</w:t>
      </w:r>
      <w:r>
        <w:rPr>
          <w:rFonts w:hint="eastAsia"/>
          <w:lang w:eastAsia="zh-CN"/>
        </w:rPr>
        <w:t>格栅池</w:t>
      </w:r>
      <w:r>
        <w:rPr>
          <w:rFonts w:hint="eastAsia"/>
          <w:lang w:val="en-US" w:eastAsia="zh-CN"/>
        </w:rPr>
        <w:t>+沉渣池+多功能生物调节池+</w:t>
      </w:r>
      <w:r>
        <w:rPr>
          <w:rFonts w:hint="eastAsia"/>
          <w:lang w:eastAsia="zh-CN"/>
        </w:rPr>
        <w:t>气浮沉渣池</w:t>
      </w:r>
      <w:r>
        <w:rPr>
          <w:rFonts w:hint="eastAsia"/>
          <w:lang w:val="en-US" w:eastAsia="zh-CN"/>
        </w:rPr>
        <w:t>+</w:t>
      </w:r>
      <w:r>
        <w:rPr>
          <w:rFonts w:hint="eastAsia"/>
          <w:lang w:eastAsia="zh-CN"/>
        </w:rPr>
        <w:t>厌氧池+初沉池</w:t>
      </w:r>
      <w:r>
        <w:rPr>
          <w:rFonts w:hint="eastAsia"/>
          <w:lang w:val="en-US" w:eastAsia="zh-CN"/>
        </w:rPr>
        <w:t>+缺氧</w:t>
      </w:r>
      <w:r>
        <w:rPr>
          <w:rFonts w:hint="eastAsia"/>
          <w:lang w:eastAsia="zh-CN"/>
        </w:rPr>
        <w:t>池</w:t>
      </w:r>
      <w:r>
        <w:rPr>
          <w:rFonts w:hint="eastAsia"/>
          <w:lang w:val="en-US" w:eastAsia="zh-CN"/>
        </w:rPr>
        <w:t>1+好氧池1+缺氧</w:t>
      </w:r>
      <w:r>
        <w:rPr>
          <w:rFonts w:hint="eastAsia"/>
          <w:lang w:eastAsia="zh-CN"/>
        </w:rPr>
        <w:t>池</w:t>
      </w:r>
      <w:r>
        <w:rPr>
          <w:rFonts w:hint="eastAsia"/>
          <w:lang w:val="en-US" w:eastAsia="zh-CN"/>
        </w:rPr>
        <w:t>2+好氧池2+二沉池+生物滤池+混凝沉淀池+过滤池+紫外线</w:t>
      </w:r>
      <w:r>
        <w:rPr>
          <w:rFonts w:hint="eastAsia"/>
          <w:lang w:eastAsia="zh-CN"/>
        </w:rPr>
        <w:t>消毒</w:t>
      </w:r>
      <w:r>
        <w:rPr>
          <w:rFonts w:hint="eastAsia"/>
          <w:lang w:val="en-US" w:eastAsia="zh-CN"/>
        </w:rPr>
        <w:t>+清水池</w:t>
      </w:r>
      <w:r>
        <w:rPr>
          <w:rFonts w:hint="default" w:cs="Times New Roman"/>
          <w:color w:val="000000" w:themeColor="text1"/>
          <w:sz w:val="24"/>
          <w:lang w:val="en-US" w:eastAsia="zh-CN"/>
          <w14:textFill>
            <w14:solidFill>
              <w14:schemeClr w14:val="tx1"/>
            </w14:solidFill>
          </w14:textFill>
        </w:rPr>
        <w:t>”处理工艺处理后，</w:t>
      </w:r>
      <w:r>
        <w:rPr>
          <w:rFonts w:hint="eastAsia" w:cs="Times New Roman"/>
          <w:color w:val="000000" w:themeColor="text1"/>
          <w:sz w:val="24"/>
          <w:lang w:val="en-US" w:eastAsia="zh-CN"/>
          <w14:textFill>
            <w14:solidFill>
              <w14:schemeClr w14:val="tx1"/>
            </w14:solidFill>
          </w14:textFill>
        </w:rPr>
        <w:t>可</w:t>
      </w:r>
      <w:r>
        <w:rPr>
          <w:rFonts w:hint="default" w:cs="Times New Roman"/>
          <w:color w:val="000000" w:themeColor="text1"/>
          <w:sz w:val="24"/>
          <w:lang w:val="en-US" w:eastAsia="zh-CN"/>
          <w14:textFill>
            <w14:solidFill>
              <w14:schemeClr w14:val="tx1"/>
            </w14:solidFill>
          </w14:textFill>
        </w:rPr>
        <w:t>达到</w:t>
      </w:r>
      <w:r>
        <w:rPr>
          <w:rFonts w:hint="eastAsia"/>
          <w:lang w:eastAsia="zh-CN"/>
        </w:rPr>
        <w:t>《</w:t>
      </w:r>
      <w:r>
        <w:rPr>
          <w:rFonts w:hint="eastAsia"/>
          <w:lang w:val="en-US" w:eastAsia="zh-CN"/>
        </w:rPr>
        <w:t>肉类加工工业水污染物排放标准</w:t>
      </w:r>
      <w:r>
        <w:rPr>
          <w:rFonts w:hint="eastAsia"/>
          <w:lang w:eastAsia="zh-CN"/>
        </w:rPr>
        <w:t>》（</w:t>
      </w:r>
      <w:r>
        <w:rPr>
          <w:rFonts w:hint="eastAsia"/>
          <w:lang w:val="en-US" w:eastAsia="zh-CN"/>
        </w:rPr>
        <w:t>GB13457-92</w:t>
      </w:r>
      <w:r>
        <w:rPr>
          <w:rFonts w:hint="eastAsia"/>
          <w:lang w:eastAsia="zh-CN"/>
        </w:rPr>
        <w:t>）</w:t>
      </w:r>
      <w:r>
        <w:rPr>
          <w:rFonts w:hint="eastAsia"/>
          <w:lang w:val="en-US" w:eastAsia="zh-CN"/>
        </w:rPr>
        <w:t>中一级标准，为提高出水水质要求，项目经处理达到</w:t>
      </w:r>
      <w:r>
        <w:rPr>
          <w:rFonts w:hint="eastAsia"/>
          <w:lang w:eastAsia="zh-CN"/>
        </w:rPr>
        <w:t>《城镇污水处理厂污染物排放标准》（GB18918-2002）</w:t>
      </w:r>
      <w:r>
        <w:rPr>
          <w:rFonts w:hint="eastAsia"/>
          <w:lang w:val="en-US" w:eastAsia="zh-CN"/>
        </w:rPr>
        <w:t>中一级A</w:t>
      </w:r>
      <w:r>
        <w:rPr>
          <w:rFonts w:hint="eastAsia"/>
        </w:rPr>
        <w:t>排放标准</w:t>
      </w:r>
      <w:r>
        <w:rPr>
          <w:rFonts w:hint="default" w:ascii="Times New Roman" w:hAnsi="Times New Roman" w:cs="Times New Roman"/>
          <w:color w:val="000000" w:themeColor="text1"/>
          <w:sz w:val="24"/>
          <w:lang w:val="en-US" w:eastAsia="zh-CN"/>
          <w14:textFill>
            <w14:solidFill>
              <w14:schemeClr w14:val="tx1"/>
            </w14:solidFill>
          </w14:textFill>
        </w:rPr>
        <w:t>后</w:t>
      </w:r>
      <w:r>
        <w:rPr>
          <w:rFonts w:hint="eastAsia"/>
          <w:lang w:val="en-US" w:eastAsia="zh-CN"/>
        </w:rPr>
        <w:t>一部分回用于进出车辆冲洗、地面冲洗、待宰圈冲洗和洗涤塔补水等，剩余部分用于农田灌溉，不外排。</w:t>
      </w:r>
    </w:p>
    <w:p>
      <w:pPr>
        <w:bidi w:val="0"/>
        <w:rPr>
          <w:rFonts w:hint="eastAsia"/>
          <w:lang w:val="en-US" w:eastAsia="zh-CN"/>
        </w:rPr>
      </w:pPr>
      <w:r>
        <w:rPr>
          <w:rFonts w:hint="eastAsia"/>
        </w:rPr>
        <w:t>根据《环境影响评价技术导则</w:t>
      </w:r>
      <w:r>
        <w:rPr>
          <w:rFonts w:hint="eastAsia"/>
          <w:lang w:eastAsia="zh-CN"/>
        </w:rPr>
        <w:t>－－</w:t>
      </w:r>
      <w:r>
        <w:rPr>
          <w:rFonts w:hint="eastAsia"/>
        </w:rPr>
        <w:t>地表水环境》（</w:t>
      </w:r>
      <w:r>
        <w:rPr>
          <w:rFonts w:hint="default"/>
        </w:rPr>
        <w:t>HJ/T2.3-2018</w:t>
      </w:r>
      <w:r>
        <w:rPr>
          <w:rFonts w:hint="eastAsia"/>
        </w:rPr>
        <w:t>），地表水环境影响评价等级划分如下表。</w:t>
      </w:r>
    </w:p>
    <w:p>
      <w:pPr>
        <w:pStyle w:val="29"/>
        <w:bidi w:val="0"/>
        <w:rPr>
          <w:rFonts w:hint="eastAsia"/>
          <w:lang w:eastAsia="zh-CN"/>
        </w:rPr>
      </w:pPr>
      <w:r>
        <w:rPr>
          <w:rFonts w:hint="eastAsia"/>
          <w:lang w:val="en-US" w:eastAsia="zh-CN"/>
        </w:rPr>
        <w:t xml:space="preserve">表1.6-4  </w:t>
      </w:r>
      <w:r>
        <w:rPr>
          <w:rFonts w:hint="eastAsia"/>
        </w:rPr>
        <w:t>水污染影响型建设项目评级等级判定表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1890"/>
        <w:gridCol w:w="57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0"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评价等级</w:t>
            </w:r>
          </w:p>
        </w:tc>
        <w:tc>
          <w:tcPr>
            <w:tcW w:w="7652" w:type="dxa"/>
            <w:gridSpan w:val="2"/>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0"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8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排放方式</w:t>
            </w:r>
          </w:p>
        </w:tc>
        <w:tc>
          <w:tcPr>
            <w:tcW w:w="5762" w:type="dxa"/>
            <w:tcBorders>
              <w:tl2br w:val="nil"/>
              <w:tr2bl w:val="nil"/>
            </w:tcBorders>
            <w:vAlign w:val="center"/>
          </w:tcPr>
          <w:p>
            <w:pPr>
              <w:pStyle w:val="30"/>
              <w:widowControl w:val="0"/>
              <w:bidi w:val="0"/>
              <w:jc w:val="center"/>
              <w:rPr>
                <w:rFonts w:hint="eastAsia"/>
                <w:vertAlign w:val="baseline"/>
                <w:lang w:val="en-US" w:eastAsia="zh-CN"/>
              </w:rPr>
            </w:pPr>
            <w:r>
              <w:rPr>
                <w:rFonts w:hint="eastAsia"/>
              </w:rPr>
              <w:t>废水排放量</w:t>
            </w:r>
            <w:r>
              <w:rPr>
                <w:rFonts w:hint="default"/>
              </w:rPr>
              <w:t>Q/</w:t>
            </w:r>
            <w:r>
              <w:rPr>
                <w:rFonts w:hint="eastAsia"/>
              </w:rPr>
              <w:t>（</w:t>
            </w:r>
            <w:r>
              <w:rPr>
                <w:rFonts w:hint="default"/>
              </w:rPr>
              <w:t>m</w:t>
            </w:r>
            <w:r>
              <w:rPr>
                <w:rFonts w:hint="default"/>
                <w:vertAlign w:val="superscript"/>
              </w:rPr>
              <w:t>3</w:t>
            </w:r>
            <w:r>
              <w:rPr>
                <w:rFonts w:hint="default"/>
              </w:rPr>
              <w:t>/d</w:t>
            </w:r>
            <w:r>
              <w:rPr>
                <w:rFonts w:hint="eastAsia"/>
              </w:rPr>
              <w:t>）；水污染物当量数</w:t>
            </w:r>
            <w:r>
              <w:rPr>
                <w:rFonts w:hint="default"/>
              </w:rPr>
              <w:t>W/</w:t>
            </w:r>
            <w:r>
              <w:rPr>
                <w:rFonts w:hint="eastAsia"/>
              </w:rPr>
              <w:t>（无量纲）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一级</w:t>
            </w:r>
          </w:p>
        </w:tc>
        <w:tc>
          <w:tcPr>
            <w:tcW w:w="18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直接排放</w:t>
            </w:r>
          </w:p>
        </w:tc>
        <w:tc>
          <w:tcPr>
            <w:tcW w:w="5762" w:type="dxa"/>
            <w:tcBorders>
              <w:tl2br w:val="nil"/>
              <w:tr2bl w:val="nil"/>
            </w:tcBorders>
            <w:vAlign w:val="center"/>
          </w:tcPr>
          <w:p>
            <w:pPr>
              <w:pStyle w:val="30"/>
              <w:widowControl w:val="0"/>
              <w:jc w:val="center"/>
              <w:rPr>
                <w:rFonts w:hint="eastAsia"/>
                <w:vertAlign w:val="baseline"/>
                <w:lang w:val="en-US" w:eastAsia="zh-CN"/>
              </w:rPr>
            </w:pPr>
            <w:r>
              <w:rPr>
                <w:rFonts w:hint="default" w:ascii="Times New Roman" w:hAnsi="Times New Roman" w:eastAsia="Times New Roman"/>
                <w:sz w:val="22"/>
                <w:szCs w:val="24"/>
              </w:rPr>
              <w:t>Q</w:t>
            </w:r>
            <w:r>
              <w:rPr>
                <w:rFonts w:hint="eastAsia" w:ascii="宋体" w:hAnsi="宋体" w:eastAsia="宋体"/>
                <w:sz w:val="22"/>
                <w:szCs w:val="24"/>
              </w:rPr>
              <w:t>≥</w:t>
            </w:r>
            <w:r>
              <w:rPr>
                <w:rFonts w:hint="default" w:ascii="Times New Roman" w:hAnsi="Times New Roman" w:eastAsia="Times New Roman"/>
                <w:sz w:val="22"/>
                <w:szCs w:val="24"/>
              </w:rPr>
              <w:t>20000</w:t>
            </w:r>
            <w:r>
              <w:rPr>
                <w:rFonts w:hint="eastAsia" w:ascii="宋体" w:hAnsi="宋体" w:eastAsia="宋体"/>
                <w:sz w:val="22"/>
                <w:szCs w:val="24"/>
              </w:rPr>
              <w:t>或</w:t>
            </w:r>
            <w:r>
              <w:rPr>
                <w:rFonts w:hint="default" w:ascii="Times New Roman" w:hAnsi="Times New Roman" w:eastAsia="Times New Roman"/>
                <w:sz w:val="22"/>
                <w:szCs w:val="24"/>
              </w:rPr>
              <w:t>W</w:t>
            </w:r>
            <w:r>
              <w:rPr>
                <w:rFonts w:hint="eastAsia" w:ascii="宋体" w:hAnsi="宋体" w:eastAsia="宋体"/>
                <w:sz w:val="22"/>
                <w:szCs w:val="24"/>
              </w:rPr>
              <w:t>≥</w:t>
            </w:r>
            <w:r>
              <w:rPr>
                <w:rFonts w:hint="default" w:ascii="Times New Roman" w:hAnsi="Times New Roman" w:eastAsia="Times New Roman"/>
                <w:sz w:val="22"/>
                <w:szCs w:val="24"/>
              </w:rPr>
              <w:t>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0" w:type="dxa"/>
            <w:tcBorders>
              <w:tl2br w:val="nil"/>
              <w:tr2bl w:val="nil"/>
            </w:tcBorders>
            <w:vAlign w:val="center"/>
          </w:tcPr>
          <w:p>
            <w:pPr>
              <w:pStyle w:val="30"/>
              <w:widowControl w:val="0"/>
              <w:jc w:val="center"/>
              <w:rPr>
                <w:rFonts w:hint="default"/>
                <w:b w:val="0"/>
                <w:bCs w:val="0"/>
                <w:vertAlign w:val="baseline"/>
                <w:lang w:val="en-US" w:eastAsia="zh-CN"/>
              </w:rPr>
            </w:pPr>
            <w:r>
              <w:rPr>
                <w:rFonts w:hint="eastAsia"/>
                <w:b w:val="0"/>
                <w:bCs w:val="0"/>
                <w:vertAlign w:val="baseline"/>
                <w:lang w:val="en-US" w:eastAsia="zh-CN"/>
              </w:rPr>
              <w:t>二级</w:t>
            </w:r>
          </w:p>
        </w:tc>
        <w:tc>
          <w:tcPr>
            <w:tcW w:w="1890" w:type="dxa"/>
            <w:tcBorders>
              <w:tl2br w:val="nil"/>
              <w:tr2bl w:val="nil"/>
            </w:tcBorders>
            <w:vAlign w:val="center"/>
          </w:tcPr>
          <w:p>
            <w:pPr>
              <w:pStyle w:val="30"/>
              <w:widowControl w:val="0"/>
              <w:ind w:firstLine="0" w:firstLineChars="0"/>
              <w:jc w:val="center"/>
              <w:rPr>
                <w:rFonts w:hint="eastAsia"/>
                <w:b w:val="0"/>
                <w:bCs w:val="0"/>
                <w:vertAlign w:val="baseline"/>
                <w:lang w:val="en-US" w:eastAsia="zh-CN"/>
              </w:rPr>
            </w:pPr>
            <w:r>
              <w:rPr>
                <w:rFonts w:hint="eastAsia"/>
                <w:b w:val="0"/>
                <w:bCs w:val="0"/>
                <w:vertAlign w:val="baseline"/>
                <w:lang w:val="en-US" w:eastAsia="zh-CN"/>
              </w:rPr>
              <w:t>直接排放</w:t>
            </w:r>
          </w:p>
        </w:tc>
        <w:tc>
          <w:tcPr>
            <w:tcW w:w="5762" w:type="dxa"/>
            <w:tcBorders>
              <w:tl2br w:val="nil"/>
              <w:tr2bl w:val="nil"/>
            </w:tcBorders>
            <w:vAlign w:val="center"/>
          </w:tcPr>
          <w:p>
            <w:pPr>
              <w:pStyle w:val="30"/>
              <w:widowControl w:val="0"/>
              <w:jc w:val="center"/>
              <w:rPr>
                <w:rFonts w:hint="eastAsia"/>
                <w:b w:val="0"/>
                <w:bCs w:val="0"/>
                <w:vertAlign w:val="baseline"/>
                <w:lang w:val="en-US" w:eastAsia="zh-CN"/>
              </w:rPr>
            </w:pPr>
            <w:r>
              <w:rPr>
                <w:rFonts w:hint="eastAsia" w:ascii="宋体" w:hAnsi="宋体" w:eastAsia="宋体"/>
                <w:b w:val="0"/>
                <w:bCs w:val="0"/>
                <w:sz w:val="22"/>
                <w:szCs w:val="24"/>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三级A</w:t>
            </w:r>
          </w:p>
        </w:tc>
        <w:tc>
          <w:tcPr>
            <w:tcW w:w="189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直接排放</w:t>
            </w:r>
          </w:p>
        </w:tc>
        <w:tc>
          <w:tcPr>
            <w:tcW w:w="5762" w:type="dxa"/>
            <w:tcBorders>
              <w:tl2br w:val="nil"/>
              <w:tr2bl w:val="nil"/>
            </w:tcBorders>
            <w:vAlign w:val="center"/>
          </w:tcPr>
          <w:p>
            <w:pPr>
              <w:pStyle w:val="30"/>
              <w:widowControl w:val="0"/>
              <w:jc w:val="center"/>
              <w:rPr>
                <w:rFonts w:hint="eastAsia"/>
                <w:vertAlign w:val="baseline"/>
                <w:lang w:val="en-US" w:eastAsia="zh-CN"/>
              </w:rPr>
            </w:pPr>
            <w:r>
              <w:rPr>
                <w:rFonts w:hint="default" w:ascii="Times New Roman" w:hAnsi="Times New Roman" w:eastAsia="Times New Roman"/>
                <w:sz w:val="22"/>
                <w:szCs w:val="24"/>
              </w:rPr>
              <w:t>Q</w:t>
            </w:r>
            <w:r>
              <w:rPr>
                <w:rFonts w:hint="eastAsia" w:ascii="宋体" w:hAnsi="宋体" w:eastAsia="宋体"/>
                <w:sz w:val="22"/>
                <w:szCs w:val="24"/>
              </w:rPr>
              <w:t>＜</w:t>
            </w:r>
            <w:r>
              <w:rPr>
                <w:rFonts w:hint="default" w:ascii="Times New Roman" w:hAnsi="Times New Roman" w:eastAsia="Times New Roman"/>
                <w:sz w:val="22"/>
                <w:szCs w:val="24"/>
              </w:rPr>
              <w:t>200</w:t>
            </w:r>
            <w:r>
              <w:rPr>
                <w:rFonts w:hint="eastAsia" w:ascii="宋体" w:hAnsi="宋体" w:eastAsia="宋体"/>
                <w:sz w:val="22"/>
                <w:szCs w:val="24"/>
              </w:rPr>
              <w:t>或</w:t>
            </w:r>
            <w:r>
              <w:rPr>
                <w:rFonts w:hint="default" w:ascii="Times New Roman" w:hAnsi="Times New Roman" w:eastAsia="Times New Roman"/>
                <w:sz w:val="22"/>
                <w:szCs w:val="24"/>
              </w:rPr>
              <w:t>W</w:t>
            </w:r>
            <w:r>
              <w:rPr>
                <w:rFonts w:hint="eastAsia" w:ascii="宋体" w:hAnsi="宋体" w:eastAsia="宋体"/>
                <w:sz w:val="22"/>
                <w:szCs w:val="24"/>
              </w:rPr>
              <w:t>＜</w:t>
            </w:r>
            <w:r>
              <w:rPr>
                <w:rFonts w:hint="default" w:ascii="Times New Roman" w:hAnsi="Times New Roman" w:eastAsia="Times New Roman"/>
                <w:sz w:val="22"/>
                <w:szCs w:val="24"/>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0" w:type="dxa"/>
            <w:tcBorders>
              <w:tl2br w:val="nil"/>
              <w:tr2bl w:val="nil"/>
            </w:tcBorders>
            <w:vAlign w:val="center"/>
          </w:tcPr>
          <w:p>
            <w:pPr>
              <w:pStyle w:val="30"/>
              <w:widowControl w:val="0"/>
              <w:jc w:val="center"/>
              <w:rPr>
                <w:rFonts w:hint="default"/>
                <w:b w:val="0"/>
                <w:bCs w:val="0"/>
                <w:vertAlign w:val="baseline"/>
                <w:lang w:val="en-US" w:eastAsia="zh-CN"/>
              </w:rPr>
            </w:pPr>
            <w:r>
              <w:rPr>
                <w:rFonts w:hint="eastAsia"/>
                <w:b w:val="0"/>
                <w:bCs w:val="0"/>
                <w:vertAlign w:val="baseline"/>
                <w:lang w:val="en-US" w:eastAsia="zh-CN"/>
              </w:rPr>
              <w:t>三级B</w:t>
            </w:r>
          </w:p>
        </w:tc>
        <w:tc>
          <w:tcPr>
            <w:tcW w:w="1890" w:type="dxa"/>
            <w:tcBorders>
              <w:tl2br w:val="nil"/>
              <w:tr2bl w:val="nil"/>
            </w:tcBorders>
            <w:vAlign w:val="center"/>
          </w:tcPr>
          <w:p>
            <w:pPr>
              <w:pStyle w:val="30"/>
              <w:widowControl w:val="0"/>
              <w:jc w:val="center"/>
              <w:rPr>
                <w:rFonts w:hint="default"/>
                <w:b w:val="0"/>
                <w:bCs w:val="0"/>
                <w:vertAlign w:val="baseline"/>
                <w:lang w:val="en-US" w:eastAsia="zh-CN"/>
              </w:rPr>
            </w:pPr>
            <w:r>
              <w:rPr>
                <w:rFonts w:hint="eastAsia"/>
                <w:b w:val="0"/>
                <w:bCs w:val="0"/>
                <w:vertAlign w:val="baseline"/>
                <w:lang w:val="en-US" w:eastAsia="zh-CN"/>
              </w:rPr>
              <w:t>间接排放</w:t>
            </w:r>
          </w:p>
        </w:tc>
        <w:tc>
          <w:tcPr>
            <w:tcW w:w="5762" w:type="dxa"/>
            <w:tcBorders>
              <w:tl2br w:val="nil"/>
              <w:tr2bl w:val="nil"/>
            </w:tcBorders>
            <w:vAlign w:val="center"/>
          </w:tcPr>
          <w:p>
            <w:pPr>
              <w:pStyle w:val="30"/>
              <w:widowControl w:val="0"/>
              <w:jc w:val="center"/>
              <w:rPr>
                <w:rFonts w:hint="eastAsia" w:eastAsia="宋体"/>
                <w:b w:val="0"/>
                <w:bCs w:val="0"/>
                <w:vertAlign w:val="baseline"/>
                <w:lang w:val="en-US" w:eastAsia="zh-CN"/>
              </w:rPr>
            </w:pPr>
            <w:r>
              <w:rPr>
                <w:rFonts w:hint="eastAsia" w:ascii="宋体" w:hAnsi="宋体"/>
                <w:b w:val="0"/>
                <w:bCs w:val="0"/>
                <w:sz w:val="22"/>
                <w:szCs w:val="24"/>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3"/>
            <w:tcBorders>
              <w:tl2br w:val="nil"/>
              <w:tr2bl w:val="nil"/>
            </w:tcBorders>
            <w:vAlign w:val="center"/>
          </w:tcPr>
          <w:p>
            <w:pPr>
              <w:pStyle w:val="30"/>
              <w:widowControl w:val="0"/>
              <w:bidi w:val="0"/>
              <w:jc w:val="left"/>
            </w:pPr>
            <w:r>
              <w:t>注1：水污染物当量数等于该污染物的年排放量除以该污染物的污染当量值，计算排放污染物的污染物当量数，应区分第一类水污染物和其他类水污染物，统计第一类污染物当量数总和，然后与其他类污染物按照污染物当量从大到小排序，取最大当量数作为建设项目评价等级确定的依据。</w:t>
            </w:r>
          </w:p>
          <w:p>
            <w:pPr>
              <w:pStyle w:val="30"/>
              <w:widowControl w:val="0"/>
              <w:bidi w:val="0"/>
              <w:jc w:val="left"/>
            </w:pPr>
            <w:r>
              <w:t>注2：废水排放量按行业排放标准中规定的废水种类统计，没有相关行业排放标准要求的通过工程分析合理确定，应统计含热量大的冷却水的排放量，可不统计间歇冷却水，循环水以及其他含污染物极少的清净下水的排放量。</w:t>
            </w:r>
          </w:p>
          <w:p>
            <w:pPr>
              <w:pStyle w:val="30"/>
              <w:widowControl w:val="0"/>
              <w:bidi w:val="0"/>
              <w:jc w:val="left"/>
            </w:pPr>
            <w:r>
              <w:t>注3：厂区存在堆积物（露天堆放的原料，燃料、废渣等以及垃圾堆放场）、降尘污染的，应将初期雨水纳入废水排放量，相应的主要污染物纳入水污染当量计算。</w:t>
            </w:r>
          </w:p>
          <w:p>
            <w:pPr>
              <w:pStyle w:val="30"/>
              <w:widowControl w:val="0"/>
              <w:bidi w:val="0"/>
              <w:jc w:val="left"/>
            </w:pPr>
            <w:r>
              <w:t>注4：建设项目直接排放第一类污染物的，其评价等级为一级；建设项目直接排放的污染物为受纳水体超标因子的，评价等级不低于二级。</w:t>
            </w:r>
          </w:p>
          <w:p>
            <w:pPr>
              <w:pStyle w:val="30"/>
              <w:widowControl w:val="0"/>
              <w:bidi w:val="0"/>
              <w:jc w:val="left"/>
            </w:pPr>
            <w:r>
              <w:t>注5：直接排放受纳水体影响范围涉及饮用水水源保护区、饮用水取水口、重点保护与珍惜水生生物的栖息地、重要水生生物的自然产卵场等保护目标时，评价等级不低于二级。</w:t>
            </w:r>
          </w:p>
          <w:p>
            <w:pPr>
              <w:pStyle w:val="30"/>
              <w:widowControl w:val="0"/>
              <w:bidi w:val="0"/>
              <w:jc w:val="left"/>
            </w:pPr>
            <w:r>
              <w:t>注6：建设项目向河流、湖库排放温排水引起收纳水体水文变化超过水环境质量标准要求，且评价范围有水温敏感目标时，评价等级为一级。</w:t>
            </w:r>
          </w:p>
          <w:p>
            <w:pPr>
              <w:pStyle w:val="30"/>
              <w:widowControl w:val="0"/>
              <w:bidi w:val="0"/>
              <w:jc w:val="left"/>
            </w:pPr>
            <w:r>
              <w:t>注7：建设项目利用海水未做调节温度介质，排水≥500万m3/d，评价等级为一级排水量﹤500万m3/d，评价等级为二级。</w:t>
            </w:r>
          </w:p>
          <w:p>
            <w:pPr>
              <w:pStyle w:val="30"/>
              <w:widowControl w:val="0"/>
              <w:bidi w:val="0"/>
              <w:jc w:val="left"/>
            </w:pPr>
            <w:r>
              <w:t>注8：仅涉及清净下水排放的，如其排水水质满足收纳水体水环境质量要求的，评价等级为三级A。</w:t>
            </w:r>
          </w:p>
          <w:p>
            <w:pPr>
              <w:pStyle w:val="30"/>
              <w:widowControl w:val="0"/>
              <w:bidi w:val="0"/>
              <w:jc w:val="left"/>
            </w:pPr>
            <w:r>
              <w:t>注9：依托现有排放口，且对外环境未新增污染物的直接排放建设项目，评价等级参照间接排放，定位三级B。</w:t>
            </w:r>
          </w:p>
          <w:p>
            <w:pPr>
              <w:pStyle w:val="30"/>
              <w:widowControl w:val="0"/>
              <w:bidi w:val="0"/>
              <w:jc w:val="left"/>
              <w:rPr>
                <w:rFonts w:hint="eastAsia" w:ascii="宋体" w:hAnsi="宋体"/>
                <w:b w:val="0"/>
                <w:bCs w:val="0"/>
                <w:szCs w:val="24"/>
                <w:lang w:eastAsia="zh-CN"/>
              </w:rPr>
            </w:pPr>
            <w:r>
              <w:rPr>
                <w:b/>
                <w:bCs/>
              </w:rPr>
              <w:t>注10：建设项目生产工艺中有废水产生，但作为回水利用，不排放到外环境的，按三级B评价。</w:t>
            </w:r>
          </w:p>
        </w:tc>
      </w:tr>
    </w:tbl>
    <w:p>
      <w:pPr>
        <w:spacing w:beforeLines="0" w:afterLines="0"/>
        <w:jc w:val="left"/>
        <w:rPr>
          <w:rFonts w:hint="eastAsia"/>
          <w:b/>
          <w:bCs/>
          <w:lang w:val="en-US" w:eastAsia="zh-CN"/>
        </w:rPr>
      </w:pPr>
      <w:r>
        <w:rPr>
          <w:rFonts w:hint="eastAsia"/>
        </w:rPr>
        <w:t>本项目投产后，本项目污废水经处理</w:t>
      </w:r>
      <w:r>
        <w:rPr>
          <w:rFonts w:hint="eastAsia"/>
          <w:lang w:val="en-US" w:eastAsia="zh-CN"/>
        </w:rPr>
        <w:t>达到</w:t>
      </w:r>
      <w:r>
        <w:rPr>
          <w:rFonts w:hint="eastAsia"/>
          <w:lang w:eastAsia="zh-CN"/>
        </w:rPr>
        <w:t>《城镇污水处理厂污染物排放标准》（GB18918-2002）</w:t>
      </w:r>
      <w:r>
        <w:rPr>
          <w:rFonts w:hint="eastAsia"/>
          <w:lang w:val="en-US" w:eastAsia="zh-CN"/>
        </w:rPr>
        <w:t>中一级A</w:t>
      </w:r>
      <w:r>
        <w:rPr>
          <w:rFonts w:hint="eastAsia"/>
        </w:rPr>
        <w:t>排放标准后</w:t>
      </w:r>
      <w:r>
        <w:rPr>
          <w:rFonts w:hint="eastAsia"/>
          <w:lang w:eastAsia="zh-CN"/>
        </w:rPr>
        <w:t>，</w:t>
      </w:r>
      <w:r>
        <w:rPr>
          <w:rFonts w:hint="eastAsia"/>
          <w:lang w:val="en-US" w:eastAsia="zh-CN"/>
        </w:rPr>
        <w:t>一部分回用于厂内进出车辆冲洗、地面冲洗以、待宰圈的冲洗和洗涤塔补水等，剩余废水用作农田灌溉，不外排</w:t>
      </w:r>
      <w:r>
        <w:rPr>
          <w:rFonts w:hint="eastAsia"/>
        </w:rPr>
        <w:t>。</w:t>
      </w:r>
      <w:r>
        <w:rPr>
          <w:kern w:val="0"/>
          <w:sz w:val="24"/>
        </w:rPr>
        <w:t>根据《环境影响评价技术导则  地表水环境》（HJ2.3-2018）中相关环境影响评价工作等级划分原则，</w:t>
      </w:r>
      <w:r>
        <w:rPr>
          <w:b/>
          <w:bCs/>
          <w:kern w:val="0"/>
          <w:sz w:val="24"/>
        </w:rPr>
        <w:t>确定本项目地表水环境评价等级为三级B，只需进行简要分析。</w:t>
      </w:r>
    </w:p>
    <w:p>
      <w:pPr>
        <w:pStyle w:val="6"/>
        <w:bidi w:val="0"/>
        <w:rPr>
          <w:rFonts w:hint="default"/>
          <w:lang w:val="en-US" w:eastAsia="zh-CN"/>
        </w:rPr>
      </w:pPr>
      <w:r>
        <w:rPr>
          <w:rFonts w:hint="eastAsia"/>
          <w:lang w:val="en-US" w:eastAsia="zh-CN"/>
        </w:rPr>
        <w:t>地下水环境</w:t>
      </w:r>
    </w:p>
    <w:p>
      <w:pPr>
        <w:spacing w:beforeLines="0" w:afterLines="0"/>
        <w:jc w:val="left"/>
        <w:rPr>
          <w:rFonts w:hint="eastAsia"/>
          <w:lang w:val="en-US" w:eastAsia="zh-CN"/>
        </w:rPr>
      </w:pPr>
      <w:r>
        <w:rPr>
          <w:rFonts w:hint="eastAsia" w:ascii="宋体" w:hAnsi="宋体" w:eastAsia="宋体"/>
          <w:sz w:val="24"/>
          <w:szCs w:val="24"/>
        </w:rPr>
        <w:t>根据《环境影响评价技术导则 地下水环境》（</w:t>
      </w:r>
      <w:r>
        <w:rPr>
          <w:rFonts w:hint="default" w:ascii="Times New Roman" w:hAnsi="Times New Roman" w:eastAsia="Times New Roman"/>
          <w:sz w:val="24"/>
          <w:szCs w:val="24"/>
        </w:rPr>
        <w:t>HJ610-2016</w:t>
      </w:r>
      <w:r>
        <w:rPr>
          <w:rFonts w:hint="eastAsia" w:ascii="宋体" w:hAnsi="宋体" w:eastAsia="宋体"/>
          <w:sz w:val="24"/>
          <w:szCs w:val="24"/>
        </w:rPr>
        <w:t>）中附录</w:t>
      </w:r>
      <w:r>
        <w:rPr>
          <w:rFonts w:hint="default" w:ascii="Times New Roman" w:hAnsi="Times New Roman" w:eastAsia="Times New Roman"/>
          <w:sz w:val="24"/>
          <w:szCs w:val="24"/>
        </w:rPr>
        <w:t>A</w:t>
      </w:r>
      <w:r>
        <w:rPr>
          <w:rFonts w:hint="eastAsia" w:ascii="宋体" w:hAnsi="宋体" w:eastAsia="宋体"/>
          <w:sz w:val="24"/>
          <w:szCs w:val="24"/>
        </w:rPr>
        <w:t>确定本项目所属地下水环境影响类别，本项目属于屠宰企业，属于地下水环境影响评价</w:t>
      </w:r>
      <w:r>
        <w:rPr>
          <w:rFonts w:hint="default" w:ascii="Times New Roman" w:hAnsi="Times New Roman" w:eastAsia="宋体" w:cs="Times New Roman"/>
          <w:sz w:val="24"/>
          <w:szCs w:val="24"/>
        </w:rPr>
        <w:t>Ⅲ</w:t>
      </w:r>
      <w:r>
        <w:rPr>
          <w:rFonts w:hint="eastAsia" w:ascii="宋体" w:hAnsi="宋体" w:eastAsia="宋体"/>
          <w:sz w:val="24"/>
          <w:szCs w:val="24"/>
        </w:rPr>
        <w:t>类项目。根据导则中表</w:t>
      </w:r>
      <w:r>
        <w:rPr>
          <w:rFonts w:hint="default" w:ascii="Times New Roman" w:hAnsi="Times New Roman" w:eastAsia="Times New Roman"/>
          <w:sz w:val="24"/>
          <w:szCs w:val="24"/>
        </w:rPr>
        <w:t>1</w:t>
      </w:r>
      <w:r>
        <w:rPr>
          <w:rFonts w:hint="eastAsia" w:ascii="宋体" w:hAnsi="宋体" w:eastAsia="宋体"/>
          <w:sz w:val="24"/>
          <w:szCs w:val="24"/>
        </w:rPr>
        <w:t>确定本项目地下水环境敏感程度，分级原则见表</w:t>
      </w:r>
      <w:r>
        <w:rPr>
          <w:rFonts w:hint="default" w:ascii="Times New Roman" w:hAnsi="Times New Roman" w:eastAsia="Times New Roman"/>
          <w:sz w:val="24"/>
          <w:szCs w:val="24"/>
        </w:rPr>
        <w:t>1.6-</w:t>
      </w:r>
      <w:r>
        <w:rPr>
          <w:rFonts w:hint="eastAsia" w:eastAsia="宋体"/>
          <w:sz w:val="24"/>
          <w:szCs w:val="24"/>
          <w:lang w:val="en-US" w:eastAsia="zh-CN"/>
        </w:rPr>
        <w:t>5</w:t>
      </w:r>
      <w:r>
        <w:rPr>
          <w:rFonts w:hint="eastAsia" w:ascii="宋体" w:hAnsi="宋体" w:eastAsia="宋体"/>
          <w:sz w:val="24"/>
          <w:szCs w:val="24"/>
        </w:rPr>
        <w:t>。</w:t>
      </w:r>
    </w:p>
    <w:p>
      <w:pPr>
        <w:pStyle w:val="29"/>
        <w:bidi w:val="0"/>
        <w:rPr>
          <w:rFonts w:hint="eastAsia"/>
          <w:lang w:val="en-US" w:eastAsia="zh-CN"/>
        </w:rPr>
      </w:pPr>
      <w:r>
        <w:rPr>
          <w:rFonts w:hint="eastAsia"/>
          <w:lang w:val="en-US" w:eastAsia="zh-CN"/>
        </w:rPr>
        <w:t>表1.6-5  地下水环境敏感程度分级表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84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敏感程度</w:t>
            </w:r>
          </w:p>
        </w:tc>
        <w:tc>
          <w:tcPr>
            <w:tcW w:w="8402"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敏感</w:t>
            </w:r>
          </w:p>
        </w:tc>
        <w:tc>
          <w:tcPr>
            <w:tcW w:w="8402" w:type="dxa"/>
            <w:tcBorders>
              <w:tl2br w:val="nil"/>
              <w:tr2bl w:val="nil"/>
            </w:tcBorders>
            <w:vAlign w:val="center"/>
          </w:tcPr>
          <w:p>
            <w:pPr>
              <w:pStyle w:val="30"/>
              <w:widowControl w:val="0"/>
              <w:bidi w:val="0"/>
              <w:rPr>
                <w:rFonts w:hint="default"/>
                <w:lang w:val="en-US" w:eastAsia="zh-CN"/>
              </w:rPr>
            </w:pPr>
            <w:r>
              <w:rPr>
                <w:rFonts w:hint="eastAsia"/>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较敏感</w:t>
            </w:r>
          </w:p>
        </w:tc>
        <w:tc>
          <w:tcPr>
            <w:tcW w:w="8402" w:type="dxa"/>
            <w:tcBorders>
              <w:tl2br w:val="nil"/>
              <w:tr2bl w:val="nil"/>
            </w:tcBorders>
            <w:vAlign w:val="center"/>
          </w:tcPr>
          <w:p>
            <w:pPr>
              <w:pStyle w:val="30"/>
              <w:widowControl w:val="0"/>
              <w:bidi w:val="0"/>
              <w:rPr>
                <w:rFonts w:hint="default"/>
                <w:lang w:val="en-US" w:eastAsia="zh-CN"/>
              </w:rPr>
            </w:pPr>
            <w:r>
              <w:rPr>
                <w:rFonts w:hint="eastAsia"/>
              </w:rPr>
              <w:t>集中式饮用水水源（包括已建成的在用、备用、应急水源，在建和规划的饮用水水源）准保护区以外的补给径流区；未划定准保护区的</w:t>
            </w:r>
            <w:r>
              <w:rPr>
                <w:rFonts w:hint="eastAsia"/>
                <w:lang w:eastAsia="zh-CN"/>
              </w:rPr>
              <w:t>集中式</w:t>
            </w:r>
            <w:r>
              <w:rPr>
                <w:rFonts w:hint="eastAsia"/>
              </w:rPr>
              <w:t>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不敏感</w:t>
            </w:r>
          </w:p>
        </w:tc>
        <w:tc>
          <w:tcPr>
            <w:tcW w:w="8402" w:type="dxa"/>
            <w:tcBorders>
              <w:tl2br w:val="nil"/>
              <w:tr2bl w:val="nil"/>
            </w:tcBorders>
            <w:vAlign w:val="center"/>
          </w:tcPr>
          <w:p>
            <w:pPr>
              <w:pStyle w:val="30"/>
              <w:widowControl w:val="0"/>
              <w:bidi w:val="0"/>
              <w:rPr>
                <w:rFonts w:hint="default"/>
                <w:lang w:val="en-US" w:eastAsia="zh-CN"/>
              </w:rPr>
            </w:pPr>
            <w:r>
              <w:rPr>
                <w:rFonts w:hint="eastAsia"/>
              </w:rPr>
              <w:t>上述地区之外的其它地区。</w:t>
            </w:r>
          </w:p>
        </w:tc>
      </w:tr>
    </w:tbl>
    <w:p>
      <w:pPr>
        <w:bidi w:val="0"/>
        <w:rPr>
          <w:rFonts w:hint="default"/>
          <w:lang w:val="en-US" w:eastAsia="zh-CN"/>
        </w:rPr>
      </w:pPr>
      <w:r>
        <w:rPr>
          <w:rFonts w:hint="eastAsia"/>
        </w:rPr>
        <w:t>本项目所在地为</w:t>
      </w:r>
      <w:r>
        <w:rPr>
          <w:rFonts w:hint="eastAsia"/>
          <w:lang w:val="en-US" w:eastAsia="zh-CN"/>
        </w:rPr>
        <w:t>平昌县响滩镇</w:t>
      </w:r>
      <w:r>
        <w:rPr>
          <w:rFonts w:hint="eastAsia"/>
        </w:rPr>
        <w:t>，周边村民</w:t>
      </w:r>
      <w:r>
        <w:rPr>
          <w:rFonts w:hint="eastAsia"/>
          <w:lang w:val="en-US" w:eastAsia="zh-CN"/>
        </w:rPr>
        <w:t>均接有自来水</w:t>
      </w:r>
      <w:r>
        <w:rPr>
          <w:rFonts w:hint="eastAsia"/>
        </w:rPr>
        <w:t>，</w:t>
      </w:r>
      <w:r>
        <w:rPr>
          <w:rFonts w:hint="eastAsia"/>
          <w:lang w:val="en-US" w:eastAsia="zh-CN"/>
        </w:rPr>
        <w:t>但存在少数居民使用水井水源生活，</w:t>
      </w:r>
      <w:r>
        <w:rPr>
          <w:rFonts w:hint="eastAsia"/>
        </w:rPr>
        <w:t>因此其地下水环境敏感特征为</w:t>
      </w:r>
      <w:r>
        <w:rPr>
          <w:rFonts w:hint="eastAsia"/>
          <w:lang w:val="en-US" w:eastAsia="zh-CN"/>
        </w:rPr>
        <w:t>较敏感</w:t>
      </w:r>
      <w:r>
        <w:rPr>
          <w:rFonts w:hint="eastAsia"/>
        </w:rPr>
        <w:t>。根据导则中的评价工作等级划分，具体见下表。</w:t>
      </w:r>
    </w:p>
    <w:p>
      <w:pPr>
        <w:pStyle w:val="29"/>
        <w:bidi w:val="0"/>
        <w:rPr>
          <w:rFonts w:hint="eastAsia"/>
        </w:rPr>
      </w:pPr>
      <w:r>
        <w:rPr>
          <w:rFonts w:hint="eastAsia"/>
        </w:rPr>
        <w:t>表</w:t>
      </w:r>
      <w:r>
        <w:rPr>
          <w:rFonts w:hint="default"/>
        </w:rPr>
        <w:t>1.6-</w:t>
      </w:r>
      <w:r>
        <w:rPr>
          <w:rFonts w:hint="eastAsia"/>
          <w:lang w:val="en-US" w:eastAsia="zh-CN"/>
        </w:rPr>
        <w:t>6</w:t>
      </w:r>
      <w:r>
        <w:rPr>
          <w:rFonts w:hint="default"/>
        </w:rPr>
        <w:t xml:space="preserve"> </w:t>
      </w:r>
      <w:r>
        <w:rPr>
          <w:rFonts w:hint="eastAsia"/>
          <w:lang w:val="en-US" w:eastAsia="zh-CN"/>
        </w:rPr>
        <w:t xml:space="preserve"> </w:t>
      </w:r>
      <w:r>
        <w:rPr>
          <w:rFonts w:hint="eastAsia"/>
        </w:rPr>
        <w:t>地下水环境影响评价等级划分一览表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405"/>
        <w:gridCol w:w="2406"/>
        <w:gridCol w:w="2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环境敏感程度</w:t>
            </w:r>
          </w:p>
        </w:tc>
        <w:tc>
          <w:tcPr>
            <w:tcW w:w="2405" w:type="dxa"/>
            <w:tcBorders>
              <w:tl2br w:val="nil"/>
              <w:tr2bl w:val="nil"/>
            </w:tcBorders>
            <w:vAlign w:val="center"/>
          </w:tcPr>
          <w:p>
            <w:pPr>
              <w:pStyle w:val="30"/>
              <w:widowControl w:val="0"/>
              <w:jc w:val="center"/>
              <w:rPr>
                <w:rFonts w:hint="default"/>
                <w:b/>
                <w:bCs/>
                <w:vertAlign w:val="baseline"/>
                <w:lang w:val="en-US" w:eastAsia="zh-CN"/>
              </w:rPr>
            </w:pPr>
            <w:r>
              <w:rPr>
                <w:rFonts w:hint="default"/>
                <w:b/>
                <w:bCs/>
                <w:vertAlign w:val="baseline"/>
                <w:lang w:val="en-US" w:eastAsia="zh-CN"/>
              </w:rPr>
              <w:t>Ⅰ</w:t>
            </w:r>
            <w:r>
              <w:rPr>
                <w:rFonts w:hint="eastAsia"/>
                <w:b/>
                <w:bCs/>
                <w:vertAlign w:val="baseline"/>
                <w:lang w:val="en-US" w:eastAsia="zh-CN"/>
              </w:rPr>
              <w:t>类项目</w:t>
            </w:r>
          </w:p>
        </w:tc>
        <w:tc>
          <w:tcPr>
            <w:tcW w:w="2406" w:type="dxa"/>
            <w:tcBorders>
              <w:tl2br w:val="nil"/>
              <w:tr2bl w:val="nil"/>
            </w:tcBorders>
            <w:vAlign w:val="center"/>
          </w:tcPr>
          <w:p>
            <w:pPr>
              <w:pStyle w:val="30"/>
              <w:widowControl w:val="0"/>
              <w:jc w:val="center"/>
              <w:rPr>
                <w:rFonts w:hint="default"/>
                <w:b/>
                <w:bCs/>
                <w:vertAlign w:val="baseline"/>
                <w:lang w:val="en-US" w:eastAsia="zh-CN"/>
              </w:rPr>
            </w:pPr>
            <w:r>
              <w:rPr>
                <w:rFonts w:hint="default"/>
                <w:b/>
                <w:bCs/>
                <w:vertAlign w:val="baseline"/>
                <w:lang w:val="en-US" w:eastAsia="zh-CN"/>
              </w:rPr>
              <w:t>Ⅱ</w:t>
            </w:r>
            <w:r>
              <w:rPr>
                <w:rFonts w:hint="eastAsia"/>
                <w:b/>
                <w:bCs/>
                <w:vertAlign w:val="baseline"/>
                <w:lang w:val="en-US" w:eastAsia="zh-CN"/>
              </w:rPr>
              <w:t>项目</w:t>
            </w:r>
          </w:p>
        </w:tc>
        <w:tc>
          <w:tcPr>
            <w:tcW w:w="2406" w:type="dxa"/>
            <w:tcBorders>
              <w:tl2br w:val="nil"/>
              <w:tr2bl w:val="nil"/>
            </w:tcBorders>
            <w:vAlign w:val="center"/>
          </w:tcPr>
          <w:p>
            <w:pPr>
              <w:pStyle w:val="30"/>
              <w:widowControl w:val="0"/>
              <w:jc w:val="center"/>
              <w:rPr>
                <w:rFonts w:hint="default"/>
                <w:b/>
                <w:bCs/>
                <w:vertAlign w:val="baseline"/>
                <w:lang w:val="en-US" w:eastAsia="zh-CN"/>
              </w:rPr>
            </w:pPr>
            <w:r>
              <w:rPr>
                <w:rFonts w:hint="default"/>
                <w:b/>
                <w:bCs/>
                <w:vertAlign w:val="baseline"/>
                <w:lang w:val="en-US" w:eastAsia="zh-CN"/>
              </w:rPr>
              <w:t>Ⅲ</w:t>
            </w:r>
            <w:r>
              <w:rPr>
                <w:rFonts w:hint="eastAsia"/>
                <w:b/>
                <w:bCs/>
                <w:vertAlign w:val="baseline"/>
                <w:lang w:val="en-US" w:eastAsia="zh-CN"/>
              </w:rPr>
              <w:t>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敏感</w:t>
            </w:r>
          </w:p>
        </w:tc>
        <w:tc>
          <w:tcPr>
            <w:tcW w:w="240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一</w:t>
            </w:r>
          </w:p>
        </w:tc>
        <w:tc>
          <w:tcPr>
            <w:tcW w:w="2406"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一</w:t>
            </w:r>
          </w:p>
        </w:tc>
        <w:tc>
          <w:tcPr>
            <w:tcW w:w="2406"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较敏感</w:t>
            </w:r>
          </w:p>
        </w:tc>
        <w:tc>
          <w:tcPr>
            <w:tcW w:w="240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一</w:t>
            </w:r>
          </w:p>
        </w:tc>
        <w:tc>
          <w:tcPr>
            <w:tcW w:w="2406"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二</w:t>
            </w:r>
          </w:p>
        </w:tc>
        <w:tc>
          <w:tcPr>
            <w:tcW w:w="2406" w:type="dxa"/>
            <w:tcBorders>
              <w:tl2br w:val="nil"/>
              <w:tr2bl w:val="nil"/>
            </w:tcBorders>
            <w:shd w:val="clear" w:color="auto" w:fill="BEBEBE" w:themeFill="background1" w:themeFillShade="BF"/>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不敏感</w:t>
            </w:r>
          </w:p>
        </w:tc>
        <w:tc>
          <w:tcPr>
            <w:tcW w:w="240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二</w:t>
            </w:r>
          </w:p>
        </w:tc>
        <w:tc>
          <w:tcPr>
            <w:tcW w:w="240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三</w:t>
            </w:r>
          </w:p>
        </w:tc>
        <w:tc>
          <w:tcPr>
            <w:tcW w:w="2406" w:type="dxa"/>
            <w:tcBorders>
              <w:tl2br w:val="nil"/>
              <w:tr2bl w:val="nil"/>
            </w:tcBorders>
            <w:shd w:val="clear" w:color="auto" w:fill="auto"/>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三</w:t>
            </w:r>
          </w:p>
        </w:tc>
      </w:tr>
    </w:tbl>
    <w:p>
      <w:pPr>
        <w:bidi w:val="0"/>
        <w:rPr>
          <w:rFonts w:hint="default"/>
          <w:lang w:val="en-US" w:eastAsia="zh-CN"/>
        </w:rPr>
      </w:pPr>
      <w:r>
        <w:rPr>
          <w:rFonts w:hint="eastAsia"/>
        </w:rPr>
        <w:t>综上所述，本项目属于</w:t>
      </w:r>
      <w:r>
        <w:rPr>
          <w:rFonts w:hint="default" w:ascii="Times New Roman" w:hAnsi="Times New Roman" w:cs="Times New Roman"/>
        </w:rPr>
        <w:t>Ⅲ</w:t>
      </w:r>
      <w:r>
        <w:rPr>
          <w:rFonts w:hint="eastAsia"/>
        </w:rPr>
        <w:t>类项目，确定本项目地下水评价等级为三级。</w:t>
      </w:r>
    </w:p>
    <w:p>
      <w:pPr>
        <w:pStyle w:val="6"/>
        <w:bidi w:val="0"/>
        <w:rPr>
          <w:rFonts w:hint="default"/>
          <w:lang w:val="en-US" w:eastAsia="zh-CN"/>
        </w:rPr>
      </w:pPr>
      <w:r>
        <w:rPr>
          <w:rFonts w:hint="eastAsia"/>
          <w:lang w:val="en-US" w:eastAsia="zh-CN"/>
        </w:rPr>
        <w:t>声环境</w:t>
      </w:r>
    </w:p>
    <w:p>
      <w:pPr>
        <w:bidi w:val="0"/>
        <w:rPr>
          <w:rFonts w:hint="eastAsia"/>
          <w:lang w:val="en-US" w:eastAsia="zh-CN"/>
        </w:rPr>
      </w:pPr>
      <w:r>
        <w:rPr>
          <w:rFonts w:hint="eastAsia"/>
        </w:rPr>
        <w:t>本项目选址于</w:t>
      </w:r>
      <w:r>
        <w:rPr>
          <w:rFonts w:hint="eastAsia"/>
          <w:lang w:val="en-US" w:eastAsia="zh-CN"/>
        </w:rPr>
        <w:t>平昌县响滩镇</w:t>
      </w:r>
      <w:r>
        <w:rPr>
          <w:rFonts w:hint="eastAsia"/>
        </w:rPr>
        <w:t>，为《声环境质量标准》（</w:t>
      </w:r>
      <w:r>
        <w:rPr>
          <w:rFonts w:hint="default"/>
        </w:rPr>
        <w:t>GB3096-2008</w:t>
      </w:r>
      <w:r>
        <w:rPr>
          <w:rFonts w:hint="eastAsia"/>
        </w:rPr>
        <w:t>）规定的</w:t>
      </w:r>
      <w:r>
        <w:rPr>
          <w:rFonts w:hint="default"/>
        </w:rPr>
        <w:t>2</w:t>
      </w:r>
      <w:r>
        <w:rPr>
          <w:rFonts w:hint="eastAsia"/>
        </w:rPr>
        <w:t>类声环境功能区，项目建成后评价范围内受影响人口数量不增加，敏感目标噪声级增加量低于</w:t>
      </w:r>
      <w:r>
        <w:rPr>
          <w:rFonts w:hint="default"/>
        </w:rPr>
        <w:t>5dB</w:t>
      </w:r>
      <w:r>
        <w:rPr>
          <w:rFonts w:hint="eastAsia"/>
          <w:lang w:eastAsia="zh-CN"/>
        </w:rPr>
        <w:t>（</w:t>
      </w:r>
      <w:r>
        <w:rPr>
          <w:rFonts w:hint="default"/>
        </w:rPr>
        <w:t>A</w:t>
      </w:r>
      <w:r>
        <w:rPr>
          <w:rFonts w:hint="eastAsia"/>
          <w:lang w:eastAsia="zh-CN"/>
        </w:rPr>
        <w:t>）</w:t>
      </w:r>
      <w:r>
        <w:rPr>
          <w:rFonts w:hint="eastAsia"/>
        </w:rPr>
        <w:t>，依据《环境影响评价技术导则－声环境》（</w:t>
      </w:r>
      <w:r>
        <w:rPr>
          <w:rFonts w:hint="default"/>
        </w:rPr>
        <w:t>HJ2.4-2009</w:t>
      </w:r>
      <w:r>
        <w:rPr>
          <w:rFonts w:hint="eastAsia"/>
        </w:rPr>
        <w:t>）中评价工作等级划分基本原则的规定，本项目噪声评价工作等级为二级。</w:t>
      </w:r>
    </w:p>
    <w:p>
      <w:pPr>
        <w:pStyle w:val="6"/>
        <w:bidi w:val="0"/>
        <w:rPr>
          <w:rFonts w:hint="default"/>
          <w:lang w:val="en-US" w:eastAsia="zh-CN"/>
        </w:rPr>
      </w:pPr>
      <w:r>
        <w:rPr>
          <w:rFonts w:hint="eastAsia"/>
          <w:lang w:val="en-US" w:eastAsia="zh-CN"/>
        </w:rPr>
        <w:t>生态环境</w:t>
      </w:r>
    </w:p>
    <w:p>
      <w:pPr>
        <w:bidi w:val="0"/>
        <w:rPr>
          <w:rFonts w:hint="eastAsia"/>
          <w:lang w:val="en-US" w:eastAsia="zh-CN"/>
        </w:rPr>
      </w:pPr>
      <w:r>
        <w:rPr>
          <w:rFonts w:hint="eastAsia"/>
        </w:rPr>
        <w:t>本项目总占地</w:t>
      </w:r>
      <w:r>
        <w:rPr>
          <w:rFonts w:hint="default"/>
        </w:rPr>
        <w:t>0.026km</w:t>
      </w:r>
      <w:r>
        <w:rPr>
          <w:rFonts w:hint="default"/>
          <w:vertAlign w:val="superscript"/>
        </w:rPr>
        <w:t>2</w:t>
      </w:r>
      <w:r>
        <w:rPr>
          <w:rFonts w:hint="default"/>
        </w:rPr>
        <w:t>&lt;2km</w:t>
      </w:r>
      <w:r>
        <w:rPr>
          <w:rFonts w:hint="default"/>
          <w:vertAlign w:val="superscript"/>
        </w:rPr>
        <w:t>2</w:t>
      </w:r>
      <w:r>
        <w:rPr>
          <w:rFonts w:hint="eastAsia"/>
        </w:rPr>
        <w:t>，所在地周边无自然保护区、文物古迹、风景名胜区等特殊或重要生态敏感区，属于一般区域。依据《环境影响评价技术导则</w:t>
      </w:r>
      <w:r>
        <w:rPr>
          <w:rFonts w:hint="eastAsia"/>
          <w:lang w:eastAsia="zh-CN"/>
        </w:rPr>
        <w:t>－</w:t>
      </w:r>
      <w:r>
        <w:rPr>
          <w:rFonts w:hint="eastAsia"/>
        </w:rPr>
        <w:t>生态影响》（</w:t>
      </w:r>
      <w:r>
        <w:rPr>
          <w:rFonts w:hint="default"/>
        </w:rPr>
        <w:t>HJ19-2011</w:t>
      </w:r>
      <w:r>
        <w:rPr>
          <w:rFonts w:hint="eastAsia"/>
        </w:rPr>
        <w:t>），确定本工程生态评价等级定为三级，生态影响评价工作等级划分标准见表</w:t>
      </w:r>
      <w:r>
        <w:rPr>
          <w:rFonts w:hint="default"/>
        </w:rPr>
        <w:t>1.6-6</w:t>
      </w:r>
      <w:r>
        <w:rPr>
          <w:rFonts w:hint="eastAsia"/>
        </w:rPr>
        <w:t>。</w:t>
      </w:r>
    </w:p>
    <w:p>
      <w:pPr>
        <w:pStyle w:val="29"/>
        <w:bidi w:val="0"/>
        <w:rPr>
          <w:rFonts w:hint="eastAsia"/>
        </w:rPr>
      </w:pPr>
      <w:r>
        <w:rPr>
          <w:rFonts w:hint="eastAsia"/>
        </w:rPr>
        <w:t>表</w:t>
      </w:r>
      <w:r>
        <w:rPr>
          <w:rFonts w:hint="default"/>
        </w:rPr>
        <w:t>1.6-</w:t>
      </w:r>
      <w:r>
        <w:rPr>
          <w:rFonts w:hint="eastAsia"/>
          <w:lang w:val="en-US" w:eastAsia="zh-CN"/>
        </w:rPr>
        <w:t>7</w:t>
      </w:r>
      <w:r>
        <w:rPr>
          <w:rFonts w:hint="default"/>
        </w:rPr>
        <w:t xml:space="preserve"> </w:t>
      </w:r>
      <w:r>
        <w:rPr>
          <w:rFonts w:hint="eastAsia"/>
          <w:lang w:val="en-US" w:eastAsia="zh-CN"/>
        </w:rPr>
        <w:t xml:space="preserve"> </w:t>
      </w:r>
      <w:r>
        <w:rPr>
          <w:rFonts w:hint="eastAsia"/>
        </w:rPr>
        <w:t>生态影响评价工作等级划分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80"/>
        <w:gridCol w:w="2180"/>
        <w:gridCol w:w="2180"/>
        <w:gridCol w:w="21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0" w:type="dxa"/>
            <w:tcBorders>
              <w:tl2br w:val="single" w:color="auto" w:sz="2" w:space="0"/>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 xml:space="preserve">                   工程占地</w:t>
            </w:r>
          </w:p>
          <w:p>
            <w:pPr>
              <w:pStyle w:val="30"/>
              <w:widowControl w:val="0"/>
              <w:jc w:val="both"/>
              <w:rPr>
                <w:rFonts w:hint="default"/>
                <w:b/>
                <w:bCs/>
                <w:vertAlign w:val="baseline"/>
                <w:lang w:val="en-US" w:eastAsia="zh-CN"/>
              </w:rPr>
            </w:pPr>
            <w:r>
              <w:rPr>
                <w:rFonts w:hint="eastAsia"/>
                <w:b/>
                <w:bCs/>
                <w:vertAlign w:val="baseline"/>
                <w:lang w:val="en-US" w:eastAsia="zh-CN"/>
              </w:rPr>
              <w:t>影响区域生态敏感性</w:t>
            </w:r>
          </w:p>
        </w:tc>
        <w:tc>
          <w:tcPr>
            <w:tcW w:w="2180" w:type="dxa"/>
            <w:tcBorders>
              <w:tl2br w:val="nil"/>
              <w:tr2bl w:val="nil"/>
            </w:tcBorders>
            <w:vAlign w:val="center"/>
          </w:tcPr>
          <w:p>
            <w:pPr>
              <w:pStyle w:val="30"/>
              <w:widowControl w:val="0"/>
              <w:bidi w:val="0"/>
              <w:jc w:val="center"/>
              <w:rPr>
                <w:rFonts w:hint="eastAsia"/>
                <w:b/>
                <w:bCs/>
                <w:lang w:val="en-US" w:eastAsia="zh-CN"/>
              </w:rPr>
            </w:pPr>
            <w:r>
              <w:rPr>
                <w:rFonts w:hint="eastAsia"/>
                <w:b/>
                <w:bCs/>
              </w:rPr>
              <w:t>面积≥</w:t>
            </w:r>
            <w:r>
              <w:rPr>
                <w:rFonts w:hint="default"/>
                <w:b/>
                <w:bCs/>
              </w:rPr>
              <w:t>20km</w:t>
            </w:r>
            <w:r>
              <w:rPr>
                <w:rFonts w:hint="default"/>
                <w:b/>
                <w:bCs/>
                <w:vertAlign w:val="superscript"/>
              </w:rPr>
              <w:t>2</w:t>
            </w:r>
            <w:r>
              <w:rPr>
                <w:rFonts w:hint="eastAsia"/>
                <w:b/>
                <w:bCs/>
              </w:rPr>
              <w:t>或长度≥</w:t>
            </w:r>
            <w:r>
              <w:rPr>
                <w:rFonts w:hint="default"/>
                <w:b/>
                <w:bCs/>
              </w:rPr>
              <w:t>100km</w:t>
            </w:r>
          </w:p>
        </w:tc>
        <w:tc>
          <w:tcPr>
            <w:tcW w:w="2180" w:type="dxa"/>
            <w:tcBorders>
              <w:tl2br w:val="nil"/>
              <w:tr2bl w:val="nil"/>
            </w:tcBorders>
            <w:vAlign w:val="center"/>
          </w:tcPr>
          <w:p>
            <w:pPr>
              <w:pStyle w:val="30"/>
              <w:widowControl w:val="0"/>
              <w:bidi w:val="0"/>
              <w:jc w:val="center"/>
              <w:rPr>
                <w:rFonts w:hint="eastAsia"/>
                <w:b/>
                <w:bCs/>
                <w:lang w:val="en-US" w:eastAsia="zh-CN"/>
              </w:rPr>
            </w:pPr>
            <w:r>
              <w:rPr>
                <w:rFonts w:hint="eastAsia"/>
                <w:b/>
                <w:bCs/>
              </w:rPr>
              <w:t>面积</w:t>
            </w:r>
            <w:r>
              <w:rPr>
                <w:rFonts w:hint="default"/>
                <w:b/>
                <w:bCs/>
              </w:rPr>
              <w:t>2-20km</w:t>
            </w:r>
            <w:r>
              <w:rPr>
                <w:rFonts w:hint="default"/>
                <w:b/>
                <w:bCs/>
                <w:vertAlign w:val="superscript"/>
              </w:rPr>
              <w:t>2</w:t>
            </w:r>
            <w:r>
              <w:rPr>
                <w:rFonts w:hint="eastAsia"/>
                <w:b/>
                <w:bCs/>
              </w:rPr>
              <w:t>或长度</w:t>
            </w:r>
            <w:r>
              <w:rPr>
                <w:rFonts w:hint="default"/>
                <w:b/>
                <w:bCs/>
              </w:rPr>
              <w:t>50-100km</w:t>
            </w:r>
          </w:p>
        </w:tc>
        <w:tc>
          <w:tcPr>
            <w:tcW w:w="2182" w:type="dxa"/>
            <w:tcBorders>
              <w:tl2br w:val="nil"/>
              <w:tr2bl w:val="nil"/>
            </w:tcBorders>
            <w:vAlign w:val="center"/>
          </w:tcPr>
          <w:p>
            <w:pPr>
              <w:pStyle w:val="30"/>
              <w:widowControl w:val="0"/>
              <w:bidi w:val="0"/>
              <w:jc w:val="center"/>
              <w:rPr>
                <w:rFonts w:hint="eastAsia"/>
                <w:b/>
                <w:bCs/>
                <w:lang w:val="en-US" w:eastAsia="zh-CN"/>
              </w:rPr>
            </w:pPr>
            <w:r>
              <w:rPr>
                <w:rFonts w:hint="eastAsia"/>
                <w:b/>
                <w:bCs/>
              </w:rPr>
              <w:t>面积≤</w:t>
            </w:r>
            <w:r>
              <w:rPr>
                <w:rFonts w:hint="default"/>
                <w:b/>
                <w:bCs/>
              </w:rPr>
              <w:t>2km</w:t>
            </w:r>
            <w:r>
              <w:rPr>
                <w:rFonts w:hint="eastAsia"/>
                <w:b/>
                <w:bCs/>
              </w:rPr>
              <w:t>或长度≤</w:t>
            </w:r>
            <w:r>
              <w:rPr>
                <w:rFonts w:hint="default"/>
                <w:b/>
                <w:bCs/>
              </w:rPr>
              <w:t>50km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特殊生态敏感区</w:t>
            </w:r>
          </w:p>
        </w:tc>
        <w:tc>
          <w:tcPr>
            <w:tcW w:w="218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一级</w:t>
            </w:r>
          </w:p>
        </w:tc>
        <w:tc>
          <w:tcPr>
            <w:tcW w:w="218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二级</w:t>
            </w:r>
          </w:p>
        </w:tc>
        <w:tc>
          <w:tcPr>
            <w:tcW w:w="218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一级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重要生态敏感区</w:t>
            </w:r>
          </w:p>
        </w:tc>
        <w:tc>
          <w:tcPr>
            <w:tcW w:w="218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一级</w:t>
            </w:r>
          </w:p>
        </w:tc>
        <w:tc>
          <w:tcPr>
            <w:tcW w:w="218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二级</w:t>
            </w:r>
          </w:p>
        </w:tc>
        <w:tc>
          <w:tcPr>
            <w:tcW w:w="218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一般区域</w:t>
            </w:r>
          </w:p>
        </w:tc>
        <w:tc>
          <w:tcPr>
            <w:tcW w:w="218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二级</w:t>
            </w:r>
          </w:p>
        </w:tc>
        <w:tc>
          <w:tcPr>
            <w:tcW w:w="218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三级</w:t>
            </w:r>
          </w:p>
        </w:tc>
        <w:tc>
          <w:tcPr>
            <w:tcW w:w="2182" w:type="dxa"/>
            <w:tcBorders>
              <w:tl2br w:val="nil"/>
              <w:tr2bl w:val="nil"/>
            </w:tcBorders>
            <w:shd w:val="clear" w:color="auto" w:fill="BEBEBE" w:themeFill="background1" w:themeFillShade="BF"/>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三级</w:t>
            </w:r>
          </w:p>
        </w:tc>
      </w:tr>
    </w:tbl>
    <w:p>
      <w:pPr>
        <w:pStyle w:val="6"/>
        <w:bidi w:val="0"/>
        <w:rPr>
          <w:rFonts w:hint="eastAsia"/>
        </w:rPr>
      </w:pPr>
      <w:r>
        <w:rPr>
          <w:rFonts w:hint="eastAsia"/>
        </w:rPr>
        <w:t>环境风险</w:t>
      </w:r>
    </w:p>
    <w:p>
      <w:pPr>
        <w:spacing w:beforeLines="0" w:afterLines="0"/>
        <w:jc w:val="left"/>
        <w:rPr>
          <w:rFonts w:hint="default" w:eastAsia="宋体"/>
          <w:lang w:val="en-US" w:eastAsia="zh-CN"/>
        </w:rPr>
      </w:pPr>
      <w:r>
        <w:rPr>
          <w:rFonts w:hint="eastAsia" w:ascii="宋体" w:hAnsi="宋体" w:eastAsia="宋体"/>
          <w:sz w:val="24"/>
          <w:szCs w:val="24"/>
        </w:rPr>
        <w:t>根据《建设项目环境风险评价技术导则》（</w:t>
      </w:r>
      <w:r>
        <w:rPr>
          <w:rFonts w:hint="default" w:ascii="Times New Roman" w:hAnsi="Times New Roman" w:eastAsia="Times New Roman"/>
          <w:sz w:val="24"/>
          <w:szCs w:val="24"/>
        </w:rPr>
        <w:t>HJ169</w:t>
      </w:r>
      <w:r>
        <w:rPr>
          <w:rFonts w:hint="eastAsia" w:ascii="宋体" w:hAnsi="宋体" w:eastAsia="宋体"/>
          <w:sz w:val="24"/>
          <w:szCs w:val="24"/>
        </w:rPr>
        <w:t>—</w:t>
      </w:r>
      <w:r>
        <w:rPr>
          <w:rFonts w:hint="default" w:ascii="Times New Roman" w:hAnsi="Times New Roman" w:eastAsia="Times New Roman"/>
          <w:sz w:val="24"/>
          <w:szCs w:val="24"/>
        </w:rPr>
        <w:t>2018</w:t>
      </w:r>
      <w:r>
        <w:rPr>
          <w:rFonts w:hint="eastAsia" w:ascii="宋体" w:hAnsi="宋体" w:eastAsia="宋体"/>
          <w:sz w:val="24"/>
          <w:szCs w:val="24"/>
        </w:rPr>
        <w:t>），环境风险评价工作等级划分为一级、二级、三级。根据建设项目涉及的物质及工艺系统危险性和所在地的环境敏感性确定环境风险潜势。本项目生产过程中使用的原辅材料有</w:t>
      </w:r>
      <w:r>
        <w:rPr>
          <w:rFonts w:hint="default" w:ascii="Times New Roman" w:hAnsi="Times New Roman" w:eastAsia="Times New Roman"/>
          <w:sz w:val="24"/>
          <w:szCs w:val="24"/>
        </w:rPr>
        <w:t>R404a</w:t>
      </w:r>
      <w:r>
        <w:rPr>
          <w:rFonts w:hint="eastAsia" w:ascii="宋体" w:hAnsi="宋体" w:eastAsia="宋体"/>
          <w:sz w:val="24"/>
          <w:szCs w:val="24"/>
        </w:rPr>
        <w:t>、二氯异氰尿酸钠、柴油，根据《建设项目环境风险评价技术导则》（</w:t>
      </w:r>
      <w:r>
        <w:rPr>
          <w:rFonts w:hint="default" w:ascii="Times New Roman" w:hAnsi="Times New Roman" w:eastAsia="Times New Roman"/>
          <w:sz w:val="24"/>
          <w:szCs w:val="24"/>
        </w:rPr>
        <w:t>HJ169-2018</w:t>
      </w:r>
      <w:r>
        <w:rPr>
          <w:rFonts w:hint="eastAsia" w:ascii="宋体" w:hAnsi="宋体" w:eastAsia="宋体"/>
          <w:sz w:val="24"/>
          <w:szCs w:val="24"/>
        </w:rPr>
        <w:t>）附录</w:t>
      </w:r>
      <w:r>
        <w:rPr>
          <w:rFonts w:hint="default" w:ascii="Times New Roman" w:hAnsi="Times New Roman" w:eastAsia="Times New Roman"/>
          <w:sz w:val="24"/>
          <w:szCs w:val="24"/>
        </w:rPr>
        <w:t>B</w:t>
      </w:r>
      <w:r>
        <w:rPr>
          <w:rFonts w:hint="eastAsia" w:ascii="宋体" w:hAnsi="宋体" w:eastAsia="宋体"/>
          <w:sz w:val="24"/>
          <w:szCs w:val="24"/>
        </w:rPr>
        <w:t>，本项目涉及的环境风险物质为二氯异氰尿酸钠和柴油，经计算项目</w:t>
      </w:r>
      <w:r>
        <w:rPr>
          <w:rFonts w:hint="default" w:ascii="Times New Roman" w:hAnsi="Times New Roman" w:eastAsia="Times New Roman"/>
          <w:sz w:val="24"/>
          <w:szCs w:val="24"/>
        </w:rPr>
        <w:t>Q</w:t>
      </w:r>
      <w:r>
        <w:rPr>
          <w:rFonts w:hint="eastAsia" w:ascii="Times New Roman" w:hAnsi="Times New Roman" w:eastAsia="宋体"/>
          <w:sz w:val="24"/>
          <w:szCs w:val="24"/>
          <w:lang w:val="en-US" w:eastAsia="zh-CN"/>
        </w:rPr>
        <w:t>&lt;1.0，本项目环境风险潜势为</w:t>
      </w:r>
      <w:r>
        <w:rPr>
          <w:rFonts w:hint="default" w:ascii="Times New Roman" w:hAnsi="Times New Roman" w:eastAsia="宋体" w:cs="Times New Roman"/>
          <w:sz w:val="24"/>
          <w:szCs w:val="24"/>
          <w:lang w:val="en-US" w:eastAsia="zh-CN"/>
        </w:rPr>
        <w:t>Ⅰ</w:t>
      </w:r>
      <w:r>
        <w:rPr>
          <w:rFonts w:hint="eastAsia" w:ascii="Times New Roman" w:hAnsi="Times New Roman" w:eastAsia="宋体"/>
          <w:sz w:val="24"/>
          <w:szCs w:val="24"/>
          <w:lang w:val="en-US" w:eastAsia="zh-CN"/>
        </w:rPr>
        <w:t>。</w:t>
      </w:r>
    </w:p>
    <w:p>
      <w:pPr>
        <w:bidi w:val="0"/>
        <w:rPr>
          <w:rFonts w:hint="eastAsia"/>
          <w:lang w:val="en-US" w:eastAsia="zh-CN"/>
        </w:rPr>
      </w:pPr>
      <w:r>
        <w:rPr>
          <w:rFonts w:hint="eastAsia" w:ascii="宋体" w:hAnsi="宋体" w:eastAsia="宋体"/>
          <w:sz w:val="24"/>
          <w:szCs w:val="24"/>
        </w:rPr>
        <w:t>根据《建设项目环境风险评价技术导则》（</w:t>
      </w:r>
      <w:r>
        <w:rPr>
          <w:rFonts w:hint="default" w:ascii="Times New Roman" w:hAnsi="Times New Roman" w:eastAsia="Times New Roman"/>
          <w:sz w:val="24"/>
          <w:szCs w:val="24"/>
        </w:rPr>
        <w:t>HJ169</w:t>
      </w:r>
      <w:r>
        <w:rPr>
          <w:rFonts w:hint="eastAsia" w:ascii="宋体" w:hAnsi="宋体" w:eastAsia="宋体"/>
          <w:sz w:val="24"/>
          <w:szCs w:val="24"/>
        </w:rPr>
        <w:t>—</w:t>
      </w:r>
      <w:r>
        <w:rPr>
          <w:rFonts w:hint="default" w:ascii="Times New Roman" w:hAnsi="Times New Roman" w:eastAsia="Times New Roman"/>
          <w:sz w:val="24"/>
          <w:szCs w:val="24"/>
        </w:rPr>
        <w:t>2018</w:t>
      </w:r>
      <w:r>
        <w:rPr>
          <w:rFonts w:hint="eastAsia" w:ascii="宋体" w:hAnsi="宋体" w:eastAsia="宋体"/>
          <w:sz w:val="24"/>
          <w:szCs w:val="24"/>
        </w:rPr>
        <w:t>）判定依据：</w:t>
      </w:r>
    </w:p>
    <w:p>
      <w:pPr>
        <w:pStyle w:val="29"/>
        <w:bidi w:val="0"/>
        <w:rPr>
          <w:rFonts w:hint="eastAsia"/>
        </w:rPr>
      </w:pPr>
      <w:r>
        <w:rPr>
          <w:rFonts w:hint="eastAsia"/>
        </w:rPr>
        <w:t>表</w:t>
      </w:r>
      <w:r>
        <w:rPr>
          <w:rFonts w:hint="default"/>
        </w:rPr>
        <w:t>1.6-</w:t>
      </w:r>
      <w:r>
        <w:rPr>
          <w:rFonts w:hint="eastAsia"/>
          <w:lang w:val="en-US" w:eastAsia="zh-CN"/>
        </w:rPr>
        <w:t>8</w:t>
      </w:r>
      <w:r>
        <w:rPr>
          <w:rFonts w:hint="default"/>
        </w:rPr>
        <w:t xml:space="preserve"> </w:t>
      </w:r>
      <w:r>
        <w:rPr>
          <w:rFonts w:hint="eastAsia"/>
          <w:lang w:val="en-US" w:eastAsia="zh-CN"/>
        </w:rPr>
        <w:t xml:space="preserve"> </w:t>
      </w:r>
      <w:r>
        <w:rPr>
          <w:rFonts w:hint="eastAsia"/>
        </w:rPr>
        <w:t>环境风险评价工作等级划分表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1924"/>
        <w:gridCol w:w="1924"/>
        <w:gridCol w:w="1925"/>
        <w:gridCol w:w="1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4"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环境风险潜势</w:t>
            </w:r>
          </w:p>
        </w:tc>
        <w:tc>
          <w:tcPr>
            <w:tcW w:w="1924" w:type="dxa"/>
            <w:tcBorders>
              <w:tl2br w:val="nil"/>
              <w:tr2bl w:val="nil"/>
            </w:tcBorders>
            <w:vAlign w:val="center"/>
          </w:tcPr>
          <w:p>
            <w:pPr>
              <w:pStyle w:val="30"/>
              <w:widowControl w:val="0"/>
              <w:bidi w:val="0"/>
              <w:jc w:val="center"/>
              <w:rPr>
                <w:rFonts w:hint="default" w:ascii="Times New Roman" w:hAnsi="Times New Roman" w:cs="Times New Roman"/>
                <w:b/>
                <w:bCs/>
                <w:lang w:val="en-US" w:eastAsia="zh-CN"/>
              </w:rPr>
            </w:pPr>
            <w:r>
              <w:rPr>
                <w:rFonts w:hint="default" w:ascii="Times New Roman" w:hAnsi="Times New Roman" w:cs="Times New Roman"/>
                <w:b/>
                <w:bCs/>
              </w:rPr>
              <w:t>Ⅳ、Ⅳ+</w:t>
            </w:r>
          </w:p>
        </w:tc>
        <w:tc>
          <w:tcPr>
            <w:tcW w:w="1924" w:type="dxa"/>
            <w:tcBorders>
              <w:tl2br w:val="nil"/>
              <w:tr2bl w:val="nil"/>
            </w:tcBorders>
            <w:vAlign w:val="center"/>
          </w:tcPr>
          <w:p>
            <w:pPr>
              <w:pStyle w:val="30"/>
              <w:widowControl w:val="0"/>
              <w:bidi w:val="0"/>
              <w:jc w:val="center"/>
              <w:rPr>
                <w:rFonts w:hint="default" w:ascii="Times New Roman" w:hAnsi="Times New Roman" w:cs="Times New Roman"/>
                <w:b/>
                <w:bCs/>
                <w:lang w:val="en-US" w:eastAsia="zh-CN"/>
              </w:rPr>
            </w:pPr>
            <w:r>
              <w:rPr>
                <w:rFonts w:hint="default" w:ascii="Times New Roman" w:hAnsi="Times New Roman" w:cs="Times New Roman"/>
                <w:b/>
                <w:bCs/>
              </w:rPr>
              <w:t>Ⅲ</w:t>
            </w:r>
          </w:p>
        </w:tc>
        <w:tc>
          <w:tcPr>
            <w:tcW w:w="1925" w:type="dxa"/>
            <w:tcBorders>
              <w:tl2br w:val="nil"/>
              <w:tr2bl w:val="nil"/>
            </w:tcBorders>
            <w:vAlign w:val="center"/>
          </w:tcPr>
          <w:p>
            <w:pPr>
              <w:pStyle w:val="30"/>
              <w:widowControl w:val="0"/>
              <w:bidi w:val="0"/>
              <w:jc w:val="center"/>
              <w:rPr>
                <w:rFonts w:hint="default" w:ascii="Times New Roman" w:hAnsi="Times New Roman" w:cs="Times New Roman"/>
                <w:b/>
                <w:bCs/>
                <w:lang w:val="en-US" w:eastAsia="zh-CN"/>
              </w:rPr>
            </w:pPr>
            <w:r>
              <w:rPr>
                <w:rFonts w:hint="default" w:ascii="Times New Roman" w:hAnsi="Times New Roman" w:cs="Times New Roman"/>
                <w:b/>
                <w:bCs/>
              </w:rPr>
              <w:t>Ⅱ</w:t>
            </w:r>
          </w:p>
        </w:tc>
        <w:tc>
          <w:tcPr>
            <w:tcW w:w="1925" w:type="dxa"/>
            <w:tcBorders>
              <w:tl2br w:val="nil"/>
              <w:tr2bl w:val="nil"/>
            </w:tcBorders>
            <w:vAlign w:val="center"/>
          </w:tcPr>
          <w:p>
            <w:pPr>
              <w:pStyle w:val="30"/>
              <w:widowControl w:val="0"/>
              <w:bidi w:val="0"/>
              <w:jc w:val="center"/>
              <w:rPr>
                <w:rFonts w:hint="default" w:ascii="Times New Roman" w:hAnsi="Times New Roman" w:cs="Times New Roman"/>
                <w:b/>
                <w:bCs/>
                <w:lang w:val="en-US" w:eastAsia="zh-CN"/>
              </w:rPr>
            </w:pPr>
            <w:r>
              <w:rPr>
                <w:rFonts w:hint="default" w:ascii="Times New Roman" w:hAnsi="Times New Roman" w:cs="Times New Roman"/>
                <w:b/>
                <w:bCs/>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评价工作等级</w:t>
            </w:r>
          </w:p>
        </w:tc>
        <w:tc>
          <w:tcPr>
            <w:tcW w:w="192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一</w:t>
            </w:r>
          </w:p>
        </w:tc>
        <w:tc>
          <w:tcPr>
            <w:tcW w:w="192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二</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三</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简单分析</w:t>
            </w:r>
          </w:p>
        </w:tc>
      </w:tr>
    </w:tbl>
    <w:p>
      <w:pPr>
        <w:bidi w:val="0"/>
        <w:rPr>
          <w:rFonts w:hint="default"/>
          <w:lang w:val="en-US" w:eastAsia="zh-CN"/>
        </w:rPr>
      </w:pPr>
      <w:r>
        <w:rPr>
          <w:rFonts w:hint="eastAsia"/>
        </w:rPr>
        <w:t>综上判定，确定本项目为简单分析。</w:t>
      </w:r>
    </w:p>
    <w:p>
      <w:pPr>
        <w:pStyle w:val="5"/>
        <w:bidi w:val="0"/>
        <w:rPr>
          <w:rFonts w:hint="default"/>
          <w:lang w:val="en-US" w:eastAsia="zh-CN"/>
        </w:rPr>
      </w:pPr>
      <w:r>
        <w:rPr>
          <w:rFonts w:hint="eastAsia"/>
          <w:lang w:val="en-US" w:eastAsia="zh-CN"/>
        </w:rPr>
        <w:t>评价范围</w:t>
      </w:r>
    </w:p>
    <w:p>
      <w:pPr>
        <w:bidi w:val="0"/>
        <w:rPr>
          <w:rFonts w:hint="default"/>
          <w:lang w:val="en-US" w:eastAsia="zh-CN"/>
        </w:rPr>
      </w:pPr>
      <w:r>
        <w:rPr>
          <w:rFonts w:hint="eastAsia"/>
          <w:lang w:val="en-US" w:eastAsia="zh-CN"/>
        </w:rPr>
        <w:t>（1）环境空气</w:t>
      </w:r>
    </w:p>
    <w:p>
      <w:pPr>
        <w:bidi w:val="0"/>
        <w:rPr>
          <w:rFonts w:hint="eastAsia"/>
          <w:lang w:val="en-US" w:eastAsia="zh-CN"/>
        </w:rPr>
      </w:pPr>
      <w:r>
        <w:rPr>
          <w:rFonts w:hint="eastAsia"/>
          <w:lang w:val="en-US" w:eastAsia="zh-CN"/>
        </w:rPr>
        <w:t>依据《环境影响评价技术导则大气环境》HJ2.2——2018，二级评价项目大气环境影响评价范围边长取5km。因此，确定本项目大气环境评价范围即以厂区中心为中心点，边长为5km的矩形区域，评价范围面积25km</w:t>
      </w:r>
      <w:r>
        <w:rPr>
          <w:rFonts w:hint="eastAsia"/>
          <w:vertAlign w:val="superscript"/>
          <w:lang w:val="en-US" w:eastAsia="zh-CN"/>
        </w:rPr>
        <w:t>2</w:t>
      </w:r>
      <w:r>
        <w:rPr>
          <w:rFonts w:hint="eastAsia"/>
          <w:lang w:val="en-US" w:eastAsia="zh-CN"/>
        </w:rPr>
        <w:t>。</w:t>
      </w:r>
    </w:p>
    <w:p>
      <w:pPr>
        <w:bidi w:val="0"/>
        <w:rPr>
          <w:rFonts w:hint="default"/>
          <w:lang w:val="en-US" w:eastAsia="zh-CN"/>
        </w:rPr>
      </w:pPr>
      <w:r>
        <w:rPr>
          <w:rFonts w:hint="eastAsia"/>
          <w:lang w:val="en-US" w:eastAsia="zh-CN"/>
        </w:rPr>
        <w:t>（2）地表水环境</w:t>
      </w:r>
    </w:p>
    <w:p>
      <w:pPr>
        <w:bidi w:val="0"/>
        <w:rPr>
          <w:rFonts w:hint="eastAsia"/>
          <w:lang w:val="en-US" w:eastAsia="zh-CN"/>
        </w:rPr>
      </w:pPr>
      <w:r>
        <w:rPr>
          <w:rFonts w:hint="eastAsia"/>
          <w:lang w:val="en-US" w:eastAsia="zh-CN"/>
        </w:rPr>
        <w:t>本项目废水经自建污水处理站处理后，项目废水处理达到《</w:t>
      </w:r>
      <w:r>
        <w:rPr>
          <w:rFonts w:hint="eastAsia"/>
          <w:lang w:eastAsia="zh-CN"/>
        </w:rPr>
        <w:t>城镇污水处理厂污染物排放标准》（GB18918-2002）</w:t>
      </w:r>
      <w:r>
        <w:rPr>
          <w:rFonts w:hint="eastAsia"/>
          <w:lang w:val="en-US" w:eastAsia="zh-CN"/>
        </w:rPr>
        <w:t>中一级A</w:t>
      </w:r>
      <w:r>
        <w:rPr>
          <w:rFonts w:hint="eastAsia"/>
        </w:rPr>
        <w:t>排放标准</w:t>
      </w:r>
      <w:r>
        <w:rPr>
          <w:rFonts w:hint="eastAsia"/>
          <w:lang w:eastAsia="zh-CN"/>
        </w:rPr>
        <w:t>，</w:t>
      </w:r>
      <w:r>
        <w:rPr>
          <w:rFonts w:hint="eastAsia"/>
          <w:lang w:val="en-US" w:eastAsia="zh-CN"/>
        </w:rPr>
        <w:t>一部分回用于厂内进出车辆冲洗、地面冲洗以、待宰圈的冲洗和洗涤塔补水等，剩余废水用作农田灌溉，不外排。</w:t>
      </w:r>
    </w:p>
    <w:p>
      <w:pPr>
        <w:bidi w:val="0"/>
        <w:rPr>
          <w:rFonts w:hint="eastAsia"/>
          <w:lang w:val="en-US" w:eastAsia="zh-CN"/>
        </w:rPr>
      </w:pPr>
      <w:r>
        <w:rPr>
          <w:rFonts w:hint="eastAsia"/>
          <w:lang w:val="en-US" w:eastAsia="zh-CN"/>
        </w:rPr>
        <w:t>据HJ/T2.3-2018规定，本项目地表水环境评价工作等级为三级B。据HJ/T2.3-2018中5.3.2.2规定，地表水环境影响评价范围应符合以下要求：a）应满足其依托污水处理设施环境可行性分析的要求；b）涉及地表水环境风险的，应覆盖环境风险影响范围所及的水环境保护目标水域。</w:t>
      </w:r>
    </w:p>
    <w:p>
      <w:pPr>
        <w:bidi w:val="0"/>
        <w:rPr>
          <w:rFonts w:hint="eastAsia"/>
          <w:lang w:val="en-US" w:eastAsia="zh-CN"/>
        </w:rPr>
      </w:pPr>
      <w:r>
        <w:rPr>
          <w:rFonts w:hint="eastAsia"/>
          <w:lang w:val="en-US" w:eastAsia="zh-CN"/>
        </w:rPr>
        <w:t>根据项目特点，本次评价重点对废水厂内冲洗回用水和处理后废水用于农灌可行性、可靠性进行分析，项目无地表水评价范围。</w:t>
      </w:r>
    </w:p>
    <w:p>
      <w:pPr>
        <w:bidi w:val="0"/>
        <w:rPr>
          <w:rFonts w:hint="default"/>
          <w:lang w:val="en-US" w:eastAsia="zh-CN"/>
        </w:rPr>
      </w:pPr>
      <w:r>
        <w:rPr>
          <w:rFonts w:hint="eastAsia"/>
          <w:lang w:val="en-US" w:eastAsia="zh-CN"/>
        </w:rPr>
        <w:t>（3）地下水环境</w:t>
      </w:r>
    </w:p>
    <w:p>
      <w:pPr>
        <w:bidi w:val="0"/>
        <w:rPr>
          <w:rFonts w:hint="eastAsia"/>
          <w:lang w:val="en-US" w:eastAsia="zh-CN"/>
        </w:rPr>
      </w:pPr>
      <w:r>
        <w:t>根据《地下水环境影响评价技术导则</w:t>
      </w:r>
      <w:r>
        <w:rPr>
          <w:rFonts w:hint="eastAsia"/>
          <w:lang w:val="en-US" w:eastAsia="zh-CN"/>
        </w:rPr>
        <w:t xml:space="preserve"> </w:t>
      </w:r>
      <w:r>
        <w:t>地下水环境》（HJ610-2016），地下水环境现状调查评价范围应包括</w:t>
      </w:r>
      <w:r>
        <w:rPr>
          <w:rFonts w:hint="eastAsia"/>
          <w:lang w:eastAsia="zh-CN"/>
        </w:rPr>
        <w:t>与</w:t>
      </w:r>
      <w:r>
        <w:t>建设项目相关的地下水环境保护目标，以能说明地下水环境现状，反映调查评价区地下水基本渗流特征，满足地下水环境影响预测和评价为基本原则。建设项目地下水环境现状调查评价范围的确定可采用公式计算法、查表法及自定义法确定，其中：</w:t>
      </w:r>
    </w:p>
    <w:p>
      <w:pPr>
        <w:bidi w:val="0"/>
        <w:rPr>
          <w:rFonts w:hint="default"/>
          <w:lang w:val="en-US" w:eastAsia="zh-CN"/>
        </w:rPr>
      </w:pPr>
      <w:r>
        <w:rPr>
          <w:rFonts w:hint="eastAsia"/>
          <w:lang w:val="en-US" w:eastAsia="zh-CN"/>
        </w:rPr>
        <w:t>①公式计算法</w:t>
      </w:r>
    </w:p>
    <w:p>
      <w:pPr>
        <w:bidi w:val="0"/>
        <w:rPr>
          <w:rFonts w:hint="eastAsia"/>
          <w:lang w:val="en-US" w:eastAsia="zh-CN"/>
        </w:rPr>
      </w:pPr>
      <w:r>
        <w:rPr>
          <w:rFonts w:ascii="宋体" w:hAnsi="宋体" w:eastAsia="宋体" w:cs="宋体"/>
          <w:sz w:val="24"/>
          <w:szCs w:val="24"/>
        </w:rPr>
        <w:t>当建设项目所在地水文地质条件相对简单，且所掌握的资料能够满足公式计算法的要求时，应采用公式计算法确定：</w:t>
      </w:r>
    </w:p>
    <w:p>
      <w:pPr>
        <w:ind w:left="0" w:leftChars="0" w:firstLine="0" w:firstLineChars="0"/>
        <w:jc w:val="center"/>
        <w:rPr>
          <w:rFonts w:hint="eastAsia"/>
          <w:lang w:val="en-US" w:eastAsia="zh-CN"/>
        </w:rPr>
      </w:pPr>
      <w:r>
        <w:rPr>
          <w:rFonts w:hint="eastAsia"/>
          <w:position w:val="-6"/>
          <w:lang w:val="en-US" w:eastAsia="zh-CN"/>
        </w:rPr>
        <w:object>
          <v:shape id="_x0000_i1026" o:spt="75" type="#_x0000_t75" style="height:13.95pt;width:99pt;" o:ole="t" filled="f" o:preferrelative="t" stroked="f" coordsize="21600,21600">
            <v:path/>
            <v:fill on="f" focussize="0,0"/>
            <v:stroke on="f"/>
            <v:imagedata r:id="rId12" o:title=""/>
            <o:lock v:ext="edit" aspectratio="t"/>
            <w10:wrap type="none"/>
            <w10:anchorlock/>
          </v:shape>
          <o:OLEObject Type="Embed" ProgID="Equation.KSEE3" ShapeID="_x0000_i1026" DrawAspect="Content" ObjectID="_1468075726" r:id="rId11">
            <o:LockedField>false</o:LockedField>
          </o:OLEObject>
        </w:object>
      </w:r>
    </w:p>
    <w:p>
      <w:pPr>
        <w:bidi w:val="0"/>
        <w:rPr>
          <w:rFonts w:hint="eastAsia"/>
          <w:lang w:val="en-US" w:eastAsia="zh-CN"/>
        </w:rPr>
      </w:pPr>
      <w:r>
        <w:rPr>
          <w:rFonts w:hint="eastAsia"/>
          <w:lang w:val="en-US" w:eastAsia="zh-CN"/>
        </w:rPr>
        <w:t>式中：</w:t>
      </w:r>
    </w:p>
    <w:p>
      <w:pPr>
        <w:bidi w:val="0"/>
        <w:rPr>
          <w:rFonts w:hint="default"/>
          <w:lang w:val="en-US" w:eastAsia="zh-CN"/>
        </w:rPr>
      </w:pPr>
      <w:r>
        <w:rPr>
          <w:rFonts w:hint="eastAsia"/>
          <w:lang w:val="en-US" w:eastAsia="zh-CN"/>
        </w:rPr>
        <w:t xml:space="preserve">      L——下游迁移距离，m；</w:t>
      </w:r>
    </w:p>
    <w:p>
      <w:pPr>
        <w:rPr>
          <w:rFonts w:hint="default" w:ascii="Times New Roman" w:hAnsi="Times New Roman" w:cs="Times New Roman"/>
          <w:lang w:val="en-US" w:eastAsia="zh-CN"/>
        </w:rPr>
      </w:pPr>
      <w:r>
        <w:rPr>
          <w:rFonts w:hint="eastAsia"/>
          <w:lang w:val="en-US" w:eastAsia="zh-CN"/>
        </w:rPr>
        <w:t xml:space="preserve">      </w:t>
      </w:r>
      <w:r>
        <w:rPr>
          <w:rFonts w:hint="eastAsia" w:ascii="Times New Roman" w:hAnsi="Times New Roman" w:cs="Times New Roman"/>
          <w:lang w:val="en-US" w:eastAsia="zh-CN"/>
        </w:rPr>
        <w:t>a</w:t>
      </w:r>
      <w:r>
        <w:rPr>
          <w:rFonts w:hint="eastAsia"/>
          <w:lang w:val="en-US" w:eastAsia="zh-CN"/>
        </w:rPr>
        <w:t>——变化系数，a</w:t>
      </w:r>
      <w:r>
        <w:rPr>
          <w:rFonts w:hint="default" w:ascii="Times New Roman" w:hAnsi="Times New Roman" w:cs="Times New Roman"/>
          <w:lang w:val="en-US" w:eastAsia="zh-CN"/>
        </w:rPr>
        <w:t>≥</w:t>
      </w:r>
      <w:r>
        <w:rPr>
          <w:rFonts w:hint="eastAsia" w:ascii="Times New Roman" w:hAnsi="Times New Roman" w:cs="Times New Roman"/>
          <w:lang w:val="en-US" w:eastAsia="zh-CN"/>
        </w:rPr>
        <w:t>1，一般取2；</w:t>
      </w:r>
    </w:p>
    <w:p>
      <w:pPr>
        <w:spacing w:beforeLines="0" w:afterLines="0"/>
        <w:jc w:val="left"/>
        <w:rPr>
          <w:rFonts w:hint="eastAsia" w:ascii="宋体" w:hAnsi="宋体" w:eastAsia="宋体"/>
          <w:sz w:val="24"/>
        </w:rPr>
      </w:pPr>
      <w:r>
        <w:rPr>
          <w:rFonts w:hint="eastAsia"/>
          <w:lang w:val="en-US" w:eastAsia="zh-CN"/>
        </w:rPr>
        <w:t xml:space="preserve">      </w:t>
      </w:r>
      <w:r>
        <w:rPr>
          <w:rFonts w:hint="default" w:ascii="Times New Roman" w:hAnsi="Times New Roman" w:eastAsia="Times New Roman"/>
          <w:sz w:val="24"/>
        </w:rPr>
        <w:t>K</w:t>
      </w:r>
      <w:r>
        <w:rPr>
          <w:rFonts w:hint="eastAsia"/>
          <w:lang w:val="en-US" w:eastAsia="zh-CN"/>
        </w:rPr>
        <w:t>——</w:t>
      </w:r>
      <w:r>
        <w:rPr>
          <w:rFonts w:hint="eastAsia" w:ascii="宋体" w:hAnsi="宋体" w:eastAsia="宋体"/>
          <w:sz w:val="24"/>
        </w:rPr>
        <w:t>渗透系数，</w:t>
      </w:r>
      <w:r>
        <w:rPr>
          <w:rFonts w:hint="default" w:ascii="Times New Roman" w:hAnsi="Times New Roman" w:eastAsia="Times New Roman"/>
          <w:sz w:val="24"/>
        </w:rPr>
        <w:t>m/d</w:t>
      </w:r>
      <w:r>
        <w:rPr>
          <w:rFonts w:hint="eastAsia" w:ascii="宋体" w:hAnsi="宋体" w:eastAsia="宋体"/>
          <w:sz w:val="24"/>
        </w:rPr>
        <w:t>；常见渗透系数表见附录</w:t>
      </w:r>
      <w:r>
        <w:rPr>
          <w:rFonts w:hint="default" w:ascii="Times New Roman" w:hAnsi="Times New Roman" w:eastAsia="Times New Roman"/>
          <w:sz w:val="24"/>
        </w:rPr>
        <w:t>B</w:t>
      </w:r>
      <w:r>
        <w:rPr>
          <w:rFonts w:hint="eastAsia" w:ascii="宋体" w:hAnsi="宋体" w:eastAsia="宋体"/>
          <w:sz w:val="24"/>
        </w:rPr>
        <w:t>表</w:t>
      </w:r>
      <w:r>
        <w:rPr>
          <w:rFonts w:hint="default" w:ascii="Times New Roman" w:hAnsi="Times New Roman" w:eastAsia="Times New Roman"/>
          <w:sz w:val="24"/>
        </w:rPr>
        <w:t>B.1</w:t>
      </w:r>
      <w:r>
        <w:rPr>
          <w:rFonts w:hint="eastAsia" w:ascii="宋体" w:hAnsi="宋体" w:eastAsia="宋体"/>
          <w:sz w:val="24"/>
        </w:rPr>
        <w:t>（取</w:t>
      </w:r>
      <w:r>
        <w:rPr>
          <w:rFonts w:hint="default" w:ascii="Times New Roman" w:hAnsi="Times New Roman" w:eastAsia="Times New Roman"/>
          <w:sz w:val="24"/>
        </w:rPr>
        <w:t>1.5m/d</w:t>
      </w:r>
      <w:r>
        <w:rPr>
          <w:rFonts w:hint="eastAsia" w:ascii="宋体" w:hAnsi="宋体" w:eastAsia="宋体"/>
          <w:sz w:val="24"/>
        </w:rPr>
        <w:t>）；</w:t>
      </w:r>
    </w:p>
    <w:p>
      <w:pPr>
        <w:spacing w:beforeLines="0" w:afterLines="0"/>
        <w:ind w:firstLine="1200" w:firstLineChars="500"/>
        <w:jc w:val="left"/>
        <w:rPr>
          <w:rFonts w:hint="eastAsia" w:ascii="宋体" w:hAnsi="宋体" w:eastAsia="宋体"/>
          <w:sz w:val="24"/>
        </w:rPr>
      </w:pPr>
      <w:r>
        <w:rPr>
          <w:rFonts w:hint="default" w:ascii="Times New Roman" w:hAnsi="Times New Roman" w:eastAsia="Times New Roman"/>
          <w:sz w:val="24"/>
        </w:rPr>
        <w:t>I</w:t>
      </w:r>
      <w:r>
        <w:rPr>
          <w:rFonts w:hint="eastAsia"/>
          <w:lang w:val="en-US" w:eastAsia="zh-CN"/>
        </w:rPr>
        <w:t>——</w:t>
      </w:r>
      <w:r>
        <w:rPr>
          <w:rFonts w:hint="eastAsia" w:ascii="宋体" w:hAnsi="宋体" w:eastAsia="宋体"/>
          <w:sz w:val="24"/>
        </w:rPr>
        <w:t>水力坡度，无量纲；（取</w:t>
      </w:r>
      <w:r>
        <w:rPr>
          <w:rFonts w:hint="default" w:ascii="Times New Roman" w:hAnsi="Times New Roman" w:eastAsia="Times New Roman"/>
          <w:sz w:val="24"/>
        </w:rPr>
        <w:t>0.00</w:t>
      </w:r>
      <w:r>
        <w:rPr>
          <w:rFonts w:hint="eastAsia" w:eastAsia="宋体"/>
          <w:sz w:val="24"/>
          <w:lang w:val="en-US" w:eastAsia="zh-CN"/>
        </w:rPr>
        <w:t>5</w:t>
      </w:r>
      <w:r>
        <w:rPr>
          <w:rFonts w:hint="eastAsia" w:ascii="宋体" w:hAnsi="宋体" w:eastAsia="宋体"/>
          <w:sz w:val="24"/>
        </w:rPr>
        <w:t>）</w:t>
      </w:r>
    </w:p>
    <w:p>
      <w:pPr>
        <w:spacing w:beforeLines="0" w:afterLines="0"/>
        <w:ind w:firstLine="1200" w:firstLineChars="500"/>
        <w:jc w:val="left"/>
        <w:rPr>
          <w:rFonts w:hint="eastAsia" w:ascii="宋体" w:hAnsi="宋体" w:eastAsia="宋体"/>
          <w:sz w:val="24"/>
        </w:rPr>
      </w:pPr>
      <w:r>
        <w:rPr>
          <w:rFonts w:hint="default" w:ascii="Times New Roman" w:hAnsi="Times New Roman" w:eastAsia="Times New Roman"/>
          <w:sz w:val="24"/>
        </w:rPr>
        <w:t>T</w:t>
      </w:r>
      <w:r>
        <w:rPr>
          <w:rFonts w:hint="eastAsia"/>
          <w:lang w:val="en-US" w:eastAsia="zh-CN"/>
        </w:rPr>
        <w:t>——</w:t>
      </w:r>
      <w:r>
        <w:rPr>
          <w:rFonts w:hint="eastAsia" w:ascii="宋体" w:hAnsi="宋体" w:eastAsia="宋体"/>
          <w:sz w:val="24"/>
        </w:rPr>
        <w:t>质点迁移天数，取值不小于</w:t>
      </w:r>
      <w:r>
        <w:rPr>
          <w:rFonts w:hint="default" w:ascii="Times New Roman" w:hAnsi="Times New Roman" w:eastAsia="Times New Roman"/>
          <w:sz w:val="24"/>
        </w:rPr>
        <w:t>5000d</w:t>
      </w:r>
      <w:r>
        <w:rPr>
          <w:rFonts w:hint="eastAsia" w:ascii="宋体" w:hAnsi="宋体" w:eastAsia="宋体"/>
          <w:sz w:val="24"/>
        </w:rPr>
        <w:t>；</w:t>
      </w:r>
    </w:p>
    <w:p>
      <w:pPr>
        <w:ind w:firstLine="1200" w:firstLineChars="500"/>
        <w:rPr>
          <w:rFonts w:hint="eastAsia" w:ascii="宋体" w:hAnsi="宋体" w:eastAsia="宋体"/>
          <w:sz w:val="24"/>
        </w:rPr>
      </w:pPr>
      <w:r>
        <w:rPr>
          <w:rFonts w:hint="default" w:ascii="Times New Roman" w:hAnsi="Times New Roman" w:eastAsia="Times New Roman"/>
          <w:sz w:val="24"/>
        </w:rPr>
        <w:t>n</w:t>
      </w:r>
      <w:r>
        <w:rPr>
          <w:rFonts w:hint="default" w:ascii="Times New Roman" w:hAnsi="Times New Roman" w:eastAsia="Times New Roman"/>
          <w:sz w:val="16"/>
        </w:rPr>
        <w:t>e</w:t>
      </w:r>
      <w:r>
        <w:rPr>
          <w:rFonts w:hint="eastAsia"/>
          <w:lang w:val="en-US" w:eastAsia="zh-CN"/>
        </w:rPr>
        <w:t>——</w:t>
      </w:r>
      <w:r>
        <w:rPr>
          <w:rFonts w:hint="eastAsia" w:ascii="宋体" w:hAnsi="宋体" w:eastAsia="宋体"/>
          <w:sz w:val="24"/>
        </w:rPr>
        <w:t>有效孔隙度，无量纲（取</w:t>
      </w:r>
      <w:r>
        <w:rPr>
          <w:rFonts w:hint="default" w:ascii="Times New Roman" w:hAnsi="Times New Roman" w:eastAsia="Times New Roman"/>
          <w:sz w:val="24"/>
        </w:rPr>
        <w:t>0.</w:t>
      </w:r>
      <w:r>
        <w:rPr>
          <w:rFonts w:hint="eastAsia" w:eastAsia="宋体"/>
          <w:sz w:val="24"/>
          <w:lang w:val="en-US" w:eastAsia="zh-CN"/>
        </w:rPr>
        <w:t>26</w:t>
      </w:r>
      <w:r>
        <w:rPr>
          <w:rFonts w:hint="eastAsia" w:ascii="宋体" w:hAnsi="宋体" w:eastAsia="宋体"/>
          <w:sz w:val="24"/>
        </w:rPr>
        <w:t>）。</w:t>
      </w:r>
    </w:p>
    <w:p>
      <w:pPr>
        <w:bidi w:val="0"/>
        <w:rPr>
          <w:rFonts w:hint="default"/>
          <w:lang w:val="en-US" w:eastAsia="zh-CN"/>
        </w:rPr>
      </w:pPr>
      <w:r>
        <w:rPr>
          <w:rFonts w:hint="eastAsia"/>
          <w:lang w:val="en-US" w:eastAsia="zh-CN"/>
        </w:rPr>
        <w:t>本次地下水评价范围下游（南侧）迁移距离L为288，场地侧向东、 西两侧依据不小于1/2L的原则，则评价范围为150m，上游南侧取150m。</w:t>
      </w:r>
    </w:p>
    <w:p>
      <w:pPr>
        <w:bidi w:val="0"/>
        <w:rPr>
          <w:rFonts w:hint="default"/>
          <w:lang w:val="en-US" w:eastAsia="zh-CN"/>
        </w:rPr>
      </w:pPr>
      <w:r>
        <w:rPr>
          <w:rFonts w:hint="eastAsia"/>
          <w:lang w:val="en-US" w:eastAsia="zh-CN"/>
        </w:rPr>
        <w:t>②查表法</w:t>
      </w:r>
    </w:p>
    <w:p>
      <w:pPr>
        <w:bidi w:val="0"/>
        <w:rPr>
          <w:rFonts w:hint="eastAsia"/>
          <w:lang w:val="en-US" w:eastAsia="zh-CN"/>
        </w:rPr>
      </w:pPr>
      <w:r>
        <w:rPr>
          <w:rFonts w:ascii="宋体" w:hAnsi="宋体" w:eastAsia="宋体" w:cs="宋体"/>
          <w:sz w:val="24"/>
          <w:szCs w:val="24"/>
        </w:rPr>
        <w:t>当不满足公式计算法的要求时，可采用查表法确定。</w:t>
      </w:r>
    </w:p>
    <w:p>
      <w:pPr>
        <w:pStyle w:val="29"/>
        <w:bidi w:val="0"/>
        <w:rPr>
          <w:rFonts w:hint="eastAsia"/>
          <w:lang w:val="en-US" w:eastAsia="zh-CN"/>
        </w:rPr>
      </w:pPr>
      <w:r>
        <w:rPr>
          <w:rFonts w:hint="eastAsia"/>
          <w:lang w:val="en-US" w:eastAsia="zh-CN"/>
        </w:rPr>
        <w:t>表1.6-10  地下水环境现状评价范围参照表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44"/>
        <w:gridCol w:w="3240"/>
        <w:gridCol w:w="4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评价等级</w:t>
            </w:r>
          </w:p>
        </w:tc>
        <w:tc>
          <w:tcPr>
            <w:tcW w:w="324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调查评价范围（km</w:t>
            </w:r>
            <w:r>
              <w:rPr>
                <w:rFonts w:hint="eastAsia"/>
                <w:b/>
                <w:bCs/>
                <w:vertAlign w:val="superscript"/>
                <w:lang w:val="en-US" w:eastAsia="zh-CN"/>
              </w:rPr>
              <w:t>2</w:t>
            </w:r>
            <w:r>
              <w:rPr>
                <w:rFonts w:hint="eastAsia"/>
                <w:b/>
                <w:bCs/>
                <w:vertAlign w:val="baseline"/>
                <w:lang w:val="en-US" w:eastAsia="zh-CN"/>
              </w:rPr>
              <w:t>）</w:t>
            </w:r>
          </w:p>
        </w:tc>
        <w:tc>
          <w:tcPr>
            <w:tcW w:w="4338"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一级</w:t>
            </w:r>
          </w:p>
        </w:tc>
        <w:tc>
          <w:tcPr>
            <w:tcW w:w="324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w:t>
            </w:r>
          </w:p>
        </w:tc>
        <w:tc>
          <w:tcPr>
            <w:tcW w:w="4338" w:type="dxa"/>
            <w:vMerge w:val="restart"/>
            <w:tcBorders>
              <w:tl2br w:val="nil"/>
              <w:tr2bl w:val="nil"/>
            </w:tcBorders>
            <w:vAlign w:val="center"/>
          </w:tcPr>
          <w:p>
            <w:pPr>
              <w:pStyle w:val="30"/>
              <w:widowControl w:val="0"/>
              <w:bidi w:val="0"/>
              <w:rPr>
                <w:rFonts w:hint="default"/>
                <w:vertAlign w:val="baseline"/>
                <w:lang w:val="en-US" w:eastAsia="zh-CN"/>
              </w:rPr>
            </w:pPr>
            <w:r>
              <w:t>应包括重要的地下水环境保护目标，</w:t>
            </w:r>
            <w:r>
              <w:rPr>
                <w:rFonts w:hint="eastAsia"/>
                <w:lang w:val="en-US" w:eastAsia="zh-CN"/>
              </w:rPr>
              <w:t>必</w:t>
            </w:r>
            <w:r>
              <w:t>要时适当扩大范围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二级</w:t>
            </w:r>
          </w:p>
        </w:tc>
        <w:tc>
          <w:tcPr>
            <w:tcW w:w="324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6-20</w:t>
            </w:r>
          </w:p>
        </w:tc>
        <w:tc>
          <w:tcPr>
            <w:tcW w:w="4338"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三级</w:t>
            </w:r>
          </w:p>
        </w:tc>
        <w:tc>
          <w:tcPr>
            <w:tcW w:w="324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w:t>
            </w:r>
          </w:p>
        </w:tc>
        <w:tc>
          <w:tcPr>
            <w:tcW w:w="4338" w:type="dxa"/>
            <w:vMerge w:val="continue"/>
            <w:tcBorders>
              <w:tl2br w:val="nil"/>
              <w:tr2bl w:val="nil"/>
            </w:tcBorders>
            <w:vAlign w:val="center"/>
          </w:tcPr>
          <w:p>
            <w:pPr>
              <w:pStyle w:val="30"/>
              <w:widowControl w:val="0"/>
              <w:jc w:val="center"/>
              <w:rPr>
                <w:rFonts w:hint="default"/>
                <w:vertAlign w:val="baseline"/>
                <w:lang w:val="en-US" w:eastAsia="zh-CN"/>
              </w:rPr>
            </w:pPr>
          </w:p>
        </w:tc>
      </w:tr>
    </w:tbl>
    <w:p>
      <w:pPr>
        <w:bidi w:val="0"/>
        <w:rPr>
          <w:rFonts w:hint="default"/>
          <w:lang w:val="en-US" w:eastAsia="zh-CN"/>
        </w:rPr>
      </w:pPr>
      <w:r>
        <w:rPr>
          <w:rFonts w:hint="eastAsia"/>
          <w:lang w:val="en-US" w:eastAsia="zh-CN"/>
        </w:rPr>
        <w:t>③自定义法</w:t>
      </w:r>
    </w:p>
    <w:p>
      <w:pPr>
        <w:bidi w:val="0"/>
        <w:rPr>
          <w:rFonts w:hint="eastAsia"/>
          <w:highlight w:val="yellow"/>
          <w:lang w:val="en-US" w:eastAsia="zh-CN"/>
        </w:rPr>
      </w:pPr>
      <w:r>
        <w:rPr>
          <w:highlight w:val="none"/>
        </w:rPr>
        <w:t>根据建设项目所在地水文地质条件自行确定。本项目所在水文地质单元地下水流向为：项目所在区域以厂界</w:t>
      </w:r>
      <w:r>
        <w:rPr>
          <w:rFonts w:hint="eastAsia"/>
          <w:highlight w:val="none"/>
          <w:lang w:val="en-US" w:eastAsia="zh-CN"/>
        </w:rPr>
        <w:t>东、西、南磴子河</w:t>
      </w:r>
      <w:r>
        <w:rPr>
          <w:highlight w:val="none"/>
        </w:rPr>
        <w:t>为分水岭，分水岭东</w:t>
      </w:r>
      <w:r>
        <w:rPr>
          <w:rFonts w:hint="eastAsia"/>
          <w:highlight w:val="none"/>
          <w:lang w:val="en-US" w:eastAsia="zh-CN"/>
        </w:rPr>
        <w:t>北侧</w:t>
      </w:r>
      <w:r>
        <w:rPr>
          <w:highlight w:val="none"/>
        </w:rPr>
        <w:t>的地下水流向为自</w:t>
      </w:r>
      <w:r>
        <w:rPr>
          <w:rFonts w:hint="eastAsia"/>
          <w:highlight w:val="none"/>
          <w:lang w:val="en-US" w:eastAsia="zh-CN"/>
        </w:rPr>
        <w:t>西北</w:t>
      </w:r>
      <w:r>
        <w:rPr>
          <w:highlight w:val="none"/>
        </w:rPr>
        <w:t>向</w:t>
      </w:r>
      <w:r>
        <w:rPr>
          <w:rFonts w:hint="eastAsia"/>
          <w:highlight w:val="none"/>
          <w:lang w:val="en-US" w:eastAsia="zh-CN"/>
        </w:rPr>
        <w:t>西南</w:t>
      </w:r>
      <w:r>
        <w:rPr>
          <w:highlight w:val="none"/>
        </w:rPr>
        <w:t>径流；分水岭西北侧的地下水流向为自</w:t>
      </w:r>
      <w:r>
        <w:rPr>
          <w:rFonts w:hint="eastAsia"/>
          <w:highlight w:val="none"/>
          <w:lang w:val="en-US" w:eastAsia="zh-CN"/>
        </w:rPr>
        <w:t>东北</w:t>
      </w:r>
      <w:r>
        <w:rPr>
          <w:highlight w:val="none"/>
        </w:rPr>
        <w:t>向西北径流</w:t>
      </w:r>
      <w:r>
        <w:rPr>
          <w:rFonts w:hint="eastAsia"/>
          <w:highlight w:val="none"/>
          <w:lang w:eastAsia="zh-CN"/>
        </w:rPr>
        <w:t>。</w:t>
      </w:r>
      <w:r>
        <w:rPr>
          <w:highlight w:val="yellow"/>
        </w:rPr>
        <w:br w:type="textWrapping"/>
      </w:r>
      <w:r>
        <w:rPr>
          <w:rFonts w:hint="eastAsia"/>
          <w:highlight w:val="none"/>
          <w:lang w:val="en-US" w:eastAsia="zh-CN"/>
        </w:rPr>
        <w:t xml:space="preserve">    因此，</w:t>
      </w:r>
      <w:r>
        <w:rPr>
          <w:highlight w:val="none"/>
        </w:rPr>
        <w:t>本次评价</w:t>
      </w:r>
      <w:r>
        <w:rPr>
          <w:rFonts w:hint="eastAsia"/>
          <w:highlight w:val="none"/>
          <w:lang w:val="en-US" w:eastAsia="zh-CN"/>
        </w:rPr>
        <w:t>结合自定义法和公示计算法确定，以厂界上游北边界为150m，东、西、南以磴子河为边界设置为本项目地下水评价范围，项目评价范围约0.177</w:t>
      </w:r>
      <w:r>
        <w:rPr>
          <w:highlight w:val="none"/>
        </w:rPr>
        <w:t>km</w:t>
      </w:r>
      <w:r>
        <w:rPr>
          <w:highlight w:val="none"/>
          <w:vertAlign w:val="superscript"/>
        </w:rPr>
        <w:t>2</w:t>
      </w:r>
      <w:r>
        <w:rPr>
          <w:highlight w:val="none"/>
        </w:rPr>
        <w:t>。</w:t>
      </w:r>
    </w:p>
    <w:p>
      <w:pPr>
        <w:bidi w:val="0"/>
        <w:rPr>
          <w:rFonts w:hint="default"/>
          <w:lang w:val="en-US" w:eastAsia="zh-CN"/>
        </w:rPr>
      </w:pPr>
      <w:r>
        <w:rPr>
          <w:rFonts w:hint="eastAsia"/>
          <w:lang w:val="en-US" w:eastAsia="zh-CN"/>
        </w:rPr>
        <w:t>（4）声环境</w:t>
      </w:r>
    </w:p>
    <w:p>
      <w:pPr>
        <w:bidi w:val="0"/>
        <w:rPr>
          <w:rFonts w:hint="default"/>
          <w:lang w:val="en-US" w:eastAsia="zh-CN"/>
        </w:rPr>
      </w:pPr>
      <w:r>
        <w:rPr>
          <w:rFonts w:hint="eastAsia"/>
          <w:lang w:val="en-US" w:eastAsia="zh-CN"/>
        </w:rPr>
        <w:t>声环境评价范围为厂界200m范围。</w:t>
      </w:r>
    </w:p>
    <w:p>
      <w:pPr>
        <w:bidi w:val="0"/>
        <w:rPr>
          <w:rFonts w:hint="default"/>
          <w:lang w:val="en-US" w:eastAsia="zh-CN"/>
        </w:rPr>
      </w:pPr>
      <w:r>
        <w:rPr>
          <w:rFonts w:hint="eastAsia"/>
          <w:lang w:val="en-US" w:eastAsia="zh-CN"/>
        </w:rPr>
        <w:t>（5）生态环境</w:t>
      </w:r>
    </w:p>
    <w:p>
      <w:pPr>
        <w:bidi w:val="0"/>
        <w:rPr>
          <w:rFonts w:hint="default"/>
          <w:lang w:val="en-US" w:eastAsia="zh-CN"/>
        </w:rPr>
      </w:pPr>
      <w:r>
        <w:rPr>
          <w:rFonts w:hint="eastAsia"/>
          <w:lang w:val="en-US" w:eastAsia="zh-CN"/>
        </w:rPr>
        <w:t>生态环境评价范围项目占地区域及厂界外延200m区域。</w:t>
      </w:r>
    </w:p>
    <w:p>
      <w:pPr>
        <w:bidi w:val="0"/>
        <w:rPr>
          <w:rFonts w:hint="default"/>
          <w:lang w:val="en-US" w:eastAsia="zh-CN"/>
        </w:rPr>
      </w:pPr>
      <w:r>
        <w:rPr>
          <w:rFonts w:hint="eastAsia"/>
          <w:lang w:val="en-US" w:eastAsia="zh-CN"/>
        </w:rPr>
        <w:t>（6）固体废弃物</w:t>
      </w:r>
    </w:p>
    <w:p>
      <w:pPr>
        <w:bidi w:val="0"/>
      </w:pPr>
      <w:r>
        <w:rPr>
          <w:rFonts w:hint="default"/>
          <w:lang w:val="en-US" w:eastAsia="zh-CN"/>
        </w:rPr>
        <w:t>项目运营期产生固体废物有一般固废、危险废物，大部分外售或外委处置</w:t>
      </w:r>
      <w:r>
        <w:rPr>
          <w:rFonts w:hint="eastAsia"/>
          <w:lang w:val="en-US" w:eastAsia="zh-CN"/>
        </w:rPr>
        <w:t>，</w:t>
      </w:r>
      <w:r>
        <w:rPr>
          <w:rFonts w:hint="default"/>
          <w:lang w:val="en-US" w:eastAsia="zh-CN"/>
        </w:rPr>
        <w:t>少部分一般固废同生活垃圾一同处置，不在厂区内长久堆存。本评价将对固体的暂存场所的选址及处置去向合理性进行评价。</w:t>
      </w:r>
    </w:p>
    <w:p>
      <w:pPr>
        <w:bidi w:val="0"/>
        <w:rPr>
          <w:rFonts w:hint="default" w:eastAsia="宋体"/>
          <w:lang w:val="en-US" w:eastAsia="zh-CN"/>
        </w:rPr>
      </w:pPr>
      <w:r>
        <w:rPr>
          <w:rFonts w:hint="eastAsia"/>
          <w:lang w:eastAsia="zh-CN"/>
        </w:rPr>
        <w:t>（</w:t>
      </w:r>
      <w:r>
        <w:rPr>
          <w:rFonts w:hint="eastAsia"/>
          <w:lang w:val="en-US" w:eastAsia="zh-CN"/>
        </w:rPr>
        <w:t>7</w:t>
      </w:r>
      <w:r>
        <w:rPr>
          <w:rFonts w:hint="eastAsia"/>
          <w:lang w:eastAsia="zh-CN"/>
        </w:rPr>
        <w:t>）</w:t>
      </w:r>
      <w:r>
        <w:rPr>
          <w:rFonts w:hint="eastAsia"/>
          <w:lang w:val="en-US" w:eastAsia="zh-CN"/>
        </w:rPr>
        <w:t>土壤环境影响评价范围</w:t>
      </w:r>
    </w:p>
    <w:p>
      <w:pPr>
        <w:bidi w:val="0"/>
        <w:rPr>
          <w:rFonts w:hint="eastAsia"/>
          <w:lang w:val="en-US" w:eastAsia="zh-CN"/>
        </w:rPr>
      </w:pPr>
      <w:r>
        <w:rPr>
          <w:rFonts w:hint="eastAsia"/>
          <w:lang w:val="en-US" w:eastAsia="zh-CN"/>
        </w:rPr>
        <w:t>本项目土壤环境不设评价等级，不设评价范围。</w:t>
      </w:r>
    </w:p>
    <w:p>
      <w:pPr>
        <w:pStyle w:val="4"/>
        <w:bidi w:val="0"/>
        <w:rPr>
          <w:rFonts w:hint="default"/>
          <w:lang w:val="en-US" w:eastAsia="zh-CN"/>
        </w:rPr>
      </w:pPr>
      <w:bookmarkStart w:id="31" w:name="_Toc32370"/>
      <w:r>
        <w:rPr>
          <w:rFonts w:hint="eastAsia"/>
          <w:lang w:val="en-US" w:eastAsia="zh-CN"/>
        </w:rPr>
        <w:t>产业政策及规划的符合性分析</w:t>
      </w:r>
      <w:bookmarkEnd w:id="31"/>
    </w:p>
    <w:p>
      <w:pPr>
        <w:pStyle w:val="5"/>
        <w:bidi w:val="0"/>
        <w:rPr>
          <w:rFonts w:hint="eastAsia"/>
          <w:lang w:val="en-US" w:eastAsia="zh-CN"/>
        </w:rPr>
      </w:pPr>
      <w:r>
        <w:rPr>
          <w:rFonts w:hint="eastAsia"/>
          <w:lang w:val="en-US" w:eastAsia="zh-CN"/>
        </w:rPr>
        <w:t>产业政策符合性分析</w:t>
      </w:r>
    </w:p>
    <w:p>
      <w:pPr>
        <w:rPr>
          <w:rFonts w:hint="eastAsia"/>
          <w:lang w:val="en-US" w:eastAsia="zh-CN"/>
        </w:rPr>
      </w:pPr>
      <w:r>
        <w:rPr>
          <w:rFonts w:hint="eastAsia"/>
          <w:lang w:val="en-US" w:eastAsia="zh-CN"/>
        </w:rPr>
        <w:t>项目：根据《国民经济行业分类》（GB/T4754-2017）关于国民经济行业的分类，项目属于“牲畜屠宰（C1351）”，项目年屠宰生猪30万头、肉牛1万头，对照</w:t>
      </w:r>
      <w:r>
        <w:rPr>
          <w:rFonts w:hint="eastAsia"/>
        </w:rPr>
        <w:t>中华人民共和国国家发展和改革委员会令</w:t>
      </w:r>
      <w:r>
        <w:rPr>
          <w:rFonts w:hint="eastAsia"/>
          <w:lang w:val="en-US" w:eastAsia="zh-CN"/>
        </w:rPr>
        <w:t>第29号《产业结构调整指导目录（2019年本）》中相关规定，本项目年本不属于规定的鼓励类、限制类和淘汰类。同时，依据国务院关于发布实施《促进产业结构调整暂行规定》的决定（国发[2005]40号），“第十三条《产业结构调整指导目录》由鼓励、限制和淘汰三类目录组成。不属于鼓励类、限制类和淘汰类，且符合国家有关法律、法规和政策规定的，为允许类。允许类不列入《产业结构调整指导目录》”。因此，本项目为允许类，项目的建设符合国家产业政策。</w:t>
      </w:r>
    </w:p>
    <w:p>
      <w:pPr>
        <w:rPr>
          <w:rFonts w:hint="eastAsia"/>
          <w:lang w:val="en-US" w:eastAsia="zh-CN"/>
        </w:rPr>
      </w:pPr>
      <w:r>
        <w:rPr>
          <w:rFonts w:hint="eastAsia"/>
          <w:lang w:val="en-US" w:eastAsia="zh-CN"/>
        </w:rPr>
        <w:t>设备：本项目生产过程中使用的设备不属于《产业结构调整指导目录（2019年本）》中淘汰类的桥式劈半锯、敞式生猪烫毛机等设备。</w:t>
      </w:r>
    </w:p>
    <w:p>
      <w:pPr>
        <w:rPr>
          <w:rFonts w:hint="eastAsia"/>
          <w:lang w:val="en-US" w:eastAsia="zh-CN"/>
        </w:rPr>
      </w:pPr>
      <w:r>
        <w:rPr>
          <w:rFonts w:hint="eastAsia"/>
          <w:lang w:val="en-US" w:eastAsia="zh-CN"/>
        </w:rPr>
        <w:t>工艺：本项目屠宰工艺为全自动机械式屠宰工艺，不属于《产业结构调整指导目录（2019年本）》中淘汰类的手工屠宰工艺。</w:t>
      </w:r>
    </w:p>
    <w:p>
      <w:pPr>
        <w:rPr>
          <w:rFonts w:hint="eastAsia"/>
          <w:highlight w:val="none"/>
          <w:lang w:val="en-US" w:eastAsia="zh-CN"/>
        </w:rPr>
      </w:pPr>
      <w:r>
        <w:rPr>
          <w:rFonts w:hint="eastAsia"/>
          <w:highlight w:val="none"/>
          <w:lang w:val="en-US" w:eastAsia="zh-CN"/>
        </w:rPr>
        <w:t>冷冻剂：本项目冷藏库使用冷煤为R507A，不属于发改委第21号令《国家发展改革委关于修改&lt;产业结构调整指导目录（2011年本）&gt;有关条款的决定》及发改委第9号文《产业结构调整指导目录（2011年本）》中的鼓励类、限制类和淘汰类的设备，属于允许类。</w:t>
      </w:r>
    </w:p>
    <w:p>
      <w:pPr>
        <w:rPr>
          <w:rFonts w:hint="default"/>
          <w:lang w:val="en-US" w:eastAsia="zh-CN"/>
        </w:rPr>
      </w:pPr>
      <w:r>
        <w:rPr>
          <w:rFonts w:hint="eastAsia"/>
          <w:lang w:val="en-US" w:eastAsia="zh-CN"/>
        </w:rPr>
        <w:t>目前本项目取得由平昌县发展和改革局审批下发的《关于平昌县乐顺现代牲畜屠宰冷链物流一体化建设项目可行性研究报告的批复》（平发改审[2020]283号）同意本项目建设。</w:t>
      </w:r>
    </w:p>
    <w:p>
      <w:pPr>
        <w:rPr>
          <w:rFonts w:hint="default"/>
          <w:lang w:val="en-US" w:eastAsia="zh-CN"/>
        </w:rPr>
      </w:pPr>
      <w:r>
        <w:rPr>
          <w:rFonts w:hint="eastAsia"/>
          <w:lang w:val="en-US" w:eastAsia="zh-CN"/>
        </w:rPr>
        <w:t>因此，本项目符合国家现行产业政策。</w:t>
      </w:r>
    </w:p>
    <w:p>
      <w:pPr>
        <w:pStyle w:val="5"/>
        <w:bidi w:val="0"/>
        <w:rPr>
          <w:rFonts w:hint="eastAsia"/>
          <w:lang w:val="en-US" w:eastAsia="zh-CN"/>
        </w:rPr>
      </w:pPr>
      <w:r>
        <w:rPr>
          <w:rFonts w:hint="eastAsia"/>
        </w:rPr>
        <w:t>与</w:t>
      </w:r>
      <w:r>
        <w:rPr>
          <w:rFonts w:hint="eastAsia"/>
          <w:lang w:val="en-US" w:eastAsia="zh-CN"/>
        </w:rPr>
        <w:t>相关规范</w:t>
      </w:r>
      <w:r>
        <w:rPr>
          <w:rFonts w:hint="eastAsia"/>
        </w:rPr>
        <w:t>符合性分析</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outlineLvl w:val="9"/>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color w:val="auto"/>
          <w:sz w:val="24"/>
          <w:szCs w:val="24"/>
          <w:lang w:eastAsia="zh-CN"/>
        </w:rPr>
        <w:t>项目与《生猪屠宰管理条例》、《生猪屠宰管理条例实施办法》、《四川省生猪屠宰管理办法》、《猪屠宰与分割车间设计规范》、</w:t>
      </w:r>
      <w:r>
        <w:rPr>
          <w:rFonts w:hint="default" w:ascii="Times New Roman" w:hAnsi="Times New Roman" w:cs="Times New Roman"/>
          <w:bCs/>
          <w:color w:val="auto"/>
          <w:sz w:val="24"/>
          <w:szCs w:val="24"/>
          <w:lang w:val="en-US" w:eastAsia="zh-CN"/>
        </w:rPr>
        <w:t>《牛羊屠宰与分割车间设计规范》、</w:t>
      </w:r>
      <w:r>
        <w:rPr>
          <w:rFonts w:hint="default" w:ascii="Times New Roman" w:hAnsi="Times New Roman" w:eastAsia="宋体" w:cs="Times New Roman"/>
          <w:bCs/>
          <w:color w:val="auto"/>
          <w:sz w:val="24"/>
          <w:szCs w:val="24"/>
          <w:lang w:val="en-US" w:eastAsia="zh-CN"/>
        </w:rPr>
        <w:t>《食品生产通用卫生规范》及《屠宰和肉类加工企业卫生管理规范》符合性分析如下表。</w:t>
      </w:r>
    </w:p>
    <w:p>
      <w:pPr>
        <w:pStyle w:val="29"/>
        <w:bidi w:val="0"/>
        <w:rPr>
          <w:rFonts w:hint="default"/>
          <w:lang w:val="en-US" w:eastAsia="zh-CN"/>
        </w:rPr>
      </w:pPr>
      <w:r>
        <w:rPr>
          <w:rFonts w:hint="eastAsia"/>
          <w:lang w:val="en-US" w:eastAsia="zh-CN"/>
        </w:rPr>
        <w:t xml:space="preserve">表1.7-1  </w:t>
      </w:r>
      <w:r>
        <w:rPr>
          <w:rFonts w:hint="default"/>
          <w:lang w:val="en-US" w:eastAsia="zh-CN"/>
        </w:rPr>
        <w:t>项目与屠宰相关条例符合性分析</w:t>
      </w:r>
    </w:p>
    <w:tbl>
      <w:tblPr>
        <w:tblStyle w:val="2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3946"/>
        <w:gridCol w:w="3677"/>
        <w:gridCol w:w="8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相关条例</w:t>
            </w:r>
          </w:p>
        </w:tc>
        <w:tc>
          <w:tcPr>
            <w:tcW w:w="2053"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具体内容</w:t>
            </w:r>
          </w:p>
        </w:tc>
        <w:tc>
          <w:tcPr>
            <w:tcW w:w="1913"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本项目</w:t>
            </w:r>
          </w:p>
        </w:tc>
        <w:tc>
          <w:tcPr>
            <w:tcW w:w="465"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《生猪屠宰管理条例》、《生猪屠宰管理条例实施办法》</w:t>
            </w:r>
          </w:p>
        </w:tc>
        <w:tc>
          <w:tcPr>
            <w:tcW w:w="2053" w:type="pct"/>
            <w:tcBorders>
              <w:tl2br w:val="nil"/>
              <w:tr2bl w:val="nil"/>
            </w:tcBorders>
            <w:noWrap w:val="0"/>
            <w:vAlign w:val="center"/>
          </w:tcPr>
          <w:p>
            <w:pPr>
              <w:pStyle w:val="30"/>
              <w:widowControl w:val="0"/>
              <w:bidi w:val="0"/>
              <w:jc w:val="both"/>
              <w:rPr>
                <w:rFonts w:hint="default"/>
                <w:lang w:val="en-US" w:eastAsia="zh-CN"/>
              </w:rPr>
            </w:pPr>
            <w:r>
              <w:rPr>
                <w:rFonts w:hint="default"/>
                <w:lang w:val="en-US" w:eastAsia="zh-CN"/>
              </w:rPr>
              <w:t>第五条：生猪定点屠宰厂（场）的设置规划（以下简称设置规划），由省、自治区、直辖市人民政府畜牧兽医行政主管部门会同环境保护主管部门以及其他有关部门，按照合理布局、适当集中、有利流通、方便群众的原则，结合本地实际情况制订，报本级人民政府批准后实施。</w:t>
            </w:r>
          </w:p>
          <w:p>
            <w:pPr>
              <w:pStyle w:val="30"/>
              <w:widowControl w:val="0"/>
              <w:bidi w:val="0"/>
              <w:jc w:val="both"/>
              <w:rPr>
                <w:rFonts w:hint="default"/>
                <w:lang w:val="en-US" w:eastAsia="zh-CN"/>
              </w:rPr>
            </w:pPr>
            <w:r>
              <w:rPr>
                <w:rFonts w:hint="default"/>
                <w:lang w:val="en-US" w:eastAsia="zh-CN"/>
              </w:rPr>
              <w:t>第八条：生猪定点屠宰厂（场）应当具备下列条件：（一）有与屠宰规模相适应、水质符合国家规定标准的水源条件；（二）有符合国家规定要求的待宰间、屠宰间、急宰间以及生猪屠宰设备和运载工具；（三）有依法取得健康证明的屠宰技术人员；（四）有经考核合格的肉品品质检验人员；　（五）有符合国家规定要求的检验设备、消毒设施以及符合环境保护要求的污染防治设施；（六）有病害生猪及生猪产品无害化处理设施；（七）依法取得动物防疫条件合格证</w:t>
            </w:r>
          </w:p>
        </w:tc>
        <w:tc>
          <w:tcPr>
            <w:tcW w:w="1913" w:type="pct"/>
            <w:tcBorders>
              <w:tl2br w:val="nil"/>
              <w:tr2bl w:val="nil"/>
            </w:tcBorders>
            <w:noWrap w:val="0"/>
            <w:vAlign w:val="center"/>
          </w:tcPr>
          <w:p>
            <w:pPr>
              <w:pStyle w:val="30"/>
              <w:widowControl w:val="0"/>
              <w:bidi w:val="0"/>
              <w:jc w:val="both"/>
              <w:rPr>
                <w:rFonts w:hint="default"/>
                <w:highlight w:val="none"/>
                <w:lang w:val="en-US" w:eastAsia="zh-CN"/>
              </w:rPr>
            </w:pPr>
            <w:r>
              <w:rPr>
                <w:rFonts w:hint="default"/>
                <w:highlight w:val="none"/>
                <w:lang w:val="en-US" w:eastAsia="zh-CN"/>
              </w:rPr>
              <w:t>第五条：该屠宰厂建设经</w:t>
            </w:r>
            <w:r>
              <w:rPr>
                <w:rFonts w:hint="eastAsia"/>
                <w:highlight w:val="none"/>
                <w:lang w:val="en-US" w:eastAsia="zh-CN"/>
              </w:rPr>
              <w:t>平昌县发展和改革局</w:t>
            </w:r>
            <w:r>
              <w:rPr>
                <w:rFonts w:hint="default"/>
                <w:highlight w:val="none"/>
                <w:lang w:val="en-US" w:eastAsia="zh-CN"/>
              </w:rPr>
              <w:t>批准同意后实施的，</w:t>
            </w:r>
            <w:r>
              <w:rPr>
                <w:rFonts w:hint="eastAsia"/>
                <w:highlight w:val="none"/>
                <w:lang w:val="en-US" w:eastAsia="zh-CN"/>
              </w:rPr>
              <w:t>平昌县自然资源和规划局出具了项目规划意见的函，明确本项目占基本农田属于工业用地；并根据中华人民共和国农业农村部公告第212号公布的1578家生猪屠宰企业，本项目属名单其中第1318个生猪屠宰企业。</w:t>
            </w:r>
          </w:p>
          <w:p>
            <w:pPr>
              <w:pStyle w:val="30"/>
              <w:widowControl w:val="0"/>
              <w:bidi w:val="0"/>
              <w:jc w:val="both"/>
              <w:rPr>
                <w:rFonts w:hint="default"/>
                <w:lang w:val="en-US" w:eastAsia="zh-CN"/>
              </w:rPr>
            </w:pPr>
            <w:r>
              <w:rPr>
                <w:rFonts w:hint="default"/>
                <w:lang w:val="en-US" w:eastAsia="zh-CN"/>
              </w:rPr>
              <w:t>第八条：项目建成后使用的城市自来水，水质符合标准要求；建成后按照国家规范建设完善的屠宰设备、设置相应的待宰间、屠宰车间等。评价要求聘用员工必须取得健康证。配备有相应的检疫设施和相关工作人员。对产生的三废提出严格的处理措施和要求</w:t>
            </w:r>
          </w:p>
        </w:tc>
        <w:tc>
          <w:tcPr>
            <w:tcW w:w="465"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《四川省生猪屠宰管理办法》</w:t>
            </w:r>
          </w:p>
        </w:tc>
        <w:tc>
          <w:tcPr>
            <w:tcW w:w="2053"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禁止在饮用水源保护区、自然保护区等法定保护区域内设置生猪定点屠宰厂和小型生猪屠宰场点</w:t>
            </w:r>
          </w:p>
        </w:tc>
        <w:tc>
          <w:tcPr>
            <w:tcW w:w="1913"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项目位置未在饮用水源保护区、自然保护区等法定保护范围内</w:t>
            </w:r>
          </w:p>
        </w:tc>
        <w:tc>
          <w:tcPr>
            <w:tcW w:w="465"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《猪屠宰与分割车间设计规范》</w:t>
            </w:r>
          </w:p>
        </w:tc>
        <w:tc>
          <w:tcPr>
            <w:tcW w:w="2053" w:type="pct"/>
            <w:tcBorders>
              <w:tl2br w:val="nil"/>
              <w:tr2bl w:val="nil"/>
            </w:tcBorders>
            <w:noWrap w:val="0"/>
            <w:vAlign w:val="center"/>
          </w:tcPr>
          <w:p>
            <w:pPr>
              <w:pStyle w:val="30"/>
              <w:widowControl w:val="0"/>
              <w:numPr>
                <w:ilvl w:val="0"/>
                <w:numId w:val="4"/>
              </w:numPr>
              <w:bidi w:val="0"/>
              <w:jc w:val="both"/>
              <w:rPr>
                <w:rFonts w:hint="default"/>
                <w:lang w:val="en-US" w:eastAsia="zh-CN"/>
              </w:rPr>
            </w:pPr>
            <w:r>
              <w:rPr>
                <w:rFonts w:hint="default"/>
                <w:lang w:val="en-US" w:eastAsia="zh-CN"/>
              </w:rPr>
              <w:t>猪屠宰与分割车间所在厂址应远离供水水源地和自来水取水口，其附近应有城市污水排水管网或允许排入的最终受纳水体。厂内应满足有关卫生防护距离要求。</w:t>
            </w:r>
          </w:p>
          <w:p>
            <w:pPr>
              <w:pStyle w:val="30"/>
              <w:widowControl w:val="0"/>
              <w:numPr>
                <w:ilvl w:val="0"/>
                <w:numId w:val="4"/>
              </w:numPr>
              <w:bidi w:val="0"/>
              <w:ind w:left="0" w:leftChars="0" w:firstLine="0" w:firstLineChars="0"/>
              <w:jc w:val="both"/>
              <w:rPr>
                <w:rFonts w:hint="default"/>
                <w:lang w:val="en-US" w:eastAsia="zh-CN"/>
              </w:rPr>
            </w:pPr>
            <w:r>
              <w:rPr>
                <w:rFonts w:hint="default"/>
                <w:lang w:val="en-US" w:eastAsia="zh-CN"/>
              </w:rPr>
              <w:t>厂址周围应有良好的环境卫生条件。厂区应远离受污染的水体。应避开产生有害气体、烟雾、粉尘等污染源的工业企业或其他产生污染源的地区或场所。</w:t>
            </w:r>
          </w:p>
          <w:p>
            <w:pPr>
              <w:pStyle w:val="30"/>
              <w:widowControl w:val="0"/>
              <w:numPr>
                <w:ilvl w:val="0"/>
                <w:numId w:val="0"/>
              </w:numPr>
              <w:bidi w:val="0"/>
              <w:ind w:leftChars="0"/>
              <w:jc w:val="both"/>
              <w:rPr>
                <w:rFonts w:hint="default"/>
                <w:lang w:val="en-US" w:eastAsia="zh-CN"/>
              </w:rPr>
            </w:pPr>
            <w:r>
              <w:rPr>
                <w:rFonts w:hint="default"/>
                <w:lang w:val="en-US" w:eastAsia="zh-CN"/>
              </w:rPr>
              <w:t>3、屠宰和分割车间所在厂址必须具备符合要求的水源和电源，其位置应选择在交通运输方便、货源流向合理的地方，根据节约用地和不占农田的原则，根据加工工艺要求因地制宜地确定，应并符合规划的要求</w:t>
            </w:r>
          </w:p>
        </w:tc>
        <w:tc>
          <w:tcPr>
            <w:tcW w:w="1913" w:type="pct"/>
            <w:tcBorders>
              <w:tl2br w:val="nil"/>
              <w:tr2bl w:val="nil"/>
            </w:tcBorders>
            <w:noWrap w:val="0"/>
            <w:vAlign w:val="center"/>
          </w:tcPr>
          <w:p>
            <w:pPr>
              <w:pStyle w:val="30"/>
              <w:widowControl w:val="0"/>
              <w:bidi w:val="0"/>
              <w:jc w:val="both"/>
              <w:rPr>
                <w:rFonts w:hint="default"/>
                <w:lang w:val="en-US" w:eastAsia="zh-CN"/>
              </w:rPr>
            </w:pPr>
            <w:r>
              <w:rPr>
                <w:rFonts w:hint="default"/>
                <w:lang w:val="en-US" w:eastAsia="zh-CN"/>
              </w:rPr>
              <w:t>1、猪屠宰与分割车间所在厂址范围内无供水水源地和自来水取水口，附近接有城市污水排水管网。厂内满足卫生防护距离要求。</w:t>
            </w:r>
          </w:p>
          <w:p>
            <w:pPr>
              <w:pStyle w:val="30"/>
              <w:widowControl w:val="0"/>
              <w:bidi w:val="0"/>
              <w:jc w:val="both"/>
              <w:rPr>
                <w:rFonts w:hint="default"/>
                <w:lang w:val="en-US" w:eastAsia="zh-CN"/>
              </w:rPr>
            </w:pPr>
            <w:r>
              <w:rPr>
                <w:rFonts w:hint="default"/>
                <w:lang w:val="en-US" w:eastAsia="zh-CN"/>
              </w:rPr>
              <w:t>2、经监测，项目区大气、地表水、声环境质量较好 ，表明厂址周围具有良好的环境卫生条件。厂址周围主要以山地、耕地及未利用地为主，外环境关系相对简单，无产生有害气体、烟雾、粉尘等污染源的工业企业；</w:t>
            </w:r>
          </w:p>
          <w:p>
            <w:pPr>
              <w:pStyle w:val="30"/>
              <w:widowControl w:val="0"/>
              <w:bidi w:val="0"/>
              <w:jc w:val="both"/>
              <w:rPr>
                <w:rFonts w:hint="default"/>
                <w:lang w:val="en-US" w:eastAsia="zh-CN"/>
              </w:rPr>
            </w:pPr>
            <w:r>
              <w:rPr>
                <w:rFonts w:hint="default"/>
                <w:lang w:val="en-US" w:eastAsia="zh-CN"/>
              </w:rPr>
              <w:t>3、屠宰和分割车间所在厂址所在区域水源、电源均为市政用水和市政供电，项目附近有</w:t>
            </w:r>
            <w:r>
              <w:rPr>
                <w:rFonts w:hint="eastAsia"/>
                <w:lang w:val="en-US" w:eastAsia="zh-CN"/>
              </w:rPr>
              <w:t>县道</w:t>
            </w:r>
            <w:r>
              <w:rPr>
                <w:rFonts w:hint="default"/>
                <w:lang w:val="en-US" w:eastAsia="zh-CN"/>
              </w:rPr>
              <w:t>，其交通运输方便，用地符合规划要求</w:t>
            </w:r>
          </w:p>
        </w:tc>
        <w:tc>
          <w:tcPr>
            <w:tcW w:w="465"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《牛羊屠宰与分割车间设计规范》</w:t>
            </w:r>
          </w:p>
        </w:tc>
        <w:tc>
          <w:tcPr>
            <w:tcW w:w="2053" w:type="pct"/>
            <w:tcBorders>
              <w:tl2br w:val="nil"/>
              <w:tr2bl w:val="nil"/>
            </w:tcBorders>
            <w:noWrap w:val="0"/>
            <w:vAlign w:val="center"/>
          </w:tcPr>
          <w:p>
            <w:pPr>
              <w:pStyle w:val="30"/>
              <w:widowControl w:val="0"/>
              <w:numPr>
                <w:ilvl w:val="0"/>
                <w:numId w:val="5"/>
              </w:numPr>
              <w:bidi w:val="0"/>
              <w:jc w:val="both"/>
              <w:rPr>
                <w:rFonts w:hint="default"/>
                <w:lang w:val="en-US" w:eastAsia="zh-CN"/>
              </w:rPr>
            </w:pPr>
            <w:r>
              <w:rPr>
                <w:rFonts w:hint="default"/>
                <w:lang w:val="en-US" w:eastAsia="zh-CN"/>
              </w:rPr>
              <w:t>屠宰与分割车间所在厂区必须具备可靠的水源和电源，周边交通运输方便，并符合当地城乡规划、卫生与</w:t>
            </w:r>
            <w:r>
              <w:rPr>
                <w:rFonts w:hint="eastAsia"/>
                <w:lang w:val="en-US" w:eastAsia="zh-CN"/>
              </w:rPr>
              <w:t>生态环境部</w:t>
            </w:r>
            <w:r>
              <w:rPr>
                <w:rFonts w:hint="default"/>
                <w:lang w:val="en-US" w:eastAsia="zh-CN"/>
              </w:rPr>
              <w:t>门的要求。</w:t>
            </w:r>
          </w:p>
          <w:p>
            <w:pPr>
              <w:pStyle w:val="30"/>
              <w:widowControl w:val="0"/>
              <w:numPr>
                <w:ilvl w:val="0"/>
                <w:numId w:val="5"/>
              </w:numPr>
              <w:bidi w:val="0"/>
              <w:ind w:left="0" w:leftChars="0" w:firstLine="0" w:firstLineChars="0"/>
              <w:jc w:val="both"/>
              <w:rPr>
                <w:rFonts w:hint="default"/>
                <w:lang w:val="en-US" w:eastAsia="zh-CN"/>
              </w:rPr>
            </w:pPr>
            <w:r>
              <w:rPr>
                <w:rFonts w:hint="default"/>
                <w:lang w:val="en-US" w:eastAsia="zh-CN"/>
              </w:rPr>
              <w:t>厂址周围应有良好的环境卫生条件。厂址应避开受污染的水体及产生有害气体、烟雾、粉尘或其他污染源的工业企业或场所。</w:t>
            </w:r>
          </w:p>
          <w:p>
            <w:pPr>
              <w:pStyle w:val="30"/>
              <w:widowControl w:val="0"/>
              <w:numPr>
                <w:ilvl w:val="0"/>
                <w:numId w:val="5"/>
              </w:numPr>
              <w:bidi w:val="0"/>
              <w:ind w:left="0" w:leftChars="0" w:firstLine="0" w:firstLineChars="0"/>
              <w:jc w:val="both"/>
              <w:rPr>
                <w:rFonts w:hint="default"/>
                <w:lang w:val="en-US" w:eastAsia="zh-CN"/>
              </w:rPr>
            </w:pPr>
            <w:r>
              <w:rPr>
                <w:rFonts w:hint="default"/>
                <w:lang w:val="en-US" w:eastAsia="zh-CN"/>
              </w:rPr>
              <w:t>厂址选择应减少厂区产生气味污染的区域对居住区、学校和医院的影响。待宰间和屠宰车间的非清洁区与居住区、学校和医院的卫生防护距离应符合现行国家标准《农副食品加工业卫生防护距离 第1部分：屠宰及肉类加工业》GB18078.1的规定。</w:t>
            </w:r>
          </w:p>
          <w:p>
            <w:pPr>
              <w:pStyle w:val="30"/>
              <w:widowControl w:val="0"/>
              <w:numPr>
                <w:ilvl w:val="0"/>
                <w:numId w:val="0"/>
              </w:numPr>
              <w:bidi w:val="0"/>
              <w:ind w:leftChars="0"/>
              <w:jc w:val="both"/>
              <w:rPr>
                <w:rFonts w:hint="default"/>
                <w:lang w:val="en-US" w:eastAsia="zh-CN"/>
              </w:rPr>
            </w:pPr>
            <w:r>
              <w:rPr>
                <w:rFonts w:hint="default"/>
                <w:lang w:val="en-US" w:eastAsia="zh-CN"/>
              </w:rPr>
              <w:t>4、厂址应远离城市水源地和城市给水、取水口，其附近应有城市污水排放管网或允许排入的最终受纳水体</w:t>
            </w:r>
          </w:p>
        </w:tc>
        <w:tc>
          <w:tcPr>
            <w:tcW w:w="1913" w:type="pct"/>
            <w:tcBorders>
              <w:tl2br w:val="nil"/>
              <w:tr2bl w:val="nil"/>
            </w:tcBorders>
            <w:noWrap w:val="0"/>
            <w:vAlign w:val="center"/>
          </w:tcPr>
          <w:p>
            <w:pPr>
              <w:pStyle w:val="30"/>
              <w:widowControl w:val="0"/>
              <w:bidi w:val="0"/>
              <w:jc w:val="both"/>
              <w:rPr>
                <w:rFonts w:hint="default"/>
                <w:lang w:val="en-US" w:eastAsia="zh-CN"/>
              </w:rPr>
            </w:pPr>
            <w:r>
              <w:rPr>
                <w:rFonts w:hint="default"/>
                <w:lang w:val="en-US" w:eastAsia="zh-CN"/>
              </w:rPr>
              <w:t>1、项目用电、用水来源于市政用电、市政用水，水质符合生产及生活要求，水电供应有保证，交通运输方便，不占农田，符合当地规划要求。</w:t>
            </w:r>
          </w:p>
          <w:p>
            <w:pPr>
              <w:pStyle w:val="30"/>
              <w:widowControl w:val="0"/>
              <w:bidi w:val="0"/>
              <w:jc w:val="both"/>
              <w:rPr>
                <w:rFonts w:hint="default"/>
                <w:lang w:val="en-US" w:eastAsia="zh-CN"/>
              </w:rPr>
            </w:pPr>
            <w:r>
              <w:rPr>
                <w:rFonts w:hint="default"/>
                <w:lang w:val="en-US" w:eastAsia="zh-CN"/>
              </w:rPr>
              <w:t>2、经监测，项目区大气、地表水、声环境质量较好，表明厂址周围具有良好的环境卫生条件。厂址周围主要以山地、水体及未利用地为主，外环境关系相对简单，无产生有害气体、烟雾、粉尘等污染源的工业企业；</w:t>
            </w:r>
          </w:p>
          <w:p>
            <w:pPr>
              <w:pStyle w:val="30"/>
              <w:widowControl w:val="0"/>
              <w:bidi w:val="0"/>
              <w:jc w:val="both"/>
              <w:rPr>
                <w:rFonts w:hint="default"/>
                <w:lang w:val="en-US" w:eastAsia="zh-CN"/>
              </w:rPr>
            </w:pPr>
            <w:r>
              <w:rPr>
                <w:rFonts w:hint="default"/>
                <w:lang w:val="en-US" w:eastAsia="zh-CN"/>
              </w:rPr>
              <w:t>3、本项目设置了以“待宰圈、屠宰车间及污水站”为边界100m卫生防护距离范围，根据勘测，卫生防护距离范围内无居民，同时，环评要求卫生防护距离内禁止建设居住区、学校、医院等环境敏感项目。</w:t>
            </w:r>
          </w:p>
          <w:p>
            <w:pPr>
              <w:pStyle w:val="30"/>
              <w:widowControl w:val="0"/>
              <w:bidi w:val="0"/>
              <w:jc w:val="both"/>
              <w:rPr>
                <w:rFonts w:hint="default"/>
                <w:lang w:val="en-US" w:eastAsia="zh-CN"/>
              </w:rPr>
            </w:pPr>
            <w:r>
              <w:rPr>
                <w:rFonts w:hint="default"/>
                <w:lang w:val="en-US" w:eastAsia="zh-CN"/>
              </w:rPr>
              <w:t>4、本项目污水直接进入城市管网，厂址范围内不涉及饮用水源保护区</w:t>
            </w:r>
          </w:p>
        </w:tc>
        <w:tc>
          <w:tcPr>
            <w:tcW w:w="465"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《食品生产通用卫生规范》</w:t>
            </w:r>
          </w:p>
        </w:tc>
        <w:tc>
          <w:tcPr>
            <w:tcW w:w="2053" w:type="pct"/>
            <w:tcBorders>
              <w:tl2br w:val="nil"/>
              <w:tr2bl w:val="nil"/>
            </w:tcBorders>
            <w:noWrap w:val="0"/>
            <w:vAlign w:val="center"/>
          </w:tcPr>
          <w:p>
            <w:pPr>
              <w:pStyle w:val="30"/>
              <w:widowControl w:val="0"/>
              <w:numPr>
                <w:ilvl w:val="0"/>
                <w:numId w:val="6"/>
              </w:numPr>
              <w:bidi w:val="0"/>
              <w:jc w:val="both"/>
              <w:rPr>
                <w:rFonts w:hint="default"/>
                <w:lang w:val="en-US" w:eastAsia="zh-CN"/>
              </w:rPr>
            </w:pPr>
            <w:r>
              <w:rPr>
                <w:rFonts w:hint="default"/>
                <w:lang w:val="en-US" w:eastAsia="zh-CN"/>
              </w:rPr>
              <w:t>厂区不应选择对食品有显著污染的区域。如某地对食品安全和食品宜食用性存在明显的不利影响，且无法通过采取措施加以改善，应避免在该地址建厂。</w:t>
            </w:r>
          </w:p>
          <w:p>
            <w:pPr>
              <w:pStyle w:val="30"/>
              <w:widowControl w:val="0"/>
              <w:numPr>
                <w:ilvl w:val="0"/>
                <w:numId w:val="6"/>
              </w:numPr>
              <w:bidi w:val="0"/>
              <w:ind w:left="0" w:leftChars="0" w:firstLine="0" w:firstLineChars="0"/>
              <w:jc w:val="both"/>
              <w:rPr>
                <w:rFonts w:hint="default"/>
                <w:lang w:val="en-US" w:eastAsia="zh-CN"/>
              </w:rPr>
            </w:pPr>
            <w:r>
              <w:rPr>
                <w:rFonts w:hint="default"/>
                <w:lang w:val="en-US" w:eastAsia="zh-CN"/>
              </w:rPr>
              <w:t>厂区不应选择有害废弃物以及粉尘、有害气体、放射性物质和其他扩散性污染源不能有效清除的地址。</w:t>
            </w:r>
          </w:p>
          <w:p>
            <w:pPr>
              <w:pStyle w:val="30"/>
              <w:widowControl w:val="0"/>
              <w:numPr>
                <w:ilvl w:val="0"/>
                <w:numId w:val="6"/>
              </w:numPr>
              <w:bidi w:val="0"/>
              <w:ind w:left="0" w:leftChars="0" w:firstLine="0" w:firstLineChars="0"/>
              <w:jc w:val="both"/>
              <w:rPr>
                <w:rFonts w:hint="default"/>
                <w:lang w:val="en-US" w:eastAsia="zh-CN"/>
              </w:rPr>
            </w:pPr>
            <w:r>
              <w:rPr>
                <w:rFonts w:hint="default"/>
                <w:lang w:val="en-US" w:eastAsia="zh-CN"/>
              </w:rPr>
              <w:t>厂区不宜择易发生洪涝灾害的地区，难以避开时应设计必要的防范措施。</w:t>
            </w:r>
          </w:p>
          <w:p>
            <w:pPr>
              <w:pStyle w:val="30"/>
              <w:widowControl w:val="0"/>
              <w:numPr>
                <w:ilvl w:val="0"/>
                <w:numId w:val="0"/>
              </w:numPr>
              <w:bidi w:val="0"/>
              <w:ind w:leftChars="0"/>
              <w:jc w:val="both"/>
              <w:rPr>
                <w:rFonts w:hint="default"/>
                <w:lang w:val="en-US" w:eastAsia="zh-CN"/>
              </w:rPr>
            </w:pPr>
            <w:r>
              <w:rPr>
                <w:rFonts w:hint="default"/>
                <w:lang w:val="en-US" w:eastAsia="zh-CN"/>
              </w:rPr>
              <w:t>4、厂区周围不宜有虫害大量</w:t>
            </w:r>
            <w:r>
              <w:rPr>
                <w:rFonts w:hint="eastAsia"/>
                <w:lang w:val="en-US" w:eastAsia="zh-CN"/>
              </w:rPr>
              <w:t>滋生</w:t>
            </w:r>
            <w:r>
              <w:rPr>
                <w:rFonts w:hint="default"/>
                <w:lang w:val="en-US" w:eastAsia="zh-CN"/>
              </w:rPr>
              <w:t>的潜在场所，难以避开时应设计必要的防范措施</w:t>
            </w:r>
            <w:r>
              <w:rPr>
                <w:rFonts w:hint="eastAsia"/>
                <w:lang w:val="en-US" w:eastAsia="zh-CN"/>
              </w:rPr>
              <w:t>。</w:t>
            </w:r>
          </w:p>
        </w:tc>
        <w:tc>
          <w:tcPr>
            <w:tcW w:w="1913" w:type="pct"/>
            <w:tcBorders>
              <w:tl2br w:val="nil"/>
              <w:tr2bl w:val="nil"/>
            </w:tcBorders>
            <w:noWrap w:val="0"/>
            <w:vAlign w:val="center"/>
          </w:tcPr>
          <w:p>
            <w:pPr>
              <w:pStyle w:val="30"/>
              <w:widowControl w:val="0"/>
              <w:bidi w:val="0"/>
              <w:jc w:val="both"/>
              <w:rPr>
                <w:rFonts w:hint="default"/>
                <w:lang w:val="en-US" w:eastAsia="zh-CN"/>
              </w:rPr>
            </w:pPr>
            <w:r>
              <w:rPr>
                <w:rFonts w:hint="default"/>
                <w:lang w:val="en-US" w:eastAsia="zh-CN"/>
              </w:rPr>
              <w:t>1、本项目选址范围，周边主要以山地、水体及未利用地为主。本项目屠宰车间采用全封闭抽风方式，在降低恶臭气体污染的同时，可以减少外环境对本项目影响。</w:t>
            </w:r>
          </w:p>
          <w:p>
            <w:pPr>
              <w:pStyle w:val="30"/>
              <w:widowControl w:val="0"/>
              <w:bidi w:val="0"/>
              <w:jc w:val="both"/>
              <w:rPr>
                <w:rFonts w:hint="default"/>
                <w:lang w:val="en-US" w:eastAsia="zh-CN"/>
              </w:rPr>
            </w:pPr>
            <w:r>
              <w:rPr>
                <w:rFonts w:hint="default"/>
                <w:lang w:val="en-US" w:eastAsia="zh-CN"/>
              </w:rPr>
              <w:t>2、厂址附近无有害废弃物以及粉尘、有害气体、放射性物质和其他扩散性污染源，区域环境质量好，且本项目屠宰车间采用全封闭抽风方式，在降低恶臭气体污染的同时，以减少外环境对本项目影响。</w:t>
            </w:r>
          </w:p>
          <w:p>
            <w:pPr>
              <w:pStyle w:val="30"/>
              <w:widowControl w:val="0"/>
              <w:bidi w:val="0"/>
              <w:jc w:val="both"/>
              <w:rPr>
                <w:rFonts w:hint="default"/>
                <w:lang w:val="en-US" w:eastAsia="zh-CN"/>
              </w:rPr>
            </w:pPr>
            <w:r>
              <w:rPr>
                <w:rFonts w:hint="default"/>
                <w:lang w:val="en-US" w:eastAsia="zh-CN"/>
              </w:rPr>
              <w:t>3、项目厂址周围</w:t>
            </w:r>
            <w:r>
              <w:rPr>
                <w:rFonts w:hint="eastAsia"/>
                <w:lang w:val="en-US" w:eastAsia="zh-CN"/>
              </w:rPr>
              <w:t>磴子河</w:t>
            </w:r>
            <w:r>
              <w:rPr>
                <w:rFonts w:hint="default"/>
                <w:lang w:val="en-US" w:eastAsia="zh-CN"/>
              </w:rPr>
              <w:t>，</w:t>
            </w:r>
            <w:r>
              <w:rPr>
                <w:rFonts w:hint="eastAsia"/>
                <w:lang w:val="en-US" w:eastAsia="zh-CN"/>
              </w:rPr>
              <w:t>常年水位位于厂址最低处之下</w:t>
            </w:r>
            <w:r>
              <w:rPr>
                <w:rFonts w:hint="default"/>
                <w:lang w:val="en-US" w:eastAsia="zh-CN"/>
              </w:rPr>
              <w:t>，不受洪涝灾害威胁。</w:t>
            </w:r>
          </w:p>
          <w:p>
            <w:pPr>
              <w:pStyle w:val="30"/>
              <w:widowControl w:val="0"/>
              <w:bidi w:val="0"/>
              <w:jc w:val="both"/>
              <w:rPr>
                <w:rFonts w:hint="default"/>
                <w:lang w:val="en-US" w:eastAsia="zh-CN"/>
              </w:rPr>
            </w:pPr>
            <w:r>
              <w:rPr>
                <w:rFonts w:hint="default"/>
                <w:lang w:val="en-US" w:eastAsia="zh-CN"/>
              </w:rPr>
              <w:t>4、项目厂址附近无潜在滋生大量虫害</w:t>
            </w:r>
            <w:r>
              <w:rPr>
                <w:rFonts w:hint="eastAsia"/>
                <w:lang w:val="en-US" w:eastAsia="zh-CN"/>
              </w:rPr>
              <w:t>。</w:t>
            </w:r>
          </w:p>
        </w:tc>
        <w:tc>
          <w:tcPr>
            <w:tcW w:w="465"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《屠宰和肉类加工企业卫生管理规范》</w:t>
            </w:r>
          </w:p>
        </w:tc>
        <w:tc>
          <w:tcPr>
            <w:tcW w:w="2053" w:type="pct"/>
            <w:tcBorders>
              <w:tl2br w:val="nil"/>
              <w:tr2bl w:val="nil"/>
            </w:tcBorders>
            <w:noWrap w:val="0"/>
            <w:vAlign w:val="center"/>
          </w:tcPr>
          <w:p>
            <w:pPr>
              <w:pStyle w:val="30"/>
              <w:widowControl w:val="0"/>
              <w:numPr>
                <w:ilvl w:val="0"/>
                <w:numId w:val="7"/>
              </w:numPr>
              <w:bidi w:val="0"/>
              <w:jc w:val="both"/>
              <w:rPr>
                <w:rFonts w:hint="default"/>
                <w:lang w:val="en-US" w:eastAsia="zh-CN"/>
              </w:rPr>
            </w:pPr>
            <w:r>
              <w:rPr>
                <w:rFonts w:hint="default"/>
                <w:lang w:val="en-US" w:eastAsia="zh-CN"/>
              </w:rPr>
              <w:t>企业的选址、设计应符合兽医防疫要求，建在远离污染源，周围环境清洁卫生的区域，不应有碍食品卫生；厂区内不应兼营、生产、存放有碍食品卫生的其他产品；交通方便，水源充足。</w:t>
            </w:r>
          </w:p>
          <w:p>
            <w:pPr>
              <w:pStyle w:val="30"/>
              <w:widowControl w:val="0"/>
              <w:numPr>
                <w:ilvl w:val="0"/>
                <w:numId w:val="7"/>
              </w:numPr>
              <w:bidi w:val="0"/>
              <w:ind w:left="0" w:leftChars="0" w:firstLine="0" w:firstLineChars="0"/>
              <w:jc w:val="both"/>
              <w:rPr>
                <w:rFonts w:hint="default"/>
                <w:lang w:val="en-US" w:eastAsia="zh-CN"/>
              </w:rPr>
            </w:pPr>
            <w:r>
              <w:rPr>
                <w:rFonts w:hint="default"/>
                <w:lang w:val="en-US" w:eastAsia="zh-CN"/>
              </w:rPr>
              <w:t>厂区主要道路应硬化（如混凝土或沥青路面等），路面平整、易冲洗，不积水。</w:t>
            </w:r>
          </w:p>
          <w:p>
            <w:pPr>
              <w:pStyle w:val="30"/>
              <w:widowControl w:val="0"/>
              <w:numPr>
                <w:ilvl w:val="0"/>
                <w:numId w:val="7"/>
              </w:numPr>
              <w:bidi w:val="0"/>
              <w:ind w:left="0" w:leftChars="0" w:firstLine="0" w:firstLineChars="0"/>
              <w:jc w:val="both"/>
              <w:rPr>
                <w:rFonts w:hint="default"/>
                <w:lang w:val="en-US" w:eastAsia="zh-CN"/>
              </w:rPr>
            </w:pPr>
            <w:r>
              <w:rPr>
                <w:rFonts w:hint="eastAsia"/>
                <w:lang w:val="en-US" w:eastAsia="zh-CN"/>
              </w:rPr>
              <w:t>屠宰场</w:t>
            </w:r>
            <w:r>
              <w:rPr>
                <w:rFonts w:hint="default"/>
                <w:lang w:val="en-US" w:eastAsia="zh-CN"/>
              </w:rPr>
              <w:t>应设有畜禽待宰圈（区）、可疑病畜隔离圈、急宰间和无害化处理设施，并在这些场所配备足够的清洗、消毒设施；应配备密闭不渗水、易清洗消毒的病畜（禽）专用运输工具；可疑病畜隔离圈和急宰间的位置不应对健康动物造成传染风险。</w:t>
            </w:r>
          </w:p>
          <w:p>
            <w:pPr>
              <w:pStyle w:val="30"/>
              <w:widowControl w:val="0"/>
              <w:numPr>
                <w:ilvl w:val="0"/>
                <w:numId w:val="7"/>
              </w:numPr>
              <w:bidi w:val="0"/>
              <w:ind w:left="0" w:leftChars="0" w:firstLine="0" w:firstLineChars="0"/>
              <w:jc w:val="both"/>
              <w:rPr>
                <w:rFonts w:hint="default"/>
                <w:lang w:val="en-US" w:eastAsia="zh-CN"/>
              </w:rPr>
            </w:pPr>
            <w:r>
              <w:rPr>
                <w:rFonts w:hint="default"/>
                <w:lang w:val="en-US" w:eastAsia="zh-CN"/>
              </w:rPr>
              <w:t>厂区卫生间应有冲水、洗手、防蝇、防虫、防鼠等设施，墙裙以浅色、平滑、不透水、耐腐蚀的材料修建，易于清洗并保持清洁。</w:t>
            </w:r>
          </w:p>
          <w:p>
            <w:pPr>
              <w:pStyle w:val="30"/>
              <w:widowControl w:val="0"/>
              <w:numPr>
                <w:ilvl w:val="0"/>
                <w:numId w:val="7"/>
              </w:numPr>
              <w:bidi w:val="0"/>
              <w:ind w:left="0" w:leftChars="0" w:firstLine="0" w:firstLineChars="0"/>
              <w:jc w:val="both"/>
              <w:rPr>
                <w:rFonts w:hint="default"/>
                <w:lang w:val="en-US" w:eastAsia="zh-CN"/>
              </w:rPr>
            </w:pPr>
            <w:r>
              <w:rPr>
                <w:rFonts w:hint="default"/>
                <w:lang w:val="en-US" w:eastAsia="zh-CN"/>
              </w:rPr>
              <w:t>厂区排水系统应保持畅通，生产中产生的废水、废料的处理和排放应符合国家有关规定。</w:t>
            </w:r>
          </w:p>
          <w:p>
            <w:pPr>
              <w:pStyle w:val="30"/>
              <w:widowControl w:val="0"/>
              <w:numPr>
                <w:ilvl w:val="0"/>
                <w:numId w:val="7"/>
              </w:numPr>
              <w:bidi w:val="0"/>
              <w:ind w:left="0" w:leftChars="0" w:firstLine="0" w:firstLineChars="0"/>
              <w:jc w:val="both"/>
              <w:rPr>
                <w:rFonts w:hint="default"/>
                <w:lang w:val="en-US" w:eastAsia="zh-CN"/>
              </w:rPr>
            </w:pPr>
            <w:r>
              <w:rPr>
                <w:rFonts w:hint="default"/>
                <w:lang w:val="en-US" w:eastAsia="zh-CN"/>
              </w:rPr>
              <w:t>厂区应设有废弃物、垃圾暂存或处理设施，废弃物应及时清除或处理，避免对厂区环境造成污染。厂区内不应堆放废旧设备和其他杂物。</w:t>
            </w:r>
          </w:p>
          <w:p>
            <w:pPr>
              <w:pStyle w:val="30"/>
              <w:widowControl w:val="0"/>
              <w:numPr>
                <w:ilvl w:val="0"/>
                <w:numId w:val="7"/>
              </w:numPr>
              <w:bidi w:val="0"/>
              <w:ind w:left="0" w:leftChars="0" w:firstLine="0" w:firstLineChars="0"/>
              <w:jc w:val="both"/>
              <w:rPr>
                <w:rFonts w:hint="default"/>
                <w:lang w:val="en-US" w:eastAsia="zh-CN"/>
              </w:rPr>
            </w:pPr>
            <w:r>
              <w:rPr>
                <w:rFonts w:hint="default"/>
                <w:lang w:val="en-US" w:eastAsia="zh-CN"/>
              </w:rPr>
              <w:t>无害化处理设施、锅炉房、储煤场所、污水及污物处理设施应与屠宰、分割、包装、肉制品加工车间和储存库相隔一定的距离，并位于主风向的下风处。</w:t>
            </w:r>
          </w:p>
          <w:p>
            <w:pPr>
              <w:pStyle w:val="30"/>
              <w:widowControl w:val="0"/>
              <w:numPr>
                <w:ilvl w:val="0"/>
                <w:numId w:val="0"/>
              </w:numPr>
              <w:bidi w:val="0"/>
              <w:ind w:leftChars="0"/>
              <w:jc w:val="both"/>
              <w:rPr>
                <w:rFonts w:hint="default"/>
                <w:lang w:val="en-US" w:eastAsia="zh-CN"/>
              </w:rPr>
            </w:pPr>
            <w:r>
              <w:rPr>
                <w:rFonts w:hint="default"/>
                <w:lang w:val="en-US" w:eastAsia="zh-CN"/>
              </w:rPr>
              <w:t>8、屠宰厂应分设活动物进厂、成品出厂的专用门或通道</w:t>
            </w:r>
          </w:p>
        </w:tc>
        <w:tc>
          <w:tcPr>
            <w:tcW w:w="1913" w:type="pct"/>
            <w:tcBorders>
              <w:tl2br w:val="nil"/>
              <w:tr2bl w:val="nil"/>
            </w:tcBorders>
            <w:noWrap w:val="0"/>
            <w:vAlign w:val="center"/>
          </w:tcPr>
          <w:p>
            <w:pPr>
              <w:pStyle w:val="30"/>
              <w:widowControl w:val="0"/>
              <w:bidi w:val="0"/>
              <w:jc w:val="both"/>
              <w:rPr>
                <w:rFonts w:hint="default"/>
                <w:lang w:val="en-US" w:eastAsia="zh-CN"/>
              </w:rPr>
            </w:pPr>
            <w:r>
              <w:rPr>
                <w:rFonts w:hint="default"/>
                <w:lang w:val="en-US" w:eastAsia="zh-CN"/>
              </w:rPr>
              <w:t>1、项目选址、设计符合兽医防疫要求，周边企业对项目影响较小；厂区内不长期存放有碍食品卫生的其他产品；项目选址地交通方便，水源充足。</w:t>
            </w:r>
          </w:p>
          <w:p>
            <w:pPr>
              <w:pStyle w:val="30"/>
              <w:widowControl w:val="0"/>
              <w:bidi w:val="0"/>
              <w:jc w:val="both"/>
              <w:rPr>
                <w:rFonts w:hint="default"/>
                <w:lang w:val="en-US" w:eastAsia="zh-CN"/>
              </w:rPr>
            </w:pPr>
            <w:r>
              <w:rPr>
                <w:rFonts w:hint="default"/>
                <w:lang w:val="en-US" w:eastAsia="zh-CN"/>
              </w:rPr>
              <w:t>2、项目厂区道路均进行了硬化处理；</w:t>
            </w:r>
          </w:p>
          <w:p>
            <w:pPr>
              <w:pStyle w:val="30"/>
              <w:widowControl w:val="0"/>
              <w:bidi w:val="0"/>
              <w:jc w:val="both"/>
              <w:rPr>
                <w:rFonts w:hint="default"/>
                <w:lang w:val="en-US" w:eastAsia="zh-CN"/>
              </w:rPr>
            </w:pPr>
            <w:r>
              <w:rPr>
                <w:rFonts w:hint="default"/>
                <w:lang w:val="en-US" w:eastAsia="zh-CN"/>
              </w:rPr>
              <w:t>3、厂区已设立待宰圈及隔离圈，病死动物及不合格胴体交由资质单位无害化处理，并配备了清洗消毒设施；病畜的运输由资质单位负责，采用密闭不渗水、易清洗消毒的病畜专用运输工具；本项目</w:t>
            </w:r>
            <w:r>
              <w:rPr>
                <w:rFonts w:hint="eastAsia"/>
                <w:lang w:val="en-US" w:eastAsia="zh-CN"/>
              </w:rPr>
              <w:t>隔离间</w:t>
            </w:r>
            <w:r>
              <w:rPr>
                <w:rFonts w:hint="default"/>
                <w:lang w:val="en-US" w:eastAsia="zh-CN"/>
              </w:rPr>
              <w:t>和待宰圈分开设置，不会对健康动物造成传染风险。</w:t>
            </w:r>
          </w:p>
          <w:p>
            <w:pPr>
              <w:pStyle w:val="30"/>
              <w:widowControl w:val="0"/>
              <w:bidi w:val="0"/>
              <w:jc w:val="both"/>
              <w:rPr>
                <w:rFonts w:hint="default"/>
                <w:lang w:val="en-US" w:eastAsia="zh-CN"/>
              </w:rPr>
            </w:pPr>
            <w:r>
              <w:rPr>
                <w:rFonts w:hint="default"/>
                <w:lang w:val="en-US" w:eastAsia="zh-CN"/>
              </w:rPr>
              <w:t>4、厂区卫生间设有冲水、洗手、防蝇、防虫、防鼠等设施，采用不透水、耐腐蚀的材料修建，易于清洗并保持清洁。</w:t>
            </w:r>
          </w:p>
          <w:p>
            <w:pPr>
              <w:pStyle w:val="30"/>
              <w:widowControl w:val="0"/>
              <w:bidi w:val="0"/>
              <w:jc w:val="both"/>
              <w:rPr>
                <w:rFonts w:hint="default"/>
                <w:lang w:val="en-US" w:eastAsia="zh-CN"/>
              </w:rPr>
            </w:pPr>
            <w:r>
              <w:rPr>
                <w:rFonts w:hint="default"/>
                <w:lang w:val="en-US" w:eastAsia="zh-CN"/>
              </w:rPr>
              <w:t>5、项目废水采用《屠宰与肉类加工废水治理工程技术规范》中推荐的“</w:t>
            </w:r>
            <w:r>
              <w:rPr>
                <w:rFonts w:hint="eastAsia"/>
                <w:lang w:val="en-US" w:eastAsia="zh-CN"/>
              </w:rPr>
              <w:t>格栅池+沉渣池+多功能生物调节池+气浮沉渣池+厌氧池+初沉池+缺氧池1+好氧池1+缺氧池2+好氧池2+二沉池+生物滤池+混凝沉淀池+过滤池+紫外线消毒+清水池</w:t>
            </w:r>
            <w:r>
              <w:rPr>
                <w:rFonts w:hint="default"/>
                <w:lang w:val="en-US" w:eastAsia="zh-CN"/>
              </w:rPr>
              <w:t>”工艺，能够达到</w:t>
            </w:r>
            <w:r>
              <w:rPr>
                <w:rFonts w:hint="eastAsia"/>
                <w:lang w:eastAsia="zh-CN"/>
              </w:rPr>
              <w:t>《</w:t>
            </w:r>
            <w:r>
              <w:rPr>
                <w:rFonts w:hint="eastAsia"/>
                <w:lang w:val="en-US" w:eastAsia="zh-CN"/>
              </w:rPr>
              <w:t>肉类加工工业水污染物排放标准</w:t>
            </w:r>
            <w:r>
              <w:rPr>
                <w:rFonts w:hint="eastAsia"/>
                <w:lang w:eastAsia="zh-CN"/>
              </w:rPr>
              <w:t>》（</w:t>
            </w:r>
            <w:r>
              <w:rPr>
                <w:rFonts w:hint="eastAsia"/>
                <w:lang w:val="en-US" w:eastAsia="zh-CN"/>
              </w:rPr>
              <w:t>GB13457-92</w:t>
            </w:r>
            <w:r>
              <w:rPr>
                <w:rFonts w:hint="eastAsia"/>
                <w:lang w:eastAsia="zh-CN"/>
              </w:rPr>
              <w:t>）</w:t>
            </w:r>
            <w:r>
              <w:rPr>
                <w:rFonts w:hint="eastAsia"/>
                <w:lang w:val="en-US" w:eastAsia="zh-CN"/>
              </w:rPr>
              <w:t>中一级标准</w:t>
            </w:r>
            <w:r>
              <w:rPr>
                <w:rFonts w:hint="default"/>
                <w:lang w:val="en-US" w:eastAsia="zh-CN"/>
              </w:rPr>
              <w:t>；各类固废分类收集后处置，废水、废料的处理和排放符合国家有关规定。</w:t>
            </w:r>
          </w:p>
          <w:p>
            <w:pPr>
              <w:pStyle w:val="30"/>
              <w:widowControl w:val="0"/>
              <w:bidi w:val="0"/>
              <w:jc w:val="both"/>
              <w:rPr>
                <w:rFonts w:hint="default"/>
                <w:lang w:val="en-US" w:eastAsia="zh-CN"/>
              </w:rPr>
            </w:pPr>
            <w:r>
              <w:rPr>
                <w:rFonts w:hint="default"/>
                <w:lang w:val="en-US" w:eastAsia="zh-CN"/>
              </w:rPr>
              <w:t>6、厂区设置废弃物、垃圾暂存或处理设施，废弃物及时清除或处理。厂区内未堆放废旧设备和其他杂物。</w:t>
            </w:r>
          </w:p>
          <w:p>
            <w:pPr>
              <w:pStyle w:val="30"/>
              <w:widowControl w:val="0"/>
              <w:bidi w:val="0"/>
              <w:jc w:val="both"/>
              <w:rPr>
                <w:rFonts w:hint="default"/>
                <w:lang w:val="en-US" w:eastAsia="zh-CN"/>
              </w:rPr>
            </w:pPr>
            <w:r>
              <w:rPr>
                <w:rFonts w:hint="default"/>
                <w:lang w:val="en-US" w:eastAsia="zh-CN"/>
              </w:rPr>
              <w:t>7、项目污水及污物处理设施与屠宰、分割车间分开设置，并位于主风向的下风处。</w:t>
            </w:r>
          </w:p>
          <w:p>
            <w:pPr>
              <w:pStyle w:val="30"/>
              <w:widowControl w:val="0"/>
              <w:bidi w:val="0"/>
              <w:jc w:val="both"/>
              <w:rPr>
                <w:rFonts w:hint="default"/>
                <w:lang w:val="en-US" w:eastAsia="zh-CN"/>
              </w:rPr>
            </w:pPr>
            <w:r>
              <w:rPr>
                <w:rFonts w:hint="default"/>
                <w:lang w:val="en-US" w:eastAsia="zh-CN"/>
              </w:rPr>
              <w:t>8、厂区分别设置活动物进厂、成品出厂的专用门或通道</w:t>
            </w:r>
          </w:p>
        </w:tc>
        <w:tc>
          <w:tcPr>
            <w:tcW w:w="465" w:type="pct"/>
            <w:tcBorders>
              <w:tl2br w:val="nil"/>
              <w:tr2bl w:val="nil"/>
            </w:tcBorders>
            <w:noWrap w:val="0"/>
            <w:vAlign w:val="center"/>
          </w:tcPr>
          <w:p>
            <w:pPr>
              <w:pStyle w:val="30"/>
              <w:widowControl w:val="0"/>
              <w:bidi w:val="0"/>
              <w:jc w:val="center"/>
              <w:rPr>
                <w:rFonts w:hint="default"/>
                <w:lang w:val="en-US" w:eastAsia="zh-CN"/>
              </w:rPr>
            </w:pPr>
            <w:r>
              <w:rPr>
                <w:rFonts w:hint="default"/>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0"/>
          <w:sz w:val="24"/>
          <w:szCs w:val="24"/>
          <w:lang w:val="en-US" w:eastAsia="zh-CN" w:bidi="ar-SA"/>
        </w:rPr>
      </w:pPr>
      <w:r>
        <w:rPr>
          <w:rFonts w:hint="eastAsia" w:ascii="Times New Roman" w:hAnsi="Times New Roman" w:cs="Times New Roman"/>
          <w:color w:val="auto"/>
          <w:kern w:val="0"/>
          <w:sz w:val="24"/>
          <w:szCs w:val="24"/>
          <w:lang w:val="en-US" w:eastAsia="zh-CN" w:bidi="ar-SA"/>
        </w:rPr>
        <w:t>由此可见，本项目的建设与相关条例是相符的。</w:t>
      </w:r>
    </w:p>
    <w:p>
      <w:pPr>
        <w:pStyle w:val="4"/>
        <w:bidi w:val="0"/>
        <w:rPr>
          <w:rFonts w:hint="default"/>
          <w:lang w:val="en-US" w:eastAsia="zh-CN"/>
        </w:rPr>
      </w:pPr>
      <w:bookmarkStart w:id="32" w:name="_Toc2136"/>
      <w:r>
        <w:rPr>
          <w:rFonts w:hint="eastAsia"/>
          <w:lang w:val="en-US" w:eastAsia="zh-CN"/>
        </w:rPr>
        <w:t>外环境关系及选址合理性分析</w:t>
      </w:r>
      <w:bookmarkEnd w:id="32"/>
    </w:p>
    <w:p>
      <w:pPr>
        <w:pStyle w:val="5"/>
        <w:bidi w:val="0"/>
        <w:rPr>
          <w:rFonts w:hint="default"/>
          <w:lang w:val="en-US" w:eastAsia="zh-CN"/>
        </w:rPr>
      </w:pPr>
      <w:r>
        <w:rPr>
          <w:rFonts w:hint="eastAsia"/>
          <w:lang w:val="en-US" w:eastAsia="zh-CN"/>
        </w:rPr>
        <w:t>周边外环境关系</w:t>
      </w:r>
    </w:p>
    <w:p>
      <w:pPr>
        <w:bidi w:val="0"/>
        <w:rPr>
          <w:rFonts w:hint="eastAsia"/>
          <w:lang w:val="en-US" w:eastAsia="zh-CN"/>
        </w:rPr>
      </w:pPr>
      <w:r>
        <w:rPr>
          <w:rFonts w:hint="eastAsia"/>
          <w:highlight w:val="none"/>
          <w:lang w:val="en-US" w:eastAsia="zh-CN"/>
        </w:rPr>
        <w:t>本项目位于平昌县响滩镇石泉村，项目所在地属农村区域，项目北面为基本农田，其余东、西、南三面环河（磴子河），</w:t>
      </w:r>
      <w:r>
        <w:rPr>
          <w:rFonts w:hint="eastAsia"/>
          <w:lang w:val="en-US" w:eastAsia="zh-CN"/>
        </w:rPr>
        <w:t>项目周边主要为农村居民，项目厂界北侧10m为石泉村居民；项目厂界西侧250m为西桥村居民；项目厂界东侧280m为宋家营居民2；项目厂界东侧240m为宋家营居民1；项目厂界北侧30m为161县道。项目周边外环境关系见下表。</w:t>
      </w:r>
    </w:p>
    <w:p>
      <w:pPr>
        <w:pStyle w:val="29"/>
        <w:bidi w:val="0"/>
        <w:rPr>
          <w:rFonts w:hint="eastAsia"/>
          <w:lang w:val="en-US" w:eastAsia="zh-CN"/>
        </w:rPr>
      </w:pPr>
      <w:r>
        <w:rPr>
          <w:rFonts w:hint="eastAsia"/>
          <w:lang w:val="en-US" w:eastAsia="zh-CN"/>
        </w:rPr>
        <w:t>表1.8-1  项目周边外环境关系一览表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9"/>
        <w:gridCol w:w="2297"/>
        <w:gridCol w:w="1648"/>
        <w:gridCol w:w="1650"/>
        <w:gridCol w:w="24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9"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名称</w:t>
            </w:r>
          </w:p>
        </w:tc>
        <w:tc>
          <w:tcPr>
            <w:tcW w:w="2297"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方位</w:t>
            </w:r>
          </w:p>
        </w:tc>
        <w:tc>
          <w:tcPr>
            <w:tcW w:w="1648"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与厂界距离</w:t>
            </w:r>
          </w:p>
        </w:tc>
        <w:tc>
          <w:tcPr>
            <w:tcW w:w="165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性质</w:t>
            </w:r>
          </w:p>
        </w:tc>
        <w:tc>
          <w:tcPr>
            <w:tcW w:w="2474"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人数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石泉村居民</w:t>
            </w:r>
          </w:p>
        </w:tc>
        <w:tc>
          <w:tcPr>
            <w:tcW w:w="229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东侧</w:t>
            </w:r>
          </w:p>
        </w:tc>
        <w:tc>
          <w:tcPr>
            <w:tcW w:w="164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10m</w:t>
            </w:r>
          </w:p>
        </w:tc>
        <w:tc>
          <w:tcPr>
            <w:tcW w:w="165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居民</w:t>
            </w:r>
          </w:p>
        </w:tc>
        <w:tc>
          <w:tcPr>
            <w:tcW w:w="247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约14户，约52人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西桥村居民</w:t>
            </w:r>
          </w:p>
        </w:tc>
        <w:tc>
          <w:tcPr>
            <w:tcW w:w="229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西侧</w:t>
            </w:r>
          </w:p>
        </w:tc>
        <w:tc>
          <w:tcPr>
            <w:tcW w:w="164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250m</w:t>
            </w:r>
          </w:p>
        </w:tc>
        <w:tc>
          <w:tcPr>
            <w:tcW w:w="165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居民</w:t>
            </w:r>
          </w:p>
        </w:tc>
        <w:tc>
          <w:tcPr>
            <w:tcW w:w="247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约10户，约30人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宋家营居民1</w:t>
            </w:r>
          </w:p>
        </w:tc>
        <w:tc>
          <w:tcPr>
            <w:tcW w:w="229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东侧</w:t>
            </w:r>
          </w:p>
        </w:tc>
        <w:tc>
          <w:tcPr>
            <w:tcW w:w="164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240m</w:t>
            </w:r>
          </w:p>
        </w:tc>
        <w:tc>
          <w:tcPr>
            <w:tcW w:w="165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居民</w:t>
            </w:r>
          </w:p>
        </w:tc>
        <w:tc>
          <w:tcPr>
            <w:tcW w:w="247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约7户，约21人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宋家营居民2</w:t>
            </w:r>
          </w:p>
        </w:tc>
        <w:tc>
          <w:tcPr>
            <w:tcW w:w="229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东侧</w:t>
            </w:r>
          </w:p>
        </w:tc>
        <w:tc>
          <w:tcPr>
            <w:tcW w:w="164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280m</w:t>
            </w:r>
          </w:p>
        </w:tc>
        <w:tc>
          <w:tcPr>
            <w:tcW w:w="165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居民</w:t>
            </w:r>
          </w:p>
        </w:tc>
        <w:tc>
          <w:tcPr>
            <w:tcW w:w="247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约4户，约12人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磴子河</w:t>
            </w:r>
          </w:p>
        </w:tc>
        <w:tc>
          <w:tcPr>
            <w:tcW w:w="229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东、西、南三面环绕</w:t>
            </w:r>
          </w:p>
        </w:tc>
        <w:tc>
          <w:tcPr>
            <w:tcW w:w="164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50m</w:t>
            </w:r>
          </w:p>
        </w:tc>
        <w:tc>
          <w:tcPr>
            <w:tcW w:w="165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地表水</w:t>
            </w:r>
          </w:p>
        </w:tc>
        <w:tc>
          <w:tcPr>
            <w:tcW w:w="247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161县道</w:t>
            </w:r>
          </w:p>
        </w:tc>
        <w:tc>
          <w:tcPr>
            <w:tcW w:w="229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北侧</w:t>
            </w:r>
          </w:p>
        </w:tc>
        <w:tc>
          <w:tcPr>
            <w:tcW w:w="164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30m</w:t>
            </w:r>
          </w:p>
        </w:tc>
        <w:tc>
          <w:tcPr>
            <w:tcW w:w="165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道路</w:t>
            </w:r>
          </w:p>
        </w:tc>
        <w:tc>
          <w:tcPr>
            <w:tcW w:w="247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pStyle w:val="5"/>
        <w:bidi w:val="0"/>
        <w:rPr>
          <w:rFonts w:hint="default"/>
          <w:lang w:val="en-US" w:eastAsia="zh-CN"/>
        </w:rPr>
      </w:pPr>
      <w:r>
        <w:rPr>
          <w:rFonts w:hint="eastAsia"/>
          <w:lang w:val="en-US" w:eastAsia="zh-CN"/>
        </w:rPr>
        <w:t>选址合理性分析</w:t>
      </w:r>
    </w:p>
    <w:p>
      <w:pPr>
        <w:pStyle w:val="6"/>
        <w:bidi w:val="0"/>
        <w:rPr>
          <w:rFonts w:hint="default"/>
          <w:lang w:val="en-US" w:eastAsia="zh-CN"/>
        </w:rPr>
      </w:pPr>
      <w:r>
        <w:rPr>
          <w:rFonts w:hint="eastAsia"/>
          <w:lang w:val="en-US" w:eastAsia="zh-CN"/>
        </w:rPr>
        <w:t>交通运输环境合理性分析</w:t>
      </w:r>
    </w:p>
    <w:p>
      <w:pPr>
        <w:bidi w:val="0"/>
        <w:rPr>
          <w:rFonts w:hint="default"/>
          <w:lang w:val="en-US" w:eastAsia="zh-CN"/>
        </w:rPr>
      </w:pPr>
      <w:r>
        <w:rPr>
          <w:rFonts w:hint="eastAsia"/>
          <w:lang w:val="en-US" w:eastAsia="zh-CN"/>
        </w:rPr>
        <w:t>本项目位于平昌县响滩镇石泉村，项目临近161县道，项目区域交通条件较好，项目选址交通便利，根据现场调查，161县道两侧农户距离公路距离一般为5~30m不等，农户较为分散，由于161县道不易堵车，因此每辆运输车辆通过临路居民点时间非常短，其影响的距离范围有限，因此，项目生猪及肉牛运输车辆在运输途中，不会对沿线分散农户造成明显影响，同时项目运输车辆拟采用全封闭空调运输车辆进行运输，届时运输车辆产生的恶臭将得到进一步控制，综上，从交通条件分析，项目选址运输便利，比较合理。</w:t>
      </w:r>
    </w:p>
    <w:p>
      <w:pPr>
        <w:pStyle w:val="6"/>
        <w:bidi w:val="0"/>
        <w:rPr>
          <w:rFonts w:hint="default"/>
          <w:lang w:val="en-US" w:eastAsia="zh-CN"/>
        </w:rPr>
      </w:pPr>
      <w:r>
        <w:rPr>
          <w:rFonts w:hint="eastAsia"/>
          <w:lang w:val="en-US" w:eastAsia="zh-CN"/>
        </w:rPr>
        <w:t>基本设施依托合理性分析</w:t>
      </w:r>
    </w:p>
    <w:p>
      <w:pPr>
        <w:bidi w:val="0"/>
        <w:rPr>
          <w:rFonts w:hint="default"/>
          <w:lang w:val="en-US" w:eastAsia="zh-CN"/>
        </w:rPr>
      </w:pPr>
      <w:r>
        <w:rPr>
          <w:rFonts w:hint="eastAsia"/>
          <w:lang w:val="en-US" w:eastAsia="zh-CN"/>
        </w:rPr>
        <w:t>本项目位于平昌县响滩镇石泉村，根据现场调查，项目由石泉村接自来水管网进入厂区，项目建成后由自来水管网供给，水质水量均得到保障；供电由市政电网供电，项目地区可满足项目所需用水用电。综上，项目选址从基础设施分析，其选址具有合理性。</w:t>
      </w:r>
    </w:p>
    <w:p>
      <w:pPr>
        <w:pStyle w:val="6"/>
        <w:bidi w:val="0"/>
        <w:rPr>
          <w:rFonts w:hint="default"/>
          <w:lang w:val="en-US" w:eastAsia="zh-CN"/>
        </w:rPr>
      </w:pPr>
      <w:r>
        <w:rPr>
          <w:rFonts w:hint="eastAsia"/>
          <w:lang w:val="en-US" w:eastAsia="zh-CN"/>
        </w:rPr>
        <w:t>厂址周边制约因素分析</w:t>
      </w:r>
    </w:p>
    <w:p>
      <w:pPr>
        <w:spacing w:beforeLines="0" w:afterLines="0"/>
        <w:jc w:val="left"/>
        <w:rPr>
          <w:rFonts w:hint="default"/>
          <w:lang w:val="en-US" w:eastAsia="zh-CN"/>
        </w:rPr>
      </w:pPr>
      <w:r>
        <w:rPr>
          <w:rFonts w:hint="eastAsia"/>
          <w:lang w:val="en-US" w:eastAsia="zh-CN"/>
        </w:rPr>
        <w:t>根据现场调查，周围400m范围内分布的敏感点较多，主要为分散农户，无其余工业企业，项目建成后对周边敏感点的影响主要体现在项目恶臭及噪声对周边居民产生的影响，为减小周边居民的影响，建设单位将严格控制项目内待宰圈生猪和肉牛暂存数量，避免了生猪及肉牛在项目区内长时间停留，从而减小了噪声</w:t>
      </w:r>
      <w:r>
        <w:rPr>
          <w:rFonts w:hint="eastAsia" w:ascii="宋体" w:hAnsi="宋体" w:eastAsia="宋体"/>
          <w:sz w:val="24"/>
          <w:szCs w:val="24"/>
        </w:rPr>
        <w:t>及恶臭对周围居民的影响，本项目通过对场内的恶臭产生单元全部实行密闭负压抽风后经</w:t>
      </w:r>
      <w:r>
        <w:rPr>
          <w:rFonts w:hint="eastAsia"/>
          <w:sz w:val="24"/>
          <w:szCs w:val="24"/>
          <w:lang w:eastAsia="zh-CN"/>
        </w:rPr>
        <w:t>UV光解+生物洗涤塔</w:t>
      </w:r>
      <w:r>
        <w:rPr>
          <w:rFonts w:hint="eastAsia" w:ascii="宋体" w:hAnsi="宋体" w:eastAsia="宋体"/>
          <w:sz w:val="24"/>
          <w:szCs w:val="24"/>
        </w:rPr>
        <w:t>后经</w:t>
      </w:r>
      <w:r>
        <w:rPr>
          <w:rFonts w:hint="default" w:ascii="Times New Roman" w:hAnsi="Times New Roman" w:eastAsia="Times New Roman"/>
          <w:sz w:val="24"/>
          <w:szCs w:val="24"/>
        </w:rPr>
        <w:t>15m</w:t>
      </w:r>
      <w:r>
        <w:rPr>
          <w:rFonts w:hint="eastAsia" w:ascii="宋体" w:hAnsi="宋体" w:eastAsia="宋体"/>
          <w:sz w:val="24"/>
          <w:szCs w:val="24"/>
        </w:rPr>
        <w:t>高排气筒进行排放。</w:t>
      </w:r>
      <w:r>
        <w:rPr>
          <w:rFonts w:hint="eastAsia"/>
          <w:lang w:val="en-US" w:eastAsia="zh-CN"/>
        </w:rPr>
        <w:t>经本次环评计算得出</w:t>
      </w:r>
      <w:r>
        <w:rPr>
          <w:rFonts w:hint="eastAsia" w:ascii="宋体" w:hAnsi="宋体" w:eastAsia="宋体"/>
          <w:sz w:val="24"/>
          <w:szCs w:val="24"/>
          <w:highlight w:val="none"/>
        </w:rPr>
        <w:t>，本项目卫生防护距离最终确定为</w:t>
      </w:r>
      <w:r>
        <w:rPr>
          <w:rFonts w:hint="eastAsia" w:eastAsia="宋体"/>
          <w:sz w:val="24"/>
          <w:szCs w:val="24"/>
          <w:highlight w:val="none"/>
          <w:lang w:val="en-US" w:eastAsia="zh-CN"/>
        </w:rPr>
        <w:t>100</w:t>
      </w:r>
      <w:r>
        <w:rPr>
          <w:rFonts w:hint="default" w:ascii="Times New Roman" w:hAnsi="Times New Roman" w:eastAsia="Times New Roman"/>
          <w:sz w:val="24"/>
          <w:szCs w:val="24"/>
          <w:highlight w:val="none"/>
        </w:rPr>
        <w:t>m</w:t>
      </w:r>
      <w:r>
        <w:rPr>
          <w:rFonts w:hint="eastAsia" w:ascii="宋体" w:hAnsi="宋体" w:eastAsia="宋体"/>
          <w:sz w:val="24"/>
          <w:szCs w:val="24"/>
          <w:highlight w:val="none"/>
        </w:rPr>
        <w:t>，根据调查，生猪</w:t>
      </w:r>
      <w:r>
        <w:rPr>
          <w:rFonts w:hint="eastAsia" w:ascii="宋体" w:hAnsi="宋体"/>
          <w:sz w:val="24"/>
          <w:szCs w:val="24"/>
          <w:highlight w:val="none"/>
          <w:lang w:eastAsia="zh-CN"/>
        </w:rPr>
        <w:t>待宰圈</w:t>
      </w:r>
      <w:r>
        <w:rPr>
          <w:rFonts w:hint="eastAsia" w:ascii="宋体" w:hAnsi="宋体" w:eastAsia="宋体"/>
          <w:sz w:val="24"/>
          <w:szCs w:val="24"/>
          <w:highlight w:val="none"/>
        </w:rPr>
        <w:t>、屠宰车间</w:t>
      </w:r>
      <w:r>
        <w:rPr>
          <w:rFonts w:hint="eastAsia" w:ascii="宋体" w:hAnsi="宋体"/>
          <w:sz w:val="24"/>
          <w:szCs w:val="24"/>
          <w:highlight w:val="none"/>
          <w:lang w:eastAsia="zh-CN"/>
        </w:rPr>
        <w:t>、</w:t>
      </w:r>
      <w:r>
        <w:rPr>
          <w:rFonts w:hint="eastAsia" w:ascii="宋体" w:hAnsi="宋体"/>
          <w:sz w:val="24"/>
          <w:szCs w:val="24"/>
          <w:highlight w:val="none"/>
          <w:lang w:val="en-US" w:eastAsia="zh-CN"/>
        </w:rPr>
        <w:t>污水处理站等</w:t>
      </w:r>
      <w:r>
        <w:rPr>
          <w:rFonts w:hint="eastAsia" w:ascii="宋体" w:hAnsi="宋体" w:eastAsia="宋体"/>
          <w:sz w:val="24"/>
          <w:szCs w:val="24"/>
          <w:highlight w:val="none"/>
        </w:rPr>
        <w:t>周围</w:t>
      </w:r>
      <w:r>
        <w:rPr>
          <w:rFonts w:hint="eastAsia" w:eastAsia="宋体"/>
          <w:sz w:val="24"/>
          <w:szCs w:val="24"/>
          <w:highlight w:val="none"/>
          <w:lang w:val="en-US" w:eastAsia="zh-CN"/>
        </w:rPr>
        <w:t>100</w:t>
      </w:r>
      <w:r>
        <w:rPr>
          <w:rFonts w:hint="default" w:ascii="Times New Roman" w:hAnsi="Times New Roman" w:eastAsia="Times New Roman"/>
          <w:sz w:val="24"/>
          <w:szCs w:val="24"/>
          <w:highlight w:val="none"/>
        </w:rPr>
        <w:t>m</w:t>
      </w:r>
      <w:r>
        <w:rPr>
          <w:rFonts w:hint="eastAsia" w:ascii="宋体" w:hAnsi="宋体" w:eastAsia="宋体"/>
          <w:sz w:val="24"/>
          <w:szCs w:val="24"/>
          <w:highlight w:val="none"/>
        </w:rPr>
        <w:t>范围内</w:t>
      </w:r>
      <w:r>
        <w:rPr>
          <w:rFonts w:hint="eastAsia" w:ascii="宋体" w:hAnsi="宋体"/>
          <w:sz w:val="24"/>
          <w:szCs w:val="24"/>
          <w:highlight w:val="none"/>
          <w:lang w:val="en-US" w:eastAsia="zh-CN"/>
        </w:rPr>
        <w:t>无居民、学校、医院等环境敏感点，</w:t>
      </w:r>
      <w:r>
        <w:rPr>
          <w:rFonts w:hint="eastAsia" w:ascii="宋体" w:hAnsi="宋体" w:eastAsia="宋体"/>
          <w:sz w:val="24"/>
          <w:szCs w:val="24"/>
          <w:highlight w:val="none"/>
        </w:rPr>
        <w:t>项目拟划定的卫生防护距离范围内无居民分布，通过环评预测，项目产生的恶臭对周围居民的影响在可接受范围内，因此项目选址通过采取调整车间布置以及恶臭及噪声治理措施后从环保角度而言是合理的。</w:t>
      </w:r>
    </w:p>
    <w:p>
      <w:pPr>
        <w:spacing w:beforeLines="0" w:afterLines="0"/>
        <w:jc w:val="left"/>
        <w:rPr>
          <w:rFonts w:hint="default"/>
          <w:lang w:val="en-US" w:eastAsia="zh-CN"/>
        </w:rPr>
      </w:pPr>
      <w:r>
        <w:rPr>
          <w:rFonts w:hint="eastAsia" w:ascii="宋体" w:hAnsi="宋体" w:eastAsia="宋体"/>
          <w:b/>
          <w:bCs/>
          <w:sz w:val="24"/>
          <w:szCs w:val="24"/>
        </w:rPr>
        <w:t>综上，</w:t>
      </w:r>
      <w:r>
        <w:rPr>
          <w:rFonts w:hint="eastAsia" w:ascii="宋体" w:hAnsi="宋体"/>
          <w:b/>
          <w:bCs/>
          <w:sz w:val="24"/>
          <w:szCs w:val="24"/>
          <w:lang w:val="en-US" w:eastAsia="zh-CN"/>
        </w:rPr>
        <w:t>项目</w:t>
      </w:r>
      <w:r>
        <w:rPr>
          <w:rFonts w:hint="eastAsia" w:ascii="宋体" w:hAnsi="宋体" w:eastAsia="宋体"/>
          <w:b/>
          <w:bCs/>
          <w:sz w:val="24"/>
          <w:szCs w:val="24"/>
        </w:rPr>
        <w:t>采取相应的除臭、降噪措施后，项目选址具有环境合理性。</w:t>
      </w:r>
    </w:p>
    <w:p>
      <w:pPr>
        <w:pStyle w:val="4"/>
        <w:bidi w:val="0"/>
        <w:rPr>
          <w:rFonts w:hint="default"/>
          <w:lang w:val="en-US" w:eastAsia="zh-CN"/>
        </w:rPr>
      </w:pPr>
      <w:bookmarkStart w:id="33" w:name="_Toc27667"/>
      <w:r>
        <w:rPr>
          <w:rFonts w:hint="eastAsia"/>
          <w:lang w:val="en-US" w:eastAsia="zh-CN"/>
        </w:rPr>
        <w:t>污染控制与环境保护目标</w:t>
      </w:r>
      <w:bookmarkEnd w:id="33"/>
    </w:p>
    <w:p>
      <w:pPr>
        <w:pStyle w:val="5"/>
        <w:bidi w:val="0"/>
        <w:rPr>
          <w:rFonts w:hint="default"/>
          <w:lang w:val="en-US" w:eastAsia="zh-CN"/>
        </w:rPr>
      </w:pPr>
      <w:r>
        <w:rPr>
          <w:rFonts w:hint="eastAsia"/>
          <w:lang w:val="en-US" w:eastAsia="zh-CN"/>
        </w:rPr>
        <w:t>污染控制的目的</w:t>
      </w:r>
    </w:p>
    <w:p>
      <w:pPr>
        <w:spacing w:beforeLines="0" w:afterLines="0"/>
        <w:jc w:val="left"/>
        <w:rPr>
          <w:rFonts w:hint="default"/>
          <w:lang w:val="en-US" w:eastAsia="zh-CN"/>
        </w:rPr>
      </w:pPr>
      <w:r>
        <w:rPr>
          <w:rFonts w:hint="eastAsia" w:ascii="宋体" w:hAnsi="宋体" w:eastAsia="宋体"/>
          <w:sz w:val="24"/>
          <w:szCs w:val="24"/>
        </w:rPr>
        <w:t>采取有效的污染治理措施，控制本项目运行期间大气、水、噪声、固体废物等污染物的排放量，做到达标排放。项目建成后，周围环境质量不低于现有的环境质量功能。营运期重点论述项目废水、废气、固废治理措施的可行性。</w:t>
      </w:r>
    </w:p>
    <w:p>
      <w:pPr>
        <w:pStyle w:val="5"/>
        <w:bidi w:val="0"/>
        <w:rPr>
          <w:rFonts w:hint="default"/>
          <w:lang w:val="en-US" w:eastAsia="zh-CN"/>
        </w:rPr>
      </w:pPr>
      <w:r>
        <w:rPr>
          <w:rFonts w:hint="eastAsia"/>
          <w:lang w:val="en-US" w:eastAsia="zh-CN"/>
        </w:rPr>
        <w:t>环境保护目标</w:t>
      </w:r>
    </w:p>
    <w:p>
      <w:pPr>
        <w:pStyle w:val="6"/>
        <w:bidi w:val="0"/>
        <w:rPr>
          <w:rFonts w:hint="default"/>
          <w:lang w:val="en-US" w:eastAsia="zh-CN"/>
        </w:rPr>
      </w:pPr>
      <w:r>
        <w:rPr>
          <w:rFonts w:hint="eastAsia"/>
          <w:lang w:val="en-US" w:eastAsia="zh-CN"/>
        </w:rPr>
        <w:t>厂址周边环境保护目标</w:t>
      </w:r>
    </w:p>
    <w:p>
      <w:pPr>
        <w:bidi w:val="0"/>
        <w:rPr>
          <w:rFonts w:hint="default"/>
          <w:b/>
          <w:bCs/>
          <w:lang w:val="en-US" w:eastAsia="zh-CN"/>
        </w:rPr>
      </w:pPr>
      <w:r>
        <w:rPr>
          <w:rFonts w:hint="eastAsia"/>
          <w:b/>
          <w:bCs/>
          <w:lang w:val="en-US" w:eastAsia="zh-CN"/>
        </w:rPr>
        <w:t>（1）地表水</w:t>
      </w:r>
    </w:p>
    <w:p>
      <w:pPr>
        <w:adjustRightInd w:val="0"/>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rPr>
        <w:t>项目营运期污废水经自建污水处理站处理后</w:t>
      </w:r>
      <w:r>
        <w:rPr>
          <w:rFonts w:hint="eastAsia" w:ascii="宋体" w:hAnsi="宋体"/>
          <w:sz w:val="24"/>
          <w:szCs w:val="24"/>
          <w:lang w:val="en-US" w:eastAsia="zh-CN"/>
        </w:rPr>
        <w:t>回用于车辆冲洗、地面冲洗、待宰圈冲洗</w:t>
      </w:r>
      <w:r>
        <w:rPr>
          <w:rFonts w:hint="eastAsia"/>
          <w:lang w:val="en-US" w:eastAsia="zh-CN"/>
        </w:rPr>
        <w:t>和洗涤塔补水等</w:t>
      </w:r>
      <w:r>
        <w:rPr>
          <w:rFonts w:hint="eastAsia" w:ascii="宋体" w:hAnsi="宋体"/>
          <w:sz w:val="24"/>
          <w:szCs w:val="24"/>
          <w:lang w:val="en-US" w:eastAsia="zh-CN"/>
        </w:rPr>
        <w:t>，剩余废水用于农灌，不外排</w:t>
      </w:r>
      <w:r>
        <w:rPr>
          <w:rFonts w:hint="eastAsia" w:ascii="宋体" w:hAnsi="宋体" w:eastAsia="宋体"/>
          <w:sz w:val="24"/>
          <w:szCs w:val="24"/>
        </w:rPr>
        <w:t>。</w:t>
      </w:r>
      <w:r>
        <w:rPr>
          <w:rFonts w:hint="eastAsia" w:ascii="宋体" w:hAnsi="宋体"/>
          <w:sz w:val="24"/>
          <w:szCs w:val="24"/>
          <w:lang w:val="en-US" w:eastAsia="zh-CN"/>
        </w:rPr>
        <w:t>因此，</w:t>
      </w:r>
      <w:r>
        <w:rPr>
          <w:sz w:val="24"/>
          <w:szCs w:val="24"/>
        </w:rPr>
        <w:t>地表水水质和水体功能不因本项目的建设而发生变化，应使其符合《地表水环境质量标准》（GB3838-2002）Ⅲ类水域标准的要求。</w:t>
      </w:r>
    </w:p>
    <w:p>
      <w:pPr>
        <w:bidi w:val="0"/>
        <w:rPr>
          <w:rFonts w:hint="default"/>
          <w:b/>
          <w:bCs/>
          <w:lang w:val="en-US" w:eastAsia="zh-CN"/>
        </w:rPr>
      </w:pPr>
      <w:r>
        <w:rPr>
          <w:rFonts w:hint="eastAsia"/>
          <w:b/>
          <w:bCs/>
          <w:lang w:val="en-US" w:eastAsia="zh-CN"/>
        </w:rPr>
        <w:t>（2）地下水</w:t>
      </w:r>
    </w:p>
    <w:p>
      <w:pPr>
        <w:bidi w:val="0"/>
        <w:rPr>
          <w:rFonts w:hint="default"/>
          <w:lang w:val="en-US" w:eastAsia="zh-CN"/>
        </w:rPr>
      </w:pPr>
      <w:r>
        <w:rPr>
          <w:rFonts w:hint="eastAsia"/>
          <w:lang w:val="en-US" w:eastAsia="zh-CN"/>
        </w:rPr>
        <w:t>本项目周边农户均已接通自来水管网，但存在自打井作为饮用水的情况，因此本项目地下水保护目标为评价范围内具有代表性的居民点。</w:t>
      </w:r>
    </w:p>
    <w:p>
      <w:pPr>
        <w:bidi w:val="0"/>
        <w:rPr>
          <w:rFonts w:hint="default"/>
          <w:b/>
          <w:bCs/>
          <w:lang w:val="en-US" w:eastAsia="zh-CN"/>
        </w:rPr>
      </w:pPr>
      <w:r>
        <w:rPr>
          <w:rFonts w:hint="eastAsia"/>
          <w:b/>
          <w:bCs/>
          <w:lang w:val="en-US" w:eastAsia="zh-CN"/>
        </w:rPr>
        <w:t>（3）环境空气</w:t>
      </w:r>
    </w:p>
    <w:p>
      <w:pPr>
        <w:bidi w:val="0"/>
        <w:rPr>
          <w:rFonts w:hint="default"/>
          <w:lang w:val="en-US" w:eastAsia="zh-CN"/>
        </w:rPr>
      </w:pPr>
      <w:r>
        <w:rPr>
          <w:rFonts w:hint="eastAsia"/>
          <w:lang w:val="en-US" w:eastAsia="zh-CN"/>
        </w:rPr>
        <w:t>本次评价以评价范围内保护目标主要包括具有代表性的居民点，项目周边无学校、医院等其他环境敏感点，其环境功能为《环境空气质量标准》（GB3095-2012）中二类区，其环境空气质量不因项目建设而使其功能发生改变。</w:t>
      </w:r>
    </w:p>
    <w:p>
      <w:pPr>
        <w:bidi w:val="0"/>
        <w:rPr>
          <w:rFonts w:hint="default"/>
          <w:b/>
          <w:bCs/>
          <w:lang w:val="en-US" w:eastAsia="zh-CN"/>
        </w:rPr>
      </w:pPr>
      <w:r>
        <w:rPr>
          <w:rFonts w:hint="eastAsia"/>
          <w:b/>
          <w:bCs/>
          <w:lang w:val="en-US" w:eastAsia="zh-CN"/>
        </w:rPr>
        <w:t>（4）声环境</w:t>
      </w:r>
    </w:p>
    <w:p>
      <w:pPr>
        <w:spacing w:beforeLines="0" w:afterLines="0"/>
        <w:jc w:val="left"/>
        <w:rPr>
          <w:rFonts w:hint="default"/>
          <w:lang w:val="en-US" w:eastAsia="zh-CN"/>
        </w:rPr>
      </w:pPr>
      <w:r>
        <w:rPr>
          <w:rFonts w:hint="eastAsia" w:ascii="宋体" w:hAnsi="宋体" w:eastAsia="宋体"/>
          <w:sz w:val="24"/>
          <w:szCs w:val="24"/>
        </w:rPr>
        <w:t>项目所在地声环境保护目标为项目周边</w:t>
      </w:r>
      <w:r>
        <w:rPr>
          <w:rFonts w:hint="default" w:ascii="Times New Roman" w:hAnsi="Times New Roman" w:eastAsia="Times New Roman"/>
          <w:sz w:val="24"/>
          <w:szCs w:val="24"/>
        </w:rPr>
        <w:t>200m</w:t>
      </w:r>
      <w:r>
        <w:rPr>
          <w:rFonts w:hint="eastAsia" w:ascii="宋体" w:hAnsi="宋体" w:eastAsia="宋体"/>
          <w:sz w:val="24"/>
          <w:szCs w:val="24"/>
        </w:rPr>
        <w:t>范围</w:t>
      </w:r>
      <w:r>
        <w:rPr>
          <w:rFonts w:hint="eastAsia" w:ascii="宋体" w:hAnsi="宋体" w:eastAsia="宋体"/>
          <w:sz w:val="24"/>
          <w:szCs w:val="24"/>
          <w:lang w:val="en-US" w:eastAsia="zh-CN"/>
        </w:rPr>
        <w:t>内</w:t>
      </w:r>
      <w:r>
        <w:rPr>
          <w:rFonts w:hint="eastAsia" w:ascii="宋体" w:hAnsi="宋体" w:eastAsia="宋体"/>
          <w:sz w:val="24"/>
          <w:szCs w:val="24"/>
        </w:rPr>
        <w:t>居民，应满足《声环境质量标准》（</w:t>
      </w:r>
      <w:r>
        <w:rPr>
          <w:rFonts w:hint="default" w:ascii="Times New Roman" w:hAnsi="Times New Roman" w:eastAsia="Times New Roman"/>
          <w:sz w:val="24"/>
          <w:szCs w:val="24"/>
        </w:rPr>
        <w:t>GB3096-2008</w:t>
      </w:r>
      <w:r>
        <w:rPr>
          <w:rFonts w:hint="eastAsia" w:ascii="宋体" w:hAnsi="宋体" w:eastAsia="宋体"/>
          <w:sz w:val="24"/>
          <w:szCs w:val="24"/>
        </w:rPr>
        <w:t>）</w:t>
      </w:r>
      <w:r>
        <w:rPr>
          <w:rFonts w:hint="default" w:ascii="Times New Roman" w:hAnsi="Times New Roman" w:eastAsia="Times New Roman"/>
          <w:sz w:val="24"/>
          <w:szCs w:val="24"/>
        </w:rPr>
        <w:t>2</w:t>
      </w:r>
      <w:r>
        <w:rPr>
          <w:rFonts w:hint="eastAsia" w:ascii="宋体" w:hAnsi="宋体" w:eastAsia="宋体"/>
          <w:sz w:val="24"/>
          <w:szCs w:val="24"/>
        </w:rPr>
        <w:t>类标准的要求，使其声学环境质量不因本项目的建设而改变。</w:t>
      </w:r>
    </w:p>
    <w:p>
      <w:pPr>
        <w:bidi w:val="0"/>
        <w:rPr>
          <w:rFonts w:hint="default"/>
          <w:b/>
          <w:bCs/>
          <w:lang w:val="en-US" w:eastAsia="zh-CN"/>
        </w:rPr>
      </w:pPr>
      <w:r>
        <w:rPr>
          <w:rFonts w:hint="eastAsia"/>
          <w:b/>
          <w:bCs/>
          <w:lang w:val="en-US" w:eastAsia="zh-CN"/>
        </w:rPr>
        <w:t>（5）生态环境</w:t>
      </w:r>
    </w:p>
    <w:p>
      <w:pPr>
        <w:spacing w:beforeLines="0" w:afterLines="0"/>
        <w:jc w:val="left"/>
        <w:rPr>
          <w:rFonts w:hint="default"/>
          <w:lang w:val="en-US" w:eastAsia="zh-CN"/>
        </w:rPr>
      </w:pPr>
      <w:r>
        <w:rPr>
          <w:rFonts w:hint="eastAsia" w:ascii="宋体" w:hAnsi="宋体" w:eastAsia="宋体"/>
          <w:sz w:val="24"/>
          <w:szCs w:val="24"/>
        </w:rPr>
        <w:t>本项目评价范围不涉及自然保护区等特殊敏感区和森林公园等重要生态敏感区；不涉及基本林地；不涉及饮用水源地及其保护区和基本农田保护区等；项目区域不涉及生态红线。</w:t>
      </w:r>
    </w:p>
    <w:p>
      <w:pPr>
        <w:bidi w:val="0"/>
        <w:rPr>
          <w:rFonts w:hint="eastAsia"/>
          <w:b/>
          <w:bCs/>
        </w:rPr>
      </w:pPr>
      <w:r>
        <w:rPr>
          <w:rFonts w:hint="eastAsia"/>
          <w:b/>
          <w:bCs/>
        </w:rPr>
        <w:t>（</w:t>
      </w:r>
      <w:r>
        <w:rPr>
          <w:rFonts w:hint="default"/>
          <w:b/>
          <w:bCs/>
        </w:rPr>
        <w:t>6</w:t>
      </w:r>
      <w:r>
        <w:rPr>
          <w:rFonts w:hint="eastAsia"/>
          <w:b/>
          <w:bCs/>
        </w:rPr>
        <w:t>）环境风险</w:t>
      </w:r>
    </w:p>
    <w:p>
      <w:pPr>
        <w:bidi w:val="0"/>
        <w:rPr>
          <w:rFonts w:hint="eastAsia" w:ascii="宋体" w:hAnsi="宋体" w:eastAsia="宋体"/>
          <w:sz w:val="24"/>
          <w:szCs w:val="24"/>
        </w:rPr>
        <w:sectPr>
          <w:footerReference r:id="rId6" w:type="default"/>
          <w:pgSz w:w="12240" w:h="15840"/>
          <w:pgMar w:top="1440" w:right="1417" w:bottom="1440" w:left="1417" w:header="720" w:footer="720" w:gutter="0"/>
          <w:pgBorders>
            <w:top w:val="none" w:sz="0" w:space="0"/>
            <w:left w:val="none" w:sz="0" w:space="0"/>
            <w:bottom w:val="none" w:sz="0" w:space="0"/>
            <w:right w:val="none" w:sz="0" w:space="0"/>
          </w:pgBorders>
          <w:lnNumType w:countBy="0" w:distance="360"/>
          <w:pgNumType w:fmt="numberInDash" w:start="1"/>
          <w:cols w:space="720" w:num="1"/>
          <w:docGrid w:type="lines" w:linePitch="312" w:charSpace="0"/>
        </w:sectPr>
      </w:pPr>
      <w:r>
        <w:rPr>
          <w:rFonts w:hint="eastAsia" w:ascii="宋体" w:hAnsi="宋体" w:eastAsia="宋体"/>
          <w:sz w:val="24"/>
          <w:szCs w:val="24"/>
        </w:rPr>
        <w:t>参照《建设项目环境风险影响评价技术导则》（</w:t>
      </w:r>
      <w:r>
        <w:rPr>
          <w:rFonts w:hint="default" w:ascii="Times New Roman" w:hAnsi="Times New Roman" w:eastAsia="Times New Roman"/>
          <w:sz w:val="24"/>
          <w:szCs w:val="24"/>
        </w:rPr>
        <w:t>HJ/T169</w:t>
      </w:r>
      <w:r>
        <w:rPr>
          <w:rFonts w:hint="eastAsia" w:ascii="宋体" w:hAnsi="宋体" w:eastAsia="宋体"/>
          <w:sz w:val="24"/>
          <w:szCs w:val="24"/>
        </w:rPr>
        <w:t>—</w:t>
      </w:r>
      <w:r>
        <w:rPr>
          <w:rFonts w:hint="default" w:ascii="Times New Roman" w:hAnsi="Times New Roman" w:eastAsia="Times New Roman"/>
          <w:sz w:val="24"/>
          <w:szCs w:val="24"/>
        </w:rPr>
        <w:t>2018</w:t>
      </w:r>
      <w:r>
        <w:rPr>
          <w:rFonts w:hint="eastAsia" w:ascii="宋体" w:hAnsi="宋体" w:eastAsia="宋体"/>
          <w:sz w:val="24"/>
          <w:szCs w:val="24"/>
        </w:rPr>
        <w:t>）和项目行业特点，考虑污水站的环境风险事故影响，主要的水环境风险保护目标为</w:t>
      </w:r>
      <w:r>
        <w:rPr>
          <w:rFonts w:hint="eastAsia" w:ascii="宋体" w:hAnsi="宋体"/>
          <w:sz w:val="24"/>
          <w:szCs w:val="24"/>
          <w:lang w:val="en-US" w:eastAsia="zh-CN"/>
        </w:rPr>
        <w:t>磴子河</w:t>
      </w:r>
      <w:r>
        <w:rPr>
          <w:rFonts w:hint="eastAsia" w:ascii="宋体" w:hAnsi="宋体" w:eastAsia="宋体"/>
          <w:sz w:val="24"/>
          <w:szCs w:val="24"/>
        </w:rPr>
        <w:t>；环境风险大气敏感目标具有代表性的居民点为环境保护目标。</w:t>
      </w:r>
    </w:p>
    <w:p>
      <w:pPr>
        <w:pStyle w:val="29"/>
        <w:bidi w:val="0"/>
        <w:rPr>
          <w:rFonts w:hint="eastAsia"/>
          <w:lang w:val="en-US" w:eastAsia="zh-CN"/>
        </w:rPr>
      </w:pPr>
      <w:r>
        <w:rPr>
          <w:rFonts w:hint="eastAsia"/>
          <w:lang w:val="en-US" w:eastAsia="zh-CN"/>
        </w:rPr>
        <w:t>表1.9-3  环境空气保护目标一览表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2054"/>
        <w:gridCol w:w="656"/>
        <w:gridCol w:w="2002"/>
        <w:gridCol w:w="846"/>
        <w:gridCol w:w="875"/>
        <w:gridCol w:w="933"/>
        <w:gridCol w:w="1059"/>
        <w:gridCol w:w="1299"/>
        <w:gridCol w:w="2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44"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序号</w:t>
            </w:r>
          </w:p>
        </w:tc>
        <w:tc>
          <w:tcPr>
            <w:tcW w:w="780"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名称</w:t>
            </w:r>
          </w:p>
        </w:tc>
        <w:tc>
          <w:tcPr>
            <w:tcW w:w="249"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保护对象</w:t>
            </w:r>
          </w:p>
        </w:tc>
        <w:tc>
          <w:tcPr>
            <w:tcW w:w="760"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保护内容</w:t>
            </w:r>
          </w:p>
        </w:tc>
        <w:tc>
          <w:tcPr>
            <w:tcW w:w="321"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环境功能区</w:t>
            </w:r>
          </w:p>
        </w:tc>
        <w:tc>
          <w:tcPr>
            <w:tcW w:w="332"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相对厂址方位</w:t>
            </w:r>
          </w:p>
        </w:tc>
        <w:tc>
          <w:tcPr>
            <w:tcW w:w="354"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相对厂界距离</w:t>
            </w:r>
          </w:p>
        </w:tc>
        <w:tc>
          <w:tcPr>
            <w:tcW w:w="402"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相对生产车间距离</w:t>
            </w:r>
          </w:p>
        </w:tc>
        <w:tc>
          <w:tcPr>
            <w:tcW w:w="493"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相对污水处理站距离</w:t>
            </w:r>
          </w:p>
        </w:tc>
        <w:tc>
          <w:tcPr>
            <w:tcW w:w="1062"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影响时段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4"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8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249"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2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3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54"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0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062"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10"/>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0~400m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78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石泉村居民</w:t>
            </w:r>
          </w:p>
        </w:tc>
        <w:tc>
          <w:tcPr>
            <w:tcW w:w="24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人群</w:t>
            </w:r>
          </w:p>
        </w:tc>
        <w:tc>
          <w:tcPr>
            <w:tcW w:w="76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约14户，约52人</w:t>
            </w:r>
          </w:p>
        </w:tc>
        <w:tc>
          <w:tcPr>
            <w:tcW w:w="32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二类</w:t>
            </w:r>
          </w:p>
        </w:tc>
        <w:tc>
          <w:tcPr>
            <w:tcW w:w="33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东侧</w:t>
            </w:r>
          </w:p>
        </w:tc>
        <w:tc>
          <w:tcPr>
            <w:tcW w:w="354"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10m</w:t>
            </w:r>
          </w:p>
        </w:tc>
        <w:tc>
          <w:tcPr>
            <w:tcW w:w="40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110m</w:t>
            </w:r>
          </w:p>
        </w:tc>
        <w:tc>
          <w:tcPr>
            <w:tcW w:w="49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200m</w:t>
            </w:r>
          </w:p>
        </w:tc>
        <w:tc>
          <w:tcPr>
            <w:tcW w:w="106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施工期、营运期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78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西桥村居民</w:t>
            </w:r>
          </w:p>
        </w:tc>
        <w:tc>
          <w:tcPr>
            <w:tcW w:w="249"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人群</w:t>
            </w:r>
          </w:p>
        </w:tc>
        <w:tc>
          <w:tcPr>
            <w:tcW w:w="76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约10户，约30人</w:t>
            </w:r>
          </w:p>
        </w:tc>
        <w:tc>
          <w:tcPr>
            <w:tcW w:w="32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二类</w:t>
            </w:r>
          </w:p>
        </w:tc>
        <w:tc>
          <w:tcPr>
            <w:tcW w:w="33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西侧</w:t>
            </w:r>
          </w:p>
        </w:tc>
        <w:tc>
          <w:tcPr>
            <w:tcW w:w="354"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250m</w:t>
            </w:r>
          </w:p>
        </w:tc>
        <w:tc>
          <w:tcPr>
            <w:tcW w:w="40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303m</w:t>
            </w:r>
          </w:p>
        </w:tc>
        <w:tc>
          <w:tcPr>
            <w:tcW w:w="49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280m</w:t>
            </w:r>
          </w:p>
        </w:tc>
        <w:tc>
          <w:tcPr>
            <w:tcW w:w="10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施工期、营运期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w:t>
            </w:r>
          </w:p>
        </w:tc>
        <w:tc>
          <w:tcPr>
            <w:tcW w:w="78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宋家营居民1</w:t>
            </w:r>
          </w:p>
        </w:tc>
        <w:tc>
          <w:tcPr>
            <w:tcW w:w="249"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人群</w:t>
            </w:r>
          </w:p>
        </w:tc>
        <w:tc>
          <w:tcPr>
            <w:tcW w:w="76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约7户，约21人</w:t>
            </w:r>
          </w:p>
        </w:tc>
        <w:tc>
          <w:tcPr>
            <w:tcW w:w="32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二类</w:t>
            </w:r>
          </w:p>
        </w:tc>
        <w:tc>
          <w:tcPr>
            <w:tcW w:w="33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东侧</w:t>
            </w:r>
          </w:p>
        </w:tc>
        <w:tc>
          <w:tcPr>
            <w:tcW w:w="354"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240m</w:t>
            </w:r>
          </w:p>
        </w:tc>
        <w:tc>
          <w:tcPr>
            <w:tcW w:w="40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280m</w:t>
            </w:r>
          </w:p>
        </w:tc>
        <w:tc>
          <w:tcPr>
            <w:tcW w:w="49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350m</w:t>
            </w:r>
          </w:p>
        </w:tc>
        <w:tc>
          <w:tcPr>
            <w:tcW w:w="10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施工期、营运期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w:t>
            </w:r>
          </w:p>
        </w:tc>
        <w:tc>
          <w:tcPr>
            <w:tcW w:w="78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宋家营居民2</w:t>
            </w:r>
          </w:p>
        </w:tc>
        <w:tc>
          <w:tcPr>
            <w:tcW w:w="249"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人群</w:t>
            </w:r>
          </w:p>
        </w:tc>
        <w:tc>
          <w:tcPr>
            <w:tcW w:w="76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约4户，约12人</w:t>
            </w:r>
          </w:p>
        </w:tc>
        <w:tc>
          <w:tcPr>
            <w:tcW w:w="32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二类</w:t>
            </w:r>
          </w:p>
        </w:tc>
        <w:tc>
          <w:tcPr>
            <w:tcW w:w="33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东侧</w:t>
            </w:r>
          </w:p>
        </w:tc>
        <w:tc>
          <w:tcPr>
            <w:tcW w:w="354"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280m</w:t>
            </w:r>
          </w:p>
        </w:tc>
        <w:tc>
          <w:tcPr>
            <w:tcW w:w="40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320m</w:t>
            </w:r>
          </w:p>
        </w:tc>
        <w:tc>
          <w:tcPr>
            <w:tcW w:w="49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420m</w:t>
            </w:r>
          </w:p>
        </w:tc>
        <w:tc>
          <w:tcPr>
            <w:tcW w:w="10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施工期、营运期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10"/>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400~2500m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w:t>
            </w:r>
          </w:p>
        </w:tc>
        <w:tc>
          <w:tcPr>
            <w:tcW w:w="78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长河坝居民</w:t>
            </w:r>
          </w:p>
        </w:tc>
        <w:tc>
          <w:tcPr>
            <w:tcW w:w="24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人群</w:t>
            </w:r>
          </w:p>
        </w:tc>
        <w:tc>
          <w:tcPr>
            <w:tcW w:w="76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约</w:t>
            </w:r>
            <w:r>
              <w:rPr>
                <w:rFonts w:hint="default"/>
                <w:lang w:val="en-US" w:eastAsia="zh-CN"/>
              </w:rPr>
              <w:t>10</w:t>
            </w:r>
            <w:r>
              <w:rPr>
                <w:rFonts w:hint="eastAsia"/>
                <w:lang w:val="en-US" w:eastAsia="zh-CN"/>
              </w:rPr>
              <w:t>户，约</w:t>
            </w:r>
            <w:r>
              <w:rPr>
                <w:rFonts w:hint="default"/>
                <w:lang w:val="en-US" w:eastAsia="zh-CN"/>
              </w:rPr>
              <w:t>30</w:t>
            </w:r>
            <w:r>
              <w:rPr>
                <w:rFonts w:hint="eastAsia"/>
                <w:lang w:val="en-US" w:eastAsia="zh-CN"/>
              </w:rPr>
              <w:t>人</w:t>
            </w:r>
          </w:p>
        </w:tc>
        <w:tc>
          <w:tcPr>
            <w:tcW w:w="32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二类</w:t>
            </w:r>
          </w:p>
        </w:tc>
        <w:tc>
          <w:tcPr>
            <w:tcW w:w="33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东南侧</w:t>
            </w:r>
          </w:p>
        </w:tc>
        <w:tc>
          <w:tcPr>
            <w:tcW w:w="354"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670m</w:t>
            </w:r>
          </w:p>
        </w:tc>
        <w:tc>
          <w:tcPr>
            <w:tcW w:w="402"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680m</w:t>
            </w:r>
          </w:p>
        </w:tc>
        <w:tc>
          <w:tcPr>
            <w:tcW w:w="493"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730m</w:t>
            </w:r>
          </w:p>
        </w:tc>
        <w:tc>
          <w:tcPr>
            <w:tcW w:w="10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w:t>
            </w:r>
          </w:p>
        </w:tc>
        <w:tc>
          <w:tcPr>
            <w:tcW w:w="78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石泉村居民</w:t>
            </w:r>
          </w:p>
        </w:tc>
        <w:tc>
          <w:tcPr>
            <w:tcW w:w="24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人群</w:t>
            </w:r>
          </w:p>
        </w:tc>
        <w:tc>
          <w:tcPr>
            <w:tcW w:w="76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约</w:t>
            </w:r>
            <w:r>
              <w:rPr>
                <w:lang w:val="en-US" w:eastAsia="zh-CN"/>
              </w:rPr>
              <w:t>20户，约60人</w:t>
            </w:r>
          </w:p>
        </w:tc>
        <w:tc>
          <w:tcPr>
            <w:tcW w:w="32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二类</w:t>
            </w:r>
          </w:p>
        </w:tc>
        <w:tc>
          <w:tcPr>
            <w:tcW w:w="33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北侧</w:t>
            </w:r>
          </w:p>
        </w:tc>
        <w:tc>
          <w:tcPr>
            <w:tcW w:w="354"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1180m</w:t>
            </w:r>
          </w:p>
        </w:tc>
        <w:tc>
          <w:tcPr>
            <w:tcW w:w="402"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1350m</w:t>
            </w:r>
          </w:p>
        </w:tc>
        <w:tc>
          <w:tcPr>
            <w:tcW w:w="493"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1430m</w:t>
            </w:r>
          </w:p>
        </w:tc>
        <w:tc>
          <w:tcPr>
            <w:tcW w:w="1062"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w:t>
            </w:r>
          </w:p>
        </w:tc>
        <w:tc>
          <w:tcPr>
            <w:tcW w:w="78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元沱居民</w:t>
            </w:r>
          </w:p>
        </w:tc>
        <w:tc>
          <w:tcPr>
            <w:tcW w:w="24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人群</w:t>
            </w:r>
          </w:p>
        </w:tc>
        <w:tc>
          <w:tcPr>
            <w:tcW w:w="76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约</w:t>
            </w:r>
            <w:r>
              <w:rPr>
                <w:lang w:val="en-US" w:eastAsia="zh-CN"/>
              </w:rPr>
              <w:t>30户，约90人</w:t>
            </w:r>
          </w:p>
        </w:tc>
        <w:tc>
          <w:tcPr>
            <w:tcW w:w="32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二类</w:t>
            </w:r>
          </w:p>
        </w:tc>
        <w:tc>
          <w:tcPr>
            <w:tcW w:w="33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西北侧</w:t>
            </w:r>
          </w:p>
        </w:tc>
        <w:tc>
          <w:tcPr>
            <w:tcW w:w="354"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1200m</w:t>
            </w:r>
          </w:p>
        </w:tc>
        <w:tc>
          <w:tcPr>
            <w:tcW w:w="402"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1360m</w:t>
            </w:r>
          </w:p>
        </w:tc>
        <w:tc>
          <w:tcPr>
            <w:tcW w:w="493"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1364m</w:t>
            </w:r>
          </w:p>
        </w:tc>
        <w:tc>
          <w:tcPr>
            <w:tcW w:w="1062"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w:t>
            </w:r>
          </w:p>
        </w:tc>
        <w:tc>
          <w:tcPr>
            <w:tcW w:w="78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邓家河居民</w:t>
            </w:r>
          </w:p>
        </w:tc>
        <w:tc>
          <w:tcPr>
            <w:tcW w:w="24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人群</w:t>
            </w:r>
          </w:p>
        </w:tc>
        <w:tc>
          <w:tcPr>
            <w:tcW w:w="76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约</w:t>
            </w:r>
            <w:r>
              <w:rPr>
                <w:lang w:val="en-US" w:eastAsia="zh-CN"/>
              </w:rPr>
              <w:t>8户，约24人</w:t>
            </w:r>
          </w:p>
        </w:tc>
        <w:tc>
          <w:tcPr>
            <w:tcW w:w="32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二类</w:t>
            </w:r>
          </w:p>
        </w:tc>
        <w:tc>
          <w:tcPr>
            <w:tcW w:w="33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西侧</w:t>
            </w:r>
          </w:p>
        </w:tc>
        <w:tc>
          <w:tcPr>
            <w:tcW w:w="354"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1230m</w:t>
            </w:r>
          </w:p>
        </w:tc>
        <w:tc>
          <w:tcPr>
            <w:tcW w:w="402"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1260m</w:t>
            </w:r>
          </w:p>
        </w:tc>
        <w:tc>
          <w:tcPr>
            <w:tcW w:w="493"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1240m</w:t>
            </w:r>
          </w:p>
        </w:tc>
        <w:tc>
          <w:tcPr>
            <w:tcW w:w="1062"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9</w:t>
            </w:r>
          </w:p>
        </w:tc>
        <w:tc>
          <w:tcPr>
            <w:tcW w:w="78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南斯村居民</w:t>
            </w:r>
          </w:p>
        </w:tc>
        <w:tc>
          <w:tcPr>
            <w:tcW w:w="24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人群</w:t>
            </w:r>
          </w:p>
        </w:tc>
        <w:tc>
          <w:tcPr>
            <w:tcW w:w="76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约</w:t>
            </w:r>
            <w:r>
              <w:rPr>
                <w:lang w:val="en-US" w:eastAsia="zh-CN"/>
              </w:rPr>
              <w:t>30户，约90人</w:t>
            </w:r>
          </w:p>
        </w:tc>
        <w:tc>
          <w:tcPr>
            <w:tcW w:w="32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二类</w:t>
            </w:r>
          </w:p>
        </w:tc>
        <w:tc>
          <w:tcPr>
            <w:tcW w:w="33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东南侧</w:t>
            </w:r>
          </w:p>
        </w:tc>
        <w:tc>
          <w:tcPr>
            <w:tcW w:w="354"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1700m</w:t>
            </w:r>
          </w:p>
        </w:tc>
        <w:tc>
          <w:tcPr>
            <w:tcW w:w="402"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1730m</w:t>
            </w:r>
          </w:p>
        </w:tc>
        <w:tc>
          <w:tcPr>
            <w:tcW w:w="493"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1790m</w:t>
            </w:r>
          </w:p>
        </w:tc>
        <w:tc>
          <w:tcPr>
            <w:tcW w:w="1062"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w:t>
            </w:r>
          </w:p>
        </w:tc>
        <w:tc>
          <w:tcPr>
            <w:tcW w:w="78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新农村居民</w:t>
            </w:r>
          </w:p>
        </w:tc>
        <w:tc>
          <w:tcPr>
            <w:tcW w:w="24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人群</w:t>
            </w:r>
          </w:p>
        </w:tc>
        <w:tc>
          <w:tcPr>
            <w:tcW w:w="76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约</w:t>
            </w:r>
            <w:r>
              <w:rPr>
                <w:lang w:val="en-US" w:eastAsia="zh-CN"/>
              </w:rPr>
              <w:t>15户，约45人</w:t>
            </w:r>
          </w:p>
        </w:tc>
        <w:tc>
          <w:tcPr>
            <w:tcW w:w="32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二类</w:t>
            </w:r>
          </w:p>
        </w:tc>
        <w:tc>
          <w:tcPr>
            <w:tcW w:w="33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西南侧</w:t>
            </w:r>
          </w:p>
        </w:tc>
        <w:tc>
          <w:tcPr>
            <w:tcW w:w="354"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2250m</w:t>
            </w:r>
          </w:p>
        </w:tc>
        <w:tc>
          <w:tcPr>
            <w:tcW w:w="402"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2290m</w:t>
            </w:r>
          </w:p>
        </w:tc>
        <w:tc>
          <w:tcPr>
            <w:tcW w:w="493"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2270m</w:t>
            </w:r>
          </w:p>
        </w:tc>
        <w:tc>
          <w:tcPr>
            <w:tcW w:w="1062"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11</w:t>
            </w:r>
          </w:p>
        </w:tc>
        <w:tc>
          <w:tcPr>
            <w:tcW w:w="78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官岭村居民</w:t>
            </w:r>
          </w:p>
        </w:tc>
        <w:tc>
          <w:tcPr>
            <w:tcW w:w="24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人群</w:t>
            </w:r>
          </w:p>
        </w:tc>
        <w:tc>
          <w:tcPr>
            <w:tcW w:w="76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约</w:t>
            </w:r>
            <w:r>
              <w:rPr>
                <w:lang w:val="en-US" w:eastAsia="zh-CN"/>
              </w:rPr>
              <w:t>18户，约54人</w:t>
            </w:r>
          </w:p>
        </w:tc>
        <w:tc>
          <w:tcPr>
            <w:tcW w:w="32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二类</w:t>
            </w:r>
          </w:p>
        </w:tc>
        <w:tc>
          <w:tcPr>
            <w:tcW w:w="33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西侧</w:t>
            </w:r>
          </w:p>
        </w:tc>
        <w:tc>
          <w:tcPr>
            <w:tcW w:w="354"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2288m</w:t>
            </w:r>
          </w:p>
        </w:tc>
        <w:tc>
          <w:tcPr>
            <w:tcW w:w="402"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2300m</w:t>
            </w:r>
          </w:p>
        </w:tc>
        <w:tc>
          <w:tcPr>
            <w:tcW w:w="493"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2329m</w:t>
            </w:r>
          </w:p>
        </w:tc>
        <w:tc>
          <w:tcPr>
            <w:tcW w:w="1062"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12</w:t>
            </w:r>
          </w:p>
        </w:tc>
        <w:tc>
          <w:tcPr>
            <w:tcW w:w="78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关溪村居民</w:t>
            </w:r>
          </w:p>
        </w:tc>
        <w:tc>
          <w:tcPr>
            <w:tcW w:w="24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人群</w:t>
            </w:r>
          </w:p>
        </w:tc>
        <w:tc>
          <w:tcPr>
            <w:tcW w:w="76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约</w:t>
            </w:r>
            <w:r>
              <w:rPr>
                <w:lang w:val="en-US" w:eastAsia="zh-CN"/>
              </w:rPr>
              <w:t>26户，约78人</w:t>
            </w:r>
          </w:p>
        </w:tc>
        <w:tc>
          <w:tcPr>
            <w:tcW w:w="32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二类</w:t>
            </w:r>
          </w:p>
        </w:tc>
        <w:tc>
          <w:tcPr>
            <w:tcW w:w="33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东北侧</w:t>
            </w:r>
          </w:p>
        </w:tc>
        <w:tc>
          <w:tcPr>
            <w:tcW w:w="354"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2297m</w:t>
            </w:r>
          </w:p>
        </w:tc>
        <w:tc>
          <w:tcPr>
            <w:tcW w:w="402"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2310m</w:t>
            </w:r>
          </w:p>
        </w:tc>
        <w:tc>
          <w:tcPr>
            <w:tcW w:w="493" w:type="pct"/>
            <w:tcBorders>
              <w:tl2br w:val="nil"/>
              <w:tr2bl w:val="nil"/>
            </w:tcBorders>
            <w:vAlign w:val="center"/>
          </w:tcPr>
          <w:p>
            <w:pPr>
              <w:pStyle w:val="30"/>
              <w:widowControl w:val="0"/>
              <w:bidi w:val="0"/>
              <w:jc w:val="center"/>
              <w:rPr>
                <w:rFonts w:hint="default"/>
                <w:lang w:val="en-US" w:eastAsia="zh-CN"/>
              </w:rPr>
            </w:pPr>
            <w:r>
              <w:rPr>
                <w:rFonts w:hint="default"/>
                <w:lang w:val="en-US" w:eastAsia="zh-CN"/>
              </w:rPr>
              <w:t>2345m</w:t>
            </w:r>
          </w:p>
        </w:tc>
        <w:tc>
          <w:tcPr>
            <w:tcW w:w="1062"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营运期</w:t>
            </w:r>
          </w:p>
        </w:tc>
      </w:tr>
    </w:tbl>
    <w:p>
      <w:pPr>
        <w:pStyle w:val="29"/>
        <w:bidi w:val="0"/>
        <w:rPr>
          <w:rFonts w:hint="eastAsia"/>
          <w:lang w:val="en-US" w:eastAsia="zh-CN"/>
        </w:rPr>
      </w:pPr>
      <w:r>
        <w:rPr>
          <w:rFonts w:hint="eastAsia"/>
          <w:lang w:val="en-US" w:eastAsia="zh-CN"/>
        </w:rPr>
        <w:t>表1.9-4  声环境与地下水环境保护目标一览表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2053"/>
        <w:gridCol w:w="656"/>
        <w:gridCol w:w="2003"/>
        <w:gridCol w:w="846"/>
        <w:gridCol w:w="875"/>
        <w:gridCol w:w="933"/>
        <w:gridCol w:w="1060"/>
        <w:gridCol w:w="1300"/>
        <w:gridCol w:w="2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43"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序号</w:t>
            </w:r>
          </w:p>
        </w:tc>
        <w:tc>
          <w:tcPr>
            <w:tcW w:w="779"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名称</w:t>
            </w:r>
          </w:p>
        </w:tc>
        <w:tc>
          <w:tcPr>
            <w:tcW w:w="249"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保护对象</w:t>
            </w:r>
          </w:p>
        </w:tc>
        <w:tc>
          <w:tcPr>
            <w:tcW w:w="760"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保护内容</w:t>
            </w:r>
          </w:p>
        </w:tc>
        <w:tc>
          <w:tcPr>
            <w:tcW w:w="321"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环境功能区</w:t>
            </w:r>
          </w:p>
        </w:tc>
        <w:tc>
          <w:tcPr>
            <w:tcW w:w="332"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相对厂址方位</w:t>
            </w:r>
          </w:p>
        </w:tc>
        <w:tc>
          <w:tcPr>
            <w:tcW w:w="354"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相对厂界距离</w:t>
            </w:r>
          </w:p>
        </w:tc>
        <w:tc>
          <w:tcPr>
            <w:tcW w:w="402"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相对生产车间距离</w:t>
            </w:r>
          </w:p>
        </w:tc>
        <w:tc>
          <w:tcPr>
            <w:tcW w:w="493"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相对污水处理站距离</w:t>
            </w:r>
          </w:p>
        </w:tc>
        <w:tc>
          <w:tcPr>
            <w:tcW w:w="1064"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影响时段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79" w:type="pct"/>
            <w:vMerge w:val="continue"/>
            <w:tcBorders>
              <w:tl2br w:val="nil"/>
              <w:tr2bl w:val="nil"/>
            </w:tcBorders>
            <w:vAlign w:val="center"/>
          </w:tcPr>
          <w:p>
            <w:pPr>
              <w:pStyle w:val="30"/>
              <w:widowControl w:val="0"/>
              <w:jc w:val="center"/>
              <w:rPr>
                <w:rFonts w:hint="default"/>
                <w:vertAlign w:val="baseline"/>
                <w:lang w:val="en-US" w:eastAsia="zh-CN"/>
              </w:rPr>
            </w:pPr>
          </w:p>
        </w:tc>
        <w:tc>
          <w:tcPr>
            <w:tcW w:w="249"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2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3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54"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0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064"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77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石泉村居民</w:t>
            </w:r>
          </w:p>
        </w:tc>
        <w:tc>
          <w:tcPr>
            <w:tcW w:w="24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人群</w:t>
            </w:r>
          </w:p>
        </w:tc>
        <w:tc>
          <w:tcPr>
            <w:tcW w:w="76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约14户，约52人</w:t>
            </w:r>
          </w:p>
        </w:tc>
        <w:tc>
          <w:tcPr>
            <w:tcW w:w="32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二类</w:t>
            </w:r>
          </w:p>
        </w:tc>
        <w:tc>
          <w:tcPr>
            <w:tcW w:w="33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东侧</w:t>
            </w:r>
          </w:p>
        </w:tc>
        <w:tc>
          <w:tcPr>
            <w:tcW w:w="93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10m</w:t>
            </w:r>
          </w:p>
        </w:tc>
        <w:tc>
          <w:tcPr>
            <w:tcW w:w="40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110m</w:t>
            </w:r>
          </w:p>
        </w:tc>
        <w:tc>
          <w:tcPr>
            <w:tcW w:w="49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200m</w:t>
            </w:r>
          </w:p>
        </w:tc>
        <w:tc>
          <w:tcPr>
            <w:tcW w:w="106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施工期、营运期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77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西桥村居民</w:t>
            </w:r>
          </w:p>
        </w:tc>
        <w:tc>
          <w:tcPr>
            <w:tcW w:w="249"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人群</w:t>
            </w:r>
          </w:p>
        </w:tc>
        <w:tc>
          <w:tcPr>
            <w:tcW w:w="76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约10户，约30人</w:t>
            </w:r>
          </w:p>
        </w:tc>
        <w:tc>
          <w:tcPr>
            <w:tcW w:w="32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二类</w:t>
            </w:r>
          </w:p>
        </w:tc>
        <w:tc>
          <w:tcPr>
            <w:tcW w:w="33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西侧</w:t>
            </w:r>
          </w:p>
        </w:tc>
        <w:tc>
          <w:tcPr>
            <w:tcW w:w="93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250m</w:t>
            </w:r>
          </w:p>
        </w:tc>
        <w:tc>
          <w:tcPr>
            <w:tcW w:w="40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303m</w:t>
            </w:r>
          </w:p>
        </w:tc>
        <w:tc>
          <w:tcPr>
            <w:tcW w:w="49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280m</w:t>
            </w:r>
          </w:p>
        </w:tc>
        <w:tc>
          <w:tcPr>
            <w:tcW w:w="1064"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施工期、营运期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w:t>
            </w:r>
          </w:p>
        </w:tc>
        <w:tc>
          <w:tcPr>
            <w:tcW w:w="77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宋家营居民1</w:t>
            </w:r>
          </w:p>
        </w:tc>
        <w:tc>
          <w:tcPr>
            <w:tcW w:w="249"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人群</w:t>
            </w:r>
          </w:p>
        </w:tc>
        <w:tc>
          <w:tcPr>
            <w:tcW w:w="76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约7户，约21人</w:t>
            </w:r>
          </w:p>
        </w:tc>
        <w:tc>
          <w:tcPr>
            <w:tcW w:w="32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二类</w:t>
            </w:r>
          </w:p>
        </w:tc>
        <w:tc>
          <w:tcPr>
            <w:tcW w:w="33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东侧</w:t>
            </w:r>
          </w:p>
        </w:tc>
        <w:tc>
          <w:tcPr>
            <w:tcW w:w="93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240m</w:t>
            </w:r>
          </w:p>
        </w:tc>
        <w:tc>
          <w:tcPr>
            <w:tcW w:w="40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280m</w:t>
            </w:r>
          </w:p>
        </w:tc>
        <w:tc>
          <w:tcPr>
            <w:tcW w:w="49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350m</w:t>
            </w:r>
          </w:p>
        </w:tc>
        <w:tc>
          <w:tcPr>
            <w:tcW w:w="1064"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施工期、营运期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w:t>
            </w:r>
          </w:p>
        </w:tc>
        <w:tc>
          <w:tcPr>
            <w:tcW w:w="77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宋家营居民2</w:t>
            </w:r>
          </w:p>
        </w:tc>
        <w:tc>
          <w:tcPr>
            <w:tcW w:w="249"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人群</w:t>
            </w:r>
          </w:p>
        </w:tc>
        <w:tc>
          <w:tcPr>
            <w:tcW w:w="76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约4户，约12人</w:t>
            </w:r>
          </w:p>
        </w:tc>
        <w:tc>
          <w:tcPr>
            <w:tcW w:w="32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二类</w:t>
            </w:r>
          </w:p>
        </w:tc>
        <w:tc>
          <w:tcPr>
            <w:tcW w:w="33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东侧</w:t>
            </w:r>
          </w:p>
        </w:tc>
        <w:tc>
          <w:tcPr>
            <w:tcW w:w="93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280m</w:t>
            </w:r>
          </w:p>
        </w:tc>
        <w:tc>
          <w:tcPr>
            <w:tcW w:w="40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320m</w:t>
            </w:r>
          </w:p>
        </w:tc>
        <w:tc>
          <w:tcPr>
            <w:tcW w:w="49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420m</w:t>
            </w:r>
          </w:p>
        </w:tc>
        <w:tc>
          <w:tcPr>
            <w:tcW w:w="1064"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施工期、营运期</w:t>
            </w:r>
          </w:p>
        </w:tc>
      </w:tr>
    </w:tbl>
    <w:p>
      <w:pPr>
        <w:bidi w:val="0"/>
        <w:rPr>
          <w:rFonts w:hint="default"/>
          <w:lang w:val="en-US" w:eastAsia="zh-CN"/>
        </w:rPr>
      </w:pPr>
    </w:p>
    <w:p>
      <w:pPr>
        <w:rPr>
          <w:rFonts w:hint="eastAsia"/>
          <w:lang w:val="en-US" w:eastAsia="zh-CN"/>
        </w:rPr>
        <w:sectPr>
          <w:pgSz w:w="15840" w:h="12240" w:orient="landscape"/>
          <w:pgMar w:top="1417" w:right="1440" w:bottom="1417" w:left="1440" w:header="720" w:footer="720" w:gutter="0"/>
          <w:pgBorders>
            <w:top w:val="none" w:sz="0" w:space="0"/>
            <w:left w:val="none" w:sz="0" w:space="0"/>
            <w:bottom w:val="none" w:sz="0" w:space="0"/>
            <w:right w:val="none" w:sz="0" w:space="0"/>
          </w:pgBorders>
          <w:lnNumType w:countBy="0" w:distance="360"/>
          <w:pgNumType w:fmt="numberInDash"/>
          <w:cols w:space="720" w:num="1"/>
          <w:docGrid w:type="lines" w:linePitch="312" w:charSpace="0"/>
        </w:sectPr>
      </w:pPr>
    </w:p>
    <w:p>
      <w:pPr>
        <w:pStyle w:val="3"/>
        <w:bidi w:val="0"/>
        <w:rPr>
          <w:rFonts w:hint="default"/>
          <w:lang w:val="en-US" w:eastAsia="zh-CN"/>
        </w:rPr>
      </w:pPr>
      <w:bookmarkStart w:id="34" w:name="_Toc25162"/>
      <w:r>
        <w:rPr>
          <w:rFonts w:hint="eastAsia"/>
          <w:lang w:val="en-US" w:eastAsia="zh-CN"/>
        </w:rPr>
        <w:t>建设项目概况</w:t>
      </w:r>
      <w:bookmarkEnd w:id="34"/>
    </w:p>
    <w:p>
      <w:pPr>
        <w:pStyle w:val="4"/>
        <w:bidi w:val="0"/>
        <w:rPr>
          <w:rFonts w:hint="default"/>
          <w:lang w:val="en-US" w:eastAsia="zh-CN"/>
        </w:rPr>
      </w:pPr>
      <w:bookmarkStart w:id="35" w:name="_Toc27233"/>
      <w:r>
        <w:rPr>
          <w:rFonts w:hint="eastAsia"/>
          <w:lang w:val="en-US" w:eastAsia="zh-CN"/>
        </w:rPr>
        <w:t>项目基本情况</w:t>
      </w:r>
      <w:bookmarkEnd w:id="35"/>
    </w:p>
    <w:p>
      <w:pPr>
        <w:bidi w:val="0"/>
        <w:rPr>
          <w:rFonts w:hint="default"/>
          <w:lang w:val="en-US" w:eastAsia="zh-CN"/>
        </w:rPr>
      </w:pPr>
      <w:r>
        <w:rPr>
          <w:rFonts w:hint="eastAsia"/>
          <w:lang w:val="en-US" w:eastAsia="zh-CN"/>
        </w:rPr>
        <w:t>项目名称：</w:t>
      </w:r>
      <w:r>
        <w:rPr>
          <w:rFonts w:hint="eastAsia"/>
        </w:rPr>
        <w:t>平昌县乐顺现代牲畜屠宰冷链物流一体化建设项目</w:t>
      </w:r>
    </w:p>
    <w:p>
      <w:pPr>
        <w:bidi w:val="0"/>
        <w:rPr>
          <w:rFonts w:hint="default"/>
          <w:lang w:val="en-US" w:eastAsia="zh-CN"/>
        </w:rPr>
      </w:pPr>
      <w:r>
        <w:rPr>
          <w:rFonts w:hint="eastAsia"/>
          <w:lang w:val="en-US" w:eastAsia="zh-CN"/>
        </w:rPr>
        <w:t>建设单位：</w:t>
      </w:r>
      <w:r>
        <w:rPr>
          <w:rFonts w:hint="eastAsia"/>
        </w:rPr>
        <w:t>平昌乐顺食品有限公司</w:t>
      </w:r>
    </w:p>
    <w:p>
      <w:pPr>
        <w:bidi w:val="0"/>
        <w:rPr>
          <w:rFonts w:hint="eastAsia"/>
          <w:lang w:val="en-US" w:eastAsia="zh-CN"/>
        </w:rPr>
      </w:pPr>
      <w:r>
        <w:rPr>
          <w:rFonts w:hint="eastAsia"/>
          <w:lang w:val="en-US" w:eastAsia="zh-CN"/>
        </w:rPr>
        <w:t>建设性质：新建</w:t>
      </w:r>
    </w:p>
    <w:p>
      <w:pPr>
        <w:bidi w:val="0"/>
        <w:rPr>
          <w:rFonts w:hint="eastAsia"/>
        </w:rPr>
      </w:pPr>
      <w:r>
        <w:rPr>
          <w:rFonts w:hint="eastAsia"/>
          <w:lang w:val="en-US" w:eastAsia="zh-CN"/>
        </w:rPr>
        <w:t>建设地点：本项目位于</w:t>
      </w:r>
      <w:r>
        <w:rPr>
          <w:rFonts w:hint="eastAsia"/>
        </w:rPr>
        <w:t>平昌县响滩镇石泉村</w:t>
      </w:r>
    </w:p>
    <w:p>
      <w:pPr>
        <w:bidi w:val="0"/>
        <w:rPr>
          <w:rFonts w:hint="default" w:eastAsia="宋体"/>
          <w:lang w:val="en-US" w:eastAsia="zh-CN"/>
        </w:rPr>
      </w:pPr>
      <w:r>
        <w:rPr>
          <w:rFonts w:hint="eastAsia"/>
          <w:lang w:val="en-US" w:eastAsia="zh-CN"/>
        </w:rPr>
        <w:t>总投资：项目总投资5000万元，环保投资459.9</w:t>
      </w:r>
      <w:r>
        <w:rPr>
          <w:rFonts w:hint="eastAsia"/>
        </w:rPr>
        <w:t>万元</w:t>
      </w:r>
      <w:r>
        <w:rPr>
          <w:rFonts w:hint="eastAsia"/>
          <w:lang w:eastAsia="zh-CN"/>
        </w:rPr>
        <w:t>，</w:t>
      </w:r>
      <w:r>
        <w:rPr>
          <w:rFonts w:hint="eastAsia"/>
          <w:lang w:val="en-US" w:eastAsia="zh-CN"/>
        </w:rPr>
        <w:t>占总投资的8.79%</w:t>
      </w:r>
    </w:p>
    <w:p>
      <w:pPr>
        <w:bidi w:val="0"/>
        <w:rPr>
          <w:rFonts w:hint="eastAsia"/>
          <w:lang w:val="en-US" w:eastAsia="zh-CN"/>
        </w:rPr>
      </w:pPr>
      <w:r>
        <w:rPr>
          <w:rFonts w:hint="eastAsia"/>
          <w:lang w:val="en-US" w:eastAsia="zh-CN"/>
        </w:rPr>
        <w:t>建设内容及规模：本项目总占地约为29亩，总建筑面积为17825平方米，项目建成后达到生猪屠宰30万头/年，肉牛1万头/年。</w:t>
      </w:r>
    </w:p>
    <w:p>
      <w:pPr>
        <w:bidi w:val="0"/>
        <w:rPr>
          <w:rFonts w:hint="default"/>
          <w:lang w:val="en-US" w:eastAsia="zh-CN"/>
        </w:rPr>
      </w:pPr>
      <w:r>
        <w:rPr>
          <w:rFonts w:hint="eastAsia"/>
          <w:lang w:val="en-US" w:eastAsia="zh-CN"/>
        </w:rPr>
        <w:t>建设工期：2021年9月~2022年9月，</w:t>
      </w:r>
      <w:r>
        <w:rPr>
          <w:rFonts w:hint="eastAsia"/>
        </w:rPr>
        <w:t>项目建设期12个月</w:t>
      </w:r>
    </w:p>
    <w:p>
      <w:pPr>
        <w:bidi w:val="0"/>
        <w:rPr>
          <w:rFonts w:hint="default" w:eastAsia="宋体"/>
          <w:lang w:val="en-US" w:eastAsia="zh-CN"/>
        </w:rPr>
      </w:pPr>
      <w:r>
        <w:rPr>
          <w:rFonts w:hint="eastAsia"/>
          <w:lang w:val="en-US" w:eastAsia="zh-CN"/>
        </w:rPr>
        <w:t>劳动定员：本项目劳动定员为50人</w:t>
      </w:r>
    </w:p>
    <w:p>
      <w:pPr>
        <w:bidi w:val="0"/>
        <w:rPr>
          <w:rFonts w:hint="eastAsia"/>
          <w:lang w:val="en-US" w:eastAsia="zh-CN"/>
        </w:rPr>
      </w:pPr>
      <w:r>
        <w:rPr>
          <w:rFonts w:hint="eastAsia"/>
          <w:lang w:val="en-US" w:eastAsia="zh-CN"/>
        </w:rPr>
        <w:t>工作制度：生猪屠宰年工作300天，每天工作8小时；肉牛屠宰年工作150天，每天工作8小时。</w:t>
      </w:r>
    </w:p>
    <w:p>
      <w:pPr>
        <w:bidi w:val="0"/>
        <w:rPr>
          <w:rFonts w:hint="eastAsia" w:ascii="Times New Roman" w:hAnsi="Times New Roman" w:eastAsia="宋体" w:cs="Times New Roman"/>
          <w:szCs w:val="21"/>
        </w:rPr>
      </w:pPr>
      <w:r>
        <w:rPr>
          <w:rFonts w:hint="eastAsia" w:ascii="Times New Roman" w:hAnsi="Times New Roman" w:eastAsia="宋体" w:cs="Times New Roman"/>
          <w:szCs w:val="21"/>
        </w:rPr>
        <w:t>主要建设内容及规模：</w:t>
      </w:r>
      <w:r>
        <w:rPr>
          <w:rFonts w:hint="eastAsia" w:ascii="Times New Roman" w:hAnsi="Times New Roman" w:eastAsia="宋体" w:cs="Times New Roman"/>
          <w:szCs w:val="21"/>
          <w:lang w:val="en-US" w:eastAsia="zh-CN"/>
        </w:rPr>
        <w:t>投资5000万元在</w:t>
      </w:r>
      <w:r>
        <w:rPr>
          <w:rFonts w:hint="eastAsia" w:ascii="Times New Roman" w:hAnsi="Times New Roman" w:eastAsia="宋体" w:cs="Times New Roman"/>
          <w:szCs w:val="21"/>
        </w:rPr>
        <w:t>平昌县响滩镇石泉村</w:t>
      </w:r>
      <w:r>
        <w:rPr>
          <w:rFonts w:hint="eastAsia" w:ascii="Times New Roman" w:hAnsi="Times New Roman" w:eastAsia="宋体" w:cs="Times New Roman"/>
          <w:szCs w:val="21"/>
          <w:lang w:val="en-US" w:eastAsia="zh-CN"/>
        </w:rPr>
        <w:t>建设</w:t>
      </w:r>
      <w:r>
        <w:rPr>
          <w:rFonts w:hint="eastAsia" w:ascii="Times New Roman" w:hAnsi="Times New Roman" w:eastAsia="宋体" w:cs="Times New Roman"/>
          <w:szCs w:val="21"/>
        </w:rPr>
        <w:t>平昌县乐顺现代牲畜屠宰冷链物流一体化建设项目</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厂区占地面积约为</w:t>
      </w:r>
      <w:r>
        <w:rPr>
          <w:rFonts w:hint="eastAsia" w:cs="Times New Roman"/>
          <w:szCs w:val="21"/>
          <w:lang w:val="en-US" w:eastAsia="zh-CN"/>
        </w:rPr>
        <w:t>29亩</w:t>
      </w:r>
      <w:r>
        <w:rPr>
          <w:rFonts w:hint="eastAsia" w:ascii="Times New Roman" w:hAnsi="Times New Roman" w:eastAsia="宋体" w:cs="Times New Roman"/>
          <w:szCs w:val="21"/>
        </w:rPr>
        <w:t>，总建筑面积为</w:t>
      </w:r>
      <w:r>
        <w:rPr>
          <w:rFonts w:hint="eastAsia" w:cs="Times New Roman"/>
          <w:szCs w:val="21"/>
          <w:lang w:val="en-US" w:eastAsia="zh-CN"/>
        </w:rPr>
        <w:t>17825</w:t>
      </w:r>
      <w:r>
        <w:rPr>
          <w:rFonts w:hint="eastAsia" w:ascii="Times New Roman" w:hAnsi="Times New Roman" w:eastAsia="宋体" w:cs="Times New Roman"/>
          <w:szCs w:val="21"/>
        </w:rPr>
        <w:t>平方米，该项目建成后将成为平昌县生猪肉和生牛肉的统一屠宰、分割和冷鲜加工的集中地</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项目建成后，</w:t>
      </w:r>
      <w:r>
        <w:rPr>
          <w:rFonts w:hint="eastAsia" w:ascii="Times New Roman" w:hAnsi="Times New Roman" w:eastAsia="宋体" w:cs="Times New Roman"/>
          <w:szCs w:val="21"/>
        </w:rPr>
        <w:t>本项目运营期间对生猪的年屠宰量将达到</w:t>
      </w:r>
      <w:r>
        <w:rPr>
          <w:rFonts w:hint="eastAsia" w:cs="Times New Roman"/>
          <w:szCs w:val="21"/>
          <w:lang w:val="en-US" w:eastAsia="zh-CN"/>
        </w:rPr>
        <w:t>30万头</w:t>
      </w:r>
      <w:r>
        <w:rPr>
          <w:rFonts w:hint="eastAsia" w:ascii="Times New Roman" w:hAnsi="Times New Roman" w:eastAsia="宋体" w:cs="Times New Roman"/>
          <w:szCs w:val="21"/>
        </w:rPr>
        <w:t>。同时年屠宰肉牛</w:t>
      </w:r>
      <w:r>
        <w:rPr>
          <w:rFonts w:hint="eastAsia" w:cs="Times New Roman"/>
          <w:szCs w:val="21"/>
          <w:lang w:val="en-US" w:eastAsia="zh-CN"/>
        </w:rPr>
        <w:t>1万头</w:t>
      </w:r>
      <w:r>
        <w:rPr>
          <w:rFonts w:hint="eastAsia" w:ascii="Times New Roman" w:hAnsi="Times New Roman" w:eastAsia="宋体" w:cs="Times New Roman"/>
          <w:szCs w:val="21"/>
        </w:rPr>
        <w:t>。</w:t>
      </w:r>
    </w:p>
    <w:p>
      <w:pPr>
        <w:pStyle w:val="4"/>
        <w:bidi w:val="0"/>
        <w:rPr>
          <w:rFonts w:hint="default"/>
          <w:lang w:val="en-US" w:eastAsia="zh-CN"/>
        </w:rPr>
      </w:pPr>
      <w:bookmarkStart w:id="36" w:name="_Toc25881"/>
      <w:r>
        <w:rPr>
          <w:rFonts w:hint="eastAsia"/>
          <w:lang w:val="en-US" w:eastAsia="zh-CN"/>
        </w:rPr>
        <w:t>产品方案及技术经济指标</w:t>
      </w:r>
      <w:bookmarkEnd w:id="36"/>
    </w:p>
    <w:p>
      <w:pPr>
        <w:pStyle w:val="5"/>
        <w:bidi w:val="0"/>
        <w:rPr>
          <w:rFonts w:hint="default"/>
          <w:lang w:val="en-US" w:eastAsia="zh-CN"/>
        </w:rPr>
      </w:pPr>
      <w:r>
        <w:rPr>
          <w:rFonts w:hint="eastAsia"/>
          <w:lang w:val="en-US" w:eastAsia="zh-CN"/>
        </w:rPr>
        <w:t>产品方案</w:t>
      </w:r>
    </w:p>
    <w:p>
      <w:pPr>
        <w:bidi w:val="0"/>
        <w:rPr>
          <w:rFonts w:hint="default"/>
          <w:lang w:val="en-US" w:eastAsia="zh-CN"/>
        </w:rPr>
      </w:pPr>
      <w:r>
        <w:rPr>
          <w:rFonts w:hint="eastAsia"/>
          <w:lang w:val="en-US" w:eastAsia="zh-CN"/>
        </w:rPr>
        <w:t>产品方案为安全酮体肉及头蹄下货，其中每头肉猪</w:t>
      </w:r>
      <w:r>
        <w:rPr>
          <w:rFonts w:hint="eastAsia"/>
        </w:rPr>
        <w:t>胴体肉约占自身体重的61%，</w:t>
      </w:r>
      <w:r>
        <w:rPr>
          <w:rFonts w:hint="eastAsia"/>
          <w:lang w:val="en-US" w:eastAsia="zh-CN"/>
        </w:rPr>
        <w:t>每头肉牛</w:t>
      </w:r>
      <w:r>
        <w:rPr>
          <w:rFonts w:hint="eastAsia"/>
        </w:rPr>
        <w:t>胴体肉</w:t>
      </w:r>
      <w:r>
        <w:rPr>
          <w:rFonts w:hint="eastAsia"/>
          <w:lang w:val="en-US" w:eastAsia="zh-CN"/>
        </w:rPr>
        <w:t>占自身体重的45%，</w:t>
      </w:r>
      <w:r>
        <w:rPr>
          <w:rFonts w:hint="eastAsia"/>
        </w:rPr>
        <w:t>具体产品方案详见下表。</w:t>
      </w:r>
    </w:p>
    <w:p>
      <w:pPr>
        <w:pStyle w:val="29"/>
        <w:bidi w:val="0"/>
        <w:rPr>
          <w:rFonts w:hint="eastAsia"/>
          <w:lang w:val="en-US" w:eastAsia="zh-CN"/>
        </w:rPr>
      </w:pPr>
      <w:r>
        <w:rPr>
          <w:rFonts w:hint="eastAsia"/>
          <w:lang w:val="en-US" w:eastAsia="zh-CN"/>
        </w:rPr>
        <w:t>表2.3-1  产品方案一览表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867"/>
        <w:gridCol w:w="1968"/>
        <w:gridCol w:w="1948"/>
        <w:gridCol w:w="33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8" w:type="pct"/>
            <w:gridSpan w:val="2"/>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产品名称</w:t>
            </w:r>
          </w:p>
        </w:tc>
        <w:tc>
          <w:tcPr>
            <w:tcW w:w="102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数量</w:t>
            </w:r>
          </w:p>
        </w:tc>
        <w:tc>
          <w:tcPr>
            <w:tcW w:w="101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单位</w:t>
            </w:r>
          </w:p>
        </w:tc>
        <w:tc>
          <w:tcPr>
            <w:tcW w:w="1716"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猪</w:t>
            </w:r>
          </w:p>
        </w:tc>
        <w:tc>
          <w:tcPr>
            <w:tcW w:w="9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猪肉</w:t>
            </w:r>
          </w:p>
        </w:tc>
        <w:tc>
          <w:tcPr>
            <w:tcW w:w="1968" w:type="dxa"/>
            <w:tcBorders>
              <w:tl2br w:val="nil"/>
              <w:tr2bl w:val="nil"/>
            </w:tcBorders>
            <w:vAlign w:val="center"/>
          </w:tcPr>
          <w:p>
            <w:pPr>
              <w:pStyle w:val="30"/>
              <w:widowControl w:val="0"/>
              <w:bidi w:val="0"/>
              <w:rPr>
                <w:rFonts w:hint="default"/>
                <w:lang w:val="en-US" w:eastAsia="zh-CN"/>
              </w:rPr>
            </w:pPr>
            <w:r>
              <w:rPr>
                <w:rFonts w:hint="eastAsia"/>
                <w:lang w:val="en-US" w:eastAsia="zh-CN"/>
              </w:rPr>
              <w:t>18300</w:t>
            </w:r>
          </w:p>
        </w:tc>
        <w:tc>
          <w:tcPr>
            <w:tcW w:w="10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t/a</w:t>
            </w:r>
          </w:p>
        </w:tc>
        <w:tc>
          <w:tcPr>
            <w:tcW w:w="1716"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每头生猪的重量约为100kg，年总屠宰生猪总重30000t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9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头、蹄、尾</w:t>
            </w:r>
          </w:p>
        </w:tc>
        <w:tc>
          <w:tcPr>
            <w:tcW w:w="1968" w:type="dxa"/>
            <w:tcBorders>
              <w:tl2br w:val="nil"/>
              <w:tr2bl w:val="nil"/>
            </w:tcBorders>
            <w:vAlign w:val="center"/>
          </w:tcPr>
          <w:p>
            <w:pPr>
              <w:pStyle w:val="30"/>
              <w:widowControl w:val="0"/>
              <w:bidi w:val="0"/>
              <w:rPr>
                <w:rFonts w:hint="default"/>
                <w:lang w:val="en-US" w:eastAsia="zh-CN"/>
              </w:rPr>
            </w:pPr>
            <w:r>
              <w:rPr>
                <w:rFonts w:hint="eastAsia"/>
                <w:lang w:val="en-US" w:eastAsia="zh-CN"/>
              </w:rPr>
              <w:t>4893</w:t>
            </w:r>
          </w:p>
        </w:tc>
        <w:tc>
          <w:tcPr>
            <w:tcW w:w="10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t/a</w:t>
            </w:r>
          </w:p>
        </w:tc>
        <w:tc>
          <w:tcPr>
            <w:tcW w:w="1716"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9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内脏</w:t>
            </w:r>
          </w:p>
        </w:tc>
        <w:tc>
          <w:tcPr>
            <w:tcW w:w="1968" w:type="dxa"/>
            <w:tcBorders>
              <w:tl2br w:val="nil"/>
              <w:tr2bl w:val="nil"/>
            </w:tcBorders>
            <w:vAlign w:val="center"/>
          </w:tcPr>
          <w:p>
            <w:pPr>
              <w:pStyle w:val="30"/>
              <w:widowControl w:val="0"/>
              <w:bidi w:val="0"/>
              <w:rPr>
                <w:rFonts w:hint="default"/>
                <w:lang w:val="en-US" w:eastAsia="zh-CN"/>
              </w:rPr>
            </w:pPr>
            <w:r>
              <w:rPr>
                <w:rFonts w:hint="eastAsia"/>
                <w:lang w:val="en-US" w:eastAsia="zh-CN"/>
              </w:rPr>
              <w:t>3600</w:t>
            </w:r>
          </w:p>
        </w:tc>
        <w:tc>
          <w:tcPr>
            <w:tcW w:w="10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t/a</w:t>
            </w:r>
          </w:p>
        </w:tc>
        <w:tc>
          <w:tcPr>
            <w:tcW w:w="1716"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9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猪血</w:t>
            </w:r>
          </w:p>
        </w:tc>
        <w:tc>
          <w:tcPr>
            <w:tcW w:w="1968" w:type="dxa"/>
            <w:tcBorders>
              <w:tl2br w:val="nil"/>
              <w:tr2bl w:val="nil"/>
            </w:tcBorders>
            <w:vAlign w:val="center"/>
          </w:tcPr>
          <w:p>
            <w:pPr>
              <w:pStyle w:val="30"/>
              <w:widowControl w:val="0"/>
              <w:bidi w:val="0"/>
              <w:rPr>
                <w:rFonts w:hint="default"/>
                <w:lang w:val="en-US" w:eastAsia="zh-CN"/>
              </w:rPr>
            </w:pPr>
            <w:r>
              <w:rPr>
                <w:rFonts w:hint="eastAsia"/>
                <w:lang w:val="en-US" w:eastAsia="zh-CN"/>
              </w:rPr>
              <w:t>450</w:t>
            </w:r>
          </w:p>
        </w:tc>
        <w:tc>
          <w:tcPr>
            <w:tcW w:w="10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t/a</w:t>
            </w:r>
          </w:p>
        </w:tc>
        <w:tc>
          <w:tcPr>
            <w:tcW w:w="1716"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牛</w:t>
            </w:r>
          </w:p>
        </w:tc>
        <w:tc>
          <w:tcPr>
            <w:tcW w:w="9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牛肉</w:t>
            </w:r>
          </w:p>
        </w:tc>
        <w:tc>
          <w:tcPr>
            <w:tcW w:w="1968" w:type="dxa"/>
            <w:tcBorders>
              <w:tl2br w:val="nil"/>
              <w:tr2bl w:val="nil"/>
            </w:tcBorders>
            <w:vAlign w:val="center"/>
          </w:tcPr>
          <w:p>
            <w:pPr>
              <w:pStyle w:val="30"/>
              <w:widowControl w:val="0"/>
              <w:bidi w:val="0"/>
              <w:rPr>
                <w:rFonts w:hint="default"/>
                <w:lang w:val="en-US" w:eastAsia="zh-CN"/>
              </w:rPr>
            </w:pPr>
            <w:r>
              <w:rPr>
                <w:rFonts w:hint="eastAsia"/>
                <w:lang w:val="en-US" w:eastAsia="zh-CN"/>
              </w:rPr>
              <w:t>2250</w:t>
            </w:r>
          </w:p>
        </w:tc>
        <w:tc>
          <w:tcPr>
            <w:tcW w:w="10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t/a</w:t>
            </w:r>
          </w:p>
        </w:tc>
        <w:tc>
          <w:tcPr>
            <w:tcW w:w="1716"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每头肉牛的重量约为500kg，年总屠宰肉牛总重5000t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9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头、蹄、尾</w:t>
            </w:r>
          </w:p>
        </w:tc>
        <w:tc>
          <w:tcPr>
            <w:tcW w:w="1968" w:type="dxa"/>
            <w:tcBorders>
              <w:tl2br w:val="nil"/>
              <w:tr2bl w:val="nil"/>
            </w:tcBorders>
            <w:vAlign w:val="center"/>
          </w:tcPr>
          <w:p>
            <w:pPr>
              <w:pStyle w:val="30"/>
              <w:widowControl w:val="0"/>
              <w:bidi w:val="0"/>
              <w:rPr>
                <w:rFonts w:hint="default"/>
                <w:lang w:val="en-US" w:eastAsia="zh-CN"/>
              </w:rPr>
            </w:pPr>
            <w:r>
              <w:rPr>
                <w:rFonts w:hint="eastAsia"/>
                <w:lang w:val="en-US" w:eastAsia="zh-CN"/>
              </w:rPr>
              <w:t>1010</w:t>
            </w:r>
          </w:p>
        </w:tc>
        <w:tc>
          <w:tcPr>
            <w:tcW w:w="10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t/a</w:t>
            </w:r>
          </w:p>
        </w:tc>
        <w:tc>
          <w:tcPr>
            <w:tcW w:w="1716"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9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内脏</w:t>
            </w:r>
          </w:p>
        </w:tc>
        <w:tc>
          <w:tcPr>
            <w:tcW w:w="1968" w:type="dxa"/>
            <w:tcBorders>
              <w:tl2br w:val="nil"/>
              <w:tr2bl w:val="nil"/>
            </w:tcBorders>
            <w:vAlign w:val="center"/>
          </w:tcPr>
          <w:p>
            <w:pPr>
              <w:pStyle w:val="30"/>
              <w:widowControl w:val="0"/>
              <w:bidi w:val="0"/>
              <w:rPr>
                <w:rFonts w:hint="default"/>
                <w:lang w:val="en-US" w:eastAsia="zh-CN"/>
              </w:rPr>
            </w:pPr>
            <w:r>
              <w:rPr>
                <w:rFonts w:hint="eastAsia"/>
                <w:lang w:val="en-US" w:eastAsia="zh-CN"/>
              </w:rPr>
              <w:t>505</w:t>
            </w:r>
          </w:p>
        </w:tc>
        <w:tc>
          <w:tcPr>
            <w:tcW w:w="10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t/a</w:t>
            </w:r>
          </w:p>
        </w:tc>
        <w:tc>
          <w:tcPr>
            <w:tcW w:w="1716"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9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牛皮</w:t>
            </w:r>
          </w:p>
        </w:tc>
        <w:tc>
          <w:tcPr>
            <w:tcW w:w="1968" w:type="dxa"/>
            <w:tcBorders>
              <w:tl2br w:val="nil"/>
              <w:tr2bl w:val="nil"/>
            </w:tcBorders>
            <w:vAlign w:val="center"/>
          </w:tcPr>
          <w:p>
            <w:pPr>
              <w:pStyle w:val="30"/>
              <w:widowControl w:val="0"/>
              <w:bidi w:val="0"/>
              <w:rPr>
                <w:rFonts w:hint="default"/>
                <w:lang w:val="en-US" w:eastAsia="zh-CN"/>
              </w:rPr>
            </w:pPr>
            <w:r>
              <w:rPr>
                <w:rFonts w:hint="eastAsia"/>
                <w:lang w:val="en-US" w:eastAsia="zh-CN"/>
              </w:rPr>
              <w:t>10000</w:t>
            </w:r>
          </w:p>
        </w:tc>
        <w:tc>
          <w:tcPr>
            <w:tcW w:w="10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张/a</w:t>
            </w:r>
          </w:p>
        </w:tc>
        <w:tc>
          <w:tcPr>
            <w:tcW w:w="1716" w:type="pct"/>
            <w:vMerge w:val="continue"/>
            <w:tcBorders>
              <w:tl2br w:val="nil"/>
              <w:tr2bl w:val="nil"/>
            </w:tcBorders>
            <w:vAlign w:val="center"/>
          </w:tcPr>
          <w:p>
            <w:pPr>
              <w:pStyle w:val="30"/>
              <w:widowControl w:val="0"/>
              <w:jc w:val="center"/>
              <w:rPr>
                <w:rFonts w:hint="default"/>
                <w:vertAlign w:val="baseline"/>
                <w:lang w:val="en-US" w:eastAsia="zh-CN"/>
              </w:rPr>
            </w:pPr>
          </w:p>
        </w:tc>
      </w:tr>
    </w:tbl>
    <w:p>
      <w:pPr>
        <w:pStyle w:val="5"/>
        <w:bidi w:val="0"/>
        <w:rPr>
          <w:rFonts w:hint="default"/>
          <w:lang w:val="en-US" w:eastAsia="zh-CN"/>
        </w:rPr>
      </w:pPr>
      <w:r>
        <w:rPr>
          <w:rFonts w:hint="eastAsia"/>
          <w:lang w:val="en-US" w:eastAsia="zh-CN"/>
        </w:rPr>
        <w:t>项目主要经济技术指标</w:t>
      </w:r>
    </w:p>
    <w:p>
      <w:pPr>
        <w:rPr>
          <w:rFonts w:hint="default"/>
          <w:lang w:val="en-US" w:eastAsia="zh-CN"/>
        </w:rPr>
      </w:pPr>
      <w:r>
        <w:rPr>
          <w:rFonts w:hint="eastAsia"/>
          <w:lang w:val="en-US" w:eastAsia="zh-CN"/>
        </w:rPr>
        <w:t>本项目主要经济技术指标见表2.3-2。</w:t>
      </w:r>
    </w:p>
    <w:p>
      <w:pPr>
        <w:pStyle w:val="29"/>
        <w:bidi w:val="0"/>
        <w:rPr>
          <w:rFonts w:hint="eastAsia"/>
          <w:lang w:val="en-US" w:eastAsia="zh-CN"/>
        </w:rPr>
      </w:pPr>
      <w:r>
        <w:rPr>
          <w:rFonts w:hint="eastAsia"/>
          <w:lang w:val="en-US" w:eastAsia="zh-CN"/>
        </w:rPr>
        <w:t>表2.3-2  本项目主要经济技术指标</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2434"/>
        <w:gridCol w:w="1487"/>
        <w:gridCol w:w="1531"/>
        <w:gridCol w:w="34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序号</w:t>
            </w:r>
          </w:p>
        </w:tc>
        <w:tc>
          <w:tcPr>
            <w:tcW w:w="1264"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名称</w:t>
            </w:r>
          </w:p>
        </w:tc>
        <w:tc>
          <w:tcPr>
            <w:tcW w:w="77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单位</w:t>
            </w:r>
          </w:p>
        </w:tc>
        <w:tc>
          <w:tcPr>
            <w:tcW w:w="795"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数量</w:t>
            </w:r>
          </w:p>
        </w:tc>
        <w:tc>
          <w:tcPr>
            <w:tcW w:w="1789"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126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总占地面积</w:t>
            </w:r>
          </w:p>
        </w:tc>
        <w:tc>
          <w:tcPr>
            <w:tcW w:w="772" w:type="pct"/>
            <w:tcBorders>
              <w:tl2br w:val="nil"/>
              <w:tr2bl w:val="nil"/>
            </w:tcBorders>
            <w:vAlign w:val="center"/>
          </w:tcPr>
          <w:p>
            <w:pPr>
              <w:pStyle w:val="30"/>
              <w:widowControl w:val="0"/>
              <w:jc w:val="center"/>
              <w:rPr>
                <w:rFonts w:hint="default"/>
                <w:vertAlign w:val="superscript"/>
                <w:lang w:val="en-US" w:eastAsia="zh-CN"/>
              </w:rPr>
            </w:pPr>
            <w:r>
              <w:rPr>
                <w:rFonts w:hint="eastAsia"/>
                <w:vertAlign w:val="baseline"/>
                <w:lang w:val="en-US" w:eastAsia="zh-CN"/>
              </w:rPr>
              <w:t>亩</w:t>
            </w:r>
          </w:p>
        </w:tc>
        <w:tc>
          <w:tcPr>
            <w:tcW w:w="79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约29</w:t>
            </w:r>
          </w:p>
        </w:tc>
        <w:tc>
          <w:tcPr>
            <w:tcW w:w="178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126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建筑面积</w:t>
            </w:r>
          </w:p>
        </w:tc>
        <w:tc>
          <w:tcPr>
            <w:tcW w:w="77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m</w:t>
            </w:r>
            <w:r>
              <w:rPr>
                <w:rFonts w:hint="eastAsia"/>
                <w:vertAlign w:val="superscript"/>
                <w:lang w:val="en-US" w:eastAsia="zh-CN"/>
              </w:rPr>
              <w:t>2</w:t>
            </w:r>
          </w:p>
        </w:tc>
        <w:tc>
          <w:tcPr>
            <w:tcW w:w="79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17825</w:t>
            </w:r>
          </w:p>
        </w:tc>
        <w:tc>
          <w:tcPr>
            <w:tcW w:w="178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w:t>
            </w:r>
          </w:p>
        </w:tc>
        <w:tc>
          <w:tcPr>
            <w:tcW w:w="126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容积率</w:t>
            </w:r>
          </w:p>
        </w:tc>
        <w:tc>
          <w:tcPr>
            <w:tcW w:w="77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79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0.6</w:t>
            </w:r>
          </w:p>
        </w:tc>
        <w:tc>
          <w:tcPr>
            <w:tcW w:w="178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w:t>
            </w:r>
          </w:p>
        </w:tc>
        <w:tc>
          <w:tcPr>
            <w:tcW w:w="126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绿地率</w:t>
            </w:r>
          </w:p>
        </w:tc>
        <w:tc>
          <w:tcPr>
            <w:tcW w:w="77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79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18.9</w:t>
            </w:r>
          </w:p>
        </w:tc>
        <w:tc>
          <w:tcPr>
            <w:tcW w:w="178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w:t>
            </w:r>
          </w:p>
        </w:tc>
        <w:tc>
          <w:tcPr>
            <w:tcW w:w="126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总投资</w:t>
            </w:r>
          </w:p>
        </w:tc>
        <w:tc>
          <w:tcPr>
            <w:tcW w:w="77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万元</w:t>
            </w:r>
          </w:p>
        </w:tc>
        <w:tc>
          <w:tcPr>
            <w:tcW w:w="79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5000</w:t>
            </w:r>
          </w:p>
        </w:tc>
        <w:tc>
          <w:tcPr>
            <w:tcW w:w="178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业主自筹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w:t>
            </w:r>
          </w:p>
        </w:tc>
        <w:tc>
          <w:tcPr>
            <w:tcW w:w="126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生猪屠宰量</w:t>
            </w:r>
          </w:p>
        </w:tc>
        <w:tc>
          <w:tcPr>
            <w:tcW w:w="77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万头</w:t>
            </w:r>
          </w:p>
        </w:tc>
        <w:tc>
          <w:tcPr>
            <w:tcW w:w="79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50</w:t>
            </w:r>
          </w:p>
        </w:tc>
        <w:tc>
          <w:tcPr>
            <w:tcW w:w="178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w:t>
            </w:r>
          </w:p>
        </w:tc>
        <w:tc>
          <w:tcPr>
            <w:tcW w:w="126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肉牛屠宰量</w:t>
            </w:r>
          </w:p>
        </w:tc>
        <w:tc>
          <w:tcPr>
            <w:tcW w:w="77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万头</w:t>
            </w:r>
          </w:p>
        </w:tc>
        <w:tc>
          <w:tcPr>
            <w:tcW w:w="79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178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w:t>
            </w:r>
          </w:p>
        </w:tc>
        <w:tc>
          <w:tcPr>
            <w:tcW w:w="126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年工作天数</w:t>
            </w:r>
          </w:p>
        </w:tc>
        <w:tc>
          <w:tcPr>
            <w:tcW w:w="77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天</w:t>
            </w:r>
          </w:p>
        </w:tc>
        <w:tc>
          <w:tcPr>
            <w:tcW w:w="79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300</w:t>
            </w:r>
          </w:p>
        </w:tc>
        <w:tc>
          <w:tcPr>
            <w:tcW w:w="178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每天工作8小时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9</w:t>
            </w:r>
          </w:p>
        </w:tc>
        <w:tc>
          <w:tcPr>
            <w:tcW w:w="126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劳动定员</w:t>
            </w:r>
          </w:p>
        </w:tc>
        <w:tc>
          <w:tcPr>
            <w:tcW w:w="77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人</w:t>
            </w:r>
          </w:p>
        </w:tc>
        <w:tc>
          <w:tcPr>
            <w:tcW w:w="79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50</w:t>
            </w:r>
          </w:p>
        </w:tc>
        <w:tc>
          <w:tcPr>
            <w:tcW w:w="178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pStyle w:val="4"/>
        <w:bidi w:val="0"/>
        <w:rPr>
          <w:rFonts w:hint="default"/>
          <w:lang w:val="en-US" w:eastAsia="zh-CN"/>
        </w:rPr>
      </w:pPr>
      <w:bookmarkStart w:id="37" w:name="_Toc613"/>
      <w:r>
        <w:rPr>
          <w:rFonts w:hint="eastAsia"/>
          <w:lang w:val="en-US" w:eastAsia="zh-CN"/>
        </w:rPr>
        <w:t>项目基本组成</w:t>
      </w:r>
      <w:bookmarkEnd w:id="37"/>
    </w:p>
    <w:p>
      <w:pPr>
        <w:rPr>
          <w:rFonts w:hint="default"/>
          <w:lang w:val="en-US" w:eastAsia="zh-CN"/>
        </w:rPr>
      </w:pPr>
      <w:r>
        <w:rPr>
          <w:rFonts w:hint="eastAsia"/>
          <w:lang w:val="en-US" w:eastAsia="zh-CN"/>
        </w:rPr>
        <w:t>本项目主要由主体工程、辅助工程、公用工程、环保工程等内容组成，</w:t>
      </w:r>
      <w:r>
        <w:rPr>
          <w:rFonts w:hint="eastAsia"/>
          <w:b/>
          <w:bCs/>
          <w:lang w:val="en-US" w:eastAsia="zh-CN"/>
        </w:rPr>
        <w:t>现项目主体工程已建设完成，设备设施暂未安装</w:t>
      </w:r>
      <w:r>
        <w:rPr>
          <w:rFonts w:hint="eastAsia"/>
          <w:lang w:val="en-US" w:eastAsia="zh-CN"/>
        </w:rPr>
        <w:t>，主要工程组成见下表。</w:t>
      </w:r>
    </w:p>
    <w:p>
      <w:pPr>
        <w:pStyle w:val="29"/>
        <w:bidi w:val="0"/>
        <w:rPr>
          <w:rFonts w:hint="eastAsia"/>
          <w:lang w:val="en-US" w:eastAsia="zh-CN"/>
        </w:rPr>
      </w:pPr>
      <w:r>
        <w:rPr>
          <w:rFonts w:hint="eastAsia"/>
          <w:lang w:val="en-US" w:eastAsia="zh-CN"/>
        </w:rPr>
        <w:t>表2.2-3  现有项目组成一览表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852"/>
        <w:gridCol w:w="4836"/>
        <w:gridCol w:w="1170"/>
        <w:gridCol w:w="1155"/>
        <w:gridCol w:w="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48"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工程类别</w:t>
            </w:r>
          </w:p>
        </w:tc>
        <w:tc>
          <w:tcPr>
            <w:tcW w:w="852"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单项工程名称</w:t>
            </w:r>
          </w:p>
        </w:tc>
        <w:tc>
          <w:tcPr>
            <w:tcW w:w="4836"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工程内容及工程规模</w:t>
            </w:r>
          </w:p>
        </w:tc>
        <w:tc>
          <w:tcPr>
            <w:tcW w:w="2325" w:type="dxa"/>
            <w:gridSpan w:val="2"/>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可能产生的环境问题</w:t>
            </w:r>
          </w:p>
        </w:tc>
        <w:tc>
          <w:tcPr>
            <w:tcW w:w="758"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8" w:type="dxa"/>
            <w:vMerge w:val="continue"/>
            <w:tcBorders>
              <w:tl2br w:val="nil"/>
              <w:tr2bl w:val="nil"/>
            </w:tcBorders>
            <w:vAlign w:val="center"/>
          </w:tcPr>
          <w:p>
            <w:pPr>
              <w:pStyle w:val="30"/>
              <w:widowControl w:val="0"/>
              <w:jc w:val="center"/>
            </w:pPr>
          </w:p>
        </w:tc>
        <w:tc>
          <w:tcPr>
            <w:tcW w:w="852" w:type="dxa"/>
            <w:vMerge w:val="continue"/>
            <w:tcBorders>
              <w:tl2br w:val="nil"/>
              <w:tr2bl w:val="nil"/>
            </w:tcBorders>
            <w:vAlign w:val="center"/>
          </w:tcPr>
          <w:p>
            <w:pPr>
              <w:pStyle w:val="30"/>
              <w:widowControl w:val="0"/>
              <w:jc w:val="center"/>
            </w:pPr>
          </w:p>
        </w:tc>
        <w:tc>
          <w:tcPr>
            <w:tcW w:w="4836" w:type="dxa"/>
            <w:vMerge w:val="continue"/>
            <w:tcBorders>
              <w:tl2br w:val="nil"/>
              <w:tr2bl w:val="nil"/>
            </w:tcBorders>
            <w:vAlign w:val="center"/>
          </w:tcPr>
          <w:p>
            <w:pPr>
              <w:pStyle w:val="30"/>
              <w:widowControl w:val="0"/>
              <w:jc w:val="center"/>
            </w:pPr>
          </w:p>
        </w:tc>
        <w:tc>
          <w:tcPr>
            <w:tcW w:w="117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施工期</w:t>
            </w:r>
          </w:p>
        </w:tc>
        <w:tc>
          <w:tcPr>
            <w:tcW w:w="1155" w:type="dxa"/>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营运期</w:t>
            </w:r>
          </w:p>
        </w:tc>
        <w:tc>
          <w:tcPr>
            <w:tcW w:w="758" w:type="dxa"/>
            <w:vMerge w:val="continue"/>
            <w:tcBorders>
              <w:tl2br w:val="nil"/>
              <w:tr2bl w:val="nil"/>
            </w:tcBorders>
            <w:vAlign w:val="center"/>
          </w:tcPr>
          <w:p>
            <w:pPr>
              <w:pStyle w:val="30"/>
              <w:widowControl w:val="0"/>
              <w:jc w:val="center"/>
              <w:rPr>
                <w:rFonts w:hint="eastAsia"/>
                <w:b/>
                <w:bCs/>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主体工程</w:t>
            </w: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待宰车间</w:t>
            </w:r>
          </w:p>
        </w:tc>
        <w:tc>
          <w:tcPr>
            <w:tcW w:w="4836" w:type="dxa"/>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1F，轻钢结构，占地面积为2850m</w:t>
            </w:r>
            <w:r>
              <w:rPr>
                <w:rFonts w:hint="eastAsia"/>
                <w:vertAlign w:val="superscript"/>
                <w:lang w:val="en-US" w:eastAsia="zh-CN"/>
              </w:rPr>
              <w:t>2</w:t>
            </w:r>
            <w:r>
              <w:rPr>
                <w:rFonts w:hint="eastAsia"/>
                <w:vertAlign w:val="baseline"/>
                <w:lang w:val="en-US" w:eastAsia="zh-CN"/>
              </w:rPr>
              <w:t>，最大容纳1500头生猪、100头肉牛</w:t>
            </w:r>
          </w:p>
        </w:tc>
        <w:tc>
          <w:tcPr>
            <w:tcW w:w="1170"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扬尘、机械废气、装修废气、土石方、建筑垃圾、生产废水、生活污水、生活垃圾</w:t>
            </w:r>
          </w:p>
        </w:tc>
        <w:tc>
          <w:tcPr>
            <w:tcW w:w="115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恶臭、噪声、固废、废水</w:t>
            </w:r>
          </w:p>
        </w:tc>
        <w:tc>
          <w:tcPr>
            <w:tcW w:w="75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b/>
                <w:bCs/>
                <w:vertAlign w:val="baseline"/>
                <w:lang w:val="en-US" w:eastAsia="zh-CN"/>
              </w:rPr>
              <w:t>厂房建设以建设完成</w:t>
            </w:r>
            <w:r>
              <w:rPr>
                <w:rFonts w:hint="eastAsia"/>
                <w:vertAlign w:val="baseline"/>
                <w:lang w:val="en-US" w:eastAsia="zh-CN"/>
              </w:rPr>
              <w:t>，设备未安装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生猪屠宰车间</w:t>
            </w:r>
          </w:p>
        </w:tc>
        <w:tc>
          <w:tcPr>
            <w:tcW w:w="4836" w:type="dxa"/>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1F，总占地面积约9500m</w:t>
            </w:r>
            <w:r>
              <w:rPr>
                <w:rFonts w:hint="eastAsia"/>
                <w:vertAlign w:val="superscript"/>
                <w:lang w:val="en-US" w:eastAsia="zh-CN"/>
              </w:rPr>
              <w:t>2</w:t>
            </w:r>
            <w:r>
              <w:rPr>
                <w:rFonts w:hint="eastAsia"/>
                <w:vertAlign w:val="baseline"/>
                <w:lang w:val="en-US" w:eastAsia="zh-CN"/>
              </w:rPr>
              <w:t>，轻钢结构，内新增屠宰设备，项目建成后可形成屠宰生猪30万头/年的生产能力</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758"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肉牛屠宰车间</w:t>
            </w:r>
          </w:p>
        </w:tc>
        <w:tc>
          <w:tcPr>
            <w:tcW w:w="4836" w:type="dxa"/>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1F，总占地面积约1950m</w:t>
            </w:r>
            <w:r>
              <w:rPr>
                <w:rFonts w:hint="eastAsia"/>
                <w:vertAlign w:val="superscript"/>
                <w:lang w:val="en-US" w:eastAsia="zh-CN"/>
              </w:rPr>
              <w:t>2</w:t>
            </w:r>
            <w:r>
              <w:rPr>
                <w:rFonts w:hint="eastAsia"/>
                <w:vertAlign w:val="baseline"/>
                <w:lang w:val="en-US" w:eastAsia="zh-CN"/>
              </w:rPr>
              <w:t>，砖混结构，内新增屠宰设备，项目建成后可形成屠宰肉牛1万头/年的生产能力</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758"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办公生活设施</w:t>
            </w: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行政办公区</w:t>
            </w:r>
          </w:p>
        </w:tc>
        <w:tc>
          <w:tcPr>
            <w:tcW w:w="4836" w:type="dxa"/>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占地面积约为1000m</w:t>
            </w:r>
            <w:r>
              <w:rPr>
                <w:rFonts w:hint="eastAsia"/>
                <w:vertAlign w:val="superscript"/>
                <w:lang w:val="en-US" w:eastAsia="zh-CN"/>
              </w:rPr>
              <w:t>2</w:t>
            </w:r>
            <w:r>
              <w:rPr>
                <w:rFonts w:hint="eastAsia"/>
                <w:vertAlign w:val="baseline"/>
                <w:lang w:val="en-US" w:eastAsia="zh-CN"/>
              </w:rPr>
              <w:t>，框架结构</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废水、固废</w:t>
            </w:r>
          </w:p>
        </w:tc>
        <w:tc>
          <w:tcPr>
            <w:tcW w:w="75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b/>
                <w:bCs/>
                <w:vertAlign w:val="baseline"/>
                <w:lang w:val="en-US" w:eastAsia="zh-CN"/>
              </w:rPr>
              <w:t>已建设完成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52" w:type="dxa"/>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住宿、食堂</w:t>
            </w:r>
          </w:p>
        </w:tc>
        <w:tc>
          <w:tcPr>
            <w:tcW w:w="4836" w:type="dxa"/>
            <w:tcBorders>
              <w:tl2br w:val="nil"/>
              <w:tr2bl w:val="nil"/>
            </w:tcBorders>
            <w:vAlign w:val="center"/>
          </w:tcPr>
          <w:p>
            <w:pPr>
              <w:pStyle w:val="30"/>
              <w:widowControl w:val="0"/>
              <w:jc w:val="both"/>
              <w:rPr>
                <w:rFonts w:hint="default"/>
                <w:highlight w:val="none"/>
                <w:vertAlign w:val="baseline"/>
                <w:lang w:val="en-US" w:eastAsia="zh-CN"/>
              </w:rPr>
            </w:pPr>
            <w:r>
              <w:rPr>
                <w:rFonts w:hint="eastAsia"/>
                <w:highlight w:val="none"/>
                <w:vertAlign w:val="baseline"/>
                <w:lang w:val="en-US" w:eastAsia="zh-CN"/>
              </w:rPr>
              <w:t>项目不设置住宿，设置一间食堂，占地面积为1500m</w:t>
            </w:r>
            <w:r>
              <w:rPr>
                <w:rFonts w:hint="eastAsia"/>
                <w:highlight w:val="none"/>
                <w:vertAlign w:val="superscript"/>
                <w:lang w:val="en-US" w:eastAsia="zh-CN"/>
              </w:rPr>
              <w:t>2</w:t>
            </w:r>
            <w:r>
              <w:rPr>
                <w:rFonts w:hint="eastAsia"/>
                <w:highlight w:val="none"/>
                <w:vertAlign w:val="baseline"/>
                <w:lang w:val="en-US" w:eastAsia="zh-CN"/>
              </w:rPr>
              <w:t>，框架结构</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758"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辅助工程</w:t>
            </w:r>
          </w:p>
        </w:tc>
        <w:tc>
          <w:tcPr>
            <w:tcW w:w="852"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消防水池</w:t>
            </w:r>
          </w:p>
        </w:tc>
        <w:tc>
          <w:tcPr>
            <w:tcW w:w="4836" w:type="dxa"/>
            <w:tcBorders>
              <w:tl2br w:val="nil"/>
              <w:tr2bl w:val="nil"/>
            </w:tcBorders>
            <w:vAlign w:val="center"/>
          </w:tcPr>
          <w:p>
            <w:pPr>
              <w:pStyle w:val="30"/>
              <w:widowControl w:val="0"/>
              <w:ind w:firstLine="0" w:firstLineChars="0"/>
              <w:jc w:val="both"/>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总容积约为40m</w:t>
            </w:r>
            <w:r>
              <w:rPr>
                <w:rFonts w:hint="eastAsia"/>
                <w:vertAlign w:val="superscript"/>
                <w:lang w:val="en-US" w:eastAsia="zh-CN"/>
              </w:rPr>
              <w:t>3</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75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主体工程建设完成，设备未安装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4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52"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highlight w:val="none"/>
                <w:vertAlign w:val="baseline"/>
                <w:lang w:val="en-US" w:eastAsia="zh-CN"/>
              </w:rPr>
            </w:pPr>
            <w:r>
              <w:rPr>
                <w:rFonts w:hint="eastAsia"/>
                <w:highlight w:val="none"/>
                <w:vertAlign w:val="baseline"/>
                <w:lang w:val="en-US" w:eastAsia="zh-CN"/>
              </w:rPr>
              <w:t>无害化暂存间</w:t>
            </w:r>
          </w:p>
        </w:tc>
        <w:tc>
          <w:tcPr>
            <w:tcW w:w="4836" w:type="dxa"/>
            <w:tcBorders>
              <w:tl2br w:val="nil"/>
              <w:tr2bl w:val="nil"/>
            </w:tcBorders>
            <w:vAlign w:val="center"/>
          </w:tcPr>
          <w:p>
            <w:pPr>
              <w:pStyle w:val="30"/>
              <w:widowControl w:val="0"/>
              <w:ind w:firstLine="0" w:firstLineChars="0"/>
              <w:jc w:val="both"/>
              <w:rPr>
                <w:rFonts w:hint="default" w:ascii="Times New Roman" w:hAnsi="Times New Roman" w:eastAsia="宋体" w:cs="Times New Roman"/>
                <w:kern w:val="2"/>
                <w:sz w:val="21"/>
                <w:highlight w:val="none"/>
                <w:vertAlign w:val="baseline"/>
                <w:lang w:val="en-US" w:eastAsia="zh-CN"/>
              </w:rPr>
            </w:pPr>
            <w:r>
              <w:rPr>
                <w:rFonts w:hint="eastAsia"/>
                <w:highlight w:val="none"/>
                <w:vertAlign w:val="baseline"/>
                <w:lang w:val="en-US" w:eastAsia="zh-CN"/>
              </w:rPr>
              <w:t>占地面积约为300m</w:t>
            </w:r>
            <w:r>
              <w:rPr>
                <w:rFonts w:hint="eastAsia"/>
                <w:highlight w:val="none"/>
                <w:vertAlign w:val="superscript"/>
                <w:lang w:val="en-US" w:eastAsia="zh-CN"/>
              </w:rPr>
              <w:t>2</w:t>
            </w:r>
            <w:r>
              <w:rPr>
                <w:rFonts w:hint="eastAsia"/>
                <w:highlight w:val="none"/>
                <w:vertAlign w:val="baseline"/>
                <w:lang w:val="en-US" w:eastAsia="zh-CN"/>
              </w:rPr>
              <w:t>，用于无害化暂存不合格猪、肉牛及病胴体、病内脏、不可食用内脏、废气动物组织及碎肉碎骨等</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恶臭、噪声</w:t>
            </w:r>
          </w:p>
        </w:tc>
        <w:tc>
          <w:tcPr>
            <w:tcW w:w="758"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52"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热水供给间</w:t>
            </w:r>
          </w:p>
        </w:tc>
        <w:tc>
          <w:tcPr>
            <w:tcW w:w="4836" w:type="dxa"/>
            <w:tcBorders>
              <w:tl2br w:val="nil"/>
              <w:tr2bl w:val="nil"/>
            </w:tcBorders>
            <w:vAlign w:val="center"/>
          </w:tcPr>
          <w:p>
            <w:pPr>
              <w:pStyle w:val="30"/>
              <w:widowControl w:val="0"/>
              <w:ind w:firstLine="0" w:firstLineChars="0"/>
              <w:jc w:val="both"/>
              <w:rPr>
                <w:rFonts w:hint="default"/>
                <w:highlight w:val="none"/>
                <w:vertAlign w:val="baseline"/>
                <w:lang w:val="en-US" w:eastAsia="zh-CN"/>
              </w:rPr>
            </w:pPr>
            <w:r>
              <w:rPr>
                <w:rFonts w:hint="eastAsia"/>
                <w:highlight w:val="none"/>
                <w:vertAlign w:val="baseline"/>
                <w:lang w:val="en-US" w:eastAsia="zh-CN"/>
              </w:rPr>
              <w:t>设置于生猪屠宰车间楼顶，其中设置锅炉，通过天然气燃烧加热，为屠宰车间提供热水</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噪声、废气</w:t>
            </w:r>
          </w:p>
        </w:tc>
        <w:tc>
          <w:tcPr>
            <w:tcW w:w="758"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公用工程</w:t>
            </w: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供电工程</w:t>
            </w:r>
          </w:p>
        </w:tc>
        <w:tc>
          <w:tcPr>
            <w:tcW w:w="4836" w:type="dxa"/>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项目用电由市政电网提供</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75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未建设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供水工程</w:t>
            </w:r>
          </w:p>
        </w:tc>
        <w:tc>
          <w:tcPr>
            <w:tcW w:w="4836" w:type="dxa"/>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项目用水由市政给水管网提供</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758"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排水工程</w:t>
            </w:r>
          </w:p>
        </w:tc>
        <w:tc>
          <w:tcPr>
            <w:tcW w:w="4836" w:type="dxa"/>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项目产生的废水经拟建污水处理站处理达标后</w:t>
            </w:r>
            <w:r>
              <w:rPr>
                <w:rFonts w:hint="eastAsia"/>
                <w:lang w:val="en-US" w:eastAsia="zh-CN"/>
              </w:rPr>
              <w:t>一部分回用于进出车辆冲洗、地面冲洗、待宰圈冲洗和洗涤塔补水等，剩余部分用于农田灌溉，不外排。</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758"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供气工程</w:t>
            </w:r>
          </w:p>
        </w:tc>
        <w:tc>
          <w:tcPr>
            <w:tcW w:w="4836" w:type="dxa"/>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项目所需天然气由市政天然气管网供给</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758"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储运工程</w:t>
            </w: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冷藏库</w:t>
            </w:r>
          </w:p>
        </w:tc>
        <w:tc>
          <w:tcPr>
            <w:tcW w:w="4836" w:type="dxa"/>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2个，分别位于两个屠宰车间内速冻库旁，轻钢结构，主要用于暂存不能及时外销的分割肉</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噪声</w:t>
            </w:r>
          </w:p>
        </w:tc>
        <w:tc>
          <w:tcPr>
            <w:tcW w:w="75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b/>
                <w:bCs/>
                <w:vertAlign w:val="baseline"/>
                <w:lang w:val="en-US" w:eastAsia="zh-CN"/>
              </w:rPr>
              <w:t>主体工程已建设完成</w:t>
            </w:r>
            <w:r>
              <w:rPr>
                <w:rFonts w:hint="eastAsia"/>
                <w:vertAlign w:val="baseline"/>
                <w:lang w:val="en-US" w:eastAsia="zh-CN"/>
              </w:rPr>
              <w:t>，设备未安装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速冻库</w:t>
            </w:r>
          </w:p>
        </w:tc>
        <w:tc>
          <w:tcPr>
            <w:tcW w:w="4836" w:type="dxa"/>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2个，分别设置于两个屠宰车间（生猪屠宰车间、肉牛屠宰车间），轻钢结构，用于需要进行速冻</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噪声</w:t>
            </w:r>
          </w:p>
        </w:tc>
        <w:tc>
          <w:tcPr>
            <w:tcW w:w="758"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药品库</w:t>
            </w:r>
          </w:p>
        </w:tc>
        <w:tc>
          <w:tcPr>
            <w:tcW w:w="4836" w:type="dxa"/>
            <w:tcBorders>
              <w:tl2br w:val="nil"/>
              <w:tr2bl w:val="nil"/>
            </w:tcBorders>
            <w:vAlign w:val="center"/>
          </w:tcPr>
          <w:p>
            <w:pPr>
              <w:pStyle w:val="30"/>
              <w:widowControl w:val="0"/>
              <w:jc w:val="both"/>
              <w:rPr>
                <w:rFonts w:hint="default"/>
                <w:vertAlign w:val="superscript"/>
                <w:lang w:val="en-US" w:eastAsia="zh-CN"/>
              </w:rPr>
            </w:pPr>
            <w:r>
              <w:rPr>
                <w:rFonts w:hint="eastAsia"/>
                <w:vertAlign w:val="baseline"/>
                <w:lang w:val="en-US" w:eastAsia="zh-CN"/>
              </w:rPr>
              <w:t>1间，用于存放消毒用品，建筑面积为50m</w:t>
            </w:r>
            <w:r>
              <w:rPr>
                <w:rFonts w:hint="eastAsia"/>
                <w:vertAlign w:val="superscript"/>
                <w:lang w:val="en-US" w:eastAsia="zh-CN"/>
              </w:rPr>
              <w:t>2</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固废</w:t>
            </w:r>
          </w:p>
        </w:tc>
        <w:tc>
          <w:tcPr>
            <w:tcW w:w="758"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环保工程</w:t>
            </w: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废水</w:t>
            </w:r>
          </w:p>
        </w:tc>
        <w:tc>
          <w:tcPr>
            <w:tcW w:w="4836" w:type="dxa"/>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本项目产生的生活污水与生产废水经厂区自建污水处理站，</w:t>
            </w:r>
            <w:r>
              <w:rPr>
                <w:rFonts w:hint="eastAsia"/>
                <w:highlight w:val="none"/>
                <w:vertAlign w:val="baseline"/>
                <w:lang w:val="en-US" w:eastAsia="zh-CN"/>
              </w:rPr>
              <w:t>设置于厂区南侧，占地面积约1025m</w:t>
            </w:r>
            <w:r>
              <w:rPr>
                <w:rFonts w:hint="eastAsia"/>
                <w:highlight w:val="none"/>
                <w:vertAlign w:val="superscript"/>
                <w:lang w:val="en-US" w:eastAsia="zh-CN"/>
              </w:rPr>
              <w:t>2</w:t>
            </w:r>
            <w:r>
              <w:rPr>
                <w:rFonts w:hint="eastAsia"/>
                <w:highlight w:val="none"/>
                <w:vertAlign w:val="baseline"/>
                <w:lang w:val="en-US" w:eastAsia="zh-CN"/>
              </w:rPr>
              <w:t>，最大日处理水量为1000m</w:t>
            </w:r>
            <w:r>
              <w:rPr>
                <w:rFonts w:hint="eastAsia"/>
                <w:highlight w:val="none"/>
                <w:vertAlign w:val="superscript"/>
                <w:lang w:val="en-US" w:eastAsia="zh-CN"/>
              </w:rPr>
              <w:t>3</w:t>
            </w:r>
            <w:r>
              <w:rPr>
                <w:rFonts w:hint="eastAsia"/>
                <w:highlight w:val="none"/>
                <w:vertAlign w:val="baseline"/>
                <w:lang w:val="en-US" w:eastAsia="zh-CN"/>
              </w:rPr>
              <w:t>/d</w:t>
            </w:r>
            <w:r>
              <w:rPr>
                <w:rFonts w:hint="eastAsia"/>
                <w:lang w:eastAsia="zh-CN"/>
              </w:rPr>
              <w:t>，</w:t>
            </w:r>
            <w:r>
              <w:rPr>
                <w:rFonts w:hint="eastAsia"/>
                <w:lang w:val="en-US" w:eastAsia="zh-CN"/>
              </w:rPr>
              <w:t>处理工艺采用</w:t>
            </w:r>
            <w:r>
              <w:rPr>
                <w:rFonts w:hint="eastAsia"/>
                <w:lang w:eastAsia="zh-CN"/>
              </w:rPr>
              <w:t>“格栅池+沉渣池+多功能生物调节池+气浮沉渣池+厌氧池+初沉池+缺氧池1+好氧池1+缺氧池2+好氧池2+二沉池+生物滤池+混凝沉淀池+过滤池+紫外线消毒+清水池”</w:t>
            </w:r>
            <w:r>
              <w:rPr>
                <w:rFonts w:hint="eastAsia"/>
              </w:rPr>
              <w:t>组合工艺</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恶臭、固废、废水</w:t>
            </w:r>
          </w:p>
        </w:tc>
        <w:tc>
          <w:tcPr>
            <w:tcW w:w="75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b/>
                <w:bCs/>
                <w:vertAlign w:val="baseline"/>
                <w:lang w:val="en-US" w:eastAsia="zh-CN"/>
              </w:rPr>
              <w:t>主体工程建设完成</w:t>
            </w:r>
            <w:r>
              <w:rPr>
                <w:rFonts w:hint="eastAsia"/>
                <w:vertAlign w:val="baseline"/>
                <w:lang w:val="en-US" w:eastAsia="zh-CN"/>
              </w:rPr>
              <w:t>，设备未安装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废气</w:t>
            </w:r>
          </w:p>
        </w:tc>
        <w:tc>
          <w:tcPr>
            <w:tcW w:w="4836" w:type="dxa"/>
            <w:tcBorders>
              <w:tl2br w:val="nil"/>
              <w:tr2bl w:val="nil"/>
            </w:tcBorders>
            <w:vAlign w:val="center"/>
          </w:tcPr>
          <w:p>
            <w:pPr>
              <w:pStyle w:val="30"/>
              <w:widowControl/>
              <w:jc w:val="left"/>
              <w:rPr>
                <w:rFonts w:hint="eastAsia"/>
                <w:vertAlign w:val="baseline"/>
                <w:lang w:val="en-US" w:eastAsia="zh-CN"/>
              </w:rPr>
            </w:pPr>
            <w:r>
              <w:rPr>
                <w:rFonts w:hint="eastAsia"/>
                <w:vertAlign w:val="baseline"/>
                <w:lang w:val="en-US" w:eastAsia="zh-CN"/>
              </w:rPr>
              <w:t>污水处理站、待宰圈：污水处理站和待宰圈共用一套废气处理系统，采用“UV光解+生物洗涤塔”工艺并经过15m高排气筒（P1）排放；</w:t>
            </w:r>
          </w:p>
          <w:p>
            <w:pPr>
              <w:pStyle w:val="30"/>
              <w:widowControl w:val="0"/>
              <w:jc w:val="left"/>
              <w:rPr>
                <w:rFonts w:hint="default"/>
                <w:lang w:val="en-US" w:eastAsia="zh-CN"/>
              </w:rPr>
            </w:pPr>
            <w:r>
              <w:rPr>
                <w:rFonts w:hint="eastAsia"/>
                <w:lang w:val="en-US" w:eastAsia="zh-CN"/>
              </w:rPr>
              <w:t>屠宰车间：生猪、肉牛屠宰车间共用一套处理系统</w:t>
            </w:r>
            <w:r>
              <w:rPr>
                <w:rFonts w:hint="eastAsia"/>
                <w:vertAlign w:val="baseline"/>
                <w:lang w:val="en-US" w:eastAsia="zh-CN"/>
              </w:rPr>
              <w:t>，采用“UV光解+生物洗涤塔”工艺并经过15排气筒（P2）排放；</w:t>
            </w:r>
          </w:p>
          <w:p>
            <w:pPr>
              <w:pStyle w:val="30"/>
              <w:widowControl/>
              <w:jc w:val="left"/>
              <w:rPr>
                <w:rFonts w:hint="eastAsia"/>
                <w:vertAlign w:val="baseline"/>
                <w:lang w:val="en-US" w:eastAsia="zh-CN"/>
              </w:rPr>
            </w:pPr>
            <w:r>
              <w:rPr>
                <w:rFonts w:hint="eastAsia"/>
                <w:vertAlign w:val="baseline"/>
                <w:lang w:val="en-US" w:eastAsia="zh-CN"/>
              </w:rPr>
              <w:t>食堂：食堂油烟一套油烟净化器，通过烟道至楼顶排放；</w:t>
            </w:r>
          </w:p>
          <w:p>
            <w:pPr>
              <w:pStyle w:val="30"/>
              <w:widowControl/>
              <w:jc w:val="left"/>
              <w:rPr>
                <w:rFonts w:hint="default"/>
                <w:vertAlign w:val="baseline"/>
                <w:lang w:val="en-US" w:eastAsia="zh-CN"/>
              </w:rPr>
            </w:pPr>
            <w:r>
              <w:rPr>
                <w:rFonts w:hint="eastAsia"/>
                <w:lang w:val="en-US" w:eastAsia="zh-CN"/>
              </w:rPr>
              <w:t>锅炉：天然气废气通过排气筒至屠宰车间楼顶排放（h=8m）</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恶臭</w:t>
            </w:r>
          </w:p>
        </w:tc>
        <w:tc>
          <w:tcPr>
            <w:tcW w:w="758"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一般固废暂存间</w:t>
            </w:r>
          </w:p>
        </w:tc>
        <w:tc>
          <w:tcPr>
            <w:tcW w:w="4836" w:type="dxa"/>
            <w:tcBorders>
              <w:tl2br w:val="nil"/>
              <w:tr2bl w:val="nil"/>
            </w:tcBorders>
            <w:vAlign w:val="center"/>
          </w:tcPr>
          <w:p>
            <w:pPr>
              <w:pStyle w:val="30"/>
              <w:widowControl w:val="0"/>
              <w:jc w:val="both"/>
              <w:rPr>
                <w:rFonts w:hint="default"/>
                <w:vertAlign w:val="superscript"/>
                <w:lang w:val="en-US" w:eastAsia="zh-CN"/>
              </w:rPr>
            </w:pPr>
            <w:r>
              <w:rPr>
                <w:rFonts w:hint="eastAsia"/>
                <w:vertAlign w:val="baseline"/>
                <w:lang w:val="en-US" w:eastAsia="zh-CN"/>
              </w:rPr>
              <w:t>1间，在待宰圈旁设置一般固废暂存间（内设粪便暂存区），面积约为50m</w:t>
            </w:r>
            <w:r>
              <w:rPr>
                <w:rFonts w:hint="eastAsia"/>
                <w:vertAlign w:val="superscript"/>
                <w:lang w:val="en-US" w:eastAsia="zh-CN"/>
              </w:rPr>
              <w:t>2</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固废</w:t>
            </w:r>
          </w:p>
        </w:tc>
        <w:tc>
          <w:tcPr>
            <w:tcW w:w="758"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危废暂存间</w:t>
            </w:r>
          </w:p>
        </w:tc>
        <w:tc>
          <w:tcPr>
            <w:tcW w:w="4836" w:type="dxa"/>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1间，危废暂存间设置在屠宰车间旁，面积约为40m</w:t>
            </w:r>
            <w:r>
              <w:rPr>
                <w:rFonts w:hint="eastAsia"/>
                <w:vertAlign w:val="superscript"/>
                <w:lang w:val="en-US" w:eastAsia="zh-CN"/>
              </w:rPr>
              <w:t>2</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危废</w:t>
            </w:r>
          </w:p>
        </w:tc>
        <w:tc>
          <w:tcPr>
            <w:tcW w:w="758"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52"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生活垃圾收集措施</w:t>
            </w:r>
          </w:p>
        </w:tc>
        <w:tc>
          <w:tcPr>
            <w:tcW w:w="4836" w:type="dxa"/>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设置生活垃圾收集桶，由环卫部门每日清运</w:t>
            </w: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5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固废</w:t>
            </w:r>
          </w:p>
        </w:tc>
        <w:tc>
          <w:tcPr>
            <w:tcW w:w="758" w:type="dxa"/>
            <w:vMerge w:val="continue"/>
            <w:tcBorders>
              <w:tl2br w:val="nil"/>
              <w:tr2bl w:val="nil"/>
            </w:tcBorders>
            <w:vAlign w:val="center"/>
          </w:tcPr>
          <w:p>
            <w:pPr>
              <w:pStyle w:val="30"/>
              <w:widowControl w:val="0"/>
              <w:jc w:val="center"/>
              <w:rPr>
                <w:rFonts w:hint="eastAsia"/>
                <w:vertAlign w:val="baseline"/>
                <w:lang w:val="en-US" w:eastAsia="zh-CN"/>
              </w:rPr>
            </w:pPr>
          </w:p>
        </w:tc>
      </w:tr>
    </w:tbl>
    <w:p>
      <w:pPr>
        <w:pStyle w:val="4"/>
        <w:bidi w:val="0"/>
        <w:rPr>
          <w:rFonts w:hint="default"/>
          <w:lang w:val="en-US" w:eastAsia="zh-CN"/>
        </w:rPr>
      </w:pPr>
      <w:bookmarkStart w:id="38" w:name="_Toc28376"/>
      <w:r>
        <w:rPr>
          <w:rFonts w:hint="eastAsia"/>
          <w:lang w:val="en-US" w:eastAsia="zh-CN"/>
        </w:rPr>
        <w:t>原辅材料</w:t>
      </w:r>
      <w:bookmarkEnd w:id="38"/>
    </w:p>
    <w:p>
      <w:pPr>
        <w:pStyle w:val="5"/>
        <w:bidi w:val="0"/>
        <w:rPr>
          <w:rFonts w:hint="default"/>
          <w:lang w:val="en-US" w:eastAsia="zh-CN"/>
        </w:rPr>
      </w:pPr>
      <w:r>
        <w:rPr>
          <w:rFonts w:hint="eastAsia"/>
          <w:lang w:val="en-US" w:eastAsia="zh-CN"/>
        </w:rPr>
        <w:t>原辅料</w:t>
      </w:r>
    </w:p>
    <w:p>
      <w:pPr>
        <w:rPr>
          <w:rFonts w:hint="eastAsia"/>
          <w:lang w:val="en-US" w:eastAsia="zh-CN"/>
        </w:rPr>
      </w:pPr>
      <w:r>
        <w:rPr>
          <w:rFonts w:hint="eastAsia"/>
          <w:lang w:val="en-US" w:eastAsia="zh-CN"/>
        </w:rPr>
        <w:t>本项目运营主要原辅料消耗情况详见下表。</w:t>
      </w:r>
    </w:p>
    <w:p>
      <w:pPr>
        <w:pStyle w:val="29"/>
        <w:bidi w:val="0"/>
        <w:rPr>
          <w:rFonts w:hint="eastAsia"/>
          <w:lang w:val="en-US" w:eastAsia="zh-CN"/>
        </w:rPr>
      </w:pPr>
      <w:r>
        <w:rPr>
          <w:rFonts w:hint="eastAsia"/>
          <w:lang w:val="en-US" w:eastAsia="zh-CN"/>
        </w:rPr>
        <w:t>表2.3-4  主要原辅料一览表</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051"/>
        <w:gridCol w:w="831"/>
        <w:gridCol w:w="1062"/>
        <w:gridCol w:w="1668"/>
        <w:gridCol w:w="1695"/>
        <w:gridCol w:w="2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 w:type="pct"/>
            <w:gridSpan w:val="2"/>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原辅料名称</w:t>
            </w:r>
          </w:p>
        </w:tc>
        <w:tc>
          <w:tcPr>
            <w:tcW w:w="43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数量</w:t>
            </w:r>
          </w:p>
        </w:tc>
        <w:tc>
          <w:tcPr>
            <w:tcW w:w="55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单位</w:t>
            </w:r>
          </w:p>
        </w:tc>
        <w:tc>
          <w:tcPr>
            <w:tcW w:w="867"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位置</w:t>
            </w:r>
          </w:p>
        </w:tc>
        <w:tc>
          <w:tcPr>
            <w:tcW w:w="881"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来源</w:t>
            </w:r>
          </w:p>
        </w:tc>
        <w:tc>
          <w:tcPr>
            <w:tcW w:w="1374"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 w:type="pct"/>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生猪</w:t>
            </w:r>
          </w:p>
        </w:tc>
        <w:tc>
          <w:tcPr>
            <w:tcW w:w="4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30万</w:t>
            </w:r>
          </w:p>
        </w:tc>
        <w:tc>
          <w:tcPr>
            <w:tcW w:w="55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头/a</w:t>
            </w:r>
          </w:p>
        </w:tc>
        <w:tc>
          <w:tcPr>
            <w:tcW w:w="86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生猪待宰圈</w:t>
            </w:r>
          </w:p>
        </w:tc>
        <w:tc>
          <w:tcPr>
            <w:tcW w:w="881"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养殖场或农户</w:t>
            </w:r>
          </w:p>
        </w:tc>
        <w:tc>
          <w:tcPr>
            <w:tcW w:w="1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平均100kg/头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 w:type="pct"/>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肉牛</w:t>
            </w:r>
          </w:p>
        </w:tc>
        <w:tc>
          <w:tcPr>
            <w:tcW w:w="4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1万</w:t>
            </w:r>
          </w:p>
        </w:tc>
        <w:tc>
          <w:tcPr>
            <w:tcW w:w="55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头/a</w:t>
            </w:r>
          </w:p>
        </w:tc>
        <w:tc>
          <w:tcPr>
            <w:tcW w:w="86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肉牛待宰圈</w:t>
            </w:r>
          </w:p>
        </w:tc>
        <w:tc>
          <w:tcPr>
            <w:tcW w:w="881"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1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平均500kg/头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 w:type="pct"/>
            <w:gridSpan w:val="2"/>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二氯异氰尿酸钠</w:t>
            </w:r>
          </w:p>
        </w:tc>
        <w:tc>
          <w:tcPr>
            <w:tcW w:w="4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100</w:t>
            </w:r>
          </w:p>
        </w:tc>
        <w:tc>
          <w:tcPr>
            <w:tcW w:w="55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kg/a</w:t>
            </w:r>
          </w:p>
        </w:tc>
        <w:tc>
          <w:tcPr>
            <w:tcW w:w="86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药品间</w:t>
            </w:r>
          </w:p>
        </w:tc>
        <w:tc>
          <w:tcPr>
            <w:tcW w:w="881"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当地动检部门专供</w:t>
            </w:r>
          </w:p>
        </w:tc>
        <w:tc>
          <w:tcPr>
            <w:tcW w:w="1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屠宰场车辆进出处、屠宰车间、设备消毒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 w:type="pct"/>
            <w:gridSpan w:val="2"/>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聚维酮碘溶液</w:t>
            </w:r>
          </w:p>
        </w:tc>
        <w:tc>
          <w:tcPr>
            <w:tcW w:w="4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0.12</w:t>
            </w:r>
          </w:p>
        </w:tc>
        <w:tc>
          <w:tcPr>
            <w:tcW w:w="55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w:t>
            </w:r>
            <w:r>
              <w:rPr>
                <w:rFonts w:hint="eastAsia"/>
                <w:vertAlign w:val="superscript"/>
                <w:lang w:val="en-US" w:eastAsia="zh-CN"/>
              </w:rPr>
              <w:t>3</w:t>
            </w:r>
            <w:r>
              <w:rPr>
                <w:rFonts w:hint="eastAsia"/>
                <w:vertAlign w:val="baseline"/>
                <w:lang w:val="en-US" w:eastAsia="zh-CN"/>
              </w:rPr>
              <w:t>/a</w:t>
            </w:r>
          </w:p>
        </w:tc>
        <w:tc>
          <w:tcPr>
            <w:tcW w:w="86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药品间</w:t>
            </w:r>
          </w:p>
        </w:tc>
        <w:tc>
          <w:tcPr>
            <w:tcW w:w="88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员工进出生产车间、员工洗手消毒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90" w:type="pct"/>
            <w:gridSpan w:val="2"/>
            <w:tcBorders>
              <w:tl2br w:val="nil"/>
              <w:tr2bl w:val="nil"/>
            </w:tcBorders>
            <w:vAlign w:val="center"/>
          </w:tcPr>
          <w:p>
            <w:pPr>
              <w:pStyle w:val="30"/>
              <w:widowControl w:val="0"/>
              <w:jc w:val="center"/>
              <w:rPr>
                <w:rFonts w:hint="default"/>
                <w:highlight w:val="yellow"/>
                <w:vertAlign w:val="baseline"/>
                <w:lang w:val="en-US" w:eastAsia="zh-CN"/>
              </w:rPr>
            </w:pPr>
            <w:r>
              <w:rPr>
                <w:rFonts w:hint="eastAsia"/>
                <w:highlight w:val="none"/>
                <w:vertAlign w:val="baseline"/>
                <w:lang w:val="en-US" w:eastAsia="zh-CN"/>
              </w:rPr>
              <w:t>R507A制冷剂</w:t>
            </w:r>
          </w:p>
        </w:tc>
        <w:tc>
          <w:tcPr>
            <w:tcW w:w="4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0.9</w:t>
            </w:r>
          </w:p>
        </w:tc>
        <w:tc>
          <w:tcPr>
            <w:tcW w:w="55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t/a</w:t>
            </w:r>
          </w:p>
        </w:tc>
        <w:tc>
          <w:tcPr>
            <w:tcW w:w="86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冷藏库、速冻库</w:t>
            </w:r>
          </w:p>
        </w:tc>
        <w:tc>
          <w:tcPr>
            <w:tcW w:w="88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外购</w:t>
            </w:r>
          </w:p>
        </w:tc>
        <w:tc>
          <w:tcPr>
            <w:tcW w:w="1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冷藏库、速冻库冷媒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3"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能源</w:t>
            </w:r>
          </w:p>
        </w:tc>
        <w:tc>
          <w:tcPr>
            <w:tcW w:w="54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电</w:t>
            </w:r>
          </w:p>
        </w:tc>
        <w:tc>
          <w:tcPr>
            <w:tcW w:w="4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100</w:t>
            </w:r>
          </w:p>
        </w:tc>
        <w:tc>
          <w:tcPr>
            <w:tcW w:w="55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万KWh/a</w:t>
            </w:r>
          </w:p>
        </w:tc>
        <w:tc>
          <w:tcPr>
            <w:tcW w:w="86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88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市政供电</w:t>
            </w:r>
          </w:p>
        </w:tc>
        <w:tc>
          <w:tcPr>
            <w:tcW w:w="1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3"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4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自来水</w:t>
            </w:r>
          </w:p>
        </w:tc>
        <w:tc>
          <w:tcPr>
            <w:tcW w:w="432"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20</w:t>
            </w:r>
          </w:p>
        </w:tc>
        <w:tc>
          <w:tcPr>
            <w:tcW w:w="552"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万m</w:t>
            </w:r>
            <w:r>
              <w:rPr>
                <w:rFonts w:hint="eastAsia"/>
                <w:highlight w:val="none"/>
                <w:vertAlign w:val="superscript"/>
                <w:lang w:val="en-US" w:eastAsia="zh-CN"/>
              </w:rPr>
              <w:t>3</w:t>
            </w:r>
            <w:r>
              <w:rPr>
                <w:rFonts w:hint="eastAsia"/>
                <w:highlight w:val="none"/>
                <w:vertAlign w:val="baseline"/>
                <w:lang w:val="en-US" w:eastAsia="zh-CN"/>
              </w:rPr>
              <w:t>/a</w:t>
            </w:r>
          </w:p>
        </w:tc>
        <w:tc>
          <w:tcPr>
            <w:tcW w:w="86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88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市政供水</w:t>
            </w:r>
          </w:p>
        </w:tc>
        <w:tc>
          <w:tcPr>
            <w:tcW w:w="1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3"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46"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天然气</w:t>
            </w:r>
          </w:p>
        </w:tc>
        <w:tc>
          <w:tcPr>
            <w:tcW w:w="432"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12</w:t>
            </w:r>
          </w:p>
        </w:tc>
        <w:tc>
          <w:tcPr>
            <w:tcW w:w="55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万</w:t>
            </w:r>
            <w:r>
              <w:rPr>
                <w:color w:val="auto"/>
                <w:u w:val="none"/>
              </w:rPr>
              <w:t>Nm</w:t>
            </w:r>
            <w:r>
              <w:rPr>
                <w:color w:val="auto"/>
                <w:u w:val="none"/>
                <w:vertAlign w:val="superscript"/>
              </w:rPr>
              <w:t>3</w:t>
            </w:r>
          </w:p>
        </w:tc>
        <w:tc>
          <w:tcPr>
            <w:tcW w:w="86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高温热水设备</w:t>
            </w:r>
          </w:p>
        </w:tc>
        <w:tc>
          <w:tcPr>
            <w:tcW w:w="88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市政供气</w:t>
            </w:r>
          </w:p>
        </w:tc>
        <w:tc>
          <w:tcPr>
            <w:tcW w:w="1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bidi w:val="0"/>
        <w:rPr>
          <w:rFonts w:hint="default"/>
          <w:b/>
          <w:bCs/>
          <w:lang w:val="en-US" w:eastAsia="zh-CN"/>
        </w:rPr>
      </w:pPr>
      <w:r>
        <w:rPr>
          <w:rFonts w:hint="eastAsia"/>
          <w:b/>
          <w:bCs/>
          <w:lang w:val="en-US" w:eastAsia="zh-CN"/>
        </w:rPr>
        <w:t>原辅材料理化性质：</w:t>
      </w:r>
    </w:p>
    <w:p>
      <w:pPr>
        <w:bidi w:val="0"/>
        <w:rPr>
          <w:rFonts w:hint="eastAsia"/>
          <w:lang w:val="en-US" w:eastAsia="zh-CN"/>
        </w:rPr>
      </w:pPr>
      <w:r>
        <w:rPr>
          <w:rFonts w:hint="eastAsia"/>
          <w:b/>
          <w:bCs/>
          <w:lang w:val="en-US" w:eastAsia="zh-CN"/>
        </w:rPr>
        <w:t>R507A：</w:t>
      </w:r>
      <w:r>
        <w:rPr>
          <w:rFonts w:hint="eastAsia"/>
          <w:lang w:val="en-US" w:eastAsia="zh-CN"/>
        </w:rPr>
        <w:t>由R-125和R-143a混合而成，在常温下为无色气体，在自身压力下为无色透明液体，无毒不易燃，属于HFC型非共沸环保制冷剂，不会对臭氧层造成破坏，具有清洁、无毒、不燃、制冷效果好等特点；</w:t>
      </w:r>
    </w:p>
    <w:p>
      <w:pPr>
        <w:bidi w:val="0"/>
        <w:rPr>
          <w:rFonts w:hint="eastAsia"/>
          <w:lang w:val="en-US" w:eastAsia="zh-CN"/>
        </w:rPr>
      </w:pPr>
      <w:r>
        <w:rPr>
          <w:rFonts w:hint="eastAsia"/>
          <w:b/>
          <w:bCs/>
          <w:lang w:val="en-US" w:eastAsia="zh-CN"/>
        </w:rPr>
        <w:t>二氯异氰尿酸钠：</w:t>
      </w:r>
      <w:r>
        <w:rPr>
          <w:rFonts w:hint="eastAsia"/>
          <w:lang w:val="en-US" w:eastAsia="zh-CN"/>
        </w:rPr>
        <w:t>白色结晶，有氯气味。熔点230~250</w:t>
      </w:r>
      <w:r>
        <w:rPr>
          <w:rFonts w:hint="default" w:ascii="Times New Roman" w:hAnsi="Times New Roman" w:cs="Times New Roman"/>
          <w:lang w:val="en-US" w:eastAsia="zh-CN"/>
        </w:rPr>
        <w:t>℃</w:t>
      </w:r>
      <w:r>
        <w:rPr>
          <w:rFonts w:hint="eastAsia"/>
          <w:lang w:val="en-US" w:eastAsia="zh-CN"/>
        </w:rPr>
        <w:t>，溶于水，用于漂白、消毒、清洗等。急性毒性：LD50：1420mgkg（大鼠经口）；刺激性：家兔经皮：500mg，重点刺激；家兔经眼：10mg/24h，中毒刺激。禁配物：易燃或可燃物、铵盐、含氮化合物、强氧化剂、强碱、潮湿空气。接触潮气可分解。助燃，具有强烈刺激性。强氧化剂。与易燃物、有机物接触易着火燃烧。与含氮化合物（如氨、尿素等）反应生成易爆炸的三氯化氮。受热或遇潮易分解释出剧毒的烟气。</w:t>
      </w:r>
    </w:p>
    <w:p>
      <w:pPr>
        <w:bidi w:val="0"/>
        <w:rPr>
          <w:rFonts w:hint="eastAsia"/>
          <w:lang w:val="en-US" w:eastAsia="zh-CN"/>
        </w:rPr>
      </w:pPr>
      <w:r>
        <w:rPr>
          <w:rFonts w:hint="eastAsia"/>
          <w:b/>
          <w:bCs/>
          <w:lang w:val="en-US" w:eastAsia="zh-CN"/>
        </w:rPr>
        <w:t>聚维酮碘溶液：</w:t>
      </w:r>
      <w:r>
        <w:rPr>
          <w:rFonts w:hint="eastAsia"/>
          <w:lang w:val="en-US" w:eastAsia="zh-CN"/>
        </w:rPr>
        <w:t>红棕色液体，主要成分为聚维酮碘，辅料为乙二胺四乙酸二钠、碘酸钾、碘化钾、氢氧化钠、纯化水。用于小面积皮肤、黏膜创口的消毒</w:t>
      </w:r>
    </w:p>
    <w:p>
      <w:pPr>
        <w:pStyle w:val="4"/>
        <w:bidi w:val="0"/>
        <w:rPr>
          <w:rFonts w:hint="default"/>
          <w:highlight w:val="none"/>
          <w:lang w:val="en-US" w:eastAsia="zh-CN"/>
        </w:rPr>
      </w:pPr>
      <w:bookmarkStart w:id="39" w:name="_Toc22123"/>
      <w:r>
        <w:rPr>
          <w:rFonts w:hint="eastAsia"/>
          <w:highlight w:val="none"/>
          <w:lang w:val="en-US" w:eastAsia="zh-CN"/>
        </w:rPr>
        <w:t>项目总平面布置合理性分析</w:t>
      </w:r>
      <w:bookmarkEnd w:id="39"/>
    </w:p>
    <w:p>
      <w:pPr>
        <w:pStyle w:val="5"/>
        <w:bidi w:val="0"/>
        <w:rPr>
          <w:rFonts w:hint="eastAsia"/>
        </w:rPr>
      </w:pPr>
      <w:r>
        <w:rPr>
          <w:rFonts w:hint="eastAsia"/>
        </w:rPr>
        <w:t>屠宰车间与《猪屠宰与分割车间设计规范》</w:t>
      </w:r>
      <w:r>
        <w:rPr>
          <w:rFonts w:hint="eastAsia"/>
          <w:lang w:eastAsia="zh-CN"/>
        </w:rPr>
        <w:t>（</w:t>
      </w:r>
      <w:r>
        <w:rPr>
          <w:rFonts w:hint="default"/>
        </w:rPr>
        <w:t>GB50317-2009</w:t>
      </w:r>
      <w:r>
        <w:rPr>
          <w:rFonts w:hint="eastAsia"/>
          <w:lang w:eastAsia="zh-CN"/>
        </w:rPr>
        <w:t>）</w:t>
      </w:r>
      <w:r>
        <w:rPr>
          <w:rFonts w:hint="eastAsia"/>
        </w:rPr>
        <w:t>的符合性</w:t>
      </w:r>
    </w:p>
    <w:p>
      <w:pPr>
        <w:bidi w:val="0"/>
        <w:rPr>
          <w:rFonts w:hint="eastAsia"/>
        </w:rPr>
      </w:pPr>
      <w:r>
        <w:rPr>
          <w:rFonts w:hint="eastAsia"/>
        </w:rPr>
        <w:t>根据《猪屠宰与分割车间设计规范》</w:t>
      </w:r>
      <w:r>
        <w:rPr>
          <w:rFonts w:hint="eastAsia"/>
          <w:lang w:eastAsia="zh-CN"/>
        </w:rPr>
        <w:t>（</w:t>
      </w:r>
      <w:r>
        <w:rPr>
          <w:rFonts w:hint="default"/>
        </w:rPr>
        <w:t>GB50317-2009</w:t>
      </w:r>
      <w:r>
        <w:rPr>
          <w:rFonts w:hint="eastAsia"/>
          <w:lang w:eastAsia="zh-CN"/>
        </w:rPr>
        <w:t>）</w:t>
      </w:r>
      <w:r>
        <w:rPr>
          <w:rFonts w:hint="eastAsia"/>
        </w:rPr>
        <w:t>要求，项目屠宰与分割车间合理性分析见表</w:t>
      </w:r>
      <w:r>
        <w:rPr>
          <w:rFonts w:hint="default"/>
        </w:rPr>
        <w:t>2.5-1</w:t>
      </w:r>
      <w:r>
        <w:rPr>
          <w:rFonts w:hint="eastAsia"/>
        </w:rPr>
        <w:t>。</w:t>
      </w:r>
    </w:p>
    <w:p>
      <w:pPr>
        <w:pStyle w:val="29"/>
        <w:bidi w:val="0"/>
        <w:rPr>
          <w:rFonts w:hint="eastAsia"/>
          <w:lang w:val="en-US" w:eastAsia="zh-CN"/>
        </w:rPr>
      </w:pPr>
      <w:r>
        <w:rPr>
          <w:rFonts w:hint="eastAsia"/>
          <w:lang w:val="en-US" w:eastAsia="zh-CN"/>
        </w:rPr>
        <w:t>表2.4-1  项目屠宰与分割车间平面布置合理性分析</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14"/>
        <w:gridCol w:w="3735"/>
        <w:gridCol w:w="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4" w:type="dxa"/>
            <w:tcBorders>
              <w:tl2br w:val="nil"/>
              <w:tr2bl w:val="nil"/>
            </w:tcBorders>
            <w:vAlign w:val="center"/>
          </w:tcPr>
          <w:p>
            <w:pPr>
              <w:pStyle w:val="30"/>
              <w:widowControl w:val="0"/>
              <w:bidi w:val="0"/>
              <w:jc w:val="center"/>
              <w:rPr>
                <w:rFonts w:hint="default"/>
                <w:lang w:val="en-US" w:eastAsia="zh-CN"/>
              </w:rPr>
            </w:pPr>
            <w:r>
              <w:rPr>
                <w:rFonts w:hint="eastAsia"/>
              </w:rPr>
              <w:t>《猪屠宰与分割车间设计规范》</w:t>
            </w:r>
            <w:r>
              <w:rPr>
                <w:rFonts w:hint="eastAsia"/>
                <w:lang w:eastAsia="zh-CN"/>
              </w:rPr>
              <w:t>（</w:t>
            </w:r>
            <w:r>
              <w:rPr>
                <w:rFonts w:hint="default"/>
              </w:rPr>
              <w:t>GB50317-2009</w:t>
            </w:r>
            <w:r>
              <w:rPr>
                <w:rFonts w:hint="eastAsia"/>
                <w:lang w:eastAsia="zh-CN"/>
              </w:rPr>
              <w:t>）</w:t>
            </w:r>
            <w:r>
              <w:rPr>
                <w:rFonts w:hint="eastAsia"/>
              </w:rPr>
              <w:t>总平面布置要求</w:t>
            </w:r>
          </w:p>
        </w:tc>
        <w:tc>
          <w:tcPr>
            <w:tcW w:w="3735"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本项目</w:t>
            </w:r>
          </w:p>
        </w:tc>
        <w:tc>
          <w:tcPr>
            <w:tcW w:w="673"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4" w:type="dxa"/>
            <w:tcBorders>
              <w:tl2br w:val="nil"/>
              <w:tr2bl w:val="nil"/>
            </w:tcBorders>
            <w:vAlign w:val="center"/>
          </w:tcPr>
          <w:p>
            <w:pPr>
              <w:pStyle w:val="30"/>
              <w:widowControl w:val="0"/>
              <w:bidi w:val="0"/>
              <w:jc w:val="center"/>
              <w:rPr>
                <w:rFonts w:hint="default"/>
                <w:lang w:val="en-US" w:eastAsia="zh-CN"/>
              </w:rPr>
            </w:pPr>
            <w:r>
              <w:rPr>
                <w:rFonts w:hint="eastAsia"/>
              </w:rPr>
              <w:t>厂区应划分为生产区和非生产区。生产区必须单独设置生猪与废弃物的出入口，产品和人员出入口需另设，且产品与生猪、废弃物在厂内不得共用一个通道。</w:t>
            </w:r>
          </w:p>
        </w:tc>
        <w:tc>
          <w:tcPr>
            <w:tcW w:w="3735" w:type="dxa"/>
            <w:tcBorders>
              <w:tl2br w:val="nil"/>
              <w:tr2bl w:val="nil"/>
            </w:tcBorders>
            <w:vAlign w:val="center"/>
          </w:tcPr>
          <w:p>
            <w:pPr>
              <w:pStyle w:val="30"/>
              <w:widowControl w:val="0"/>
              <w:bidi w:val="0"/>
              <w:jc w:val="center"/>
              <w:rPr>
                <w:rFonts w:hint="default"/>
                <w:lang w:val="en-US" w:eastAsia="zh-CN"/>
              </w:rPr>
            </w:pPr>
            <w:r>
              <w:rPr>
                <w:rFonts w:hint="eastAsia"/>
              </w:rPr>
              <w:t>设计厂区分为生产区和非生产区。设计</w:t>
            </w:r>
            <w:r>
              <w:rPr>
                <w:rFonts w:hint="default"/>
              </w:rPr>
              <w:t>2</w:t>
            </w:r>
            <w:r>
              <w:rPr>
                <w:rFonts w:hint="eastAsia"/>
              </w:rPr>
              <w:t>个出入口，生猪与废弃物的出入口，产品和人员出入口。</w:t>
            </w:r>
          </w:p>
        </w:tc>
        <w:tc>
          <w:tcPr>
            <w:tcW w:w="673"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4" w:type="dxa"/>
            <w:tcBorders>
              <w:tl2br w:val="nil"/>
              <w:tr2bl w:val="nil"/>
            </w:tcBorders>
            <w:vAlign w:val="center"/>
          </w:tcPr>
          <w:p>
            <w:pPr>
              <w:pStyle w:val="30"/>
              <w:widowControl w:val="0"/>
              <w:bidi w:val="0"/>
              <w:jc w:val="center"/>
              <w:rPr>
                <w:rFonts w:hint="default"/>
                <w:lang w:val="en-US" w:eastAsia="zh-CN"/>
              </w:rPr>
            </w:pPr>
            <w:r>
              <w:rPr>
                <w:rFonts w:hint="eastAsia"/>
              </w:rPr>
              <w:t>生产区各车间的布局与设施必须满足生产工艺流程和卫生要求。厂内清洁区与非清洁区应严格分开。</w:t>
            </w:r>
          </w:p>
        </w:tc>
        <w:tc>
          <w:tcPr>
            <w:tcW w:w="3735" w:type="dxa"/>
            <w:tcBorders>
              <w:tl2br w:val="nil"/>
              <w:tr2bl w:val="nil"/>
            </w:tcBorders>
            <w:vAlign w:val="center"/>
          </w:tcPr>
          <w:p>
            <w:pPr>
              <w:pStyle w:val="30"/>
              <w:widowControl w:val="0"/>
              <w:bidi w:val="0"/>
              <w:jc w:val="center"/>
              <w:rPr>
                <w:rFonts w:hint="default"/>
                <w:lang w:val="en-US" w:eastAsia="zh-CN"/>
              </w:rPr>
            </w:pPr>
            <w:r>
              <w:rPr>
                <w:rFonts w:hint="eastAsia"/>
              </w:rPr>
              <w:t>生产区各车间的布局与设施满足生产工艺流程和卫生要求。厂内清洁区与非清洁区应严格分开。</w:t>
            </w:r>
          </w:p>
        </w:tc>
        <w:tc>
          <w:tcPr>
            <w:tcW w:w="673"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4" w:type="dxa"/>
            <w:tcBorders>
              <w:tl2br w:val="nil"/>
              <w:tr2bl w:val="nil"/>
            </w:tcBorders>
            <w:vAlign w:val="center"/>
          </w:tcPr>
          <w:p>
            <w:pPr>
              <w:pStyle w:val="30"/>
              <w:widowControl w:val="0"/>
              <w:bidi w:val="0"/>
              <w:jc w:val="center"/>
              <w:rPr>
                <w:rFonts w:hint="default"/>
                <w:lang w:val="en-US" w:eastAsia="zh-CN"/>
              </w:rPr>
            </w:pPr>
            <w:r>
              <w:rPr>
                <w:rFonts w:hint="eastAsia" w:ascii="宋体" w:hAnsi="宋体" w:eastAsia="宋体"/>
                <w:sz w:val="22"/>
                <w:szCs w:val="24"/>
              </w:rPr>
              <w:t>屠宰清洁区与分割车间不应设置在</w:t>
            </w:r>
            <w:r>
              <w:rPr>
                <w:rFonts w:hint="eastAsia" w:ascii="宋体" w:hAnsi="宋体"/>
                <w:sz w:val="22"/>
                <w:szCs w:val="24"/>
                <w:lang w:eastAsia="zh-CN"/>
              </w:rPr>
              <w:t>无害化暂存间</w:t>
            </w:r>
            <w:r>
              <w:rPr>
                <w:rFonts w:hint="eastAsia" w:ascii="宋体" w:hAnsi="宋体" w:eastAsia="宋体"/>
                <w:sz w:val="22"/>
                <w:szCs w:val="24"/>
              </w:rPr>
              <w:t>、废弃物集存场所、污水处理站、锅炉房、煤场等建</w:t>
            </w:r>
            <w:r>
              <w:rPr>
                <w:rFonts w:hint="eastAsia" w:ascii="Times New Roman" w:hAnsi="Times New Roman" w:eastAsia="宋体"/>
                <w:sz w:val="22"/>
                <w:szCs w:val="24"/>
                <w:lang w:eastAsia="zh-CN"/>
              </w:rPr>
              <w:t>（</w:t>
            </w:r>
            <w:r>
              <w:rPr>
                <w:rFonts w:hint="eastAsia" w:ascii="Times New Roman" w:hAnsi="Times New Roman" w:eastAsia="宋体"/>
                <w:sz w:val="22"/>
                <w:szCs w:val="24"/>
                <w:lang w:val="en-US" w:eastAsia="zh-CN"/>
              </w:rPr>
              <w:t>构</w:t>
            </w:r>
            <w:r>
              <w:rPr>
                <w:rFonts w:hint="eastAsia" w:ascii="Times New Roman" w:hAnsi="Times New Roman" w:eastAsia="宋体"/>
                <w:sz w:val="22"/>
                <w:szCs w:val="24"/>
                <w:lang w:eastAsia="zh-CN"/>
              </w:rPr>
              <w:t>）</w:t>
            </w:r>
            <w:r>
              <w:rPr>
                <w:rFonts w:hint="eastAsia" w:ascii="宋体" w:hAnsi="宋体" w:eastAsia="宋体"/>
                <w:sz w:val="22"/>
                <w:szCs w:val="24"/>
              </w:rPr>
              <w:t>筑物及场所的主导风向的下风侧，其间距应符合环保、食品卫生以及建筑防火等方面的要求。</w:t>
            </w:r>
          </w:p>
        </w:tc>
        <w:tc>
          <w:tcPr>
            <w:tcW w:w="3735" w:type="dxa"/>
            <w:tcBorders>
              <w:tl2br w:val="nil"/>
              <w:tr2bl w:val="nil"/>
            </w:tcBorders>
            <w:vAlign w:val="center"/>
          </w:tcPr>
          <w:p>
            <w:pPr>
              <w:pStyle w:val="30"/>
              <w:widowControl w:val="0"/>
              <w:bidi w:val="0"/>
              <w:jc w:val="center"/>
              <w:rPr>
                <w:rFonts w:hint="default"/>
                <w:lang w:val="en-US" w:eastAsia="zh-CN"/>
              </w:rPr>
            </w:pPr>
            <w:r>
              <w:rPr>
                <w:rFonts w:hint="eastAsia"/>
              </w:rPr>
              <w:t>屠宰清洁区与分割车间位于无害化暂存间、垃圾回收站、危废暂存间的主导风向的上风向及侧风向，其间距应符合环保、食品卫生以及建筑防火等方面的要求。</w:t>
            </w:r>
          </w:p>
        </w:tc>
        <w:tc>
          <w:tcPr>
            <w:tcW w:w="673"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符合</w:t>
            </w:r>
          </w:p>
        </w:tc>
      </w:tr>
    </w:tbl>
    <w:p>
      <w:pPr>
        <w:bidi w:val="0"/>
        <w:rPr>
          <w:rFonts w:hint="eastAsia"/>
        </w:rPr>
      </w:pPr>
      <w:r>
        <w:rPr>
          <w:rFonts w:hint="eastAsia"/>
        </w:rPr>
        <w:t>由表</w:t>
      </w:r>
      <w:r>
        <w:rPr>
          <w:rFonts w:hint="default"/>
        </w:rPr>
        <w:t>2.</w:t>
      </w:r>
      <w:r>
        <w:rPr>
          <w:rFonts w:hint="eastAsia"/>
          <w:lang w:val="en-US" w:eastAsia="zh-CN"/>
        </w:rPr>
        <w:t>4</w:t>
      </w:r>
      <w:r>
        <w:rPr>
          <w:rFonts w:hint="default"/>
        </w:rPr>
        <w:t>-1</w:t>
      </w:r>
      <w:r>
        <w:rPr>
          <w:rFonts w:hint="eastAsia"/>
        </w:rPr>
        <w:t>可知，本项目屠宰与分割车间平面布置符合《猪屠宰与分割车间设计规范》（</w:t>
      </w:r>
      <w:r>
        <w:rPr>
          <w:rFonts w:hint="default"/>
        </w:rPr>
        <w:t>GB50317-2009</w:t>
      </w:r>
      <w:r>
        <w:rPr>
          <w:rFonts w:hint="eastAsia"/>
        </w:rPr>
        <w:t>）要求。</w:t>
      </w:r>
    </w:p>
    <w:p>
      <w:pPr>
        <w:pStyle w:val="5"/>
        <w:bidi w:val="0"/>
        <w:rPr>
          <w:rFonts w:hint="default"/>
          <w:lang w:val="en-US" w:eastAsia="zh-CN"/>
        </w:rPr>
      </w:pPr>
      <w:r>
        <w:rPr>
          <w:rFonts w:hint="eastAsia"/>
          <w:lang w:val="en-US" w:eastAsia="zh-CN"/>
        </w:rPr>
        <w:t>总平面布置环境合理性分析</w:t>
      </w:r>
    </w:p>
    <w:p>
      <w:pPr>
        <w:pStyle w:val="6"/>
        <w:bidi w:val="0"/>
        <w:rPr>
          <w:rFonts w:hint="default"/>
          <w:lang w:val="en-US" w:eastAsia="zh-CN"/>
        </w:rPr>
      </w:pPr>
      <w:r>
        <w:rPr>
          <w:rFonts w:hint="eastAsia"/>
          <w:lang w:val="en-US" w:eastAsia="zh-CN"/>
        </w:rPr>
        <w:t>车间建筑平面布置合理性</w:t>
      </w:r>
    </w:p>
    <w:p>
      <w:pPr>
        <w:bidi w:val="0"/>
        <w:rPr>
          <w:rFonts w:hint="eastAsia"/>
        </w:rPr>
      </w:pPr>
      <w:r>
        <w:rPr>
          <w:rFonts w:hint="eastAsia"/>
        </w:rPr>
        <w:t>根据项目平面布置可知，项目主要由屠宰车间、待宰车间、污水处理站、倒班房等组成。倒班房布置于厂区东北侧、屠宰车间布置于厂区</w:t>
      </w:r>
      <w:r>
        <w:rPr>
          <w:rFonts w:hint="eastAsia"/>
          <w:lang w:val="en-US" w:eastAsia="zh-CN"/>
        </w:rPr>
        <w:t>东</w:t>
      </w:r>
      <w:r>
        <w:rPr>
          <w:rFonts w:hint="eastAsia"/>
        </w:rPr>
        <w:t>侧（车间内由北至南为冷藏库、分割区、屠宰区，隔离间和急宰间），待宰车间位于屠宰车间</w:t>
      </w:r>
      <w:r>
        <w:rPr>
          <w:rFonts w:hint="eastAsia"/>
          <w:lang w:val="en-US" w:eastAsia="zh-CN"/>
        </w:rPr>
        <w:t>西</w:t>
      </w:r>
      <w:r>
        <w:rPr>
          <w:rFonts w:hint="eastAsia"/>
        </w:rPr>
        <w:t>侧，无害化暂存间、垃圾回收站和危废暂存间位于待宰车间</w:t>
      </w:r>
      <w:r>
        <w:rPr>
          <w:rFonts w:hint="eastAsia"/>
          <w:lang w:val="en-US" w:eastAsia="zh-CN"/>
        </w:rPr>
        <w:t>南</w:t>
      </w:r>
      <w:r>
        <w:rPr>
          <w:rFonts w:hint="eastAsia"/>
        </w:rPr>
        <w:t>侧。根据项目建设单位生产线布置方案，项目屠宰区、待宰区、隔离间和急宰间布置于车间南部，冷藏库和分割区布置于车间北侧，则项目脏区和净区相对独立，避免了各个区域的交叉影响，保证了食品安全。</w:t>
      </w:r>
    </w:p>
    <w:p>
      <w:pPr>
        <w:bidi w:val="0"/>
        <w:rPr>
          <w:rFonts w:hint="eastAsia"/>
        </w:rPr>
      </w:pPr>
      <w:r>
        <w:rPr>
          <w:rFonts w:hint="eastAsia"/>
        </w:rPr>
        <w:t>根据工程分析可知，项目主要恶臭污染源为生猪运输通道及卸载平台、待宰车间、屠宰车间（含内脏处理区、隔离间及急宰间）、污水处理站、无害化暂存间等区域，根据设计待宰车间、屠宰车间均位于车间内（位于厂区中南部），无害化暂存间位于待宰车间东侧，污水处理站位于厂区南部。</w:t>
      </w:r>
    </w:p>
    <w:p>
      <w:pPr>
        <w:bidi w:val="0"/>
        <w:rPr>
          <w:rFonts w:hint="eastAsia"/>
        </w:rPr>
      </w:pPr>
      <w:r>
        <w:rPr>
          <w:rFonts w:hint="eastAsia"/>
        </w:rPr>
        <w:t>根据调查，项目区主导风向为</w:t>
      </w:r>
      <w:r>
        <w:rPr>
          <w:rFonts w:hint="eastAsia"/>
          <w:lang w:eastAsia="zh-CN"/>
        </w:rPr>
        <w:t>西北风</w:t>
      </w:r>
      <w:r>
        <w:rPr>
          <w:rFonts w:hint="eastAsia"/>
        </w:rPr>
        <w:t>，项目将污水处理站布置在车间侧下风向，项目将净区布置在脏区侧上风向，避免对净区产生影响。</w:t>
      </w:r>
    </w:p>
    <w:p>
      <w:pPr>
        <w:bidi w:val="0"/>
        <w:rPr>
          <w:rFonts w:hint="default"/>
          <w:lang w:val="en-US" w:eastAsia="zh-CN"/>
        </w:rPr>
      </w:pPr>
      <w:r>
        <w:rPr>
          <w:rFonts w:hint="eastAsia"/>
          <w:lang w:val="en-US" w:eastAsia="zh-CN"/>
        </w:rPr>
        <w:t>根据调查，项目临近的磴子河地表水体常年水位保持在291.10m，20年一遇最高洪水水位为293.0m，厂址标高高于此洪水水位，因此厂址选择不受项目周边地表水体洪水影响。</w:t>
      </w:r>
    </w:p>
    <w:p>
      <w:pPr>
        <w:bidi w:val="0"/>
        <w:rPr>
          <w:rFonts w:hint="default"/>
          <w:lang w:val="en-US" w:eastAsia="zh-CN"/>
        </w:rPr>
      </w:pPr>
      <w:r>
        <w:rPr>
          <w:rFonts w:hint="eastAsia"/>
          <w:lang w:val="en-US" w:eastAsia="zh-CN"/>
        </w:rPr>
        <w:t>结合外环境关系，项目周边的敏感点主要分布在东北侧及东侧的石泉村居民。根据调查，项目常年主导风向为西北风，石泉村居民位于项目侧风向，同时建设单位拟对车间（屠宰车间和待宰车间）进行密闭负压抽风并经UV光解+生物洗涤塔处理后经15m排气筒进行排放，通过采取相应措施后，项目可有效减缓项目恶臭对周边农户的影响。</w:t>
      </w:r>
    </w:p>
    <w:p>
      <w:pPr>
        <w:pStyle w:val="6"/>
        <w:bidi w:val="0"/>
        <w:rPr>
          <w:rFonts w:hint="default"/>
          <w:lang w:val="en-US" w:eastAsia="zh-CN"/>
        </w:rPr>
      </w:pPr>
      <w:r>
        <w:rPr>
          <w:rFonts w:hint="eastAsia"/>
          <w:lang w:val="en-US" w:eastAsia="zh-CN"/>
        </w:rPr>
        <w:t>环保设施设置合理性</w:t>
      </w:r>
    </w:p>
    <w:p>
      <w:pPr>
        <w:bidi w:val="0"/>
        <w:rPr>
          <w:rFonts w:hint="eastAsia"/>
        </w:rPr>
      </w:pPr>
      <w:r>
        <w:rPr>
          <w:rFonts w:hint="eastAsia"/>
        </w:rPr>
        <w:t>污水处理站布置合理性：项目将污水处理站设置于项目</w:t>
      </w:r>
      <w:r>
        <w:rPr>
          <w:rFonts w:hint="eastAsia"/>
          <w:lang w:val="en-US" w:eastAsia="zh-CN"/>
        </w:rPr>
        <w:t>西南</w:t>
      </w:r>
      <w:r>
        <w:rPr>
          <w:rFonts w:hint="eastAsia"/>
        </w:rPr>
        <w:t>，项目建成运营后，东南侧</w:t>
      </w:r>
      <w:r>
        <w:rPr>
          <w:rFonts w:hint="default"/>
        </w:rPr>
        <w:t>200m</w:t>
      </w:r>
      <w:r>
        <w:rPr>
          <w:rFonts w:hint="eastAsia"/>
        </w:rPr>
        <w:t>范围内的</w:t>
      </w:r>
      <w:r>
        <w:rPr>
          <w:rFonts w:hint="eastAsia"/>
          <w:lang w:eastAsia="zh-CN"/>
        </w:rPr>
        <w:t>居民距离</w:t>
      </w:r>
      <w:r>
        <w:rPr>
          <w:rFonts w:hint="eastAsia"/>
          <w:lang w:val="en-US" w:eastAsia="zh-CN"/>
        </w:rPr>
        <w:t>污水处理站</w:t>
      </w:r>
      <w:r>
        <w:rPr>
          <w:rFonts w:hint="eastAsia"/>
        </w:rPr>
        <w:t>均在</w:t>
      </w:r>
      <w:r>
        <w:rPr>
          <w:rFonts w:hint="default"/>
        </w:rPr>
        <w:t>200m</w:t>
      </w:r>
      <w:r>
        <w:rPr>
          <w:rFonts w:hint="eastAsia"/>
        </w:rPr>
        <w:t>以上，对周边的居民距离较远，因此污水处理站设置在此具有环境合理性。</w:t>
      </w:r>
    </w:p>
    <w:p>
      <w:pPr>
        <w:bidi w:val="0"/>
        <w:rPr>
          <w:rFonts w:hint="eastAsia"/>
        </w:rPr>
      </w:pPr>
      <w:r>
        <w:rPr>
          <w:rFonts w:hint="eastAsia"/>
        </w:rPr>
        <w:t>根据设计，项目场地内地坪全部填平，在一个水平面上（地面标高为</w:t>
      </w:r>
      <w:r>
        <w:rPr>
          <w:rFonts w:hint="default"/>
        </w:rPr>
        <w:t>0</w:t>
      </w:r>
      <w:r>
        <w:rPr>
          <w:rFonts w:hint="eastAsia"/>
        </w:rPr>
        <w:t>），管道埋地敷设可通过坡度自流进入污水处理站。屠宰车间、</w:t>
      </w:r>
      <w:r>
        <w:rPr>
          <w:rFonts w:hint="eastAsia"/>
          <w:lang w:eastAsia="zh-CN"/>
        </w:rPr>
        <w:t>待宰圈</w:t>
      </w:r>
      <w:r>
        <w:rPr>
          <w:rFonts w:hint="eastAsia"/>
        </w:rPr>
        <w:t>以及洗车场外侧设置截水沟，地面微倾斜于截水沟，初期雨水及地坪冲洗水通过坡度自流入截水沟，截水沟设置阀门控制与雨、污水管道相接，平时关闭雨水管道相接阀门，开启污水阀门，通过污水管道排至污水处理站；雨天</w:t>
      </w:r>
      <w:r>
        <w:rPr>
          <w:rFonts w:hint="default"/>
        </w:rPr>
        <w:t>15</w:t>
      </w:r>
      <w:r>
        <w:rPr>
          <w:rFonts w:hint="eastAsia"/>
        </w:rPr>
        <w:t>分钟后再开启雨水阀门，关闭污水阀门，通过雨水管道汇入到市政雨水管网。</w:t>
      </w:r>
    </w:p>
    <w:p>
      <w:pPr>
        <w:bidi w:val="0"/>
        <w:rPr>
          <w:rFonts w:hint="eastAsia"/>
        </w:rPr>
      </w:pPr>
      <w:r>
        <w:rPr>
          <w:rFonts w:hint="eastAsia"/>
        </w:rPr>
        <w:t>废气处理设施布置合理性：项目废气主要为恶臭，恶臭产生单元主要为生猪运输通道及卸载平台、待宰车间、屠宰车间（含内脏处理区、隔离间及急宰间）、污水处理站、无害化暂存间等区域，为减小恶臭对周边环境的影响。建设单位将生猪运输通道及卸载区布置于</w:t>
      </w:r>
      <w:r>
        <w:rPr>
          <w:rFonts w:hint="eastAsia"/>
          <w:lang w:val="en-US" w:eastAsia="zh-CN"/>
        </w:rPr>
        <w:t>西</w:t>
      </w:r>
      <w:r>
        <w:rPr>
          <w:rFonts w:hint="eastAsia"/>
        </w:rPr>
        <w:t>南侧，减小生猪卸载及运输对周边环境的影响，车间产生的恶臭经处理后通过排气筒排放，排气筒布置在厂区南侧，项目区域主导风向为</w:t>
      </w:r>
      <w:r>
        <w:rPr>
          <w:rFonts w:hint="eastAsia"/>
          <w:lang w:eastAsia="zh-CN"/>
        </w:rPr>
        <w:t>西北风</w:t>
      </w:r>
      <w:r>
        <w:rPr>
          <w:rFonts w:hint="eastAsia"/>
        </w:rPr>
        <w:t>，周围敏感点主要在排气筒的侧风向，该排气筒设置合理，布置具有合理性。</w:t>
      </w:r>
    </w:p>
    <w:p>
      <w:pPr>
        <w:pStyle w:val="4"/>
        <w:bidi w:val="0"/>
        <w:rPr>
          <w:rFonts w:hint="default"/>
          <w:lang w:val="en-US" w:eastAsia="zh-CN"/>
        </w:rPr>
      </w:pPr>
      <w:bookmarkStart w:id="40" w:name="_Toc27414"/>
      <w:r>
        <w:rPr>
          <w:rFonts w:hint="eastAsia"/>
          <w:lang w:val="en-US" w:eastAsia="zh-CN"/>
        </w:rPr>
        <w:t>主要设备</w:t>
      </w:r>
      <w:bookmarkEnd w:id="40"/>
    </w:p>
    <w:p>
      <w:pPr>
        <w:rPr>
          <w:rFonts w:hint="eastAsia"/>
          <w:lang w:val="en-US" w:eastAsia="zh-CN"/>
        </w:rPr>
      </w:pPr>
      <w:r>
        <w:rPr>
          <w:rFonts w:hint="eastAsia"/>
          <w:lang w:val="en-US" w:eastAsia="zh-CN"/>
        </w:rPr>
        <w:t>本项目新建生猪屠宰生产线及肉牛屠宰生产线，生产设备可满足本项目需求，本项目设备清单详见下表。</w:t>
      </w:r>
    </w:p>
    <w:p>
      <w:pPr>
        <w:pStyle w:val="29"/>
        <w:bidi w:val="0"/>
        <w:rPr>
          <w:rFonts w:hint="eastAsia"/>
          <w:lang w:val="en-US" w:eastAsia="zh-CN"/>
        </w:rPr>
      </w:pPr>
      <w:r>
        <w:rPr>
          <w:rFonts w:hint="eastAsia"/>
          <w:lang w:val="en-US" w:eastAsia="zh-CN"/>
        </w:rPr>
        <w:t>表2.5-1  主要设备一览表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3577"/>
        <w:gridCol w:w="1176"/>
        <w:gridCol w:w="936"/>
        <w:gridCol w:w="32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序号</w:t>
            </w:r>
          </w:p>
        </w:tc>
        <w:tc>
          <w:tcPr>
            <w:tcW w:w="3577"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名称</w:t>
            </w:r>
          </w:p>
        </w:tc>
        <w:tc>
          <w:tcPr>
            <w:tcW w:w="1176"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单位</w:t>
            </w:r>
          </w:p>
        </w:tc>
        <w:tc>
          <w:tcPr>
            <w:tcW w:w="936"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数量</w:t>
            </w:r>
          </w:p>
        </w:tc>
        <w:tc>
          <w:tcPr>
            <w:tcW w:w="3294"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30"/>
              <w:widowControl w:val="0"/>
              <w:jc w:val="center"/>
              <w:rPr>
                <w:rFonts w:hint="default"/>
                <w:vertAlign w:val="baseline"/>
                <w:lang w:val="en-US" w:eastAsia="zh-CN"/>
              </w:rPr>
            </w:pPr>
            <w:r>
              <w:rPr>
                <w:rFonts w:hint="eastAsia"/>
                <w:b/>
                <w:bCs/>
                <w:vertAlign w:val="baseline"/>
                <w:lang w:val="en-US" w:eastAsia="zh-CN"/>
              </w:rPr>
              <w:t>生猪屠宰设备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赶猪通道</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lang w:eastAsia="zh-CN"/>
              </w:rPr>
              <w:t>一台双</w:t>
            </w:r>
            <w:r>
              <w:rPr>
                <w:rFonts w:hint="eastAsia"/>
                <w:lang w:val="en-US" w:eastAsia="zh-CN"/>
              </w:rPr>
              <w:t>L=8m，一台单L=5m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托胸活挂输送机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活挂毛猪提升机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rPr>
              <w:t>管轨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三点式麻电输送机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滑槽</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个</w:t>
            </w:r>
          </w:p>
        </w:tc>
        <w:tc>
          <w:tcPr>
            <w:tcW w:w="3294"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卧式放血平板输送机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eastAsia"/>
              </w:rPr>
              <w:t>L=6m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eastAsia="zh-CN"/>
              </w:rPr>
              <w:t>平板</w:t>
            </w:r>
            <w:r>
              <w:rPr>
                <w:rFonts w:hint="eastAsia"/>
              </w:rPr>
              <w:t>毛猪提升机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rPr>
              <w:t>管轨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气动喂入装置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套</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eastAsia"/>
              </w:rPr>
              <w:t>管轨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9</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欧式自动放血线</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46</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米</w:t>
            </w:r>
          </w:p>
        </w:tc>
        <w:tc>
          <w:tcPr>
            <w:tcW w:w="3294"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rPr>
              <w:t>管轨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驱动装置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11</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气动涨紧装置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12</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导向装置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6</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13</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放血槽</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个</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rPr>
              <w:t>L=1</w:t>
            </w:r>
            <w:r>
              <w:rPr>
                <w:rFonts w:hint="eastAsia"/>
                <w:lang w:val="en-US" w:eastAsia="zh-CN"/>
              </w:rPr>
              <w:t>8</w:t>
            </w:r>
            <w:r>
              <w:rPr>
                <w:rFonts w:hint="eastAsia"/>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14</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欧式洗猪机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15</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放血区缓冲轨道</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20</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米</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eastAsia"/>
              </w:rPr>
              <w:t>管轨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16</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管轨放血吊链</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100</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根</w:t>
            </w:r>
          </w:p>
        </w:tc>
        <w:tc>
          <w:tcPr>
            <w:tcW w:w="3294"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17</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放血吊链返回系统</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项</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eastAsia"/>
                <w:lang w:val="en-US" w:eastAsia="zh-CN"/>
              </w:rPr>
              <w:t>7</w:t>
            </w:r>
            <w:r>
              <w:rPr>
                <w:rFonts w:hint="eastAsia"/>
              </w:rPr>
              <w:t>台回空输送机，总长</w:t>
            </w:r>
            <w:r>
              <w:rPr>
                <w:rFonts w:hint="eastAsia"/>
                <w:lang w:val="en-US" w:eastAsia="zh-CN"/>
              </w:rPr>
              <w:t>36</w:t>
            </w:r>
            <w:r>
              <w:rPr>
                <w:rFonts w:hint="eastAsia"/>
              </w:rPr>
              <w:t>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18</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放血</w:t>
            </w:r>
            <w:r>
              <w:rPr>
                <w:rFonts w:hint="eastAsia"/>
              </w:rPr>
              <w:t>缓冲护栏</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19</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气动喂入装置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rPr>
              <w:t>管轨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气动道岔</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21</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eastAsia="zh-CN"/>
              </w:rPr>
              <w:t>缓冲护栏</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22</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运河烫毛输送机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52</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米</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rPr>
              <w:t>欧式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23</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驱动装置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24</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气动涨紧装置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25</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导向装置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4</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25</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欧式宽体运河式烫毛隧道</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rPr>
              <w:t>L=2</w:t>
            </w:r>
            <w:r>
              <w:rPr>
                <w:rFonts w:hint="eastAsia"/>
                <w:lang w:val="en-US" w:eastAsia="zh-CN"/>
              </w:rPr>
              <w:t>4m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26</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水循环装置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27</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气动卸猪器</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28</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刨毛机进猪滑槽</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29</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拆卸式螺旋脱毛机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2</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30</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喷淋水循环水池</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lang w:val="en-US" w:eastAsia="zh-CN"/>
              </w:rPr>
              <w:t>土</w:t>
            </w:r>
            <w:r>
              <w:rPr>
                <w:rFonts w:hint="eastAsia"/>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31</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喷淋水循环装置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32</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喷淋水温度控制系统</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33</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螺旋式猪毛输送机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34</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猪毛风送系统</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rPr>
              <w:t>含风送管道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35</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刨毛机出猪滑槽</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36</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平板修刮输送机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rPr>
              <w:t>L=5.5m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37</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白条提升机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38</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气动喂入装置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39</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立式燎毛输送机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rPr>
              <w:t>双轨、L=1</w:t>
            </w:r>
            <w:r>
              <w:rPr>
                <w:rFonts w:hint="eastAsia"/>
                <w:lang w:val="en-US" w:eastAsia="zh-CN"/>
              </w:rPr>
              <w:t>2</w:t>
            </w:r>
            <w:r>
              <w:rPr>
                <w:rFonts w:hint="eastAsia"/>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39</w:t>
            </w:r>
          </w:p>
        </w:tc>
        <w:tc>
          <w:tcPr>
            <w:tcW w:w="3577" w:type="dxa"/>
            <w:tcBorders>
              <w:tl2br w:val="nil"/>
              <w:tr2bl w:val="nil"/>
            </w:tcBorders>
            <w:vAlign w:val="center"/>
          </w:tcPr>
          <w:p>
            <w:pPr>
              <w:pStyle w:val="30"/>
              <w:widowControl w:val="0"/>
              <w:bidi w:val="0"/>
              <w:jc w:val="center"/>
              <w:rPr>
                <w:rFonts w:hint="eastAsia"/>
              </w:rPr>
            </w:pPr>
            <w:r>
              <w:rPr>
                <w:rFonts w:hint="eastAsia"/>
              </w:rPr>
              <w:t>预干机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40</w:t>
            </w:r>
          </w:p>
        </w:tc>
        <w:tc>
          <w:tcPr>
            <w:tcW w:w="3577" w:type="dxa"/>
            <w:tcBorders>
              <w:tl2br w:val="nil"/>
              <w:tr2bl w:val="nil"/>
            </w:tcBorders>
            <w:vAlign w:val="center"/>
          </w:tcPr>
          <w:p>
            <w:pPr>
              <w:pStyle w:val="30"/>
              <w:widowControl w:val="0"/>
              <w:bidi w:val="0"/>
              <w:jc w:val="center"/>
              <w:rPr>
                <w:rFonts w:hint="eastAsia"/>
              </w:rPr>
            </w:pPr>
            <w:r>
              <w:rPr>
                <w:rFonts w:hint="eastAsia"/>
              </w:rPr>
              <w:t>燎毛炉</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41</w:t>
            </w:r>
          </w:p>
        </w:tc>
        <w:tc>
          <w:tcPr>
            <w:tcW w:w="3577" w:type="dxa"/>
            <w:tcBorders>
              <w:tl2br w:val="nil"/>
              <w:tr2bl w:val="nil"/>
            </w:tcBorders>
            <w:vAlign w:val="center"/>
          </w:tcPr>
          <w:p>
            <w:pPr>
              <w:pStyle w:val="30"/>
              <w:widowControl w:val="0"/>
              <w:bidi w:val="0"/>
              <w:jc w:val="center"/>
              <w:rPr>
                <w:rFonts w:hint="eastAsia"/>
                <w:lang w:eastAsia="zh-CN"/>
              </w:rPr>
            </w:pPr>
            <w:r>
              <w:rPr>
                <w:rFonts w:hint="eastAsia"/>
                <w:lang w:eastAsia="zh-CN"/>
              </w:rPr>
              <w:t>抛光机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42</w:t>
            </w:r>
          </w:p>
        </w:tc>
        <w:tc>
          <w:tcPr>
            <w:tcW w:w="3577" w:type="dxa"/>
            <w:tcBorders>
              <w:tl2br w:val="nil"/>
              <w:tr2bl w:val="nil"/>
            </w:tcBorders>
            <w:vAlign w:val="center"/>
          </w:tcPr>
          <w:p>
            <w:pPr>
              <w:pStyle w:val="30"/>
              <w:widowControl w:val="0"/>
              <w:bidi w:val="0"/>
              <w:jc w:val="center"/>
              <w:rPr>
                <w:rFonts w:hint="eastAsia"/>
              </w:rPr>
            </w:pPr>
            <w:r>
              <w:rPr>
                <w:rFonts w:hint="eastAsia"/>
              </w:rPr>
              <w:t>气动卸猪器</w:t>
            </w:r>
          </w:p>
        </w:tc>
        <w:tc>
          <w:tcPr>
            <w:tcW w:w="1176" w:type="dxa"/>
            <w:tcBorders>
              <w:tl2br w:val="nil"/>
              <w:tr2bl w:val="nil"/>
            </w:tcBorders>
            <w:vAlign w:val="center"/>
          </w:tcPr>
          <w:p>
            <w:pPr>
              <w:pStyle w:val="30"/>
              <w:widowControl w:val="0"/>
              <w:bidi w:val="0"/>
              <w:jc w:val="center"/>
              <w:rPr>
                <w:rFonts w:hint="eastAsia"/>
                <w:lang w:eastAsia="zh-CN"/>
              </w:rPr>
            </w:pPr>
            <w:r>
              <w:rPr>
                <w:rFonts w:hint="eastAsia"/>
                <w:lang w:val="en-US" w:eastAsia="zh-CN"/>
              </w:rPr>
              <w:t>2</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43</w:t>
            </w:r>
          </w:p>
        </w:tc>
        <w:tc>
          <w:tcPr>
            <w:tcW w:w="3577" w:type="dxa"/>
            <w:tcBorders>
              <w:tl2br w:val="nil"/>
              <w:tr2bl w:val="nil"/>
            </w:tcBorders>
            <w:vAlign w:val="center"/>
          </w:tcPr>
          <w:p>
            <w:pPr>
              <w:pStyle w:val="30"/>
              <w:widowControl w:val="0"/>
              <w:bidi w:val="0"/>
              <w:jc w:val="center"/>
              <w:rPr>
                <w:rFonts w:hint="eastAsia"/>
              </w:rPr>
            </w:pPr>
            <w:r>
              <w:rPr>
                <w:rFonts w:hint="eastAsia"/>
              </w:rPr>
              <w:t>烫池</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个</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rPr>
              <w:t>L=8m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44</w:t>
            </w:r>
          </w:p>
        </w:tc>
        <w:tc>
          <w:tcPr>
            <w:tcW w:w="3577" w:type="dxa"/>
            <w:tcBorders>
              <w:tl2br w:val="nil"/>
              <w:tr2bl w:val="nil"/>
            </w:tcBorders>
            <w:vAlign w:val="center"/>
          </w:tcPr>
          <w:p>
            <w:pPr>
              <w:pStyle w:val="30"/>
              <w:widowControl w:val="0"/>
              <w:bidi w:val="0"/>
              <w:jc w:val="center"/>
              <w:rPr>
                <w:rFonts w:hint="eastAsia"/>
              </w:rPr>
            </w:pPr>
            <w:r>
              <w:rPr>
                <w:rFonts w:hint="eastAsia"/>
              </w:rPr>
              <w:t>烫池</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个</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rPr>
              <w:t>L=</w:t>
            </w:r>
            <w:r>
              <w:rPr>
                <w:rFonts w:hint="eastAsia"/>
                <w:lang w:val="en-US" w:eastAsia="zh-CN"/>
              </w:rPr>
              <w:t>4.5</w:t>
            </w:r>
            <w:r>
              <w:rPr>
                <w:rFonts w:hint="eastAsia"/>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45</w:t>
            </w:r>
          </w:p>
        </w:tc>
        <w:tc>
          <w:tcPr>
            <w:tcW w:w="3577" w:type="dxa"/>
            <w:tcBorders>
              <w:tl2br w:val="nil"/>
              <w:tr2bl w:val="nil"/>
            </w:tcBorders>
            <w:vAlign w:val="center"/>
          </w:tcPr>
          <w:p>
            <w:pPr>
              <w:pStyle w:val="30"/>
              <w:widowControl w:val="0"/>
              <w:bidi w:val="0"/>
              <w:jc w:val="center"/>
              <w:rPr>
                <w:rFonts w:hint="eastAsia"/>
              </w:rPr>
            </w:pPr>
            <w:r>
              <w:rPr>
                <w:rFonts w:hint="eastAsia"/>
                <w:lang w:val="en-US" w:eastAsia="zh-CN"/>
              </w:rPr>
              <w:t>4</w:t>
            </w:r>
            <w:r>
              <w:rPr>
                <w:rFonts w:hint="eastAsia"/>
              </w:rPr>
              <w:t>00型液压刨毛机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46</w:t>
            </w:r>
          </w:p>
        </w:tc>
        <w:tc>
          <w:tcPr>
            <w:tcW w:w="3577" w:type="dxa"/>
            <w:tcBorders>
              <w:tl2br w:val="nil"/>
              <w:tr2bl w:val="nil"/>
            </w:tcBorders>
            <w:vAlign w:val="center"/>
          </w:tcPr>
          <w:p>
            <w:pPr>
              <w:pStyle w:val="30"/>
              <w:widowControl w:val="0"/>
              <w:bidi w:val="0"/>
              <w:jc w:val="center"/>
              <w:rPr>
                <w:rFonts w:hint="eastAsia"/>
                <w:lang w:eastAsia="zh-CN"/>
              </w:rPr>
            </w:pPr>
            <w:r>
              <w:rPr>
                <w:rFonts w:hint="eastAsia"/>
                <w:lang w:eastAsia="zh-CN"/>
              </w:rPr>
              <w:t>拉毛机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47</w:t>
            </w:r>
          </w:p>
        </w:tc>
        <w:tc>
          <w:tcPr>
            <w:tcW w:w="3577" w:type="dxa"/>
            <w:tcBorders>
              <w:tl2br w:val="nil"/>
              <w:tr2bl w:val="nil"/>
            </w:tcBorders>
            <w:vAlign w:val="center"/>
          </w:tcPr>
          <w:p>
            <w:pPr>
              <w:pStyle w:val="30"/>
              <w:widowControl w:val="0"/>
              <w:bidi w:val="0"/>
              <w:jc w:val="center"/>
              <w:rPr>
                <w:rFonts w:hint="eastAsia"/>
              </w:rPr>
            </w:pPr>
            <w:r>
              <w:rPr>
                <w:rFonts w:hint="eastAsia"/>
              </w:rPr>
              <w:t>清水池</w:t>
            </w:r>
          </w:p>
        </w:tc>
        <w:tc>
          <w:tcPr>
            <w:tcW w:w="1176" w:type="dxa"/>
            <w:tcBorders>
              <w:tl2br w:val="nil"/>
              <w:tr2bl w:val="nil"/>
            </w:tcBorders>
            <w:vAlign w:val="center"/>
          </w:tcPr>
          <w:p>
            <w:pPr>
              <w:pStyle w:val="30"/>
              <w:widowControl w:val="0"/>
              <w:bidi w:val="0"/>
              <w:jc w:val="center"/>
              <w:rPr>
                <w:rFonts w:hint="eastAsia"/>
                <w:lang w:eastAsia="zh-CN"/>
              </w:rPr>
            </w:pPr>
            <w:r>
              <w:rPr>
                <w:rFonts w:hint="eastAsia"/>
                <w:lang w:val="en-US" w:eastAsia="zh-CN"/>
              </w:rPr>
              <w:t>2</w:t>
            </w:r>
          </w:p>
        </w:tc>
        <w:tc>
          <w:tcPr>
            <w:tcW w:w="936" w:type="dxa"/>
            <w:tcBorders>
              <w:tl2br w:val="nil"/>
              <w:tr2bl w:val="nil"/>
            </w:tcBorders>
            <w:vAlign w:val="center"/>
          </w:tcPr>
          <w:p>
            <w:pPr>
              <w:pStyle w:val="30"/>
              <w:widowControl w:val="0"/>
              <w:bidi w:val="0"/>
              <w:jc w:val="center"/>
              <w:rPr>
                <w:rFonts w:hint="eastAsia"/>
              </w:rPr>
            </w:pPr>
            <w:r>
              <w:rPr>
                <w:rFonts w:hint="eastAsia"/>
              </w:rPr>
              <w:t>个</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rPr>
              <w:t>L=5.5m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48</w:t>
            </w:r>
          </w:p>
        </w:tc>
        <w:tc>
          <w:tcPr>
            <w:tcW w:w="3577" w:type="dxa"/>
            <w:tcBorders>
              <w:tl2br w:val="nil"/>
              <w:tr2bl w:val="nil"/>
            </w:tcBorders>
            <w:vAlign w:val="center"/>
          </w:tcPr>
          <w:p>
            <w:pPr>
              <w:pStyle w:val="30"/>
              <w:widowControl w:val="0"/>
              <w:bidi w:val="0"/>
              <w:jc w:val="center"/>
              <w:rPr>
                <w:rFonts w:hint="eastAsia"/>
              </w:rPr>
            </w:pPr>
            <w:r>
              <w:rPr>
                <w:rFonts w:hint="eastAsia"/>
              </w:rPr>
              <w:t>白条提升机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49</w:t>
            </w:r>
          </w:p>
        </w:tc>
        <w:tc>
          <w:tcPr>
            <w:tcW w:w="3577" w:type="dxa"/>
            <w:tcBorders>
              <w:tl2br w:val="nil"/>
              <w:tr2bl w:val="nil"/>
            </w:tcBorders>
            <w:vAlign w:val="center"/>
          </w:tcPr>
          <w:p>
            <w:pPr>
              <w:pStyle w:val="30"/>
              <w:widowControl w:val="0"/>
              <w:bidi w:val="0"/>
              <w:jc w:val="center"/>
              <w:rPr>
                <w:rFonts w:hint="eastAsia"/>
              </w:rPr>
            </w:pPr>
            <w:r>
              <w:rPr>
                <w:rFonts w:hint="eastAsia"/>
              </w:rPr>
              <w:t>气动喂入装置</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50</w:t>
            </w:r>
          </w:p>
        </w:tc>
        <w:tc>
          <w:tcPr>
            <w:tcW w:w="3577" w:type="dxa"/>
            <w:tcBorders>
              <w:tl2br w:val="nil"/>
              <w:tr2bl w:val="nil"/>
            </w:tcBorders>
            <w:vAlign w:val="center"/>
          </w:tcPr>
          <w:p>
            <w:pPr>
              <w:pStyle w:val="30"/>
              <w:widowControl w:val="0"/>
              <w:bidi w:val="0"/>
              <w:jc w:val="center"/>
              <w:rPr>
                <w:rFonts w:hint="eastAsia"/>
              </w:rPr>
            </w:pPr>
            <w:r>
              <w:rPr>
                <w:rFonts w:hint="eastAsia"/>
                <w:lang w:eastAsia="zh-CN"/>
              </w:rPr>
              <w:t>立式</w:t>
            </w:r>
            <w:r>
              <w:rPr>
                <w:rFonts w:hint="eastAsia"/>
              </w:rPr>
              <w:t>修刮</w:t>
            </w:r>
            <w:r>
              <w:rPr>
                <w:rFonts w:hint="eastAsia"/>
                <w:lang w:eastAsia="zh-CN"/>
              </w:rPr>
              <w:t>输送机</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eastAsia="zh-CN"/>
              </w:rPr>
            </w:pPr>
            <w:r>
              <w:rPr>
                <w:rFonts w:hint="eastAsia"/>
                <w:lang w:eastAsia="zh-CN"/>
              </w:rPr>
              <w:t>台</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双轨、L=</w:t>
            </w:r>
            <w:r>
              <w:rPr>
                <w:rFonts w:hint="eastAsia"/>
                <w:lang w:val="en-US" w:eastAsia="zh-CN"/>
              </w:rPr>
              <w:t>9</w:t>
            </w:r>
            <w:r>
              <w:rPr>
                <w:rFonts w:hint="eastAsia"/>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51</w:t>
            </w:r>
          </w:p>
        </w:tc>
        <w:tc>
          <w:tcPr>
            <w:tcW w:w="3577" w:type="dxa"/>
            <w:tcBorders>
              <w:tl2br w:val="nil"/>
              <w:tr2bl w:val="nil"/>
            </w:tcBorders>
            <w:vAlign w:val="center"/>
          </w:tcPr>
          <w:p>
            <w:pPr>
              <w:pStyle w:val="30"/>
              <w:widowControl w:val="0"/>
              <w:bidi w:val="0"/>
              <w:jc w:val="center"/>
              <w:rPr>
                <w:rFonts w:hint="eastAsia"/>
              </w:rPr>
            </w:pPr>
            <w:r>
              <w:rPr>
                <w:rFonts w:hint="eastAsia"/>
              </w:rPr>
              <w:t>气动喂入装置</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52</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缓冲护栏</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eastAsia="zh-CN"/>
              </w:rPr>
            </w:pPr>
            <w:r>
              <w:rPr>
                <w:rFonts w:hint="eastAsia"/>
                <w:lang w:eastAsia="zh-CN"/>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53</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头蹄输送带</w:t>
            </w:r>
            <w:r>
              <w:rPr>
                <w:rFonts w:hint="eastAsia"/>
              </w:rPr>
              <w:t>L=</w:t>
            </w:r>
            <w:r>
              <w:rPr>
                <w:rFonts w:hint="eastAsia"/>
                <w:lang w:val="en-US" w:eastAsia="zh-CN"/>
              </w:rPr>
              <w:t>26</w:t>
            </w:r>
            <w:r>
              <w:rPr>
                <w:rFonts w:hint="eastAsia"/>
              </w:rPr>
              <w:t>m</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eastAsia="zh-CN"/>
              </w:rPr>
            </w:pPr>
            <w:r>
              <w:rPr>
                <w:rFonts w:hint="eastAsia"/>
                <w:lang w:eastAsia="zh-CN"/>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lang w:val="en-US" w:eastAsia="zh-CN"/>
              </w:rPr>
              <w:t>含不锈钢街头槽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54</w:t>
            </w:r>
          </w:p>
        </w:tc>
        <w:tc>
          <w:tcPr>
            <w:tcW w:w="3577" w:type="dxa"/>
            <w:tcBorders>
              <w:tl2br w:val="nil"/>
              <w:tr2bl w:val="nil"/>
            </w:tcBorders>
            <w:vAlign w:val="center"/>
          </w:tcPr>
          <w:p>
            <w:pPr>
              <w:pStyle w:val="30"/>
              <w:widowControl w:val="0"/>
              <w:bidi w:val="0"/>
              <w:jc w:val="center"/>
              <w:rPr>
                <w:rFonts w:hint="eastAsia"/>
              </w:rPr>
            </w:pPr>
            <w:r>
              <w:rPr>
                <w:rFonts w:hint="eastAsia"/>
              </w:rPr>
              <w:t>欧式胴体加工自动线</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96</w:t>
            </w:r>
          </w:p>
        </w:tc>
        <w:tc>
          <w:tcPr>
            <w:tcW w:w="936" w:type="dxa"/>
            <w:tcBorders>
              <w:tl2br w:val="nil"/>
              <w:tr2bl w:val="nil"/>
            </w:tcBorders>
            <w:vAlign w:val="center"/>
          </w:tcPr>
          <w:p>
            <w:pPr>
              <w:pStyle w:val="30"/>
              <w:widowControl w:val="0"/>
              <w:bidi w:val="0"/>
              <w:jc w:val="center"/>
              <w:rPr>
                <w:rFonts w:hint="eastAsia"/>
              </w:rPr>
            </w:pPr>
            <w:r>
              <w:rPr>
                <w:rFonts w:hint="eastAsia"/>
              </w:rPr>
              <w:t>米</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55</w:t>
            </w:r>
          </w:p>
        </w:tc>
        <w:tc>
          <w:tcPr>
            <w:tcW w:w="3577" w:type="dxa"/>
            <w:tcBorders>
              <w:tl2br w:val="nil"/>
              <w:tr2bl w:val="nil"/>
            </w:tcBorders>
            <w:vAlign w:val="center"/>
          </w:tcPr>
          <w:p>
            <w:pPr>
              <w:pStyle w:val="30"/>
              <w:widowControl w:val="0"/>
              <w:bidi w:val="0"/>
              <w:jc w:val="center"/>
              <w:rPr>
                <w:rFonts w:hint="eastAsia"/>
              </w:rPr>
            </w:pPr>
            <w:r>
              <w:rPr>
                <w:rFonts w:hint="eastAsia"/>
              </w:rPr>
              <w:t>驱动装置</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56</w:t>
            </w:r>
          </w:p>
        </w:tc>
        <w:tc>
          <w:tcPr>
            <w:tcW w:w="3577" w:type="dxa"/>
            <w:tcBorders>
              <w:tl2br w:val="nil"/>
              <w:tr2bl w:val="nil"/>
            </w:tcBorders>
            <w:vAlign w:val="center"/>
          </w:tcPr>
          <w:p>
            <w:pPr>
              <w:pStyle w:val="30"/>
              <w:widowControl w:val="0"/>
              <w:bidi w:val="0"/>
              <w:jc w:val="center"/>
              <w:rPr>
                <w:rFonts w:hint="eastAsia"/>
              </w:rPr>
            </w:pPr>
            <w:r>
              <w:rPr>
                <w:rFonts w:hint="eastAsia"/>
              </w:rPr>
              <w:t>气动涨紧装置</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57</w:t>
            </w:r>
          </w:p>
        </w:tc>
        <w:tc>
          <w:tcPr>
            <w:tcW w:w="3577" w:type="dxa"/>
            <w:tcBorders>
              <w:tl2br w:val="nil"/>
              <w:tr2bl w:val="nil"/>
            </w:tcBorders>
            <w:vAlign w:val="center"/>
          </w:tcPr>
          <w:p>
            <w:pPr>
              <w:pStyle w:val="30"/>
              <w:widowControl w:val="0"/>
              <w:bidi w:val="0"/>
              <w:jc w:val="center"/>
              <w:rPr>
                <w:rFonts w:hint="eastAsia"/>
              </w:rPr>
            </w:pPr>
            <w:r>
              <w:rPr>
                <w:rFonts w:hint="eastAsia"/>
              </w:rPr>
              <w:t>导向装置</w:t>
            </w:r>
          </w:p>
        </w:tc>
        <w:tc>
          <w:tcPr>
            <w:tcW w:w="1176" w:type="dxa"/>
            <w:tcBorders>
              <w:tl2br w:val="nil"/>
              <w:tr2bl w:val="nil"/>
            </w:tcBorders>
            <w:vAlign w:val="center"/>
          </w:tcPr>
          <w:p>
            <w:pPr>
              <w:pStyle w:val="30"/>
              <w:widowControl w:val="0"/>
              <w:bidi w:val="0"/>
              <w:jc w:val="center"/>
              <w:rPr>
                <w:rFonts w:hint="eastAsia"/>
              </w:rPr>
            </w:pPr>
            <w:r>
              <w:rPr>
                <w:rFonts w:hint="eastAsia"/>
              </w:rPr>
              <w:t>6</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58</w:t>
            </w:r>
          </w:p>
        </w:tc>
        <w:tc>
          <w:tcPr>
            <w:tcW w:w="3577" w:type="dxa"/>
            <w:tcBorders>
              <w:tl2br w:val="nil"/>
              <w:tr2bl w:val="nil"/>
            </w:tcBorders>
            <w:vAlign w:val="center"/>
          </w:tcPr>
          <w:p>
            <w:pPr>
              <w:pStyle w:val="30"/>
              <w:widowControl w:val="0"/>
              <w:bidi w:val="0"/>
              <w:jc w:val="center"/>
              <w:rPr>
                <w:rFonts w:hint="eastAsia"/>
              </w:rPr>
            </w:pPr>
            <w:r>
              <w:rPr>
                <w:rFonts w:hint="eastAsia"/>
              </w:rPr>
              <w:t>落地式白脏检疫线</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30</w:t>
            </w:r>
            <w:r>
              <w:rPr>
                <w:rFonts w:hint="eastAsia"/>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59</w:t>
            </w:r>
          </w:p>
        </w:tc>
        <w:tc>
          <w:tcPr>
            <w:tcW w:w="3577" w:type="dxa"/>
            <w:tcBorders>
              <w:tl2br w:val="nil"/>
              <w:tr2bl w:val="nil"/>
            </w:tcBorders>
            <w:vAlign w:val="center"/>
          </w:tcPr>
          <w:p>
            <w:pPr>
              <w:pStyle w:val="30"/>
              <w:widowControl w:val="0"/>
              <w:bidi w:val="0"/>
              <w:jc w:val="center"/>
              <w:rPr>
                <w:rFonts w:hint="eastAsia"/>
              </w:rPr>
            </w:pPr>
            <w:r>
              <w:rPr>
                <w:rFonts w:hint="eastAsia"/>
              </w:rPr>
              <w:t>白脏盘清洗消毒机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60</w:t>
            </w:r>
          </w:p>
        </w:tc>
        <w:tc>
          <w:tcPr>
            <w:tcW w:w="3577" w:type="dxa"/>
            <w:tcBorders>
              <w:tl2br w:val="nil"/>
              <w:tr2bl w:val="nil"/>
            </w:tcBorders>
            <w:vAlign w:val="center"/>
          </w:tcPr>
          <w:p>
            <w:pPr>
              <w:pStyle w:val="30"/>
              <w:widowControl w:val="0"/>
              <w:bidi w:val="0"/>
              <w:jc w:val="center"/>
              <w:rPr>
                <w:rFonts w:hint="eastAsia"/>
              </w:rPr>
            </w:pPr>
            <w:r>
              <w:rPr>
                <w:rFonts w:hint="eastAsia"/>
              </w:rPr>
              <w:t>悬挂式红脏检疫线</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28</w:t>
            </w:r>
            <w:r>
              <w:rPr>
                <w:rFonts w:hint="eastAsia"/>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61</w:t>
            </w:r>
          </w:p>
        </w:tc>
        <w:tc>
          <w:tcPr>
            <w:tcW w:w="3577" w:type="dxa"/>
            <w:tcBorders>
              <w:tl2br w:val="nil"/>
              <w:tr2bl w:val="nil"/>
            </w:tcBorders>
            <w:vAlign w:val="center"/>
          </w:tcPr>
          <w:p>
            <w:pPr>
              <w:pStyle w:val="30"/>
              <w:widowControl w:val="0"/>
              <w:bidi w:val="0"/>
              <w:jc w:val="center"/>
              <w:rPr>
                <w:rFonts w:hint="eastAsia"/>
              </w:rPr>
            </w:pPr>
            <w:r>
              <w:rPr>
                <w:rFonts w:hint="eastAsia"/>
              </w:rPr>
              <w:t>自动脱钩装置</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62</w:t>
            </w:r>
          </w:p>
        </w:tc>
        <w:tc>
          <w:tcPr>
            <w:tcW w:w="3577" w:type="dxa"/>
            <w:tcBorders>
              <w:tl2br w:val="nil"/>
              <w:tr2bl w:val="nil"/>
            </w:tcBorders>
            <w:vAlign w:val="center"/>
          </w:tcPr>
          <w:p>
            <w:pPr>
              <w:pStyle w:val="30"/>
              <w:widowControl w:val="0"/>
              <w:bidi w:val="0"/>
              <w:jc w:val="center"/>
              <w:rPr>
                <w:rFonts w:hint="eastAsia"/>
              </w:rPr>
            </w:pPr>
            <w:r>
              <w:rPr>
                <w:rFonts w:hint="eastAsia"/>
              </w:rPr>
              <w:t>红脏钩清洗消毒机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63</w:t>
            </w:r>
          </w:p>
        </w:tc>
        <w:tc>
          <w:tcPr>
            <w:tcW w:w="3577" w:type="dxa"/>
            <w:tcBorders>
              <w:tl2br w:val="nil"/>
              <w:tr2bl w:val="nil"/>
            </w:tcBorders>
            <w:vAlign w:val="center"/>
          </w:tcPr>
          <w:p>
            <w:pPr>
              <w:pStyle w:val="30"/>
              <w:widowControl w:val="0"/>
              <w:bidi w:val="0"/>
              <w:jc w:val="center"/>
              <w:rPr>
                <w:rFonts w:hint="eastAsia"/>
              </w:rPr>
            </w:pPr>
            <w:r>
              <w:rPr>
                <w:rFonts w:hint="eastAsia"/>
              </w:rPr>
              <w:t>白脏滑槽</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个</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64</w:t>
            </w:r>
          </w:p>
        </w:tc>
        <w:tc>
          <w:tcPr>
            <w:tcW w:w="3577" w:type="dxa"/>
            <w:tcBorders>
              <w:tl2br w:val="nil"/>
              <w:tr2bl w:val="nil"/>
            </w:tcBorders>
            <w:vAlign w:val="center"/>
          </w:tcPr>
          <w:p>
            <w:pPr>
              <w:pStyle w:val="30"/>
              <w:widowControl w:val="0"/>
              <w:bidi w:val="0"/>
              <w:jc w:val="center"/>
              <w:rPr>
                <w:rFonts w:hint="eastAsia"/>
              </w:rPr>
            </w:pPr>
            <w:r>
              <w:rPr>
                <w:rFonts w:hint="eastAsia"/>
              </w:rPr>
              <w:t>红脏滑槽</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个</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65</w:t>
            </w:r>
          </w:p>
        </w:tc>
        <w:tc>
          <w:tcPr>
            <w:tcW w:w="3577" w:type="dxa"/>
            <w:tcBorders>
              <w:tl2br w:val="nil"/>
              <w:tr2bl w:val="nil"/>
            </w:tcBorders>
            <w:vAlign w:val="center"/>
          </w:tcPr>
          <w:p>
            <w:pPr>
              <w:pStyle w:val="30"/>
              <w:widowControl w:val="0"/>
              <w:bidi w:val="0"/>
              <w:jc w:val="center"/>
              <w:rPr>
                <w:rFonts w:hint="eastAsia"/>
              </w:rPr>
            </w:pPr>
            <w:r>
              <w:rPr>
                <w:rFonts w:hint="eastAsia"/>
              </w:rPr>
              <w:t>机器人自动劈半机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66</w:t>
            </w:r>
          </w:p>
        </w:tc>
        <w:tc>
          <w:tcPr>
            <w:tcW w:w="3577" w:type="dxa"/>
            <w:tcBorders>
              <w:tl2br w:val="nil"/>
              <w:tr2bl w:val="nil"/>
            </w:tcBorders>
            <w:vAlign w:val="center"/>
          </w:tcPr>
          <w:p>
            <w:pPr>
              <w:pStyle w:val="30"/>
              <w:widowControl w:val="0"/>
              <w:bidi w:val="0"/>
              <w:jc w:val="center"/>
              <w:rPr>
                <w:rFonts w:hint="eastAsia"/>
              </w:rPr>
            </w:pPr>
            <w:r>
              <w:rPr>
                <w:rFonts w:hint="eastAsia"/>
              </w:rPr>
              <w:t>机器人底座</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67</w:t>
            </w:r>
          </w:p>
        </w:tc>
        <w:tc>
          <w:tcPr>
            <w:tcW w:w="3577" w:type="dxa"/>
            <w:tcBorders>
              <w:tl2br w:val="nil"/>
              <w:tr2bl w:val="nil"/>
            </w:tcBorders>
            <w:vAlign w:val="center"/>
          </w:tcPr>
          <w:p>
            <w:pPr>
              <w:pStyle w:val="30"/>
              <w:widowControl w:val="0"/>
              <w:bidi w:val="0"/>
              <w:jc w:val="center"/>
              <w:rPr>
                <w:rFonts w:hint="eastAsia"/>
              </w:rPr>
            </w:pPr>
            <w:r>
              <w:rPr>
                <w:rFonts w:hint="eastAsia"/>
              </w:rPr>
              <w:t>安全围栏</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68</w:t>
            </w:r>
          </w:p>
        </w:tc>
        <w:tc>
          <w:tcPr>
            <w:tcW w:w="3577" w:type="dxa"/>
            <w:tcBorders>
              <w:tl2br w:val="nil"/>
              <w:tr2bl w:val="nil"/>
            </w:tcBorders>
            <w:vAlign w:val="center"/>
          </w:tcPr>
          <w:p>
            <w:pPr>
              <w:pStyle w:val="30"/>
              <w:widowControl w:val="0"/>
              <w:bidi w:val="0"/>
              <w:jc w:val="center"/>
              <w:rPr>
                <w:rFonts w:hint="eastAsia"/>
              </w:rPr>
            </w:pPr>
            <w:r>
              <w:rPr>
                <w:rFonts w:hint="eastAsia"/>
              </w:rPr>
              <w:t>带式劈半锯</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含平衡器</w:t>
            </w:r>
            <w:r>
              <w:rPr>
                <w:rFonts w:hint="eastAsia"/>
                <w:lang w:eastAsia="zh-CN"/>
              </w:rPr>
              <w:t>、</w:t>
            </w:r>
            <w:r>
              <w:rPr>
                <w:rFonts w:hint="eastAsia"/>
                <w:lang w:val="en-US" w:eastAsia="zh-CN"/>
              </w:rPr>
              <w:t>进口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69</w:t>
            </w:r>
          </w:p>
        </w:tc>
        <w:tc>
          <w:tcPr>
            <w:tcW w:w="3577" w:type="dxa"/>
            <w:tcBorders>
              <w:tl2br w:val="nil"/>
              <w:tr2bl w:val="nil"/>
            </w:tcBorders>
            <w:vAlign w:val="center"/>
          </w:tcPr>
          <w:p>
            <w:pPr>
              <w:pStyle w:val="30"/>
              <w:widowControl w:val="0"/>
              <w:bidi w:val="0"/>
              <w:jc w:val="center"/>
              <w:rPr>
                <w:rFonts w:hint="eastAsia"/>
              </w:rPr>
            </w:pPr>
            <w:r>
              <w:rPr>
                <w:rFonts w:hint="eastAsia"/>
              </w:rPr>
              <w:t>劈半防浅屏</w:t>
            </w:r>
          </w:p>
        </w:tc>
        <w:tc>
          <w:tcPr>
            <w:tcW w:w="1176" w:type="dxa"/>
            <w:tcBorders>
              <w:tl2br w:val="nil"/>
              <w:tr2bl w:val="nil"/>
            </w:tcBorders>
            <w:vAlign w:val="center"/>
          </w:tcPr>
          <w:p>
            <w:pPr>
              <w:pStyle w:val="30"/>
              <w:widowControl w:val="0"/>
              <w:bidi w:val="0"/>
              <w:jc w:val="center"/>
              <w:rPr>
                <w:rFonts w:hint="eastAsia"/>
              </w:rPr>
            </w:pPr>
            <w:r>
              <w:rPr>
                <w:rFonts w:hint="eastAsia"/>
              </w:rPr>
              <w:t>2</w:t>
            </w:r>
          </w:p>
        </w:tc>
        <w:tc>
          <w:tcPr>
            <w:tcW w:w="936" w:type="dxa"/>
            <w:tcBorders>
              <w:tl2br w:val="nil"/>
              <w:tr2bl w:val="nil"/>
            </w:tcBorders>
            <w:vAlign w:val="center"/>
          </w:tcPr>
          <w:p>
            <w:pPr>
              <w:pStyle w:val="30"/>
              <w:widowControl w:val="0"/>
              <w:bidi w:val="0"/>
              <w:jc w:val="center"/>
              <w:rPr>
                <w:rFonts w:hint="eastAsia"/>
              </w:rPr>
            </w:pPr>
            <w:r>
              <w:rPr>
                <w:rFonts w:hint="eastAsia"/>
              </w:rPr>
              <w:t>个</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70</w:t>
            </w:r>
          </w:p>
        </w:tc>
        <w:tc>
          <w:tcPr>
            <w:tcW w:w="3577" w:type="dxa"/>
            <w:tcBorders>
              <w:tl2br w:val="nil"/>
              <w:tr2bl w:val="nil"/>
            </w:tcBorders>
            <w:vAlign w:val="center"/>
          </w:tcPr>
          <w:p>
            <w:pPr>
              <w:pStyle w:val="30"/>
              <w:widowControl w:val="0"/>
              <w:bidi w:val="0"/>
              <w:jc w:val="center"/>
              <w:rPr>
                <w:rFonts w:hint="eastAsia"/>
              </w:rPr>
            </w:pPr>
            <w:r>
              <w:rPr>
                <w:rFonts w:hint="eastAsia"/>
              </w:rPr>
              <w:t>胴体冲淋机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71</w:t>
            </w:r>
          </w:p>
        </w:tc>
        <w:tc>
          <w:tcPr>
            <w:tcW w:w="3577" w:type="dxa"/>
            <w:tcBorders>
              <w:tl2br w:val="nil"/>
              <w:tr2bl w:val="nil"/>
            </w:tcBorders>
            <w:vAlign w:val="center"/>
          </w:tcPr>
          <w:p>
            <w:pPr>
              <w:pStyle w:val="30"/>
              <w:widowControl w:val="0"/>
              <w:bidi w:val="0"/>
              <w:jc w:val="center"/>
              <w:rPr>
                <w:rFonts w:hint="eastAsia"/>
              </w:rPr>
            </w:pPr>
            <w:r>
              <w:rPr>
                <w:rFonts w:hint="eastAsia"/>
              </w:rPr>
              <w:t>气动道岔</w:t>
            </w:r>
          </w:p>
        </w:tc>
        <w:tc>
          <w:tcPr>
            <w:tcW w:w="1176" w:type="dxa"/>
            <w:tcBorders>
              <w:tl2br w:val="nil"/>
              <w:tr2bl w:val="nil"/>
            </w:tcBorders>
            <w:vAlign w:val="center"/>
          </w:tcPr>
          <w:p>
            <w:pPr>
              <w:pStyle w:val="30"/>
              <w:widowControl w:val="0"/>
              <w:bidi w:val="0"/>
              <w:jc w:val="center"/>
              <w:rPr>
                <w:rFonts w:hint="eastAsia"/>
              </w:rPr>
            </w:pPr>
            <w:r>
              <w:rPr>
                <w:rFonts w:hint="eastAsia"/>
              </w:rPr>
              <w:t>2</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72</w:t>
            </w:r>
          </w:p>
        </w:tc>
        <w:tc>
          <w:tcPr>
            <w:tcW w:w="3577" w:type="dxa"/>
            <w:tcBorders>
              <w:tl2br w:val="nil"/>
              <w:tr2bl w:val="nil"/>
            </w:tcBorders>
            <w:vAlign w:val="center"/>
          </w:tcPr>
          <w:p>
            <w:pPr>
              <w:pStyle w:val="30"/>
              <w:widowControl w:val="0"/>
              <w:bidi w:val="0"/>
              <w:jc w:val="center"/>
              <w:rPr>
                <w:rFonts w:hint="eastAsia"/>
              </w:rPr>
            </w:pPr>
            <w:r>
              <w:rPr>
                <w:rFonts w:hint="eastAsia"/>
              </w:rPr>
              <w:t>气动喂入装置</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73</w:t>
            </w:r>
          </w:p>
        </w:tc>
        <w:tc>
          <w:tcPr>
            <w:tcW w:w="3577" w:type="dxa"/>
            <w:tcBorders>
              <w:tl2br w:val="nil"/>
              <w:tr2bl w:val="nil"/>
            </w:tcBorders>
            <w:vAlign w:val="center"/>
          </w:tcPr>
          <w:p>
            <w:pPr>
              <w:pStyle w:val="30"/>
              <w:widowControl w:val="0"/>
              <w:bidi w:val="0"/>
              <w:jc w:val="center"/>
              <w:rPr>
                <w:rFonts w:hint="eastAsia"/>
              </w:rPr>
            </w:pPr>
            <w:r>
              <w:rPr>
                <w:rFonts w:hint="eastAsia"/>
              </w:rPr>
              <w:t>欧式胴体快速冷却自动线</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115</w:t>
            </w:r>
          </w:p>
        </w:tc>
        <w:tc>
          <w:tcPr>
            <w:tcW w:w="936" w:type="dxa"/>
            <w:tcBorders>
              <w:tl2br w:val="nil"/>
              <w:tr2bl w:val="nil"/>
            </w:tcBorders>
            <w:vAlign w:val="center"/>
          </w:tcPr>
          <w:p>
            <w:pPr>
              <w:pStyle w:val="30"/>
              <w:widowControl w:val="0"/>
              <w:bidi w:val="0"/>
              <w:jc w:val="center"/>
              <w:rPr>
                <w:rFonts w:hint="eastAsia"/>
              </w:rPr>
            </w:pPr>
            <w:r>
              <w:rPr>
                <w:rFonts w:hint="eastAsia"/>
              </w:rPr>
              <w:t>米</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双轨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74</w:t>
            </w:r>
          </w:p>
        </w:tc>
        <w:tc>
          <w:tcPr>
            <w:tcW w:w="3577" w:type="dxa"/>
            <w:tcBorders>
              <w:tl2br w:val="nil"/>
              <w:tr2bl w:val="nil"/>
            </w:tcBorders>
            <w:vAlign w:val="center"/>
          </w:tcPr>
          <w:p>
            <w:pPr>
              <w:pStyle w:val="30"/>
              <w:widowControl w:val="0"/>
              <w:bidi w:val="0"/>
              <w:jc w:val="center"/>
              <w:rPr>
                <w:rFonts w:hint="eastAsia"/>
              </w:rPr>
            </w:pPr>
            <w:r>
              <w:rPr>
                <w:rFonts w:hint="eastAsia"/>
              </w:rPr>
              <w:t>驱动装置</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75</w:t>
            </w:r>
          </w:p>
        </w:tc>
        <w:tc>
          <w:tcPr>
            <w:tcW w:w="3577" w:type="dxa"/>
            <w:tcBorders>
              <w:tl2br w:val="nil"/>
              <w:tr2bl w:val="nil"/>
            </w:tcBorders>
            <w:vAlign w:val="center"/>
          </w:tcPr>
          <w:p>
            <w:pPr>
              <w:pStyle w:val="30"/>
              <w:widowControl w:val="0"/>
              <w:bidi w:val="0"/>
              <w:jc w:val="center"/>
              <w:rPr>
                <w:rFonts w:hint="eastAsia"/>
              </w:rPr>
            </w:pPr>
            <w:r>
              <w:rPr>
                <w:rFonts w:hint="eastAsia"/>
              </w:rPr>
              <w:t>气动涨紧装置</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76</w:t>
            </w:r>
          </w:p>
        </w:tc>
        <w:tc>
          <w:tcPr>
            <w:tcW w:w="3577" w:type="dxa"/>
            <w:tcBorders>
              <w:tl2br w:val="nil"/>
              <w:tr2bl w:val="nil"/>
            </w:tcBorders>
            <w:vAlign w:val="center"/>
          </w:tcPr>
          <w:p>
            <w:pPr>
              <w:pStyle w:val="30"/>
              <w:widowControl w:val="0"/>
              <w:bidi w:val="0"/>
              <w:jc w:val="center"/>
              <w:rPr>
                <w:rFonts w:hint="eastAsia"/>
              </w:rPr>
            </w:pPr>
            <w:r>
              <w:rPr>
                <w:rFonts w:hint="eastAsia"/>
              </w:rPr>
              <w:t>导向装置</w:t>
            </w:r>
          </w:p>
        </w:tc>
        <w:tc>
          <w:tcPr>
            <w:tcW w:w="1176" w:type="dxa"/>
            <w:tcBorders>
              <w:tl2br w:val="nil"/>
              <w:tr2bl w:val="nil"/>
            </w:tcBorders>
            <w:vAlign w:val="center"/>
          </w:tcPr>
          <w:p>
            <w:pPr>
              <w:pStyle w:val="30"/>
              <w:widowControl w:val="0"/>
              <w:bidi w:val="0"/>
              <w:jc w:val="center"/>
              <w:rPr>
                <w:rFonts w:hint="eastAsia"/>
              </w:rPr>
            </w:pPr>
            <w:r>
              <w:rPr>
                <w:rFonts w:hint="eastAsia"/>
              </w:rPr>
              <w:t>7</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77</w:t>
            </w:r>
          </w:p>
        </w:tc>
        <w:tc>
          <w:tcPr>
            <w:tcW w:w="3577" w:type="dxa"/>
            <w:tcBorders>
              <w:tl2br w:val="nil"/>
              <w:tr2bl w:val="nil"/>
            </w:tcBorders>
            <w:vAlign w:val="center"/>
          </w:tcPr>
          <w:p>
            <w:pPr>
              <w:pStyle w:val="30"/>
              <w:widowControl w:val="0"/>
              <w:bidi w:val="0"/>
              <w:jc w:val="center"/>
              <w:rPr>
                <w:rFonts w:hint="eastAsia"/>
                <w:lang w:eastAsia="zh-CN"/>
              </w:rPr>
            </w:pPr>
            <w:r>
              <w:rPr>
                <w:rFonts w:hint="eastAsia"/>
                <w:lang w:eastAsia="zh-CN"/>
              </w:rPr>
              <w:t>下降机</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eastAsia="zh-CN"/>
              </w:rPr>
            </w:pPr>
            <w:r>
              <w:rPr>
                <w:rFonts w:hint="eastAsia"/>
                <w:lang w:eastAsia="zh-CN"/>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78</w:t>
            </w:r>
          </w:p>
        </w:tc>
        <w:tc>
          <w:tcPr>
            <w:tcW w:w="3577" w:type="dxa"/>
            <w:tcBorders>
              <w:tl2br w:val="nil"/>
              <w:tr2bl w:val="nil"/>
            </w:tcBorders>
            <w:vAlign w:val="center"/>
          </w:tcPr>
          <w:p>
            <w:pPr>
              <w:pStyle w:val="30"/>
              <w:widowControl w:val="0"/>
              <w:bidi w:val="0"/>
              <w:jc w:val="center"/>
              <w:rPr>
                <w:rFonts w:hint="eastAsia"/>
              </w:rPr>
            </w:pPr>
            <w:r>
              <w:rPr>
                <w:rFonts w:hint="eastAsia"/>
              </w:rPr>
              <w:t>双轨手推线</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786</w:t>
            </w:r>
          </w:p>
        </w:tc>
        <w:tc>
          <w:tcPr>
            <w:tcW w:w="936" w:type="dxa"/>
            <w:tcBorders>
              <w:tl2br w:val="nil"/>
              <w:tr2bl w:val="nil"/>
            </w:tcBorders>
            <w:vAlign w:val="center"/>
          </w:tcPr>
          <w:p>
            <w:pPr>
              <w:pStyle w:val="30"/>
              <w:widowControl w:val="0"/>
              <w:bidi w:val="0"/>
              <w:jc w:val="center"/>
              <w:rPr>
                <w:rFonts w:hint="eastAsia"/>
              </w:rPr>
            </w:pPr>
            <w:r>
              <w:rPr>
                <w:rFonts w:hint="eastAsia"/>
              </w:rPr>
              <w:t>米</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79</w:t>
            </w:r>
          </w:p>
        </w:tc>
        <w:tc>
          <w:tcPr>
            <w:tcW w:w="3577" w:type="dxa"/>
            <w:tcBorders>
              <w:tl2br w:val="nil"/>
              <w:tr2bl w:val="nil"/>
            </w:tcBorders>
            <w:vAlign w:val="center"/>
          </w:tcPr>
          <w:p>
            <w:pPr>
              <w:pStyle w:val="30"/>
              <w:widowControl w:val="0"/>
              <w:bidi w:val="0"/>
              <w:jc w:val="center"/>
              <w:rPr>
                <w:rFonts w:hint="eastAsia"/>
              </w:rPr>
            </w:pPr>
            <w:r>
              <w:rPr>
                <w:rFonts w:hint="eastAsia"/>
              </w:rPr>
              <w:t>双轨滑轮</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1000</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80</w:t>
            </w:r>
          </w:p>
        </w:tc>
        <w:tc>
          <w:tcPr>
            <w:tcW w:w="3577" w:type="dxa"/>
            <w:tcBorders>
              <w:tl2br w:val="nil"/>
              <w:tr2bl w:val="nil"/>
            </w:tcBorders>
            <w:vAlign w:val="center"/>
          </w:tcPr>
          <w:p>
            <w:pPr>
              <w:pStyle w:val="30"/>
              <w:widowControl w:val="0"/>
              <w:bidi w:val="0"/>
              <w:jc w:val="center"/>
              <w:rPr>
                <w:rFonts w:hint="eastAsia"/>
              </w:rPr>
            </w:pPr>
            <w:r>
              <w:rPr>
                <w:rFonts w:hint="eastAsia"/>
              </w:rPr>
              <w:t>人字形扁担钩</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1000</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81</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eastAsia="zh-CN"/>
              </w:rPr>
              <w:t>滑轮</w:t>
            </w:r>
            <w:r>
              <w:rPr>
                <w:rFonts w:hint="eastAsia"/>
              </w:rPr>
              <w:t>返回系统</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项</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lang w:val="en-US" w:eastAsia="zh-CN"/>
              </w:rPr>
              <w:t>7</w:t>
            </w:r>
            <w:r>
              <w:rPr>
                <w:rFonts w:hint="eastAsia"/>
              </w:rPr>
              <w:t>台回空输送机，总长</w:t>
            </w:r>
            <w:r>
              <w:rPr>
                <w:rFonts w:hint="eastAsia"/>
                <w:lang w:val="en-US" w:eastAsia="zh-CN"/>
              </w:rPr>
              <w:t>90</w:t>
            </w:r>
            <w:r>
              <w:rPr>
                <w:rFonts w:hint="eastAsia"/>
              </w:rPr>
              <w:t>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82</w:t>
            </w:r>
          </w:p>
        </w:tc>
        <w:tc>
          <w:tcPr>
            <w:tcW w:w="3577" w:type="dxa"/>
            <w:tcBorders>
              <w:tl2br w:val="nil"/>
              <w:tr2bl w:val="nil"/>
            </w:tcBorders>
            <w:vAlign w:val="center"/>
          </w:tcPr>
          <w:p>
            <w:pPr>
              <w:pStyle w:val="30"/>
              <w:widowControl w:val="0"/>
              <w:bidi w:val="0"/>
              <w:jc w:val="center"/>
              <w:rPr>
                <w:rFonts w:hint="eastAsia"/>
              </w:rPr>
            </w:pPr>
            <w:r>
              <w:rPr>
                <w:rFonts w:hint="eastAsia"/>
              </w:rPr>
              <w:t>断轨器</w:t>
            </w:r>
          </w:p>
        </w:tc>
        <w:tc>
          <w:tcPr>
            <w:tcW w:w="1176" w:type="dxa"/>
            <w:tcBorders>
              <w:tl2br w:val="nil"/>
              <w:tr2bl w:val="nil"/>
            </w:tcBorders>
            <w:vAlign w:val="center"/>
          </w:tcPr>
          <w:p>
            <w:pPr>
              <w:pStyle w:val="30"/>
              <w:widowControl w:val="0"/>
              <w:bidi w:val="0"/>
              <w:jc w:val="center"/>
              <w:rPr>
                <w:rFonts w:hint="eastAsia"/>
              </w:rPr>
            </w:pPr>
            <w:r>
              <w:rPr>
                <w:rFonts w:hint="eastAsia"/>
              </w:rPr>
              <w:t>8</w:t>
            </w:r>
          </w:p>
        </w:tc>
        <w:tc>
          <w:tcPr>
            <w:tcW w:w="936" w:type="dxa"/>
            <w:tcBorders>
              <w:tl2br w:val="nil"/>
              <w:tr2bl w:val="nil"/>
            </w:tcBorders>
            <w:vAlign w:val="center"/>
          </w:tcPr>
          <w:p>
            <w:pPr>
              <w:pStyle w:val="30"/>
              <w:widowControl w:val="0"/>
              <w:bidi w:val="0"/>
              <w:jc w:val="center"/>
              <w:rPr>
                <w:rFonts w:hint="eastAsia"/>
              </w:rPr>
            </w:pPr>
            <w:r>
              <w:rPr>
                <w:rFonts w:hint="eastAsia"/>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83</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修刮及取内脏工作站台</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2500*1000mm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83</w:t>
            </w:r>
          </w:p>
        </w:tc>
        <w:tc>
          <w:tcPr>
            <w:tcW w:w="3577" w:type="dxa"/>
            <w:tcBorders>
              <w:tl2br w:val="nil"/>
              <w:tr2bl w:val="nil"/>
            </w:tcBorders>
            <w:vAlign w:val="center"/>
          </w:tcPr>
          <w:p>
            <w:pPr>
              <w:pStyle w:val="30"/>
              <w:widowControl w:val="0"/>
              <w:bidi w:val="0"/>
              <w:jc w:val="center"/>
              <w:rPr>
                <w:rFonts w:hint="eastAsia"/>
              </w:rPr>
            </w:pPr>
            <w:r>
              <w:rPr>
                <w:rFonts w:hint="eastAsia"/>
              </w:rPr>
              <w:t>人工修刮工作站台</w:t>
            </w:r>
          </w:p>
        </w:tc>
        <w:tc>
          <w:tcPr>
            <w:tcW w:w="1176" w:type="dxa"/>
            <w:tcBorders>
              <w:tl2br w:val="nil"/>
              <w:tr2bl w:val="nil"/>
            </w:tcBorders>
            <w:vAlign w:val="center"/>
          </w:tcPr>
          <w:p>
            <w:pPr>
              <w:pStyle w:val="30"/>
              <w:widowControl w:val="0"/>
              <w:bidi w:val="0"/>
              <w:jc w:val="center"/>
              <w:rPr>
                <w:rFonts w:hint="eastAsia"/>
              </w:rPr>
            </w:pPr>
            <w:r>
              <w:rPr>
                <w:rFonts w:hint="eastAsia"/>
              </w:rPr>
              <w:t>2</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84</w:t>
            </w:r>
          </w:p>
        </w:tc>
        <w:tc>
          <w:tcPr>
            <w:tcW w:w="3577" w:type="dxa"/>
            <w:tcBorders>
              <w:tl2br w:val="nil"/>
              <w:tr2bl w:val="nil"/>
            </w:tcBorders>
            <w:vAlign w:val="center"/>
          </w:tcPr>
          <w:p>
            <w:pPr>
              <w:pStyle w:val="30"/>
              <w:widowControl w:val="0"/>
              <w:bidi w:val="0"/>
              <w:jc w:val="center"/>
              <w:rPr>
                <w:rFonts w:hint="eastAsia"/>
              </w:rPr>
            </w:pPr>
            <w:r>
              <w:rPr>
                <w:rFonts w:hint="eastAsia"/>
              </w:rPr>
              <w:t>人工刮黑工作站台</w:t>
            </w:r>
          </w:p>
        </w:tc>
        <w:tc>
          <w:tcPr>
            <w:tcW w:w="1176" w:type="dxa"/>
            <w:tcBorders>
              <w:tl2br w:val="nil"/>
              <w:tr2bl w:val="nil"/>
            </w:tcBorders>
            <w:vAlign w:val="center"/>
          </w:tcPr>
          <w:p>
            <w:pPr>
              <w:pStyle w:val="30"/>
              <w:widowControl w:val="0"/>
              <w:bidi w:val="0"/>
              <w:jc w:val="center"/>
              <w:rPr>
                <w:rFonts w:hint="eastAsia"/>
              </w:rPr>
            </w:pPr>
            <w:r>
              <w:rPr>
                <w:rFonts w:hint="eastAsia"/>
              </w:rPr>
              <w:t>2</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85</w:t>
            </w:r>
          </w:p>
        </w:tc>
        <w:tc>
          <w:tcPr>
            <w:tcW w:w="3577" w:type="dxa"/>
            <w:tcBorders>
              <w:tl2br w:val="nil"/>
              <w:tr2bl w:val="nil"/>
            </w:tcBorders>
            <w:vAlign w:val="center"/>
          </w:tcPr>
          <w:p>
            <w:pPr>
              <w:pStyle w:val="30"/>
              <w:widowControl w:val="0"/>
              <w:bidi w:val="0"/>
              <w:jc w:val="center"/>
              <w:rPr>
                <w:rFonts w:hint="eastAsia"/>
              </w:rPr>
            </w:pPr>
            <w:r>
              <w:rPr>
                <w:rFonts w:hint="eastAsia"/>
              </w:rPr>
              <w:t>未脱钩紧急处理工作站台</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t>1700</w:t>
            </w:r>
            <w:r>
              <w:rPr>
                <w:rFonts w:hint="eastAsia"/>
              </w:rPr>
              <w:t>*</w:t>
            </w:r>
            <w:r>
              <w:t>800</w:t>
            </w:r>
            <w:r>
              <w:rPr>
                <w:rFonts w:hint="eastAsia"/>
              </w:rPr>
              <w:t>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86</w:t>
            </w:r>
          </w:p>
        </w:tc>
        <w:tc>
          <w:tcPr>
            <w:tcW w:w="3577" w:type="dxa"/>
            <w:tcBorders>
              <w:tl2br w:val="nil"/>
              <w:tr2bl w:val="nil"/>
            </w:tcBorders>
            <w:vAlign w:val="center"/>
          </w:tcPr>
          <w:p>
            <w:pPr>
              <w:pStyle w:val="30"/>
              <w:widowControl w:val="0"/>
              <w:bidi w:val="0"/>
              <w:jc w:val="center"/>
              <w:rPr>
                <w:rFonts w:hint="eastAsia"/>
              </w:rPr>
            </w:pPr>
            <w:r>
              <w:rPr>
                <w:rFonts w:hint="eastAsia"/>
              </w:rPr>
              <w:t>打毛机维护工作站台</w:t>
            </w:r>
          </w:p>
        </w:tc>
        <w:tc>
          <w:tcPr>
            <w:tcW w:w="1176" w:type="dxa"/>
            <w:tcBorders>
              <w:tl2br w:val="nil"/>
              <w:tr2bl w:val="nil"/>
            </w:tcBorders>
            <w:vAlign w:val="center"/>
          </w:tcPr>
          <w:p>
            <w:pPr>
              <w:pStyle w:val="30"/>
              <w:widowControl w:val="0"/>
              <w:bidi w:val="0"/>
              <w:jc w:val="center"/>
              <w:rPr>
                <w:rFonts w:hint="eastAsia"/>
              </w:rPr>
            </w:pPr>
            <w:r>
              <w:rPr>
                <w:rFonts w:hint="eastAsia"/>
              </w:rPr>
              <w:t>4</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30</w:t>
            </w:r>
            <w:r>
              <w:t>00</w:t>
            </w:r>
            <w:r>
              <w:rPr>
                <w:rFonts w:hint="eastAsia"/>
              </w:rPr>
              <w:t>*6</w:t>
            </w:r>
            <w:r>
              <w:t>00</w:t>
            </w:r>
            <w:r>
              <w:rPr>
                <w:rFonts w:hint="eastAsia"/>
              </w:rPr>
              <w:t>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87</w:t>
            </w:r>
          </w:p>
        </w:tc>
        <w:tc>
          <w:tcPr>
            <w:tcW w:w="3577" w:type="dxa"/>
            <w:tcBorders>
              <w:tl2br w:val="nil"/>
              <w:tr2bl w:val="nil"/>
            </w:tcBorders>
            <w:vAlign w:val="center"/>
          </w:tcPr>
          <w:p>
            <w:pPr>
              <w:pStyle w:val="30"/>
              <w:widowControl w:val="0"/>
              <w:bidi w:val="0"/>
              <w:jc w:val="center"/>
              <w:rPr>
                <w:rFonts w:hint="eastAsia"/>
              </w:rPr>
            </w:pPr>
            <w:r>
              <w:rPr>
                <w:rFonts w:hint="eastAsia"/>
                <w:lang w:eastAsia="zh-CN"/>
              </w:rPr>
              <w:t>去头</w:t>
            </w:r>
            <w:r>
              <w:rPr>
                <w:rFonts w:hint="eastAsia"/>
              </w:rPr>
              <w:t>工作站台</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88</w:t>
            </w:r>
          </w:p>
        </w:tc>
        <w:tc>
          <w:tcPr>
            <w:tcW w:w="3577" w:type="dxa"/>
            <w:tcBorders>
              <w:tl2br w:val="nil"/>
              <w:tr2bl w:val="nil"/>
            </w:tcBorders>
            <w:vAlign w:val="center"/>
          </w:tcPr>
          <w:p>
            <w:pPr>
              <w:pStyle w:val="30"/>
              <w:widowControl w:val="0"/>
              <w:bidi w:val="0"/>
              <w:jc w:val="center"/>
              <w:rPr>
                <w:rFonts w:hint="eastAsia"/>
              </w:rPr>
            </w:pPr>
            <w:r>
              <w:rPr>
                <w:rFonts w:hint="eastAsia"/>
              </w:rPr>
              <w:t>雕圈工作站台</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89</w:t>
            </w:r>
          </w:p>
        </w:tc>
        <w:tc>
          <w:tcPr>
            <w:tcW w:w="3577" w:type="dxa"/>
            <w:tcBorders>
              <w:tl2br w:val="nil"/>
              <w:tr2bl w:val="nil"/>
            </w:tcBorders>
            <w:vAlign w:val="center"/>
          </w:tcPr>
          <w:p>
            <w:pPr>
              <w:pStyle w:val="30"/>
              <w:widowControl w:val="0"/>
              <w:bidi w:val="0"/>
              <w:jc w:val="center"/>
              <w:rPr>
                <w:rFonts w:hint="eastAsia"/>
              </w:rPr>
            </w:pPr>
            <w:r>
              <w:rPr>
                <w:rFonts w:hint="eastAsia"/>
              </w:rPr>
              <w:t>开胸工作站台</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90</w:t>
            </w:r>
          </w:p>
        </w:tc>
        <w:tc>
          <w:tcPr>
            <w:tcW w:w="3577" w:type="dxa"/>
            <w:tcBorders>
              <w:tl2br w:val="nil"/>
              <w:tr2bl w:val="nil"/>
            </w:tcBorders>
            <w:vAlign w:val="center"/>
          </w:tcPr>
          <w:p>
            <w:pPr>
              <w:pStyle w:val="30"/>
              <w:widowControl w:val="0"/>
              <w:bidi w:val="0"/>
              <w:jc w:val="center"/>
              <w:rPr>
                <w:rFonts w:hint="eastAsia"/>
              </w:rPr>
            </w:pPr>
            <w:r>
              <w:rPr>
                <w:rFonts w:hint="eastAsia"/>
              </w:rPr>
              <w:t>取白脏工作站台</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3000*1000mm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91</w:t>
            </w:r>
          </w:p>
        </w:tc>
        <w:tc>
          <w:tcPr>
            <w:tcW w:w="3577" w:type="dxa"/>
            <w:tcBorders>
              <w:tl2br w:val="nil"/>
              <w:tr2bl w:val="nil"/>
            </w:tcBorders>
            <w:vAlign w:val="center"/>
          </w:tcPr>
          <w:p>
            <w:pPr>
              <w:pStyle w:val="30"/>
              <w:widowControl w:val="0"/>
              <w:bidi w:val="0"/>
              <w:jc w:val="center"/>
              <w:rPr>
                <w:rFonts w:hint="eastAsia"/>
              </w:rPr>
            </w:pPr>
            <w:r>
              <w:rPr>
                <w:rFonts w:hint="eastAsia"/>
              </w:rPr>
              <w:t>取红脏工作站台</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2500*1000mm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92</w:t>
            </w:r>
          </w:p>
        </w:tc>
        <w:tc>
          <w:tcPr>
            <w:tcW w:w="3577" w:type="dxa"/>
            <w:tcBorders>
              <w:tl2br w:val="nil"/>
              <w:tr2bl w:val="nil"/>
            </w:tcBorders>
            <w:vAlign w:val="center"/>
          </w:tcPr>
          <w:p>
            <w:pPr>
              <w:pStyle w:val="30"/>
              <w:widowControl w:val="0"/>
              <w:bidi w:val="0"/>
              <w:jc w:val="center"/>
              <w:rPr>
                <w:rFonts w:hint="eastAsia"/>
              </w:rPr>
            </w:pPr>
            <w:r>
              <w:rPr>
                <w:rFonts w:hint="eastAsia"/>
              </w:rPr>
              <w:t>旋检取样工作站台</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93</w:t>
            </w:r>
          </w:p>
        </w:tc>
        <w:tc>
          <w:tcPr>
            <w:tcW w:w="3577" w:type="dxa"/>
            <w:tcBorders>
              <w:tl2br w:val="nil"/>
              <w:tr2bl w:val="nil"/>
            </w:tcBorders>
            <w:vAlign w:val="center"/>
          </w:tcPr>
          <w:p>
            <w:pPr>
              <w:pStyle w:val="30"/>
              <w:widowControl w:val="0"/>
              <w:bidi w:val="0"/>
              <w:jc w:val="center"/>
              <w:rPr>
                <w:rFonts w:hint="eastAsia"/>
              </w:rPr>
            </w:pPr>
            <w:r>
              <w:rPr>
                <w:rFonts w:hint="eastAsia"/>
              </w:rPr>
              <w:t>劈半工作站台</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2500*1000mm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94</w:t>
            </w:r>
          </w:p>
        </w:tc>
        <w:tc>
          <w:tcPr>
            <w:tcW w:w="3577" w:type="dxa"/>
            <w:tcBorders>
              <w:tl2br w:val="nil"/>
              <w:tr2bl w:val="nil"/>
            </w:tcBorders>
            <w:vAlign w:val="center"/>
          </w:tcPr>
          <w:p>
            <w:pPr>
              <w:pStyle w:val="30"/>
              <w:widowControl w:val="0"/>
              <w:bidi w:val="0"/>
              <w:jc w:val="center"/>
              <w:rPr>
                <w:rFonts w:hint="eastAsia"/>
              </w:rPr>
            </w:pPr>
            <w:r>
              <w:rPr>
                <w:rFonts w:hint="eastAsia"/>
              </w:rPr>
              <w:t>胴体检疫工作站台</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95</w:t>
            </w:r>
          </w:p>
        </w:tc>
        <w:tc>
          <w:tcPr>
            <w:tcW w:w="3577" w:type="dxa"/>
            <w:tcBorders>
              <w:tl2br w:val="nil"/>
              <w:tr2bl w:val="nil"/>
            </w:tcBorders>
            <w:vAlign w:val="center"/>
          </w:tcPr>
          <w:p>
            <w:pPr>
              <w:pStyle w:val="30"/>
              <w:widowControl w:val="0"/>
              <w:bidi w:val="0"/>
              <w:jc w:val="center"/>
              <w:rPr>
                <w:rFonts w:hint="eastAsia"/>
              </w:rPr>
            </w:pPr>
            <w:r>
              <w:rPr>
                <w:rFonts w:hint="eastAsia"/>
              </w:rPr>
              <w:t>内脏检疫工作站台</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2000*800mm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96</w:t>
            </w:r>
          </w:p>
        </w:tc>
        <w:tc>
          <w:tcPr>
            <w:tcW w:w="3577" w:type="dxa"/>
            <w:tcBorders>
              <w:tl2br w:val="nil"/>
              <w:tr2bl w:val="nil"/>
            </w:tcBorders>
            <w:vAlign w:val="center"/>
          </w:tcPr>
          <w:p>
            <w:pPr>
              <w:pStyle w:val="30"/>
              <w:widowControl w:val="0"/>
              <w:bidi w:val="0"/>
              <w:jc w:val="center"/>
              <w:rPr>
                <w:rFonts w:hint="eastAsia"/>
              </w:rPr>
            </w:pPr>
            <w:r>
              <w:rPr>
                <w:rFonts w:hint="eastAsia"/>
              </w:rPr>
              <w:t>撕板油工作站台</w:t>
            </w:r>
          </w:p>
        </w:tc>
        <w:tc>
          <w:tcPr>
            <w:tcW w:w="1176" w:type="dxa"/>
            <w:tcBorders>
              <w:tl2br w:val="nil"/>
              <w:tr2bl w:val="nil"/>
            </w:tcBorders>
            <w:vAlign w:val="center"/>
          </w:tcPr>
          <w:p>
            <w:pPr>
              <w:pStyle w:val="30"/>
              <w:widowControl w:val="0"/>
              <w:bidi w:val="0"/>
              <w:jc w:val="center"/>
              <w:rPr>
                <w:rFonts w:hint="eastAsia"/>
              </w:rPr>
            </w:pPr>
            <w:r>
              <w:rPr>
                <w:rFonts w:hint="eastAsia"/>
              </w:rPr>
              <w:t>2</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97</w:t>
            </w:r>
          </w:p>
        </w:tc>
        <w:tc>
          <w:tcPr>
            <w:tcW w:w="3577" w:type="dxa"/>
            <w:tcBorders>
              <w:tl2br w:val="nil"/>
              <w:tr2bl w:val="nil"/>
            </w:tcBorders>
            <w:vAlign w:val="center"/>
          </w:tcPr>
          <w:p>
            <w:pPr>
              <w:pStyle w:val="30"/>
              <w:widowControl w:val="0"/>
              <w:bidi w:val="0"/>
              <w:jc w:val="center"/>
              <w:rPr>
                <w:rFonts w:hint="eastAsia"/>
              </w:rPr>
            </w:pPr>
            <w:r>
              <w:rPr>
                <w:rFonts w:hint="eastAsia"/>
              </w:rPr>
              <w:t>修整工作站台</w:t>
            </w:r>
          </w:p>
        </w:tc>
        <w:tc>
          <w:tcPr>
            <w:tcW w:w="1176" w:type="dxa"/>
            <w:tcBorders>
              <w:tl2br w:val="nil"/>
              <w:tr2bl w:val="nil"/>
            </w:tcBorders>
            <w:vAlign w:val="center"/>
          </w:tcPr>
          <w:p>
            <w:pPr>
              <w:pStyle w:val="30"/>
              <w:widowControl w:val="0"/>
              <w:bidi w:val="0"/>
              <w:jc w:val="center"/>
              <w:rPr>
                <w:rFonts w:hint="eastAsia"/>
              </w:rPr>
            </w:pPr>
            <w:r>
              <w:rPr>
                <w:rFonts w:hint="eastAsia"/>
              </w:rPr>
              <w:t>2</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98</w:t>
            </w:r>
          </w:p>
        </w:tc>
        <w:tc>
          <w:tcPr>
            <w:tcW w:w="3577" w:type="dxa"/>
            <w:tcBorders>
              <w:tl2br w:val="nil"/>
              <w:tr2bl w:val="nil"/>
            </w:tcBorders>
            <w:vAlign w:val="center"/>
          </w:tcPr>
          <w:p>
            <w:pPr>
              <w:pStyle w:val="30"/>
              <w:widowControl w:val="0"/>
              <w:bidi w:val="0"/>
              <w:jc w:val="center"/>
              <w:rPr>
                <w:rFonts w:hint="eastAsia"/>
              </w:rPr>
            </w:pPr>
            <w:r>
              <w:rPr>
                <w:rFonts w:hint="eastAsia"/>
              </w:rPr>
              <w:t>分级工作站台</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99</w:t>
            </w:r>
          </w:p>
        </w:tc>
        <w:tc>
          <w:tcPr>
            <w:tcW w:w="3577" w:type="dxa"/>
            <w:tcBorders>
              <w:tl2br w:val="nil"/>
              <w:tr2bl w:val="nil"/>
            </w:tcBorders>
            <w:vAlign w:val="center"/>
          </w:tcPr>
          <w:p>
            <w:pPr>
              <w:pStyle w:val="30"/>
              <w:widowControl w:val="0"/>
              <w:bidi w:val="0"/>
              <w:jc w:val="center"/>
              <w:rPr>
                <w:rFonts w:hint="eastAsia"/>
              </w:rPr>
            </w:pPr>
            <w:r>
              <w:rPr>
                <w:rFonts w:hint="eastAsia"/>
              </w:rPr>
              <w:t>盖章工作站台</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100</w:t>
            </w:r>
          </w:p>
        </w:tc>
        <w:tc>
          <w:tcPr>
            <w:tcW w:w="3577" w:type="dxa"/>
            <w:tcBorders>
              <w:tl2br w:val="nil"/>
              <w:tr2bl w:val="nil"/>
            </w:tcBorders>
            <w:vAlign w:val="center"/>
          </w:tcPr>
          <w:p>
            <w:pPr>
              <w:pStyle w:val="30"/>
              <w:widowControl w:val="0"/>
              <w:bidi w:val="0"/>
              <w:jc w:val="center"/>
              <w:rPr>
                <w:rFonts w:hint="eastAsia"/>
              </w:rPr>
            </w:pPr>
            <w:r>
              <w:rPr>
                <w:rFonts w:hint="eastAsia"/>
                <w:lang w:eastAsia="zh-CN"/>
              </w:rPr>
              <w:t>称重</w:t>
            </w:r>
            <w:r>
              <w:rPr>
                <w:rFonts w:hint="eastAsia"/>
              </w:rPr>
              <w:t>工作站台</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1500*1000mm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101</w:t>
            </w:r>
          </w:p>
        </w:tc>
        <w:tc>
          <w:tcPr>
            <w:tcW w:w="3577" w:type="dxa"/>
            <w:tcBorders>
              <w:tl2br w:val="nil"/>
              <w:tr2bl w:val="nil"/>
            </w:tcBorders>
            <w:vAlign w:val="center"/>
          </w:tcPr>
          <w:p>
            <w:pPr>
              <w:pStyle w:val="30"/>
              <w:widowControl w:val="0"/>
              <w:bidi w:val="0"/>
              <w:jc w:val="center"/>
              <w:rPr>
                <w:rFonts w:hint="eastAsia"/>
              </w:rPr>
            </w:pPr>
            <w:r>
              <w:rPr>
                <w:rFonts w:hint="eastAsia"/>
              </w:rPr>
              <w:t>下降机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102</w:t>
            </w:r>
          </w:p>
        </w:tc>
        <w:tc>
          <w:tcPr>
            <w:tcW w:w="3577" w:type="dxa"/>
            <w:tcBorders>
              <w:tl2br w:val="nil"/>
              <w:tr2bl w:val="nil"/>
            </w:tcBorders>
            <w:vAlign w:val="center"/>
          </w:tcPr>
          <w:p>
            <w:pPr>
              <w:pStyle w:val="30"/>
              <w:widowControl w:val="0"/>
              <w:bidi w:val="0"/>
              <w:jc w:val="center"/>
              <w:rPr>
                <w:rFonts w:hint="eastAsia"/>
              </w:rPr>
            </w:pPr>
            <w:r>
              <w:rPr>
                <w:rFonts w:hint="eastAsia"/>
              </w:rPr>
              <w:t>前段接收输送机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L=</w:t>
            </w:r>
            <w:r>
              <w:rPr>
                <w:rFonts w:hint="eastAsia"/>
                <w:lang w:val="en-US" w:eastAsia="zh-CN"/>
              </w:rPr>
              <w:t>70</w:t>
            </w:r>
            <w:r>
              <w:t>00</w:t>
            </w:r>
            <w:r>
              <w:rPr>
                <w:rFonts w:hint="eastAsia"/>
                <w:lang w:val="en-US" w:eastAsia="zh-CN"/>
              </w:rPr>
              <w:t>x1550</w:t>
            </w:r>
            <w:r>
              <w:rPr>
                <w:rFonts w:hint="eastAsia"/>
              </w:rPr>
              <w:t>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103</w:t>
            </w:r>
          </w:p>
        </w:tc>
        <w:tc>
          <w:tcPr>
            <w:tcW w:w="3577" w:type="dxa"/>
            <w:tcBorders>
              <w:tl2br w:val="nil"/>
              <w:tr2bl w:val="nil"/>
            </w:tcBorders>
            <w:vAlign w:val="center"/>
          </w:tcPr>
          <w:p>
            <w:pPr>
              <w:pStyle w:val="30"/>
              <w:widowControl w:val="0"/>
              <w:bidi w:val="0"/>
              <w:jc w:val="center"/>
              <w:rPr>
                <w:rFonts w:hint="eastAsia"/>
              </w:rPr>
            </w:pPr>
            <w:r>
              <w:rPr>
                <w:rFonts w:hint="eastAsia"/>
              </w:rPr>
              <w:t>中段接收输送机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L=</w:t>
            </w:r>
            <w:r>
              <w:rPr>
                <w:rFonts w:hint="eastAsia"/>
                <w:lang w:val="en-US" w:eastAsia="zh-CN"/>
              </w:rPr>
              <w:t>55</w:t>
            </w:r>
            <w:r>
              <w:rPr>
                <w:rFonts w:hint="eastAsia"/>
              </w:rPr>
              <w:t>00</w:t>
            </w:r>
            <w:r>
              <w:rPr>
                <w:rFonts w:hint="eastAsia"/>
                <w:lang w:val="en-US" w:eastAsia="zh-CN"/>
              </w:rPr>
              <w:t>x1050</w:t>
            </w:r>
            <w:r>
              <w:rPr>
                <w:rFonts w:hint="eastAsia"/>
              </w:rPr>
              <w:t>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104</w:t>
            </w:r>
          </w:p>
        </w:tc>
        <w:tc>
          <w:tcPr>
            <w:tcW w:w="3577" w:type="dxa"/>
            <w:tcBorders>
              <w:tl2br w:val="nil"/>
              <w:tr2bl w:val="nil"/>
            </w:tcBorders>
            <w:vAlign w:val="center"/>
          </w:tcPr>
          <w:p>
            <w:pPr>
              <w:pStyle w:val="30"/>
              <w:widowControl w:val="0"/>
              <w:bidi w:val="0"/>
              <w:jc w:val="center"/>
              <w:rPr>
                <w:rFonts w:hint="eastAsia"/>
              </w:rPr>
            </w:pPr>
            <w:r>
              <w:rPr>
                <w:rFonts w:hint="eastAsia"/>
              </w:rPr>
              <w:t>后段接收输送机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L=</w:t>
            </w:r>
            <w:r>
              <w:rPr>
                <w:rFonts w:hint="eastAsia"/>
                <w:lang w:val="en-US" w:eastAsia="zh-CN"/>
              </w:rPr>
              <w:t>55</w:t>
            </w:r>
            <w:r>
              <w:rPr>
                <w:rFonts w:hint="eastAsia"/>
              </w:rPr>
              <w:t>00</w:t>
            </w:r>
            <w:r>
              <w:rPr>
                <w:rFonts w:hint="eastAsia"/>
                <w:lang w:val="en-US" w:eastAsia="zh-CN"/>
              </w:rPr>
              <w:t>x550</w:t>
            </w:r>
            <w:r>
              <w:rPr>
                <w:rFonts w:hint="eastAsia"/>
              </w:rPr>
              <w:t>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105</w:t>
            </w:r>
          </w:p>
        </w:tc>
        <w:tc>
          <w:tcPr>
            <w:tcW w:w="3577" w:type="dxa"/>
            <w:tcBorders>
              <w:tl2br w:val="nil"/>
              <w:tr2bl w:val="nil"/>
            </w:tcBorders>
            <w:vAlign w:val="center"/>
          </w:tcPr>
          <w:p>
            <w:pPr>
              <w:pStyle w:val="30"/>
              <w:widowControl w:val="0"/>
              <w:bidi w:val="0"/>
              <w:jc w:val="center"/>
              <w:rPr>
                <w:rFonts w:hint="eastAsia"/>
                <w:lang w:eastAsia="zh-CN"/>
              </w:rPr>
            </w:pPr>
            <w:r>
              <w:rPr>
                <w:rFonts w:hint="eastAsia"/>
                <w:lang w:eastAsia="zh-CN"/>
              </w:rPr>
              <w:t>跨臂式分段锯</w:t>
            </w:r>
          </w:p>
        </w:tc>
        <w:tc>
          <w:tcPr>
            <w:tcW w:w="1176" w:type="dxa"/>
            <w:tcBorders>
              <w:tl2br w:val="nil"/>
              <w:tr2bl w:val="nil"/>
            </w:tcBorders>
            <w:vAlign w:val="center"/>
          </w:tcPr>
          <w:p>
            <w:pPr>
              <w:pStyle w:val="30"/>
              <w:widowControl w:val="0"/>
              <w:bidi w:val="0"/>
              <w:jc w:val="center"/>
              <w:rPr>
                <w:rFonts w:hint="eastAsia"/>
                <w:lang w:eastAsia="zh-CN"/>
              </w:rPr>
            </w:pPr>
            <w:r>
              <w:rPr>
                <w:rFonts w:hint="eastAsia"/>
                <w:lang w:val="en-US" w:eastAsia="zh-CN"/>
              </w:rPr>
              <w:t>2</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106</w:t>
            </w:r>
          </w:p>
        </w:tc>
        <w:tc>
          <w:tcPr>
            <w:tcW w:w="3577" w:type="dxa"/>
            <w:tcBorders>
              <w:tl2br w:val="nil"/>
              <w:tr2bl w:val="nil"/>
            </w:tcBorders>
            <w:vAlign w:val="center"/>
          </w:tcPr>
          <w:p>
            <w:pPr>
              <w:pStyle w:val="30"/>
              <w:widowControl w:val="0"/>
              <w:bidi w:val="0"/>
              <w:jc w:val="center"/>
              <w:rPr>
                <w:rFonts w:hint="eastAsia"/>
              </w:rPr>
            </w:pPr>
            <w:r>
              <w:rPr>
                <w:rFonts w:hint="eastAsia"/>
              </w:rPr>
              <w:t>双层前段分割输送机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L=</w:t>
            </w:r>
            <w:r>
              <w:rPr>
                <w:rFonts w:hint="eastAsia"/>
                <w:lang w:val="en-US" w:eastAsia="zh-CN"/>
              </w:rPr>
              <w:t>125</w:t>
            </w:r>
            <w:r>
              <w:rPr>
                <w:rFonts w:hint="eastAsia"/>
              </w:rPr>
              <w:t>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107</w:t>
            </w:r>
          </w:p>
        </w:tc>
        <w:tc>
          <w:tcPr>
            <w:tcW w:w="3577" w:type="dxa"/>
            <w:tcBorders>
              <w:tl2br w:val="nil"/>
              <w:tr2bl w:val="nil"/>
            </w:tcBorders>
            <w:vAlign w:val="center"/>
          </w:tcPr>
          <w:p>
            <w:pPr>
              <w:pStyle w:val="30"/>
              <w:widowControl w:val="0"/>
              <w:bidi w:val="0"/>
              <w:jc w:val="center"/>
              <w:rPr>
                <w:rFonts w:hint="eastAsia"/>
              </w:rPr>
            </w:pPr>
            <w:r>
              <w:rPr>
                <w:rFonts w:hint="eastAsia"/>
              </w:rPr>
              <w:t>双层中段分割输送机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L=1</w:t>
            </w:r>
            <w:r>
              <w:rPr>
                <w:rFonts w:hint="eastAsia"/>
                <w:lang w:val="en-US" w:eastAsia="zh-CN"/>
              </w:rPr>
              <w:t>30</w:t>
            </w:r>
            <w:r>
              <w:rPr>
                <w:rFonts w:hint="eastAsia"/>
              </w:rPr>
              <w:t>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108</w:t>
            </w:r>
          </w:p>
        </w:tc>
        <w:tc>
          <w:tcPr>
            <w:tcW w:w="3577" w:type="dxa"/>
            <w:tcBorders>
              <w:tl2br w:val="nil"/>
              <w:tr2bl w:val="nil"/>
            </w:tcBorders>
            <w:vAlign w:val="center"/>
          </w:tcPr>
          <w:p>
            <w:pPr>
              <w:pStyle w:val="30"/>
              <w:widowControl w:val="0"/>
              <w:bidi w:val="0"/>
              <w:jc w:val="center"/>
              <w:rPr>
                <w:rFonts w:hint="eastAsia"/>
              </w:rPr>
            </w:pPr>
            <w:r>
              <w:rPr>
                <w:rFonts w:hint="eastAsia"/>
              </w:rPr>
              <w:t>双层后段分割输送机</w:t>
            </w:r>
          </w:p>
        </w:tc>
        <w:tc>
          <w:tcPr>
            <w:tcW w:w="1176" w:type="dxa"/>
            <w:tcBorders>
              <w:tl2br w:val="nil"/>
              <w:tr2bl w:val="nil"/>
            </w:tcBorders>
            <w:vAlign w:val="center"/>
          </w:tcPr>
          <w:p>
            <w:pPr>
              <w:pStyle w:val="30"/>
              <w:widowControl w:val="0"/>
              <w:bidi w:val="0"/>
              <w:jc w:val="center"/>
              <w:rPr>
                <w:rFonts w:hint="eastAsia"/>
              </w:rPr>
            </w:pPr>
            <w:r>
              <w:rPr>
                <w:rFonts w:hint="eastAsia"/>
              </w:rPr>
              <w:t>1</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L=1</w:t>
            </w:r>
            <w:r>
              <w:rPr>
                <w:rFonts w:hint="eastAsia"/>
                <w:lang w:val="en-US" w:eastAsia="zh-CN"/>
              </w:rPr>
              <w:t>350</w:t>
            </w:r>
            <w:r>
              <w:rPr>
                <w:rFonts w:hint="eastAsia"/>
              </w:rPr>
              <w:t>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109</w:t>
            </w:r>
          </w:p>
        </w:tc>
        <w:tc>
          <w:tcPr>
            <w:tcW w:w="3577" w:type="dxa"/>
            <w:tcBorders>
              <w:tl2br w:val="nil"/>
              <w:tr2bl w:val="nil"/>
            </w:tcBorders>
            <w:vAlign w:val="center"/>
          </w:tcPr>
          <w:p>
            <w:pPr>
              <w:pStyle w:val="30"/>
              <w:widowControl w:val="0"/>
              <w:bidi w:val="0"/>
              <w:jc w:val="center"/>
              <w:rPr>
                <w:rFonts w:hint="eastAsia"/>
              </w:rPr>
            </w:pPr>
            <w:r>
              <w:rPr>
                <w:rFonts w:hint="eastAsia"/>
              </w:rPr>
              <w:t>分割工作台</w:t>
            </w:r>
          </w:p>
        </w:tc>
        <w:tc>
          <w:tcPr>
            <w:tcW w:w="1176" w:type="dxa"/>
            <w:tcBorders>
              <w:tl2br w:val="nil"/>
              <w:tr2bl w:val="nil"/>
            </w:tcBorders>
            <w:vAlign w:val="center"/>
          </w:tcPr>
          <w:p>
            <w:pPr>
              <w:pStyle w:val="30"/>
              <w:widowControl w:val="0"/>
              <w:bidi w:val="0"/>
              <w:jc w:val="center"/>
              <w:rPr>
                <w:rFonts w:hint="eastAsia"/>
                <w:lang w:val="en-US"/>
              </w:rPr>
            </w:pPr>
            <w:r>
              <w:rPr>
                <w:rFonts w:hint="eastAsia"/>
                <w:lang w:val="en-US" w:eastAsia="zh-CN"/>
              </w:rPr>
              <w:t>42</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400X900mm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110</w:t>
            </w:r>
          </w:p>
        </w:tc>
        <w:tc>
          <w:tcPr>
            <w:tcW w:w="3577" w:type="dxa"/>
            <w:tcBorders>
              <w:tl2br w:val="nil"/>
              <w:tr2bl w:val="nil"/>
            </w:tcBorders>
            <w:vAlign w:val="center"/>
          </w:tcPr>
          <w:p>
            <w:pPr>
              <w:pStyle w:val="30"/>
              <w:widowControl w:val="0"/>
              <w:bidi w:val="0"/>
              <w:jc w:val="center"/>
              <w:rPr>
                <w:rFonts w:hint="eastAsia"/>
              </w:rPr>
            </w:pPr>
            <w:r>
              <w:rPr>
                <w:rFonts w:hint="eastAsia"/>
              </w:rPr>
              <w:t>箱架</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84</w:t>
            </w:r>
          </w:p>
        </w:tc>
        <w:tc>
          <w:tcPr>
            <w:tcW w:w="936" w:type="dxa"/>
            <w:tcBorders>
              <w:tl2br w:val="nil"/>
              <w:tr2bl w:val="nil"/>
            </w:tcBorders>
            <w:vAlign w:val="center"/>
          </w:tcPr>
          <w:p>
            <w:pPr>
              <w:pStyle w:val="30"/>
              <w:widowControl w:val="0"/>
              <w:bidi w:val="0"/>
              <w:jc w:val="center"/>
              <w:rPr>
                <w:rFonts w:hint="eastAsia"/>
              </w:rPr>
            </w:pPr>
            <w:r>
              <w:rPr>
                <w:rFonts w:hint="eastAsia"/>
              </w:rPr>
              <w:t>个</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111</w:t>
            </w:r>
          </w:p>
        </w:tc>
        <w:tc>
          <w:tcPr>
            <w:tcW w:w="3577" w:type="dxa"/>
            <w:tcBorders>
              <w:tl2br w:val="nil"/>
              <w:tr2bl w:val="nil"/>
            </w:tcBorders>
            <w:vAlign w:val="center"/>
          </w:tcPr>
          <w:p>
            <w:pPr>
              <w:pStyle w:val="30"/>
              <w:widowControl w:val="0"/>
              <w:bidi w:val="0"/>
              <w:jc w:val="center"/>
              <w:rPr>
                <w:rFonts w:hint="eastAsia"/>
              </w:rPr>
            </w:pPr>
            <w:r>
              <w:rPr>
                <w:rFonts w:hint="eastAsia"/>
              </w:rPr>
              <w:t>单层包装输送机</w:t>
            </w:r>
          </w:p>
        </w:tc>
        <w:tc>
          <w:tcPr>
            <w:tcW w:w="1176" w:type="dxa"/>
            <w:tcBorders>
              <w:tl2br w:val="nil"/>
              <w:tr2bl w:val="nil"/>
            </w:tcBorders>
            <w:vAlign w:val="center"/>
          </w:tcPr>
          <w:p>
            <w:pPr>
              <w:pStyle w:val="30"/>
              <w:widowControl w:val="0"/>
              <w:bidi w:val="0"/>
              <w:jc w:val="center"/>
              <w:rPr>
                <w:rFonts w:hint="eastAsia"/>
              </w:rPr>
            </w:pPr>
            <w:r>
              <w:rPr>
                <w:rFonts w:hint="eastAsia"/>
              </w:rPr>
              <w:t>3</w:t>
            </w:r>
          </w:p>
        </w:tc>
        <w:tc>
          <w:tcPr>
            <w:tcW w:w="936" w:type="dxa"/>
            <w:tcBorders>
              <w:tl2br w:val="nil"/>
              <w:tr2bl w:val="nil"/>
            </w:tcBorders>
            <w:vAlign w:val="center"/>
          </w:tcPr>
          <w:p>
            <w:pPr>
              <w:pStyle w:val="30"/>
              <w:widowControl w:val="0"/>
              <w:bidi w:val="0"/>
              <w:jc w:val="center"/>
              <w:rPr>
                <w:rFonts w:hint="eastAsia"/>
              </w:rPr>
            </w:pPr>
            <w:r>
              <w:rPr>
                <w:rFonts w:hint="eastAsia"/>
              </w:rPr>
              <w:t>台</w:t>
            </w:r>
          </w:p>
        </w:tc>
        <w:tc>
          <w:tcPr>
            <w:tcW w:w="3294" w:type="dxa"/>
            <w:tcBorders>
              <w:tl2br w:val="nil"/>
              <w:tr2bl w:val="nil"/>
            </w:tcBorders>
            <w:vAlign w:val="center"/>
          </w:tcPr>
          <w:p>
            <w:pPr>
              <w:pStyle w:val="30"/>
              <w:widowControl w:val="0"/>
              <w:ind w:firstLine="0" w:firstLineChars="0"/>
              <w:jc w:val="center"/>
              <w:rPr>
                <w:rFonts w:hint="eastAsia" w:eastAsia="宋体"/>
                <w:vertAlign w:val="baseline"/>
                <w:lang w:val="en-US" w:eastAsia="zh-CN"/>
              </w:rPr>
            </w:pPr>
            <w:r>
              <w:rPr>
                <w:rFonts w:hint="eastAsia"/>
              </w:rPr>
              <w:t>L=</w:t>
            </w:r>
            <w:r>
              <w:rPr>
                <w:rFonts w:hint="eastAsia"/>
                <w:lang w:val="en-US" w:eastAsia="zh-CN"/>
              </w:rPr>
              <w:t>60</w:t>
            </w:r>
            <w:r>
              <w:rPr>
                <w:rFonts w:hint="eastAsia"/>
              </w:rPr>
              <w:t>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112</w:t>
            </w:r>
          </w:p>
        </w:tc>
        <w:tc>
          <w:tcPr>
            <w:tcW w:w="3577" w:type="dxa"/>
            <w:tcBorders>
              <w:tl2br w:val="nil"/>
              <w:tr2bl w:val="nil"/>
            </w:tcBorders>
            <w:vAlign w:val="center"/>
          </w:tcPr>
          <w:p>
            <w:pPr>
              <w:pStyle w:val="30"/>
              <w:widowControl w:val="0"/>
              <w:bidi w:val="0"/>
              <w:jc w:val="center"/>
              <w:rPr>
                <w:rFonts w:hint="eastAsia"/>
              </w:rPr>
            </w:pPr>
            <w:r>
              <w:rPr>
                <w:rFonts w:hint="eastAsia"/>
              </w:rPr>
              <w:t>包装台</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18</w:t>
            </w:r>
          </w:p>
        </w:tc>
        <w:tc>
          <w:tcPr>
            <w:tcW w:w="936" w:type="dxa"/>
            <w:tcBorders>
              <w:tl2br w:val="nil"/>
              <w:tr2bl w:val="nil"/>
            </w:tcBorders>
            <w:vAlign w:val="center"/>
          </w:tcPr>
          <w:p>
            <w:pPr>
              <w:pStyle w:val="30"/>
              <w:widowControl w:val="0"/>
              <w:bidi w:val="0"/>
              <w:jc w:val="center"/>
              <w:rPr>
                <w:rFonts w:hint="eastAsia"/>
              </w:rPr>
            </w:pPr>
            <w:r>
              <w:rPr>
                <w:rFonts w:hint="eastAsia"/>
              </w:rPr>
              <w:t>张</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2" w:type="dxa"/>
            <w:gridSpan w:val="5"/>
            <w:tcBorders>
              <w:tl2br w:val="nil"/>
              <w:tr2bl w:val="nil"/>
            </w:tcBorders>
            <w:vAlign w:val="center"/>
          </w:tcPr>
          <w:p>
            <w:pPr>
              <w:pStyle w:val="30"/>
              <w:widowControl w:val="0"/>
              <w:jc w:val="center"/>
              <w:rPr>
                <w:rFonts w:hint="default"/>
                <w:vertAlign w:val="baseline"/>
                <w:lang w:val="en-US" w:eastAsia="zh-CN"/>
              </w:rPr>
            </w:pPr>
            <w:r>
              <w:rPr>
                <w:rFonts w:hint="default"/>
                <w:b/>
                <w:bCs/>
                <w:vertAlign w:val="baseline"/>
                <w:lang w:val="en-US" w:eastAsia="zh-CN"/>
              </w:rPr>
              <w:t>肉牛屠宰设备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赶牛道</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牵牛机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气动翻板箱</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安全桩</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16</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件</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接牛栏</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毛牛提升上挂系统</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套</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304不锈钢板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沥血槽</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lang w:val="en-US" w:eastAsia="zh-CN"/>
              </w:rPr>
              <w:t>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牛放血输送机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lang w:val="en-US" w:eastAsia="zh-CN"/>
              </w:rPr>
              <w:t>管轨20m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放血吊链返回系统</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12</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米</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放血吊链</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30</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根</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11</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去角、前蹄站台</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12</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后腿预剥换轨站台</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13</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毛牛换轨提升机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14</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双轨滑轮吊钩</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100</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只</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15</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胴体加工输送机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lang w:val="en-US" w:eastAsia="zh-CN"/>
              </w:rPr>
              <w:t>六工位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16</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气动双柱升降台</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17</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液压扯皮机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lang w:val="en-US" w:eastAsia="zh-CN"/>
              </w:rPr>
              <w:t>含固定桩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18</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气动单柱升降台</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20</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台</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L=600mm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19</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白内脏检疫输送机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20</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lang w:val="en-US" w:eastAsia="zh-CN"/>
              </w:rPr>
              <w:t>落地式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20</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取白脏站台</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50</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21</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气动白内脏滑槽</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135</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22</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气动白脏接收滑槽</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4</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lang w:val="en-US" w:eastAsia="zh-CN"/>
              </w:rPr>
              <w:t>含病内脏分离系统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23</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取红脏站台</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24</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红内脏接收滑槽</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25</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红内脏输送机</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26</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开胸锯</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27</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红白脏检疫固定式站台</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28</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四分体下降机</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29</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四分体装置</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30</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胴体轨道电子秤</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31</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开胸锯消毒槽</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32</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副梁吊点</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吨</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33</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手持喷淋器</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台</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34</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屠宰P</w:t>
            </w:r>
            <w:r>
              <w:rPr>
                <w:lang w:val="en-US" w:eastAsia="zh-CN"/>
              </w:rPr>
              <w:t>LC中央控制系统</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套</w:t>
            </w:r>
          </w:p>
        </w:tc>
        <w:tc>
          <w:tcPr>
            <w:tcW w:w="3294"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35</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双轨手推线</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296</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米</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轨道不锈钢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36</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断轨器</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w:t>
            </w:r>
          </w:p>
        </w:tc>
        <w:tc>
          <w:tcPr>
            <w:tcW w:w="93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套</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手动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30"/>
              <w:widowControl w:val="0"/>
              <w:jc w:val="center"/>
              <w:rPr>
                <w:rFonts w:hint="default"/>
                <w:vertAlign w:val="baseline"/>
                <w:lang w:val="en-US" w:eastAsia="zh-CN"/>
              </w:rPr>
            </w:pPr>
            <w:r>
              <w:rPr>
                <w:rFonts w:hint="eastAsia"/>
                <w:b/>
                <w:bCs/>
              </w:rPr>
              <w:t>污水处理设备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eastAsia="zh-CN"/>
              </w:rPr>
              <w:t>格渣机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rPr>
              <w:t>台</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宽400mm，间隙3mm，N=1.5KW，主架不锈钢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排渣泵</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50GW20-15-1.5，铸铁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eastAsia="zh-CN"/>
              </w:rPr>
              <w:t>液位控制器</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eastAsia="zh-CN"/>
              </w:rPr>
              <w:t>提升泵</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rPr>
              <w:t>台</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80QW40-15-4，铸铁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eastAsia="zh-CN"/>
              </w:rPr>
              <w:t>刮渣机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rPr>
              <w:t>台</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非标制作、满足刮渣需求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推流器</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QJB1.5/8-260/3-960/C；N＝1.5kw；D=260mm叶轮转速：960r/min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排渣泵</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rPr>
              <w:t>台</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65GW25-15-2.2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泥水分离装置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溢流装置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污</w:t>
            </w:r>
            <w:r>
              <w:rPr>
                <w:rFonts w:hint="eastAsia"/>
                <w:lang w:eastAsia="zh-CN"/>
              </w:rPr>
              <w:t>泥</w:t>
            </w:r>
            <w:r>
              <w:rPr>
                <w:rFonts w:hint="eastAsia"/>
              </w:rPr>
              <w:t>泵</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65GW25-15-2.2，铸铁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11</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eastAsia="zh-CN"/>
              </w:rPr>
              <w:t>推流器</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QJB1.5/8-260/3-960/C；N＝1.5kw；D=260mm</w:t>
            </w:r>
          </w:p>
          <w:p>
            <w:pPr>
              <w:pStyle w:val="30"/>
              <w:widowControl w:val="0"/>
              <w:bidi w:val="0"/>
              <w:jc w:val="center"/>
              <w:rPr>
                <w:rFonts w:hint="default"/>
                <w:lang w:val="en-US" w:eastAsia="zh-CN"/>
              </w:rPr>
            </w:pPr>
            <w:r>
              <w:rPr>
                <w:rFonts w:hint="eastAsia"/>
                <w:lang w:val="en-US" w:eastAsia="zh-CN"/>
              </w:rPr>
              <w:t>叶轮转速：960r/min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12</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微孔曝气器</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980</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Φ215，橡胶膜片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13</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罗茨风机</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w:t>
            </w:r>
          </w:p>
        </w:tc>
        <w:tc>
          <w:tcPr>
            <w:tcW w:w="936" w:type="dxa"/>
            <w:tcBorders>
              <w:tl2br w:val="nil"/>
              <w:tr2bl w:val="nil"/>
            </w:tcBorders>
            <w:vAlign w:val="center"/>
          </w:tcPr>
          <w:p>
            <w:pPr>
              <w:pStyle w:val="30"/>
              <w:widowControl w:val="0"/>
              <w:jc w:val="center"/>
              <w:rPr>
                <w:rFonts w:hint="default"/>
                <w:vertAlign w:val="superscript"/>
                <w:lang w:val="en-US" w:eastAsia="zh-CN"/>
              </w:rPr>
            </w:pPr>
            <w:r>
              <w:rPr>
                <w:rFonts w:hint="eastAsia"/>
              </w:rPr>
              <w:t>台</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N</w:t>
            </w:r>
            <w:r>
              <w:rPr>
                <w:rFonts w:hint="eastAsia"/>
              </w:rPr>
              <w:t>=</w:t>
            </w:r>
            <w:r>
              <w:rPr>
                <w:rFonts w:hint="eastAsia"/>
                <w:lang w:val="en-US" w:eastAsia="zh-CN"/>
              </w:rPr>
              <w:t>37</w:t>
            </w:r>
            <w:r>
              <w:rPr>
                <w:rFonts w:hint="eastAsia"/>
              </w:rPr>
              <w:t>kw</w:t>
            </w:r>
            <w:r>
              <w:rPr>
                <w:rFonts w:hint="eastAsia"/>
                <w:lang w:val="en-US" w:eastAsia="zh-CN"/>
              </w:rPr>
              <w:t>，Q=24.06m</w:t>
            </w:r>
            <w:r>
              <w:rPr>
                <w:rFonts w:hint="eastAsia"/>
                <w:vertAlign w:val="superscript"/>
                <w:lang w:val="en-US" w:eastAsia="zh-CN"/>
              </w:rPr>
              <w:t>3</w:t>
            </w:r>
            <w:r>
              <w:rPr>
                <w:rFonts w:hint="eastAsia"/>
                <w:lang w:val="en-US" w:eastAsia="zh-CN"/>
              </w:rPr>
              <w:t>/min；升压：53.9Kpa；转速：850r/min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14</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eastAsia="zh-CN"/>
              </w:rPr>
              <w:t>回流</w:t>
            </w:r>
            <w:r>
              <w:rPr>
                <w:rFonts w:hint="eastAsia"/>
              </w:rPr>
              <w:t>泵</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rPr>
              <w:t>台</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80GW80-15-7.5，铸铁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15</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泥水分离装置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jc w:val="center"/>
              <w:rPr>
                <w:rFonts w:hint="default"/>
                <w:vertAlign w:val="superscript"/>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16</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溢流装置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17</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rPr>
              <w:t>污</w:t>
            </w:r>
            <w:r>
              <w:rPr>
                <w:rFonts w:hint="eastAsia"/>
                <w:lang w:eastAsia="zh-CN"/>
              </w:rPr>
              <w:t>泥</w:t>
            </w:r>
            <w:r>
              <w:rPr>
                <w:rFonts w:hint="eastAsia"/>
              </w:rPr>
              <w:t>泵</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default"/>
                <w:vertAlign w:val="superscript"/>
                <w:lang w:val="en-US" w:eastAsia="zh-CN"/>
              </w:rPr>
            </w:pPr>
            <w:r>
              <w:rPr>
                <w:rFonts w:hint="eastAsia"/>
              </w:rPr>
              <w:t>台</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65GW25-15-2.2，铸铁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18</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回流泵</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rPr>
              <w:t>台</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80GW40-15-4，铸铁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19</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eastAsia="zh-CN"/>
              </w:rPr>
              <w:t>搅拌装置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rPr>
              <w:t>非标制作</w:t>
            </w:r>
            <w:r>
              <w:rPr>
                <w:rFonts w:hint="eastAsia"/>
                <w:lang w:eastAsia="zh-CN"/>
              </w:rPr>
              <w:t>，铸铁材质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20</w:t>
            </w:r>
          </w:p>
        </w:tc>
        <w:tc>
          <w:tcPr>
            <w:tcW w:w="357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加药装置</w:t>
            </w:r>
          </w:p>
        </w:tc>
        <w:tc>
          <w:tcPr>
            <w:tcW w:w="11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default"/>
                <w:lang w:val="en-US" w:eastAsia="zh-CN"/>
              </w:rPr>
            </w:pPr>
            <w:r>
              <w:rPr>
                <w:rFonts w:hint="eastAsia"/>
              </w:rPr>
              <w:t>非标制作</w:t>
            </w:r>
            <w:r>
              <w:rPr>
                <w:rFonts w:hint="eastAsia"/>
                <w:lang w:eastAsia="zh-CN"/>
              </w:rPr>
              <w:t>，</w:t>
            </w:r>
            <w:r>
              <w:rPr>
                <w:rFonts w:hint="eastAsia"/>
                <w:lang w:val="en-US" w:eastAsia="zh-CN"/>
              </w:rPr>
              <w:t>PVC材质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20</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排泥泵</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50GW20-15-1.5，铸铁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21</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泥水分离装置</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rPr>
              <w:t>1</w:t>
            </w:r>
          </w:p>
        </w:tc>
        <w:tc>
          <w:tcPr>
            <w:tcW w:w="936"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22</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溢流装置</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23</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布水装置</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非标制作、PVC材质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24</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反冲洗水泵</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kern w:val="2"/>
                <w:sz w:val="21"/>
                <w:vertAlign w:val="baseline"/>
                <w:lang w:val="en-US" w:eastAsia="zh-CN"/>
              </w:rPr>
              <w:t>台</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100QW85-10-4，铸铁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25</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紫外消毒设备</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eastAsia"/>
                <w:vertAlign w:val="baseline"/>
                <w:lang w:val="en-US" w:eastAsia="zh-CN"/>
              </w:rPr>
            </w:pPr>
            <w:r>
              <w:rPr>
                <w:rFonts w:hint="eastAsia"/>
              </w:rPr>
              <w:t>套</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不锈钢材质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26</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eastAsia="zh-CN"/>
              </w:rPr>
              <w:t>巴歇尔槽</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个</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4#槽、</w:t>
            </w:r>
            <w:r>
              <w:rPr>
                <w:rFonts w:hint="eastAsia"/>
                <w:lang w:eastAsia="zh-CN"/>
              </w:rPr>
              <w:t>玻璃钢材质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27</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超声波流量计</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eastAsia"/>
                <w:vertAlign w:val="baseline"/>
                <w:lang w:val="en-US" w:eastAsia="zh-CN"/>
              </w:rPr>
            </w:pPr>
            <w:r>
              <w:rPr>
                <w:rFonts w:hint="eastAsia"/>
                <w:lang w:val="en-US" w:eastAsia="zh-CN"/>
              </w:rPr>
              <w:t>台</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28</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rPr>
              <w:t>污</w:t>
            </w:r>
            <w:r>
              <w:rPr>
                <w:rFonts w:hint="eastAsia"/>
                <w:lang w:eastAsia="zh-CN"/>
              </w:rPr>
              <w:t>泥</w:t>
            </w:r>
            <w:r>
              <w:rPr>
                <w:rFonts w:hint="eastAsia"/>
              </w:rPr>
              <w:t>泵</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936" w:type="dxa"/>
            <w:tcBorders>
              <w:tl2br w:val="nil"/>
              <w:tr2bl w:val="nil"/>
            </w:tcBorders>
            <w:vAlign w:val="center"/>
          </w:tcPr>
          <w:p>
            <w:pPr>
              <w:pStyle w:val="30"/>
              <w:widowControl w:val="0"/>
              <w:jc w:val="center"/>
              <w:rPr>
                <w:rFonts w:hint="eastAsia"/>
                <w:vertAlign w:val="baseline"/>
                <w:lang w:val="en-US" w:eastAsia="zh-CN"/>
              </w:rPr>
            </w:pPr>
            <w:r>
              <w:rPr>
                <w:rFonts w:hint="eastAsia"/>
                <w:lang w:val="en-US" w:eastAsia="zh-CN"/>
              </w:rPr>
              <w:t>台</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65GW25-15-2.2，铸铁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29</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eastAsia="zh-CN"/>
              </w:rPr>
              <w:t>叠罗脱水</w:t>
            </w:r>
            <w:r>
              <w:rPr>
                <w:rFonts w:hint="eastAsia"/>
              </w:rPr>
              <w:t>机</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rPr>
              <w:t>1</w:t>
            </w:r>
          </w:p>
        </w:tc>
        <w:tc>
          <w:tcPr>
            <w:tcW w:w="936"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1.5t/h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30</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eastAsia="zh-CN"/>
              </w:rPr>
              <w:t>加药装置</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rPr>
              <w:t>1</w:t>
            </w:r>
          </w:p>
        </w:tc>
        <w:tc>
          <w:tcPr>
            <w:tcW w:w="936"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非标制作，pvc材质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31</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COD在线监测设备</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rPr>
              <w:t>1</w:t>
            </w:r>
          </w:p>
        </w:tc>
        <w:tc>
          <w:tcPr>
            <w:tcW w:w="936"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32</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氨氮在线监测设备</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rPr>
              <w:t>1</w:t>
            </w:r>
          </w:p>
        </w:tc>
        <w:tc>
          <w:tcPr>
            <w:tcW w:w="936"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33</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数采仪</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rPr>
              <w:t>1</w:t>
            </w:r>
          </w:p>
        </w:tc>
        <w:tc>
          <w:tcPr>
            <w:tcW w:w="936"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34</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eastAsia="zh-CN"/>
              </w:rPr>
              <w:t>控制系统及电控设备</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w:t>
            </w:r>
          </w:p>
        </w:tc>
        <w:tc>
          <w:tcPr>
            <w:tcW w:w="936"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rPr>
              <w:t>非标制作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35</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eastAsia="zh-CN"/>
              </w:rPr>
              <w:t>管道、阀门、管件</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批</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36</w:t>
            </w:r>
          </w:p>
        </w:tc>
        <w:tc>
          <w:tcPr>
            <w:tcW w:w="3577" w:type="dxa"/>
            <w:tcBorders>
              <w:tl2br w:val="nil"/>
              <w:tr2bl w:val="nil"/>
            </w:tcBorders>
            <w:vAlign w:val="center"/>
          </w:tcPr>
          <w:p>
            <w:pPr>
              <w:pStyle w:val="30"/>
              <w:widowControl w:val="0"/>
              <w:bidi w:val="0"/>
              <w:jc w:val="center"/>
              <w:rPr>
                <w:rFonts w:hint="eastAsia"/>
                <w:lang w:val="en-US" w:eastAsia="zh-CN"/>
              </w:rPr>
            </w:pPr>
            <w:r>
              <w:rPr>
                <w:rFonts w:hint="eastAsia"/>
                <w:lang w:eastAsia="zh-CN"/>
              </w:rPr>
              <w:t>辅料及电缆</w:t>
            </w:r>
          </w:p>
        </w:tc>
        <w:tc>
          <w:tcPr>
            <w:tcW w:w="1176" w:type="dxa"/>
            <w:tcBorders>
              <w:tl2br w:val="nil"/>
              <w:tr2bl w:val="nil"/>
            </w:tcBorders>
            <w:vAlign w:val="center"/>
          </w:tcPr>
          <w:p>
            <w:pPr>
              <w:pStyle w:val="30"/>
              <w:widowControl w:val="0"/>
              <w:bidi w:val="0"/>
              <w:jc w:val="center"/>
              <w:rPr>
                <w:rFonts w:hint="eastAsia"/>
                <w:lang w:val="en-US" w:eastAsia="zh-CN"/>
              </w:rPr>
            </w:pPr>
            <w:r>
              <w:rPr>
                <w:rFonts w:hint="eastAsia"/>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批</w:t>
            </w:r>
          </w:p>
        </w:tc>
        <w:tc>
          <w:tcPr>
            <w:tcW w:w="329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30"/>
              <w:widowControl w:val="0"/>
              <w:jc w:val="center"/>
              <w:rPr>
                <w:rFonts w:hint="default"/>
                <w:vertAlign w:val="baseline"/>
                <w:lang w:val="en-US" w:eastAsia="zh-CN"/>
              </w:rPr>
            </w:pPr>
            <w:r>
              <w:rPr>
                <w:rFonts w:hint="default"/>
                <w:b/>
                <w:bCs/>
                <w:vertAlign w:val="baseline"/>
                <w:lang w:val="en-US" w:eastAsia="zh-CN"/>
              </w:rPr>
              <w:t>废气处理设备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生物洗涤塔</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UV光解设备</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风管</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批</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Ф</w:t>
            </w:r>
            <w:r>
              <w:rPr>
                <w:rFonts w:hint="eastAsia"/>
                <w:vertAlign w:val="baseline"/>
                <w:lang w:val="en-US" w:eastAsia="zh-CN"/>
              </w:rPr>
              <w:t>800、</w:t>
            </w:r>
            <w:r>
              <w:rPr>
                <w:rFonts w:hint="default"/>
                <w:vertAlign w:val="baseline"/>
                <w:lang w:val="en-US" w:eastAsia="zh-CN"/>
              </w:rPr>
              <w:t>Ф</w:t>
            </w:r>
            <w:r>
              <w:rPr>
                <w:rFonts w:hint="eastAsia"/>
                <w:vertAlign w:val="baseli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弯头</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批</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Ф</w:t>
            </w:r>
            <w:r>
              <w:rPr>
                <w:rFonts w:hint="eastAsia"/>
                <w:vertAlign w:val="baseline"/>
                <w:lang w:val="en-US" w:eastAsia="zh-CN"/>
              </w:rPr>
              <w:t>800、</w:t>
            </w:r>
            <w:r>
              <w:rPr>
                <w:rFonts w:hint="default"/>
                <w:vertAlign w:val="baseline"/>
                <w:lang w:val="en-US" w:eastAsia="zh-CN"/>
              </w:rPr>
              <w:t>Ф</w:t>
            </w:r>
            <w:r>
              <w:rPr>
                <w:rFonts w:hint="eastAsia"/>
                <w:vertAlign w:val="baseli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highlight w:val="none"/>
                <w:lang w:val="en-US" w:eastAsia="zh-CN"/>
              </w:rPr>
            </w:pPr>
            <w:r>
              <w:rPr>
                <w:rFonts w:hint="eastAsia"/>
                <w:highlight w:val="none"/>
                <w:lang w:val="en-US" w:eastAsia="zh-CN"/>
              </w:rPr>
              <w:t>5</w:t>
            </w:r>
          </w:p>
        </w:tc>
        <w:tc>
          <w:tcPr>
            <w:tcW w:w="3577" w:type="dxa"/>
            <w:tcBorders>
              <w:tl2br w:val="nil"/>
              <w:tr2bl w:val="nil"/>
            </w:tcBorders>
            <w:vAlign w:val="center"/>
          </w:tcPr>
          <w:p>
            <w:pPr>
              <w:pStyle w:val="30"/>
              <w:widowControl w:val="0"/>
              <w:jc w:val="center"/>
              <w:rPr>
                <w:rFonts w:hint="default"/>
                <w:highlight w:val="none"/>
                <w:vertAlign w:val="baseline"/>
                <w:lang w:val="en-US" w:eastAsia="zh-CN"/>
              </w:rPr>
            </w:pPr>
            <w:r>
              <w:rPr>
                <w:rFonts w:hint="default"/>
                <w:highlight w:val="none"/>
                <w:vertAlign w:val="baseline"/>
                <w:lang w:val="en-US" w:eastAsia="zh-CN"/>
              </w:rPr>
              <w:t>风机</w:t>
            </w:r>
          </w:p>
        </w:tc>
        <w:tc>
          <w:tcPr>
            <w:tcW w:w="1176" w:type="dxa"/>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w:t>
            </w:r>
          </w:p>
        </w:tc>
        <w:tc>
          <w:tcPr>
            <w:tcW w:w="936"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台</w:t>
            </w:r>
          </w:p>
        </w:tc>
        <w:tc>
          <w:tcPr>
            <w:tcW w:w="3294" w:type="dxa"/>
            <w:tcBorders>
              <w:tl2br w:val="nil"/>
              <w:tr2bl w:val="nil"/>
            </w:tcBorders>
            <w:vAlign w:val="center"/>
          </w:tcPr>
          <w:p>
            <w:pPr>
              <w:pStyle w:val="30"/>
              <w:widowControl w:val="0"/>
              <w:jc w:val="center"/>
              <w:rPr>
                <w:rFonts w:hint="default"/>
                <w:highlight w:val="none"/>
                <w:vertAlign w:val="baseline"/>
                <w:lang w:val="en-US" w:eastAsia="zh-CN"/>
              </w:rPr>
            </w:pPr>
            <w:r>
              <w:rPr>
                <w:rFonts w:hint="default"/>
                <w:highlight w:val="none"/>
                <w:vertAlign w:val="baseline"/>
                <w:lang w:val="en-US" w:eastAsia="zh-CN"/>
              </w:rPr>
              <w:t>Q＝</w:t>
            </w:r>
            <w:r>
              <w:rPr>
                <w:rFonts w:hint="eastAsia"/>
                <w:highlight w:val="none"/>
                <w:vertAlign w:val="baseline"/>
                <w:lang w:val="en-US" w:eastAsia="zh-CN"/>
              </w:rPr>
              <w:t>17000</w:t>
            </w:r>
            <w:r>
              <w:rPr>
                <w:rFonts w:hint="default"/>
                <w:highlight w:val="none"/>
                <w:vertAlign w:val="baseline"/>
                <w:lang w:val="en-US" w:eastAsia="zh-CN"/>
              </w:rPr>
              <w:t>m</w:t>
            </w:r>
            <w:r>
              <w:rPr>
                <w:rFonts w:hint="default"/>
                <w:highlight w:val="none"/>
                <w:vertAlign w:val="superscript"/>
                <w:lang w:val="en-US" w:eastAsia="zh-CN"/>
              </w:rPr>
              <w:t>3</w:t>
            </w:r>
            <w:r>
              <w:rPr>
                <w:rFonts w:hint="default"/>
                <w:highlight w:val="none"/>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6</w:t>
            </w:r>
          </w:p>
        </w:tc>
        <w:tc>
          <w:tcPr>
            <w:tcW w:w="357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highlight w:val="none"/>
                <w:vertAlign w:val="baseline"/>
                <w:lang w:val="en-US" w:eastAsia="zh-CN"/>
              </w:rPr>
            </w:pPr>
            <w:r>
              <w:rPr>
                <w:rFonts w:hint="default"/>
                <w:highlight w:val="none"/>
                <w:vertAlign w:val="baseline"/>
                <w:lang w:val="en-US" w:eastAsia="zh-CN"/>
              </w:rPr>
              <w:t>风机</w:t>
            </w:r>
          </w:p>
        </w:tc>
        <w:tc>
          <w:tcPr>
            <w:tcW w:w="1176"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highlight w:val="none"/>
                <w:vertAlign w:val="baseline"/>
                <w:lang w:val="en-US" w:eastAsia="zh-CN"/>
              </w:rPr>
            </w:pPr>
            <w:r>
              <w:rPr>
                <w:rFonts w:hint="eastAsia"/>
                <w:highlight w:val="none"/>
                <w:vertAlign w:val="baseline"/>
                <w:lang w:val="en-US" w:eastAsia="zh-CN"/>
              </w:rPr>
              <w:t>1</w:t>
            </w:r>
          </w:p>
        </w:tc>
        <w:tc>
          <w:tcPr>
            <w:tcW w:w="936"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highlight w:val="none"/>
                <w:vertAlign w:val="baseline"/>
                <w:lang w:val="en-US" w:eastAsia="zh-CN"/>
              </w:rPr>
            </w:pPr>
            <w:r>
              <w:rPr>
                <w:rFonts w:hint="eastAsia"/>
                <w:highlight w:val="none"/>
                <w:vertAlign w:val="baseline"/>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highlight w:val="none"/>
                <w:vertAlign w:val="baseline"/>
                <w:lang w:val="en-US" w:eastAsia="zh-CN"/>
              </w:rPr>
            </w:pPr>
            <w:r>
              <w:rPr>
                <w:rFonts w:hint="default"/>
                <w:highlight w:val="none"/>
                <w:vertAlign w:val="baseline"/>
                <w:lang w:val="en-US" w:eastAsia="zh-CN"/>
              </w:rPr>
              <w:t>Q＝</w:t>
            </w:r>
            <w:r>
              <w:rPr>
                <w:rFonts w:hint="eastAsia"/>
                <w:highlight w:val="none"/>
                <w:vertAlign w:val="baseline"/>
                <w:lang w:val="en-US" w:eastAsia="zh-CN"/>
              </w:rPr>
              <w:t>46000</w:t>
            </w:r>
            <w:r>
              <w:rPr>
                <w:rFonts w:hint="default"/>
                <w:highlight w:val="none"/>
                <w:vertAlign w:val="baseline"/>
                <w:lang w:val="en-US" w:eastAsia="zh-CN"/>
              </w:rPr>
              <w:t>m</w:t>
            </w:r>
            <w:r>
              <w:rPr>
                <w:rFonts w:hint="default"/>
                <w:highlight w:val="none"/>
                <w:vertAlign w:val="superscript"/>
                <w:lang w:val="en-US" w:eastAsia="zh-CN"/>
              </w:rPr>
              <w:t>3</w:t>
            </w:r>
            <w:r>
              <w:rPr>
                <w:rFonts w:hint="default"/>
                <w:highlight w:val="none"/>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30"/>
              <w:widowControl w:val="0"/>
              <w:jc w:val="center"/>
              <w:rPr>
                <w:rFonts w:hint="default"/>
                <w:vertAlign w:val="baseline"/>
                <w:lang w:val="en-US" w:eastAsia="zh-CN"/>
              </w:rPr>
            </w:pPr>
            <w:r>
              <w:rPr>
                <w:rFonts w:hint="eastAsia"/>
                <w:b/>
                <w:bCs/>
              </w:rPr>
              <w:t>高温热水设备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热泵热水机组</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10P机，单机制热量32KW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全自动恒温</w:t>
            </w:r>
            <w:r>
              <w:rPr>
                <w:rFonts w:hint="eastAsia"/>
                <w:vertAlign w:val="baseline"/>
                <w:lang w:val="en-US" w:eastAsia="zh-CN"/>
              </w:rPr>
              <w:t>锅炉</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燃料为天然气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太阳能采热</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T</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循环泵</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增压泵</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圆形恒温箱</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16</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m</w:t>
            </w:r>
            <w:r>
              <w:rPr>
                <w:rFonts w:hint="eastAsia"/>
                <w:vertAlign w:val="superscript"/>
                <w:lang w:val="en-US" w:eastAsia="zh-CN"/>
              </w:rPr>
              <w:t>3</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Y补型水过电滤磁器阀</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只</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DN40</w:t>
            </w:r>
            <w:r>
              <w:rPr>
                <w:rFonts w:hint="eastAsia"/>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水位控制器</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套</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热浸锌管道</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批</w:t>
            </w:r>
          </w:p>
        </w:tc>
        <w:tc>
          <w:tcPr>
            <w:tcW w:w="329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橡塑保温棉</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批</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橡塑保温棉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30"/>
              <w:widowControl w:val="0"/>
              <w:jc w:val="center"/>
              <w:rPr>
                <w:rFonts w:hint="default"/>
                <w:vertAlign w:val="baseline"/>
                <w:lang w:val="en-US" w:eastAsia="zh-CN"/>
              </w:rPr>
            </w:pPr>
            <w:r>
              <w:rPr>
                <w:rFonts w:hint="default"/>
                <w:b/>
                <w:bCs/>
                <w:vertAlign w:val="baseline"/>
                <w:lang w:val="en-US" w:eastAsia="zh-CN"/>
              </w:rPr>
              <w:t>冷库制冷设备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冷库板</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630</w:t>
            </w:r>
          </w:p>
        </w:tc>
        <w:tc>
          <w:tcPr>
            <w:tcW w:w="936" w:type="dxa"/>
            <w:tcBorders>
              <w:tl2br w:val="nil"/>
              <w:tr2bl w:val="nil"/>
            </w:tcBorders>
            <w:vAlign w:val="center"/>
          </w:tcPr>
          <w:p>
            <w:pPr>
              <w:pStyle w:val="30"/>
              <w:widowControl w:val="0"/>
              <w:bidi w:val="0"/>
              <w:jc w:val="center"/>
              <w:rPr>
                <w:rFonts w:hint="default"/>
                <w:lang w:val="en-US" w:eastAsia="zh-CN"/>
              </w:rPr>
            </w:pPr>
            <w:r>
              <w:rPr>
                <w:rFonts w:hint="eastAsia"/>
                <w:vertAlign w:val="baseline"/>
                <w:lang w:val="en-US" w:eastAsia="zh-CN"/>
              </w:rPr>
              <w:t>m</w:t>
            </w:r>
            <w:r>
              <w:rPr>
                <w:rFonts w:hint="eastAsia"/>
                <w:vertAlign w:val="superscript"/>
                <w:lang w:val="en-US" w:eastAsia="zh-CN"/>
              </w:rPr>
              <w:t>3</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10cm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推拉库门</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扇</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1.7m*0.7m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平移门</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扇</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1.2m*2m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冷风机</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jc w:val="center"/>
              <w:rPr>
                <w:rFonts w:hint="default"/>
                <w:vertAlign w:val="superscript"/>
                <w:lang w:val="en-US" w:eastAsia="zh-CN"/>
              </w:rPr>
            </w:pPr>
            <w:r>
              <w:rPr>
                <w:rFonts w:hint="default"/>
                <w:vertAlign w:val="baseline"/>
                <w:lang w:val="en-US" w:eastAsia="zh-CN"/>
              </w:rPr>
              <w:t>300m</w:t>
            </w:r>
            <w:r>
              <w:rPr>
                <w:rFonts w:hint="eastAsia"/>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排管</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2250</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m</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Q32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铝排</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850</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Q32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压缩机</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12</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20P水冷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冷却塔</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20T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w:t>
            </w:r>
          </w:p>
        </w:tc>
        <w:tc>
          <w:tcPr>
            <w:tcW w:w="3577"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风幕机</w:t>
            </w:r>
          </w:p>
        </w:tc>
        <w:tc>
          <w:tcPr>
            <w:tcW w:w="117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w:t>
            </w:r>
          </w:p>
        </w:tc>
        <w:tc>
          <w:tcPr>
            <w:tcW w:w="93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台</w:t>
            </w:r>
          </w:p>
        </w:tc>
        <w:tc>
          <w:tcPr>
            <w:tcW w:w="3294"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w:t>
            </w:r>
          </w:p>
        </w:tc>
      </w:tr>
    </w:tbl>
    <w:p>
      <w:pPr>
        <w:pStyle w:val="4"/>
        <w:bidi w:val="0"/>
        <w:rPr>
          <w:rFonts w:hint="default"/>
          <w:lang w:val="en-US" w:eastAsia="zh-CN"/>
        </w:rPr>
      </w:pPr>
      <w:bookmarkStart w:id="41" w:name="_Toc5211"/>
      <w:r>
        <w:rPr>
          <w:rFonts w:hint="eastAsia"/>
          <w:lang w:val="en-US" w:eastAsia="zh-CN"/>
        </w:rPr>
        <w:t>公用工程</w:t>
      </w:r>
      <w:bookmarkEnd w:id="41"/>
    </w:p>
    <w:p>
      <w:pPr>
        <w:pStyle w:val="5"/>
        <w:bidi w:val="0"/>
        <w:rPr>
          <w:rFonts w:hint="default"/>
          <w:lang w:val="en-US" w:eastAsia="zh-CN"/>
        </w:rPr>
      </w:pPr>
      <w:r>
        <w:rPr>
          <w:rFonts w:hint="eastAsia"/>
          <w:lang w:val="en-US" w:eastAsia="zh-CN"/>
        </w:rPr>
        <w:t>给排水</w:t>
      </w:r>
    </w:p>
    <w:p>
      <w:pPr>
        <w:pStyle w:val="6"/>
        <w:bidi w:val="0"/>
        <w:rPr>
          <w:rFonts w:hint="eastAsia"/>
          <w:lang w:val="en-US" w:eastAsia="zh-CN"/>
        </w:rPr>
      </w:pPr>
      <w:r>
        <w:rPr>
          <w:rFonts w:hint="eastAsia"/>
          <w:lang w:val="en-US" w:eastAsia="zh-CN"/>
        </w:rPr>
        <w:t>给水</w:t>
      </w:r>
    </w:p>
    <w:p>
      <w:pPr>
        <w:bidi w:val="0"/>
        <w:rPr>
          <w:rFonts w:hint="default" w:eastAsia="宋体"/>
          <w:lang w:val="en-US" w:eastAsia="zh-CN"/>
        </w:rPr>
      </w:pPr>
      <w:r>
        <w:rPr>
          <w:rFonts w:hint="eastAsia" w:ascii="宋体" w:hAnsi="宋体" w:eastAsia="宋体"/>
          <w:sz w:val="24"/>
        </w:rPr>
        <w:t>本项目用水主要为屠宰用水、清洗用水及生活用水。本项目</w:t>
      </w:r>
      <w:r>
        <w:rPr>
          <w:rFonts w:hint="eastAsia" w:ascii="宋体" w:hAnsi="宋体"/>
          <w:sz w:val="24"/>
          <w:lang w:val="en-US" w:eastAsia="zh-CN"/>
        </w:rPr>
        <w:t>北侧为石泉村，该村均接通自来水，有市政给水管网供给，项目拟接入市政给水管网，本项目用水均由市政给水管网供给，</w:t>
      </w:r>
      <w:r>
        <w:rPr>
          <w:rFonts w:hint="eastAsia" w:ascii="宋体" w:hAnsi="宋体" w:eastAsia="宋体"/>
          <w:sz w:val="24"/>
        </w:rPr>
        <w:t>可以满足本项目生活及生产用水需求。</w:t>
      </w:r>
    </w:p>
    <w:p>
      <w:pPr>
        <w:pStyle w:val="6"/>
        <w:bidi w:val="0"/>
        <w:rPr>
          <w:rFonts w:hint="default"/>
          <w:lang w:val="en-US" w:eastAsia="zh-CN"/>
        </w:rPr>
      </w:pPr>
      <w:r>
        <w:rPr>
          <w:rFonts w:hint="eastAsia"/>
          <w:lang w:val="en-US" w:eastAsia="zh-CN"/>
        </w:rPr>
        <w:t>排水</w:t>
      </w:r>
    </w:p>
    <w:p>
      <w:pPr>
        <w:bidi w:val="0"/>
        <w:rPr>
          <w:rFonts w:hint="default"/>
          <w:lang w:val="en-US" w:eastAsia="zh-CN"/>
        </w:rPr>
      </w:pPr>
      <w:r>
        <w:rPr>
          <w:rFonts w:hint="eastAsia"/>
          <w:lang w:val="en-US" w:eastAsia="zh-CN"/>
        </w:rPr>
        <w:t>本项目排水系统采用雨污分流制。</w:t>
      </w:r>
    </w:p>
    <w:p>
      <w:pPr>
        <w:bidi w:val="0"/>
        <w:rPr>
          <w:rFonts w:hint="default"/>
          <w:lang w:val="en-US" w:eastAsia="zh-CN"/>
        </w:rPr>
      </w:pPr>
      <w:r>
        <w:rPr>
          <w:rFonts w:hint="eastAsia"/>
          <w:lang w:val="en-US" w:eastAsia="zh-CN"/>
        </w:rPr>
        <w:t>（1）雨水：项目雨水收集后排入厂区雨水管道，然后排</w:t>
      </w:r>
      <w:r>
        <w:rPr>
          <w:rFonts w:hint="eastAsia"/>
          <w:highlight w:val="none"/>
          <w:lang w:val="en-US" w:eastAsia="zh-CN"/>
        </w:rPr>
        <w:t>入市政雨水管网。</w:t>
      </w:r>
    </w:p>
    <w:p>
      <w:pPr>
        <w:bidi w:val="0"/>
        <w:rPr>
          <w:rFonts w:hint="default"/>
          <w:lang w:val="en-US" w:eastAsia="zh-CN"/>
        </w:rPr>
      </w:pPr>
      <w:r>
        <w:rPr>
          <w:rFonts w:hint="eastAsia"/>
          <w:lang w:val="en-US" w:eastAsia="zh-CN"/>
        </w:rPr>
        <w:t>（2）污水：项目生活污水、生产废水经过自建污水处理站处理后，一部分回用于进出车辆冲洗、地面冲洗、待宰圈冲洗和洗涤塔补水等，</w:t>
      </w:r>
      <w:r>
        <w:rPr>
          <w:rFonts w:hint="eastAsia"/>
        </w:rPr>
        <w:t>项目产生的污废水经自建的污水处理设施处理，</w:t>
      </w:r>
      <w:r>
        <w:rPr>
          <w:rFonts w:hint="eastAsia"/>
          <w:lang w:val="en-US" w:eastAsia="zh-CN"/>
        </w:rPr>
        <w:t>可</w:t>
      </w:r>
      <w:r>
        <w:rPr>
          <w:rFonts w:hint="eastAsia"/>
        </w:rPr>
        <w:t>达到</w:t>
      </w:r>
      <w:r>
        <w:rPr>
          <w:rFonts w:hint="eastAsia"/>
          <w:lang w:eastAsia="zh-CN"/>
        </w:rPr>
        <w:t>《城镇污水处理厂污染物排放标准》（GB18918-2002）</w:t>
      </w:r>
      <w:r>
        <w:rPr>
          <w:rFonts w:hint="eastAsia"/>
          <w:lang w:val="en-US" w:eastAsia="zh-CN"/>
        </w:rPr>
        <w:t>中一级A</w:t>
      </w:r>
      <w:r>
        <w:rPr>
          <w:rFonts w:hint="eastAsia"/>
        </w:rPr>
        <w:t>排放标准</w:t>
      </w:r>
      <w:r>
        <w:rPr>
          <w:rFonts w:hint="eastAsia"/>
          <w:lang w:eastAsia="zh-CN"/>
        </w:rPr>
        <w:t>，</w:t>
      </w:r>
      <w:r>
        <w:rPr>
          <w:rFonts w:hint="eastAsia"/>
          <w:lang w:val="en-US" w:eastAsia="zh-CN"/>
        </w:rPr>
        <w:t>满足</w:t>
      </w:r>
      <w:r>
        <w:rPr>
          <w:rFonts w:hint="eastAsia"/>
          <w:lang w:eastAsia="zh-CN"/>
        </w:rPr>
        <w:t>《</w:t>
      </w:r>
      <w:r>
        <w:rPr>
          <w:rFonts w:hint="eastAsia"/>
          <w:lang w:val="en-US" w:eastAsia="zh-CN"/>
        </w:rPr>
        <w:t>肉类加工工业水污染物排放标准</w:t>
      </w:r>
      <w:r>
        <w:rPr>
          <w:rFonts w:hint="eastAsia"/>
          <w:lang w:eastAsia="zh-CN"/>
        </w:rPr>
        <w:t>》（</w:t>
      </w:r>
      <w:r>
        <w:rPr>
          <w:rFonts w:hint="eastAsia"/>
          <w:lang w:val="en-US" w:eastAsia="zh-CN"/>
        </w:rPr>
        <w:t>GB13457-92</w:t>
      </w:r>
      <w:r>
        <w:rPr>
          <w:rFonts w:hint="eastAsia"/>
          <w:lang w:eastAsia="zh-CN"/>
        </w:rPr>
        <w:t>）</w:t>
      </w:r>
      <w:r>
        <w:rPr>
          <w:rFonts w:hint="eastAsia"/>
          <w:lang w:val="en-US" w:eastAsia="zh-CN"/>
        </w:rPr>
        <w:t>中一级标准，满足《农田灌溉水质标准》（GB 5084-2005），且满足《城市污水再生利用城市杂用水水质》（GB/T18920-2002）中道路清扫、消防以及车辆冲洗水质要求。</w:t>
      </w:r>
    </w:p>
    <w:p>
      <w:pPr>
        <w:pStyle w:val="5"/>
        <w:bidi w:val="0"/>
        <w:rPr>
          <w:rFonts w:hint="default"/>
          <w:lang w:val="en-US" w:eastAsia="zh-CN"/>
        </w:rPr>
      </w:pPr>
      <w:r>
        <w:rPr>
          <w:rFonts w:hint="eastAsia"/>
          <w:lang w:val="en-US" w:eastAsia="zh-CN"/>
        </w:rPr>
        <w:t>供电</w:t>
      </w:r>
    </w:p>
    <w:p>
      <w:pPr>
        <w:rPr>
          <w:rFonts w:hint="eastAsia"/>
          <w:lang w:val="en-US" w:eastAsia="zh-CN"/>
        </w:rPr>
      </w:pPr>
      <w:r>
        <w:rPr>
          <w:rFonts w:hint="eastAsia"/>
          <w:lang w:val="en-US" w:eastAsia="zh-CN"/>
        </w:rPr>
        <w:t>本项目用电由市政电网统一供电，可满足项目的用电需求。</w:t>
      </w:r>
    </w:p>
    <w:p>
      <w:pPr>
        <w:pStyle w:val="5"/>
        <w:bidi w:val="0"/>
        <w:rPr>
          <w:rFonts w:hint="default"/>
          <w:lang w:val="en-US" w:eastAsia="zh-CN"/>
        </w:rPr>
      </w:pPr>
      <w:r>
        <w:rPr>
          <w:rFonts w:hint="eastAsia"/>
          <w:lang w:val="en-US" w:eastAsia="zh-CN"/>
        </w:rPr>
        <w:t>供气</w:t>
      </w:r>
    </w:p>
    <w:p>
      <w:pPr>
        <w:rPr>
          <w:rFonts w:hint="eastAsia"/>
          <w:lang w:val="en-US" w:eastAsia="zh-CN"/>
        </w:rPr>
      </w:pPr>
      <w:r>
        <w:rPr>
          <w:rFonts w:hint="eastAsia" w:ascii="宋体" w:hAnsi="宋体" w:eastAsia="宋体"/>
          <w:sz w:val="24"/>
        </w:rPr>
        <w:t>厂区用气全部由市政天然气管网供给，主要供应食堂用气。</w:t>
      </w:r>
    </w:p>
    <w:p>
      <w:pPr>
        <w:pStyle w:val="5"/>
        <w:bidi w:val="0"/>
        <w:rPr>
          <w:rFonts w:hint="default"/>
          <w:lang w:val="en-US" w:eastAsia="zh-CN"/>
        </w:rPr>
      </w:pPr>
      <w:r>
        <w:rPr>
          <w:rFonts w:hint="eastAsia"/>
          <w:lang w:val="en-US" w:eastAsia="zh-CN"/>
        </w:rPr>
        <w:t>制冷</w:t>
      </w:r>
    </w:p>
    <w:p>
      <w:pPr>
        <w:rPr>
          <w:rFonts w:hint="eastAsia"/>
          <w:highlight w:val="yellow"/>
          <w:lang w:val="en-US" w:eastAsia="zh-CN"/>
        </w:rPr>
      </w:pPr>
      <w:r>
        <w:rPr>
          <w:rFonts w:hint="eastAsia" w:ascii="宋体" w:hAnsi="宋体" w:eastAsia="宋体"/>
          <w:sz w:val="24"/>
        </w:rPr>
        <w:t>本项目备有制冷设备一套，主要用于生产制冷</w:t>
      </w:r>
      <w:r>
        <w:rPr>
          <w:rFonts w:hint="eastAsia" w:ascii="宋体" w:hAnsi="宋体" w:eastAsia="宋体"/>
          <w:sz w:val="24"/>
          <w:highlight w:val="none"/>
        </w:rPr>
        <w:t>，制冷剂选用为</w:t>
      </w:r>
      <w:r>
        <w:rPr>
          <w:rFonts w:hint="eastAsia" w:ascii="TimesNewRomanPSMT" w:hAnsi="TimesNewRomanPSMT" w:eastAsia="TimesNewRomanPSMT"/>
          <w:sz w:val="24"/>
          <w:highlight w:val="none"/>
        </w:rPr>
        <w:t>R</w:t>
      </w:r>
      <w:r>
        <w:rPr>
          <w:rFonts w:hint="eastAsia" w:ascii="TimesNewRomanPSMT" w:hAnsi="TimesNewRomanPSMT" w:eastAsia="宋体"/>
          <w:sz w:val="24"/>
          <w:highlight w:val="none"/>
          <w:lang w:val="en-US" w:eastAsia="zh-CN"/>
        </w:rPr>
        <w:t>507A</w:t>
      </w:r>
      <w:r>
        <w:rPr>
          <w:rFonts w:hint="eastAsia" w:ascii="宋体" w:hAnsi="宋体" w:eastAsia="宋体"/>
          <w:sz w:val="24"/>
          <w:highlight w:val="none"/>
        </w:rPr>
        <w:t>。</w:t>
      </w:r>
    </w:p>
    <w:p>
      <w:pPr>
        <w:pStyle w:val="5"/>
        <w:bidi w:val="0"/>
        <w:rPr>
          <w:rFonts w:hint="default"/>
          <w:lang w:val="en-US" w:eastAsia="zh-CN"/>
        </w:rPr>
      </w:pPr>
      <w:r>
        <w:rPr>
          <w:rFonts w:hint="eastAsia"/>
          <w:lang w:val="en-US" w:eastAsia="zh-CN"/>
        </w:rPr>
        <w:t>时间进度安排</w:t>
      </w:r>
    </w:p>
    <w:p>
      <w:pPr>
        <w:rPr>
          <w:rFonts w:hint="eastAsia"/>
          <w:lang w:val="en-US" w:eastAsia="zh-CN"/>
        </w:rPr>
      </w:pPr>
      <w:r>
        <w:rPr>
          <w:rFonts w:hint="eastAsia"/>
          <w:lang w:val="en-US" w:eastAsia="zh-CN"/>
        </w:rPr>
        <w:t>本项目建设期为12个月，于2021年9月项目开始土建工作，至2022年3月完成生产厂房、办公用房等主体工程的建设，拟于2022年5月开始进行设备安装及调试，至2022年9月竣工验收并投入使用。</w:t>
      </w:r>
    </w:p>
    <w:p>
      <w:pPr>
        <w:pStyle w:val="5"/>
        <w:bidi w:val="0"/>
        <w:rPr>
          <w:rFonts w:hint="default"/>
          <w:lang w:val="en-US" w:eastAsia="zh-CN"/>
        </w:rPr>
      </w:pPr>
      <w:r>
        <w:rPr>
          <w:rFonts w:hint="eastAsia"/>
          <w:lang w:val="en-US" w:eastAsia="zh-CN"/>
        </w:rPr>
        <w:t>供气</w:t>
      </w:r>
    </w:p>
    <w:p>
      <w:pPr>
        <w:rPr>
          <w:rFonts w:hint="eastAsia"/>
          <w:lang w:val="en-US" w:eastAsia="zh-CN"/>
        </w:rPr>
      </w:pPr>
      <w:r>
        <w:rPr>
          <w:rFonts w:hint="eastAsia"/>
          <w:lang w:val="en-US" w:eastAsia="zh-CN"/>
        </w:rPr>
        <w:t>厂区用气全部由市政天然气管网供给，主要供应食堂用气和锅炉加热供气。</w:t>
      </w:r>
    </w:p>
    <w:p>
      <w:pPr>
        <w:pStyle w:val="5"/>
        <w:rPr>
          <w:rFonts w:hint="default"/>
          <w:lang w:val="en-US" w:eastAsia="zh-CN"/>
        </w:rPr>
      </w:pPr>
      <w:r>
        <w:rPr>
          <w:rFonts w:hint="eastAsia"/>
          <w:lang w:val="en-US" w:eastAsia="zh-CN"/>
        </w:rPr>
        <w:t>供热</w:t>
      </w:r>
    </w:p>
    <w:p>
      <w:pPr>
        <w:rPr>
          <w:rFonts w:hint="default" w:eastAsia="宋体"/>
          <w:lang w:val="en-US" w:eastAsia="zh-CN"/>
        </w:rPr>
      </w:pPr>
      <w:r>
        <w:rPr>
          <w:rFonts w:hint="eastAsia"/>
          <w:lang w:val="en-US" w:eastAsia="zh-CN"/>
        </w:rPr>
        <w:t>本项目设置两台全自动恒温锅炉，该设备采用天然气加热</w:t>
      </w:r>
      <w:r>
        <w:rPr>
          <w:rFonts w:hint="eastAsia" w:ascii="Arial" w:hAnsi="Arial" w:eastAsia="宋体" w:cs="Arial"/>
          <w:i w:val="0"/>
          <w:iCs w:val="0"/>
          <w:caps w:val="0"/>
          <w:color w:val="191919"/>
          <w:spacing w:val="0"/>
          <w:sz w:val="24"/>
          <w:szCs w:val="24"/>
          <w:shd w:val="clear" w:fill="FFFFFF"/>
          <w:lang w:eastAsia="zh-CN"/>
        </w:rPr>
        <w:t>。</w:t>
      </w:r>
      <w:r>
        <w:rPr>
          <w:rFonts w:hint="eastAsia" w:ascii="Arial" w:hAnsi="Arial" w:eastAsia="宋体" w:cs="Arial"/>
          <w:i w:val="0"/>
          <w:iCs w:val="0"/>
          <w:caps w:val="0"/>
          <w:color w:val="191919"/>
          <w:spacing w:val="0"/>
          <w:sz w:val="24"/>
          <w:szCs w:val="24"/>
          <w:shd w:val="clear" w:fill="FFFFFF"/>
          <w:lang w:val="en-US" w:eastAsia="zh-CN"/>
        </w:rPr>
        <w:t>该设备加热的高温热水用于生猪及肉牛脱毛工序使用。</w:t>
      </w:r>
    </w:p>
    <w:p>
      <w:pPr>
        <w:pStyle w:val="4"/>
        <w:bidi w:val="0"/>
        <w:rPr>
          <w:rFonts w:hint="default"/>
          <w:lang w:val="en-US" w:eastAsia="zh-CN"/>
        </w:rPr>
      </w:pPr>
      <w:bookmarkStart w:id="42" w:name="_Toc18029"/>
      <w:r>
        <w:rPr>
          <w:rFonts w:hint="eastAsia"/>
          <w:lang w:val="en-US" w:eastAsia="zh-CN"/>
        </w:rPr>
        <w:t>储运工程</w:t>
      </w:r>
      <w:bookmarkEnd w:id="42"/>
    </w:p>
    <w:p>
      <w:pPr>
        <w:rPr>
          <w:rFonts w:hint="default"/>
          <w:highlight w:val="none"/>
          <w:lang w:val="en-US" w:eastAsia="zh-CN"/>
        </w:rPr>
      </w:pPr>
      <w:r>
        <w:rPr>
          <w:rFonts w:hint="eastAsia"/>
          <w:highlight w:val="none"/>
          <w:lang w:val="en-US" w:eastAsia="zh-CN"/>
        </w:rPr>
        <w:t>项目储运工程主要包括副产品暂存、冷鲜肉冷藏库和药品库。</w:t>
      </w:r>
    </w:p>
    <w:p>
      <w:pPr>
        <w:pStyle w:val="5"/>
        <w:bidi w:val="0"/>
        <w:rPr>
          <w:rFonts w:hint="default"/>
          <w:highlight w:val="none"/>
          <w:lang w:val="en-US" w:eastAsia="zh-CN"/>
        </w:rPr>
      </w:pPr>
      <w:r>
        <w:rPr>
          <w:rFonts w:hint="eastAsia"/>
          <w:highlight w:val="none"/>
          <w:lang w:val="en-US" w:eastAsia="zh-CN"/>
        </w:rPr>
        <w:t>冻库</w:t>
      </w:r>
    </w:p>
    <w:p>
      <w:pPr>
        <w:rPr>
          <w:rFonts w:hint="default"/>
          <w:highlight w:val="none"/>
          <w:lang w:val="en-US" w:eastAsia="zh-CN"/>
        </w:rPr>
      </w:pPr>
      <w:r>
        <w:rPr>
          <w:rFonts w:hint="eastAsia"/>
          <w:highlight w:val="none"/>
          <w:lang w:val="en-US" w:eastAsia="zh-CN"/>
        </w:rPr>
        <w:t>项目冷库采用风冷式制冷机组进行制冷，冻库设施见下表。</w:t>
      </w:r>
    </w:p>
    <w:p>
      <w:pPr>
        <w:pStyle w:val="29"/>
        <w:bidi w:val="0"/>
        <w:rPr>
          <w:rFonts w:hint="eastAsia"/>
          <w:lang w:val="en-US" w:eastAsia="zh-CN"/>
        </w:rPr>
      </w:pPr>
      <w:r>
        <w:rPr>
          <w:rFonts w:hint="eastAsia"/>
          <w:lang w:val="en-US" w:eastAsia="zh-CN"/>
        </w:rPr>
        <w:t>表2.6-1  冻库设施一览表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2190"/>
        <w:gridCol w:w="1065"/>
        <w:gridCol w:w="1200"/>
        <w:gridCol w:w="39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1"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存储设施</w:t>
            </w:r>
          </w:p>
        </w:tc>
        <w:tc>
          <w:tcPr>
            <w:tcW w:w="219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工作温度</w:t>
            </w:r>
          </w:p>
        </w:tc>
        <w:tc>
          <w:tcPr>
            <w:tcW w:w="106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数量</w:t>
            </w:r>
          </w:p>
        </w:tc>
        <w:tc>
          <w:tcPr>
            <w:tcW w:w="120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制冷剂</w:t>
            </w:r>
          </w:p>
        </w:tc>
        <w:tc>
          <w:tcPr>
            <w:tcW w:w="3926"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排酸间</w:t>
            </w:r>
          </w:p>
        </w:tc>
        <w:tc>
          <w:tcPr>
            <w:tcW w:w="21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w:t>
            </w:r>
            <w:r>
              <w:rPr>
                <w:rFonts w:hint="default" w:ascii="Times New Roman" w:hAnsi="Times New Roman" w:cs="Times New Roman"/>
                <w:vertAlign w:val="baseline"/>
                <w:lang w:val="en-US" w:eastAsia="zh-CN"/>
              </w:rPr>
              <w:t>℃</w:t>
            </w:r>
          </w:p>
        </w:tc>
        <w:tc>
          <w:tcPr>
            <w:tcW w:w="106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2间</w:t>
            </w:r>
          </w:p>
        </w:tc>
        <w:tc>
          <w:tcPr>
            <w:tcW w:w="120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R507A</w:t>
            </w:r>
          </w:p>
        </w:tc>
        <w:tc>
          <w:tcPr>
            <w:tcW w:w="392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用于需要进行分割的鲜肉排酸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1"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速冻库</w:t>
            </w:r>
          </w:p>
        </w:tc>
        <w:tc>
          <w:tcPr>
            <w:tcW w:w="219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-35</w:t>
            </w:r>
            <w:r>
              <w:rPr>
                <w:rFonts w:hint="default" w:ascii="Times New Roman" w:hAnsi="Times New Roman" w:cs="Times New Roman"/>
                <w:vertAlign w:val="baseline"/>
                <w:lang w:val="en-US" w:eastAsia="zh-CN"/>
              </w:rPr>
              <w:t>℃</w:t>
            </w:r>
          </w:p>
        </w:tc>
        <w:tc>
          <w:tcPr>
            <w:tcW w:w="106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2间</w:t>
            </w:r>
          </w:p>
        </w:tc>
        <w:tc>
          <w:tcPr>
            <w:tcW w:w="1200"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R507A</w:t>
            </w:r>
          </w:p>
        </w:tc>
        <w:tc>
          <w:tcPr>
            <w:tcW w:w="392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用于排酸分割后进入超市的猪肉进行急冻，急冻后外销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冷藏库</w:t>
            </w:r>
          </w:p>
        </w:tc>
        <w:tc>
          <w:tcPr>
            <w:tcW w:w="21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-28~-35</w:t>
            </w:r>
            <w:r>
              <w:rPr>
                <w:rFonts w:hint="default" w:ascii="Times New Roman" w:hAnsi="Times New Roman" w:cs="Times New Roman"/>
                <w:vertAlign w:val="baseline"/>
                <w:lang w:val="en-US" w:eastAsia="zh-CN"/>
              </w:rPr>
              <w:t>℃</w:t>
            </w:r>
            <w:r>
              <w:rPr>
                <w:rFonts w:hint="eastAsia" w:cs="Times New Roman"/>
                <w:vertAlign w:val="baseline"/>
                <w:lang w:val="en-US" w:eastAsia="zh-CN"/>
              </w:rPr>
              <w:t>、18</w:t>
            </w:r>
            <w:r>
              <w:rPr>
                <w:rFonts w:hint="default" w:ascii="Times New Roman" w:hAnsi="Times New Roman" w:cs="Times New Roman"/>
                <w:vertAlign w:val="baseline"/>
                <w:lang w:val="en-US" w:eastAsia="zh-CN"/>
              </w:rPr>
              <w:t>℃</w:t>
            </w:r>
          </w:p>
        </w:tc>
        <w:tc>
          <w:tcPr>
            <w:tcW w:w="106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2间</w:t>
            </w:r>
          </w:p>
        </w:tc>
        <w:tc>
          <w:tcPr>
            <w:tcW w:w="1200"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R507A</w:t>
            </w:r>
          </w:p>
        </w:tc>
        <w:tc>
          <w:tcPr>
            <w:tcW w:w="392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用于不能及时外销的分割肉暂存</w:t>
            </w:r>
          </w:p>
        </w:tc>
      </w:tr>
    </w:tbl>
    <w:p>
      <w:pPr>
        <w:pStyle w:val="5"/>
        <w:bidi w:val="0"/>
        <w:rPr>
          <w:rFonts w:hint="default"/>
          <w:highlight w:val="none"/>
          <w:lang w:val="en-US" w:eastAsia="zh-CN"/>
        </w:rPr>
      </w:pPr>
      <w:r>
        <w:rPr>
          <w:rFonts w:hint="eastAsia"/>
          <w:highlight w:val="none"/>
          <w:lang w:val="en-US" w:eastAsia="zh-CN"/>
        </w:rPr>
        <w:t>化学品储存间</w:t>
      </w:r>
    </w:p>
    <w:p>
      <w:pPr>
        <w:rPr>
          <w:rFonts w:hint="eastAsia"/>
          <w:highlight w:val="none"/>
          <w:lang w:val="en-US" w:eastAsia="zh-CN"/>
        </w:rPr>
      </w:pPr>
      <w:r>
        <w:rPr>
          <w:rFonts w:hint="eastAsia"/>
          <w:highlight w:val="none"/>
          <w:lang w:val="en-US" w:eastAsia="zh-CN"/>
        </w:rPr>
        <w:t>项目日常运营中涉及二氯异氰尿酸钠、聚维酮碘溶液以及制冷剂R507A的使用，项目于待宰车间东侧设置药品库1座，建筑面积约50m</w:t>
      </w:r>
      <w:r>
        <w:rPr>
          <w:rFonts w:hint="eastAsia"/>
          <w:highlight w:val="none"/>
          <w:vertAlign w:val="superscript"/>
          <w:lang w:val="en-US" w:eastAsia="zh-CN"/>
        </w:rPr>
        <w:t>2</w:t>
      </w:r>
      <w:r>
        <w:rPr>
          <w:rFonts w:hint="eastAsia"/>
          <w:highlight w:val="none"/>
          <w:lang w:val="en-US" w:eastAsia="zh-CN"/>
        </w:rPr>
        <w:t>，用于存放二氯异氰尿酸钠和聚维酮碘溶液；项目冷库所需制冷及由厂家定期进行更换添加，不在本项目厂区内储存。</w:t>
      </w:r>
    </w:p>
    <w:p>
      <w:pPr>
        <w:pStyle w:val="29"/>
        <w:bidi w:val="0"/>
        <w:rPr>
          <w:rFonts w:hint="default"/>
          <w:lang w:val="en-US" w:eastAsia="zh-CN"/>
        </w:rPr>
      </w:pPr>
      <w:r>
        <w:rPr>
          <w:rFonts w:hint="eastAsia"/>
          <w:lang w:val="en-US" w:eastAsia="zh-CN"/>
        </w:rPr>
        <w:t>表2.7-1  化学品存储一览表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740"/>
        <w:gridCol w:w="1380"/>
        <w:gridCol w:w="1065"/>
        <w:gridCol w:w="1695"/>
        <w:gridCol w:w="26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6"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存储设施</w:t>
            </w:r>
          </w:p>
        </w:tc>
        <w:tc>
          <w:tcPr>
            <w:tcW w:w="1740"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存储物料</w:t>
            </w:r>
          </w:p>
        </w:tc>
        <w:tc>
          <w:tcPr>
            <w:tcW w:w="1380"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最大存储量</w:t>
            </w:r>
          </w:p>
        </w:tc>
        <w:tc>
          <w:tcPr>
            <w:tcW w:w="1065"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年耗量</w:t>
            </w:r>
          </w:p>
        </w:tc>
        <w:tc>
          <w:tcPr>
            <w:tcW w:w="1695"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规格</w:t>
            </w:r>
          </w:p>
        </w:tc>
        <w:tc>
          <w:tcPr>
            <w:tcW w:w="2606"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6" w:type="dxa"/>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药品库</w:t>
            </w:r>
          </w:p>
        </w:tc>
        <w:tc>
          <w:tcPr>
            <w:tcW w:w="1740" w:type="dxa"/>
            <w:tcBorders>
              <w:tl2br w:val="nil"/>
              <w:tr2bl w:val="nil"/>
            </w:tcBorders>
            <w:vAlign w:val="center"/>
          </w:tcPr>
          <w:p>
            <w:pPr>
              <w:pStyle w:val="30"/>
              <w:widowControl w:val="0"/>
              <w:bidi w:val="0"/>
              <w:jc w:val="center"/>
              <w:rPr>
                <w:rFonts w:hint="default"/>
                <w:lang w:val="en-US" w:eastAsia="zh-CN"/>
              </w:rPr>
            </w:pPr>
            <w:r>
              <w:rPr>
                <w:rFonts w:hint="eastAsia"/>
                <w:highlight w:val="none"/>
                <w:lang w:val="en-US" w:eastAsia="zh-CN"/>
              </w:rPr>
              <w:t>二氯异氰尿酸钠</w:t>
            </w:r>
          </w:p>
        </w:tc>
        <w:tc>
          <w:tcPr>
            <w:tcW w:w="1380"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0.02t</w:t>
            </w:r>
          </w:p>
        </w:tc>
        <w:tc>
          <w:tcPr>
            <w:tcW w:w="1065"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0.1t/a</w:t>
            </w:r>
          </w:p>
        </w:tc>
        <w:tc>
          <w:tcPr>
            <w:tcW w:w="1695"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袋装，25kg/袋</w:t>
            </w:r>
          </w:p>
        </w:tc>
        <w:tc>
          <w:tcPr>
            <w:tcW w:w="260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屠宰场车辆进出厂、车间、设备消毒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6" w:type="dxa"/>
            <w:vMerge w:val="continue"/>
            <w:tcBorders>
              <w:tl2br w:val="nil"/>
              <w:tr2bl w:val="nil"/>
            </w:tcBorders>
            <w:vAlign w:val="center"/>
          </w:tcPr>
          <w:p>
            <w:pPr>
              <w:pStyle w:val="30"/>
              <w:widowControl w:val="0"/>
              <w:bidi w:val="0"/>
              <w:jc w:val="center"/>
              <w:rPr>
                <w:rFonts w:hint="eastAsia"/>
                <w:lang w:val="en-US" w:eastAsia="zh-CN"/>
              </w:rPr>
            </w:pPr>
          </w:p>
        </w:tc>
        <w:tc>
          <w:tcPr>
            <w:tcW w:w="1740" w:type="dxa"/>
            <w:tcBorders>
              <w:tl2br w:val="nil"/>
              <w:tr2bl w:val="nil"/>
            </w:tcBorders>
            <w:vAlign w:val="center"/>
          </w:tcPr>
          <w:p>
            <w:pPr>
              <w:pStyle w:val="30"/>
              <w:widowControl w:val="0"/>
              <w:bidi w:val="0"/>
              <w:jc w:val="center"/>
              <w:rPr>
                <w:rFonts w:hint="eastAsia"/>
                <w:lang w:val="en-US" w:eastAsia="zh-CN"/>
              </w:rPr>
            </w:pPr>
            <w:r>
              <w:rPr>
                <w:rFonts w:hint="eastAsia"/>
                <w:highlight w:val="none"/>
                <w:lang w:val="en-US" w:eastAsia="zh-CN"/>
              </w:rPr>
              <w:t>聚维酮碘溶液</w:t>
            </w:r>
          </w:p>
        </w:tc>
        <w:tc>
          <w:tcPr>
            <w:tcW w:w="1380" w:type="dxa"/>
            <w:tcBorders>
              <w:tl2br w:val="nil"/>
              <w:tr2bl w:val="nil"/>
            </w:tcBorders>
            <w:vAlign w:val="center"/>
          </w:tcPr>
          <w:p>
            <w:pPr>
              <w:pStyle w:val="30"/>
              <w:widowControl w:val="0"/>
              <w:bidi w:val="0"/>
              <w:jc w:val="center"/>
              <w:rPr>
                <w:rFonts w:hint="default"/>
                <w:vertAlign w:val="superscript"/>
                <w:lang w:val="en-US" w:eastAsia="zh-CN"/>
              </w:rPr>
            </w:pPr>
            <w:r>
              <w:rPr>
                <w:rFonts w:hint="eastAsia"/>
                <w:lang w:val="en-US" w:eastAsia="zh-CN"/>
              </w:rPr>
              <w:t>0.02m</w:t>
            </w:r>
            <w:r>
              <w:rPr>
                <w:rFonts w:hint="eastAsia"/>
                <w:vertAlign w:val="superscript"/>
                <w:lang w:val="en-US" w:eastAsia="zh-CN"/>
              </w:rPr>
              <w:t>3</w:t>
            </w:r>
          </w:p>
        </w:tc>
        <w:tc>
          <w:tcPr>
            <w:tcW w:w="1065" w:type="dxa"/>
            <w:tcBorders>
              <w:tl2br w:val="nil"/>
              <w:tr2bl w:val="nil"/>
            </w:tcBorders>
            <w:vAlign w:val="center"/>
          </w:tcPr>
          <w:p>
            <w:pPr>
              <w:pStyle w:val="30"/>
              <w:widowControl w:val="0"/>
              <w:bidi w:val="0"/>
              <w:jc w:val="center"/>
              <w:rPr>
                <w:rFonts w:hint="default"/>
                <w:vertAlign w:val="baseline"/>
                <w:lang w:val="en-US" w:eastAsia="zh-CN"/>
              </w:rPr>
            </w:pPr>
            <w:r>
              <w:rPr>
                <w:rFonts w:hint="eastAsia"/>
                <w:lang w:val="en-US" w:eastAsia="zh-CN"/>
              </w:rPr>
              <w:t>0.12m</w:t>
            </w:r>
            <w:r>
              <w:rPr>
                <w:rFonts w:hint="eastAsia"/>
                <w:vertAlign w:val="superscript"/>
                <w:lang w:val="en-US" w:eastAsia="zh-CN"/>
              </w:rPr>
              <w:t>3</w:t>
            </w:r>
            <w:r>
              <w:rPr>
                <w:rFonts w:hint="eastAsia"/>
                <w:vertAlign w:val="baseline"/>
                <w:lang w:val="en-US" w:eastAsia="zh-CN"/>
              </w:rPr>
              <w:t>/a</w:t>
            </w:r>
          </w:p>
        </w:tc>
        <w:tc>
          <w:tcPr>
            <w:tcW w:w="1695"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瓶装，250ml/瓶</w:t>
            </w:r>
          </w:p>
        </w:tc>
        <w:tc>
          <w:tcPr>
            <w:tcW w:w="260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员工进出车间、洗手消毒</w:t>
            </w:r>
          </w:p>
        </w:tc>
      </w:tr>
    </w:tbl>
    <w:p>
      <w:pPr>
        <w:rPr>
          <w:rFonts w:hint="default"/>
          <w:lang w:val="en-US" w:eastAsia="zh-CN"/>
        </w:rPr>
      </w:pPr>
      <w:r>
        <w:rPr>
          <w:rFonts w:hint="default"/>
          <w:lang w:val="en-US" w:eastAsia="zh-CN"/>
        </w:rPr>
        <w:br w:type="page"/>
      </w:r>
    </w:p>
    <w:p>
      <w:pPr>
        <w:pStyle w:val="3"/>
        <w:bidi w:val="0"/>
        <w:rPr>
          <w:rFonts w:hint="default"/>
          <w:lang w:val="en-US" w:eastAsia="zh-CN"/>
        </w:rPr>
      </w:pPr>
      <w:bookmarkStart w:id="43" w:name="_Toc15236"/>
      <w:r>
        <w:rPr>
          <w:rFonts w:hint="eastAsia"/>
          <w:lang w:val="en-US" w:eastAsia="zh-CN"/>
        </w:rPr>
        <w:t>工程分析</w:t>
      </w:r>
      <w:bookmarkEnd w:id="43"/>
    </w:p>
    <w:p>
      <w:pPr>
        <w:pStyle w:val="4"/>
        <w:bidi w:val="0"/>
        <w:rPr>
          <w:rFonts w:hint="default"/>
          <w:lang w:val="en-US" w:eastAsia="zh-CN"/>
        </w:rPr>
      </w:pPr>
      <w:bookmarkStart w:id="44" w:name="_Toc23080"/>
      <w:r>
        <w:rPr>
          <w:rFonts w:hint="eastAsia"/>
          <w:lang w:val="en-US" w:eastAsia="zh-CN"/>
        </w:rPr>
        <w:t>施工期工程分析</w:t>
      </w:r>
      <w:bookmarkEnd w:id="44"/>
    </w:p>
    <w:p>
      <w:pPr>
        <w:bidi w:val="0"/>
        <w:rPr>
          <w:rFonts w:hint="default"/>
          <w:lang w:val="en-US" w:eastAsia="zh-CN"/>
        </w:rPr>
      </w:pPr>
      <w:r>
        <w:rPr>
          <w:rFonts w:hint="eastAsia"/>
          <w:lang w:val="en-US" w:eastAsia="zh-CN"/>
        </w:rPr>
        <w:t>本项目属于未批先建，处罚至今，全长处于停止施工阶段。项目主体工程建设已结束，设备设施未进厂安装，根据现场踏勘了解，</w:t>
      </w:r>
      <w:r>
        <w:rPr>
          <w:rFonts w:ascii="Times New Roman" w:hAnsi="Times New Roman" w:cs="Times New Roman"/>
          <w:color w:val="auto"/>
          <w:sz w:val="24"/>
          <w:szCs w:val="24"/>
          <w:lang w:val="en-US"/>
        </w:rPr>
        <w:t>采取了</w:t>
      </w:r>
      <w:r>
        <w:rPr>
          <w:rFonts w:ascii="Times New Roman" w:hAnsi="Times New Roman" w:cs="Times New Roman"/>
          <w:color w:val="auto"/>
          <w:sz w:val="24"/>
          <w:szCs w:val="24"/>
        </w:rPr>
        <w:t>现场围档、湿法作业、车辆冲洗、车辆密闭运输</w:t>
      </w:r>
      <w:r>
        <w:rPr>
          <w:rFonts w:ascii="Times New Roman" w:hAnsi="Times New Roman" w:cs="Times New Roman"/>
          <w:bCs/>
          <w:color w:val="auto"/>
          <w:sz w:val="24"/>
          <w:szCs w:val="24"/>
        </w:rPr>
        <w:t>等措施后，施工场地扬尘排放能够满足《四川省施工场地扬尘排放标准》（DB51/2682-2020）中相关</w:t>
      </w:r>
      <w:r>
        <w:rPr>
          <w:rFonts w:cs="Times New Roman"/>
          <w:bCs/>
          <w:color w:val="auto"/>
          <w:sz w:val="24"/>
          <w:szCs w:val="24"/>
        </w:rPr>
        <w:t>限值要求，</w:t>
      </w:r>
      <w:r>
        <w:rPr>
          <w:rFonts w:cs="Times New Roman"/>
          <w:color w:val="auto"/>
          <w:sz w:val="24"/>
          <w:szCs w:val="24"/>
        </w:rPr>
        <w:t>无遗留环境问题</w:t>
      </w:r>
      <w:r>
        <w:rPr>
          <w:rFonts w:hint="eastAsia" w:cs="Times New Roman"/>
          <w:bCs/>
          <w:color w:val="auto"/>
          <w:sz w:val="24"/>
          <w:szCs w:val="24"/>
          <w:lang w:val="en-US"/>
        </w:rPr>
        <w:t>；</w:t>
      </w:r>
      <w:r>
        <w:rPr>
          <w:rFonts w:cs="Times New Roman"/>
          <w:color w:val="auto"/>
          <w:sz w:val="24"/>
          <w:szCs w:val="24"/>
          <w:lang w:val="en-US"/>
        </w:rPr>
        <w:t>施工期生活污水经旱厕处理后用于农肥；土方阶段降尘用水、混凝土养护用水全部蒸发损失，车辆冲洗水经沉淀后回用，不外排</w:t>
      </w:r>
      <w:r>
        <w:rPr>
          <w:rFonts w:cs="Times New Roman"/>
          <w:bCs/>
          <w:color w:val="auto"/>
          <w:sz w:val="24"/>
          <w:szCs w:val="24"/>
          <w:lang w:val="en-US"/>
        </w:rPr>
        <w:t>，</w:t>
      </w:r>
      <w:r>
        <w:rPr>
          <w:rFonts w:cs="Times New Roman"/>
          <w:color w:val="auto"/>
          <w:sz w:val="24"/>
          <w:szCs w:val="24"/>
          <w:lang w:val="en-US"/>
        </w:rPr>
        <w:t>无遗留环境问题</w:t>
      </w:r>
      <w:r>
        <w:rPr>
          <w:rFonts w:hint="eastAsia" w:cs="Times New Roman"/>
          <w:bCs/>
          <w:color w:val="auto"/>
          <w:sz w:val="24"/>
          <w:szCs w:val="24"/>
          <w:lang w:val="en-US"/>
        </w:rPr>
        <w:t>；</w:t>
      </w:r>
      <w:r>
        <w:rPr>
          <w:rFonts w:cs="Times New Roman"/>
          <w:color w:val="auto"/>
          <w:sz w:val="24"/>
          <w:szCs w:val="24"/>
          <w:lang w:val="en-US"/>
        </w:rPr>
        <w:t>施工期噪声采取了</w:t>
      </w:r>
      <w:r>
        <w:rPr>
          <w:rFonts w:cs="Times New Roman"/>
          <w:color w:val="auto"/>
          <w:sz w:val="24"/>
          <w:szCs w:val="24"/>
        </w:rPr>
        <w:t>低噪声机械设备、合理布局、合理安排施工物料的运输时间</w:t>
      </w:r>
      <w:r>
        <w:rPr>
          <w:rFonts w:cs="Times New Roman"/>
          <w:color w:val="auto"/>
          <w:sz w:val="24"/>
          <w:szCs w:val="24"/>
          <w:lang w:val="en-US"/>
        </w:rPr>
        <w:t>等措施后，施工期间的场</w:t>
      </w:r>
      <w:r>
        <w:rPr>
          <w:rFonts w:ascii="Times New Roman" w:hAnsi="Times New Roman" w:cs="Times New Roman"/>
          <w:color w:val="auto"/>
          <w:sz w:val="24"/>
          <w:szCs w:val="24"/>
          <w:lang w:val="en-US"/>
        </w:rPr>
        <w:t>界噪声满足《建筑施工场界环境噪声排放标准》（GBl2523-2011）要求，</w:t>
      </w:r>
      <w:r>
        <w:rPr>
          <w:rFonts w:hint="eastAsia" w:ascii="Times New Roman" w:hAnsi="Times New Roman" w:cs="Times New Roman"/>
          <w:color w:val="auto"/>
          <w:sz w:val="24"/>
          <w:szCs w:val="24"/>
          <w:lang w:val="en-US"/>
        </w:rPr>
        <w:t>又由于</w:t>
      </w:r>
      <w:r>
        <w:rPr>
          <w:rFonts w:ascii="Times New Roman" w:hAnsi="Times New Roman" w:cs="Times New Roman"/>
          <w:color w:val="auto"/>
          <w:sz w:val="24"/>
          <w:szCs w:val="24"/>
          <w:lang w:val="en-US"/>
        </w:rPr>
        <w:t>施工期噪声影响是短期的，</w:t>
      </w:r>
      <w:r>
        <w:rPr>
          <w:rFonts w:hint="eastAsia" w:ascii="Times New Roman" w:hAnsi="Times New Roman" w:cs="Times New Roman"/>
          <w:color w:val="auto"/>
          <w:sz w:val="24"/>
          <w:szCs w:val="24"/>
          <w:lang w:val="en-US"/>
        </w:rPr>
        <w:t>随</w:t>
      </w:r>
      <w:r>
        <w:rPr>
          <w:rFonts w:ascii="Times New Roman" w:hAnsi="Times New Roman" w:cs="Times New Roman"/>
          <w:color w:val="auto"/>
          <w:sz w:val="24"/>
          <w:szCs w:val="24"/>
          <w:lang w:val="en-US"/>
        </w:rPr>
        <w:t>施工期结束而消失，无遗留环境问题</w:t>
      </w:r>
      <w:r>
        <w:rPr>
          <w:rFonts w:hint="eastAsia" w:ascii="Times New Roman" w:hAnsi="Times New Roman" w:cs="Times New Roman"/>
          <w:bCs/>
          <w:color w:val="auto"/>
          <w:sz w:val="24"/>
          <w:szCs w:val="24"/>
          <w:lang w:val="en-US"/>
        </w:rPr>
        <w:t>；</w:t>
      </w:r>
      <w:r>
        <w:rPr>
          <w:rFonts w:ascii="Times New Roman" w:hAnsi="Times New Roman" w:cs="Times New Roman"/>
          <w:color w:val="auto"/>
          <w:sz w:val="24"/>
          <w:szCs w:val="24"/>
        </w:rPr>
        <w:t>施工期生活垃圾经垃圾桶收集后由环卫部门进行清运处置；挖方全部用于填方，无弃方；废金属、钢筋、铁丝等杂物，产生量较少，交废物回收站处理；不能回收利用的建筑垃圾，运至政府指定建筑垃圾堆放点，</w:t>
      </w:r>
      <w:r>
        <w:rPr>
          <w:rFonts w:ascii="Times New Roman" w:hAnsi="Times New Roman" w:cs="Times New Roman"/>
          <w:color w:val="auto"/>
          <w:sz w:val="24"/>
          <w:szCs w:val="24"/>
          <w:lang w:val="en-US"/>
        </w:rPr>
        <w:t>无遗留环境问题</w:t>
      </w:r>
      <w:r>
        <w:rPr>
          <w:rFonts w:ascii="Times New Roman" w:hAnsi="Times New Roman" w:cs="Times New Roman"/>
          <w:bCs/>
          <w:color w:val="auto"/>
          <w:sz w:val="24"/>
          <w:szCs w:val="24"/>
          <w:lang w:val="en-US"/>
        </w:rPr>
        <w:t>。</w:t>
      </w:r>
    </w:p>
    <w:p>
      <w:pPr>
        <w:bidi w:val="0"/>
        <w:rPr>
          <w:rFonts w:hint="default"/>
          <w:b/>
          <w:bCs/>
          <w:lang w:val="en-US" w:eastAsia="zh-CN"/>
        </w:rPr>
      </w:pPr>
      <w:r>
        <w:rPr>
          <w:rFonts w:hint="eastAsia"/>
          <w:b/>
          <w:bCs/>
          <w:lang w:val="en-US" w:eastAsia="zh-CN"/>
        </w:rPr>
        <w:t>因此，本次施工期环评仅对后期设备进厂安装及装饰工程进行分析，分析如下：</w:t>
      </w:r>
    </w:p>
    <w:p>
      <w:pPr>
        <w:pStyle w:val="5"/>
        <w:bidi w:val="0"/>
        <w:rPr>
          <w:rFonts w:hint="default"/>
          <w:lang w:val="en-US" w:eastAsia="zh-CN"/>
        </w:rPr>
      </w:pPr>
      <w:r>
        <w:rPr>
          <w:rFonts w:hint="eastAsia"/>
          <w:lang w:val="en-US" w:eastAsia="zh-CN"/>
        </w:rPr>
        <w:t>工艺流程</w:t>
      </w:r>
    </w:p>
    <w:p>
      <w:pPr>
        <w:rPr>
          <w:rFonts w:hint="eastAsia" w:ascii="宋体" w:hAnsi="宋体" w:eastAsia="宋体"/>
          <w:sz w:val="24"/>
        </w:rPr>
      </w:pPr>
      <w:r>
        <w:rPr>
          <w:rFonts w:hint="eastAsia"/>
          <w:lang w:val="en-US" w:eastAsia="zh-CN"/>
        </w:rPr>
        <w:t>项目主体工程以建设完成，</w:t>
      </w:r>
      <w:r>
        <w:rPr>
          <w:rFonts w:hint="eastAsia" w:ascii="宋体" w:hAnsi="宋体" w:eastAsia="宋体"/>
          <w:sz w:val="24"/>
        </w:rPr>
        <w:t>项目施工期</w:t>
      </w:r>
      <w:r>
        <w:rPr>
          <w:rFonts w:hint="eastAsia" w:ascii="宋体" w:hAnsi="宋体"/>
          <w:sz w:val="24"/>
          <w:lang w:val="en-US" w:eastAsia="zh-CN"/>
        </w:rPr>
        <w:t>后期</w:t>
      </w:r>
      <w:r>
        <w:rPr>
          <w:rFonts w:hint="eastAsia" w:ascii="宋体" w:hAnsi="宋体" w:eastAsia="宋体"/>
          <w:sz w:val="24"/>
        </w:rPr>
        <w:t>主要包括</w:t>
      </w:r>
      <w:r>
        <w:rPr>
          <w:rFonts w:hint="eastAsia" w:ascii="宋体" w:hAnsi="宋体"/>
          <w:sz w:val="24"/>
          <w:lang w:val="en-US" w:eastAsia="zh-CN"/>
        </w:rPr>
        <w:t>设备安装、设备调试</w:t>
      </w:r>
      <w:r>
        <w:rPr>
          <w:rFonts w:hint="eastAsia" w:ascii="宋体" w:hAnsi="宋体" w:eastAsia="宋体"/>
          <w:sz w:val="24"/>
        </w:rPr>
        <w:t>等，施工期具体工艺流程及产污环节见图</w:t>
      </w:r>
      <w:r>
        <w:rPr>
          <w:rFonts w:hint="default" w:ascii="Times New Roman" w:hAnsi="Times New Roman" w:eastAsia="Times New Roman"/>
          <w:sz w:val="24"/>
        </w:rPr>
        <w:t>3.1-1</w:t>
      </w:r>
      <w:r>
        <w:rPr>
          <w:rFonts w:hint="eastAsia" w:ascii="宋体" w:hAnsi="宋体" w:eastAsia="宋体"/>
          <w:sz w:val="24"/>
        </w:rPr>
        <w:t>。</w:t>
      </w:r>
    </w:p>
    <w:p>
      <w:pPr>
        <w:pStyle w:val="29"/>
        <w:bidi w:val="0"/>
        <w:rPr>
          <w:rFonts w:hint="default" w:eastAsia="宋体"/>
          <w:lang w:val="en-US" w:eastAsia="zh-CN"/>
        </w:rPr>
      </w:pPr>
      <w:r>
        <w:rPr>
          <w:highlight w:val="none"/>
        </w:rPr>
        <w:pict>
          <v:shape id="_x0000_s1026" o:spid="_x0000_s1026" o:spt="75" type="#_x0000_t75" style="position:absolute;left:0pt;margin-left:77.9pt;margin-top:4.55pt;height:116.05pt;width:323.45pt;mso-wrap-distance-bottom:0pt;mso-wrap-distance-top:0pt;z-index:251674624;mso-width-relative:page;mso-height-relative:page;" o:ole="t" filled="f" o:preferrelative="t" stroked="f" coordsize="21600,21600">
            <v:path/>
            <v:fill on="f" focussize="0,0"/>
            <v:stroke on="f"/>
            <v:imagedata r:id="rId14" cropleft="17794f" o:title=""/>
            <o:lock v:ext="edit" aspectratio="t"/>
            <w10:wrap type="topAndBottom"/>
          </v:shape>
          <o:OLEObject Type="Embed" ProgID="Visio.Drawing.15" ShapeID="_x0000_s1026" DrawAspect="Content" ObjectID="_1468075727" r:id="rId13">
            <o:LockedField>false</o:LockedField>
          </o:OLEObject>
        </w:pict>
      </w:r>
      <w:r>
        <w:rPr>
          <w:rFonts w:hint="eastAsia"/>
          <w:lang w:val="en-US" w:eastAsia="zh-CN"/>
        </w:rPr>
        <w:t>图3.1-1  施工期工艺流程及产污位置示意图</w:t>
      </w:r>
    </w:p>
    <w:p>
      <w:pPr>
        <w:pStyle w:val="5"/>
        <w:bidi w:val="0"/>
        <w:rPr>
          <w:rFonts w:hint="default"/>
          <w:lang w:val="en-US" w:eastAsia="zh-CN"/>
        </w:rPr>
      </w:pPr>
      <w:r>
        <w:rPr>
          <w:rFonts w:hint="eastAsia"/>
          <w:lang w:val="en-US" w:eastAsia="zh-CN"/>
        </w:rPr>
        <w:t>主要污染工序</w:t>
      </w:r>
    </w:p>
    <w:p>
      <w:pPr>
        <w:spacing w:beforeLines="0" w:afterLines="0"/>
        <w:jc w:val="left"/>
        <w:rPr>
          <w:rFonts w:hint="eastAsia"/>
        </w:rPr>
      </w:pPr>
      <w:r>
        <w:rPr>
          <w:rFonts w:hint="eastAsia" w:ascii="宋体" w:hAnsi="宋体" w:eastAsia="宋体"/>
          <w:sz w:val="24"/>
        </w:rPr>
        <w:t>施工期污染因素主要为建筑垃圾、噪声、扬尘、试压废水、施工人员的生活废水、生活垃圾。</w:t>
      </w:r>
    </w:p>
    <w:p>
      <w:pPr>
        <w:bidi w:val="0"/>
        <w:rPr>
          <w:rFonts w:hint="eastAsia"/>
        </w:rPr>
      </w:pPr>
      <w:r>
        <w:rPr>
          <w:rFonts w:hint="eastAsia"/>
        </w:rPr>
        <w:t>（</w:t>
      </w:r>
      <w:r>
        <w:rPr>
          <w:rFonts w:hint="default"/>
        </w:rPr>
        <w:t>1</w:t>
      </w:r>
      <w:r>
        <w:rPr>
          <w:rFonts w:hint="eastAsia"/>
        </w:rPr>
        <w:t>）废气：</w:t>
      </w:r>
      <w:r>
        <w:rPr>
          <w:rFonts w:hint="eastAsia"/>
          <w:lang w:val="en-US" w:eastAsia="zh-CN"/>
        </w:rPr>
        <w:t>主要为进出车辆及机械设备产生的尾气及油漆产生的废气，主要污染物为CO、NO</w:t>
      </w:r>
      <w:r>
        <w:rPr>
          <w:rFonts w:hint="eastAsia"/>
          <w:vertAlign w:val="subscript"/>
          <w:lang w:val="en-US" w:eastAsia="zh-CN"/>
        </w:rPr>
        <w:t>2</w:t>
      </w:r>
      <w:r>
        <w:rPr>
          <w:rFonts w:hint="eastAsia"/>
          <w:vertAlign w:val="baseline"/>
          <w:lang w:val="en-US" w:eastAsia="zh-CN"/>
        </w:rPr>
        <w:t>、THC、挥发性气体</w:t>
      </w:r>
      <w:r>
        <w:rPr>
          <w:rFonts w:hint="eastAsia"/>
        </w:rPr>
        <w:t>。</w:t>
      </w:r>
    </w:p>
    <w:p>
      <w:pPr>
        <w:bidi w:val="0"/>
        <w:rPr>
          <w:rFonts w:hint="eastAsia"/>
        </w:rPr>
      </w:pPr>
      <w:r>
        <w:rPr>
          <w:rFonts w:hint="eastAsia"/>
        </w:rPr>
        <w:t>（</w:t>
      </w:r>
      <w:r>
        <w:rPr>
          <w:rFonts w:hint="default"/>
        </w:rPr>
        <w:t>2</w:t>
      </w:r>
      <w:r>
        <w:rPr>
          <w:rFonts w:hint="eastAsia"/>
        </w:rPr>
        <w:t>）废水：施工人员产生的生活废水、主要污染物为</w:t>
      </w:r>
      <w:r>
        <w:rPr>
          <w:rFonts w:hint="default"/>
        </w:rPr>
        <w:t>BOD</w:t>
      </w:r>
      <w:r>
        <w:rPr>
          <w:rFonts w:hint="default"/>
          <w:vertAlign w:val="subscript"/>
        </w:rPr>
        <w:t>5</w:t>
      </w:r>
      <w:r>
        <w:rPr>
          <w:rFonts w:hint="eastAsia"/>
        </w:rPr>
        <w:t>、</w:t>
      </w:r>
      <w:r>
        <w:rPr>
          <w:rFonts w:hint="default"/>
        </w:rPr>
        <w:t>COD</w:t>
      </w:r>
      <w:r>
        <w:rPr>
          <w:rFonts w:hint="eastAsia"/>
        </w:rPr>
        <w:t>、</w:t>
      </w:r>
      <w:r>
        <w:rPr>
          <w:rFonts w:hint="default"/>
        </w:rPr>
        <w:t>SS</w:t>
      </w:r>
      <w:r>
        <w:rPr>
          <w:rFonts w:hint="eastAsia"/>
        </w:rPr>
        <w:t>。</w:t>
      </w:r>
    </w:p>
    <w:p>
      <w:pPr>
        <w:bidi w:val="0"/>
        <w:rPr>
          <w:rFonts w:hint="eastAsia"/>
        </w:rPr>
      </w:pPr>
      <w:r>
        <w:rPr>
          <w:rFonts w:hint="eastAsia"/>
        </w:rPr>
        <w:t>（</w:t>
      </w:r>
      <w:r>
        <w:rPr>
          <w:rFonts w:hint="default"/>
        </w:rPr>
        <w:t>3</w:t>
      </w:r>
      <w:r>
        <w:rPr>
          <w:rFonts w:hint="eastAsia"/>
        </w:rPr>
        <w:t>）噪声：各类施工机械和运输车辆等施工作业时产生设备噪声。</w:t>
      </w:r>
    </w:p>
    <w:p>
      <w:pPr>
        <w:bidi w:val="0"/>
        <w:rPr>
          <w:rFonts w:hint="eastAsia"/>
        </w:rPr>
      </w:pPr>
      <w:r>
        <w:rPr>
          <w:rFonts w:hint="eastAsia"/>
        </w:rPr>
        <w:t>（</w:t>
      </w:r>
      <w:r>
        <w:rPr>
          <w:rFonts w:hint="default"/>
        </w:rPr>
        <w:t>4</w:t>
      </w:r>
      <w:r>
        <w:rPr>
          <w:rFonts w:hint="eastAsia"/>
        </w:rPr>
        <w:t>）固废：建筑垃圾、生活垃圾等。</w:t>
      </w:r>
    </w:p>
    <w:p>
      <w:pPr>
        <w:pStyle w:val="5"/>
        <w:bidi w:val="0"/>
        <w:rPr>
          <w:rFonts w:hint="default"/>
          <w:lang w:val="en-US" w:eastAsia="zh-CN"/>
        </w:rPr>
      </w:pPr>
      <w:r>
        <w:rPr>
          <w:rFonts w:hint="eastAsia"/>
          <w:lang w:val="en-US" w:eastAsia="zh-CN"/>
        </w:rPr>
        <w:t>施工期污染物排放及治理措施</w:t>
      </w:r>
    </w:p>
    <w:p>
      <w:pPr>
        <w:pStyle w:val="6"/>
        <w:bidi w:val="0"/>
        <w:rPr>
          <w:rFonts w:hint="default"/>
          <w:lang w:val="en-US" w:eastAsia="zh-CN"/>
        </w:rPr>
      </w:pPr>
      <w:r>
        <w:rPr>
          <w:rFonts w:hint="eastAsia"/>
          <w:lang w:val="en-US" w:eastAsia="zh-CN"/>
        </w:rPr>
        <w:t>废水排放方及治理措施</w:t>
      </w:r>
    </w:p>
    <w:p>
      <w:pPr>
        <w:bidi w:val="0"/>
        <w:rPr>
          <w:rFonts w:hint="eastAsia"/>
        </w:rPr>
      </w:pPr>
      <w:r>
        <w:rPr>
          <w:rFonts w:hint="eastAsia"/>
        </w:rPr>
        <w:t>施工期的废水主要来自于施工人员的生活污水和施工废水。</w:t>
      </w:r>
    </w:p>
    <w:p>
      <w:pPr>
        <w:bidi w:val="0"/>
        <w:rPr>
          <w:rFonts w:hint="eastAsia"/>
        </w:rPr>
      </w:pPr>
      <w:r>
        <w:rPr>
          <w:rFonts w:hint="eastAsia"/>
        </w:rPr>
        <w:t>生活污水：施工人员就近租用附近民宅居住，不在施工现场食宿。施工人员预计高峰期最大</w:t>
      </w:r>
      <w:r>
        <w:rPr>
          <w:rFonts w:hint="default"/>
        </w:rPr>
        <w:t>20</w:t>
      </w:r>
      <w:r>
        <w:rPr>
          <w:rFonts w:hint="eastAsia"/>
        </w:rPr>
        <w:t>人</w:t>
      </w:r>
      <w:r>
        <w:rPr>
          <w:rFonts w:hint="default"/>
        </w:rPr>
        <w:t>/d</w:t>
      </w:r>
      <w:r>
        <w:rPr>
          <w:rFonts w:hint="eastAsia"/>
        </w:rPr>
        <w:t>，根据《建筑给水排水设计规范（</w:t>
      </w:r>
      <w:r>
        <w:rPr>
          <w:rFonts w:hint="default"/>
        </w:rPr>
        <w:t xml:space="preserve">2009 </w:t>
      </w:r>
      <w:r>
        <w:rPr>
          <w:rFonts w:hint="eastAsia"/>
        </w:rPr>
        <w:t>年版）》（</w:t>
      </w:r>
      <w:r>
        <w:rPr>
          <w:rFonts w:hint="default"/>
        </w:rPr>
        <w:t>GB50015-2003</w:t>
      </w:r>
      <w:r>
        <w:rPr>
          <w:rFonts w:hint="eastAsia"/>
        </w:rPr>
        <w:t>），用水量按</w:t>
      </w:r>
      <w:r>
        <w:rPr>
          <w:rFonts w:hint="default"/>
        </w:rPr>
        <w:t>50L/d</w:t>
      </w:r>
      <w:r>
        <w:rPr>
          <w:rFonts w:hint="eastAsia"/>
        </w:rPr>
        <w:t>·人计，排放系数</w:t>
      </w:r>
      <w:r>
        <w:rPr>
          <w:rFonts w:hint="default"/>
        </w:rPr>
        <w:t>0.85</w:t>
      </w:r>
      <w:r>
        <w:rPr>
          <w:rFonts w:hint="eastAsia"/>
        </w:rPr>
        <w:t>，将产生生活污水</w:t>
      </w:r>
      <w:r>
        <w:rPr>
          <w:rFonts w:hint="default"/>
        </w:rPr>
        <w:t>0.85m</w:t>
      </w:r>
      <w:r>
        <w:rPr>
          <w:rFonts w:hint="default"/>
          <w:vertAlign w:val="superscript"/>
        </w:rPr>
        <w:t>3</w:t>
      </w:r>
      <w:r>
        <w:rPr>
          <w:rFonts w:hint="default"/>
        </w:rPr>
        <w:t>/d</w:t>
      </w:r>
      <w:r>
        <w:rPr>
          <w:rFonts w:hint="eastAsia"/>
        </w:rPr>
        <w:t>，主要污染物浓度</w:t>
      </w:r>
      <w:r>
        <w:rPr>
          <w:rFonts w:hint="default"/>
        </w:rPr>
        <w:t>COD</w:t>
      </w:r>
      <w:r>
        <w:rPr>
          <w:rFonts w:hint="eastAsia"/>
        </w:rPr>
        <w:t>：</w:t>
      </w:r>
      <w:r>
        <w:rPr>
          <w:rFonts w:hint="default"/>
        </w:rPr>
        <w:t>350</w:t>
      </w:r>
      <w:r>
        <w:rPr>
          <w:rFonts w:hint="eastAsia"/>
          <w:lang w:eastAsia="zh-CN"/>
        </w:rPr>
        <w:t>mg/L</w:t>
      </w:r>
      <w:r>
        <w:rPr>
          <w:rFonts w:hint="eastAsia"/>
        </w:rPr>
        <w:t>、</w:t>
      </w:r>
      <w:r>
        <w:rPr>
          <w:rFonts w:hint="default"/>
        </w:rPr>
        <w:t>SS</w:t>
      </w:r>
      <w:r>
        <w:rPr>
          <w:rFonts w:hint="eastAsia"/>
        </w:rPr>
        <w:t>：</w:t>
      </w:r>
      <w:r>
        <w:rPr>
          <w:rFonts w:hint="default"/>
        </w:rPr>
        <w:t>300</w:t>
      </w:r>
      <w:r>
        <w:rPr>
          <w:rFonts w:hint="eastAsia"/>
          <w:lang w:eastAsia="zh-CN"/>
        </w:rPr>
        <w:t>mg/L</w:t>
      </w:r>
      <w:r>
        <w:rPr>
          <w:rFonts w:hint="eastAsia"/>
        </w:rPr>
        <w:t>、</w:t>
      </w:r>
      <w:r>
        <w:rPr>
          <w:rFonts w:hint="default"/>
        </w:rPr>
        <w:t>NH</w:t>
      </w:r>
      <w:r>
        <w:rPr>
          <w:rFonts w:hint="default"/>
          <w:vertAlign w:val="subscript"/>
        </w:rPr>
        <w:t>3</w:t>
      </w:r>
      <w:r>
        <w:rPr>
          <w:rFonts w:hint="default"/>
        </w:rPr>
        <w:t>-N</w:t>
      </w:r>
      <w:r>
        <w:rPr>
          <w:rFonts w:hint="eastAsia"/>
        </w:rPr>
        <w:t>：</w:t>
      </w:r>
      <w:r>
        <w:rPr>
          <w:rFonts w:hint="default"/>
        </w:rPr>
        <w:t>35</w:t>
      </w:r>
      <w:r>
        <w:rPr>
          <w:rFonts w:hint="eastAsia"/>
          <w:lang w:eastAsia="zh-CN"/>
        </w:rPr>
        <w:t>mg/L</w:t>
      </w:r>
      <w:r>
        <w:rPr>
          <w:rFonts w:hint="eastAsia"/>
        </w:rPr>
        <w:t>，污染物产生量分别为</w:t>
      </w:r>
      <w:r>
        <w:rPr>
          <w:rFonts w:hint="default"/>
        </w:rPr>
        <w:t>COD</w:t>
      </w:r>
      <w:r>
        <w:rPr>
          <w:rFonts w:hint="eastAsia"/>
        </w:rPr>
        <w:t>：</w:t>
      </w:r>
      <w:r>
        <w:rPr>
          <w:rFonts w:hint="default"/>
        </w:rPr>
        <w:t>0.35kg/d</w:t>
      </w:r>
      <w:r>
        <w:rPr>
          <w:rFonts w:hint="eastAsia"/>
        </w:rPr>
        <w:t>、</w:t>
      </w:r>
      <w:r>
        <w:rPr>
          <w:rFonts w:hint="default"/>
        </w:rPr>
        <w:t>SS</w:t>
      </w:r>
      <w:r>
        <w:rPr>
          <w:rFonts w:hint="eastAsia"/>
        </w:rPr>
        <w:t>：</w:t>
      </w:r>
      <w:r>
        <w:rPr>
          <w:rFonts w:hint="default"/>
        </w:rPr>
        <w:t>0.3kg/d</w:t>
      </w:r>
      <w:r>
        <w:rPr>
          <w:rFonts w:hint="eastAsia"/>
        </w:rPr>
        <w:t>、</w:t>
      </w:r>
      <w:r>
        <w:rPr>
          <w:rFonts w:hint="default"/>
        </w:rPr>
        <w:t>NH</w:t>
      </w:r>
      <w:r>
        <w:rPr>
          <w:rFonts w:hint="default"/>
          <w:vertAlign w:val="subscript"/>
        </w:rPr>
        <w:t>3</w:t>
      </w:r>
      <w:r>
        <w:rPr>
          <w:rFonts w:hint="default"/>
        </w:rPr>
        <w:t>-N</w:t>
      </w:r>
      <w:r>
        <w:rPr>
          <w:rFonts w:hint="eastAsia"/>
        </w:rPr>
        <w:t>：</w:t>
      </w:r>
      <w:r>
        <w:rPr>
          <w:rFonts w:hint="default"/>
        </w:rPr>
        <w:t>0.035kg/d</w:t>
      </w:r>
      <w:r>
        <w:rPr>
          <w:rFonts w:hint="eastAsia"/>
        </w:rPr>
        <w:t>。产生的生活污水依托周边农户已有卫生设施进行处理。</w:t>
      </w:r>
    </w:p>
    <w:p>
      <w:pPr>
        <w:pStyle w:val="6"/>
        <w:bidi w:val="0"/>
        <w:rPr>
          <w:rFonts w:hint="eastAsia" w:ascii="宋体" w:hAnsi="宋体" w:eastAsia="宋体"/>
          <w:sz w:val="24"/>
        </w:rPr>
      </w:pPr>
      <w:r>
        <w:rPr>
          <w:rFonts w:hint="eastAsia" w:ascii="宋体" w:hAnsi="宋体" w:eastAsia="宋体"/>
          <w:sz w:val="24"/>
        </w:rPr>
        <w:t>废气排放及治理措施</w:t>
      </w:r>
    </w:p>
    <w:p>
      <w:pPr>
        <w:bidi w:val="0"/>
        <w:rPr>
          <w:rFonts w:hint="eastAsia"/>
        </w:rPr>
      </w:pPr>
      <w:r>
        <w:rPr>
          <w:rFonts w:hint="eastAsia"/>
        </w:rPr>
        <w:t>项目施工期废气主要为施工扬尘、管道组焊产生的焊接烟尘、燃油机械废气、装修废气等。</w:t>
      </w:r>
    </w:p>
    <w:p>
      <w:pPr>
        <w:bidi w:val="0"/>
        <w:rPr>
          <w:rFonts w:hint="eastAsia" w:eastAsia="宋体"/>
          <w:lang w:eastAsia="zh-CN"/>
        </w:rPr>
      </w:pPr>
      <w:r>
        <w:t>施工期间，使用机动车运送原材料、设备和建筑机械设备的运转，均会排放一定量的CO、NOx以及未完全燃烧的THC等，其特点是排放量小，且属间断性无组织排放，由于施工场地开阔，扩散条件良好，因此在采取相应的措施后能够做到达标排放。在施工期内应多加注意施工设备的维护，使其能够正常的运行，提高设备原料的利用率。油漆废气主要来自于管理用房、食堂、员工宿舍装修阶段，该废气的排放属无组织排放，其主要污染因子为二甲苯和甲苯，此外还有极少量的汽油、丁醇和丙醇等。由于油漆废气的排放时间和部位不能十分明确，并且装修阶段的油漆废气排放周期短，且作业量较小。因此，在装修油漆期间，施工单位在采用环保型油漆、加强了室内的通风换气情况下，再加之项目所在场地扩散条件较好，从而，项目装修施工产生的油漆废气可实现达标排放。</w:t>
      </w:r>
    </w:p>
    <w:p>
      <w:pPr>
        <w:bidi w:val="0"/>
        <w:rPr>
          <w:rFonts w:hint="eastAsia"/>
        </w:rPr>
      </w:pPr>
      <w:r>
        <w:t>严格按照国家环境保护总局、建设部文《关于有效控制城市扬尘污染的通知》环发</w:t>
      </w:r>
      <w:r>
        <w:rPr>
          <w:rFonts w:hint="eastAsia"/>
          <w:lang w:eastAsia="zh-CN"/>
        </w:rPr>
        <w:t>〔</w:t>
      </w:r>
      <w:r>
        <w:t>2001</w:t>
      </w:r>
      <w:r>
        <w:rPr>
          <w:rFonts w:hint="eastAsia"/>
          <w:lang w:eastAsia="zh-CN"/>
        </w:rPr>
        <w:t>〕</w:t>
      </w:r>
      <w:r>
        <w:t>56号，《防治城市扬尘技术规范》、《四川省人民政府办公厅关于加强灰霾污染防治的通知》（川办发[2013]32号）、《四川省灰霾污染防治实施方案》（川办发[2013]78号）等相关文件的要求对扬尘进行有效控制，将项目施工建设期的废气和扬尘污染降低到最小。</w:t>
      </w:r>
    </w:p>
    <w:p>
      <w:pPr>
        <w:pStyle w:val="6"/>
        <w:bidi w:val="0"/>
        <w:rPr>
          <w:rFonts w:hint="default"/>
          <w:lang w:val="en-US" w:eastAsia="zh-CN"/>
        </w:rPr>
      </w:pPr>
      <w:r>
        <w:rPr>
          <w:rFonts w:hint="eastAsia"/>
          <w:lang w:val="en-US" w:eastAsia="zh-CN"/>
        </w:rPr>
        <w:t>噪声排放及治理措施</w:t>
      </w:r>
    </w:p>
    <w:p>
      <w:pPr>
        <w:spacing w:beforeLines="0" w:afterLines="0"/>
        <w:jc w:val="left"/>
        <w:rPr>
          <w:rFonts w:hint="eastAsia" w:ascii="宋体" w:hAnsi="宋体" w:eastAsia="宋体"/>
          <w:sz w:val="24"/>
        </w:rPr>
      </w:pPr>
      <w:r>
        <w:rPr>
          <w:rFonts w:hint="eastAsia" w:ascii="宋体" w:hAnsi="宋体" w:eastAsia="宋体"/>
          <w:sz w:val="24"/>
        </w:rPr>
        <w:t>本项目施工期</w:t>
      </w:r>
      <w:r>
        <w:rPr>
          <w:rFonts w:hint="eastAsia" w:ascii="宋体" w:hAnsi="宋体"/>
          <w:sz w:val="24"/>
          <w:lang w:val="en-US" w:eastAsia="zh-CN"/>
        </w:rPr>
        <w:t>仅对设备进行安装调试，因此</w:t>
      </w:r>
      <w:r>
        <w:rPr>
          <w:rFonts w:hint="eastAsia" w:ascii="宋体" w:hAnsi="宋体" w:eastAsia="宋体"/>
          <w:sz w:val="24"/>
        </w:rPr>
        <w:t>主要噪声源为各类</w:t>
      </w:r>
      <w:r>
        <w:rPr>
          <w:rFonts w:hint="eastAsia" w:ascii="宋体" w:hAnsi="宋体"/>
          <w:sz w:val="24"/>
          <w:lang w:val="en-US" w:eastAsia="zh-CN"/>
        </w:rPr>
        <w:t>小型</w:t>
      </w:r>
      <w:r>
        <w:rPr>
          <w:rFonts w:hint="eastAsia" w:ascii="宋体" w:hAnsi="宋体" w:eastAsia="宋体"/>
          <w:sz w:val="24"/>
        </w:rPr>
        <w:t>施工机械，如</w:t>
      </w:r>
      <w:r>
        <w:rPr>
          <w:rFonts w:hint="eastAsia" w:ascii="宋体" w:hAnsi="宋体"/>
          <w:sz w:val="24"/>
          <w:lang w:val="en-US" w:eastAsia="zh-CN"/>
        </w:rPr>
        <w:t>电钻、电锤和</w:t>
      </w:r>
      <w:r>
        <w:rPr>
          <w:rFonts w:hint="eastAsia" w:ascii="宋体" w:hAnsi="宋体" w:eastAsia="宋体"/>
          <w:sz w:val="24"/>
        </w:rPr>
        <w:t>运输车辆等，根据《环境噪声与振动控制工程技术导则》（</w:t>
      </w:r>
      <w:r>
        <w:rPr>
          <w:rFonts w:hint="default" w:ascii="Times New Roman" w:hAnsi="Times New Roman" w:eastAsia="Times New Roman"/>
          <w:sz w:val="24"/>
        </w:rPr>
        <w:t>HJ2034-2013</w:t>
      </w:r>
      <w:r>
        <w:rPr>
          <w:rFonts w:hint="eastAsia" w:ascii="宋体" w:hAnsi="宋体" w:eastAsia="宋体"/>
          <w:sz w:val="24"/>
        </w:rPr>
        <w:t>）附录</w:t>
      </w:r>
      <w:r>
        <w:rPr>
          <w:rFonts w:hint="default" w:ascii="Times New Roman" w:hAnsi="Times New Roman" w:eastAsia="Times New Roman"/>
          <w:sz w:val="24"/>
        </w:rPr>
        <w:t>A</w:t>
      </w:r>
      <w:r>
        <w:rPr>
          <w:rFonts w:hint="eastAsia" w:ascii="宋体" w:hAnsi="宋体" w:eastAsia="宋体"/>
          <w:sz w:val="24"/>
        </w:rPr>
        <w:t>表</w:t>
      </w:r>
      <w:r>
        <w:rPr>
          <w:rFonts w:hint="default" w:ascii="Times New Roman" w:hAnsi="Times New Roman" w:eastAsia="Times New Roman"/>
          <w:sz w:val="24"/>
        </w:rPr>
        <w:t>A.2</w:t>
      </w:r>
      <w:r>
        <w:rPr>
          <w:rFonts w:hint="eastAsia" w:ascii="宋体" w:hAnsi="宋体" w:eastAsia="宋体"/>
          <w:sz w:val="24"/>
        </w:rPr>
        <w:t>及相关资料可知，常见施工设备噪声源不同距离声压级，具体噪声值见表</w:t>
      </w:r>
      <w:r>
        <w:rPr>
          <w:rFonts w:hint="default" w:ascii="Times New Roman" w:hAnsi="Times New Roman" w:eastAsia="Times New Roman"/>
          <w:sz w:val="24"/>
        </w:rPr>
        <w:t>3.1-1</w:t>
      </w:r>
      <w:r>
        <w:rPr>
          <w:rFonts w:hint="eastAsia" w:ascii="宋体" w:hAnsi="宋体" w:eastAsia="宋体"/>
          <w:sz w:val="24"/>
        </w:rPr>
        <w:t>。</w:t>
      </w:r>
    </w:p>
    <w:p>
      <w:pPr>
        <w:pStyle w:val="29"/>
        <w:bidi w:val="0"/>
        <w:rPr>
          <w:rFonts w:hint="eastAsia"/>
          <w:lang w:val="en-US" w:eastAsia="zh-CN"/>
        </w:rPr>
      </w:pPr>
      <w:r>
        <w:rPr>
          <w:rFonts w:hint="eastAsia"/>
          <w:lang w:val="en-US" w:eastAsia="zh-CN"/>
        </w:rPr>
        <w:t>表3.1-1  常见施工设备噪声源不同距离声压级</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5"/>
        <w:gridCol w:w="3205"/>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施工设备名称</w:t>
            </w:r>
          </w:p>
        </w:tc>
        <w:tc>
          <w:tcPr>
            <w:tcW w:w="1666"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距声源5m</w:t>
            </w:r>
          </w:p>
        </w:tc>
        <w:tc>
          <w:tcPr>
            <w:tcW w:w="1667"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距声源10m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pPr>
              <w:pStyle w:val="30"/>
              <w:widowControl w:val="0"/>
              <w:jc w:val="center"/>
              <w:rPr>
                <w:rFonts w:hint="eastAsia" w:ascii="宋体" w:hAnsi="宋体" w:eastAsia="宋体"/>
                <w:sz w:val="22"/>
                <w:lang w:eastAsia="zh-CN"/>
              </w:rPr>
            </w:pPr>
            <w:r>
              <w:rPr>
                <w:rFonts w:hint="eastAsia" w:ascii="宋体" w:hAnsi="宋体"/>
                <w:sz w:val="22"/>
                <w:lang w:val="en-US" w:eastAsia="zh-CN"/>
              </w:rPr>
              <w:t>电钻</w:t>
            </w:r>
          </w:p>
        </w:tc>
        <w:tc>
          <w:tcPr>
            <w:tcW w:w="166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78~86</w:t>
            </w:r>
          </w:p>
        </w:tc>
        <w:tc>
          <w:tcPr>
            <w:tcW w:w="166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pPr>
              <w:pStyle w:val="30"/>
              <w:widowControl w:val="0"/>
              <w:jc w:val="center"/>
              <w:rPr>
                <w:rFonts w:hint="eastAsia" w:ascii="宋体" w:hAnsi="宋体" w:eastAsia="宋体"/>
                <w:sz w:val="22"/>
              </w:rPr>
            </w:pPr>
            <w:r>
              <w:rPr>
                <w:rFonts w:hint="eastAsia" w:ascii="宋体" w:hAnsi="宋体" w:eastAsia="宋体"/>
                <w:sz w:val="22"/>
              </w:rPr>
              <w:t>电锤</w:t>
            </w:r>
          </w:p>
        </w:tc>
        <w:tc>
          <w:tcPr>
            <w:tcW w:w="166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80~85</w:t>
            </w:r>
          </w:p>
        </w:tc>
        <w:tc>
          <w:tcPr>
            <w:tcW w:w="166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pPr>
              <w:pStyle w:val="30"/>
              <w:widowControl w:val="0"/>
              <w:jc w:val="center"/>
              <w:rPr>
                <w:rFonts w:hint="eastAsia" w:ascii="宋体" w:hAnsi="宋体" w:eastAsia="宋体"/>
                <w:sz w:val="22"/>
              </w:rPr>
            </w:pPr>
            <w:r>
              <w:rPr>
                <w:rFonts w:hint="eastAsia" w:ascii="宋体" w:hAnsi="宋体" w:eastAsia="宋体"/>
                <w:sz w:val="22"/>
              </w:rPr>
              <w:t>重型运输车</w:t>
            </w:r>
          </w:p>
        </w:tc>
        <w:tc>
          <w:tcPr>
            <w:tcW w:w="166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82~90</w:t>
            </w:r>
          </w:p>
        </w:tc>
        <w:tc>
          <w:tcPr>
            <w:tcW w:w="166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78~86</w:t>
            </w:r>
          </w:p>
        </w:tc>
      </w:tr>
    </w:tbl>
    <w:p>
      <w:pPr>
        <w:spacing w:beforeLines="0" w:afterLines="0"/>
        <w:jc w:val="left"/>
        <w:rPr>
          <w:rFonts w:hint="default"/>
          <w:lang w:val="en-US" w:eastAsia="zh-CN"/>
        </w:rPr>
      </w:pPr>
      <w:r>
        <w:rPr>
          <w:rFonts w:hint="eastAsia" w:ascii="宋体" w:hAnsi="宋体" w:eastAsia="宋体"/>
          <w:sz w:val="24"/>
        </w:rPr>
        <w:t>环评要求施工单位采取合理布置施工总平面，合理安排施工时间，采用低噪声设备，对设备适时维护维修，文明施工，加强人员、车辆管理等措施。</w:t>
      </w:r>
    </w:p>
    <w:p>
      <w:pPr>
        <w:pStyle w:val="6"/>
        <w:bidi w:val="0"/>
        <w:rPr>
          <w:rFonts w:hint="default"/>
          <w:lang w:val="en-US" w:eastAsia="zh-CN"/>
        </w:rPr>
      </w:pPr>
      <w:r>
        <w:rPr>
          <w:rFonts w:hint="eastAsia"/>
          <w:lang w:val="en-US" w:eastAsia="zh-CN"/>
        </w:rPr>
        <w:t>固废排放及治理措施</w:t>
      </w:r>
    </w:p>
    <w:p>
      <w:pPr>
        <w:bidi w:val="0"/>
        <w:rPr>
          <w:rFonts w:hint="eastAsia"/>
        </w:rPr>
      </w:pPr>
      <w:r>
        <w:rPr>
          <w:rFonts w:hint="eastAsia"/>
        </w:rPr>
        <w:t>施工期固废主要包括建筑垃圾以及生活垃圾。</w:t>
      </w:r>
    </w:p>
    <w:p>
      <w:pPr>
        <w:bidi w:val="0"/>
        <w:rPr>
          <w:rFonts w:hint="eastAsia"/>
        </w:rPr>
      </w:pPr>
      <w:r>
        <w:rPr>
          <w:rFonts w:hint="eastAsia"/>
        </w:rPr>
        <w:t>拟建项目产生的建筑垃圾主要为项目拆除原有建筑产生的以及建设过程中产生的废弃建筑材料包括废钢筋、绑扎丝、废管材和废包装材料，根据有关资料，施工期装修垃圾产生系数为</w:t>
      </w:r>
      <w:r>
        <w:rPr>
          <w:rFonts w:hint="eastAsia"/>
          <w:lang w:val="en-US" w:eastAsia="zh-CN"/>
        </w:rPr>
        <w:t>5~10</w:t>
      </w:r>
      <w:r>
        <w:rPr>
          <w:rFonts w:hint="default"/>
        </w:rPr>
        <w:t>kg/m</w:t>
      </w:r>
      <w:r>
        <w:rPr>
          <w:rFonts w:hint="default"/>
          <w:vertAlign w:val="superscript"/>
        </w:rPr>
        <w:t>2</w:t>
      </w:r>
      <w:r>
        <w:rPr>
          <w:rFonts w:hint="eastAsia"/>
        </w:rPr>
        <w:t>，拟建项目建筑面积约为</w:t>
      </w:r>
      <w:r>
        <w:rPr>
          <w:rFonts w:hint="eastAsia"/>
          <w:lang w:val="en-US" w:eastAsia="zh-CN"/>
        </w:rPr>
        <w:t>17825</w:t>
      </w:r>
      <w:r>
        <w:rPr>
          <w:rFonts w:hint="default"/>
        </w:rPr>
        <w:t>m</w:t>
      </w:r>
      <w:r>
        <w:rPr>
          <w:rFonts w:hint="default"/>
          <w:vertAlign w:val="superscript"/>
        </w:rPr>
        <w:t>2</w:t>
      </w:r>
      <w:r>
        <w:rPr>
          <w:rFonts w:hint="eastAsia"/>
        </w:rPr>
        <w:t>，原有建筑</w:t>
      </w:r>
      <w:r>
        <w:rPr>
          <w:rFonts w:hint="eastAsia"/>
          <w:lang w:val="en-US" w:eastAsia="zh-CN"/>
        </w:rPr>
        <w:t>已拆除完成</w:t>
      </w:r>
      <w:r>
        <w:rPr>
          <w:rFonts w:hint="eastAsia"/>
        </w:rPr>
        <w:t>，估算出拟建项目产生的建筑垃圾量约为</w:t>
      </w:r>
      <w:r>
        <w:rPr>
          <w:rFonts w:hint="eastAsia"/>
          <w:lang w:val="en-US" w:eastAsia="zh-CN"/>
        </w:rPr>
        <w:t>8.9</w:t>
      </w:r>
      <w:r>
        <w:rPr>
          <w:rFonts w:hint="default"/>
        </w:rPr>
        <w:t>t</w:t>
      </w:r>
      <w:r>
        <w:rPr>
          <w:rFonts w:hint="eastAsia"/>
        </w:rPr>
        <w:t>。</w:t>
      </w:r>
      <w:r>
        <w:rPr>
          <w:rFonts w:hint="eastAsia"/>
          <w:lang w:val="en-US" w:eastAsia="zh-CN"/>
        </w:rPr>
        <w:t>建筑垃圾</w:t>
      </w:r>
      <w:r>
        <w:rPr>
          <w:rFonts w:hint="eastAsia"/>
        </w:rPr>
        <w:t>运至政府部门指定的建筑垃圾填埋场处置。</w:t>
      </w:r>
    </w:p>
    <w:p>
      <w:pPr>
        <w:bidi w:val="0"/>
        <w:rPr>
          <w:rFonts w:hint="eastAsia"/>
        </w:rPr>
      </w:pPr>
      <w:r>
        <w:rPr>
          <w:rFonts w:hint="eastAsia"/>
        </w:rPr>
        <w:t>施工产生的建筑垃圾在施工现场应设置临时建筑废物堆放场并进行密闭处理，建筑垃圾除部分用于回收，剩余部分堆放达一定量时应及时清运到政府指定的建筑垃圾场处理。</w:t>
      </w:r>
    </w:p>
    <w:p>
      <w:pPr>
        <w:bidi w:val="0"/>
        <w:rPr>
          <w:rFonts w:hint="eastAsia"/>
        </w:rPr>
      </w:pPr>
      <w:r>
        <w:rPr>
          <w:rFonts w:hint="eastAsia"/>
        </w:rPr>
        <w:t>施工人数按高峰期</w:t>
      </w:r>
      <w:r>
        <w:rPr>
          <w:rFonts w:hint="default"/>
        </w:rPr>
        <w:t>20</w:t>
      </w:r>
      <w:r>
        <w:rPr>
          <w:rFonts w:hint="eastAsia"/>
        </w:rPr>
        <w:t>人</w:t>
      </w:r>
      <w:r>
        <w:rPr>
          <w:rFonts w:hint="default"/>
        </w:rPr>
        <w:t>/</w:t>
      </w:r>
      <w:r>
        <w:rPr>
          <w:rFonts w:hint="eastAsia"/>
        </w:rPr>
        <w:t>天计，产生量按</w:t>
      </w:r>
      <w:r>
        <w:rPr>
          <w:rFonts w:hint="default"/>
        </w:rPr>
        <w:t>0.5kg/</w:t>
      </w:r>
      <w:r>
        <w:rPr>
          <w:rFonts w:hint="eastAsia"/>
        </w:rPr>
        <w:t>人·</w:t>
      </w:r>
      <w:r>
        <w:rPr>
          <w:rFonts w:hint="default"/>
        </w:rPr>
        <w:t>d</w:t>
      </w:r>
      <w:r>
        <w:rPr>
          <w:rFonts w:hint="eastAsia"/>
        </w:rPr>
        <w:t>计，则产生生活垃圾</w:t>
      </w:r>
      <w:r>
        <w:rPr>
          <w:rFonts w:hint="default"/>
        </w:rPr>
        <w:t>10kg/d</w:t>
      </w:r>
      <w:r>
        <w:rPr>
          <w:rFonts w:hint="eastAsia"/>
        </w:rPr>
        <w:t>，垃圾袋收集后由这当地环卫部门统一清运，日产日清。</w:t>
      </w:r>
    </w:p>
    <w:p>
      <w:pPr>
        <w:bidi w:val="0"/>
        <w:rPr>
          <w:rFonts w:hint="eastAsia"/>
        </w:rPr>
      </w:pPr>
      <w:r>
        <w:rPr>
          <w:rFonts w:hint="eastAsia"/>
        </w:rPr>
        <w:t>综上所述，项目施工期在严格落实了本环评提出的上述措施后，其施工期的固体废物可实现清洁处理和处置，不致造成二次污染。</w:t>
      </w:r>
    </w:p>
    <w:p>
      <w:pPr>
        <w:bidi w:val="0"/>
        <w:ind w:left="0" w:leftChars="0" w:firstLine="0" w:firstLineChars="0"/>
        <w:rPr>
          <w:rFonts w:hint="eastAsia"/>
        </w:rPr>
        <w:sectPr>
          <w:pgSz w:w="12240" w:h="15840"/>
          <w:pgMar w:top="1440" w:right="1417" w:bottom="1440" w:left="1417" w:header="720" w:footer="720" w:gutter="0"/>
          <w:pgBorders>
            <w:top w:val="none" w:sz="0" w:space="0"/>
            <w:left w:val="none" w:sz="0" w:space="0"/>
            <w:bottom w:val="none" w:sz="0" w:space="0"/>
            <w:right w:val="none" w:sz="0" w:space="0"/>
          </w:pgBorders>
          <w:lnNumType w:countBy="0" w:distance="360"/>
          <w:pgNumType w:fmt="numberInDash"/>
          <w:cols w:space="720" w:num="1"/>
          <w:docGrid w:type="lines" w:linePitch="312" w:charSpace="0"/>
        </w:sectPr>
      </w:pPr>
    </w:p>
    <w:p>
      <w:pPr>
        <w:pStyle w:val="4"/>
        <w:bidi w:val="0"/>
        <w:rPr>
          <w:rFonts w:hint="default"/>
          <w:lang w:val="en-US" w:eastAsia="zh-CN"/>
        </w:rPr>
      </w:pPr>
      <w:bookmarkStart w:id="45" w:name="_Toc11523"/>
      <w:r>
        <w:rPr>
          <w:rFonts w:hint="eastAsia"/>
          <w:lang w:val="en-US" w:eastAsia="zh-CN"/>
        </w:rPr>
        <w:t>营运期工程分析</w:t>
      </w:r>
      <w:bookmarkEnd w:id="45"/>
    </w:p>
    <w:p>
      <w:pPr>
        <w:pStyle w:val="5"/>
        <w:bidi w:val="0"/>
        <w:rPr>
          <w:rFonts w:hint="eastAsia"/>
          <w:lang w:val="en-US" w:eastAsia="zh-CN"/>
        </w:rPr>
      </w:pPr>
      <w:r>
        <w:rPr>
          <w:rFonts w:hint="eastAsia"/>
          <w:lang w:val="en-US" w:eastAsia="zh-CN"/>
        </w:rPr>
        <w:t>生猪屠宰工艺流程</w:t>
      </w:r>
    </w:p>
    <w:p>
      <w:pPr>
        <w:pStyle w:val="6"/>
        <w:bidi w:val="0"/>
        <w:rPr>
          <w:rFonts w:hint="default"/>
          <w:lang w:val="en-US" w:eastAsia="zh-CN"/>
        </w:rPr>
      </w:pPr>
      <w:r>
        <w:rPr>
          <w:rFonts w:hint="eastAsia"/>
          <w:lang w:val="en-US" w:eastAsia="zh-CN"/>
        </w:rPr>
        <w:t>白条肉生产工艺</w:t>
      </w:r>
    </w:p>
    <w:p>
      <w:pPr>
        <w:pStyle w:val="29"/>
        <w:bidi w:val="0"/>
        <w:rPr>
          <w:rFonts w:hint="eastAsia"/>
          <w:lang w:val="en-US" w:eastAsia="zh-CN"/>
        </w:rPr>
        <w:sectPr>
          <w:pgSz w:w="12240" w:h="15840"/>
          <w:pgMar w:top="1134" w:right="1417" w:bottom="1134" w:left="1417" w:header="720" w:footer="720" w:gutter="0"/>
          <w:pgBorders>
            <w:top w:val="none" w:sz="0" w:space="0"/>
            <w:left w:val="none" w:sz="0" w:space="0"/>
            <w:bottom w:val="none" w:sz="0" w:space="0"/>
            <w:right w:val="none" w:sz="0" w:space="0"/>
          </w:pgBorders>
          <w:lnNumType w:countBy="0" w:distance="360"/>
          <w:pgNumType w:fmt="numberInDash"/>
          <w:cols w:space="720" w:num="1"/>
          <w:docGrid w:type="lines" w:linePitch="312" w:charSpace="0"/>
        </w:sectPr>
      </w:pPr>
      <w:r>
        <w:rPr>
          <w:rFonts w:hint="eastAsia"/>
          <w:lang w:eastAsia="zh-CN"/>
        </w:rPr>
        <w:drawing>
          <wp:anchor distT="0" distB="0" distL="114300" distR="114300" simplePos="0" relativeHeight="251660288" behindDoc="0" locked="0" layoutInCell="1" allowOverlap="1">
            <wp:simplePos x="0" y="0"/>
            <wp:positionH relativeFrom="column">
              <wp:posOffset>238125</wp:posOffset>
            </wp:positionH>
            <wp:positionV relativeFrom="paragraph">
              <wp:posOffset>5715</wp:posOffset>
            </wp:positionV>
            <wp:extent cx="5365750" cy="7344410"/>
            <wp:effectExtent l="0" t="0" r="6350" b="8890"/>
            <wp:wrapTopAndBottom/>
            <wp:docPr id="7" name="图片 7" descr="页面提取自－简阳屠宰场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页面提取自－简阳屠宰场_副本"/>
                    <pic:cNvPicPr>
                      <a:picLocks noChangeAspect="1"/>
                    </pic:cNvPicPr>
                  </pic:nvPicPr>
                  <pic:blipFill>
                    <a:blip r:embed="rId15"/>
                    <a:stretch>
                      <a:fillRect/>
                    </a:stretch>
                  </pic:blipFill>
                  <pic:spPr>
                    <a:xfrm>
                      <a:off x="0" y="0"/>
                      <a:ext cx="5365750" cy="7344410"/>
                    </a:xfrm>
                    <a:prstGeom prst="rect">
                      <a:avLst/>
                    </a:prstGeom>
                  </pic:spPr>
                </pic:pic>
              </a:graphicData>
            </a:graphic>
          </wp:anchor>
        </w:drawing>
      </w:r>
      <w:r>
        <w:rPr>
          <w:sz w:val="21"/>
        </w:rPr>
        <mc:AlternateContent>
          <mc:Choice Requires="wps">
            <w:drawing>
              <wp:anchor distT="0" distB="0" distL="114300" distR="114300" simplePos="0" relativeHeight="251673600" behindDoc="0" locked="0" layoutInCell="1" allowOverlap="1">
                <wp:simplePos x="0" y="0"/>
                <wp:positionH relativeFrom="column">
                  <wp:posOffset>5013960</wp:posOffset>
                </wp:positionH>
                <wp:positionV relativeFrom="paragraph">
                  <wp:posOffset>2605405</wp:posOffset>
                </wp:positionV>
                <wp:extent cx="550545" cy="2456815"/>
                <wp:effectExtent l="0" t="0" r="1905" b="635"/>
                <wp:wrapNone/>
                <wp:docPr id="29" name="文本框 29"/>
                <wp:cNvGraphicFramePr/>
                <a:graphic xmlns:a="http://schemas.openxmlformats.org/drawingml/2006/main">
                  <a:graphicData uri="http://schemas.microsoft.com/office/word/2010/wordprocessingShape">
                    <wps:wsp>
                      <wps:cNvSpPr txBox="1"/>
                      <wps:spPr>
                        <a:xfrm>
                          <a:off x="5932170" y="4449445"/>
                          <a:ext cx="550545" cy="2456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rPr>
                                <w:rFonts w:hint="eastAsia" w:ascii="宋体" w:hAnsi="宋体"/>
                                <w:color w:val="auto"/>
                                <w:sz w:val="18"/>
                                <w:szCs w:val="18"/>
                              </w:rPr>
                            </w:pPr>
                            <w:r>
                              <w:rPr>
                                <w:rStyle w:val="32"/>
                                <w:color w:val="auto"/>
                                <w:sz w:val="18"/>
                                <w:szCs w:val="18"/>
                              </w:rPr>
                              <w:t>交由成都市科农</w:t>
                            </w:r>
                            <w:r>
                              <w:rPr>
                                <w:rFonts w:hint="eastAsia" w:ascii="宋体" w:hAnsi="宋体"/>
                                <w:color w:val="auto"/>
                                <w:sz w:val="18"/>
                                <w:szCs w:val="18"/>
                              </w:rPr>
                              <w:t>动物无害化处置有限公司进行无害化处置</w:t>
                            </w:r>
                          </w:p>
                          <w:p>
                            <w:pPr>
                              <w:pStyle w:val="3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8pt;margin-top:205.15pt;height:193.45pt;width:43.35pt;z-index:251673600;mso-width-relative:page;mso-height-relative:page;" filled="f" stroked="f" coordsize="21600,21600" o:gfxdata="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2PFdsAAAALAQAADwAAAAAA&#10;AAABACAAAAAiAAAAZHJzL2Rvd25yZXYueG1sUEsBAhQAFAAAAAgAh07iQIDT83ZJAgAAdAQAAA4A&#10;AAAAAAAAAQAgAAAAKgEAAGRycy9lMm9Eb2MueG1sUEsFBgAAAAAGAAYAWQEAAOUFAAAAAA==&#10;">
                <v:fill on="f" focussize="0,0"/>
                <v:stroke on="f" weight="0.5pt"/>
                <v:imagedata o:title=""/>
                <o:lock v:ext="edit" aspectratio="f"/>
                <v:textbox>
                  <w:txbxContent>
                    <w:p>
                      <w:pPr>
                        <w:pStyle w:val="30"/>
                        <w:rPr>
                          <w:rFonts w:hint="eastAsia" w:ascii="宋体" w:hAnsi="宋体"/>
                          <w:color w:val="auto"/>
                          <w:sz w:val="18"/>
                          <w:szCs w:val="18"/>
                        </w:rPr>
                      </w:pPr>
                      <w:r>
                        <w:rPr>
                          <w:rStyle w:val="32"/>
                          <w:color w:val="auto"/>
                          <w:sz w:val="18"/>
                          <w:szCs w:val="18"/>
                        </w:rPr>
                        <w:t>交由成都市科农</w:t>
                      </w:r>
                      <w:r>
                        <w:rPr>
                          <w:rFonts w:hint="eastAsia" w:ascii="宋体" w:hAnsi="宋体"/>
                          <w:color w:val="auto"/>
                          <w:sz w:val="18"/>
                          <w:szCs w:val="18"/>
                        </w:rPr>
                        <w:t>动物无害化处置有限公司进行无害化处置</w:t>
                      </w:r>
                    </w:p>
                    <w:p>
                      <w:pPr>
                        <w:pStyle w:val="30"/>
                      </w:pP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5270500</wp:posOffset>
                </wp:positionH>
                <wp:positionV relativeFrom="paragraph">
                  <wp:posOffset>1967230</wp:posOffset>
                </wp:positionV>
                <wp:extent cx="0" cy="676275"/>
                <wp:effectExtent l="50800" t="0" r="63500" b="9525"/>
                <wp:wrapNone/>
                <wp:docPr id="27" name="直接箭头连接符 27"/>
                <wp:cNvGraphicFramePr/>
                <a:graphic xmlns:a="http://schemas.openxmlformats.org/drawingml/2006/main">
                  <a:graphicData uri="http://schemas.microsoft.com/office/word/2010/wordprocessingShape">
                    <wps:wsp>
                      <wps:cNvCnPr/>
                      <wps:spPr>
                        <a:xfrm>
                          <a:off x="6170295" y="3677920"/>
                          <a:ext cx="0" cy="676275"/>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5pt;margin-top:154.9pt;height:53.25pt;width:0pt;z-index:251672576;mso-width-relative:page;mso-height-relative:page;" filled="f" stroked="t" coordsize="21600,21600" o:gfxdata="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uoh39YAAAALAQAADwAAAAAAAAAB&#10;ACAAAAAiAAAAZHJzL2Rvd25yZXYueG1sUEsBAhQAFAAAAAgAh07iQNIA0PISAgAA7AMAAA4AAAAA&#10;AAAAAQAgAAAAJQEAAGRycy9lMm9Eb2MueG1sUEsFBgAAAAAGAAYAWQEAAKkFAAAAAA==&#10;">
                <v:fill on="f" focussize="0,0"/>
                <v:stroke weight="1pt" color="#000000 [3213]" miterlimit="8" joinstyle="miter" endarrow="open"/>
                <v:imagedata o:title=""/>
                <o:lock v:ext="edit" aspectratio="f"/>
              </v:shape>
            </w:pict>
          </mc:Fallback>
        </mc:AlternateContent>
      </w:r>
      <w:r>
        <w:rPr>
          <w:rFonts w:hint="eastAsia"/>
          <w:lang w:val="en-US" w:eastAsia="zh-CN"/>
        </w:rPr>
        <w:t>图3.2-1  生猪白条肉生产工艺流程及产污环节图</w:t>
      </w:r>
    </w:p>
    <w:p>
      <w:pPr>
        <w:bidi w:val="0"/>
        <w:rPr>
          <w:rFonts w:hint="default"/>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进场检疫：</w:t>
      </w:r>
      <w:r>
        <w:rPr>
          <w:rFonts w:hint="eastAsia"/>
          <w:lang w:val="en-US" w:eastAsia="zh-CN"/>
        </w:rPr>
        <w:t>项目收购的生猪运至待宰圈静养观察12~24h后，再进行屠宰。</w:t>
      </w:r>
      <w:r>
        <w:rPr>
          <w:rFonts w:hint="eastAsia"/>
        </w:rPr>
        <w:t>项目收购的合格生猪由货车从厂区污物出入口进入，进入厂区前在厂区门口查验生猪检疫证、非疫区证明、车辆消毒证明，核对生猪耳标号，若有不符则拒收。验证同时由检疫部门驻厂兽医对所载生猪进行临车视检，若发现疑病猪，则全部遣返拒收。同时对生猪采用检测试纸对尿液进行抽检瘦肉精，若有疑似，则直接进入急宰间宰杀后送入</w:t>
      </w:r>
      <w:r>
        <w:rPr>
          <w:rFonts w:hint="eastAsia"/>
          <w:lang w:val="en-US" w:eastAsia="zh-CN"/>
        </w:rPr>
        <w:t>无害化暂存间处置</w:t>
      </w:r>
      <w:r>
        <w:rPr>
          <w:rFonts w:hint="eastAsia"/>
        </w:rPr>
        <w:t>；对生猪抽取血液进行非洲猪瘟抽检，若有疑似进入隔离间静养后再次检测，同时向上级主管部门汇报，由上级主管部门进行核查，若确认，按《非洲猪瘟应急疫情处理指南（试行）》进行处置。抽检率为</w:t>
      </w:r>
      <w:r>
        <w:rPr>
          <w:rFonts w:hint="default"/>
        </w:rPr>
        <w:t>5%</w:t>
      </w:r>
      <w:r>
        <w:rPr>
          <w:rFonts w:hint="eastAsia"/>
        </w:rPr>
        <w:t>。</w:t>
      </w:r>
    </w:p>
    <w:p>
      <w:pPr>
        <w:bidi w:val="0"/>
        <w:rPr>
          <w:rFonts w:hint="eastAsia"/>
        </w:rPr>
      </w:pPr>
      <w:r>
        <w:rPr>
          <w:rFonts w:hint="eastAsia"/>
        </w:rPr>
        <w:t>根据了解，目前非洲猪瘟检测主要采用</w:t>
      </w:r>
      <w:r>
        <w:rPr>
          <w:rFonts w:hint="eastAsia"/>
          <w:lang w:eastAsia="zh-CN"/>
        </w:rPr>
        <w:t>“</w:t>
      </w:r>
      <w:r>
        <w:rPr>
          <w:rFonts w:hint="eastAsia"/>
        </w:rPr>
        <w:t>荧光定量</w:t>
      </w:r>
      <w:r>
        <w:rPr>
          <w:rFonts w:hint="default"/>
        </w:rPr>
        <w:t>PCR</w:t>
      </w:r>
      <w:r>
        <w:rPr>
          <w:rFonts w:hint="eastAsia"/>
        </w:rPr>
        <w:t>方法</w:t>
      </w:r>
      <w:r>
        <w:rPr>
          <w:rFonts w:hint="eastAsia"/>
          <w:lang w:eastAsia="zh-CN"/>
        </w:rPr>
        <w:t>”</w:t>
      </w:r>
      <w:r>
        <w:rPr>
          <w:rFonts w:hint="eastAsia"/>
        </w:rPr>
        <w:t>，主要采用便携式实时荧光定量</w:t>
      </w:r>
      <w:r>
        <w:rPr>
          <w:rFonts w:hint="default"/>
        </w:rPr>
        <w:t>PCR</w:t>
      </w:r>
      <w:r>
        <w:rPr>
          <w:rFonts w:hint="eastAsia"/>
        </w:rPr>
        <w:t>仪，迷你离心机、移液器、</w:t>
      </w:r>
      <w:r>
        <w:rPr>
          <w:rFonts w:hint="default"/>
        </w:rPr>
        <w:t>PCR</w:t>
      </w:r>
      <w:r>
        <w:rPr>
          <w:rFonts w:hint="eastAsia"/>
        </w:rPr>
        <w:t>八连管等设备，采用非洲猪瘟荧光检测</w:t>
      </w:r>
      <w:r>
        <w:rPr>
          <w:rFonts w:hint="default"/>
        </w:rPr>
        <w:t>PCR</w:t>
      </w:r>
      <w:r>
        <w:rPr>
          <w:rFonts w:hint="eastAsia"/>
        </w:rPr>
        <w:t>试剂盒进行检查。</w:t>
      </w:r>
    </w:p>
    <w:p>
      <w:pPr>
        <w:bidi w:val="0"/>
        <w:rPr>
          <w:rFonts w:hint="eastAsia"/>
          <w:lang w:eastAsia="zh-CN"/>
        </w:rPr>
      </w:pPr>
      <w:r>
        <w:rPr>
          <w:rFonts w:hint="eastAsia"/>
        </w:rPr>
        <w:t>该过程会产生猪叫声、废试纸、废</w:t>
      </w:r>
      <w:r>
        <w:rPr>
          <w:rFonts w:hint="default"/>
        </w:rPr>
        <w:t>PCR</w:t>
      </w:r>
      <w:r>
        <w:rPr>
          <w:rFonts w:hint="eastAsia"/>
        </w:rPr>
        <w:t>试剂盒。</w:t>
      </w:r>
    </w:p>
    <w:p>
      <w:pPr>
        <w:spacing w:beforeLines="0" w:afterLines="0"/>
        <w:jc w:val="left"/>
        <w:rPr>
          <w:rFonts w:hint="eastAsia" w:ascii="宋体" w:hAnsi="宋体" w:eastAsia="宋体"/>
          <w:sz w:val="24"/>
        </w:rPr>
      </w:pPr>
      <w:r>
        <w:rPr>
          <w:rFonts w:hint="eastAsia"/>
          <w:b/>
          <w:bCs/>
          <w:lang w:eastAsia="zh-CN"/>
        </w:rPr>
        <w:t>（</w:t>
      </w:r>
      <w:r>
        <w:rPr>
          <w:rFonts w:hint="eastAsia"/>
          <w:b/>
          <w:bCs/>
          <w:lang w:val="en-US" w:eastAsia="zh-CN"/>
        </w:rPr>
        <w:t>2</w:t>
      </w:r>
      <w:r>
        <w:rPr>
          <w:rFonts w:hint="eastAsia"/>
          <w:b/>
          <w:bCs/>
          <w:lang w:eastAsia="zh-CN"/>
        </w:rPr>
        <w:t>）</w:t>
      </w:r>
      <w:r>
        <w:rPr>
          <w:rFonts w:hint="eastAsia"/>
          <w:b/>
          <w:bCs/>
          <w:lang w:val="en-US" w:eastAsia="zh-CN"/>
        </w:rPr>
        <w:t>静养：</w:t>
      </w:r>
      <w:r>
        <w:rPr>
          <w:rFonts w:hint="eastAsia" w:ascii="宋体" w:hAnsi="宋体" w:eastAsia="宋体"/>
          <w:sz w:val="24"/>
        </w:rPr>
        <w:t>检疫合格的载猪车辆通过消毒通道喷雾消毒</w:t>
      </w:r>
      <w:r>
        <w:rPr>
          <w:rFonts w:hint="default" w:ascii="Times New Roman" w:hAnsi="Times New Roman" w:eastAsia="Times New Roman"/>
          <w:sz w:val="24"/>
        </w:rPr>
        <w:t>30s</w:t>
      </w:r>
      <w:r>
        <w:rPr>
          <w:rFonts w:hint="eastAsia" w:ascii="宋体" w:hAnsi="宋体" w:eastAsia="宋体"/>
          <w:sz w:val="24"/>
        </w:rPr>
        <w:t>后入厂。进厂后将生猪卸下，生猪通过生猪通道人工赶入</w:t>
      </w:r>
      <w:r>
        <w:rPr>
          <w:rFonts w:hint="eastAsia" w:ascii="宋体" w:hAnsi="宋体"/>
          <w:sz w:val="24"/>
          <w:lang w:eastAsia="zh-CN"/>
        </w:rPr>
        <w:t>待宰圈</w:t>
      </w:r>
      <w:r>
        <w:rPr>
          <w:rFonts w:hint="eastAsia" w:ascii="宋体" w:hAnsi="宋体" w:eastAsia="宋体"/>
          <w:sz w:val="24"/>
        </w:rPr>
        <w:t>静养</w:t>
      </w:r>
      <w:r>
        <w:rPr>
          <w:rFonts w:hint="default" w:ascii="Times New Roman" w:hAnsi="Times New Roman" w:eastAsia="Times New Roman"/>
          <w:sz w:val="24"/>
        </w:rPr>
        <w:t>12~24h</w:t>
      </w:r>
      <w:r>
        <w:rPr>
          <w:rFonts w:hint="eastAsia" w:ascii="宋体" w:hAnsi="宋体" w:eastAsia="宋体"/>
          <w:sz w:val="24"/>
        </w:rPr>
        <w:t>。生猪静养期间停食，同时由主管部门驻厂兽医进行巡查，按照《生猪产地检疫规程》中</w:t>
      </w:r>
      <w:r>
        <w:rPr>
          <w:rFonts w:hint="eastAsia" w:ascii="宋体" w:hAnsi="宋体"/>
          <w:sz w:val="24"/>
          <w:lang w:eastAsia="zh-CN"/>
        </w:rPr>
        <w:t>“</w:t>
      </w:r>
      <w:r>
        <w:rPr>
          <w:rFonts w:hint="eastAsia" w:ascii="宋体" w:hAnsi="宋体" w:eastAsia="宋体"/>
          <w:sz w:val="24"/>
        </w:rPr>
        <w:t>临床检查</w:t>
      </w:r>
      <w:r>
        <w:rPr>
          <w:rFonts w:hint="eastAsia" w:ascii="宋体" w:hAnsi="宋体"/>
          <w:sz w:val="24"/>
          <w:lang w:eastAsia="zh-CN"/>
        </w:rPr>
        <w:t>”</w:t>
      </w:r>
      <w:r>
        <w:rPr>
          <w:rFonts w:hint="eastAsia" w:ascii="宋体" w:hAnsi="宋体" w:eastAsia="宋体"/>
          <w:sz w:val="24"/>
        </w:rPr>
        <w:t>部分实施检查，通过观察生猪群体的精神状况、外貌、呼吸状态及排泄物状态等情况进行检查，则将疑病猪关入隔离圈内观察</w:t>
      </w:r>
      <w:r>
        <w:rPr>
          <w:rFonts w:hint="default" w:ascii="Times New Roman" w:hAnsi="Times New Roman" w:eastAsia="Times New Roman"/>
          <w:sz w:val="24"/>
        </w:rPr>
        <w:t>24h</w:t>
      </w:r>
      <w:r>
        <w:rPr>
          <w:rFonts w:hint="eastAsia" w:ascii="宋体" w:hAnsi="宋体" w:eastAsia="宋体"/>
          <w:sz w:val="24"/>
        </w:rPr>
        <w:t>或确定为病猪后立刻进入急宰间进行宰杀，若有需要宰杀后解剖后将样品送第三方检测机构进行检测，观察</w:t>
      </w:r>
      <w:r>
        <w:rPr>
          <w:rFonts w:hint="default" w:ascii="Times New Roman" w:hAnsi="Times New Roman" w:eastAsia="Times New Roman"/>
          <w:sz w:val="24"/>
        </w:rPr>
        <w:t>24h</w:t>
      </w:r>
      <w:r>
        <w:rPr>
          <w:rFonts w:hint="eastAsia" w:ascii="宋体" w:hAnsi="宋体" w:eastAsia="宋体"/>
          <w:sz w:val="24"/>
        </w:rPr>
        <w:t>后恢复正常的赶回</w:t>
      </w:r>
      <w:r>
        <w:rPr>
          <w:rFonts w:hint="eastAsia" w:ascii="宋体" w:hAnsi="宋体"/>
          <w:sz w:val="24"/>
          <w:lang w:eastAsia="zh-CN"/>
        </w:rPr>
        <w:t>待宰圈</w:t>
      </w:r>
      <w:r>
        <w:rPr>
          <w:rFonts w:hint="eastAsia" w:ascii="宋体" w:hAnsi="宋体" w:eastAsia="宋体"/>
          <w:sz w:val="24"/>
        </w:rPr>
        <w:t>，宰杀后的猪</w:t>
      </w:r>
      <w:r>
        <w:rPr>
          <w:rFonts w:hint="eastAsia" w:ascii="宋体" w:hAnsi="宋体"/>
          <w:sz w:val="24"/>
          <w:lang w:val="en-US" w:eastAsia="zh-CN"/>
        </w:rPr>
        <w:t>送至无害化暂存间</w:t>
      </w:r>
      <w:r>
        <w:rPr>
          <w:rFonts w:hint="eastAsia" w:ascii="宋体" w:hAnsi="宋体" w:eastAsia="宋体"/>
          <w:sz w:val="24"/>
        </w:rPr>
        <w:t>处置。</w:t>
      </w:r>
    </w:p>
    <w:p>
      <w:pPr>
        <w:bidi w:val="0"/>
        <w:rPr>
          <w:rFonts w:hint="default" w:eastAsia="宋体"/>
          <w:lang w:val="en-US" w:eastAsia="zh-CN"/>
        </w:rPr>
      </w:pPr>
      <w:r>
        <w:rPr>
          <w:rFonts w:hint="eastAsia" w:ascii="宋体" w:hAnsi="宋体" w:eastAsia="宋体"/>
          <w:sz w:val="24"/>
        </w:rPr>
        <w:t>该过程将产生恶臭、猪粪、</w:t>
      </w:r>
      <w:r>
        <w:rPr>
          <w:rFonts w:hint="eastAsia" w:ascii="宋体" w:hAnsi="宋体"/>
          <w:sz w:val="24"/>
          <w:lang w:eastAsia="zh-CN"/>
        </w:rPr>
        <w:t>待宰圈</w:t>
      </w:r>
      <w:r>
        <w:rPr>
          <w:rFonts w:hint="eastAsia" w:ascii="宋体" w:hAnsi="宋体" w:eastAsia="宋体"/>
          <w:sz w:val="24"/>
        </w:rPr>
        <w:t>清洁废水及检疫不合格猪。</w:t>
      </w:r>
    </w:p>
    <w:p>
      <w:pPr>
        <w:bidi w:val="0"/>
        <w:rPr>
          <w:rFonts w:hint="eastAsia"/>
        </w:rPr>
      </w:pPr>
      <w:r>
        <w:rPr>
          <w:rFonts w:hint="eastAsia" w:ascii="宋体" w:hAnsi="宋体" w:eastAsia="宋体"/>
          <w:b/>
          <w:bCs/>
        </w:rPr>
        <w:t>（</w:t>
      </w:r>
      <w:r>
        <w:rPr>
          <w:rFonts w:hint="default"/>
          <w:b/>
          <w:bCs/>
        </w:rPr>
        <w:t>3</w:t>
      </w:r>
      <w:r>
        <w:rPr>
          <w:rFonts w:hint="eastAsia"/>
          <w:b/>
          <w:bCs/>
        </w:rPr>
        <w:t>）冲洗：</w:t>
      </w:r>
      <w:r>
        <w:rPr>
          <w:rFonts w:hint="eastAsia"/>
        </w:rPr>
        <w:t>静养后的生猪人工驱赶至淋浴间，人工采用水管对猪身体表面进行冲洗去除体表的大块粪污等污物，单头冲洗时间为</w:t>
      </w:r>
      <w:r>
        <w:rPr>
          <w:rFonts w:hint="default"/>
        </w:rPr>
        <w:t>30s</w:t>
      </w:r>
      <w:r>
        <w:rPr>
          <w:rFonts w:hint="eastAsia"/>
        </w:rPr>
        <w:t>，冲洗后由赶猪通道人工驱赶进入屠宰车间。</w:t>
      </w:r>
    </w:p>
    <w:p>
      <w:pPr>
        <w:bidi w:val="0"/>
        <w:rPr>
          <w:rFonts w:hint="eastAsia"/>
        </w:rPr>
      </w:pPr>
      <w:r>
        <w:rPr>
          <w:rFonts w:hint="eastAsia"/>
        </w:rPr>
        <w:t>该过程将产生恶臭、生猪冲洗废水、猪粪。</w:t>
      </w:r>
    </w:p>
    <w:p>
      <w:pPr>
        <w:bidi w:val="0"/>
        <w:rPr>
          <w:rFonts w:hint="eastAsia"/>
        </w:rPr>
      </w:pPr>
      <w:r>
        <w:rPr>
          <w:rFonts w:hint="eastAsia"/>
          <w:b/>
          <w:bCs/>
        </w:rPr>
        <w:t>（</w:t>
      </w:r>
      <w:r>
        <w:rPr>
          <w:rFonts w:hint="default"/>
          <w:b/>
          <w:bCs/>
        </w:rPr>
        <w:t>4</w:t>
      </w:r>
      <w:r>
        <w:rPr>
          <w:rFonts w:hint="eastAsia"/>
          <w:b/>
          <w:bCs/>
        </w:rPr>
        <w:t>）</w:t>
      </w:r>
      <w:r>
        <w:rPr>
          <w:rFonts w:hint="eastAsia"/>
          <w:b/>
          <w:bCs/>
          <w:lang w:val="en-US" w:eastAsia="zh-CN"/>
        </w:rPr>
        <w:t>宰杀（电麻、刺杀放血、头部检验）：</w:t>
      </w:r>
      <w:r>
        <w:rPr>
          <w:rFonts w:hint="eastAsia" w:ascii="宋体" w:hAnsi="宋体" w:eastAsia="宋体"/>
          <w:sz w:val="24"/>
        </w:rPr>
        <w:t>生猪进入屠宰车间，首先经三点式麻电机致昏，再经滑轮导轨将生猪倒立提升至离地</w:t>
      </w:r>
      <w:r>
        <w:rPr>
          <w:rFonts w:hint="default" w:ascii="Times New Roman" w:hAnsi="Times New Roman" w:eastAsia="Times New Roman"/>
          <w:sz w:val="24"/>
        </w:rPr>
        <w:t>2m</w:t>
      </w:r>
      <w:r>
        <w:rPr>
          <w:rFonts w:hint="eastAsia" w:ascii="宋体" w:hAnsi="宋体" w:eastAsia="宋体"/>
          <w:sz w:val="24"/>
        </w:rPr>
        <w:t>高处，人工刺颈，通过放血输送机边传送边向沥血</w:t>
      </w:r>
      <w:r>
        <w:rPr>
          <w:rFonts w:hint="eastAsia" w:ascii="宋体" w:hAnsi="宋体"/>
          <w:sz w:val="24"/>
          <w:lang w:val="en-US" w:eastAsia="zh-CN"/>
        </w:rPr>
        <w:t>槽</w:t>
      </w:r>
      <w:r>
        <w:rPr>
          <w:rFonts w:hint="eastAsia" w:ascii="宋体" w:hAnsi="宋体" w:eastAsia="宋体"/>
          <w:sz w:val="24"/>
        </w:rPr>
        <w:t>（</w:t>
      </w:r>
      <w:r>
        <w:rPr>
          <w:rFonts w:hint="default" w:ascii="Times New Roman" w:hAnsi="Times New Roman" w:eastAsia="Times New Roman"/>
          <w:sz w:val="24"/>
        </w:rPr>
        <w:t>16000×1000×</w:t>
      </w:r>
      <w:r>
        <w:rPr>
          <w:rFonts w:hint="eastAsia" w:ascii="Times New Roman" w:hAnsi="Times New Roman"/>
          <w:sz w:val="24"/>
          <w:lang w:val="en-US" w:eastAsia="zh-CN"/>
        </w:rPr>
        <w:t>220</w:t>
      </w:r>
      <w:r>
        <w:rPr>
          <w:rFonts w:hint="default" w:ascii="Times New Roman" w:hAnsi="Times New Roman" w:eastAsia="Times New Roman"/>
          <w:sz w:val="24"/>
        </w:rPr>
        <w:t>mm</w:t>
      </w:r>
      <w:r>
        <w:rPr>
          <w:rFonts w:hint="eastAsia" w:ascii="宋体" w:hAnsi="宋体" w:eastAsia="宋体"/>
          <w:sz w:val="24"/>
        </w:rPr>
        <w:t>）沥血，沥血时间</w:t>
      </w:r>
      <w:r>
        <w:rPr>
          <w:rFonts w:hint="default" w:ascii="Times New Roman" w:hAnsi="Times New Roman" w:eastAsia="Times New Roman"/>
          <w:sz w:val="24"/>
        </w:rPr>
        <w:t>5min</w:t>
      </w:r>
      <w:r>
        <w:rPr>
          <w:rFonts w:hint="eastAsia" w:ascii="宋体" w:hAnsi="宋体" w:eastAsia="宋体"/>
          <w:sz w:val="24"/>
        </w:rPr>
        <w:t>。沥血完成后逐只进行头部视检，不合格生猪由病猪通道送</w:t>
      </w:r>
      <w:r>
        <w:rPr>
          <w:rFonts w:hint="eastAsia" w:ascii="宋体" w:hAnsi="宋体"/>
          <w:sz w:val="24"/>
          <w:lang w:val="en-US" w:eastAsia="zh-CN"/>
        </w:rPr>
        <w:t>至无害化暂存间</w:t>
      </w:r>
      <w:r>
        <w:rPr>
          <w:rFonts w:hint="eastAsia" w:ascii="宋体" w:hAnsi="宋体" w:eastAsia="宋体"/>
          <w:sz w:val="24"/>
        </w:rPr>
        <w:t>处置。猪血经放血槽收集后由管道抽入位于猪血暂存间的制冷罐（</w:t>
      </w:r>
      <w:r>
        <w:rPr>
          <w:rFonts w:hint="default" w:ascii="Times New Roman" w:hAnsi="Times New Roman" w:eastAsia="Times New Roman"/>
          <w:sz w:val="24"/>
        </w:rPr>
        <w:t>6t</w:t>
      </w:r>
      <w:r>
        <w:rPr>
          <w:rFonts w:hint="eastAsia" w:ascii="宋体" w:hAnsi="宋体" w:eastAsia="宋体"/>
          <w:sz w:val="24"/>
        </w:rPr>
        <w:t>）内暂存，每日作为副产品直接外售，本项目不进行预处</w:t>
      </w:r>
      <w:r>
        <w:rPr>
          <w:rFonts w:hint="eastAsia" w:ascii="宋体" w:hAnsi="宋体"/>
          <w:sz w:val="24"/>
          <w:lang w:val="en-US" w:eastAsia="zh-CN"/>
        </w:rPr>
        <w:t>理。</w:t>
      </w:r>
    </w:p>
    <w:p>
      <w:pPr>
        <w:bidi w:val="0"/>
        <w:rPr>
          <w:rFonts w:hint="eastAsia"/>
        </w:rPr>
      </w:pPr>
      <w:r>
        <w:rPr>
          <w:rFonts w:hint="eastAsia" w:ascii="宋体" w:hAnsi="宋体" w:eastAsia="宋体"/>
          <w:sz w:val="24"/>
        </w:rPr>
        <w:t>该过程将产生恶臭。</w:t>
      </w:r>
    </w:p>
    <w:p>
      <w:pPr>
        <w:spacing w:beforeLines="0" w:afterLines="0"/>
        <w:jc w:val="left"/>
        <w:rPr>
          <w:rFonts w:hint="eastAsia"/>
        </w:rPr>
      </w:pPr>
      <w:r>
        <w:rPr>
          <w:rFonts w:hint="eastAsia" w:ascii="宋体" w:hAnsi="宋体" w:eastAsia="宋体"/>
          <w:b/>
          <w:bCs/>
          <w:sz w:val="24"/>
        </w:rPr>
        <w:t>（</w:t>
      </w:r>
      <w:r>
        <w:rPr>
          <w:rFonts w:hint="default" w:ascii="Times New Roman" w:hAnsi="Times New Roman" w:eastAsia="Times New Roman"/>
          <w:b/>
          <w:bCs/>
          <w:sz w:val="24"/>
        </w:rPr>
        <w:t>5</w:t>
      </w:r>
      <w:r>
        <w:rPr>
          <w:rFonts w:hint="eastAsia" w:ascii="宋体" w:hAnsi="宋体" w:eastAsia="宋体"/>
          <w:b/>
          <w:bCs/>
          <w:sz w:val="24"/>
        </w:rPr>
        <w:t>）清洗</w:t>
      </w:r>
      <w:r>
        <w:rPr>
          <w:rFonts w:hint="eastAsia" w:ascii="宋体" w:hAnsi="宋体"/>
          <w:b/>
          <w:bCs/>
          <w:sz w:val="24"/>
          <w:lang w:eastAsia="zh-CN"/>
        </w:rPr>
        <w:t>：</w:t>
      </w:r>
      <w:r>
        <w:rPr>
          <w:rFonts w:hint="eastAsia"/>
        </w:rPr>
        <w:t>生猪沥血完毕后，由滑轮导轨送入洗猪机，经摩擦清洗去除猪身污垢。</w:t>
      </w:r>
    </w:p>
    <w:p>
      <w:pPr>
        <w:bidi w:val="0"/>
        <w:rPr>
          <w:rFonts w:hint="eastAsia"/>
        </w:rPr>
      </w:pPr>
      <w:r>
        <w:rPr>
          <w:rFonts w:hint="eastAsia"/>
        </w:rPr>
        <w:t>该过程将产生清洗废水、恶臭。</w:t>
      </w:r>
    </w:p>
    <w:p>
      <w:pPr>
        <w:bidi w:val="0"/>
        <w:rPr>
          <w:rFonts w:hint="eastAsia"/>
          <w:b/>
          <w:bCs/>
        </w:rPr>
      </w:pPr>
      <w:r>
        <w:rPr>
          <w:rFonts w:hint="eastAsia"/>
          <w:b/>
          <w:bCs/>
        </w:rPr>
        <w:t>（</w:t>
      </w:r>
      <w:r>
        <w:rPr>
          <w:rFonts w:hint="default"/>
          <w:b/>
          <w:bCs/>
        </w:rPr>
        <w:t>6</w:t>
      </w:r>
      <w:r>
        <w:rPr>
          <w:rFonts w:hint="eastAsia"/>
          <w:b/>
          <w:bCs/>
        </w:rPr>
        <w:t>）烫毛</w:t>
      </w:r>
    </w:p>
    <w:p>
      <w:pPr>
        <w:bidi w:val="0"/>
        <w:rPr>
          <w:rFonts w:hint="eastAsia"/>
        </w:rPr>
      </w:pPr>
      <w:r>
        <w:rPr>
          <w:rFonts w:hint="eastAsia"/>
        </w:rPr>
        <w:t>生猪经滑轮导轨送至不锈钢烫池，由气动卸猪器将毛猪卸入烫池内，烫池（</w:t>
      </w:r>
      <w:r>
        <w:rPr>
          <w:rFonts w:hint="default"/>
        </w:rPr>
        <w:t>7000</w:t>
      </w:r>
      <w:r>
        <w:rPr>
          <w:rFonts w:hint="default" w:ascii="Times New Roman" w:hAnsi="Times New Roman" w:eastAsia="Times New Roman"/>
          <w:sz w:val="24"/>
        </w:rPr>
        <w:t>×</w:t>
      </w:r>
      <w:r>
        <w:rPr>
          <w:rFonts w:hint="eastAsia"/>
          <w:lang w:val="en-US" w:eastAsia="zh-CN"/>
        </w:rPr>
        <w:t>3000</w:t>
      </w:r>
      <w:r>
        <w:rPr>
          <w:rFonts w:hint="default" w:ascii="Times New Roman" w:hAnsi="Times New Roman" w:eastAsia="Times New Roman"/>
          <w:sz w:val="24"/>
        </w:rPr>
        <w:t>×</w:t>
      </w:r>
      <w:r>
        <w:rPr>
          <w:rFonts w:hint="default"/>
        </w:rPr>
        <w:t>700mm</w:t>
      </w:r>
      <w:r>
        <w:rPr>
          <w:rFonts w:hint="eastAsia"/>
        </w:rPr>
        <w:t>）热水由空气能高温热泵（由空气能热泵将空气中的热能转换到水里，加热水至</w:t>
      </w:r>
      <w:r>
        <w:rPr>
          <w:rFonts w:hint="default"/>
        </w:rPr>
        <w:t>65</w:t>
      </w:r>
      <w:r>
        <w:rPr>
          <w:rFonts w:hint="default" w:ascii="Times New Roman" w:hAnsi="Times New Roman" w:cs="Times New Roman"/>
        </w:rPr>
        <w:t>℃</w:t>
      </w:r>
      <w:r>
        <w:rPr>
          <w:rFonts w:hint="eastAsia"/>
        </w:rPr>
        <w:t>，并持续供热，维持恒温）提供，生猪烫毛时间和温度（一般控制在</w:t>
      </w:r>
      <w:r>
        <w:rPr>
          <w:rFonts w:hint="default"/>
        </w:rPr>
        <w:t>65</w:t>
      </w:r>
      <w:r>
        <w:rPr>
          <w:rFonts w:hint="default" w:ascii="Times New Roman" w:hAnsi="Times New Roman" w:cs="Times New Roman"/>
        </w:rPr>
        <w:t>℃</w:t>
      </w:r>
      <w:r>
        <w:rPr>
          <w:rFonts w:hint="eastAsia"/>
        </w:rPr>
        <w:t>左右，</w:t>
      </w:r>
      <w:r>
        <w:rPr>
          <w:rFonts w:hint="default"/>
        </w:rPr>
        <w:t>2min</w:t>
      </w:r>
      <w:r>
        <w:rPr>
          <w:rFonts w:hint="eastAsia"/>
        </w:rPr>
        <w:t>左右）根据季节进行控制，在烫毛过程中，烫毛池内水不断由猪胴体带出，又通过水蒸气补充。</w:t>
      </w:r>
    </w:p>
    <w:p>
      <w:pPr>
        <w:bidi w:val="0"/>
        <w:rPr>
          <w:rFonts w:hint="eastAsia"/>
        </w:rPr>
      </w:pPr>
      <w:r>
        <w:rPr>
          <w:rFonts w:hint="eastAsia"/>
        </w:rPr>
        <w:t>该过程将产生烫毛废水、恶臭。</w:t>
      </w:r>
    </w:p>
    <w:p>
      <w:pPr>
        <w:bidi w:val="0"/>
        <w:rPr>
          <w:rFonts w:hint="eastAsia"/>
          <w:b/>
          <w:bCs/>
        </w:rPr>
      </w:pPr>
      <w:r>
        <w:rPr>
          <w:rFonts w:hint="eastAsia"/>
          <w:b/>
          <w:bCs/>
        </w:rPr>
        <w:t>（</w:t>
      </w:r>
      <w:r>
        <w:rPr>
          <w:rFonts w:hint="default"/>
          <w:b/>
          <w:bCs/>
        </w:rPr>
        <w:t>7</w:t>
      </w:r>
      <w:r>
        <w:rPr>
          <w:rFonts w:hint="eastAsia"/>
          <w:b/>
          <w:bCs/>
        </w:rPr>
        <w:t>）刨毛</w:t>
      </w:r>
    </w:p>
    <w:p>
      <w:pPr>
        <w:bidi w:val="0"/>
        <w:rPr>
          <w:rFonts w:hint="eastAsia"/>
        </w:rPr>
      </w:pPr>
      <w:r>
        <w:rPr>
          <w:rFonts w:hint="eastAsia"/>
        </w:rPr>
        <w:t>猪屠体烫毛完成后，由</w:t>
      </w:r>
      <w:r>
        <w:rPr>
          <w:rFonts w:hint="eastAsia"/>
          <w:lang w:val="en-US" w:eastAsia="zh-CN"/>
        </w:rPr>
        <w:t>打毛机</w:t>
      </w:r>
      <w:r>
        <w:rPr>
          <w:rFonts w:hint="eastAsia"/>
        </w:rPr>
        <w:t>耙齿卷升至</w:t>
      </w:r>
      <w:r>
        <w:rPr>
          <w:rFonts w:hint="eastAsia"/>
          <w:lang w:val="en-US" w:eastAsia="zh-CN"/>
        </w:rPr>
        <w:t>打毛机</w:t>
      </w:r>
      <w:r>
        <w:rPr>
          <w:rFonts w:hint="eastAsia"/>
        </w:rPr>
        <w:t>内进行刨毛，猪屠体在</w:t>
      </w:r>
      <w:r>
        <w:rPr>
          <w:rFonts w:hint="eastAsia"/>
          <w:lang w:val="en-US" w:eastAsia="zh-CN"/>
        </w:rPr>
        <w:t>打毛机</w:t>
      </w:r>
      <w:r>
        <w:rPr>
          <w:rFonts w:hint="default"/>
        </w:rPr>
        <w:t>U</w:t>
      </w:r>
      <w:r>
        <w:rPr>
          <w:rFonts w:hint="eastAsia"/>
        </w:rPr>
        <w:t>型腔室内翻滚，在自身重量压力下，皮刀与猪屠体、猪屠体与猪屠体之间相互</w:t>
      </w:r>
      <w:r>
        <w:rPr>
          <w:rFonts w:hint="eastAsia"/>
          <w:lang w:eastAsia="zh-CN"/>
        </w:rPr>
        <w:t>摩擦</w:t>
      </w:r>
      <w:r>
        <w:rPr>
          <w:rFonts w:hint="eastAsia"/>
        </w:rPr>
        <w:t>，从而达到脱毛目的。</w:t>
      </w:r>
      <w:r>
        <w:rPr>
          <w:rFonts w:hint="eastAsia"/>
          <w:lang w:val="en-US" w:eastAsia="zh-CN"/>
        </w:rPr>
        <w:t>打毛机</w:t>
      </w:r>
      <w:r>
        <w:rPr>
          <w:rFonts w:hint="eastAsia"/>
        </w:rPr>
        <w:t>内设有喷淋头，以提高刨毛效果和冲洗已脱落的猪毛。</w:t>
      </w:r>
    </w:p>
    <w:p>
      <w:pPr>
        <w:bidi w:val="0"/>
        <w:rPr>
          <w:rFonts w:hint="eastAsia"/>
        </w:rPr>
      </w:pPr>
      <w:r>
        <w:rPr>
          <w:rFonts w:hint="eastAsia"/>
        </w:rPr>
        <w:t>猪毛、蹄壳经刨毛机自带风机风干后由管道输送入猪毛、蹄壳暂存间装袋后作为副产品出售。</w:t>
      </w:r>
    </w:p>
    <w:p>
      <w:pPr>
        <w:bidi w:val="0"/>
        <w:rPr>
          <w:rFonts w:hint="eastAsia"/>
        </w:rPr>
      </w:pPr>
      <w:r>
        <w:rPr>
          <w:rFonts w:hint="eastAsia"/>
        </w:rPr>
        <w:t>该过程将产生刨毛废水、恶臭。</w:t>
      </w:r>
    </w:p>
    <w:p>
      <w:pPr>
        <w:bidi w:val="0"/>
        <w:rPr>
          <w:rFonts w:hint="eastAsia"/>
          <w:b/>
          <w:bCs/>
        </w:rPr>
      </w:pPr>
      <w:r>
        <w:rPr>
          <w:rFonts w:hint="eastAsia"/>
          <w:b/>
          <w:bCs/>
        </w:rPr>
        <w:t>（</w:t>
      </w:r>
      <w:r>
        <w:rPr>
          <w:rFonts w:hint="default"/>
          <w:b/>
          <w:bCs/>
        </w:rPr>
        <w:t>8</w:t>
      </w:r>
      <w:r>
        <w:rPr>
          <w:rFonts w:hint="eastAsia"/>
          <w:b/>
          <w:bCs/>
        </w:rPr>
        <w:t>）清洗、修整</w:t>
      </w:r>
    </w:p>
    <w:p>
      <w:pPr>
        <w:bidi w:val="0"/>
        <w:rPr>
          <w:rFonts w:hint="eastAsia"/>
        </w:rPr>
      </w:pPr>
      <w:r>
        <w:rPr>
          <w:rFonts w:hint="eastAsia"/>
        </w:rPr>
        <w:t>刨毛完成后的猪胴体从刨毛机另一侧送出，通过滑道滑入清水池（</w:t>
      </w:r>
      <w:r>
        <w:rPr>
          <w:rFonts w:hint="default"/>
          <w:vertAlign w:val="baseline"/>
          <w:lang w:val="en-US" w:eastAsia="zh-CN"/>
        </w:rPr>
        <w:t>4000</w:t>
      </w:r>
      <w:r>
        <w:rPr>
          <w:rFonts w:hint="default" w:ascii="Times New Roman" w:hAnsi="Times New Roman" w:cs="Times New Roman"/>
          <w:vertAlign w:val="baseline"/>
          <w:lang w:val="en-US" w:eastAsia="zh-CN"/>
        </w:rPr>
        <w:t>×</w:t>
      </w:r>
      <w:r>
        <w:rPr>
          <w:rFonts w:hint="default"/>
          <w:vertAlign w:val="baseline"/>
          <w:lang w:val="en-US" w:eastAsia="zh-CN"/>
        </w:rPr>
        <w:t>1800</w:t>
      </w:r>
      <w:r>
        <w:rPr>
          <w:rFonts w:hint="default" w:ascii="Times New Roman" w:hAnsi="Times New Roman" w:cs="Times New Roman"/>
          <w:vertAlign w:val="baseline"/>
          <w:lang w:val="en-US" w:eastAsia="zh-CN"/>
        </w:rPr>
        <w:t>×</w:t>
      </w:r>
      <w:r>
        <w:rPr>
          <w:rFonts w:hint="default"/>
          <w:vertAlign w:val="baseline"/>
          <w:lang w:val="en-US" w:eastAsia="zh-CN"/>
        </w:rPr>
        <w:t>700mm</w:t>
      </w:r>
      <w:r>
        <w:rPr>
          <w:rFonts w:hint="eastAsia"/>
        </w:rPr>
        <w:t>）中清洗，人工将猪胴体依次推向清水池另一侧（清水池水不断由猪胴体带出部分，同时通过管道补充），由人工捞起挂吊钩并由白条提升机提升至滑轮导轨，提升后由人工对部分主体残存猪毛进行修整并去蹄壳，修整完毕后进入抛光机对猪胴体表面进行最终清洗。猪毛、蹄壳暂存于猪毛、蹄壳暂存间后统一作为副产品外售。</w:t>
      </w:r>
    </w:p>
    <w:p>
      <w:pPr>
        <w:bidi w:val="0"/>
        <w:rPr>
          <w:rFonts w:hint="eastAsia"/>
        </w:rPr>
      </w:pPr>
      <w:r>
        <w:rPr>
          <w:rFonts w:hint="eastAsia"/>
        </w:rPr>
        <w:t>该过程将产生清洗废水、恶臭。</w:t>
      </w:r>
    </w:p>
    <w:p>
      <w:pPr>
        <w:bidi w:val="0"/>
        <w:rPr>
          <w:rFonts w:hint="eastAsia"/>
        </w:rPr>
      </w:pPr>
      <w:r>
        <w:rPr>
          <w:rFonts w:hint="eastAsia"/>
          <w:b/>
          <w:bCs/>
        </w:rPr>
        <w:t>（</w:t>
      </w:r>
      <w:r>
        <w:rPr>
          <w:rFonts w:hint="default"/>
          <w:b/>
          <w:bCs/>
        </w:rPr>
        <w:t>9</w:t>
      </w:r>
      <w:r>
        <w:rPr>
          <w:rFonts w:hint="eastAsia"/>
          <w:b/>
          <w:bCs/>
        </w:rPr>
        <w:t>）摘尾开肛、开胸、取内脏</w:t>
      </w:r>
      <w:r>
        <w:rPr>
          <w:rFonts w:hint="eastAsia"/>
          <w:b/>
          <w:bCs/>
          <w:lang w:eastAsia="zh-CN"/>
        </w:rPr>
        <w:t>：</w:t>
      </w:r>
      <w:r>
        <w:rPr>
          <w:rFonts w:hint="eastAsia"/>
        </w:rPr>
        <w:t>抛光后的猪胴体经滑轮导轨送至自动解剖线，由人工进行摘尾开肛、锯胸骨开膛、取出红、白内脏，红、白内脏单独收集后由内脏输送机送至红、白内脏处理间处理。自动解剖线设置有喷淋头，在解剖过程中水喷淋猪胴体去除污物。</w:t>
      </w:r>
    </w:p>
    <w:p>
      <w:pPr>
        <w:bidi w:val="0"/>
        <w:rPr>
          <w:rFonts w:hint="eastAsia"/>
          <w:lang w:eastAsia="zh-CN"/>
        </w:rPr>
      </w:pPr>
      <w:r>
        <w:rPr>
          <w:rFonts w:hint="eastAsia"/>
        </w:rPr>
        <w:t>该过程将产生清洗废水、恶臭、废弃动物组织和肠胃内容物。</w:t>
      </w:r>
    </w:p>
    <w:p>
      <w:pPr>
        <w:bidi w:val="0"/>
        <w:rPr>
          <w:rFonts w:hint="eastAsia"/>
        </w:rPr>
      </w:pPr>
      <w:r>
        <w:rPr>
          <w:rFonts w:hint="eastAsia"/>
          <w:b/>
          <w:bCs/>
          <w:lang w:val="en-US" w:eastAsia="zh-CN"/>
        </w:rPr>
        <w:t>（10）检疫：</w:t>
      </w:r>
      <w:r>
        <w:rPr>
          <w:rFonts w:hint="eastAsia"/>
        </w:rPr>
        <w:t>对猪胴体、内脏等实施同步卫生检验（人工观察检验），检验是否有肿瘤、病变等。不合格的猪胴体、内脏等，根据《中华人民共和国动物防疫法》、《畜禽屠宰卫生检疫规范》（</w:t>
      </w:r>
      <w:r>
        <w:rPr>
          <w:rFonts w:hint="default"/>
        </w:rPr>
        <w:t>NY467-2001</w:t>
      </w:r>
      <w:r>
        <w:rPr>
          <w:rFonts w:hint="eastAsia"/>
        </w:rPr>
        <w:t>）、《生猪屠宰产品品质检验规程》（</w:t>
      </w:r>
      <w:r>
        <w:rPr>
          <w:rFonts w:hint="default"/>
        </w:rPr>
        <w:t>GB/T17996-1999</w:t>
      </w:r>
      <w:r>
        <w:rPr>
          <w:rFonts w:hint="eastAsia"/>
        </w:rPr>
        <w:t>）、《生猪屠宰操作规程》（</w:t>
      </w:r>
      <w:r>
        <w:rPr>
          <w:rFonts w:hint="default"/>
        </w:rPr>
        <w:t>GB/T17236-1998</w:t>
      </w:r>
      <w:r>
        <w:rPr>
          <w:rFonts w:hint="eastAsia"/>
        </w:rPr>
        <w:t>）、《病害动物和病害动物产品生物安全处理规程》（</w:t>
      </w:r>
      <w:r>
        <w:rPr>
          <w:rFonts w:hint="default"/>
        </w:rPr>
        <w:t>GB16548-2006</w:t>
      </w:r>
      <w:r>
        <w:rPr>
          <w:rFonts w:hint="eastAsia"/>
        </w:rPr>
        <w:t>）等相关规定，由病猪通道送</w:t>
      </w:r>
      <w:r>
        <w:rPr>
          <w:rFonts w:hint="eastAsia"/>
          <w:lang w:val="en-US" w:eastAsia="zh-CN"/>
        </w:rPr>
        <w:t>至无害化暂存间</w:t>
      </w:r>
      <w:r>
        <w:rPr>
          <w:rFonts w:hint="eastAsia"/>
        </w:rPr>
        <w:t>处置。</w:t>
      </w:r>
    </w:p>
    <w:p>
      <w:pPr>
        <w:bidi w:val="0"/>
        <w:rPr>
          <w:rFonts w:hint="eastAsia"/>
          <w:lang w:val="en-US" w:eastAsia="zh-CN"/>
        </w:rPr>
      </w:pPr>
      <w:r>
        <w:rPr>
          <w:rFonts w:hint="eastAsia"/>
        </w:rPr>
        <w:t>该过程将产生恶臭、检疫不合格猪及病胴体、病内脏、废弃动物组织等。</w:t>
      </w:r>
    </w:p>
    <w:p>
      <w:pPr>
        <w:bidi w:val="0"/>
        <w:rPr>
          <w:rFonts w:hint="eastAsia"/>
        </w:rPr>
      </w:pPr>
      <w:r>
        <w:rPr>
          <w:rFonts w:hint="eastAsia"/>
          <w:b/>
          <w:bCs/>
        </w:rPr>
        <w:t>（</w:t>
      </w:r>
      <w:r>
        <w:rPr>
          <w:rFonts w:hint="default"/>
          <w:b/>
          <w:bCs/>
        </w:rPr>
        <w:t>11</w:t>
      </w:r>
      <w:r>
        <w:rPr>
          <w:rFonts w:hint="eastAsia"/>
          <w:b/>
          <w:bCs/>
        </w:rPr>
        <w:t>）去头蹄、劈半、清洗、检疫工序</w:t>
      </w:r>
      <w:r>
        <w:rPr>
          <w:rFonts w:hint="eastAsia"/>
          <w:b/>
          <w:bCs/>
          <w:lang w:eastAsia="zh-CN"/>
        </w:rPr>
        <w:t>：</w:t>
      </w:r>
      <w:r>
        <w:rPr>
          <w:rFonts w:hint="eastAsia"/>
        </w:rPr>
        <w:t>检疫合格的胴体去头蹄尾后，再经滑轮导轨送至锯半区，经机器人自动劈半机和带式劈半锯锯半，然后人工对锯半后的胴体进行修整（即去掉体内的血块、碎肉等），修整同时对胴体进行冲洗。</w:t>
      </w:r>
    </w:p>
    <w:p>
      <w:pPr>
        <w:bidi w:val="0"/>
        <w:rPr>
          <w:rFonts w:hint="eastAsia"/>
        </w:rPr>
      </w:pPr>
      <w:r>
        <w:rPr>
          <w:rFonts w:hint="eastAsia"/>
        </w:rPr>
        <w:t>冲洗后对肉品进行复检，即人工检查猪体内是否有旋毛虫等寄生虫，合格的分级盖章后部分直接送鲜销大厅外售，部分进入分割车间进行分割，不合格的由病猪通道送</w:t>
      </w:r>
      <w:r>
        <w:rPr>
          <w:rFonts w:hint="eastAsia"/>
          <w:lang w:eastAsia="zh-CN"/>
        </w:rPr>
        <w:t>无害化暂存间</w:t>
      </w:r>
      <w:r>
        <w:rPr>
          <w:rFonts w:hint="eastAsia"/>
        </w:rPr>
        <w:t>进行处置。</w:t>
      </w:r>
    </w:p>
    <w:p>
      <w:pPr>
        <w:bidi w:val="0"/>
        <w:rPr>
          <w:rFonts w:hint="default"/>
          <w:lang w:val="en-US" w:eastAsia="zh-CN"/>
        </w:rPr>
      </w:pPr>
      <w:r>
        <w:rPr>
          <w:rFonts w:hint="eastAsia"/>
        </w:rPr>
        <w:t>该过程将产生清洗废水、恶臭、废弃动物组织、病胴体等。</w:t>
      </w:r>
    </w:p>
    <w:p>
      <w:pPr>
        <w:spacing w:beforeLines="0" w:afterLines="0"/>
        <w:jc w:val="left"/>
        <w:rPr>
          <w:rFonts w:hint="eastAsia" w:ascii="宋体" w:hAnsi="宋体" w:eastAsia="宋体"/>
          <w:b/>
          <w:bCs/>
          <w:sz w:val="24"/>
        </w:rPr>
      </w:pPr>
      <w:r>
        <w:rPr>
          <w:rFonts w:hint="eastAsia" w:ascii="宋体" w:hAnsi="宋体" w:eastAsia="宋体"/>
          <w:b/>
          <w:bCs/>
          <w:sz w:val="24"/>
        </w:rPr>
        <w:t>本项目宰后检疫方法主要通过感官进行检查：</w:t>
      </w:r>
    </w:p>
    <w:p>
      <w:pPr>
        <w:bidi w:val="0"/>
        <w:rPr>
          <w:rFonts w:hint="eastAsia"/>
        </w:rPr>
      </w:pPr>
      <w:r>
        <w:rPr>
          <w:rFonts w:hint="eastAsia"/>
        </w:rPr>
        <w:t>头蹄及体表检查：视检体表的完整性、颜色，检查有无本规程规定疫病引起的皮肤病变、关节肿大等。观察吻突、齿龈和蹄部有无水疱、溃疡、烂斑等。放血后脱毛前，沿放血孔纵向切开下颌区，直到颌骨高峰区，剖开两侧下颌淋巴结，视检有无肿大、坏死灶（紫、黑、灰、黄），切面是否呈砖红色，周围有无水肿、胶样浸润等。剖检两侧咬肌，充分暴露剖面，检查有无猪囊尾蚴。</w:t>
      </w:r>
    </w:p>
    <w:p>
      <w:pPr>
        <w:bidi w:val="0"/>
        <w:rPr>
          <w:rFonts w:hint="eastAsia"/>
        </w:rPr>
      </w:pPr>
      <w:r>
        <w:rPr>
          <w:rFonts w:hint="eastAsia"/>
        </w:rPr>
        <w:t>内脏检查：取出内脏前，观察胸腔、腹腔有无积液、粘连、纤维素性渗出物。检查脾脏、肠系膜淋巴结有无肠炭疽。取出内脏后，检查心脏、肺脏、肝脏、脾脏、胃肠、支气管淋巴结、肝门淋巴结等。主要为视检各个内脏的形状、大小、色泽，触检弹性。心脏需视检心包，切开心包膜，检查有无变性、心包积液、渗出、淤血、出血、坏死等症状。肺脏剖开一侧支气管淋巴结，检查有无出血、淤血、肿胀、坏死等，必要时剖检气管、支气管。肝脏剖开肝门淋巴结，检查有无出血、淤血、肿胀、坏死等必要时剖检胆管。脾脏检查有无显著肿胀、淤血、颜色变暗、质地变脆、坏死灶、边缘出血性梗死、被膜隆起及粘连等，必要时剖检脾实质。视检胃肠浆膜，观察大小、色泽、质地，检查有无淤血、出血、坏死、胶冻样渗出物和粘连。对肠系膜淋巴结做长度不少于</w:t>
      </w:r>
      <w:r>
        <w:rPr>
          <w:rFonts w:hint="default"/>
        </w:rPr>
        <w:t>20</w:t>
      </w:r>
      <w:r>
        <w:rPr>
          <w:rFonts w:hint="eastAsia"/>
        </w:rPr>
        <w:t>厘米的弧形切口，检查有无增大、水肿、淤血、出血、坏死、溃疡等病变。必要时剖检胃肠，检查黏膜有无淤血、出血、水肿、坏死、溃疡。</w:t>
      </w:r>
    </w:p>
    <w:p>
      <w:pPr>
        <w:bidi w:val="0"/>
        <w:rPr>
          <w:rFonts w:hint="eastAsia"/>
        </w:rPr>
      </w:pPr>
      <w:r>
        <w:rPr>
          <w:rFonts w:hint="eastAsia"/>
        </w:rPr>
        <w:t>胴体检查：检查皮肤、皮下组织、脂肪、肌肉、淋巴结、骨骼以及胸腔、腹腔浆膜有无淤血、出血、疹块、黄染、脓肿和其他异常等。剖开腹部底壁皮下、后肢内侧、腹股沟皮下环附近的两侧腹股沟浅淋巴结，检查有无淤血、水肿、出血、坏死、增生等病变。必要时剖检腹股沟深淋巴结、髂下淋巴结及髂内淋巴结。沿荐椎与腰椎结合部两侧肌纤维方向切开</w:t>
      </w:r>
      <w:r>
        <w:rPr>
          <w:rFonts w:hint="default"/>
        </w:rPr>
        <w:t>10</w:t>
      </w:r>
      <w:r>
        <w:rPr>
          <w:rFonts w:hint="eastAsia"/>
        </w:rPr>
        <w:t>厘米左右切口，检查有无猪囊尾蚴。剥离两侧肾被膜，视检肾脏形状、大小、色泽，触检质地，观察有无贫血、出血、淤血、肿胀等病变。必要时纵向剖检肾脏，检查切面皮质部有无颜色变化、出血及隆起等。</w:t>
      </w:r>
    </w:p>
    <w:p>
      <w:pPr>
        <w:bidi w:val="0"/>
        <w:rPr>
          <w:rFonts w:hint="default"/>
          <w:lang w:val="en-US" w:eastAsia="zh-CN"/>
        </w:rPr>
      </w:pPr>
      <w:r>
        <w:rPr>
          <w:rFonts w:hint="eastAsia"/>
        </w:rPr>
        <w:t>旋毛虫检查：取左右膈脚各</w:t>
      </w:r>
      <w:r>
        <w:rPr>
          <w:rFonts w:hint="default"/>
        </w:rPr>
        <w:t>30</w:t>
      </w:r>
      <w:r>
        <w:rPr>
          <w:rFonts w:hint="eastAsia"/>
        </w:rPr>
        <w:t>克左右，与胴体编号一致，撕去肌膜，感官检查后镜检。</w:t>
      </w:r>
    </w:p>
    <w:p>
      <w:pPr>
        <w:pStyle w:val="6"/>
        <w:bidi w:val="0"/>
        <w:rPr>
          <w:rFonts w:hint="default"/>
          <w:lang w:val="en-US" w:eastAsia="zh-CN"/>
        </w:rPr>
      </w:pPr>
      <w:r>
        <w:rPr>
          <w:rFonts w:hint="eastAsia"/>
          <w:lang w:val="en-US" w:eastAsia="zh-CN"/>
        </w:rPr>
        <w:t>分割肉生产工艺</w:t>
      </w:r>
    </w:p>
    <w:p>
      <w:pPr>
        <w:pStyle w:val="29"/>
        <w:bidi w:val="0"/>
        <w:rPr>
          <w:rFonts w:hint="default"/>
          <w:lang w:val="en-US" w:eastAsia="zh-CN"/>
        </w:rPr>
      </w:pPr>
      <w:r>
        <w:drawing>
          <wp:anchor distT="0" distB="0" distL="114300" distR="114300" simplePos="0" relativeHeight="251661312" behindDoc="0" locked="0" layoutInCell="1" allowOverlap="1">
            <wp:simplePos x="0" y="0"/>
            <wp:positionH relativeFrom="column">
              <wp:posOffset>47625</wp:posOffset>
            </wp:positionH>
            <wp:positionV relativeFrom="paragraph">
              <wp:posOffset>47625</wp:posOffset>
            </wp:positionV>
            <wp:extent cx="5969635" cy="854075"/>
            <wp:effectExtent l="0" t="0" r="12065" b="3175"/>
            <wp:wrapTopAndBottom/>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5969635" cy="854075"/>
                    </a:xfrm>
                    <a:prstGeom prst="rect">
                      <a:avLst/>
                    </a:prstGeom>
                    <a:noFill/>
                    <a:ln>
                      <a:noFill/>
                    </a:ln>
                  </pic:spPr>
                </pic:pic>
              </a:graphicData>
            </a:graphic>
          </wp:anchor>
        </w:drawing>
      </w:r>
      <w:r>
        <w:rPr>
          <w:rFonts w:hint="eastAsia"/>
          <w:lang w:val="en-US" w:eastAsia="zh-CN"/>
        </w:rPr>
        <w:t xml:space="preserve">图3.2-2  </w:t>
      </w:r>
      <w:r>
        <w:rPr>
          <w:rFonts w:hint="eastAsia"/>
        </w:rPr>
        <w:t>分割肉生产工艺流程及产污环节图</w:t>
      </w:r>
    </w:p>
    <w:p>
      <w:pPr>
        <w:bidi w:val="0"/>
        <w:rPr>
          <w:rFonts w:hint="default"/>
          <w:b/>
          <w:bCs/>
          <w:lang w:val="en-US" w:eastAsia="zh-CN"/>
        </w:rPr>
      </w:pPr>
      <w:r>
        <w:rPr>
          <w:rFonts w:hint="eastAsia"/>
          <w:b/>
          <w:bCs/>
          <w:lang w:val="en-US" w:eastAsia="zh-CN"/>
        </w:rPr>
        <w:t>（1）排酸</w:t>
      </w:r>
    </w:p>
    <w:p>
      <w:pPr>
        <w:bidi w:val="0"/>
        <w:rPr>
          <w:rFonts w:hint="eastAsia"/>
        </w:rPr>
      </w:pPr>
      <w:r>
        <w:rPr>
          <w:rFonts w:hint="eastAsia"/>
        </w:rPr>
        <w:t>合格的白条肉送至排酸间进行排酸，排酸温度为</w:t>
      </w:r>
      <w:r>
        <w:rPr>
          <w:rFonts w:hint="default"/>
        </w:rPr>
        <w:t>0-4</w:t>
      </w:r>
      <w:r>
        <w:rPr>
          <w:rFonts w:hint="default" w:ascii="Times New Roman" w:hAnsi="Times New Roman" w:cs="Times New Roman"/>
        </w:rPr>
        <w:t>℃</w:t>
      </w:r>
      <w:r>
        <w:rPr>
          <w:rFonts w:hint="eastAsia"/>
        </w:rPr>
        <w:t>，排酸时间为</w:t>
      </w:r>
      <w:r>
        <w:rPr>
          <w:rFonts w:hint="default"/>
        </w:rPr>
        <w:t>24</w:t>
      </w:r>
      <w:r>
        <w:rPr>
          <w:rFonts w:hint="eastAsia"/>
        </w:rPr>
        <w:t>小时。</w:t>
      </w:r>
    </w:p>
    <w:p>
      <w:pPr>
        <w:bidi w:val="0"/>
        <w:rPr>
          <w:rFonts w:hint="eastAsia"/>
        </w:rPr>
      </w:pPr>
      <w:r>
        <w:rPr>
          <w:rFonts w:hint="eastAsia"/>
        </w:rPr>
        <w:t>排酸是指生猪屠宰经自然冷却至常温后，将</w:t>
      </w:r>
      <w:r>
        <w:rPr>
          <w:rFonts w:hint="eastAsia"/>
          <w:lang w:eastAsia="zh-CN"/>
        </w:rPr>
        <w:t>两份</w:t>
      </w:r>
      <w:r>
        <w:rPr>
          <w:rFonts w:hint="eastAsia"/>
        </w:rPr>
        <w:t>胴体送入冷却间，在一定的温度、湿度和风速下将肉中的乳酸成分分解为二氧化碳、水和酒精，然后挥发掉，同时细胞内的大分子三磷酸腺苷在酶的作用下分解为鲜味物质基苷</w:t>
      </w:r>
      <w:r>
        <w:rPr>
          <w:rFonts w:hint="default"/>
        </w:rPr>
        <w:t>IMP</w:t>
      </w:r>
      <w:r>
        <w:rPr>
          <w:rFonts w:hint="eastAsia"/>
        </w:rPr>
        <w:t>（味精的主要成分），经过排酸后的肉的口感得到了极大改善，味道鲜嫩，肉的酸碱度被改变，新陈代谢产物被最大程度地分解和排出，从而达到无害化，同时改变了肉的分子结构，有利于人体的吸收和消化。</w:t>
      </w:r>
    </w:p>
    <w:p>
      <w:pPr>
        <w:bidi w:val="0"/>
        <w:rPr>
          <w:rFonts w:hint="default"/>
          <w:lang w:val="en-US" w:eastAsia="zh-CN"/>
        </w:rPr>
      </w:pPr>
      <w:r>
        <w:rPr>
          <w:rFonts w:hint="eastAsia"/>
        </w:rPr>
        <w:t>该过程不会产生污染物。</w:t>
      </w:r>
    </w:p>
    <w:p>
      <w:pPr>
        <w:bidi w:val="0"/>
        <w:rPr>
          <w:rFonts w:hint="default"/>
          <w:b/>
          <w:bCs/>
          <w:lang w:val="en-US" w:eastAsia="zh-CN"/>
        </w:rPr>
      </w:pPr>
      <w:r>
        <w:rPr>
          <w:rFonts w:hint="eastAsia"/>
          <w:b/>
          <w:bCs/>
          <w:lang w:val="en-US" w:eastAsia="zh-CN"/>
        </w:rPr>
        <w:t>（2）分割</w:t>
      </w:r>
    </w:p>
    <w:p>
      <w:pPr>
        <w:bidi w:val="0"/>
        <w:rPr>
          <w:rFonts w:hint="eastAsia"/>
        </w:rPr>
      </w:pPr>
      <w:r>
        <w:rPr>
          <w:rFonts w:hint="eastAsia"/>
        </w:rPr>
        <w:t>排酸后的白条肉由分段输送线输送至分段锯工作台，采用卧式分段锯将白条肉分成</w:t>
      </w:r>
      <w:r>
        <w:rPr>
          <w:rFonts w:hint="default"/>
        </w:rPr>
        <w:t>3</w:t>
      </w:r>
      <w:r>
        <w:rPr>
          <w:rFonts w:hint="eastAsia"/>
        </w:rPr>
        <w:t>段，通过分割输送线传送至分割人员的工位，再由分割人员分割成各个部位肉。</w:t>
      </w:r>
    </w:p>
    <w:p>
      <w:pPr>
        <w:bidi w:val="0"/>
        <w:rPr>
          <w:rFonts w:hint="default"/>
          <w:lang w:val="en-US" w:eastAsia="zh-CN"/>
        </w:rPr>
      </w:pPr>
      <w:r>
        <w:rPr>
          <w:rFonts w:hint="eastAsia"/>
        </w:rPr>
        <w:t>该过程将产生碎肉、碎骨等。</w:t>
      </w:r>
    </w:p>
    <w:p>
      <w:pPr>
        <w:bidi w:val="0"/>
        <w:rPr>
          <w:rFonts w:hint="default"/>
          <w:b/>
          <w:bCs/>
          <w:lang w:val="en-US" w:eastAsia="zh-CN"/>
        </w:rPr>
      </w:pPr>
      <w:r>
        <w:rPr>
          <w:rFonts w:hint="eastAsia"/>
          <w:b/>
          <w:bCs/>
          <w:lang w:val="en-US" w:eastAsia="zh-CN"/>
        </w:rPr>
        <w:t>（3）包装、急冻、冷藏</w:t>
      </w:r>
    </w:p>
    <w:p>
      <w:pPr>
        <w:bidi w:val="0"/>
        <w:rPr>
          <w:rFonts w:hint="eastAsia"/>
        </w:rPr>
      </w:pPr>
      <w:r>
        <w:rPr>
          <w:rFonts w:hint="eastAsia"/>
        </w:rPr>
        <w:t>分割好的部位肉人工称重包装后送入速冻间（</w:t>
      </w:r>
      <w:r>
        <w:rPr>
          <w:rFonts w:hint="default"/>
        </w:rPr>
        <w:t>-35℃</w:t>
      </w:r>
      <w:r>
        <w:rPr>
          <w:rFonts w:hint="eastAsia"/>
        </w:rPr>
        <w:t>）进行急冻后外销，不能及时外销的送入冷藏库</w:t>
      </w:r>
      <w:r>
        <w:rPr>
          <w:rFonts w:hint="eastAsia"/>
          <w:lang w:eastAsia="zh-CN"/>
        </w:rPr>
        <w:t>（</w:t>
      </w:r>
      <w:r>
        <w:rPr>
          <w:rFonts w:hint="default"/>
        </w:rPr>
        <w:t>-28℃</w:t>
      </w:r>
      <w:r>
        <w:rPr>
          <w:rFonts w:hint="eastAsia"/>
          <w:lang w:eastAsia="zh-CN"/>
        </w:rPr>
        <w:t>）</w:t>
      </w:r>
      <w:r>
        <w:rPr>
          <w:rFonts w:hint="eastAsia"/>
        </w:rPr>
        <w:t>冷藏。</w:t>
      </w:r>
    </w:p>
    <w:p>
      <w:pPr>
        <w:bidi w:val="0"/>
        <w:rPr>
          <w:rFonts w:hint="default"/>
          <w:lang w:val="en-US" w:eastAsia="zh-CN"/>
        </w:rPr>
      </w:pPr>
      <w:r>
        <w:rPr>
          <w:rFonts w:hint="eastAsia" w:ascii="宋体" w:hAnsi="宋体" w:eastAsia="宋体"/>
          <w:sz w:val="24"/>
        </w:rPr>
        <w:t>该过程将产生废包装材料。</w:t>
      </w:r>
    </w:p>
    <w:p>
      <w:pPr>
        <w:bidi w:val="0"/>
        <w:rPr>
          <w:rFonts w:hint="eastAsia"/>
          <w:b/>
          <w:bCs/>
        </w:rPr>
      </w:pPr>
      <w:r>
        <w:rPr>
          <w:rFonts w:hint="eastAsia"/>
          <w:b/>
          <w:bCs/>
        </w:rPr>
        <w:t>（</w:t>
      </w:r>
      <w:r>
        <w:rPr>
          <w:rFonts w:hint="default"/>
          <w:b/>
          <w:bCs/>
        </w:rPr>
        <w:t>4</w:t>
      </w:r>
      <w:r>
        <w:rPr>
          <w:rFonts w:hint="eastAsia"/>
          <w:b/>
          <w:bCs/>
        </w:rPr>
        <w:t>）车间消毒</w:t>
      </w:r>
    </w:p>
    <w:p>
      <w:pPr>
        <w:bidi w:val="0"/>
        <w:rPr>
          <w:rFonts w:hint="default"/>
          <w:lang w:val="en-US" w:eastAsia="zh-CN"/>
        </w:rPr>
      </w:pPr>
      <w:r>
        <w:rPr>
          <w:rFonts w:hint="eastAsia"/>
        </w:rPr>
        <w:t>每天生产结束后，员工将用喷雾器对</w:t>
      </w:r>
      <w:r>
        <w:rPr>
          <w:rFonts w:hint="eastAsia"/>
          <w:lang w:eastAsia="zh-CN"/>
        </w:rPr>
        <w:t>待宰圈</w:t>
      </w:r>
      <w:r>
        <w:rPr>
          <w:rFonts w:hint="eastAsia"/>
        </w:rPr>
        <w:t>、屠宰车间等处进行消毒。</w:t>
      </w:r>
    </w:p>
    <w:p>
      <w:pPr>
        <w:pStyle w:val="6"/>
        <w:bidi w:val="0"/>
        <w:rPr>
          <w:rFonts w:hint="default"/>
          <w:lang w:val="en-US" w:eastAsia="zh-CN"/>
        </w:rPr>
      </w:pPr>
      <w:r>
        <w:rPr>
          <w:rFonts w:hint="eastAsia"/>
          <w:lang w:val="en-US" w:eastAsia="zh-CN"/>
        </w:rPr>
        <w:t>副产品整理工艺</w:t>
      </w:r>
    </w:p>
    <w:p>
      <w:pPr>
        <w:bidi w:val="0"/>
        <w:rPr>
          <w:rFonts w:hint="default"/>
          <w:lang w:val="en-US" w:eastAsia="zh-CN"/>
        </w:rPr>
      </w:pPr>
      <w:r>
        <w:drawing>
          <wp:inline distT="0" distB="0" distL="114300" distR="114300">
            <wp:extent cx="5968365" cy="3898900"/>
            <wp:effectExtent l="0" t="0" r="13335" b="635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a:stretch>
                      <a:fillRect/>
                    </a:stretch>
                  </pic:blipFill>
                  <pic:spPr>
                    <a:xfrm>
                      <a:off x="0" y="0"/>
                      <a:ext cx="5968365" cy="3898900"/>
                    </a:xfrm>
                    <a:prstGeom prst="rect">
                      <a:avLst/>
                    </a:prstGeom>
                    <a:noFill/>
                    <a:ln>
                      <a:noFill/>
                    </a:ln>
                  </pic:spPr>
                </pic:pic>
              </a:graphicData>
            </a:graphic>
          </wp:inline>
        </w:drawing>
      </w:r>
    </w:p>
    <w:p>
      <w:pPr>
        <w:pStyle w:val="29"/>
        <w:bidi w:val="0"/>
        <w:rPr>
          <w:rFonts w:hint="default"/>
          <w:lang w:val="en-US" w:eastAsia="zh-CN"/>
        </w:rPr>
      </w:pPr>
      <w:r>
        <w:rPr>
          <w:rFonts w:hint="eastAsia"/>
          <w:lang w:val="en-US" w:eastAsia="zh-CN"/>
        </w:rPr>
        <w:t xml:space="preserve">图3.2-3  </w:t>
      </w:r>
      <w:r>
        <w:rPr>
          <w:rFonts w:hint="eastAsia"/>
        </w:rPr>
        <w:t>副产品加工工艺流程及产污环节图</w:t>
      </w:r>
    </w:p>
    <w:p>
      <w:pPr>
        <w:bidi w:val="0"/>
        <w:rPr>
          <w:rFonts w:hint="eastAsia"/>
        </w:rPr>
      </w:pPr>
      <w:r>
        <w:rPr>
          <w:rFonts w:hint="eastAsia"/>
          <w:b/>
          <w:bCs/>
        </w:rPr>
        <w:t>红、白内脏：</w:t>
      </w:r>
      <w:r>
        <w:rPr>
          <w:rFonts w:hint="eastAsia"/>
        </w:rPr>
        <w:t>红、白内脏送入内脏整理车间后，先由人工分离内脏、板油和不可食用内脏等。白内脏经人工清粪，红内脏经人工修整（剔除油渣，规整整齐），然后再用清水进行清洗。清洗过程采用喷淋装置。清洗后放置在暂存区域沥水后称重外售。</w:t>
      </w:r>
    </w:p>
    <w:p>
      <w:pPr>
        <w:bidi w:val="0"/>
        <w:rPr>
          <w:rFonts w:hint="eastAsia"/>
        </w:rPr>
      </w:pPr>
      <w:r>
        <w:rPr>
          <w:rFonts w:hint="eastAsia"/>
        </w:rPr>
        <w:t>该过程将产生清洗废水、恶臭、不可食用内脏、猪粪和肠胃内容物等。</w:t>
      </w:r>
    </w:p>
    <w:p>
      <w:pPr>
        <w:bidi w:val="0"/>
        <w:rPr>
          <w:rFonts w:hint="eastAsia"/>
        </w:rPr>
      </w:pPr>
      <w:r>
        <w:rPr>
          <w:rFonts w:hint="eastAsia"/>
          <w:b/>
          <w:bCs/>
        </w:rPr>
        <w:t>板油：</w:t>
      </w:r>
      <w:r>
        <w:rPr>
          <w:rFonts w:hint="eastAsia"/>
        </w:rPr>
        <w:t>板油经分离后送至板油处理间，经人工修整（剔除碎渣，规整整齐）后称重外售。</w:t>
      </w:r>
    </w:p>
    <w:p>
      <w:pPr>
        <w:bidi w:val="0"/>
        <w:rPr>
          <w:rFonts w:hint="eastAsia"/>
        </w:rPr>
      </w:pPr>
      <w:r>
        <w:rPr>
          <w:rFonts w:hint="eastAsia"/>
        </w:rPr>
        <w:t>该过程将产生恶臭、废弃动物组织。</w:t>
      </w:r>
    </w:p>
    <w:p>
      <w:pPr>
        <w:bidi w:val="0"/>
        <w:rPr>
          <w:rFonts w:hint="eastAsia"/>
        </w:rPr>
      </w:pPr>
      <w:r>
        <w:rPr>
          <w:rFonts w:hint="eastAsia"/>
          <w:b/>
          <w:bCs/>
        </w:rPr>
        <w:t>头蹄尾：</w:t>
      </w:r>
      <w:r>
        <w:rPr>
          <w:rFonts w:hint="eastAsia"/>
        </w:rPr>
        <w:t>头蹄尾暂存于猪头、蹄尾暂存间后直接外售。该过程将产生恶臭。</w:t>
      </w:r>
    </w:p>
    <w:p>
      <w:pPr>
        <w:bidi w:val="0"/>
        <w:rPr>
          <w:rFonts w:hint="default"/>
          <w:lang w:val="en-US" w:eastAsia="zh-CN"/>
        </w:rPr>
      </w:pPr>
      <w:r>
        <w:rPr>
          <w:rFonts w:hint="eastAsia"/>
          <w:b/>
          <w:bCs/>
        </w:rPr>
        <w:t>猪血：</w:t>
      </w:r>
      <w:r>
        <w:rPr>
          <w:rFonts w:hint="eastAsia"/>
        </w:rPr>
        <w:t>猪血经放血槽收集后由管道抽入位于猪血暂存间的制冷罐（</w:t>
      </w:r>
      <w:r>
        <w:rPr>
          <w:rFonts w:hint="default"/>
        </w:rPr>
        <w:t>6t</w:t>
      </w:r>
      <w:r>
        <w:rPr>
          <w:rFonts w:hint="eastAsia"/>
        </w:rPr>
        <w:t>）内暂存，每日外售。</w:t>
      </w:r>
    </w:p>
    <w:p>
      <w:pPr>
        <w:bidi w:val="0"/>
        <w:rPr>
          <w:rFonts w:hint="default"/>
          <w:lang w:val="en-US" w:eastAsia="zh-CN"/>
        </w:rPr>
      </w:pPr>
      <w:r>
        <w:rPr>
          <w:rFonts w:hint="eastAsia"/>
          <w:b/>
          <w:bCs/>
        </w:rPr>
        <w:t>猪毛、蹄壳：</w:t>
      </w:r>
      <w:r>
        <w:rPr>
          <w:rFonts w:hint="eastAsia"/>
        </w:rPr>
        <w:t>人工装袋后直接外售。该过程将产生恶臭。</w:t>
      </w:r>
    </w:p>
    <w:p>
      <w:pPr>
        <w:pStyle w:val="5"/>
        <w:bidi w:val="0"/>
        <w:rPr>
          <w:rFonts w:hint="default"/>
          <w:lang w:val="en-US" w:eastAsia="zh-CN"/>
        </w:rPr>
      </w:pPr>
      <w:r>
        <w:rPr>
          <w:rFonts w:hint="eastAsia"/>
          <w:lang w:val="en-US" w:eastAsia="zh-CN"/>
        </w:rPr>
        <w:t>肉牛屠宰工艺流程</w:t>
      </w:r>
    </w:p>
    <w:p>
      <w:pPr>
        <w:spacing w:beforeLines="0" w:afterLines="0"/>
        <w:jc w:val="left"/>
        <w:rPr>
          <w:rFonts w:hint="default"/>
          <w:lang w:val="en-US" w:eastAsia="zh-CN"/>
        </w:rPr>
      </w:pPr>
      <w:r>
        <w:rPr>
          <w:rFonts w:hint="eastAsia" w:ascii="宋体" w:hAnsi="宋体" w:eastAsia="宋体"/>
          <w:sz w:val="24"/>
        </w:rPr>
        <w:t>本项目运营期产生的污染物包括待宰圈及屠宰车间产生的恶臭、屠宰废水、屠宰垃圾、生活污水、生活垃圾、污水站污泥等。项目屠宰在屠宰车间进行，红白脏及蹄、头加工在内脏处理间进行。</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29"/>
        <w:bidi w:val="0"/>
        <w:rPr>
          <w:rFonts w:hint="default"/>
          <w:lang w:val="en-US" w:eastAsia="zh-CN"/>
        </w:rPr>
      </w:pPr>
      <w:r>
        <w:rPr>
          <w:rFonts w:hint="eastAsia"/>
          <w:lang w:val="en-US" w:eastAsia="zh-CN"/>
        </w:rPr>
        <w:drawing>
          <wp:anchor distT="0" distB="0" distL="114300" distR="114300" simplePos="0" relativeHeight="251671552" behindDoc="0" locked="0" layoutInCell="1" allowOverlap="1">
            <wp:simplePos x="0" y="0"/>
            <wp:positionH relativeFrom="column">
              <wp:posOffset>-213995</wp:posOffset>
            </wp:positionH>
            <wp:positionV relativeFrom="paragraph">
              <wp:posOffset>35560</wp:posOffset>
            </wp:positionV>
            <wp:extent cx="6148705" cy="6875780"/>
            <wp:effectExtent l="0" t="0" r="4445" b="1270"/>
            <wp:wrapTopAndBottom/>
            <wp:docPr id="26" name="图片 26"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工具 Model (1)"/>
                    <pic:cNvPicPr>
                      <a:picLocks noChangeAspect="1"/>
                    </pic:cNvPicPr>
                  </pic:nvPicPr>
                  <pic:blipFill>
                    <a:blip r:embed="rId18"/>
                    <a:srcRect t="10385" b="10540"/>
                    <a:stretch>
                      <a:fillRect/>
                    </a:stretch>
                  </pic:blipFill>
                  <pic:spPr>
                    <a:xfrm>
                      <a:off x="0" y="0"/>
                      <a:ext cx="6148705" cy="6875780"/>
                    </a:xfrm>
                    <a:prstGeom prst="rect">
                      <a:avLst/>
                    </a:prstGeom>
                  </pic:spPr>
                </pic:pic>
              </a:graphicData>
            </a:graphic>
          </wp:anchor>
        </w:drawing>
      </w:r>
      <w:r>
        <w:rPr>
          <w:rFonts w:hint="eastAsia"/>
          <w:lang w:val="en-US" w:eastAsia="zh-CN"/>
        </w:rPr>
        <w:t>图3.2-4  肉牛屠宰生产工艺流程及产污位置图</w:t>
      </w:r>
    </w:p>
    <w:p>
      <w:pPr>
        <w:numPr>
          <w:ilvl w:val="0"/>
          <w:numId w:val="0"/>
        </w:numPr>
        <w:bidi w:val="0"/>
        <w:rPr>
          <w:rFonts w:hint="eastAsia"/>
          <w:lang w:val="en-US" w:eastAsia="zh-CN"/>
        </w:rPr>
      </w:pPr>
    </w:p>
    <w:p>
      <w:pPr>
        <w:pStyle w:val="29"/>
        <w:bidi w:val="0"/>
        <w:rPr>
          <w:rFonts w:hint="eastAsia"/>
          <w:lang w:val="en-US" w:eastAsia="zh-CN"/>
        </w:rPr>
      </w:pPr>
      <w:r>
        <w:rPr>
          <w:rFonts w:hint="eastAsia"/>
          <w:lang w:val="en-US" w:eastAsia="zh-CN"/>
        </w:rPr>
        <w:t>图3.2-5  内脏加工工艺流程及产污位置图</w:t>
      </w:r>
      <w:r>
        <w:rPr>
          <w:rFonts w:hint="eastAsia"/>
          <w:lang w:val="en-US" w:eastAsia="zh-CN"/>
        </w:rPr>
        <w:drawing>
          <wp:anchor distT="0" distB="0" distL="114300" distR="114300" simplePos="0" relativeHeight="251662336" behindDoc="0" locked="0" layoutInCell="1" allowOverlap="1">
            <wp:simplePos x="0" y="0"/>
            <wp:positionH relativeFrom="column">
              <wp:posOffset>200025</wp:posOffset>
            </wp:positionH>
            <wp:positionV relativeFrom="paragraph">
              <wp:posOffset>45720</wp:posOffset>
            </wp:positionV>
            <wp:extent cx="5551805" cy="1224915"/>
            <wp:effectExtent l="0" t="0" r="10795" b="13335"/>
            <wp:wrapTopAndBottom/>
            <wp:docPr id="6" name="图片 6"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具 Model (1)"/>
                    <pic:cNvPicPr>
                      <a:picLocks noChangeAspect="1"/>
                    </pic:cNvPicPr>
                  </pic:nvPicPr>
                  <pic:blipFill>
                    <a:blip r:embed="rId19"/>
                    <a:stretch>
                      <a:fillRect/>
                    </a:stretch>
                  </pic:blipFill>
                  <pic:spPr>
                    <a:xfrm>
                      <a:off x="0" y="0"/>
                      <a:ext cx="5551805" cy="1224915"/>
                    </a:xfrm>
                    <a:prstGeom prst="rect">
                      <a:avLst/>
                    </a:prstGeom>
                  </pic:spPr>
                </pic:pic>
              </a:graphicData>
            </a:graphic>
          </wp:anchor>
        </w:drawing>
      </w:r>
    </w:p>
    <w:p>
      <w:pPr>
        <w:pStyle w:val="29"/>
        <w:bidi w:val="0"/>
        <w:rPr>
          <w:rFonts w:hint="default"/>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-9525</wp:posOffset>
            </wp:positionH>
            <wp:positionV relativeFrom="paragraph">
              <wp:posOffset>78105</wp:posOffset>
            </wp:positionV>
            <wp:extent cx="5966460" cy="822325"/>
            <wp:effectExtent l="0" t="0" r="15240" b="15875"/>
            <wp:wrapTopAndBottom/>
            <wp:docPr id="11" name="图片 11"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具 Model (1)"/>
                    <pic:cNvPicPr>
                      <a:picLocks noChangeAspect="1"/>
                    </pic:cNvPicPr>
                  </pic:nvPicPr>
                  <pic:blipFill>
                    <a:blip r:embed="rId20"/>
                    <a:stretch>
                      <a:fillRect/>
                    </a:stretch>
                  </pic:blipFill>
                  <pic:spPr>
                    <a:xfrm>
                      <a:off x="0" y="0"/>
                      <a:ext cx="5966460" cy="822325"/>
                    </a:xfrm>
                    <a:prstGeom prst="rect">
                      <a:avLst/>
                    </a:prstGeom>
                  </pic:spPr>
                </pic:pic>
              </a:graphicData>
            </a:graphic>
          </wp:anchor>
        </w:drawing>
      </w:r>
      <w:r>
        <w:rPr>
          <w:rFonts w:hint="eastAsia"/>
          <w:lang w:val="en-US" w:eastAsia="zh-CN"/>
        </w:rPr>
        <w:t>图3.2-6  蹄加工工艺流程及产污位置图</w:t>
      </w:r>
    </w:p>
    <w:p>
      <w:pPr>
        <w:bidi w:val="0"/>
        <w:rPr>
          <w:rFonts w:hint="default"/>
          <w:b/>
          <w:bCs/>
          <w:lang w:val="en-US" w:eastAsia="zh-CN"/>
        </w:rPr>
      </w:pPr>
      <w:r>
        <w:rPr>
          <w:rFonts w:hint="eastAsia"/>
          <w:b/>
          <w:bCs/>
          <w:lang w:val="en-US" w:eastAsia="zh-CN"/>
        </w:rPr>
        <w:t>肉牛屠宰工艺流程说明：</w:t>
      </w:r>
    </w:p>
    <w:p>
      <w:pPr>
        <w:bidi w:val="0"/>
        <w:rPr>
          <w:rFonts w:hint="eastAsia"/>
        </w:rPr>
      </w:pPr>
      <w:r>
        <w:rPr>
          <w:rFonts w:hint="eastAsia"/>
          <w:b/>
          <w:bCs/>
          <w:lang w:val="en-US" w:eastAsia="zh-CN"/>
        </w:rPr>
        <w:t>（1）宰前处理：</w:t>
      </w:r>
      <w:r>
        <w:rPr>
          <w:rFonts w:hint="eastAsia"/>
        </w:rPr>
        <w:t>肉牛在屠宰前被运到屠宰厂，肉牛入场后不对肉牛进行喂食，并保证及时进行宰杀，肉牛在厂内停留时间不超过24小时。</w:t>
      </w:r>
    </w:p>
    <w:p>
      <w:pPr>
        <w:bidi w:val="0"/>
        <w:rPr>
          <w:rFonts w:hint="default"/>
          <w:lang w:val="en-US" w:eastAsia="zh-CN"/>
        </w:rPr>
      </w:pPr>
      <w:r>
        <w:rPr>
          <w:rFonts w:hint="eastAsia"/>
          <w:lang w:val="en-US" w:eastAsia="zh-CN"/>
        </w:rPr>
        <w:t>该过程产生恶臭、牛粪、待宰圈冲洗废水。</w:t>
      </w:r>
    </w:p>
    <w:p>
      <w:pPr>
        <w:bidi w:val="0"/>
        <w:rPr>
          <w:rFonts w:hint="default"/>
          <w:lang w:val="en-US" w:eastAsia="zh-CN"/>
        </w:rPr>
      </w:pPr>
      <w:r>
        <w:rPr>
          <w:rFonts w:hint="eastAsia"/>
          <w:b/>
          <w:bCs/>
          <w:lang w:val="en-US" w:eastAsia="zh-CN"/>
        </w:rPr>
        <w:t>（2）</w:t>
      </w:r>
      <w:r>
        <w:rPr>
          <w:rFonts w:hint="eastAsia"/>
          <w:b/>
          <w:bCs/>
        </w:rPr>
        <w:t>宰前检验：</w:t>
      </w:r>
      <w:r>
        <w:rPr>
          <w:rFonts w:hint="eastAsia"/>
        </w:rPr>
        <w:t>宰前检验的目的是通过检疫、检测，以控制各种疫病的传入和扩散，减少污染，维护产品质量。它包括以下三个环节：进厂检疫、候宰检查、宰前检疫。</w:t>
      </w:r>
    </w:p>
    <w:p>
      <w:pPr>
        <w:bidi w:val="0"/>
        <w:rPr>
          <w:rFonts w:hint="default"/>
          <w:lang w:val="en-US" w:eastAsia="zh-CN"/>
        </w:rPr>
      </w:pPr>
      <w:r>
        <w:rPr>
          <w:rFonts w:hint="eastAsia"/>
        </w:rPr>
        <w:t>检疫过程中如发现突发性、传染性疫病的肉牛，禁止进厂。对于确认为符合《病害动物和病害动物产品生物安全处理规程》</w:t>
      </w:r>
      <w:r>
        <w:rPr>
          <w:rFonts w:hint="eastAsia"/>
          <w:lang w:eastAsia="zh-CN"/>
        </w:rPr>
        <w:t>（</w:t>
      </w:r>
      <w:r>
        <w:rPr>
          <w:rFonts w:hint="eastAsia"/>
        </w:rPr>
        <w:t>16548-2006</w:t>
      </w:r>
      <w:r>
        <w:rPr>
          <w:rFonts w:hint="eastAsia"/>
          <w:lang w:eastAsia="zh-CN"/>
        </w:rPr>
        <w:t>）</w:t>
      </w:r>
      <w:r>
        <w:rPr>
          <w:rFonts w:hint="eastAsia"/>
        </w:rPr>
        <w:t>中3.2.1条规定，如确认为口蹄疫、牛瘟、牛传染性胸膜肺炎、牛海绵状脑病等应该销毁的病害牛，严禁入厂；若是传染性疾病死亡的肉牛则应上报上级部门进行检查处理，并由上级主管部门制定处理方案。检疫后未发现有疫病的肉牛正常进入屠宰流程。</w:t>
      </w:r>
    </w:p>
    <w:p>
      <w:pPr>
        <w:bidi w:val="0"/>
        <w:rPr>
          <w:rFonts w:hint="default"/>
          <w:lang w:val="en-US" w:eastAsia="zh-CN"/>
        </w:rPr>
      </w:pPr>
      <w:r>
        <w:rPr>
          <w:rFonts w:hint="eastAsia"/>
          <w:lang w:val="en-US" w:eastAsia="zh-CN"/>
        </w:rPr>
        <w:t>该过程产生恶臭和不合格肉牛。</w:t>
      </w:r>
    </w:p>
    <w:p>
      <w:pPr>
        <w:bidi w:val="0"/>
        <w:rPr>
          <w:rFonts w:hint="eastAsia"/>
        </w:rPr>
      </w:pPr>
      <w:r>
        <w:rPr>
          <w:rFonts w:hint="eastAsia"/>
          <w:b/>
          <w:bCs/>
          <w:lang w:eastAsia="zh-CN"/>
        </w:rPr>
        <w:t>（</w:t>
      </w:r>
      <w:r>
        <w:rPr>
          <w:rFonts w:hint="eastAsia"/>
          <w:b/>
          <w:bCs/>
          <w:lang w:val="en-US" w:eastAsia="zh-CN"/>
        </w:rPr>
        <w:t>3</w:t>
      </w:r>
      <w:r>
        <w:rPr>
          <w:rFonts w:hint="eastAsia"/>
          <w:b/>
          <w:bCs/>
          <w:lang w:eastAsia="zh-CN"/>
        </w:rPr>
        <w:t>）</w:t>
      </w:r>
      <w:r>
        <w:rPr>
          <w:rFonts w:hint="eastAsia"/>
          <w:b/>
          <w:bCs/>
        </w:rPr>
        <w:t>冲淋：</w:t>
      </w:r>
      <w:r>
        <w:rPr>
          <w:rFonts w:hint="eastAsia"/>
        </w:rPr>
        <w:t>对检疫合格的肉牛进行冲淋，以减少屠宰过程中肉牛身上附着物对肉牛胴体的污染。</w:t>
      </w:r>
    </w:p>
    <w:p>
      <w:pPr>
        <w:bidi w:val="0"/>
        <w:rPr>
          <w:rFonts w:hint="default"/>
          <w:lang w:val="en-US" w:eastAsia="zh-CN"/>
        </w:rPr>
      </w:pPr>
      <w:r>
        <w:rPr>
          <w:rFonts w:hint="eastAsia"/>
          <w:lang w:val="en-US" w:eastAsia="zh-CN"/>
        </w:rPr>
        <w:t>该过程产生冲淋废水、粪便及恶臭</w:t>
      </w:r>
    </w:p>
    <w:p>
      <w:pPr>
        <w:bidi w:val="0"/>
        <w:rPr>
          <w:rFonts w:hint="eastAsia"/>
        </w:rPr>
      </w:pPr>
      <w:r>
        <w:rPr>
          <w:rFonts w:hint="eastAsia"/>
          <w:b/>
          <w:bCs/>
          <w:lang w:eastAsia="zh-CN"/>
        </w:rPr>
        <w:t>（</w:t>
      </w:r>
      <w:r>
        <w:rPr>
          <w:rFonts w:hint="eastAsia"/>
          <w:b/>
          <w:bCs/>
          <w:lang w:val="en-US" w:eastAsia="zh-CN"/>
        </w:rPr>
        <w:t>4</w:t>
      </w:r>
      <w:r>
        <w:rPr>
          <w:rFonts w:hint="eastAsia"/>
          <w:b/>
          <w:bCs/>
          <w:lang w:eastAsia="zh-CN"/>
        </w:rPr>
        <w:t>）</w:t>
      </w:r>
      <w:r>
        <w:rPr>
          <w:rFonts w:hint="eastAsia"/>
          <w:b/>
          <w:bCs/>
        </w:rPr>
        <w:t>击晕：</w:t>
      </w:r>
      <w:r>
        <w:rPr>
          <w:rFonts w:hint="eastAsia"/>
        </w:rPr>
        <w:t>将待宰肉牛赶入屠宰车间，固定牛头后，棒击至牛昏迷。</w:t>
      </w:r>
    </w:p>
    <w:p>
      <w:pPr>
        <w:bidi w:val="0"/>
        <w:rPr>
          <w:rFonts w:hint="default"/>
          <w:lang w:val="en-US" w:eastAsia="zh-CN"/>
        </w:rPr>
      </w:pPr>
      <w:r>
        <w:rPr>
          <w:rFonts w:hint="eastAsia"/>
          <w:lang w:val="en-US" w:eastAsia="zh-CN"/>
        </w:rPr>
        <w:t>该过程产生噪声。</w:t>
      </w:r>
    </w:p>
    <w:p>
      <w:pPr>
        <w:bidi w:val="0"/>
        <w:rPr>
          <w:rFonts w:hint="eastAsia"/>
        </w:rPr>
      </w:pPr>
      <w:r>
        <w:rPr>
          <w:rFonts w:hint="eastAsia"/>
          <w:b/>
          <w:bCs/>
          <w:lang w:eastAsia="zh-CN"/>
        </w:rPr>
        <w:t>（</w:t>
      </w:r>
      <w:r>
        <w:rPr>
          <w:rFonts w:hint="eastAsia"/>
          <w:b/>
          <w:bCs/>
          <w:lang w:val="en-US" w:eastAsia="zh-CN"/>
        </w:rPr>
        <w:t>5</w:t>
      </w:r>
      <w:r>
        <w:rPr>
          <w:rFonts w:hint="eastAsia"/>
          <w:b/>
          <w:bCs/>
          <w:lang w:eastAsia="zh-CN"/>
        </w:rPr>
        <w:t>）</w:t>
      </w:r>
      <w:r>
        <w:rPr>
          <w:rFonts w:hint="eastAsia"/>
          <w:b/>
          <w:bCs/>
        </w:rPr>
        <w:t>宰杀放血：</w:t>
      </w:r>
      <w:r>
        <w:rPr>
          <w:rFonts w:hint="eastAsia"/>
        </w:rPr>
        <w:t>经击晕后的肉牛，由人用绳索套牢牛的一条后腿，并挂在电动葫芦的吊钩上，启动电动葫芦将牛吊起送入宰杀车间内放血，从肉牛喉部下刀割断食管、气管和血管进行放血，放血时间约为9min，同时收集牛血。牛血收集后作为产品外售。</w:t>
      </w:r>
    </w:p>
    <w:p>
      <w:pPr>
        <w:bidi w:val="0"/>
        <w:rPr>
          <w:rFonts w:hint="default"/>
          <w:lang w:val="en-US" w:eastAsia="zh-CN"/>
        </w:rPr>
      </w:pPr>
      <w:r>
        <w:rPr>
          <w:rFonts w:hint="eastAsia"/>
          <w:lang w:val="en-US" w:eastAsia="zh-CN"/>
        </w:rPr>
        <w:t>该过程产生恶臭。</w:t>
      </w:r>
    </w:p>
    <w:p>
      <w:pPr>
        <w:bidi w:val="0"/>
        <w:rPr>
          <w:rFonts w:hint="default"/>
          <w:lang w:val="en-US" w:eastAsia="zh-CN"/>
        </w:rPr>
      </w:pPr>
      <w:r>
        <w:rPr>
          <w:rFonts w:hint="eastAsia"/>
          <w:b/>
          <w:bCs/>
          <w:lang w:eastAsia="zh-CN"/>
        </w:rPr>
        <w:t>（</w:t>
      </w:r>
      <w:r>
        <w:rPr>
          <w:rFonts w:hint="eastAsia"/>
          <w:b/>
          <w:bCs/>
          <w:lang w:val="en-US" w:eastAsia="zh-CN"/>
        </w:rPr>
        <w:t>6</w:t>
      </w:r>
      <w:r>
        <w:rPr>
          <w:rFonts w:hint="eastAsia"/>
          <w:b/>
          <w:bCs/>
          <w:lang w:eastAsia="zh-CN"/>
        </w:rPr>
        <w:t>）</w:t>
      </w:r>
      <w:r>
        <w:rPr>
          <w:rFonts w:hint="eastAsia"/>
          <w:b/>
          <w:bCs/>
        </w:rPr>
        <w:t>割头：</w:t>
      </w:r>
      <w:r>
        <w:rPr>
          <w:rFonts w:hint="eastAsia"/>
        </w:rPr>
        <w:t>放血完成后的肉牛在车间内割去牛头，将牛头进行剥皮，分割出牛嘴、牛心舌等。牛头皮、牛嘴、牛心舌作为产品外售。</w:t>
      </w:r>
    </w:p>
    <w:p>
      <w:pPr>
        <w:bidi w:val="0"/>
        <w:rPr>
          <w:rFonts w:hint="default"/>
          <w:lang w:val="en-US" w:eastAsia="zh-CN"/>
        </w:rPr>
      </w:pPr>
      <w:r>
        <w:rPr>
          <w:rFonts w:hint="eastAsia"/>
          <w:lang w:val="en-US" w:eastAsia="zh-CN"/>
        </w:rPr>
        <w:t>该过程产生废水、恶臭。</w:t>
      </w:r>
    </w:p>
    <w:p>
      <w:pPr>
        <w:bidi w:val="0"/>
        <w:rPr>
          <w:rFonts w:hint="eastAsia"/>
        </w:rPr>
      </w:pPr>
      <w:r>
        <w:rPr>
          <w:rFonts w:hint="eastAsia"/>
          <w:b/>
          <w:bCs/>
          <w:lang w:eastAsia="zh-CN"/>
        </w:rPr>
        <w:t>（</w:t>
      </w:r>
      <w:r>
        <w:rPr>
          <w:rFonts w:hint="eastAsia"/>
          <w:b/>
          <w:bCs/>
          <w:lang w:val="en-US" w:eastAsia="zh-CN"/>
        </w:rPr>
        <w:t>7</w:t>
      </w:r>
      <w:r>
        <w:rPr>
          <w:rFonts w:hint="eastAsia"/>
          <w:b/>
          <w:bCs/>
          <w:lang w:eastAsia="zh-CN"/>
        </w:rPr>
        <w:t>）</w:t>
      </w:r>
      <w:r>
        <w:rPr>
          <w:rFonts w:hint="eastAsia"/>
          <w:b/>
          <w:bCs/>
        </w:rPr>
        <w:t>剥皮去蹄：</w:t>
      </w:r>
      <w:r>
        <w:rPr>
          <w:rFonts w:hint="eastAsia"/>
        </w:rPr>
        <w:t>割去牛的前后蹄，然后进行人工拔毛（肉牛屠宰工艺过程不使用锅炉蒸汽脱毛）、剥皮，牛皮剥下后用盐腌制。牛皮、牛蹄作为产品外售。</w:t>
      </w:r>
    </w:p>
    <w:p>
      <w:pPr>
        <w:bidi w:val="0"/>
        <w:rPr>
          <w:rFonts w:hint="default"/>
          <w:lang w:val="en-US" w:eastAsia="zh-CN"/>
        </w:rPr>
      </w:pPr>
      <w:r>
        <w:rPr>
          <w:rFonts w:hint="eastAsia"/>
          <w:lang w:val="en-US" w:eastAsia="zh-CN"/>
        </w:rPr>
        <w:t>该过程产生恶臭、废水、牛毛。</w:t>
      </w:r>
    </w:p>
    <w:p>
      <w:pPr>
        <w:bidi w:val="0"/>
        <w:rPr>
          <w:rFonts w:hint="eastAsia"/>
        </w:rPr>
      </w:pPr>
      <w:r>
        <w:rPr>
          <w:rFonts w:hint="eastAsia"/>
          <w:b/>
          <w:bCs/>
          <w:lang w:eastAsia="zh-CN"/>
        </w:rPr>
        <w:t>（</w:t>
      </w:r>
      <w:r>
        <w:rPr>
          <w:rFonts w:hint="eastAsia"/>
          <w:b/>
          <w:bCs/>
          <w:lang w:val="en-US" w:eastAsia="zh-CN"/>
        </w:rPr>
        <w:t>8</w:t>
      </w:r>
      <w:r>
        <w:rPr>
          <w:rFonts w:hint="eastAsia"/>
          <w:b/>
          <w:bCs/>
          <w:lang w:eastAsia="zh-CN"/>
        </w:rPr>
        <w:t>）</w:t>
      </w:r>
      <w:r>
        <w:rPr>
          <w:rFonts w:hint="eastAsia"/>
          <w:b/>
          <w:bCs/>
        </w:rPr>
        <w:t>剖腹：</w:t>
      </w:r>
      <w:r>
        <w:rPr>
          <w:rFonts w:hint="eastAsia"/>
        </w:rPr>
        <w:t>剥皮后立即开膛，取出内脏，取出红、白内脏，同步卫检。</w:t>
      </w:r>
    </w:p>
    <w:p>
      <w:pPr>
        <w:bidi w:val="0"/>
        <w:rPr>
          <w:rFonts w:hint="eastAsia"/>
        </w:rPr>
      </w:pPr>
      <w:r>
        <w:rPr>
          <w:rFonts w:hint="eastAsia"/>
          <w:lang w:val="en-US" w:eastAsia="zh-CN"/>
        </w:rPr>
        <w:t>该过程产生恶臭、废水、粪便。</w:t>
      </w:r>
    </w:p>
    <w:p>
      <w:pPr>
        <w:bidi w:val="0"/>
        <w:rPr>
          <w:rFonts w:hint="eastAsia"/>
        </w:rPr>
      </w:pPr>
      <w:r>
        <w:rPr>
          <w:rFonts w:hint="eastAsia"/>
          <w:b/>
          <w:bCs/>
        </w:rPr>
        <w:t>（9）修整、冲淋：</w:t>
      </w:r>
      <w:r>
        <w:rPr>
          <w:rFonts w:hint="eastAsia"/>
        </w:rPr>
        <w:t>修整范围包括割牛尾、扒下肾脏周围脂肪、除淤血及血凝块、修整颈肉、割除体腔内残留的零碎块和脂肪，割除胴体表面污垢，然后经冲淋洗去残留血渍、骨渣、毛等污物。</w:t>
      </w:r>
    </w:p>
    <w:p>
      <w:pPr>
        <w:bidi w:val="0"/>
        <w:rPr>
          <w:rFonts w:hint="eastAsia"/>
          <w:lang w:eastAsia="zh-CN"/>
        </w:rPr>
      </w:pPr>
      <w:r>
        <w:rPr>
          <w:rFonts w:hint="eastAsia"/>
          <w:lang w:val="en-US" w:eastAsia="zh-CN"/>
        </w:rPr>
        <w:t>该过程产生恶臭、冲洗废水。</w:t>
      </w:r>
    </w:p>
    <w:p>
      <w:pPr>
        <w:bidi w:val="0"/>
        <w:rPr>
          <w:rFonts w:hint="default"/>
          <w:lang w:val="en-US" w:eastAsia="zh-CN"/>
        </w:rPr>
      </w:pPr>
      <w:r>
        <w:rPr>
          <w:rFonts w:hint="eastAsia"/>
          <w:b/>
          <w:bCs/>
          <w:lang w:eastAsia="zh-CN"/>
        </w:rPr>
        <w:t>（</w:t>
      </w:r>
      <w:r>
        <w:rPr>
          <w:rFonts w:hint="eastAsia"/>
          <w:b/>
          <w:bCs/>
          <w:lang w:val="en-US" w:eastAsia="zh-CN"/>
        </w:rPr>
        <w:t>10</w:t>
      </w:r>
      <w:r>
        <w:rPr>
          <w:rFonts w:hint="eastAsia"/>
          <w:b/>
          <w:bCs/>
          <w:lang w:eastAsia="zh-CN"/>
        </w:rPr>
        <w:t>）</w:t>
      </w:r>
      <w:r>
        <w:rPr>
          <w:rFonts w:hint="eastAsia"/>
          <w:b/>
          <w:bCs/>
        </w:rPr>
        <w:t>宰后检疫：</w:t>
      </w:r>
      <w:r>
        <w:rPr>
          <w:rFonts w:hint="eastAsia"/>
        </w:rPr>
        <w:t>将牛的胴体、牛蹄、内脏、牛头等产品实施同步卫生检验。根据《中华人民共和国动物防疫法》、《中华人民共和国食品卫生法》、《畜禽屠宰卫生检疫规范》（NY467-2001）等相关规定进行处理。</w:t>
      </w:r>
    </w:p>
    <w:p>
      <w:pPr>
        <w:bidi w:val="0"/>
        <w:rPr>
          <w:rFonts w:hint="eastAsia"/>
        </w:rPr>
      </w:pPr>
      <w:r>
        <w:rPr>
          <w:rFonts w:hint="eastAsia"/>
        </w:rPr>
        <w:t>●合格的：检验合格作为食品的，其卫生检验、监督均依照《中华人民共和国食品卫生法》的规定办理。</w:t>
      </w:r>
    </w:p>
    <w:p>
      <w:pPr>
        <w:bidi w:val="0"/>
        <w:rPr>
          <w:rFonts w:hint="eastAsia"/>
        </w:rPr>
      </w:pPr>
      <w:r>
        <w:rPr>
          <w:rFonts w:hint="eastAsia"/>
        </w:rPr>
        <w:t>●不合格的：</w:t>
      </w:r>
    </w:p>
    <w:p>
      <w:pPr>
        <w:bidi w:val="0"/>
        <w:rPr>
          <w:rFonts w:hint="eastAsia"/>
        </w:rPr>
      </w:pPr>
      <w:r>
        <w:rPr>
          <w:rFonts w:hint="eastAsia"/>
        </w:rPr>
        <w:t>检出检疫部门公布的一类传染病、寄生虫病的其阳性动物及与其同群的其他动物全群扑杀，并销毁尸体；</w:t>
      </w:r>
    </w:p>
    <w:p>
      <w:pPr>
        <w:bidi w:val="0"/>
        <w:rPr>
          <w:rFonts w:hint="eastAsia"/>
        </w:rPr>
      </w:pPr>
      <w:r>
        <w:rPr>
          <w:rFonts w:hint="eastAsia"/>
        </w:rPr>
        <w:t>检出检疫部门公布的二类传染病、寄生虫病的其阳性动物应扑杀，同群其它动物在动物检疫隔离场和动植物检疫机关指定的地点继续隔离观察；</w:t>
      </w:r>
    </w:p>
    <w:p>
      <w:pPr>
        <w:bidi w:val="0"/>
        <w:rPr>
          <w:rFonts w:hint="eastAsia"/>
          <w:lang w:val="en-US" w:eastAsia="zh-CN"/>
        </w:rPr>
      </w:pPr>
      <w:r>
        <w:rPr>
          <w:rFonts w:hint="eastAsia"/>
        </w:rPr>
        <w:t>检出一般性病害并超过规定标准的，可由专业技术人员按规程实施卫生无害化处理，以上不合格全部由畜牧局组织专业处理。</w:t>
      </w:r>
    </w:p>
    <w:p>
      <w:pPr>
        <w:bidi w:val="0"/>
        <w:rPr>
          <w:rFonts w:hint="default"/>
          <w:lang w:val="en-US" w:eastAsia="zh-CN"/>
        </w:rPr>
      </w:pPr>
      <w:r>
        <w:rPr>
          <w:rFonts w:hint="eastAsia"/>
          <w:lang w:val="en-US" w:eastAsia="zh-CN"/>
        </w:rPr>
        <w:t>该过程产生恶臭、检疫不合格牛及病胴体、病内脏、废弃动物组织等。</w:t>
      </w:r>
    </w:p>
    <w:p>
      <w:pPr>
        <w:bidi w:val="0"/>
        <w:rPr>
          <w:rFonts w:hint="eastAsia"/>
        </w:rPr>
      </w:pPr>
      <w:r>
        <w:rPr>
          <w:rFonts w:hint="eastAsia"/>
          <w:b/>
          <w:bCs/>
          <w:lang w:eastAsia="zh-CN"/>
        </w:rPr>
        <w:t>（</w:t>
      </w:r>
      <w:r>
        <w:rPr>
          <w:rFonts w:hint="eastAsia"/>
          <w:b/>
          <w:bCs/>
          <w:lang w:val="en-US" w:eastAsia="zh-CN"/>
        </w:rPr>
        <w:t>11</w:t>
      </w:r>
      <w:r>
        <w:rPr>
          <w:rFonts w:hint="eastAsia"/>
          <w:b/>
          <w:bCs/>
          <w:lang w:eastAsia="zh-CN"/>
        </w:rPr>
        <w:t>）</w:t>
      </w:r>
      <w:r>
        <w:rPr>
          <w:rFonts w:hint="eastAsia"/>
          <w:b/>
          <w:bCs/>
        </w:rPr>
        <w:t>剔骨分割：</w:t>
      </w:r>
      <w:r>
        <w:rPr>
          <w:rFonts w:hint="eastAsia"/>
        </w:rPr>
        <w:t>将检验合格的牛胴体按规格部分、标准进行分割</w:t>
      </w:r>
    </w:p>
    <w:p>
      <w:pPr>
        <w:pStyle w:val="5"/>
        <w:bidi w:val="0"/>
        <w:rPr>
          <w:rFonts w:hint="default"/>
          <w:lang w:val="en-US" w:eastAsia="zh-CN"/>
        </w:rPr>
      </w:pPr>
      <w:r>
        <w:rPr>
          <w:rFonts w:hint="eastAsia"/>
          <w:lang w:val="en-US" w:eastAsia="zh-CN"/>
        </w:rPr>
        <w:t>厂区其他工艺</w:t>
      </w:r>
    </w:p>
    <w:p>
      <w:pPr>
        <w:spacing w:beforeLines="0" w:afterLines="0"/>
        <w:jc w:val="left"/>
        <w:rPr>
          <w:rFonts w:hint="eastAsia" w:ascii="宋体" w:hAnsi="宋体" w:eastAsia="宋体"/>
          <w:sz w:val="24"/>
        </w:rPr>
      </w:pPr>
      <w:r>
        <w:rPr>
          <w:rFonts w:hint="eastAsia" w:ascii="宋体" w:hAnsi="宋体" w:eastAsia="宋体"/>
          <w:b/>
          <w:bCs/>
          <w:sz w:val="24"/>
        </w:rPr>
        <w:t>干清粪工艺：</w:t>
      </w:r>
      <w:r>
        <w:rPr>
          <w:rFonts w:hint="eastAsia" w:ascii="宋体" w:hAnsi="宋体"/>
          <w:sz w:val="24"/>
          <w:lang w:eastAsia="zh-CN"/>
        </w:rPr>
        <w:t>待宰圈</w:t>
      </w:r>
      <w:r>
        <w:rPr>
          <w:rFonts w:hint="eastAsia" w:ascii="宋体" w:hAnsi="宋体" w:eastAsia="宋体"/>
          <w:sz w:val="24"/>
        </w:rPr>
        <w:t>生猪产生猪尿通过污水沟排入污水处理站处理，猪粪经截粪井拦截，由人工收集桶装暂存于待宰圈内的垃圾箱内，后委托有资质单位运走处。</w:t>
      </w:r>
    </w:p>
    <w:p>
      <w:pPr>
        <w:spacing w:beforeLines="0" w:afterLines="0"/>
        <w:jc w:val="left"/>
        <w:rPr>
          <w:rFonts w:hint="eastAsia" w:ascii="宋体" w:hAnsi="宋体" w:eastAsia="宋体"/>
          <w:sz w:val="24"/>
        </w:rPr>
      </w:pPr>
      <w:r>
        <w:rPr>
          <w:rFonts w:hint="eastAsia" w:ascii="宋体" w:hAnsi="宋体" w:eastAsia="宋体"/>
          <w:b/>
          <w:bCs/>
          <w:sz w:val="24"/>
        </w:rPr>
        <w:t>车辆清洗：</w:t>
      </w:r>
      <w:r>
        <w:rPr>
          <w:rFonts w:hint="eastAsia" w:ascii="宋体" w:hAnsi="宋体" w:eastAsia="宋体"/>
          <w:sz w:val="24"/>
        </w:rPr>
        <w:t>卸猪后的空车到厂内洗车场使用喷枪进行冲洗，清洗干净后再由污物出入口出去。</w:t>
      </w:r>
    </w:p>
    <w:p>
      <w:pPr>
        <w:spacing w:beforeLines="0" w:afterLines="0"/>
        <w:jc w:val="left"/>
        <w:rPr>
          <w:rFonts w:hint="eastAsia" w:ascii="宋体" w:hAnsi="宋体" w:eastAsia="宋体"/>
          <w:sz w:val="24"/>
        </w:rPr>
      </w:pPr>
      <w:r>
        <w:rPr>
          <w:rFonts w:hint="eastAsia" w:ascii="宋体" w:hAnsi="宋体" w:eastAsia="宋体"/>
          <w:b/>
          <w:bCs/>
          <w:sz w:val="24"/>
        </w:rPr>
        <w:t>车间冲洗（含设备）：</w:t>
      </w:r>
      <w:r>
        <w:rPr>
          <w:rFonts w:hint="eastAsia" w:ascii="宋体" w:hAnsi="宋体" w:eastAsia="宋体"/>
          <w:sz w:val="24"/>
        </w:rPr>
        <w:t>每日屠宰完毕后，对车间、设备进行冲洗一次。</w:t>
      </w:r>
    </w:p>
    <w:p>
      <w:pPr>
        <w:pStyle w:val="5"/>
        <w:bidi w:val="0"/>
        <w:rPr>
          <w:rFonts w:hint="default"/>
          <w:lang w:val="en-US" w:eastAsia="zh-CN"/>
        </w:rPr>
      </w:pPr>
      <w:r>
        <w:rPr>
          <w:rFonts w:hint="eastAsia"/>
          <w:lang w:val="en-US" w:eastAsia="zh-CN"/>
        </w:rPr>
        <w:t>项目产污情况分析</w:t>
      </w:r>
    </w:p>
    <w:p>
      <w:pPr>
        <w:bidi w:val="0"/>
        <w:rPr>
          <w:rFonts w:hint="default"/>
          <w:lang w:val="en-US" w:eastAsia="zh-CN"/>
        </w:rPr>
      </w:pPr>
      <w:r>
        <w:rPr>
          <w:rFonts w:hint="eastAsia"/>
          <w:lang w:val="en-US" w:eastAsia="zh-CN"/>
        </w:rPr>
        <w:t>本项目营运期产污分析见表3.2-1。</w:t>
      </w:r>
    </w:p>
    <w:p>
      <w:pPr>
        <w:pStyle w:val="29"/>
        <w:bidi w:val="0"/>
        <w:rPr>
          <w:rFonts w:hint="eastAsia"/>
          <w:lang w:val="en-US" w:eastAsia="zh-CN"/>
        </w:rPr>
      </w:pPr>
      <w:r>
        <w:rPr>
          <w:rFonts w:hint="eastAsia"/>
          <w:lang w:val="en-US" w:eastAsia="zh-CN"/>
        </w:rPr>
        <w:t>表3.2-1  项目营运期产污分析一览表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170"/>
        <w:gridCol w:w="3420"/>
        <w:gridCol w:w="4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w:t>
            </w:r>
          </w:p>
        </w:tc>
        <w:tc>
          <w:tcPr>
            <w:tcW w:w="342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污染来源</w:t>
            </w:r>
          </w:p>
        </w:tc>
        <w:tc>
          <w:tcPr>
            <w:tcW w:w="4528"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废气</w:t>
            </w: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rPr>
              <w:t>待宰车间、屠宰车间、污水处理站</w:t>
            </w:r>
          </w:p>
        </w:tc>
        <w:tc>
          <w:tcPr>
            <w:tcW w:w="4528" w:type="dxa"/>
            <w:tcBorders>
              <w:tl2br w:val="nil"/>
              <w:tr2bl w:val="nil"/>
            </w:tcBorders>
            <w:vAlign w:val="center"/>
          </w:tcPr>
          <w:p>
            <w:pPr>
              <w:pStyle w:val="30"/>
              <w:widowControl w:val="0"/>
              <w:jc w:val="center"/>
              <w:rPr>
                <w:rFonts w:hint="default"/>
                <w:vertAlign w:val="baseline"/>
                <w:lang w:val="en-US" w:eastAsia="zh-CN"/>
              </w:rPr>
            </w:pPr>
            <w:r>
              <w:rPr>
                <w:rFonts w:hint="default" w:ascii="Times New Roman" w:hAnsi="Times New Roman" w:eastAsia="Times New Roman"/>
                <w:sz w:val="22"/>
              </w:rPr>
              <w:t>NH</w:t>
            </w:r>
            <w:r>
              <w:rPr>
                <w:rFonts w:hint="default" w:ascii="Times New Roman" w:hAnsi="Times New Roman" w:eastAsia="Times New Roman"/>
                <w:sz w:val="14"/>
              </w:rPr>
              <w:t>3</w:t>
            </w:r>
            <w:r>
              <w:rPr>
                <w:rFonts w:hint="eastAsia" w:ascii="宋体" w:hAnsi="宋体" w:eastAsia="宋体"/>
                <w:sz w:val="22"/>
              </w:rPr>
              <w:t>、</w:t>
            </w:r>
            <w:r>
              <w:rPr>
                <w:rFonts w:hint="default" w:ascii="Times New Roman" w:hAnsi="Times New Roman" w:eastAsia="Times New Roman"/>
                <w:sz w:val="22"/>
              </w:rPr>
              <w:t>H</w:t>
            </w:r>
            <w:r>
              <w:rPr>
                <w:rFonts w:hint="default" w:ascii="Times New Roman" w:hAnsi="Times New Roman" w:eastAsia="Times New Roman"/>
                <w:sz w:val="14"/>
              </w:rPr>
              <w:t>2</w:t>
            </w:r>
            <w:r>
              <w:rPr>
                <w:rFonts w:hint="default" w:ascii="Times New Roman" w:hAnsi="Times New Roman" w:eastAsia="Times New Roman"/>
                <w:sz w:val="22"/>
              </w:rPr>
              <w:t>S</w:t>
            </w:r>
            <w:r>
              <w:rPr>
                <w:rFonts w:hint="eastAsia" w:ascii="宋体" w:hAnsi="宋体" w:eastAsia="宋体"/>
                <w:sz w:val="22"/>
              </w:rPr>
              <w:t>等臭气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vMerge w:val="continue"/>
            <w:tcBorders>
              <w:tl2br w:val="nil"/>
              <w:tr2bl w:val="nil"/>
            </w:tcBorders>
            <w:vAlign w:val="center"/>
          </w:tcPr>
          <w:p>
            <w:pPr>
              <w:pStyle w:val="30"/>
              <w:widowControl w:val="0"/>
              <w:jc w:val="center"/>
              <w:rPr>
                <w:rFonts w:hint="default"/>
                <w:vertAlign w:val="baseline"/>
                <w:lang w:val="en-US" w:eastAsia="zh-CN"/>
              </w:rPr>
            </w:pP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rPr>
              <w:t>食堂</w:t>
            </w:r>
          </w:p>
        </w:tc>
        <w:tc>
          <w:tcPr>
            <w:tcW w:w="4528"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rPr>
              <w:t>餐饮油烟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4" w:type="dxa"/>
            <w:gridSpan w:val="2"/>
            <w:vMerge w:val="continue"/>
            <w:tcBorders>
              <w:tl2br w:val="nil"/>
              <w:tr2bl w:val="nil"/>
            </w:tcBorders>
            <w:vAlign w:val="center"/>
          </w:tcPr>
          <w:p>
            <w:pPr>
              <w:pStyle w:val="30"/>
              <w:widowControl w:val="0"/>
              <w:jc w:val="center"/>
              <w:rPr>
                <w:rFonts w:hint="default"/>
                <w:vertAlign w:val="baseline"/>
                <w:lang w:val="en-US" w:eastAsia="zh-CN"/>
              </w:rPr>
            </w:pP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rPr>
              <w:t>备用柴油发电机</w:t>
            </w:r>
          </w:p>
        </w:tc>
        <w:tc>
          <w:tcPr>
            <w:tcW w:w="4528"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rPr>
              <w:t>发电机烟气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vMerge w:val="continue"/>
            <w:tcBorders>
              <w:tl2br w:val="nil"/>
              <w:tr2bl w:val="nil"/>
            </w:tcBorders>
            <w:vAlign w:val="center"/>
          </w:tcPr>
          <w:p>
            <w:pPr>
              <w:pStyle w:val="30"/>
              <w:widowControl w:val="0"/>
              <w:jc w:val="center"/>
              <w:rPr>
                <w:rFonts w:hint="default"/>
                <w:vertAlign w:val="baseline"/>
                <w:lang w:val="en-US" w:eastAsia="zh-CN"/>
              </w:rPr>
            </w:pPr>
          </w:p>
        </w:tc>
        <w:tc>
          <w:tcPr>
            <w:tcW w:w="3420" w:type="dxa"/>
            <w:tcBorders>
              <w:tl2br w:val="nil"/>
              <w:tr2bl w:val="nil"/>
            </w:tcBorders>
            <w:vAlign w:val="center"/>
          </w:tcPr>
          <w:p>
            <w:pPr>
              <w:pStyle w:val="30"/>
              <w:widowControl w:val="0"/>
              <w:jc w:val="center"/>
              <w:rPr>
                <w:rFonts w:hint="default" w:ascii="宋体" w:hAnsi="宋体" w:eastAsia="宋体"/>
                <w:sz w:val="22"/>
                <w:lang w:val="en-US" w:eastAsia="zh-CN"/>
              </w:rPr>
            </w:pPr>
            <w:r>
              <w:rPr>
                <w:rFonts w:hint="eastAsia" w:ascii="宋体" w:hAnsi="宋体"/>
                <w:sz w:val="22"/>
                <w:lang w:val="en-US" w:eastAsia="zh-CN"/>
              </w:rPr>
              <w:t>锅炉</w:t>
            </w:r>
          </w:p>
        </w:tc>
        <w:tc>
          <w:tcPr>
            <w:tcW w:w="4528" w:type="dxa"/>
            <w:tcBorders>
              <w:tl2br w:val="nil"/>
              <w:tr2bl w:val="nil"/>
            </w:tcBorders>
            <w:vAlign w:val="center"/>
          </w:tcPr>
          <w:p>
            <w:pPr>
              <w:pStyle w:val="30"/>
              <w:widowControl w:val="0"/>
              <w:jc w:val="center"/>
              <w:rPr>
                <w:rFonts w:hint="default" w:ascii="宋体" w:hAnsi="宋体" w:eastAsia="宋体"/>
                <w:sz w:val="22"/>
                <w:lang w:val="en-US" w:eastAsia="zh-CN"/>
              </w:rPr>
            </w:pPr>
            <w:r>
              <w:rPr>
                <w:rFonts w:hint="eastAsia" w:ascii="宋体" w:hAnsi="宋体"/>
                <w:sz w:val="22"/>
                <w:lang w:val="en-US" w:eastAsia="zh-CN"/>
              </w:rPr>
              <w:t>天然气燃烧废气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4"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废水</w:t>
            </w:r>
          </w:p>
        </w:tc>
        <w:tc>
          <w:tcPr>
            <w:tcW w:w="1170"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生产废水</w:t>
            </w:r>
          </w:p>
        </w:tc>
        <w:tc>
          <w:tcPr>
            <w:tcW w:w="3420" w:type="dxa"/>
            <w:tcBorders>
              <w:tl2br w:val="nil"/>
              <w:tr2bl w:val="nil"/>
            </w:tcBorders>
            <w:vAlign w:val="center"/>
          </w:tcPr>
          <w:p>
            <w:pPr>
              <w:pStyle w:val="30"/>
              <w:widowControl w:val="0"/>
              <w:bidi w:val="0"/>
              <w:jc w:val="center"/>
              <w:rPr>
                <w:rFonts w:hint="eastAsia" w:eastAsia="宋体"/>
                <w:lang w:val="en-US" w:eastAsia="zh-CN"/>
              </w:rPr>
            </w:pPr>
            <w:r>
              <w:rPr>
                <w:rFonts w:hint="eastAsia"/>
              </w:rPr>
              <w:t>屠宰废水（包括生猪</w:t>
            </w:r>
            <w:r>
              <w:rPr>
                <w:rFonts w:hint="eastAsia"/>
                <w:lang w:eastAsia="zh-CN"/>
              </w:rPr>
              <w:t>、</w:t>
            </w:r>
            <w:r>
              <w:rPr>
                <w:rFonts w:hint="eastAsia"/>
                <w:lang w:val="en-US" w:eastAsia="zh-CN"/>
              </w:rPr>
              <w:t>肉牛</w:t>
            </w:r>
            <w:r>
              <w:rPr>
                <w:rFonts w:hint="eastAsia"/>
              </w:rPr>
              <w:t>冲洗水、</w:t>
            </w:r>
            <w:r>
              <w:rPr>
                <w:rFonts w:hint="eastAsia"/>
                <w:lang w:eastAsia="zh-CN"/>
              </w:rPr>
              <w:t>待宰圈</w:t>
            </w:r>
            <w:r>
              <w:rPr>
                <w:rFonts w:hint="eastAsia"/>
              </w:rPr>
              <w:t>清洁废水、屠宰加工废水、设备和屠宰车间、设备冲洗废水</w:t>
            </w:r>
            <w:r>
              <w:rPr>
                <w:rFonts w:hint="eastAsia"/>
                <w:lang w:eastAsia="zh-CN"/>
              </w:rPr>
              <w:t>）</w:t>
            </w:r>
          </w:p>
        </w:tc>
        <w:tc>
          <w:tcPr>
            <w:tcW w:w="4528" w:type="dxa"/>
            <w:tcBorders>
              <w:tl2br w:val="nil"/>
              <w:tr2bl w:val="nil"/>
            </w:tcBorders>
            <w:vAlign w:val="center"/>
          </w:tcPr>
          <w:p>
            <w:pPr>
              <w:pStyle w:val="30"/>
              <w:widowControl w:val="0"/>
              <w:bidi w:val="0"/>
              <w:jc w:val="center"/>
              <w:rPr>
                <w:rFonts w:hint="default"/>
                <w:lang w:val="en-US" w:eastAsia="zh-CN"/>
              </w:rPr>
            </w:pPr>
            <w:r>
              <w:rPr>
                <w:rFonts w:hint="default"/>
              </w:rPr>
              <w:t>BOD</w:t>
            </w:r>
            <w:r>
              <w:rPr>
                <w:rFonts w:hint="default"/>
                <w:vertAlign w:val="subscript"/>
              </w:rPr>
              <w:t>5</w:t>
            </w:r>
            <w:r>
              <w:rPr>
                <w:rFonts w:hint="eastAsia"/>
              </w:rPr>
              <w:t>、</w:t>
            </w:r>
            <w:r>
              <w:rPr>
                <w:rFonts w:hint="default"/>
              </w:rPr>
              <w:t>COD</w:t>
            </w:r>
            <w:r>
              <w:rPr>
                <w:rFonts w:hint="eastAsia"/>
              </w:rPr>
              <w:t>、</w:t>
            </w:r>
            <w:r>
              <w:rPr>
                <w:rFonts w:hint="default"/>
              </w:rPr>
              <w:t>NH</w:t>
            </w:r>
            <w:r>
              <w:rPr>
                <w:rFonts w:hint="default"/>
                <w:vertAlign w:val="subscript"/>
              </w:rPr>
              <w:t>3</w:t>
            </w:r>
            <w:r>
              <w:rPr>
                <w:rFonts w:hint="default"/>
              </w:rPr>
              <w:t>-N</w:t>
            </w:r>
            <w:r>
              <w:rPr>
                <w:rFonts w:hint="eastAsia"/>
              </w:rPr>
              <w:t>、</w:t>
            </w:r>
            <w:r>
              <w:rPr>
                <w:rFonts w:hint="default"/>
              </w:rPr>
              <w:t>SS</w:t>
            </w:r>
            <w:r>
              <w:rPr>
                <w:rFonts w:hint="eastAsia"/>
              </w:rPr>
              <w:t>、动植物油、</w:t>
            </w:r>
            <w:r>
              <w:rPr>
                <w:rFonts w:hint="default"/>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170"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3420" w:type="dxa"/>
            <w:tcBorders>
              <w:tl2br w:val="nil"/>
              <w:tr2bl w:val="nil"/>
            </w:tcBorders>
            <w:vAlign w:val="center"/>
          </w:tcPr>
          <w:p>
            <w:pPr>
              <w:pStyle w:val="30"/>
              <w:widowControl w:val="0"/>
              <w:bidi w:val="0"/>
              <w:jc w:val="center"/>
              <w:rPr>
                <w:rFonts w:hint="eastAsia"/>
              </w:rPr>
            </w:pPr>
            <w:r>
              <w:rPr>
                <w:rFonts w:hint="eastAsia" w:ascii="宋体" w:hAnsi="宋体" w:eastAsia="宋体"/>
                <w:sz w:val="21"/>
                <w:szCs w:val="21"/>
              </w:rPr>
              <w:t>运输车辆清洗废水</w:t>
            </w:r>
          </w:p>
        </w:tc>
        <w:tc>
          <w:tcPr>
            <w:tcW w:w="4528" w:type="dxa"/>
            <w:tcBorders>
              <w:tl2br w:val="nil"/>
              <w:tr2bl w:val="nil"/>
            </w:tcBorders>
            <w:vAlign w:val="center"/>
          </w:tcPr>
          <w:p>
            <w:pPr>
              <w:pStyle w:val="30"/>
              <w:widowControl w:val="0"/>
              <w:bidi w:val="0"/>
              <w:jc w:val="center"/>
              <w:rPr>
                <w:rFonts w:hint="default"/>
              </w:rPr>
            </w:pPr>
            <w:r>
              <w:rPr>
                <w:rFonts w:hint="default" w:ascii="Times New Roman" w:hAnsi="Times New Roman" w:eastAsia="Times New Roman"/>
                <w:sz w:val="22"/>
              </w:rPr>
              <w:t>BOD</w:t>
            </w:r>
            <w:r>
              <w:rPr>
                <w:rFonts w:hint="default" w:ascii="Times New Roman" w:hAnsi="Times New Roman" w:eastAsia="Times New Roman"/>
                <w:sz w:val="14"/>
              </w:rPr>
              <w:t>5</w:t>
            </w:r>
            <w:r>
              <w:rPr>
                <w:rFonts w:hint="eastAsia" w:ascii="宋体" w:hAnsi="宋体" w:eastAsia="宋体"/>
                <w:sz w:val="22"/>
              </w:rPr>
              <w:t>、</w:t>
            </w:r>
            <w:r>
              <w:rPr>
                <w:rFonts w:hint="default" w:ascii="Times New Roman" w:hAnsi="Times New Roman" w:eastAsia="Times New Roman"/>
                <w:sz w:val="22"/>
              </w:rPr>
              <w:t>COD</w:t>
            </w:r>
            <w:r>
              <w:rPr>
                <w:rFonts w:hint="eastAsia" w:ascii="宋体" w:hAnsi="宋体" w:eastAsia="宋体"/>
                <w:sz w:val="22"/>
              </w:rPr>
              <w:t>、</w:t>
            </w:r>
            <w:r>
              <w:rPr>
                <w:rFonts w:hint="default" w:ascii="Times New Roman" w:hAnsi="Times New Roman" w:eastAsia="Times New Roman"/>
                <w:sz w:val="22"/>
              </w:rPr>
              <w:t>NH</w:t>
            </w:r>
            <w:r>
              <w:rPr>
                <w:rFonts w:hint="default" w:ascii="Times New Roman" w:hAnsi="Times New Roman" w:eastAsia="Times New Roman"/>
                <w:sz w:val="14"/>
              </w:rPr>
              <w:t>3</w:t>
            </w:r>
            <w:r>
              <w:rPr>
                <w:rFonts w:hint="default" w:ascii="Times New Roman" w:hAnsi="Times New Roman" w:eastAsia="Times New Roman"/>
                <w:sz w:val="22"/>
              </w:rPr>
              <w:t>-N</w:t>
            </w:r>
            <w:r>
              <w:rPr>
                <w:rFonts w:hint="eastAsia" w:ascii="宋体" w:hAnsi="宋体" w:eastAsia="宋体"/>
                <w:sz w:val="22"/>
              </w:rPr>
              <w:t>、</w:t>
            </w:r>
            <w:r>
              <w:rPr>
                <w:rFonts w:hint="default" w:ascii="Times New Roman" w:hAnsi="Times New Roman" w:eastAsia="Times New Roman"/>
                <w:sz w:val="22"/>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4"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生活污水</w:t>
            </w: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员工生活</w:t>
            </w:r>
          </w:p>
        </w:tc>
        <w:tc>
          <w:tcPr>
            <w:tcW w:w="4528" w:type="dxa"/>
            <w:tcBorders>
              <w:tl2br w:val="nil"/>
              <w:tr2bl w:val="nil"/>
            </w:tcBorders>
            <w:vAlign w:val="center"/>
          </w:tcPr>
          <w:p>
            <w:pPr>
              <w:pStyle w:val="30"/>
              <w:widowControl w:val="0"/>
              <w:jc w:val="center"/>
              <w:rPr>
                <w:rFonts w:hint="default"/>
                <w:vertAlign w:val="baseline"/>
                <w:lang w:val="en-US" w:eastAsia="zh-CN"/>
              </w:rPr>
            </w:pPr>
            <w:r>
              <w:rPr>
                <w:rFonts w:hint="default"/>
              </w:rPr>
              <w:t>BOD</w:t>
            </w:r>
            <w:r>
              <w:rPr>
                <w:rFonts w:hint="default"/>
                <w:vertAlign w:val="subscript"/>
              </w:rPr>
              <w:t>5</w:t>
            </w:r>
            <w:r>
              <w:rPr>
                <w:rFonts w:hint="eastAsia"/>
              </w:rPr>
              <w:t>、</w:t>
            </w:r>
            <w:r>
              <w:rPr>
                <w:rFonts w:hint="default"/>
              </w:rPr>
              <w:t>COD</w:t>
            </w:r>
            <w:r>
              <w:rPr>
                <w:rFonts w:hint="eastAsia"/>
              </w:rPr>
              <w:t>、</w:t>
            </w:r>
            <w:r>
              <w:rPr>
                <w:rFonts w:hint="default"/>
              </w:rPr>
              <w:t>NH</w:t>
            </w:r>
            <w:r>
              <w:rPr>
                <w:rFonts w:hint="default"/>
                <w:vertAlign w:val="subscript"/>
              </w:rPr>
              <w:t>3</w:t>
            </w:r>
            <w:r>
              <w:rPr>
                <w:rFonts w:hint="default"/>
              </w:rPr>
              <w:t>-N</w:t>
            </w:r>
            <w:r>
              <w:rPr>
                <w:rFonts w:hint="eastAsia"/>
              </w:rPr>
              <w:t>、</w:t>
            </w:r>
            <w:r>
              <w:rPr>
                <w:rFonts w:hint="default"/>
              </w:rPr>
              <w:t>SS</w:t>
            </w:r>
            <w:r>
              <w:rPr>
                <w:rFonts w:hint="eastAsia"/>
              </w:rPr>
              <w:t>、动植物</w:t>
            </w:r>
            <w:r>
              <w:rPr>
                <w:rStyle w:val="32"/>
                <w:rFonts w:hint="eastAsia"/>
              </w:rPr>
              <w:t>油等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4"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食堂废水</w:t>
            </w: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食堂废水</w:t>
            </w:r>
          </w:p>
        </w:tc>
        <w:tc>
          <w:tcPr>
            <w:tcW w:w="4528" w:type="dxa"/>
            <w:tcBorders>
              <w:tl2br w:val="nil"/>
              <w:tr2bl w:val="nil"/>
            </w:tcBorders>
            <w:vAlign w:val="center"/>
          </w:tcPr>
          <w:p>
            <w:pPr>
              <w:pStyle w:val="30"/>
              <w:widowControl w:val="0"/>
              <w:jc w:val="center"/>
              <w:rPr>
                <w:rFonts w:hint="default"/>
                <w:vertAlign w:val="baseline"/>
                <w:lang w:val="en-US" w:eastAsia="zh-CN"/>
              </w:rPr>
            </w:pPr>
            <w:r>
              <w:rPr>
                <w:rFonts w:hint="default"/>
              </w:rPr>
              <w:t>BOD</w:t>
            </w:r>
            <w:r>
              <w:rPr>
                <w:rFonts w:hint="default"/>
                <w:vertAlign w:val="subscript"/>
              </w:rPr>
              <w:t>5</w:t>
            </w:r>
            <w:r>
              <w:rPr>
                <w:rFonts w:hint="eastAsia"/>
              </w:rPr>
              <w:t>、</w:t>
            </w:r>
            <w:r>
              <w:rPr>
                <w:rFonts w:hint="default"/>
              </w:rPr>
              <w:t>COD</w:t>
            </w:r>
            <w:r>
              <w:rPr>
                <w:rFonts w:hint="eastAsia"/>
              </w:rPr>
              <w:t>、</w:t>
            </w:r>
            <w:r>
              <w:rPr>
                <w:rFonts w:hint="default"/>
              </w:rPr>
              <w:t>NH</w:t>
            </w:r>
            <w:r>
              <w:rPr>
                <w:rFonts w:hint="default"/>
                <w:vertAlign w:val="subscript"/>
              </w:rPr>
              <w:t>3</w:t>
            </w:r>
            <w:r>
              <w:rPr>
                <w:rFonts w:hint="default"/>
              </w:rPr>
              <w:t>-N</w:t>
            </w:r>
            <w:r>
              <w:rPr>
                <w:rFonts w:hint="eastAsia"/>
              </w:rPr>
              <w:t>、</w:t>
            </w:r>
            <w:r>
              <w:rPr>
                <w:rFonts w:hint="default"/>
              </w:rPr>
              <w:t>SS</w:t>
            </w:r>
            <w:r>
              <w:rPr>
                <w:rFonts w:hint="eastAsia"/>
              </w:rPr>
              <w:t>、动植物</w:t>
            </w:r>
            <w:r>
              <w:rPr>
                <w:rStyle w:val="32"/>
                <w:rFonts w:hint="eastAsia"/>
              </w:rPr>
              <w:t>油等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噪声</w:t>
            </w: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设备运行噪声、猪叫声和牛叫声</w:t>
            </w:r>
          </w:p>
        </w:tc>
        <w:tc>
          <w:tcPr>
            <w:tcW w:w="4528" w:type="dxa"/>
            <w:tcBorders>
              <w:tl2br w:val="nil"/>
              <w:tr2bl w:val="nil"/>
            </w:tcBorders>
            <w:vAlign w:val="center"/>
          </w:tcPr>
          <w:p>
            <w:pPr>
              <w:pStyle w:val="30"/>
              <w:widowControl w:val="0"/>
              <w:jc w:val="center"/>
              <w:rPr>
                <w:rFonts w:hint="default"/>
                <w:vertAlign w:val="baseline"/>
                <w:lang w:val="en-US" w:eastAsia="zh-CN"/>
              </w:rPr>
            </w:pPr>
            <w: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固废</w:t>
            </w: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生猪进场</w:t>
            </w:r>
          </w:p>
        </w:tc>
        <w:tc>
          <w:tcPr>
            <w:tcW w:w="4528" w:type="dxa"/>
            <w:tcBorders>
              <w:tl2br w:val="nil"/>
              <w:tr2bl w:val="nil"/>
            </w:tcBorders>
            <w:vAlign w:val="center"/>
          </w:tcPr>
          <w:p>
            <w:pPr>
              <w:pStyle w:val="30"/>
              <w:widowControl w:val="0"/>
              <w:jc w:val="center"/>
              <w:rPr>
                <w:rFonts w:hint="default" w:eastAsia="宋体"/>
                <w:lang w:val="en-US" w:eastAsia="zh-CN"/>
              </w:rPr>
            </w:pPr>
            <w:r>
              <w:rPr>
                <w:rFonts w:hint="eastAsia"/>
                <w:lang w:val="en-US" w:eastAsia="zh-CN"/>
              </w:rPr>
              <w:t>废试纸、废PCR试剂盒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vMerge w:val="continue"/>
            <w:tcBorders>
              <w:tl2br w:val="nil"/>
              <w:tr2bl w:val="nil"/>
            </w:tcBorders>
            <w:vAlign w:val="center"/>
          </w:tcPr>
          <w:p>
            <w:pPr>
              <w:pStyle w:val="30"/>
              <w:widowControl w:val="0"/>
              <w:jc w:val="center"/>
              <w:rPr>
                <w:rFonts w:hint="eastAsia"/>
                <w:vertAlign w:val="baseline"/>
                <w:lang w:val="en-US" w:eastAsia="zh-CN"/>
              </w:rPr>
            </w:pP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待宰圈</w:t>
            </w:r>
          </w:p>
        </w:tc>
        <w:tc>
          <w:tcPr>
            <w:tcW w:w="4528" w:type="dxa"/>
            <w:tcBorders>
              <w:tl2br w:val="nil"/>
              <w:tr2bl w:val="nil"/>
            </w:tcBorders>
            <w:vAlign w:val="center"/>
          </w:tcPr>
          <w:p>
            <w:pPr>
              <w:pStyle w:val="30"/>
              <w:widowControl w:val="0"/>
              <w:jc w:val="center"/>
              <w:rPr>
                <w:rFonts w:hint="default" w:eastAsia="宋体"/>
                <w:lang w:val="en-US" w:eastAsia="zh-CN"/>
              </w:rPr>
            </w:pPr>
            <w:r>
              <w:rPr>
                <w:rFonts w:hint="eastAsia"/>
                <w:lang w:val="en-US" w:eastAsia="zh-CN"/>
              </w:rPr>
              <w:t>粪便、检疫不合格猪和牛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vMerge w:val="continue"/>
            <w:tcBorders>
              <w:tl2br w:val="nil"/>
              <w:tr2bl w:val="nil"/>
            </w:tcBorders>
            <w:vAlign w:val="center"/>
          </w:tcPr>
          <w:p>
            <w:pPr>
              <w:pStyle w:val="30"/>
              <w:widowControl w:val="0"/>
              <w:jc w:val="center"/>
              <w:rPr>
                <w:rFonts w:hint="eastAsia"/>
                <w:vertAlign w:val="baseline"/>
                <w:lang w:val="en-US" w:eastAsia="zh-CN"/>
              </w:rPr>
            </w:pP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屠宰生产</w:t>
            </w:r>
          </w:p>
        </w:tc>
        <w:tc>
          <w:tcPr>
            <w:tcW w:w="4528" w:type="dxa"/>
            <w:tcBorders>
              <w:tl2br w:val="nil"/>
              <w:tr2bl w:val="nil"/>
            </w:tcBorders>
            <w:vAlign w:val="center"/>
          </w:tcPr>
          <w:p>
            <w:pPr>
              <w:pStyle w:val="30"/>
              <w:widowControl w:val="0"/>
              <w:jc w:val="center"/>
              <w:rPr>
                <w:rFonts w:hint="default" w:eastAsia="宋体"/>
                <w:lang w:val="en-US" w:eastAsia="zh-CN"/>
              </w:rPr>
            </w:pPr>
            <w:r>
              <w:rPr>
                <w:rFonts w:hint="eastAsia"/>
                <w:lang w:val="en-US" w:eastAsia="zh-CN"/>
              </w:rPr>
              <w:t>废弃动植物组织、粪便、肠胃内容物、检疫不合格猪、牛及病胴体等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vMerge w:val="continue"/>
            <w:tcBorders>
              <w:tl2br w:val="nil"/>
              <w:tr2bl w:val="nil"/>
            </w:tcBorders>
            <w:vAlign w:val="center"/>
          </w:tcPr>
          <w:p>
            <w:pPr>
              <w:pStyle w:val="30"/>
              <w:widowControl w:val="0"/>
              <w:jc w:val="center"/>
              <w:rPr>
                <w:rFonts w:hint="eastAsia"/>
                <w:vertAlign w:val="baseline"/>
                <w:lang w:val="en-US" w:eastAsia="zh-CN"/>
              </w:rPr>
            </w:pP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分割加工</w:t>
            </w:r>
          </w:p>
        </w:tc>
        <w:tc>
          <w:tcPr>
            <w:tcW w:w="4528" w:type="dxa"/>
            <w:tcBorders>
              <w:tl2br w:val="nil"/>
              <w:tr2bl w:val="nil"/>
            </w:tcBorders>
            <w:vAlign w:val="center"/>
          </w:tcPr>
          <w:p>
            <w:pPr>
              <w:pStyle w:val="30"/>
              <w:widowControl w:val="0"/>
              <w:jc w:val="center"/>
              <w:rPr>
                <w:rFonts w:hint="default" w:eastAsia="宋体"/>
                <w:lang w:val="en-US" w:eastAsia="zh-CN"/>
              </w:rPr>
            </w:pPr>
            <w:r>
              <w:rPr>
                <w:rFonts w:hint="eastAsia"/>
                <w:lang w:val="en-US" w:eastAsia="zh-CN"/>
              </w:rPr>
              <w:t>碎骨、碎肉、废包装材、废胶手套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vMerge w:val="continue"/>
            <w:tcBorders>
              <w:tl2br w:val="nil"/>
              <w:tr2bl w:val="nil"/>
            </w:tcBorders>
            <w:vAlign w:val="center"/>
          </w:tcPr>
          <w:p>
            <w:pPr>
              <w:pStyle w:val="30"/>
              <w:widowControl w:val="0"/>
              <w:jc w:val="center"/>
              <w:rPr>
                <w:rFonts w:hint="eastAsia"/>
                <w:vertAlign w:val="baseline"/>
                <w:lang w:val="en-US" w:eastAsia="zh-CN"/>
              </w:rPr>
            </w:pP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副产品加工</w:t>
            </w:r>
          </w:p>
        </w:tc>
        <w:tc>
          <w:tcPr>
            <w:tcW w:w="4528" w:type="dxa"/>
            <w:tcBorders>
              <w:tl2br w:val="nil"/>
              <w:tr2bl w:val="nil"/>
            </w:tcBorders>
            <w:vAlign w:val="center"/>
          </w:tcPr>
          <w:p>
            <w:pPr>
              <w:pStyle w:val="30"/>
              <w:widowControl w:val="0"/>
              <w:jc w:val="center"/>
              <w:rPr>
                <w:rFonts w:hint="default" w:eastAsia="宋体"/>
                <w:lang w:val="en-US" w:eastAsia="zh-CN"/>
              </w:rPr>
            </w:pPr>
            <w:r>
              <w:rPr>
                <w:rFonts w:hint="eastAsia"/>
                <w:lang w:val="en-US" w:eastAsia="zh-CN"/>
              </w:rPr>
              <w:t>不可食用内脏、粪便和肠胃内容物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vMerge w:val="continue"/>
            <w:tcBorders>
              <w:tl2br w:val="nil"/>
              <w:tr2bl w:val="nil"/>
            </w:tcBorders>
            <w:vAlign w:val="center"/>
          </w:tcPr>
          <w:p>
            <w:pPr>
              <w:pStyle w:val="30"/>
              <w:widowControl w:val="0"/>
              <w:jc w:val="center"/>
              <w:rPr>
                <w:rFonts w:hint="eastAsia"/>
                <w:vertAlign w:val="baseline"/>
                <w:lang w:val="en-US" w:eastAsia="zh-CN"/>
              </w:rPr>
            </w:pP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污水处理设施</w:t>
            </w:r>
          </w:p>
        </w:tc>
        <w:tc>
          <w:tcPr>
            <w:tcW w:w="4528" w:type="dxa"/>
            <w:tcBorders>
              <w:tl2br w:val="nil"/>
              <w:tr2bl w:val="nil"/>
            </w:tcBorders>
            <w:vAlign w:val="center"/>
          </w:tcPr>
          <w:p>
            <w:pPr>
              <w:pStyle w:val="30"/>
              <w:widowControl w:val="0"/>
              <w:jc w:val="center"/>
              <w:rPr>
                <w:rFonts w:hint="default" w:eastAsia="宋体"/>
                <w:lang w:val="en-US" w:eastAsia="zh-CN"/>
              </w:rPr>
            </w:pPr>
            <w:r>
              <w:rPr>
                <w:rFonts w:hint="eastAsia"/>
                <w:lang w:val="en-US" w:eastAsia="zh-CN"/>
              </w:rPr>
              <w:t>栅渣、污泥、废油脂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vMerge w:val="continue"/>
            <w:tcBorders>
              <w:tl2br w:val="nil"/>
              <w:tr2bl w:val="nil"/>
            </w:tcBorders>
            <w:vAlign w:val="center"/>
          </w:tcPr>
          <w:p>
            <w:pPr>
              <w:pStyle w:val="30"/>
              <w:widowControl w:val="0"/>
              <w:jc w:val="center"/>
              <w:rPr>
                <w:rFonts w:hint="eastAsia"/>
                <w:vertAlign w:val="baseline"/>
                <w:lang w:val="en-US" w:eastAsia="zh-CN"/>
              </w:rPr>
            </w:pP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机修</w:t>
            </w:r>
          </w:p>
        </w:tc>
        <w:tc>
          <w:tcPr>
            <w:tcW w:w="4528" w:type="dxa"/>
            <w:tcBorders>
              <w:tl2br w:val="nil"/>
              <w:tr2bl w:val="nil"/>
            </w:tcBorders>
            <w:vAlign w:val="center"/>
          </w:tcPr>
          <w:p>
            <w:pPr>
              <w:pStyle w:val="30"/>
              <w:widowControl w:val="0"/>
              <w:jc w:val="center"/>
              <w:rPr>
                <w:rFonts w:hint="eastAsia" w:eastAsia="宋体"/>
                <w:lang w:val="en-US" w:eastAsia="zh-CN"/>
              </w:rPr>
            </w:pPr>
            <w:r>
              <w:rPr>
                <w:rFonts w:hint="eastAsia"/>
                <w:lang w:val="en-US" w:eastAsia="zh-CN"/>
              </w:rPr>
              <w:t>废润滑油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vMerge w:val="continue"/>
            <w:tcBorders>
              <w:tl2br w:val="nil"/>
              <w:tr2bl w:val="nil"/>
            </w:tcBorders>
            <w:vAlign w:val="center"/>
          </w:tcPr>
          <w:p>
            <w:pPr>
              <w:pStyle w:val="30"/>
              <w:widowControl w:val="0"/>
              <w:jc w:val="center"/>
              <w:rPr>
                <w:rFonts w:hint="eastAsia"/>
                <w:vertAlign w:val="baseline"/>
                <w:lang w:val="en-US" w:eastAsia="zh-CN"/>
              </w:rPr>
            </w:pP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食堂</w:t>
            </w:r>
          </w:p>
        </w:tc>
        <w:tc>
          <w:tcPr>
            <w:tcW w:w="4528" w:type="dxa"/>
            <w:tcBorders>
              <w:tl2br w:val="nil"/>
              <w:tr2bl w:val="nil"/>
            </w:tcBorders>
            <w:vAlign w:val="center"/>
          </w:tcPr>
          <w:p>
            <w:pPr>
              <w:pStyle w:val="30"/>
              <w:widowControl w:val="0"/>
              <w:jc w:val="center"/>
              <w:rPr>
                <w:rFonts w:hint="default"/>
                <w:lang w:val="en-US" w:eastAsia="zh-CN"/>
              </w:rPr>
            </w:pPr>
            <w:r>
              <w:rPr>
                <w:rFonts w:hint="eastAsia"/>
                <w:lang w:val="en-US" w:eastAsia="zh-CN"/>
              </w:rPr>
              <w:t>餐厨垃圾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4" w:type="dxa"/>
            <w:gridSpan w:val="2"/>
            <w:vMerge w:val="continue"/>
            <w:tcBorders>
              <w:tl2br w:val="nil"/>
              <w:tr2bl w:val="nil"/>
            </w:tcBorders>
            <w:vAlign w:val="center"/>
          </w:tcPr>
          <w:p>
            <w:pPr>
              <w:pStyle w:val="30"/>
              <w:widowControl w:val="0"/>
              <w:jc w:val="center"/>
              <w:rPr>
                <w:rFonts w:hint="eastAsia"/>
                <w:vertAlign w:val="baseline"/>
                <w:lang w:val="en-US" w:eastAsia="zh-CN"/>
              </w:rPr>
            </w:pPr>
          </w:p>
        </w:tc>
        <w:tc>
          <w:tcPr>
            <w:tcW w:w="34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员工生活</w:t>
            </w:r>
          </w:p>
        </w:tc>
        <w:tc>
          <w:tcPr>
            <w:tcW w:w="4528" w:type="dxa"/>
            <w:tcBorders>
              <w:tl2br w:val="nil"/>
              <w:tr2bl w:val="nil"/>
            </w:tcBorders>
            <w:vAlign w:val="center"/>
          </w:tcPr>
          <w:p>
            <w:pPr>
              <w:pStyle w:val="30"/>
              <w:widowControl w:val="0"/>
              <w:jc w:val="center"/>
              <w:rPr>
                <w:rFonts w:hint="eastAsia" w:eastAsia="宋体"/>
                <w:lang w:val="en-US" w:eastAsia="zh-CN"/>
              </w:rPr>
            </w:pPr>
            <w:r>
              <w:rPr>
                <w:rFonts w:hint="eastAsia"/>
                <w:lang w:val="en-US" w:eastAsia="zh-CN"/>
              </w:rPr>
              <w:t>生活垃圾</w:t>
            </w:r>
          </w:p>
        </w:tc>
      </w:tr>
    </w:tbl>
    <w:p>
      <w:pPr>
        <w:pStyle w:val="4"/>
        <w:bidi w:val="0"/>
        <w:rPr>
          <w:rFonts w:hint="default"/>
          <w:lang w:val="en-US" w:eastAsia="zh-CN"/>
        </w:rPr>
      </w:pPr>
      <w:bookmarkStart w:id="46" w:name="_Toc18445"/>
      <w:r>
        <w:rPr>
          <w:rFonts w:hint="eastAsia"/>
          <w:lang w:val="en-US" w:eastAsia="zh-CN"/>
        </w:rPr>
        <w:t>物料平衡及水平衡</w:t>
      </w:r>
      <w:bookmarkEnd w:id="46"/>
    </w:p>
    <w:p>
      <w:pPr>
        <w:pStyle w:val="5"/>
        <w:bidi w:val="0"/>
        <w:rPr>
          <w:rFonts w:hint="default"/>
          <w:lang w:val="en-US" w:eastAsia="zh-CN"/>
        </w:rPr>
      </w:pPr>
      <w:r>
        <w:rPr>
          <w:rFonts w:hint="eastAsia"/>
          <w:lang w:val="en-US" w:eastAsia="zh-CN"/>
        </w:rPr>
        <w:t>生猪屠宰物料平衡</w:t>
      </w:r>
    </w:p>
    <w:p>
      <w:pPr>
        <w:bidi w:val="0"/>
        <w:rPr>
          <w:rFonts w:hint="default"/>
          <w:lang w:val="en-US" w:eastAsia="zh-CN"/>
        </w:rPr>
      </w:pPr>
      <w:r>
        <w:rPr>
          <w:rFonts w:hint="eastAsia"/>
          <w:lang w:val="en-US" w:eastAsia="zh-CN"/>
        </w:rPr>
        <w:t>按照每头生猪平均重量按100kg计（年屠宰30万头），年产猪肉及副产品45650t。物料平衡见表3.3-1，生猪屠宰物料平衡见图3.3-1。</w:t>
      </w:r>
    </w:p>
    <w:p>
      <w:pPr>
        <w:pStyle w:val="29"/>
        <w:bidi w:val="0"/>
        <w:rPr>
          <w:rFonts w:hint="default"/>
          <w:lang w:val="en-US" w:eastAsia="zh-CN"/>
        </w:rPr>
      </w:pPr>
      <w:r>
        <w:rPr>
          <w:rFonts w:hint="eastAsia"/>
          <w:lang w:val="en-US" w:eastAsia="zh-CN"/>
        </w:rPr>
        <w:t>表3.3-1  项目生猪屠宰物料平衡表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749"/>
        <w:gridCol w:w="1449"/>
        <w:gridCol w:w="903"/>
        <w:gridCol w:w="3143"/>
        <w:gridCol w:w="1240"/>
        <w:gridCol w:w="1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9" w:type="pct"/>
            <w:vMerge w:val="restar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序号</w:t>
            </w:r>
          </w:p>
        </w:tc>
        <w:tc>
          <w:tcPr>
            <w:tcW w:w="1142" w:type="pct"/>
            <w:gridSpan w:val="2"/>
            <w:vMerge w:val="restar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投入（t/a）</w:t>
            </w:r>
          </w:p>
        </w:tc>
        <w:tc>
          <w:tcPr>
            <w:tcW w:w="3498" w:type="pct"/>
            <w:gridSpan w:val="4"/>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tcBorders>
              <w:tl2br w:val="nil"/>
              <w:tr2bl w:val="nil"/>
            </w:tcBorders>
            <w:vAlign w:val="center"/>
          </w:tcPr>
          <w:p>
            <w:pPr>
              <w:pStyle w:val="30"/>
              <w:widowControl w:val="0"/>
              <w:bidi w:val="0"/>
              <w:jc w:val="center"/>
              <w:rPr>
                <w:rFonts w:hint="default"/>
                <w:b/>
                <w:bCs/>
                <w:lang w:val="en-US" w:eastAsia="zh-CN"/>
              </w:rPr>
            </w:pPr>
          </w:p>
        </w:tc>
        <w:tc>
          <w:tcPr>
            <w:tcW w:w="1142" w:type="pct"/>
            <w:gridSpan w:val="2"/>
            <w:vMerge w:val="continue"/>
            <w:tcBorders>
              <w:tl2br w:val="nil"/>
              <w:tr2bl w:val="nil"/>
            </w:tcBorders>
            <w:vAlign w:val="center"/>
          </w:tcPr>
          <w:p>
            <w:pPr>
              <w:pStyle w:val="30"/>
              <w:widowControl w:val="0"/>
              <w:bidi w:val="0"/>
              <w:jc w:val="center"/>
              <w:rPr>
                <w:rFonts w:hint="default"/>
                <w:b/>
                <w:bCs/>
                <w:lang w:val="en-US" w:eastAsia="zh-CN"/>
              </w:rPr>
            </w:pPr>
          </w:p>
        </w:tc>
        <w:tc>
          <w:tcPr>
            <w:tcW w:w="2102" w:type="pct"/>
            <w:gridSpan w:val="2"/>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项目</w:t>
            </w:r>
          </w:p>
        </w:tc>
        <w:tc>
          <w:tcPr>
            <w:tcW w:w="644" w:type="pc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占比（%）</w:t>
            </w:r>
          </w:p>
        </w:tc>
        <w:tc>
          <w:tcPr>
            <w:tcW w:w="751" w:type="pc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产出量（t/a）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389"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生猪</w:t>
            </w:r>
          </w:p>
        </w:tc>
        <w:tc>
          <w:tcPr>
            <w:tcW w:w="752" w:type="pct"/>
            <w:vMerge w:val="restar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50000</w:t>
            </w:r>
          </w:p>
          <w:p>
            <w:pPr>
              <w:pStyle w:val="30"/>
              <w:widowControl w:val="0"/>
              <w:bidi w:val="0"/>
              <w:jc w:val="center"/>
              <w:rPr>
                <w:rFonts w:hint="default"/>
                <w:lang w:val="en-US" w:eastAsia="zh-CN"/>
              </w:rPr>
            </w:pPr>
            <w:r>
              <w:rPr>
                <w:rFonts w:hint="eastAsia"/>
                <w:lang w:val="en-US" w:eastAsia="zh-CN"/>
              </w:rPr>
              <w:t>（30万头）</w:t>
            </w:r>
          </w:p>
        </w:tc>
        <w:tc>
          <w:tcPr>
            <w:tcW w:w="469"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猪肉</w:t>
            </w:r>
          </w:p>
        </w:tc>
        <w:tc>
          <w:tcPr>
            <w:tcW w:w="1632" w:type="pc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白条肉</w:t>
            </w:r>
          </w:p>
        </w:tc>
        <w:tc>
          <w:tcPr>
            <w:tcW w:w="644"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70</w:t>
            </w:r>
          </w:p>
        </w:tc>
        <w:tc>
          <w:tcPr>
            <w:tcW w:w="1447" w:type="dxa"/>
            <w:tcBorders>
              <w:tl2br w:val="nil"/>
              <w:tr2bl w:val="nil"/>
            </w:tcBorders>
            <w:vAlign w:val="center"/>
          </w:tcPr>
          <w:p>
            <w:pPr>
              <w:pStyle w:val="30"/>
              <w:widowControl w:val="0"/>
              <w:bidi w:val="0"/>
              <w:rPr>
                <w:rFonts w:hint="default"/>
                <w:lang w:val="en-US" w:eastAsia="zh-CN"/>
              </w:rPr>
            </w:pPr>
            <w:r>
              <w:rPr>
                <w:rFonts w:hint="eastAsia"/>
                <w:lang w:val="en-US" w:eastAsia="zh-CN"/>
              </w:rPr>
              <w:t>19680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w:t>
            </w:r>
          </w:p>
        </w:tc>
        <w:tc>
          <w:tcPr>
            <w:tcW w:w="389" w:type="pct"/>
            <w:vMerge w:val="continue"/>
            <w:tcBorders>
              <w:tl2br w:val="nil"/>
              <w:tr2bl w:val="nil"/>
            </w:tcBorders>
            <w:vAlign w:val="center"/>
          </w:tcPr>
          <w:p>
            <w:pPr>
              <w:pStyle w:val="30"/>
              <w:widowControl w:val="0"/>
              <w:bidi w:val="0"/>
              <w:jc w:val="center"/>
              <w:rPr>
                <w:rFonts w:hint="default"/>
                <w:lang w:val="en-US" w:eastAsia="zh-CN"/>
              </w:rPr>
            </w:pPr>
          </w:p>
        </w:tc>
        <w:tc>
          <w:tcPr>
            <w:tcW w:w="752" w:type="pct"/>
            <w:vMerge w:val="continue"/>
            <w:tcBorders>
              <w:tl2br w:val="nil"/>
              <w:tr2bl w:val="nil"/>
            </w:tcBorders>
            <w:vAlign w:val="center"/>
          </w:tcPr>
          <w:p>
            <w:pPr>
              <w:pStyle w:val="30"/>
              <w:widowControl w:val="0"/>
              <w:bidi w:val="0"/>
              <w:jc w:val="center"/>
              <w:rPr>
                <w:rFonts w:hint="default"/>
                <w:lang w:val="en-US" w:eastAsia="zh-CN"/>
              </w:rPr>
            </w:pPr>
          </w:p>
        </w:tc>
        <w:tc>
          <w:tcPr>
            <w:tcW w:w="469" w:type="pct"/>
            <w:vMerge w:val="continue"/>
            <w:tcBorders>
              <w:tl2br w:val="nil"/>
              <w:tr2bl w:val="nil"/>
            </w:tcBorders>
            <w:vAlign w:val="center"/>
          </w:tcPr>
          <w:p>
            <w:pPr>
              <w:pStyle w:val="30"/>
              <w:widowControl w:val="0"/>
              <w:bidi w:val="0"/>
              <w:jc w:val="center"/>
              <w:rPr>
                <w:rFonts w:hint="default"/>
                <w:lang w:val="en-US" w:eastAsia="zh-CN"/>
              </w:rPr>
            </w:pPr>
          </w:p>
        </w:tc>
        <w:tc>
          <w:tcPr>
            <w:tcW w:w="1632" w:type="pc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分割肉</w:t>
            </w:r>
          </w:p>
        </w:tc>
        <w:tc>
          <w:tcPr>
            <w:tcW w:w="644" w:type="pct"/>
            <w:vMerge w:val="continue"/>
            <w:tcBorders>
              <w:tl2br w:val="nil"/>
              <w:tr2bl w:val="nil"/>
            </w:tcBorders>
            <w:vAlign w:val="center"/>
          </w:tcPr>
          <w:p>
            <w:pPr>
              <w:pStyle w:val="30"/>
              <w:widowControl w:val="0"/>
              <w:bidi w:val="0"/>
              <w:jc w:val="center"/>
              <w:rPr>
                <w:rFonts w:hint="default"/>
                <w:lang w:val="en-US" w:eastAsia="zh-CN"/>
              </w:rPr>
            </w:pPr>
          </w:p>
        </w:tc>
        <w:tc>
          <w:tcPr>
            <w:tcW w:w="1447" w:type="dxa"/>
            <w:tcBorders>
              <w:tl2br w:val="nil"/>
              <w:tr2bl w:val="nil"/>
            </w:tcBorders>
            <w:vAlign w:val="center"/>
          </w:tcPr>
          <w:p>
            <w:pPr>
              <w:pStyle w:val="30"/>
              <w:widowControl w:val="0"/>
              <w:bidi w:val="0"/>
              <w:rPr>
                <w:rFonts w:hint="default"/>
                <w:lang w:val="en-US" w:eastAsia="zh-CN"/>
              </w:rPr>
            </w:pPr>
            <w:r>
              <w:rPr>
                <w:rFonts w:hint="eastAsia"/>
                <w:lang w:val="en-US" w:eastAsia="zh-CN"/>
              </w:rPr>
              <w:t>1320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w:t>
            </w:r>
          </w:p>
        </w:tc>
        <w:tc>
          <w:tcPr>
            <w:tcW w:w="389" w:type="pct"/>
            <w:vMerge w:val="continue"/>
            <w:tcBorders>
              <w:tl2br w:val="nil"/>
              <w:tr2bl w:val="nil"/>
            </w:tcBorders>
            <w:vAlign w:val="center"/>
          </w:tcPr>
          <w:p>
            <w:pPr>
              <w:pStyle w:val="30"/>
              <w:widowControl w:val="0"/>
              <w:bidi w:val="0"/>
              <w:jc w:val="center"/>
              <w:rPr>
                <w:rFonts w:hint="default"/>
                <w:lang w:val="en-US" w:eastAsia="zh-CN"/>
              </w:rPr>
            </w:pPr>
          </w:p>
        </w:tc>
        <w:tc>
          <w:tcPr>
            <w:tcW w:w="752" w:type="pct"/>
            <w:vMerge w:val="continue"/>
            <w:tcBorders>
              <w:tl2br w:val="nil"/>
              <w:tr2bl w:val="nil"/>
            </w:tcBorders>
            <w:vAlign w:val="center"/>
          </w:tcPr>
          <w:p>
            <w:pPr>
              <w:pStyle w:val="30"/>
              <w:widowControl w:val="0"/>
              <w:bidi w:val="0"/>
              <w:jc w:val="center"/>
              <w:rPr>
                <w:rFonts w:hint="default"/>
                <w:lang w:val="en-US" w:eastAsia="zh-CN"/>
              </w:rPr>
            </w:pPr>
          </w:p>
        </w:tc>
        <w:tc>
          <w:tcPr>
            <w:tcW w:w="469"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副产品</w:t>
            </w:r>
          </w:p>
        </w:tc>
        <w:tc>
          <w:tcPr>
            <w:tcW w:w="1632" w:type="pc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头、蹄</w:t>
            </w:r>
          </w:p>
        </w:tc>
        <w:tc>
          <w:tcPr>
            <w:tcW w:w="64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12</w:t>
            </w:r>
          </w:p>
        </w:tc>
        <w:tc>
          <w:tcPr>
            <w:tcW w:w="1447" w:type="dxa"/>
            <w:tcBorders>
              <w:tl2br w:val="nil"/>
              <w:tr2bl w:val="nil"/>
            </w:tcBorders>
            <w:vAlign w:val="center"/>
          </w:tcPr>
          <w:p>
            <w:pPr>
              <w:pStyle w:val="30"/>
              <w:widowControl w:val="0"/>
              <w:bidi w:val="0"/>
              <w:rPr>
                <w:rFonts w:hint="default"/>
                <w:lang w:val="en-US" w:eastAsia="zh-CN"/>
              </w:rPr>
            </w:pPr>
            <w:r>
              <w:rPr>
                <w:rFonts w:hint="eastAsia"/>
                <w:lang w:val="en-US" w:eastAsia="zh-CN"/>
              </w:rPr>
              <w:t>3600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4</w:t>
            </w:r>
          </w:p>
        </w:tc>
        <w:tc>
          <w:tcPr>
            <w:tcW w:w="389" w:type="pct"/>
            <w:vMerge w:val="continue"/>
            <w:tcBorders>
              <w:tl2br w:val="nil"/>
              <w:tr2bl w:val="nil"/>
            </w:tcBorders>
            <w:vAlign w:val="center"/>
          </w:tcPr>
          <w:p>
            <w:pPr>
              <w:pStyle w:val="30"/>
              <w:widowControl w:val="0"/>
              <w:bidi w:val="0"/>
              <w:jc w:val="center"/>
              <w:rPr>
                <w:rFonts w:hint="default"/>
                <w:lang w:val="en-US" w:eastAsia="zh-CN"/>
              </w:rPr>
            </w:pPr>
          </w:p>
        </w:tc>
        <w:tc>
          <w:tcPr>
            <w:tcW w:w="752" w:type="pct"/>
            <w:vMerge w:val="continue"/>
            <w:tcBorders>
              <w:tl2br w:val="nil"/>
              <w:tr2bl w:val="nil"/>
            </w:tcBorders>
            <w:vAlign w:val="center"/>
          </w:tcPr>
          <w:p>
            <w:pPr>
              <w:pStyle w:val="30"/>
              <w:widowControl w:val="0"/>
              <w:bidi w:val="0"/>
              <w:jc w:val="center"/>
              <w:rPr>
                <w:rFonts w:hint="default"/>
                <w:lang w:val="en-US" w:eastAsia="zh-CN"/>
              </w:rPr>
            </w:pPr>
          </w:p>
        </w:tc>
        <w:tc>
          <w:tcPr>
            <w:tcW w:w="469" w:type="pct"/>
            <w:vMerge w:val="continue"/>
            <w:tcBorders>
              <w:tl2br w:val="nil"/>
              <w:tr2bl w:val="nil"/>
            </w:tcBorders>
            <w:vAlign w:val="center"/>
          </w:tcPr>
          <w:p>
            <w:pPr>
              <w:pStyle w:val="30"/>
              <w:widowControl w:val="0"/>
              <w:bidi w:val="0"/>
              <w:jc w:val="center"/>
              <w:rPr>
                <w:rFonts w:hint="default"/>
                <w:lang w:val="en-US" w:eastAsia="zh-CN"/>
              </w:rPr>
            </w:pPr>
          </w:p>
        </w:tc>
        <w:tc>
          <w:tcPr>
            <w:tcW w:w="1632" w:type="pc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猪血</w:t>
            </w:r>
          </w:p>
        </w:tc>
        <w:tc>
          <w:tcPr>
            <w:tcW w:w="64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1.5</w:t>
            </w:r>
          </w:p>
        </w:tc>
        <w:tc>
          <w:tcPr>
            <w:tcW w:w="1447" w:type="dxa"/>
            <w:tcBorders>
              <w:tl2br w:val="nil"/>
              <w:tr2bl w:val="nil"/>
            </w:tcBorders>
            <w:vAlign w:val="center"/>
          </w:tcPr>
          <w:p>
            <w:pPr>
              <w:pStyle w:val="30"/>
              <w:widowControl w:val="0"/>
              <w:bidi w:val="0"/>
              <w:rPr>
                <w:rFonts w:hint="default"/>
                <w:lang w:val="en-US" w:eastAsia="zh-CN"/>
              </w:rPr>
            </w:pPr>
            <w:r>
              <w:rPr>
                <w:rFonts w:hint="eastAsia"/>
                <w:lang w:val="en-US" w:eastAsia="zh-CN"/>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w:t>
            </w:r>
          </w:p>
        </w:tc>
        <w:tc>
          <w:tcPr>
            <w:tcW w:w="389" w:type="pct"/>
            <w:vMerge w:val="continue"/>
            <w:tcBorders>
              <w:tl2br w:val="nil"/>
              <w:tr2bl w:val="nil"/>
            </w:tcBorders>
            <w:vAlign w:val="center"/>
          </w:tcPr>
          <w:p>
            <w:pPr>
              <w:pStyle w:val="30"/>
              <w:widowControl w:val="0"/>
              <w:bidi w:val="0"/>
              <w:jc w:val="center"/>
              <w:rPr>
                <w:rFonts w:hint="default"/>
                <w:lang w:val="en-US" w:eastAsia="zh-CN"/>
              </w:rPr>
            </w:pPr>
          </w:p>
        </w:tc>
        <w:tc>
          <w:tcPr>
            <w:tcW w:w="752" w:type="pct"/>
            <w:vMerge w:val="continue"/>
            <w:tcBorders>
              <w:tl2br w:val="nil"/>
              <w:tr2bl w:val="nil"/>
            </w:tcBorders>
            <w:vAlign w:val="center"/>
          </w:tcPr>
          <w:p>
            <w:pPr>
              <w:pStyle w:val="30"/>
              <w:widowControl w:val="0"/>
              <w:bidi w:val="0"/>
              <w:jc w:val="center"/>
              <w:rPr>
                <w:rFonts w:hint="default"/>
                <w:lang w:val="en-US" w:eastAsia="zh-CN"/>
              </w:rPr>
            </w:pPr>
          </w:p>
        </w:tc>
        <w:tc>
          <w:tcPr>
            <w:tcW w:w="469" w:type="pct"/>
            <w:vMerge w:val="continue"/>
            <w:tcBorders>
              <w:tl2br w:val="nil"/>
              <w:tr2bl w:val="nil"/>
            </w:tcBorders>
            <w:vAlign w:val="center"/>
          </w:tcPr>
          <w:p>
            <w:pPr>
              <w:pStyle w:val="30"/>
              <w:widowControl w:val="0"/>
              <w:bidi w:val="0"/>
              <w:jc w:val="center"/>
              <w:rPr>
                <w:rFonts w:hint="default"/>
                <w:lang w:val="en-US" w:eastAsia="zh-CN"/>
              </w:rPr>
            </w:pPr>
          </w:p>
        </w:tc>
        <w:tc>
          <w:tcPr>
            <w:tcW w:w="1632" w:type="pc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可食用内脏</w:t>
            </w:r>
          </w:p>
        </w:tc>
        <w:tc>
          <w:tcPr>
            <w:tcW w:w="64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7.5</w:t>
            </w:r>
          </w:p>
        </w:tc>
        <w:tc>
          <w:tcPr>
            <w:tcW w:w="1447" w:type="dxa"/>
            <w:tcBorders>
              <w:tl2br w:val="nil"/>
              <w:tr2bl w:val="nil"/>
            </w:tcBorders>
            <w:vAlign w:val="center"/>
          </w:tcPr>
          <w:p>
            <w:pPr>
              <w:pStyle w:val="30"/>
              <w:widowControl w:val="0"/>
              <w:bidi w:val="0"/>
              <w:rPr>
                <w:rFonts w:hint="default"/>
                <w:lang w:val="en-US" w:eastAsia="zh-CN"/>
              </w:rPr>
            </w:pPr>
            <w:r>
              <w:rPr>
                <w:rFonts w:hint="eastAsia"/>
                <w:lang w:val="en-US" w:eastAsia="zh-CN"/>
              </w:rPr>
              <w:t>2250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6</w:t>
            </w:r>
          </w:p>
        </w:tc>
        <w:tc>
          <w:tcPr>
            <w:tcW w:w="389" w:type="pct"/>
            <w:vMerge w:val="continue"/>
            <w:tcBorders>
              <w:tl2br w:val="nil"/>
              <w:tr2bl w:val="nil"/>
            </w:tcBorders>
            <w:vAlign w:val="center"/>
          </w:tcPr>
          <w:p>
            <w:pPr>
              <w:pStyle w:val="30"/>
              <w:widowControl w:val="0"/>
              <w:bidi w:val="0"/>
              <w:jc w:val="center"/>
              <w:rPr>
                <w:rFonts w:hint="default"/>
                <w:lang w:val="en-US" w:eastAsia="zh-CN"/>
              </w:rPr>
            </w:pPr>
          </w:p>
        </w:tc>
        <w:tc>
          <w:tcPr>
            <w:tcW w:w="752" w:type="pct"/>
            <w:vMerge w:val="continue"/>
            <w:tcBorders>
              <w:tl2br w:val="nil"/>
              <w:tr2bl w:val="nil"/>
            </w:tcBorders>
            <w:vAlign w:val="center"/>
          </w:tcPr>
          <w:p>
            <w:pPr>
              <w:pStyle w:val="30"/>
              <w:widowControl w:val="0"/>
              <w:bidi w:val="0"/>
              <w:jc w:val="center"/>
              <w:rPr>
                <w:rFonts w:hint="default"/>
                <w:lang w:val="en-US" w:eastAsia="zh-CN"/>
              </w:rPr>
            </w:pPr>
          </w:p>
        </w:tc>
        <w:tc>
          <w:tcPr>
            <w:tcW w:w="469" w:type="pct"/>
            <w:vMerge w:val="continue"/>
            <w:tcBorders>
              <w:tl2br w:val="nil"/>
              <w:tr2bl w:val="nil"/>
            </w:tcBorders>
            <w:vAlign w:val="center"/>
          </w:tcPr>
          <w:p>
            <w:pPr>
              <w:pStyle w:val="30"/>
              <w:widowControl w:val="0"/>
              <w:bidi w:val="0"/>
              <w:jc w:val="center"/>
              <w:rPr>
                <w:rFonts w:hint="default"/>
                <w:lang w:val="en-US" w:eastAsia="zh-CN"/>
              </w:rPr>
            </w:pPr>
          </w:p>
        </w:tc>
        <w:tc>
          <w:tcPr>
            <w:tcW w:w="1632" w:type="pc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猪毛和蹄壳</w:t>
            </w:r>
          </w:p>
        </w:tc>
        <w:tc>
          <w:tcPr>
            <w:tcW w:w="64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0.3</w:t>
            </w:r>
          </w:p>
        </w:tc>
        <w:tc>
          <w:tcPr>
            <w:tcW w:w="1447" w:type="dxa"/>
            <w:tcBorders>
              <w:tl2br w:val="nil"/>
              <w:tr2bl w:val="nil"/>
            </w:tcBorders>
            <w:vAlign w:val="center"/>
          </w:tcPr>
          <w:p>
            <w:pPr>
              <w:pStyle w:val="30"/>
              <w:widowControl w:val="0"/>
              <w:bidi w:val="0"/>
              <w:rPr>
                <w:rFonts w:hint="default"/>
                <w:lang w:val="en-US" w:eastAsia="zh-CN"/>
              </w:rPr>
            </w:pPr>
            <w:r>
              <w:rPr>
                <w:rFonts w:hint="eastAsia"/>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7</w:t>
            </w:r>
          </w:p>
        </w:tc>
        <w:tc>
          <w:tcPr>
            <w:tcW w:w="389" w:type="pct"/>
            <w:vMerge w:val="continue"/>
            <w:tcBorders>
              <w:tl2br w:val="nil"/>
              <w:tr2bl w:val="nil"/>
            </w:tcBorders>
            <w:vAlign w:val="center"/>
          </w:tcPr>
          <w:p>
            <w:pPr>
              <w:pStyle w:val="30"/>
              <w:widowControl w:val="0"/>
              <w:bidi w:val="0"/>
              <w:jc w:val="center"/>
              <w:rPr>
                <w:rFonts w:hint="default"/>
                <w:lang w:val="en-US" w:eastAsia="zh-CN"/>
              </w:rPr>
            </w:pPr>
          </w:p>
        </w:tc>
        <w:tc>
          <w:tcPr>
            <w:tcW w:w="752" w:type="pct"/>
            <w:vMerge w:val="continue"/>
            <w:tcBorders>
              <w:tl2br w:val="nil"/>
              <w:tr2bl w:val="nil"/>
            </w:tcBorders>
            <w:vAlign w:val="center"/>
          </w:tcPr>
          <w:p>
            <w:pPr>
              <w:pStyle w:val="30"/>
              <w:widowControl w:val="0"/>
              <w:bidi w:val="0"/>
              <w:jc w:val="center"/>
              <w:rPr>
                <w:rFonts w:hint="default"/>
                <w:lang w:val="en-US" w:eastAsia="zh-CN"/>
              </w:rPr>
            </w:pPr>
          </w:p>
        </w:tc>
        <w:tc>
          <w:tcPr>
            <w:tcW w:w="469" w:type="pct"/>
            <w:vMerge w:val="continue"/>
            <w:tcBorders>
              <w:tl2br w:val="nil"/>
              <w:tr2bl w:val="nil"/>
            </w:tcBorders>
            <w:vAlign w:val="center"/>
          </w:tcPr>
          <w:p>
            <w:pPr>
              <w:pStyle w:val="30"/>
              <w:widowControl w:val="0"/>
              <w:bidi w:val="0"/>
              <w:jc w:val="center"/>
              <w:rPr>
                <w:rFonts w:hint="default"/>
                <w:lang w:val="en-US" w:eastAsia="zh-CN"/>
              </w:rPr>
            </w:pPr>
          </w:p>
        </w:tc>
        <w:tc>
          <w:tcPr>
            <w:tcW w:w="1632" w:type="pc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检疫不合格猪及病胴体、病内脏</w:t>
            </w:r>
          </w:p>
        </w:tc>
        <w:tc>
          <w:tcPr>
            <w:tcW w:w="64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0.1</w:t>
            </w:r>
          </w:p>
        </w:tc>
        <w:tc>
          <w:tcPr>
            <w:tcW w:w="1447" w:type="dxa"/>
            <w:tcBorders>
              <w:tl2br w:val="nil"/>
              <w:tr2bl w:val="nil"/>
            </w:tcBorders>
            <w:vAlign w:val="center"/>
          </w:tcPr>
          <w:p>
            <w:pPr>
              <w:pStyle w:val="30"/>
              <w:widowControl w:val="0"/>
              <w:bidi w:val="0"/>
              <w:rPr>
                <w:rFonts w:hint="default"/>
                <w:lang w:val="en-US" w:eastAsia="zh-CN"/>
              </w:rPr>
            </w:pPr>
            <w:r>
              <w:rPr>
                <w:rFonts w:hint="eastAsia"/>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8</w:t>
            </w:r>
          </w:p>
        </w:tc>
        <w:tc>
          <w:tcPr>
            <w:tcW w:w="389" w:type="pct"/>
            <w:vMerge w:val="continue"/>
            <w:tcBorders>
              <w:tl2br w:val="nil"/>
              <w:tr2bl w:val="nil"/>
            </w:tcBorders>
            <w:vAlign w:val="center"/>
          </w:tcPr>
          <w:p>
            <w:pPr>
              <w:pStyle w:val="30"/>
              <w:widowControl w:val="0"/>
              <w:bidi w:val="0"/>
              <w:jc w:val="center"/>
              <w:rPr>
                <w:rFonts w:hint="default"/>
                <w:lang w:val="en-US" w:eastAsia="zh-CN"/>
              </w:rPr>
            </w:pPr>
          </w:p>
        </w:tc>
        <w:tc>
          <w:tcPr>
            <w:tcW w:w="752" w:type="pct"/>
            <w:vMerge w:val="continue"/>
            <w:tcBorders>
              <w:tl2br w:val="nil"/>
              <w:tr2bl w:val="nil"/>
            </w:tcBorders>
            <w:vAlign w:val="center"/>
          </w:tcPr>
          <w:p>
            <w:pPr>
              <w:pStyle w:val="30"/>
              <w:widowControl w:val="0"/>
              <w:bidi w:val="0"/>
              <w:jc w:val="center"/>
              <w:rPr>
                <w:rFonts w:hint="default"/>
                <w:lang w:val="en-US" w:eastAsia="zh-CN"/>
              </w:rPr>
            </w:pPr>
          </w:p>
        </w:tc>
        <w:tc>
          <w:tcPr>
            <w:tcW w:w="469" w:type="pct"/>
            <w:vMerge w:val="continue"/>
            <w:tcBorders>
              <w:tl2br w:val="nil"/>
              <w:tr2bl w:val="nil"/>
            </w:tcBorders>
            <w:vAlign w:val="center"/>
          </w:tcPr>
          <w:p>
            <w:pPr>
              <w:pStyle w:val="30"/>
              <w:widowControl w:val="0"/>
              <w:bidi w:val="0"/>
              <w:jc w:val="center"/>
              <w:rPr>
                <w:rFonts w:hint="default"/>
                <w:lang w:val="en-US" w:eastAsia="zh-CN"/>
              </w:rPr>
            </w:pPr>
          </w:p>
        </w:tc>
        <w:tc>
          <w:tcPr>
            <w:tcW w:w="1632" w:type="pc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不可食用内脏</w:t>
            </w:r>
          </w:p>
        </w:tc>
        <w:tc>
          <w:tcPr>
            <w:tcW w:w="64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2.4</w:t>
            </w:r>
          </w:p>
        </w:tc>
        <w:tc>
          <w:tcPr>
            <w:tcW w:w="1447" w:type="dxa"/>
            <w:tcBorders>
              <w:tl2br w:val="nil"/>
              <w:tr2bl w:val="nil"/>
            </w:tcBorders>
            <w:vAlign w:val="center"/>
          </w:tcPr>
          <w:p>
            <w:pPr>
              <w:pStyle w:val="30"/>
              <w:widowControl w:val="0"/>
              <w:bidi w:val="0"/>
              <w:rPr>
                <w:rFonts w:hint="default"/>
                <w:lang w:val="en-US" w:eastAsia="zh-CN"/>
              </w:rPr>
            </w:pPr>
            <w:r>
              <w:rPr>
                <w:rFonts w:hint="eastAsia"/>
                <w:lang w:val="en-US" w:eastAsia="zh-CN"/>
              </w:rPr>
              <w:t>720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9</w:t>
            </w:r>
          </w:p>
        </w:tc>
        <w:tc>
          <w:tcPr>
            <w:tcW w:w="389" w:type="pct"/>
            <w:vMerge w:val="continue"/>
            <w:tcBorders>
              <w:tl2br w:val="nil"/>
              <w:tr2bl w:val="nil"/>
            </w:tcBorders>
            <w:vAlign w:val="center"/>
          </w:tcPr>
          <w:p>
            <w:pPr>
              <w:pStyle w:val="30"/>
              <w:widowControl w:val="0"/>
              <w:bidi w:val="0"/>
              <w:jc w:val="center"/>
              <w:rPr>
                <w:rFonts w:hint="default"/>
                <w:lang w:val="en-US" w:eastAsia="zh-CN"/>
              </w:rPr>
            </w:pPr>
          </w:p>
        </w:tc>
        <w:tc>
          <w:tcPr>
            <w:tcW w:w="752" w:type="pct"/>
            <w:vMerge w:val="continue"/>
            <w:tcBorders>
              <w:tl2br w:val="nil"/>
              <w:tr2bl w:val="nil"/>
            </w:tcBorders>
            <w:vAlign w:val="center"/>
          </w:tcPr>
          <w:p>
            <w:pPr>
              <w:pStyle w:val="30"/>
              <w:widowControl w:val="0"/>
              <w:bidi w:val="0"/>
              <w:jc w:val="center"/>
              <w:rPr>
                <w:rFonts w:hint="default"/>
                <w:lang w:val="en-US" w:eastAsia="zh-CN"/>
              </w:rPr>
            </w:pPr>
          </w:p>
        </w:tc>
        <w:tc>
          <w:tcPr>
            <w:tcW w:w="469" w:type="pct"/>
            <w:vMerge w:val="continue"/>
            <w:tcBorders>
              <w:tl2br w:val="nil"/>
              <w:tr2bl w:val="nil"/>
            </w:tcBorders>
            <w:vAlign w:val="center"/>
          </w:tcPr>
          <w:p>
            <w:pPr>
              <w:pStyle w:val="30"/>
              <w:widowControl w:val="0"/>
              <w:bidi w:val="0"/>
              <w:jc w:val="center"/>
              <w:rPr>
                <w:rFonts w:hint="default"/>
                <w:lang w:val="en-US" w:eastAsia="zh-CN"/>
              </w:rPr>
            </w:pPr>
          </w:p>
        </w:tc>
        <w:tc>
          <w:tcPr>
            <w:tcW w:w="1632" w:type="pc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废弃动物组织及碎肉碎骨等</w:t>
            </w:r>
          </w:p>
        </w:tc>
        <w:tc>
          <w:tcPr>
            <w:tcW w:w="64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0.2</w:t>
            </w:r>
          </w:p>
        </w:tc>
        <w:tc>
          <w:tcPr>
            <w:tcW w:w="1447" w:type="dxa"/>
            <w:tcBorders>
              <w:tl2br w:val="nil"/>
              <w:tr2bl w:val="nil"/>
            </w:tcBorders>
            <w:vAlign w:val="center"/>
          </w:tcPr>
          <w:p>
            <w:pPr>
              <w:pStyle w:val="30"/>
              <w:widowControl w:val="0"/>
              <w:bidi w:val="0"/>
              <w:rPr>
                <w:rFonts w:hint="default"/>
                <w:lang w:val="en-US" w:eastAsia="zh-CN"/>
              </w:rPr>
            </w:pPr>
            <w:r>
              <w:rPr>
                <w:rFonts w:hint="eastAsia"/>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w:t>
            </w:r>
          </w:p>
        </w:tc>
        <w:tc>
          <w:tcPr>
            <w:tcW w:w="389" w:type="pct"/>
            <w:vMerge w:val="continue"/>
            <w:tcBorders>
              <w:tl2br w:val="nil"/>
              <w:tr2bl w:val="nil"/>
            </w:tcBorders>
            <w:vAlign w:val="center"/>
          </w:tcPr>
          <w:p>
            <w:pPr>
              <w:pStyle w:val="30"/>
              <w:widowControl w:val="0"/>
              <w:bidi w:val="0"/>
              <w:jc w:val="center"/>
              <w:rPr>
                <w:rFonts w:hint="default"/>
                <w:lang w:val="en-US" w:eastAsia="zh-CN"/>
              </w:rPr>
            </w:pPr>
          </w:p>
        </w:tc>
        <w:tc>
          <w:tcPr>
            <w:tcW w:w="752" w:type="pct"/>
            <w:vMerge w:val="continue"/>
            <w:tcBorders>
              <w:tl2br w:val="nil"/>
              <w:tr2bl w:val="nil"/>
            </w:tcBorders>
            <w:vAlign w:val="center"/>
          </w:tcPr>
          <w:p>
            <w:pPr>
              <w:pStyle w:val="30"/>
              <w:widowControl w:val="0"/>
              <w:bidi w:val="0"/>
              <w:jc w:val="center"/>
              <w:rPr>
                <w:rFonts w:hint="default"/>
                <w:lang w:val="en-US" w:eastAsia="zh-CN"/>
              </w:rPr>
            </w:pPr>
          </w:p>
        </w:tc>
        <w:tc>
          <w:tcPr>
            <w:tcW w:w="469" w:type="pct"/>
            <w:vMerge w:val="continue"/>
            <w:tcBorders>
              <w:tl2br w:val="nil"/>
              <w:tr2bl w:val="nil"/>
            </w:tcBorders>
            <w:vAlign w:val="center"/>
          </w:tcPr>
          <w:p>
            <w:pPr>
              <w:pStyle w:val="30"/>
              <w:widowControl w:val="0"/>
              <w:bidi w:val="0"/>
              <w:jc w:val="center"/>
              <w:rPr>
                <w:rFonts w:hint="default"/>
                <w:lang w:val="en-US" w:eastAsia="zh-CN"/>
              </w:rPr>
            </w:pPr>
          </w:p>
        </w:tc>
        <w:tc>
          <w:tcPr>
            <w:tcW w:w="1632" w:type="pc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猪粪及肠胃内容物</w:t>
            </w:r>
          </w:p>
        </w:tc>
        <w:tc>
          <w:tcPr>
            <w:tcW w:w="64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6</w:t>
            </w:r>
          </w:p>
        </w:tc>
        <w:tc>
          <w:tcPr>
            <w:tcW w:w="1447" w:type="dxa"/>
            <w:tcBorders>
              <w:tl2br w:val="nil"/>
              <w:tr2bl w:val="nil"/>
            </w:tcBorders>
            <w:vAlign w:val="center"/>
          </w:tcPr>
          <w:p>
            <w:pPr>
              <w:pStyle w:val="30"/>
              <w:widowControl w:val="0"/>
              <w:bidi w:val="0"/>
              <w:rPr>
                <w:rFonts w:hint="default"/>
                <w:lang w:val="en-US" w:eastAsia="zh-CN"/>
              </w:rPr>
            </w:pPr>
            <w:r>
              <w:rPr>
                <w:rFonts w:hint="eastAsia"/>
                <w:lang w:val="en-US" w:eastAsia="zh-CN"/>
              </w:rPr>
              <w:t>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合计</w:t>
            </w:r>
          </w:p>
        </w:tc>
        <w:tc>
          <w:tcPr>
            <w:tcW w:w="1142" w:type="pct"/>
            <w:gridSpan w:val="2"/>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30000</w:t>
            </w:r>
          </w:p>
        </w:tc>
        <w:tc>
          <w:tcPr>
            <w:tcW w:w="2102" w:type="pct"/>
            <w:gridSpan w:val="2"/>
            <w:tcBorders>
              <w:tl2br w:val="nil"/>
              <w:tr2bl w:val="nil"/>
            </w:tcBorders>
            <w:vAlign w:val="center"/>
          </w:tcPr>
          <w:p>
            <w:pPr>
              <w:pStyle w:val="30"/>
              <w:widowControl w:val="0"/>
              <w:bidi w:val="0"/>
              <w:jc w:val="center"/>
              <w:rPr>
                <w:rFonts w:hint="default"/>
                <w:lang w:val="en-US" w:eastAsia="zh-CN"/>
              </w:rPr>
            </w:pPr>
            <w:r>
              <w:rPr>
                <w:rFonts w:hint="eastAsia"/>
                <w:lang w:val="en-US" w:eastAsia="zh-CN"/>
              </w:rPr>
              <w:t>/</w:t>
            </w:r>
          </w:p>
        </w:tc>
        <w:tc>
          <w:tcPr>
            <w:tcW w:w="64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100</w:t>
            </w:r>
          </w:p>
        </w:tc>
        <w:tc>
          <w:tcPr>
            <w:tcW w:w="75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30000</w:t>
            </w:r>
          </w:p>
        </w:tc>
      </w:tr>
    </w:tbl>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30"/>
        <w:bidi w:val="0"/>
        <w:rPr>
          <w:rFonts w:hint="eastAsia"/>
          <w:lang w:val="en-US" w:eastAsia="zh-CN"/>
        </w:rPr>
      </w:pPr>
      <w:r>
        <w:rPr>
          <w:rFonts w:hint="eastAsia"/>
          <w:lang w:val="en-US" w:eastAsia="zh-CN"/>
        </w:rPr>
        <w:drawing>
          <wp:inline distT="0" distB="0" distL="114300" distR="114300">
            <wp:extent cx="4585970" cy="5719445"/>
            <wp:effectExtent l="0" t="0" r="5080" b="14605"/>
            <wp:docPr id="10" name="图片 10"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具 Model (1)"/>
                    <pic:cNvPicPr>
                      <a:picLocks noChangeAspect="1"/>
                    </pic:cNvPicPr>
                  </pic:nvPicPr>
                  <pic:blipFill>
                    <a:blip r:embed="rId21"/>
                    <a:srcRect l="5001" t="8293" r="1256" b="9034"/>
                    <a:stretch>
                      <a:fillRect/>
                    </a:stretch>
                  </pic:blipFill>
                  <pic:spPr>
                    <a:xfrm>
                      <a:off x="0" y="0"/>
                      <a:ext cx="4585970" cy="5719445"/>
                    </a:xfrm>
                    <a:prstGeom prst="rect">
                      <a:avLst/>
                    </a:prstGeom>
                  </pic:spPr>
                </pic:pic>
              </a:graphicData>
            </a:graphic>
          </wp:inline>
        </w:drawing>
      </w:r>
    </w:p>
    <w:p>
      <w:pPr>
        <w:pStyle w:val="29"/>
        <w:bidi w:val="0"/>
        <w:rPr>
          <w:rFonts w:hint="default"/>
          <w:lang w:val="en-US" w:eastAsia="zh-CN"/>
        </w:rPr>
      </w:pPr>
      <w:r>
        <w:rPr>
          <w:rFonts w:hint="eastAsia"/>
          <w:lang w:val="en-US" w:eastAsia="zh-CN"/>
        </w:rPr>
        <w:t>图3.3-1  项目生猪屠宰物料平衡图  单位：t/a</w:t>
      </w:r>
    </w:p>
    <w:p>
      <w:pPr>
        <w:pStyle w:val="5"/>
        <w:bidi w:val="0"/>
        <w:rPr>
          <w:rFonts w:hint="default"/>
          <w:lang w:val="en-US" w:eastAsia="zh-CN"/>
        </w:rPr>
      </w:pPr>
      <w:r>
        <w:rPr>
          <w:rFonts w:hint="eastAsia"/>
          <w:lang w:val="en-US" w:eastAsia="zh-CN"/>
        </w:rPr>
        <w:t>肉牛屠宰物料平衡</w:t>
      </w:r>
    </w:p>
    <w:p>
      <w:pPr>
        <w:bidi w:val="0"/>
        <w:rPr>
          <w:rFonts w:hint="eastAsia"/>
          <w:lang w:val="en-US" w:eastAsia="zh-CN"/>
        </w:rPr>
      </w:pPr>
      <w:r>
        <w:rPr>
          <w:rFonts w:hint="eastAsia"/>
          <w:lang w:val="en-US" w:eastAsia="zh-CN"/>
        </w:rPr>
        <w:t>按照每头肉牛平均重量为500kg计（年屠宰1万头），年产牛肉及副产品。物料平衡见表3.3-2，物料平衡图见图3.3-2。</w:t>
      </w:r>
    </w:p>
    <w:p>
      <w:pPr>
        <w:pStyle w:val="29"/>
        <w:bidi w:val="0"/>
        <w:rPr>
          <w:rFonts w:hint="eastAsia"/>
          <w:lang w:val="en-US" w:eastAsia="zh-CN"/>
        </w:rPr>
      </w:pPr>
      <w:r>
        <w:rPr>
          <w:rFonts w:hint="eastAsia"/>
          <w:lang w:val="en-US" w:eastAsia="zh-CN"/>
        </w:rPr>
        <w:t>表3.3-2  项目肉牛屠宰物料平衡表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959"/>
        <w:gridCol w:w="1370"/>
        <w:gridCol w:w="1218"/>
        <w:gridCol w:w="2685"/>
        <w:gridCol w:w="1259"/>
        <w:gridCol w:w="14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序号</w:t>
            </w:r>
          </w:p>
        </w:tc>
        <w:tc>
          <w:tcPr>
            <w:tcW w:w="1210" w:type="pct"/>
            <w:gridSpan w:val="2"/>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投入</w:t>
            </w:r>
          </w:p>
        </w:tc>
        <w:tc>
          <w:tcPr>
            <w:tcW w:w="3416" w:type="pct"/>
            <w:gridSpan w:val="4"/>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tcBorders>
              <w:tl2br w:val="nil"/>
              <w:tr2bl w:val="nil"/>
            </w:tcBorders>
            <w:vAlign w:val="center"/>
          </w:tcPr>
          <w:p>
            <w:pPr>
              <w:pStyle w:val="30"/>
              <w:widowControl w:val="0"/>
              <w:jc w:val="center"/>
              <w:rPr>
                <w:rFonts w:hint="default"/>
                <w:b/>
                <w:bCs/>
                <w:vertAlign w:val="baseline"/>
                <w:lang w:val="en-US" w:eastAsia="zh-CN"/>
              </w:rPr>
            </w:pPr>
          </w:p>
        </w:tc>
        <w:tc>
          <w:tcPr>
            <w:tcW w:w="1210" w:type="pct"/>
            <w:gridSpan w:val="2"/>
            <w:vMerge w:val="continue"/>
            <w:tcBorders>
              <w:tl2br w:val="nil"/>
              <w:tr2bl w:val="nil"/>
            </w:tcBorders>
            <w:vAlign w:val="center"/>
          </w:tcPr>
          <w:p>
            <w:pPr>
              <w:pStyle w:val="30"/>
              <w:widowControl w:val="0"/>
              <w:jc w:val="center"/>
              <w:rPr>
                <w:rFonts w:hint="default"/>
                <w:b/>
                <w:bCs/>
                <w:vertAlign w:val="baseline"/>
                <w:lang w:val="en-US" w:eastAsia="zh-CN"/>
              </w:rPr>
            </w:pPr>
          </w:p>
        </w:tc>
        <w:tc>
          <w:tcPr>
            <w:tcW w:w="2028" w:type="pct"/>
            <w:gridSpan w:val="2"/>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项目</w:t>
            </w:r>
          </w:p>
        </w:tc>
        <w:tc>
          <w:tcPr>
            <w:tcW w:w="654"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占比（%）</w:t>
            </w:r>
          </w:p>
        </w:tc>
        <w:tc>
          <w:tcPr>
            <w:tcW w:w="734"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产出量（t/a）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498"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肉牛</w:t>
            </w:r>
          </w:p>
        </w:tc>
        <w:tc>
          <w:tcPr>
            <w:tcW w:w="711" w:type="pct"/>
            <w:vMerge w:val="restart"/>
            <w:tcBorders>
              <w:tl2br w:val="nil"/>
              <w:tr2bl w:val="nil"/>
            </w:tcBorders>
            <w:vAlign w:val="center"/>
          </w:tcPr>
          <w:p>
            <w:pPr>
              <w:pStyle w:val="30"/>
              <w:widowControl w:val="0"/>
              <w:jc w:val="center"/>
              <w:rPr>
                <w:rFonts w:hint="eastAsia"/>
                <w:lang w:val="en-US" w:eastAsia="zh-CN"/>
              </w:rPr>
            </w:pPr>
            <w:r>
              <w:rPr>
                <w:rFonts w:hint="eastAsia"/>
                <w:lang w:val="en-US" w:eastAsia="zh-CN"/>
              </w:rPr>
              <w:t>5000</w:t>
            </w:r>
          </w:p>
          <w:p>
            <w:pPr>
              <w:pStyle w:val="30"/>
              <w:widowControl w:val="0"/>
              <w:jc w:val="center"/>
              <w:rPr>
                <w:rFonts w:hint="default"/>
                <w:vertAlign w:val="baseline"/>
                <w:lang w:val="en-US" w:eastAsia="zh-CN"/>
              </w:rPr>
            </w:pPr>
            <w:r>
              <w:rPr>
                <w:rFonts w:hint="eastAsia"/>
                <w:lang w:val="en-US" w:eastAsia="zh-CN"/>
              </w:rPr>
              <w:t>（1万头）</w:t>
            </w:r>
          </w:p>
        </w:tc>
        <w:tc>
          <w:tcPr>
            <w:tcW w:w="2028" w:type="pct"/>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牛肉</w:t>
            </w:r>
          </w:p>
        </w:tc>
        <w:tc>
          <w:tcPr>
            <w:tcW w:w="125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45</w:t>
            </w:r>
          </w:p>
        </w:tc>
        <w:tc>
          <w:tcPr>
            <w:tcW w:w="1413" w:type="dxa"/>
            <w:tcBorders>
              <w:tl2br w:val="nil"/>
              <w:tr2bl w:val="nil"/>
            </w:tcBorders>
            <w:vAlign w:val="center"/>
          </w:tcPr>
          <w:p>
            <w:pPr>
              <w:pStyle w:val="30"/>
              <w:widowControl w:val="0"/>
              <w:bidi w:val="0"/>
              <w:rPr>
                <w:rFonts w:hint="default"/>
                <w:lang w:val="en-US" w:eastAsia="zh-CN"/>
              </w:rPr>
            </w:pPr>
            <w:r>
              <w:rPr>
                <w:rFonts w:hint="eastAsia"/>
                <w:lang w:val="en-US" w:eastAsia="zh-CN"/>
              </w:rPr>
              <w:t>2250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w:t>
            </w:r>
          </w:p>
        </w:tc>
        <w:tc>
          <w:tcPr>
            <w:tcW w:w="4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33"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副产品</w:t>
            </w:r>
          </w:p>
        </w:tc>
        <w:tc>
          <w:tcPr>
            <w:tcW w:w="1394"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碎牛肉</w:t>
            </w:r>
          </w:p>
        </w:tc>
        <w:tc>
          <w:tcPr>
            <w:tcW w:w="125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4.2</w:t>
            </w:r>
          </w:p>
        </w:tc>
        <w:tc>
          <w:tcPr>
            <w:tcW w:w="1413" w:type="dxa"/>
            <w:tcBorders>
              <w:tl2br w:val="nil"/>
              <w:tr2bl w:val="nil"/>
            </w:tcBorders>
            <w:vAlign w:val="center"/>
          </w:tcPr>
          <w:p>
            <w:pPr>
              <w:pStyle w:val="30"/>
              <w:widowControl w:val="0"/>
              <w:bidi w:val="0"/>
              <w:rPr>
                <w:rFonts w:hint="default"/>
                <w:lang w:val="en-US" w:eastAsia="zh-CN"/>
              </w:rPr>
            </w:pPr>
            <w:r>
              <w:rPr>
                <w:rFonts w:hint="eastAsia"/>
                <w:lang w:val="en-US" w:eastAsia="zh-CN"/>
              </w:rPr>
              <w:t>210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w:t>
            </w:r>
          </w:p>
        </w:tc>
        <w:tc>
          <w:tcPr>
            <w:tcW w:w="4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394"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牛骨</w:t>
            </w:r>
          </w:p>
        </w:tc>
        <w:tc>
          <w:tcPr>
            <w:tcW w:w="125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w:t>
            </w:r>
          </w:p>
        </w:tc>
        <w:tc>
          <w:tcPr>
            <w:tcW w:w="1413" w:type="dxa"/>
            <w:tcBorders>
              <w:tl2br w:val="nil"/>
              <w:tr2bl w:val="nil"/>
            </w:tcBorders>
            <w:vAlign w:val="center"/>
          </w:tcPr>
          <w:p>
            <w:pPr>
              <w:pStyle w:val="30"/>
              <w:widowControl w:val="0"/>
              <w:bidi w:val="0"/>
              <w:rPr>
                <w:rFonts w:hint="default"/>
                <w:lang w:val="en-US" w:eastAsia="zh-CN"/>
              </w:rPr>
            </w:pPr>
            <w:r>
              <w:rPr>
                <w:rFonts w:hint="eastAsia"/>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4</w:t>
            </w:r>
          </w:p>
        </w:tc>
        <w:tc>
          <w:tcPr>
            <w:tcW w:w="4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394"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highlight w:val="none"/>
                <w:vertAlign w:val="baseline"/>
                <w:lang w:val="en-US" w:eastAsia="zh-CN"/>
              </w:rPr>
            </w:pPr>
            <w:r>
              <w:rPr>
                <w:rFonts w:hint="eastAsia"/>
                <w:highlight w:val="none"/>
                <w:vertAlign w:val="baseline"/>
                <w:lang w:val="en-US" w:eastAsia="zh-CN"/>
              </w:rPr>
              <w:t>牛皮</w:t>
            </w:r>
          </w:p>
        </w:tc>
        <w:tc>
          <w:tcPr>
            <w:tcW w:w="1259" w:type="dxa"/>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4</w:t>
            </w:r>
          </w:p>
        </w:tc>
        <w:tc>
          <w:tcPr>
            <w:tcW w:w="1413" w:type="dxa"/>
            <w:tcBorders>
              <w:tl2br w:val="nil"/>
              <w:tr2bl w:val="nil"/>
            </w:tcBorders>
            <w:vAlign w:val="center"/>
          </w:tcPr>
          <w:p>
            <w:pPr>
              <w:pStyle w:val="30"/>
              <w:widowControl w:val="0"/>
              <w:bidi w:val="0"/>
              <w:rPr>
                <w:rFonts w:hint="default"/>
                <w:highlight w:val="none"/>
                <w:lang w:val="en-US" w:eastAsia="zh-CN"/>
              </w:rPr>
            </w:pPr>
            <w:r>
              <w:rPr>
                <w:rFonts w:hint="eastAsia"/>
                <w:highlight w:val="no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w:t>
            </w:r>
          </w:p>
        </w:tc>
        <w:tc>
          <w:tcPr>
            <w:tcW w:w="4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394"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牛血</w:t>
            </w:r>
          </w:p>
        </w:tc>
        <w:tc>
          <w:tcPr>
            <w:tcW w:w="125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w:t>
            </w:r>
          </w:p>
        </w:tc>
        <w:tc>
          <w:tcPr>
            <w:tcW w:w="1413" w:type="dxa"/>
            <w:tcBorders>
              <w:tl2br w:val="nil"/>
              <w:tr2bl w:val="nil"/>
            </w:tcBorders>
            <w:vAlign w:val="center"/>
          </w:tcPr>
          <w:p>
            <w:pPr>
              <w:pStyle w:val="30"/>
              <w:widowControl w:val="0"/>
              <w:bidi w:val="0"/>
              <w:rPr>
                <w:rFonts w:hint="default"/>
                <w:lang w:val="en-US" w:eastAsia="zh-CN"/>
              </w:rPr>
            </w:pPr>
            <w:r>
              <w:rPr>
                <w:rFonts w:hint="eastAsia"/>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6</w:t>
            </w:r>
          </w:p>
        </w:tc>
        <w:tc>
          <w:tcPr>
            <w:tcW w:w="4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394"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highlight w:val="none"/>
                <w:vertAlign w:val="baseline"/>
                <w:lang w:val="en-US" w:eastAsia="zh-CN"/>
              </w:rPr>
            </w:pPr>
            <w:r>
              <w:rPr>
                <w:rFonts w:hint="eastAsia"/>
                <w:highlight w:val="none"/>
                <w:vertAlign w:val="baseline"/>
                <w:lang w:val="en-US" w:eastAsia="zh-CN"/>
              </w:rPr>
              <w:t>牛嘴</w:t>
            </w:r>
          </w:p>
        </w:tc>
        <w:tc>
          <w:tcPr>
            <w:tcW w:w="1259" w:type="dxa"/>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0.8</w:t>
            </w:r>
          </w:p>
        </w:tc>
        <w:tc>
          <w:tcPr>
            <w:tcW w:w="1413" w:type="dxa"/>
            <w:tcBorders>
              <w:tl2br w:val="nil"/>
              <w:tr2bl w:val="nil"/>
            </w:tcBorders>
            <w:vAlign w:val="center"/>
          </w:tcPr>
          <w:p>
            <w:pPr>
              <w:pStyle w:val="30"/>
              <w:widowControl w:val="0"/>
              <w:bidi w:val="0"/>
              <w:rPr>
                <w:rFonts w:hint="default"/>
                <w:highlight w:val="none"/>
                <w:lang w:val="en-US" w:eastAsia="zh-CN"/>
              </w:rPr>
            </w:pPr>
            <w:r>
              <w:rPr>
                <w:rFonts w:hint="eastAsia"/>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7</w:t>
            </w:r>
          </w:p>
        </w:tc>
        <w:tc>
          <w:tcPr>
            <w:tcW w:w="4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394"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highlight w:val="none"/>
                <w:vertAlign w:val="baseline"/>
                <w:lang w:val="en-US" w:eastAsia="zh-CN"/>
              </w:rPr>
            </w:pPr>
            <w:r>
              <w:rPr>
                <w:rFonts w:hint="eastAsia"/>
                <w:highlight w:val="none"/>
                <w:vertAlign w:val="baseline"/>
                <w:lang w:val="en-US" w:eastAsia="zh-CN"/>
              </w:rPr>
              <w:t>牛头皮</w:t>
            </w:r>
          </w:p>
        </w:tc>
        <w:tc>
          <w:tcPr>
            <w:tcW w:w="1259" w:type="dxa"/>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1</w:t>
            </w:r>
          </w:p>
        </w:tc>
        <w:tc>
          <w:tcPr>
            <w:tcW w:w="1413" w:type="dxa"/>
            <w:tcBorders>
              <w:tl2br w:val="nil"/>
              <w:tr2bl w:val="nil"/>
            </w:tcBorders>
            <w:vAlign w:val="center"/>
          </w:tcPr>
          <w:p>
            <w:pPr>
              <w:pStyle w:val="30"/>
              <w:widowControl w:val="0"/>
              <w:bidi w:val="0"/>
              <w:rPr>
                <w:rFonts w:hint="default"/>
                <w:highlight w:val="none"/>
                <w:lang w:val="en-US" w:eastAsia="zh-CN"/>
              </w:rPr>
            </w:pPr>
            <w:r>
              <w:rPr>
                <w:rFonts w:hint="eastAsia"/>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8</w:t>
            </w:r>
          </w:p>
        </w:tc>
        <w:tc>
          <w:tcPr>
            <w:tcW w:w="4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394"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牛蹄</w:t>
            </w:r>
          </w:p>
        </w:tc>
        <w:tc>
          <w:tcPr>
            <w:tcW w:w="125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w:t>
            </w:r>
          </w:p>
        </w:tc>
        <w:tc>
          <w:tcPr>
            <w:tcW w:w="1413" w:type="dxa"/>
            <w:tcBorders>
              <w:tl2br w:val="nil"/>
              <w:tr2bl w:val="nil"/>
            </w:tcBorders>
            <w:vAlign w:val="center"/>
          </w:tcPr>
          <w:p>
            <w:pPr>
              <w:pStyle w:val="30"/>
              <w:widowControl w:val="0"/>
              <w:bidi w:val="0"/>
              <w:rPr>
                <w:rFonts w:hint="default"/>
                <w:lang w:val="en-US" w:eastAsia="zh-CN"/>
              </w:rPr>
            </w:pPr>
            <w:r>
              <w:rPr>
                <w:rFonts w:hint="eastAsia"/>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9</w:t>
            </w:r>
          </w:p>
        </w:tc>
        <w:tc>
          <w:tcPr>
            <w:tcW w:w="4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394"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highlight w:val="none"/>
                <w:vertAlign w:val="baseline"/>
                <w:lang w:val="en-US" w:eastAsia="zh-CN"/>
              </w:rPr>
            </w:pPr>
            <w:r>
              <w:rPr>
                <w:rFonts w:hint="eastAsia"/>
                <w:highlight w:val="none"/>
                <w:vertAlign w:val="baseline"/>
                <w:lang w:val="en-US" w:eastAsia="zh-CN"/>
              </w:rPr>
              <w:t>牛尾</w:t>
            </w:r>
          </w:p>
        </w:tc>
        <w:tc>
          <w:tcPr>
            <w:tcW w:w="1259" w:type="dxa"/>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0.3</w:t>
            </w:r>
          </w:p>
        </w:tc>
        <w:tc>
          <w:tcPr>
            <w:tcW w:w="1413" w:type="dxa"/>
            <w:tcBorders>
              <w:tl2br w:val="nil"/>
              <w:tr2bl w:val="nil"/>
            </w:tcBorders>
            <w:vAlign w:val="center"/>
          </w:tcPr>
          <w:p>
            <w:pPr>
              <w:pStyle w:val="30"/>
              <w:widowControl w:val="0"/>
              <w:bidi w:val="0"/>
              <w:rPr>
                <w:rFonts w:hint="default"/>
                <w:highlight w:val="none"/>
                <w:lang w:val="en-US" w:eastAsia="zh-CN"/>
              </w:rPr>
            </w:pPr>
            <w:r>
              <w:rPr>
                <w:rFonts w:hint="eastAsia"/>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w:t>
            </w:r>
          </w:p>
        </w:tc>
        <w:tc>
          <w:tcPr>
            <w:tcW w:w="4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394"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highlight w:val="none"/>
                <w:vertAlign w:val="baseline"/>
                <w:lang w:val="en-US" w:eastAsia="zh-CN"/>
              </w:rPr>
            </w:pPr>
            <w:r>
              <w:rPr>
                <w:rFonts w:hint="eastAsia"/>
                <w:highlight w:val="none"/>
                <w:vertAlign w:val="baseline"/>
                <w:lang w:val="en-US" w:eastAsia="zh-CN"/>
              </w:rPr>
              <w:t>牛心舌</w:t>
            </w:r>
          </w:p>
        </w:tc>
        <w:tc>
          <w:tcPr>
            <w:tcW w:w="1259" w:type="dxa"/>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0.6</w:t>
            </w:r>
          </w:p>
        </w:tc>
        <w:tc>
          <w:tcPr>
            <w:tcW w:w="1413" w:type="dxa"/>
            <w:tcBorders>
              <w:tl2br w:val="nil"/>
              <w:tr2bl w:val="nil"/>
            </w:tcBorders>
            <w:vAlign w:val="center"/>
          </w:tcPr>
          <w:p>
            <w:pPr>
              <w:pStyle w:val="30"/>
              <w:widowControl w:val="0"/>
              <w:bidi w:val="0"/>
              <w:rPr>
                <w:rFonts w:hint="default"/>
                <w:highlight w:val="none"/>
                <w:lang w:val="en-US" w:eastAsia="zh-CN"/>
              </w:rPr>
            </w:pPr>
            <w:r>
              <w:rPr>
                <w:rFonts w:hint="eastAsia"/>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11</w:t>
            </w:r>
          </w:p>
        </w:tc>
        <w:tc>
          <w:tcPr>
            <w:tcW w:w="4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394"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牛下水</w:t>
            </w:r>
          </w:p>
        </w:tc>
        <w:tc>
          <w:tcPr>
            <w:tcW w:w="125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20</w:t>
            </w:r>
          </w:p>
        </w:tc>
        <w:tc>
          <w:tcPr>
            <w:tcW w:w="1413" w:type="dxa"/>
            <w:tcBorders>
              <w:tl2br w:val="nil"/>
              <w:tr2bl w:val="nil"/>
            </w:tcBorders>
            <w:vAlign w:val="center"/>
          </w:tcPr>
          <w:p>
            <w:pPr>
              <w:pStyle w:val="30"/>
              <w:widowControl w:val="0"/>
              <w:bidi w:val="0"/>
              <w:rPr>
                <w:rFonts w:hint="default"/>
                <w:lang w:val="en-US" w:eastAsia="zh-CN"/>
              </w:rPr>
            </w:pPr>
            <w:r>
              <w:rPr>
                <w:rFonts w:hint="eastAsia"/>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12</w:t>
            </w:r>
          </w:p>
        </w:tc>
        <w:tc>
          <w:tcPr>
            <w:tcW w:w="4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2028" w:type="pct"/>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牛粪、肠胃内容物</w:t>
            </w:r>
          </w:p>
        </w:tc>
        <w:tc>
          <w:tcPr>
            <w:tcW w:w="125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4.34</w:t>
            </w:r>
          </w:p>
        </w:tc>
        <w:tc>
          <w:tcPr>
            <w:tcW w:w="1413" w:type="dxa"/>
            <w:tcBorders>
              <w:tl2br w:val="nil"/>
              <w:tr2bl w:val="nil"/>
            </w:tcBorders>
            <w:vAlign w:val="center"/>
          </w:tcPr>
          <w:p>
            <w:pPr>
              <w:pStyle w:val="30"/>
              <w:widowControl w:val="0"/>
              <w:bidi w:val="0"/>
              <w:rPr>
                <w:rFonts w:hint="default"/>
                <w:lang w:val="en-US" w:eastAsia="zh-CN"/>
              </w:rPr>
            </w:pPr>
            <w:r>
              <w:rPr>
                <w:rFonts w:hint="eastAsia"/>
                <w:lang w:val="en-US" w:eastAsia="zh-CN"/>
              </w:rPr>
              <w:t>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13</w:t>
            </w:r>
          </w:p>
        </w:tc>
        <w:tc>
          <w:tcPr>
            <w:tcW w:w="4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2028" w:type="pct"/>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奶脯、淋巴、检疫废弃物碎肉渣等</w:t>
            </w:r>
          </w:p>
        </w:tc>
        <w:tc>
          <w:tcPr>
            <w:tcW w:w="125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1413" w:type="dxa"/>
            <w:tcBorders>
              <w:tl2br w:val="nil"/>
              <w:tr2bl w:val="nil"/>
            </w:tcBorders>
            <w:vAlign w:val="center"/>
          </w:tcPr>
          <w:p>
            <w:pPr>
              <w:pStyle w:val="30"/>
              <w:widowControl w:val="0"/>
              <w:bidi w:val="0"/>
              <w:rPr>
                <w:rFonts w:hint="default"/>
                <w:lang w:val="en-US" w:eastAsia="zh-CN"/>
              </w:rPr>
            </w:pPr>
            <w:r>
              <w:rPr>
                <w:rFonts w:hint="eastAsia"/>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14</w:t>
            </w:r>
          </w:p>
        </w:tc>
        <w:tc>
          <w:tcPr>
            <w:tcW w:w="4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2028" w:type="pct"/>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病害牛及不合格产品</w:t>
            </w:r>
          </w:p>
        </w:tc>
        <w:tc>
          <w:tcPr>
            <w:tcW w:w="125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0.76</w:t>
            </w:r>
          </w:p>
        </w:tc>
        <w:tc>
          <w:tcPr>
            <w:tcW w:w="1413" w:type="dxa"/>
            <w:tcBorders>
              <w:tl2br w:val="nil"/>
              <w:tr2bl w:val="nil"/>
            </w:tcBorders>
            <w:vAlign w:val="center"/>
          </w:tcPr>
          <w:p>
            <w:pPr>
              <w:pStyle w:val="30"/>
              <w:widowControl w:val="0"/>
              <w:bidi w:val="0"/>
              <w:rPr>
                <w:rFonts w:hint="default"/>
                <w:lang w:val="en-US" w:eastAsia="zh-CN"/>
              </w:rPr>
            </w:pPr>
            <w:r>
              <w:rPr>
                <w:rFonts w:hint="eastAsia"/>
                <w:lang w:val="en-US" w:eastAsia="zh-CN"/>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合计</w:t>
            </w:r>
          </w:p>
        </w:tc>
        <w:tc>
          <w:tcPr>
            <w:tcW w:w="1210" w:type="pct"/>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5000</w:t>
            </w:r>
          </w:p>
        </w:tc>
        <w:tc>
          <w:tcPr>
            <w:tcW w:w="2028" w:type="pct"/>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65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100</w:t>
            </w:r>
          </w:p>
        </w:tc>
        <w:tc>
          <w:tcPr>
            <w:tcW w:w="7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5000</w:t>
            </w:r>
          </w:p>
        </w:tc>
      </w:tr>
    </w:tbl>
    <w:p>
      <w:pPr>
        <w:pStyle w:val="30"/>
        <w:bidi w:val="0"/>
        <w:rPr>
          <w:rFonts w:hint="default"/>
          <w:lang w:val="en-US" w:eastAsia="zh-CN"/>
        </w:rPr>
      </w:pPr>
      <w:r>
        <w:rPr>
          <w:rFonts w:hint="default"/>
          <w:lang w:val="en-US" w:eastAsia="zh-CN"/>
        </w:rPr>
        <w:drawing>
          <wp:inline distT="0" distB="0" distL="114300" distR="114300">
            <wp:extent cx="4855210" cy="5330825"/>
            <wp:effectExtent l="0" t="0" r="2540" b="3175"/>
            <wp:docPr id="12" name="图片 12"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具 Model (1)"/>
                    <pic:cNvPicPr>
                      <a:picLocks noChangeAspect="1"/>
                    </pic:cNvPicPr>
                  </pic:nvPicPr>
                  <pic:blipFill>
                    <a:blip r:embed="rId22"/>
                    <a:srcRect l="4914" t="13844" r="1234" b="13312"/>
                    <a:stretch>
                      <a:fillRect/>
                    </a:stretch>
                  </pic:blipFill>
                  <pic:spPr>
                    <a:xfrm>
                      <a:off x="0" y="0"/>
                      <a:ext cx="4855210" cy="5330825"/>
                    </a:xfrm>
                    <a:prstGeom prst="rect">
                      <a:avLst/>
                    </a:prstGeom>
                  </pic:spPr>
                </pic:pic>
              </a:graphicData>
            </a:graphic>
          </wp:inline>
        </w:drawing>
      </w:r>
    </w:p>
    <w:p>
      <w:pPr>
        <w:pStyle w:val="29"/>
        <w:bidi w:val="0"/>
        <w:rPr>
          <w:rFonts w:hint="default"/>
          <w:lang w:val="en-US" w:eastAsia="zh-CN"/>
        </w:rPr>
      </w:pPr>
      <w:r>
        <w:rPr>
          <w:rFonts w:hint="eastAsia"/>
          <w:lang w:val="en-US" w:eastAsia="zh-CN"/>
        </w:rPr>
        <w:t>图3.3-2  项目肉牛屠宰物料平衡图    单位：t/a</w:t>
      </w:r>
    </w:p>
    <w:p>
      <w:pPr>
        <w:pStyle w:val="5"/>
        <w:bidi w:val="0"/>
        <w:rPr>
          <w:rFonts w:hint="default"/>
          <w:lang w:val="en-US" w:eastAsia="zh-CN"/>
        </w:rPr>
      </w:pPr>
      <w:r>
        <w:rPr>
          <w:rFonts w:hint="eastAsia"/>
          <w:lang w:val="en-US" w:eastAsia="zh-CN"/>
        </w:rPr>
        <w:t>水平衡</w:t>
      </w:r>
    </w:p>
    <w:p>
      <w:pPr>
        <w:pStyle w:val="6"/>
        <w:bidi w:val="0"/>
        <w:rPr>
          <w:rFonts w:hint="default"/>
          <w:lang w:val="en-US" w:eastAsia="zh-CN"/>
        </w:rPr>
      </w:pPr>
      <w:r>
        <w:rPr>
          <w:rFonts w:hint="eastAsia"/>
          <w:lang w:val="en-US" w:eastAsia="zh-CN"/>
        </w:rPr>
        <w:t>用水</w:t>
      </w:r>
    </w:p>
    <w:p>
      <w:pPr>
        <w:spacing w:beforeLines="0" w:afterLines="0"/>
        <w:jc w:val="left"/>
        <w:rPr>
          <w:rFonts w:hint="eastAsia"/>
          <w:lang w:val="en-US" w:eastAsia="zh-CN"/>
        </w:rPr>
      </w:pPr>
      <w:r>
        <w:rPr>
          <w:rFonts w:hint="eastAsia" w:ascii="宋体" w:hAnsi="宋体" w:eastAsia="宋体"/>
          <w:sz w:val="24"/>
          <w:szCs w:val="24"/>
        </w:rPr>
        <w:t>本项目用水主要为屠宰用水、</w:t>
      </w:r>
      <w:r>
        <w:rPr>
          <w:rFonts w:hint="eastAsia"/>
          <w:lang w:eastAsia="zh-CN"/>
        </w:rPr>
        <w:t>进出车辆</w:t>
      </w:r>
      <w:r>
        <w:rPr>
          <w:rFonts w:hint="eastAsia"/>
        </w:rPr>
        <w:t>冲洗用水</w:t>
      </w:r>
      <w:r>
        <w:rPr>
          <w:rFonts w:hint="eastAsia" w:ascii="宋体" w:hAnsi="宋体" w:eastAsia="宋体"/>
          <w:sz w:val="24"/>
          <w:szCs w:val="24"/>
        </w:rPr>
        <w:t>、</w:t>
      </w:r>
      <w:r>
        <w:rPr>
          <w:rFonts w:hint="eastAsia" w:ascii="宋体" w:hAnsi="宋体" w:eastAsia="宋体"/>
          <w:sz w:val="24"/>
          <w:szCs w:val="24"/>
          <w:lang w:val="en-US" w:eastAsia="zh-CN"/>
        </w:rPr>
        <w:t>洗涤塔补水</w:t>
      </w:r>
      <w:r>
        <w:rPr>
          <w:rFonts w:hint="eastAsia" w:ascii="宋体" w:hAnsi="宋体" w:eastAsia="宋体"/>
          <w:sz w:val="24"/>
          <w:szCs w:val="24"/>
        </w:rPr>
        <w:t>、消毒用水等生产用水、生活用水</w:t>
      </w:r>
      <w:r>
        <w:rPr>
          <w:rFonts w:hint="eastAsia" w:ascii="宋体" w:hAnsi="宋体" w:eastAsia="宋体"/>
          <w:sz w:val="24"/>
          <w:szCs w:val="24"/>
          <w:lang w:val="en-US" w:eastAsia="zh-CN"/>
        </w:rPr>
        <w:t>和</w:t>
      </w:r>
      <w:r>
        <w:rPr>
          <w:rFonts w:hint="eastAsia" w:ascii="宋体" w:hAnsi="宋体" w:eastAsia="宋体"/>
          <w:sz w:val="24"/>
          <w:szCs w:val="24"/>
        </w:rPr>
        <w:t>食堂用水等。</w:t>
      </w:r>
    </w:p>
    <w:p>
      <w:pPr>
        <w:bidi w:val="0"/>
        <w:rPr>
          <w:rFonts w:hint="default"/>
          <w:lang w:val="en-US" w:eastAsia="zh-CN"/>
        </w:rPr>
      </w:pPr>
      <w:r>
        <w:rPr>
          <w:rFonts w:hint="eastAsia"/>
          <w:lang w:val="en-US" w:eastAsia="zh-CN"/>
        </w:rPr>
        <w:t>①</w:t>
      </w:r>
      <w:r>
        <w:rPr>
          <w:rFonts w:hint="eastAsia"/>
        </w:rPr>
        <w:t>待宰圈冲洗用水</w:t>
      </w:r>
    </w:p>
    <w:p>
      <w:pPr>
        <w:bidi w:val="0"/>
        <w:rPr>
          <w:rFonts w:hint="default" w:eastAsia="宋体"/>
          <w:lang w:val="en-US" w:eastAsia="zh-CN"/>
        </w:rPr>
      </w:pPr>
      <w:r>
        <w:rPr>
          <w:rFonts w:hint="eastAsia"/>
        </w:rPr>
        <w:t>参照HJ2004-2010《屠宰与肉类加工废水治理工程技术规范》，肉类加工的废水量与加工规模、种类及工艺有关。根据同类项目类比分析，猪在待宰圈时间约为24h，断水断食，清粪方式为</w:t>
      </w:r>
      <w:r>
        <w:rPr>
          <w:rFonts w:hint="eastAsia"/>
          <w:lang w:val="en-US" w:eastAsia="zh-CN"/>
        </w:rPr>
        <w:t>人工清理</w:t>
      </w:r>
      <w:r>
        <w:rPr>
          <w:rFonts w:hint="eastAsia"/>
        </w:rPr>
        <w:t>，每天高压水枪冲洗一次，</w:t>
      </w:r>
      <w:r>
        <w:rPr>
          <w:rFonts w:hint="eastAsia"/>
          <w:lang w:val="en-US" w:eastAsia="zh-CN"/>
        </w:rPr>
        <w:t>待宰圈</w:t>
      </w:r>
      <w:r>
        <w:rPr>
          <w:rFonts w:hint="eastAsia"/>
        </w:rPr>
        <w:t>清洗用水量为</w:t>
      </w:r>
      <w:r>
        <w:rPr>
          <w:rFonts w:hint="eastAsia"/>
          <w:lang w:val="en-US" w:eastAsia="zh-CN"/>
        </w:rPr>
        <w:t>5</w:t>
      </w:r>
      <w:r>
        <w:rPr>
          <w:rFonts w:hint="eastAsia"/>
        </w:rPr>
        <w:t>m</w:t>
      </w:r>
      <w:r>
        <w:rPr>
          <w:rFonts w:hint="eastAsia"/>
          <w:vertAlign w:val="superscript"/>
        </w:rPr>
        <w:t>3</w:t>
      </w:r>
      <w:r>
        <w:rPr>
          <w:rFonts w:hint="eastAsia"/>
        </w:rPr>
        <w:t>/次</w:t>
      </w:r>
      <w:r>
        <w:rPr>
          <w:rFonts w:hint="eastAsia"/>
          <w:lang w:val="en-US" w:eastAsia="zh-CN"/>
        </w:rPr>
        <w:t>·d（300天计）</w:t>
      </w:r>
      <w:r>
        <w:rPr>
          <w:rFonts w:hint="eastAsia"/>
        </w:rPr>
        <w:t>，清洗用水量为年用量</w:t>
      </w:r>
      <w:r>
        <w:rPr>
          <w:rFonts w:hint="eastAsia"/>
          <w:lang w:val="en-US" w:eastAsia="zh-CN"/>
        </w:rPr>
        <w:t>1500</w:t>
      </w:r>
      <w:r>
        <w:rPr>
          <w:rFonts w:hint="eastAsia"/>
        </w:rPr>
        <w:t>m</w:t>
      </w:r>
      <w:r>
        <w:rPr>
          <w:rFonts w:hint="eastAsia"/>
          <w:vertAlign w:val="superscript"/>
        </w:rPr>
        <w:t>3</w:t>
      </w:r>
      <w:r>
        <w:rPr>
          <w:rFonts w:hint="eastAsia"/>
        </w:rPr>
        <w:t>/a</w:t>
      </w:r>
      <w:r>
        <w:rPr>
          <w:rFonts w:hint="eastAsia"/>
          <w:lang w:eastAsia="zh-CN"/>
        </w:rPr>
        <w:t>，</w:t>
      </w:r>
      <w:r>
        <w:rPr>
          <w:rFonts w:hint="eastAsia"/>
          <w:lang w:val="en-US" w:eastAsia="zh-CN"/>
        </w:rPr>
        <w:t>项目待宰圈冲洗用水利用项目污水处理站处理后的回用水。</w:t>
      </w:r>
    </w:p>
    <w:p>
      <w:pPr>
        <w:bidi w:val="0"/>
        <w:rPr>
          <w:rFonts w:hint="eastAsia"/>
        </w:rPr>
      </w:pPr>
      <w:r>
        <w:rPr>
          <w:rFonts w:hint="eastAsia"/>
          <w:lang w:val="en-US" w:eastAsia="zh-CN"/>
        </w:rPr>
        <w:t>②</w:t>
      </w:r>
      <w:r>
        <w:rPr>
          <w:rFonts w:hint="eastAsia"/>
          <w:lang w:eastAsia="zh-CN"/>
        </w:rPr>
        <w:t>进出车辆</w:t>
      </w:r>
      <w:r>
        <w:rPr>
          <w:rFonts w:hint="eastAsia"/>
        </w:rPr>
        <w:t>冲洗用水</w:t>
      </w:r>
    </w:p>
    <w:p>
      <w:pPr>
        <w:bidi w:val="0"/>
        <w:rPr>
          <w:rFonts w:hint="eastAsia" w:eastAsia="宋体"/>
          <w:lang w:eastAsia="zh-CN"/>
        </w:rPr>
      </w:pPr>
      <w:r>
        <w:rPr>
          <w:rFonts w:hint="eastAsia" w:ascii="宋体" w:hAnsi="宋体" w:eastAsia="宋体"/>
          <w:sz w:val="24"/>
          <w:szCs w:val="24"/>
        </w:rPr>
        <w:t>项目卸猪后空车在厂内冲洗干净后再出厂，根据四川省地方标准《</w:t>
      </w:r>
      <w:r>
        <w:rPr>
          <w:rFonts w:hint="eastAsia" w:ascii="宋体" w:hAnsi="宋体" w:eastAsia="宋体"/>
          <w:sz w:val="24"/>
          <w:szCs w:val="24"/>
          <w:lang w:val="en-US" w:eastAsia="zh-CN"/>
        </w:rPr>
        <w:t>四川省用水定额</w:t>
      </w:r>
      <w:r>
        <w:rPr>
          <w:rFonts w:hint="eastAsia" w:ascii="宋体" w:hAnsi="宋体" w:eastAsia="宋体"/>
          <w:sz w:val="24"/>
          <w:szCs w:val="24"/>
        </w:rPr>
        <w:t>》（</w:t>
      </w:r>
      <w:r>
        <w:rPr>
          <w:rFonts w:hint="eastAsia" w:ascii="Times New Roman" w:hAnsi="Times New Roman" w:eastAsia="宋体"/>
          <w:sz w:val="24"/>
          <w:szCs w:val="24"/>
          <w:lang w:eastAsia="zh-CN"/>
        </w:rPr>
        <w:t>川府函[2021]8号</w:t>
      </w:r>
      <w:r>
        <w:rPr>
          <w:rFonts w:hint="eastAsia" w:ascii="宋体" w:hAnsi="宋体" w:eastAsia="宋体"/>
          <w:sz w:val="24"/>
          <w:szCs w:val="24"/>
        </w:rPr>
        <w:t>）“洗车</w:t>
      </w:r>
      <w:r>
        <w:rPr>
          <w:rFonts w:hint="default" w:ascii="Times New Roman" w:hAnsi="Times New Roman" w:eastAsia="Times New Roman"/>
          <w:sz w:val="24"/>
          <w:szCs w:val="24"/>
        </w:rPr>
        <w:t>-</w:t>
      </w:r>
      <w:r>
        <w:rPr>
          <w:rFonts w:hint="eastAsia" w:ascii="宋体" w:hAnsi="宋体" w:eastAsia="宋体"/>
          <w:sz w:val="24"/>
          <w:szCs w:val="24"/>
        </w:rPr>
        <w:t>公共汽车、载重汽车”定额</w:t>
      </w:r>
      <w:r>
        <w:rPr>
          <w:rFonts w:hint="eastAsia" w:ascii="Times New Roman" w:hAnsi="Times New Roman" w:eastAsia="宋体"/>
          <w:sz w:val="24"/>
          <w:szCs w:val="24"/>
          <w:lang w:val="en-US" w:eastAsia="zh-CN"/>
        </w:rPr>
        <w:t>100</w:t>
      </w:r>
      <w:r>
        <w:rPr>
          <w:rFonts w:hint="default" w:ascii="Times New Roman" w:hAnsi="Times New Roman" w:eastAsia="Times New Roman"/>
          <w:sz w:val="24"/>
          <w:szCs w:val="24"/>
        </w:rPr>
        <w:t>L/</w:t>
      </w:r>
      <w:r>
        <w:rPr>
          <w:rFonts w:hint="eastAsia" w:ascii="宋体" w:hAnsi="宋体" w:eastAsia="宋体"/>
          <w:sz w:val="24"/>
          <w:szCs w:val="24"/>
        </w:rPr>
        <w:t>（辆</w:t>
      </w:r>
      <w:r>
        <w:rPr>
          <w:rFonts w:hint="default" w:ascii="Times New Roman" w:hAnsi="Times New Roman" w:eastAsia="Times New Roman"/>
          <w:sz w:val="24"/>
          <w:szCs w:val="24"/>
        </w:rPr>
        <w:t>·</w:t>
      </w:r>
      <w:r>
        <w:rPr>
          <w:rFonts w:hint="eastAsia" w:ascii="宋体" w:hAnsi="宋体" w:eastAsia="宋体"/>
          <w:sz w:val="24"/>
          <w:szCs w:val="24"/>
        </w:rPr>
        <w:t>次），本项目按每日车载</w:t>
      </w:r>
      <w:r>
        <w:rPr>
          <w:rFonts w:hint="default" w:ascii="Times New Roman" w:hAnsi="Times New Roman" w:eastAsia="Times New Roman"/>
          <w:sz w:val="24"/>
          <w:szCs w:val="24"/>
        </w:rPr>
        <w:t>20</w:t>
      </w:r>
      <w:r>
        <w:rPr>
          <w:rFonts w:hint="eastAsia" w:ascii="宋体" w:hAnsi="宋体" w:eastAsia="宋体"/>
          <w:sz w:val="24"/>
          <w:szCs w:val="24"/>
        </w:rPr>
        <w:t>辆计，则用水量</w:t>
      </w:r>
      <w:r>
        <w:rPr>
          <w:rFonts w:hint="default" w:ascii="Times New Roman" w:hAnsi="Times New Roman" w:eastAsia="Times New Roman"/>
          <w:sz w:val="24"/>
          <w:szCs w:val="24"/>
        </w:rPr>
        <w:t>2m</w:t>
      </w:r>
      <w:r>
        <w:rPr>
          <w:rFonts w:hint="eastAsia" w:ascii="Times New Roman" w:hAnsi="Times New Roman" w:eastAsia="宋体"/>
          <w:sz w:val="24"/>
          <w:szCs w:val="24"/>
          <w:vertAlign w:val="superscript"/>
          <w:lang w:val="en-US" w:eastAsia="zh-CN"/>
        </w:rPr>
        <w:t>3</w:t>
      </w:r>
      <w:r>
        <w:rPr>
          <w:rFonts w:hint="default" w:ascii="Times New Roman" w:hAnsi="Times New Roman" w:eastAsia="Times New Roman"/>
          <w:sz w:val="24"/>
          <w:szCs w:val="24"/>
        </w:rPr>
        <w:t>/d</w:t>
      </w:r>
      <w:r>
        <w:rPr>
          <w:rFonts w:hint="eastAsia" w:ascii="宋体" w:hAnsi="宋体" w:eastAsia="宋体"/>
          <w:sz w:val="24"/>
          <w:szCs w:val="24"/>
        </w:rPr>
        <w:t>，</w:t>
      </w:r>
      <w:r>
        <w:rPr>
          <w:rFonts w:hint="eastAsia" w:ascii="Times New Roman" w:hAnsi="Times New Roman" w:eastAsia="宋体"/>
          <w:sz w:val="24"/>
          <w:szCs w:val="24"/>
          <w:lang w:val="en-US" w:eastAsia="zh-CN"/>
        </w:rPr>
        <w:t>600</w:t>
      </w:r>
      <w:r>
        <w:rPr>
          <w:rFonts w:hint="default" w:ascii="Times New Roman" w:hAnsi="Times New Roman" w:eastAsia="Times New Roman"/>
          <w:sz w:val="24"/>
          <w:szCs w:val="24"/>
        </w:rPr>
        <w:t>m</w:t>
      </w:r>
      <w:r>
        <w:rPr>
          <w:rFonts w:hint="eastAsia" w:ascii="Times New Roman" w:hAnsi="Times New Roman" w:eastAsia="宋体"/>
          <w:sz w:val="24"/>
          <w:szCs w:val="24"/>
          <w:vertAlign w:val="superscript"/>
          <w:lang w:val="en-US" w:eastAsia="zh-CN"/>
        </w:rPr>
        <w:t>3</w:t>
      </w:r>
      <w:r>
        <w:rPr>
          <w:rFonts w:hint="default" w:ascii="Times New Roman" w:hAnsi="Times New Roman" w:eastAsia="Times New Roman"/>
          <w:sz w:val="24"/>
          <w:szCs w:val="24"/>
        </w:rPr>
        <w:t>/a</w:t>
      </w:r>
      <w:r>
        <w:rPr>
          <w:rFonts w:hint="eastAsia" w:eastAsia="宋体"/>
          <w:sz w:val="24"/>
          <w:szCs w:val="24"/>
          <w:lang w:eastAsia="zh-CN"/>
        </w:rPr>
        <w:t>，</w:t>
      </w:r>
      <w:r>
        <w:rPr>
          <w:rFonts w:hint="eastAsia"/>
          <w:lang w:val="en-US" w:eastAsia="zh-CN"/>
        </w:rPr>
        <w:t>项目车辆冲洗用水利用项目污水处理站处理后的回用水。</w:t>
      </w:r>
    </w:p>
    <w:p>
      <w:pPr>
        <w:spacing w:beforeLines="0" w:afterLines="0"/>
        <w:jc w:val="left"/>
        <w:rPr>
          <w:rFonts w:hint="eastAsia"/>
          <w:lang w:eastAsia="zh-CN"/>
        </w:rPr>
      </w:pPr>
      <w:r>
        <w:rPr>
          <w:rFonts w:hint="eastAsia"/>
          <w:lang w:val="en-US" w:eastAsia="zh-CN"/>
        </w:rPr>
        <w:t>③</w:t>
      </w:r>
      <w:r>
        <w:rPr>
          <w:rFonts w:hint="eastAsia"/>
          <w:lang w:eastAsia="zh-CN"/>
        </w:rPr>
        <w:t>屠宰用水</w:t>
      </w:r>
    </w:p>
    <w:p>
      <w:pPr>
        <w:spacing w:beforeLines="0" w:afterLines="0"/>
        <w:jc w:val="left"/>
        <w:rPr>
          <w:rFonts w:hint="default"/>
          <w:lang w:val="en-US" w:eastAsia="zh-CN"/>
        </w:rPr>
      </w:pPr>
      <w:r>
        <w:rPr>
          <w:rFonts w:hint="eastAsia"/>
          <w:lang w:val="en-US" w:eastAsia="zh-CN"/>
        </w:rPr>
        <w:t>本项目根据市场供应需求，猪肉与牛肉供应淡季为1~4月，旺季为9~12月，5~8月较为平均，旺季屠宰量为淡季屠宰量的1.5倍，则本项目淡季生猪屠宰约为800头/d，肉牛屠宰约为56头/年；旺季生猪屠宰约为1200头/d，肉牛屠宰约为80头/年；平均</w:t>
      </w:r>
      <w:r>
        <w:rPr>
          <w:rFonts w:hint="eastAsia"/>
        </w:rPr>
        <w:t>均</w:t>
      </w:r>
      <w:r>
        <w:rPr>
          <w:rFonts w:hint="eastAsia"/>
          <w:lang w:val="en-US" w:eastAsia="zh-CN"/>
        </w:rPr>
        <w:t>日</w:t>
      </w:r>
      <w:r>
        <w:rPr>
          <w:rFonts w:hint="eastAsia"/>
        </w:rPr>
        <w:t>屠宰生猪</w:t>
      </w:r>
      <w:r>
        <w:rPr>
          <w:rFonts w:hint="eastAsia"/>
          <w:lang w:val="en-US" w:eastAsia="zh-CN"/>
        </w:rPr>
        <w:t>1000</w:t>
      </w:r>
      <w:r>
        <w:rPr>
          <w:rFonts w:hint="eastAsia"/>
        </w:rPr>
        <w:t>头</w:t>
      </w:r>
      <w:r>
        <w:rPr>
          <w:rFonts w:hint="eastAsia"/>
          <w:lang w:eastAsia="zh-CN"/>
        </w:rPr>
        <w:t>（</w:t>
      </w:r>
      <w:r>
        <w:rPr>
          <w:rFonts w:hint="eastAsia"/>
          <w:lang w:val="en-US" w:eastAsia="zh-CN"/>
        </w:rPr>
        <w:t>年工作300日</w:t>
      </w:r>
      <w:r>
        <w:rPr>
          <w:rFonts w:hint="eastAsia"/>
          <w:lang w:eastAsia="zh-CN"/>
        </w:rPr>
        <w:t>），</w:t>
      </w:r>
      <w:r>
        <w:rPr>
          <w:rFonts w:hint="eastAsia"/>
          <w:vertAlign w:val="baseline"/>
          <w:lang w:val="en-US" w:eastAsia="zh-CN"/>
        </w:rPr>
        <w:t>屠宰肉牛67头（年工作150日）。</w:t>
      </w:r>
    </w:p>
    <w:p>
      <w:pPr>
        <w:spacing w:beforeLines="0" w:afterLines="0"/>
        <w:jc w:val="left"/>
        <w:rPr>
          <w:rFonts w:hint="default" w:eastAsia="宋体"/>
          <w:vertAlign w:val="baseline"/>
          <w:lang w:val="en-US" w:eastAsia="zh-CN"/>
        </w:rPr>
      </w:pPr>
      <w:r>
        <w:rPr>
          <w:rFonts w:hint="eastAsia"/>
          <w:lang w:val="en-US" w:eastAsia="zh-CN"/>
        </w:rPr>
        <w:t>根据</w:t>
      </w:r>
      <w:r>
        <w:rPr>
          <w:rFonts w:hint="eastAsia"/>
        </w:rPr>
        <w:t>《屠宰与肉类加工废水治理工程技术规范》（HJ2004-2010）</w:t>
      </w:r>
      <w:r>
        <w:rPr>
          <w:rFonts w:hint="eastAsia"/>
          <w:lang w:val="en-US" w:eastAsia="zh-CN"/>
        </w:rPr>
        <w:t>与</w:t>
      </w:r>
      <w:r>
        <w:rPr>
          <w:rFonts w:hint="eastAsia" w:ascii="宋体" w:hAnsi="宋体" w:eastAsia="宋体"/>
          <w:sz w:val="24"/>
          <w:szCs w:val="24"/>
        </w:rPr>
        <w:t>《</w:t>
      </w:r>
      <w:r>
        <w:rPr>
          <w:rFonts w:hint="eastAsia" w:ascii="宋体" w:hAnsi="宋体" w:eastAsia="宋体"/>
          <w:sz w:val="24"/>
          <w:szCs w:val="24"/>
          <w:lang w:val="en-US" w:eastAsia="zh-CN"/>
        </w:rPr>
        <w:t>四川省用水定额</w:t>
      </w:r>
      <w:r>
        <w:rPr>
          <w:rFonts w:hint="eastAsia" w:ascii="宋体" w:hAnsi="宋体" w:eastAsia="宋体"/>
          <w:sz w:val="24"/>
          <w:szCs w:val="24"/>
        </w:rPr>
        <w:t>》（</w:t>
      </w:r>
      <w:r>
        <w:rPr>
          <w:rFonts w:hint="eastAsia" w:ascii="Times New Roman" w:hAnsi="Times New Roman" w:eastAsia="宋体"/>
          <w:sz w:val="24"/>
          <w:szCs w:val="24"/>
          <w:lang w:eastAsia="zh-CN"/>
        </w:rPr>
        <w:t>川府函[2021]8号</w:t>
      </w:r>
      <w:r>
        <w:rPr>
          <w:rFonts w:hint="eastAsia" w:ascii="宋体" w:hAnsi="宋体" w:eastAsia="宋体"/>
          <w:sz w:val="24"/>
          <w:szCs w:val="24"/>
        </w:rPr>
        <w:t>）</w:t>
      </w:r>
      <w:r>
        <w:rPr>
          <w:rFonts w:hint="eastAsia"/>
        </w:rPr>
        <w:t>，</w:t>
      </w:r>
      <w:r>
        <w:rPr>
          <w:rFonts w:hint="eastAsia"/>
          <w:lang w:val="en-US" w:eastAsia="zh-CN"/>
        </w:rPr>
        <w:t>本项目屠宰过程包括了</w:t>
      </w:r>
      <w:r>
        <w:rPr>
          <w:rFonts w:hint="eastAsia" w:ascii="宋体" w:hAnsi="宋体" w:eastAsia="宋体"/>
          <w:sz w:val="24"/>
          <w:szCs w:val="24"/>
        </w:rPr>
        <w:t>屠宰时进行的圈栏冲洗、宰前淋浴、宰后烫毛或剥皮、开腔、劈半、解体、内脏洗涤及车间冲洗（包括设备）等过程</w:t>
      </w:r>
      <w:r>
        <w:rPr>
          <w:rFonts w:hint="eastAsia" w:ascii="宋体" w:hAnsi="宋体" w:eastAsia="宋体"/>
          <w:sz w:val="24"/>
          <w:szCs w:val="24"/>
          <w:lang w:eastAsia="zh-CN"/>
        </w:rPr>
        <w:t>。</w:t>
      </w:r>
      <w:r>
        <w:rPr>
          <w:rFonts w:hint="eastAsia"/>
        </w:rPr>
        <w:t>确定生猪屠宰过程用水量为0.</w:t>
      </w:r>
      <w:r>
        <w:rPr>
          <w:rFonts w:hint="eastAsia"/>
          <w:lang w:val="en-US" w:eastAsia="zh-CN"/>
        </w:rPr>
        <w:t>6</w:t>
      </w:r>
      <w:r>
        <w:rPr>
          <w:rFonts w:hint="eastAsia"/>
        </w:rPr>
        <w:t>m</w:t>
      </w:r>
      <w:r>
        <w:rPr>
          <w:rFonts w:hint="eastAsia"/>
          <w:vertAlign w:val="superscript"/>
        </w:rPr>
        <w:t>3</w:t>
      </w:r>
      <w:r>
        <w:rPr>
          <w:rFonts w:hint="eastAsia"/>
        </w:rPr>
        <w:t>/头，</w:t>
      </w:r>
      <w:r>
        <w:rPr>
          <w:rFonts w:hint="eastAsia"/>
          <w:lang w:val="en-US" w:eastAsia="zh-CN"/>
        </w:rPr>
        <w:t>确定肉牛屠宰过程用水量为1.25m</w:t>
      </w:r>
      <w:r>
        <w:rPr>
          <w:rFonts w:hint="eastAsia"/>
          <w:vertAlign w:val="superscript"/>
          <w:lang w:val="en-US" w:eastAsia="zh-CN"/>
        </w:rPr>
        <w:t>3</w:t>
      </w:r>
      <w:r>
        <w:rPr>
          <w:rFonts w:hint="eastAsia"/>
          <w:vertAlign w:val="baseline"/>
          <w:lang w:val="en-US" w:eastAsia="zh-CN"/>
        </w:rPr>
        <w:t>/头</w:t>
      </w:r>
      <w:r>
        <w:rPr>
          <w:rFonts w:hint="eastAsia"/>
          <w:lang w:val="en-US" w:eastAsia="zh-CN"/>
        </w:rPr>
        <w:t>，故在淡季</w:t>
      </w:r>
      <w:r>
        <w:rPr>
          <w:rFonts w:hint="eastAsia"/>
        </w:rPr>
        <w:t>屠宰用水</w:t>
      </w:r>
      <w:r>
        <w:rPr>
          <w:rFonts w:hint="eastAsia"/>
          <w:lang w:val="en-US" w:eastAsia="zh-CN"/>
        </w:rPr>
        <w:t>为480</w:t>
      </w:r>
      <w:r>
        <w:rPr>
          <w:rFonts w:hint="eastAsia"/>
          <w:vertAlign w:val="baseline"/>
          <w:lang w:val="en-US" w:eastAsia="zh-CN"/>
        </w:rPr>
        <w:t>m</w:t>
      </w:r>
      <w:r>
        <w:rPr>
          <w:rFonts w:hint="eastAsia"/>
          <w:vertAlign w:val="superscript"/>
          <w:lang w:val="en-US" w:eastAsia="zh-CN"/>
        </w:rPr>
        <w:t>3</w:t>
      </w:r>
      <w:r>
        <w:rPr>
          <w:rFonts w:hint="eastAsia"/>
          <w:vertAlign w:val="baseline"/>
          <w:lang w:val="en-US" w:eastAsia="zh-CN"/>
        </w:rPr>
        <w:t>/d（</w:t>
      </w:r>
      <w:r>
        <w:rPr>
          <w:rFonts w:hint="eastAsia"/>
          <w:lang w:val="en-US" w:eastAsia="zh-CN"/>
        </w:rPr>
        <w:t>未进行肉牛屠宰时段</w:t>
      </w:r>
      <w:r>
        <w:rPr>
          <w:rFonts w:hint="eastAsia"/>
          <w:vertAlign w:val="baseline"/>
          <w:lang w:val="en-US" w:eastAsia="zh-CN"/>
        </w:rPr>
        <w:t>），550m</w:t>
      </w:r>
      <w:r>
        <w:rPr>
          <w:rFonts w:hint="eastAsia"/>
          <w:vertAlign w:val="superscript"/>
          <w:lang w:val="en-US" w:eastAsia="zh-CN"/>
        </w:rPr>
        <w:t>3</w:t>
      </w:r>
      <w:r>
        <w:rPr>
          <w:rFonts w:hint="eastAsia"/>
          <w:vertAlign w:val="baseline"/>
          <w:lang w:val="en-US" w:eastAsia="zh-CN"/>
        </w:rPr>
        <w:t>/d（</w:t>
      </w:r>
      <w:r>
        <w:rPr>
          <w:rFonts w:hint="eastAsia"/>
          <w:lang w:val="en-US" w:eastAsia="zh-CN"/>
        </w:rPr>
        <w:t>进行肉牛屠宰时段</w:t>
      </w:r>
      <w:r>
        <w:rPr>
          <w:rFonts w:hint="eastAsia"/>
          <w:vertAlign w:val="baseline"/>
          <w:lang w:val="en-US" w:eastAsia="zh-CN"/>
        </w:rPr>
        <w:t>）；在旺季</w:t>
      </w:r>
      <w:r>
        <w:rPr>
          <w:rFonts w:hint="eastAsia"/>
        </w:rPr>
        <w:t>屠宰用水</w:t>
      </w:r>
      <w:r>
        <w:rPr>
          <w:rFonts w:hint="eastAsia"/>
          <w:vertAlign w:val="baseline"/>
          <w:lang w:val="en-US" w:eastAsia="zh-CN"/>
        </w:rPr>
        <w:t>为720m</w:t>
      </w:r>
      <w:r>
        <w:rPr>
          <w:rFonts w:hint="eastAsia"/>
          <w:vertAlign w:val="superscript"/>
          <w:lang w:val="en-US" w:eastAsia="zh-CN"/>
        </w:rPr>
        <w:t>3</w:t>
      </w:r>
      <w:r>
        <w:rPr>
          <w:rFonts w:hint="eastAsia"/>
          <w:vertAlign w:val="baseline"/>
          <w:lang w:val="en-US" w:eastAsia="zh-CN"/>
        </w:rPr>
        <w:t>/d（</w:t>
      </w:r>
      <w:r>
        <w:rPr>
          <w:rFonts w:hint="eastAsia"/>
          <w:lang w:val="en-US" w:eastAsia="zh-CN"/>
        </w:rPr>
        <w:t>未进行肉牛屠宰时段</w:t>
      </w:r>
      <w:r>
        <w:rPr>
          <w:rFonts w:hint="eastAsia"/>
          <w:vertAlign w:val="baseline"/>
          <w:lang w:val="en-US" w:eastAsia="zh-CN"/>
        </w:rPr>
        <w:t>），820m</w:t>
      </w:r>
      <w:r>
        <w:rPr>
          <w:rFonts w:hint="eastAsia"/>
          <w:vertAlign w:val="superscript"/>
          <w:lang w:val="en-US" w:eastAsia="zh-CN"/>
        </w:rPr>
        <w:t>3</w:t>
      </w:r>
      <w:r>
        <w:rPr>
          <w:rFonts w:hint="eastAsia"/>
          <w:vertAlign w:val="baseline"/>
          <w:lang w:val="en-US" w:eastAsia="zh-CN"/>
        </w:rPr>
        <w:t>/d（</w:t>
      </w:r>
      <w:r>
        <w:rPr>
          <w:rFonts w:hint="eastAsia"/>
          <w:lang w:val="en-US" w:eastAsia="zh-CN"/>
        </w:rPr>
        <w:t>进行肉牛屠宰时段</w:t>
      </w:r>
      <w:r>
        <w:rPr>
          <w:rFonts w:hint="eastAsia"/>
          <w:vertAlign w:val="baseline"/>
          <w:lang w:val="en-US" w:eastAsia="zh-CN"/>
        </w:rPr>
        <w:t>）；平均日</w:t>
      </w:r>
      <w:r>
        <w:rPr>
          <w:rFonts w:hint="eastAsia"/>
        </w:rPr>
        <w:t>屠宰用水</w:t>
      </w:r>
      <w:r>
        <w:rPr>
          <w:rFonts w:hint="eastAsia"/>
          <w:lang w:val="en-US" w:eastAsia="zh-CN"/>
        </w:rPr>
        <w:t>600</w:t>
      </w:r>
      <w:r>
        <w:rPr>
          <w:rFonts w:hint="eastAsia"/>
        </w:rPr>
        <w:t>m</w:t>
      </w:r>
      <w:r>
        <w:rPr>
          <w:rFonts w:hint="eastAsia"/>
          <w:vertAlign w:val="superscript"/>
        </w:rPr>
        <w:t>3</w:t>
      </w:r>
      <w:r>
        <w:rPr>
          <w:rFonts w:hint="eastAsia"/>
        </w:rPr>
        <w:t>/d</w:t>
      </w:r>
      <w:r>
        <w:rPr>
          <w:rFonts w:hint="eastAsia"/>
          <w:lang w:eastAsia="zh-CN"/>
        </w:rPr>
        <w:t>（</w:t>
      </w:r>
      <w:r>
        <w:rPr>
          <w:rFonts w:hint="eastAsia"/>
          <w:lang w:val="en-US" w:eastAsia="zh-CN"/>
        </w:rPr>
        <w:t>未进行肉牛屠宰时段</w:t>
      </w:r>
      <w:r>
        <w:rPr>
          <w:rFonts w:hint="eastAsia"/>
          <w:lang w:eastAsia="zh-CN"/>
        </w:rPr>
        <w:t>），</w:t>
      </w:r>
      <w:r>
        <w:rPr>
          <w:rFonts w:hint="eastAsia"/>
          <w:lang w:val="en-US" w:eastAsia="zh-CN"/>
        </w:rPr>
        <w:t>684</w:t>
      </w:r>
      <w:r>
        <w:rPr>
          <w:rFonts w:hint="eastAsia"/>
        </w:rPr>
        <w:t>m</w:t>
      </w:r>
      <w:r>
        <w:rPr>
          <w:rFonts w:hint="eastAsia"/>
          <w:vertAlign w:val="superscript"/>
        </w:rPr>
        <w:t>3</w:t>
      </w:r>
      <w:r>
        <w:rPr>
          <w:rFonts w:hint="eastAsia"/>
        </w:rPr>
        <w:t>/d</w:t>
      </w:r>
      <w:r>
        <w:rPr>
          <w:rFonts w:hint="eastAsia"/>
          <w:lang w:eastAsia="zh-CN"/>
        </w:rPr>
        <w:t>（</w:t>
      </w:r>
      <w:r>
        <w:rPr>
          <w:rFonts w:hint="eastAsia"/>
          <w:lang w:val="en-US" w:eastAsia="zh-CN"/>
        </w:rPr>
        <w:t>进行肉牛屠宰时段）。</w:t>
      </w:r>
    </w:p>
    <w:p>
      <w:pPr>
        <w:bidi w:val="0"/>
        <w:rPr>
          <w:rFonts w:hint="eastAsia" w:ascii="宋体" w:hAnsi="宋体" w:eastAsia="宋体"/>
          <w:sz w:val="24"/>
          <w:szCs w:val="24"/>
          <w:lang w:val="en-US" w:eastAsia="zh-CN"/>
        </w:rPr>
      </w:pPr>
      <w:r>
        <w:rPr>
          <w:rFonts w:hint="eastAsia"/>
          <w:lang w:val="en-US" w:eastAsia="zh-CN"/>
        </w:rPr>
        <w:t>④</w:t>
      </w:r>
      <w:r>
        <w:rPr>
          <w:rFonts w:hint="eastAsia" w:ascii="宋体" w:hAnsi="宋体" w:eastAsia="宋体"/>
          <w:sz w:val="24"/>
          <w:szCs w:val="24"/>
          <w:lang w:val="en-US" w:eastAsia="zh-CN"/>
        </w:rPr>
        <w:t>洗涤塔补水</w:t>
      </w:r>
    </w:p>
    <w:p>
      <w:pPr>
        <w:bidi w:val="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本项目在污水处理站设置废气处理装置，对污水处理站废气、待宰圈废气、屠宰区废水收集后进行处置，采用“</w:t>
      </w:r>
      <w:r>
        <w:rPr>
          <w:rFonts w:hint="eastAsia" w:cs="Times New Roman"/>
          <w:color w:val="000000" w:themeColor="text1"/>
          <w:sz w:val="24"/>
          <w:lang w:val="en-US" w:eastAsia="zh-CN"/>
          <w14:textFill>
            <w14:solidFill>
              <w14:schemeClr w14:val="tx1"/>
            </w14:solidFill>
          </w14:textFill>
        </w:rPr>
        <w:t>UV光解+生物洗涤塔</w:t>
      </w:r>
      <w:r>
        <w:rPr>
          <w:rFonts w:hint="default" w:ascii="Times New Roman" w:hAnsi="Times New Roman" w:cs="Times New Roman"/>
          <w:color w:val="000000" w:themeColor="text1"/>
          <w:sz w:val="24"/>
          <w:lang w:val="en-US" w:eastAsia="zh-CN"/>
          <w14:textFill>
            <w14:solidFill>
              <w14:schemeClr w14:val="tx1"/>
            </w14:solidFill>
          </w14:textFill>
        </w:rPr>
        <w:t>”工艺进行处理，经15m高排气筒排放，</w:t>
      </w:r>
      <w:r>
        <w:rPr>
          <w:rFonts w:hint="eastAsia" w:ascii="Times New Roman" w:hAnsi="Times New Roman" w:cs="Times New Roman"/>
          <w:color w:val="000000" w:themeColor="text1"/>
          <w:sz w:val="24"/>
          <w:lang w:val="en-US" w:eastAsia="zh-CN"/>
          <w14:textFill>
            <w14:solidFill>
              <w14:schemeClr w14:val="tx1"/>
            </w14:solidFill>
          </w14:textFill>
        </w:rPr>
        <w:t>为保障处理效率，保证喷淋水的浓度，需要持续排水并补充水，最大负荷下循环水为200m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vertAlign w:val="baseline"/>
          <w:lang w:val="en-US" w:eastAsia="zh-CN"/>
          <w14:textFill>
            <w14:solidFill>
              <w14:schemeClr w14:val="tx1"/>
            </w14:solidFill>
          </w14:textFill>
        </w:rPr>
        <w:t>/d，排水量按10%计，</w:t>
      </w:r>
      <w:r>
        <w:rPr>
          <w:rFonts w:hint="eastAsia" w:ascii="宋体" w:hAnsi="宋体" w:eastAsia="宋体"/>
          <w:sz w:val="24"/>
          <w:szCs w:val="24"/>
        </w:rPr>
        <w:t>由于是在常温下运行，损失很小可忽略不计，则补水量为</w:t>
      </w:r>
      <w:r>
        <w:rPr>
          <w:rFonts w:hint="default" w:ascii="Times New Roman" w:hAnsi="Times New Roman" w:eastAsia="Times New Roman"/>
          <w:sz w:val="24"/>
          <w:szCs w:val="24"/>
        </w:rPr>
        <w:t>20m</w:t>
      </w:r>
      <w:r>
        <w:rPr>
          <w:rFonts w:hint="eastAsia" w:ascii="Times New Roman" w:hAnsi="Times New Roman" w:eastAsia="宋体"/>
          <w:sz w:val="24"/>
          <w:szCs w:val="24"/>
          <w:vertAlign w:val="superscript"/>
          <w:lang w:val="en-US" w:eastAsia="zh-CN"/>
        </w:rPr>
        <w:t>3</w:t>
      </w:r>
      <w:r>
        <w:rPr>
          <w:rFonts w:hint="default" w:ascii="Times New Roman" w:hAnsi="Times New Roman" w:eastAsia="Times New Roman"/>
          <w:sz w:val="24"/>
          <w:szCs w:val="24"/>
        </w:rPr>
        <w:t>/d</w:t>
      </w:r>
      <w:r>
        <w:rPr>
          <w:rFonts w:hint="eastAsia" w:ascii="宋体" w:hAnsi="宋体" w:eastAsia="宋体"/>
          <w:sz w:val="24"/>
          <w:szCs w:val="24"/>
        </w:rPr>
        <w:t>，</w:t>
      </w:r>
      <w:r>
        <w:rPr>
          <w:rFonts w:hint="default" w:ascii="Times New Roman" w:hAnsi="Times New Roman" w:eastAsia="Times New Roman"/>
          <w:sz w:val="24"/>
          <w:szCs w:val="24"/>
        </w:rPr>
        <w:t>7000m</w:t>
      </w:r>
      <w:r>
        <w:rPr>
          <w:rFonts w:hint="eastAsia" w:ascii="Times New Roman" w:hAnsi="Times New Roman" w:eastAsia="宋体"/>
          <w:sz w:val="24"/>
          <w:szCs w:val="24"/>
          <w:vertAlign w:val="superscript"/>
          <w:lang w:val="en-US" w:eastAsia="zh-CN"/>
        </w:rPr>
        <w:t>3</w:t>
      </w:r>
      <w:r>
        <w:rPr>
          <w:rFonts w:hint="default" w:ascii="Times New Roman" w:hAnsi="Times New Roman" w:eastAsia="Times New Roman"/>
          <w:sz w:val="24"/>
          <w:szCs w:val="24"/>
        </w:rPr>
        <w:t>/a</w:t>
      </w:r>
      <w:r>
        <w:rPr>
          <w:rFonts w:hint="eastAsia" w:cs="Times New Roman"/>
          <w:color w:val="000000" w:themeColor="text1"/>
          <w:sz w:val="24"/>
          <w:lang w:val="en-US" w:eastAsia="zh-CN"/>
          <w14:textFill>
            <w14:solidFill>
              <w14:schemeClr w14:val="tx1"/>
            </w14:solidFill>
          </w14:textFill>
        </w:rPr>
        <w:t>，</w:t>
      </w:r>
      <w:r>
        <w:rPr>
          <w:rFonts w:hint="eastAsia"/>
          <w:lang w:val="en-US" w:eastAsia="zh-CN"/>
        </w:rPr>
        <w:t>项目洗涤塔用水利用项目污水处理站处理后的回用水。</w:t>
      </w:r>
    </w:p>
    <w:p>
      <w:pPr>
        <w:bidi w:val="0"/>
        <w:rPr>
          <w:rFonts w:hint="default" w:ascii="宋体" w:hAnsi="宋体" w:eastAsia="宋体"/>
          <w:sz w:val="24"/>
          <w:szCs w:val="24"/>
          <w:lang w:val="en-US" w:eastAsia="zh-CN"/>
        </w:rPr>
      </w:pPr>
      <w:r>
        <w:rPr>
          <w:rFonts w:hint="eastAsia" w:ascii="宋体" w:hAnsi="宋体" w:eastAsia="宋体"/>
          <w:sz w:val="24"/>
          <w:szCs w:val="24"/>
          <w:lang w:val="en-US" w:eastAsia="zh-CN"/>
        </w:rPr>
        <w:t>⑤生活用水</w:t>
      </w:r>
    </w:p>
    <w:p>
      <w:pPr>
        <w:bidi w:val="0"/>
        <w:rPr>
          <w:rFonts w:hint="default"/>
          <w:lang w:val="en-US" w:eastAsia="zh-CN"/>
        </w:rPr>
      </w:pPr>
      <w:r>
        <w:rPr>
          <w:rFonts w:hint="eastAsia"/>
          <w:lang w:val="en-US" w:eastAsia="zh-CN"/>
        </w:rPr>
        <w:t>本项目劳动定员50人</w:t>
      </w:r>
      <w:r>
        <w:rPr>
          <w:rFonts w:hint="eastAsia"/>
          <w:lang w:eastAsia="zh-CN"/>
        </w:rPr>
        <w:t>，</w:t>
      </w:r>
      <w:r>
        <w:rPr>
          <w:rFonts w:hint="eastAsia"/>
          <w:lang w:val="en-US" w:eastAsia="zh-CN"/>
        </w:rPr>
        <w:t>项目未建宿舍楼，项目员工不在厂内留宿，根据</w:t>
      </w:r>
      <w:r>
        <w:rPr>
          <w:rFonts w:hint="eastAsia"/>
          <w:lang w:eastAsia="zh-CN"/>
        </w:rPr>
        <w:t>《</w:t>
      </w:r>
      <w:r>
        <w:rPr>
          <w:rFonts w:hint="eastAsia"/>
          <w:lang w:val="en-US" w:eastAsia="zh-CN"/>
        </w:rPr>
        <w:t>建筑给水排水设计规范</w:t>
      </w:r>
      <w:r>
        <w:rPr>
          <w:rFonts w:hint="eastAsia"/>
          <w:lang w:eastAsia="zh-CN"/>
        </w:rPr>
        <w:t>》</w:t>
      </w:r>
      <w:r>
        <w:rPr>
          <w:rFonts w:hint="eastAsia"/>
        </w:rPr>
        <w:t>（</w:t>
      </w:r>
      <w:r>
        <w:rPr>
          <w:rFonts w:hint="default"/>
        </w:rPr>
        <w:t>GB50015-2003</w:t>
      </w:r>
      <w:r>
        <w:rPr>
          <w:rFonts w:hint="eastAsia"/>
        </w:rPr>
        <w:t>）（</w:t>
      </w:r>
      <w:r>
        <w:rPr>
          <w:rFonts w:hint="default"/>
        </w:rPr>
        <w:t xml:space="preserve">2009 </w:t>
      </w:r>
      <w:r>
        <w:rPr>
          <w:rFonts w:hint="eastAsia"/>
        </w:rPr>
        <w:t>年版），工业企业建筑管理人员的生活用水定额可取</w:t>
      </w:r>
      <w:r>
        <w:rPr>
          <w:rFonts w:hint="default"/>
        </w:rPr>
        <w:t>30L/</w:t>
      </w:r>
      <w:r>
        <w:rPr>
          <w:rFonts w:hint="eastAsia"/>
        </w:rPr>
        <w:t>人</w:t>
      </w:r>
      <w:r>
        <w:rPr>
          <w:rFonts w:hint="default"/>
        </w:rPr>
        <w:t>·</w:t>
      </w:r>
      <w:r>
        <w:rPr>
          <w:rFonts w:hint="eastAsia"/>
        </w:rPr>
        <w:t>班～</w:t>
      </w:r>
      <w:r>
        <w:rPr>
          <w:rFonts w:hint="default"/>
        </w:rPr>
        <w:t>50L/</w:t>
      </w:r>
      <w:r>
        <w:rPr>
          <w:rFonts w:hint="eastAsia"/>
        </w:rPr>
        <w:t>人</w:t>
      </w:r>
      <w:r>
        <w:rPr>
          <w:rFonts w:hint="default"/>
        </w:rPr>
        <w:t>·</w:t>
      </w:r>
      <w:r>
        <w:rPr>
          <w:rFonts w:hint="eastAsia"/>
        </w:rPr>
        <w:t>班，本项目按</w:t>
      </w:r>
      <w:r>
        <w:rPr>
          <w:rFonts w:hint="eastAsia"/>
          <w:lang w:val="en-US" w:eastAsia="zh-CN"/>
        </w:rPr>
        <w:t>50</w:t>
      </w:r>
      <w:r>
        <w:rPr>
          <w:rFonts w:hint="default"/>
        </w:rPr>
        <w:t>L/</w:t>
      </w:r>
      <w:r>
        <w:rPr>
          <w:rFonts w:hint="eastAsia"/>
        </w:rPr>
        <w:t>人</w:t>
      </w:r>
      <w:r>
        <w:rPr>
          <w:rFonts w:hint="default"/>
        </w:rPr>
        <w:t>·d</w:t>
      </w:r>
      <w:r>
        <w:rPr>
          <w:rFonts w:hint="eastAsia"/>
          <w:lang w:eastAsia="zh-CN"/>
        </w:rPr>
        <w:t>，</w:t>
      </w:r>
      <w:r>
        <w:rPr>
          <w:rFonts w:hint="eastAsia"/>
          <w:lang w:val="en-US" w:eastAsia="zh-CN"/>
        </w:rPr>
        <w:t>则生活用水量约为2.5m</w:t>
      </w:r>
      <w:r>
        <w:rPr>
          <w:rFonts w:hint="eastAsia"/>
          <w:vertAlign w:val="superscript"/>
          <w:lang w:val="en-US" w:eastAsia="zh-CN"/>
        </w:rPr>
        <w:t>3</w:t>
      </w:r>
      <w:r>
        <w:rPr>
          <w:rFonts w:hint="eastAsia"/>
          <w:lang w:val="en-US" w:eastAsia="zh-CN"/>
        </w:rPr>
        <w:t>/d。</w:t>
      </w:r>
    </w:p>
    <w:p>
      <w:pPr>
        <w:bidi w:val="0"/>
        <w:rPr>
          <w:rFonts w:hint="default" w:eastAsia="宋体"/>
          <w:lang w:val="en-US" w:eastAsia="zh-CN"/>
        </w:rPr>
      </w:pPr>
      <w:r>
        <w:rPr>
          <w:rFonts w:hint="eastAsia"/>
          <w:lang w:val="en-US" w:eastAsia="zh-CN"/>
        </w:rPr>
        <w:t>⑥食堂用水</w:t>
      </w:r>
    </w:p>
    <w:p>
      <w:pPr>
        <w:bidi w:val="0"/>
        <w:rPr>
          <w:rFonts w:hint="eastAsia"/>
          <w:lang w:val="en-US" w:eastAsia="zh-CN"/>
        </w:rPr>
      </w:pPr>
      <w:r>
        <w:rPr>
          <w:rFonts w:hint="eastAsia"/>
          <w:lang w:val="en-US" w:eastAsia="zh-CN"/>
        </w:rPr>
        <w:t>本项目设置食堂，本项目食堂仅为员工提供午餐，</w:t>
      </w:r>
      <w:r>
        <w:rPr>
          <w:rFonts w:hint="eastAsia"/>
        </w:rPr>
        <w:t>根据《建筑给水排水设计规范》（</w:t>
      </w:r>
      <w:r>
        <w:rPr>
          <w:rFonts w:hint="default"/>
        </w:rPr>
        <w:t>GB50015-2003</w:t>
      </w:r>
      <w:r>
        <w:rPr>
          <w:rFonts w:hint="eastAsia"/>
        </w:rPr>
        <w:t>）（</w:t>
      </w:r>
      <w:r>
        <w:rPr>
          <w:rFonts w:hint="default"/>
        </w:rPr>
        <w:t>2009</w:t>
      </w:r>
      <w:r>
        <w:rPr>
          <w:rFonts w:hint="eastAsia"/>
        </w:rPr>
        <w:t>年版），快餐店、职工及学生食堂</w:t>
      </w:r>
      <w:r>
        <w:rPr>
          <w:rFonts w:hint="default"/>
        </w:rPr>
        <w:t>20~25L/</w:t>
      </w:r>
      <w:r>
        <w:rPr>
          <w:rFonts w:hint="eastAsia"/>
        </w:rPr>
        <w:t>人，本项目食堂用水按</w:t>
      </w:r>
      <w:r>
        <w:rPr>
          <w:rFonts w:hint="default"/>
        </w:rPr>
        <w:t>20L/</w:t>
      </w:r>
      <w:r>
        <w:rPr>
          <w:rFonts w:hint="eastAsia"/>
        </w:rPr>
        <w:t>人</w:t>
      </w:r>
      <w:r>
        <w:rPr>
          <w:rFonts w:hint="default"/>
        </w:rPr>
        <w:t>·</w:t>
      </w:r>
      <w:r>
        <w:rPr>
          <w:rFonts w:hint="eastAsia"/>
        </w:rPr>
        <w:t>次计，每日</w:t>
      </w:r>
      <w:r>
        <w:rPr>
          <w:rFonts w:hint="eastAsia"/>
          <w:lang w:val="en-US" w:eastAsia="zh-CN"/>
        </w:rPr>
        <w:t>1</w:t>
      </w:r>
      <w:r>
        <w:rPr>
          <w:rFonts w:hint="eastAsia"/>
        </w:rPr>
        <w:t>餐，</w:t>
      </w:r>
      <w:r>
        <w:rPr>
          <w:rFonts w:hint="eastAsia"/>
          <w:lang w:val="en-US" w:eastAsia="zh-CN"/>
        </w:rPr>
        <w:t>50</w:t>
      </w:r>
      <w:r>
        <w:rPr>
          <w:rFonts w:hint="eastAsia"/>
        </w:rPr>
        <w:t>人，则用水量</w:t>
      </w:r>
      <w:r>
        <w:rPr>
          <w:rFonts w:hint="eastAsia"/>
          <w:lang w:val="en-US" w:eastAsia="zh-CN"/>
        </w:rPr>
        <w:t>1</w:t>
      </w:r>
      <w:r>
        <w:rPr>
          <w:rFonts w:hint="default"/>
        </w:rPr>
        <w:t>m</w:t>
      </w:r>
      <w:r>
        <w:rPr>
          <w:rFonts w:hint="default"/>
          <w:vertAlign w:val="superscript"/>
        </w:rPr>
        <w:t>3</w:t>
      </w:r>
      <w:r>
        <w:rPr>
          <w:rFonts w:hint="default"/>
        </w:rPr>
        <w:t>/d</w:t>
      </w:r>
      <w:r>
        <w:rPr>
          <w:rFonts w:hint="eastAsia"/>
        </w:rPr>
        <w:t>。</w:t>
      </w:r>
    </w:p>
    <w:p>
      <w:pPr>
        <w:pStyle w:val="6"/>
        <w:bidi w:val="0"/>
        <w:rPr>
          <w:rFonts w:hint="eastAsia"/>
          <w:lang w:val="en-US" w:eastAsia="zh-CN"/>
        </w:rPr>
      </w:pPr>
      <w:r>
        <w:rPr>
          <w:rFonts w:hint="eastAsia"/>
          <w:lang w:val="en-US" w:eastAsia="zh-CN"/>
        </w:rPr>
        <w:t>排水</w:t>
      </w:r>
    </w:p>
    <w:p>
      <w:pPr>
        <w:bidi w:val="0"/>
        <w:rPr>
          <w:rFonts w:hint="eastAsia" w:eastAsia="宋体"/>
          <w:lang w:val="en-US" w:eastAsia="zh-CN"/>
        </w:rPr>
      </w:pPr>
      <w:r>
        <w:rPr>
          <w:rFonts w:hint="eastAsia"/>
          <w:lang w:val="en-US" w:eastAsia="zh-CN"/>
        </w:rPr>
        <w:t>①</w:t>
      </w:r>
      <w:r>
        <w:rPr>
          <w:rFonts w:hint="eastAsia"/>
        </w:rPr>
        <w:t>待宰圈冲洗</w:t>
      </w:r>
      <w:r>
        <w:rPr>
          <w:rFonts w:hint="eastAsia"/>
          <w:lang w:val="en-US" w:eastAsia="zh-CN"/>
        </w:rPr>
        <w:t>废水</w:t>
      </w:r>
    </w:p>
    <w:p>
      <w:pPr>
        <w:bidi w:val="0"/>
        <w:rPr>
          <w:rFonts w:hint="eastAsia"/>
        </w:rPr>
      </w:pPr>
      <w:r>
        <w:rPr>
          <w:rFonts w:hint="eastAsia"/>
        </w:rPr>
        <w:t>待宰圈冲洗废水按用水量90</w:t>
      </w:r>
      <w:r>
        <w:rPr>
          <w:rFonts w:hint="eastAsia"/>
          <w:lang w:val="en-US" w:eastAsia="zh-CN"/>
        </w:rPr>
        <w:t>%</w:t>
      </w:r>
      <w:r>
        <w:rPr>
          <w:rFonts w:hint="eastAsia"/>
        </w:rPr>
        <w:t>计，则待宰圈冲洗废水产生量为</w:t>
      </w:r>
      <w:r>
        <w:rPr>
          <w:rFonts w:hint="eastAsia"/>
          <w:lang w:val="en-US" w:eastAsia="zh-CN"/>
        </w:rPr>
        <w:t>4.5</w:t>
      </w:r>
      <w:r>
        <w:rPr>
          <w:rFonts w:hint="eastAsia"/>
        </w:rPr>
        <w:t>m</w:t>
      </w:r>
      <w:r>
        <w:rPr>
          <w:rFonts w:hint="eastAsia"/>
          <w:vertAlign w:val="superscript"/>
        </w:rPr>
        <w:t>3</w:t>
      </w:r>
      <w:r>
        <w:rPr>
          <w:rFonts w:hint="eastAsia"/>
        </w:rPr>
        <w:t>/d</w:t>
      </w:r>
      <w:r>
        <w:rPr>
          <w:rFonts w:hint="eastAsia"/>
          <w:lang w:eastAsia="zh-CN"/>
        </w:rPr>
        <w:t>，</w:t>
      </w:r>
      <w:r>
        <w:rPr>
          <w:rFonts w:hint="eastAsia"/>
          <w:lang w:val="en-US" w:eastAsia="zh-CN"/>
        </w:rPr>
        <w:t>1350m</w:t>
      </w:r>
      <w:r>
        <w:rPr>
          <w:rFonts w:hint="eastAsia"/>
          <w:vertAlign w:val="superscript"/>
          <w:lang w:val="en-US" w:eastAsia="zh-CN"/>
        </w:rPr>
        <w:t>3</w:t>
      </w:r>
      <w:r>
        <w:rPr>
          <w:rFonts w:hint="eastAsia"/>
          <w:vertAlign w:val="baseline"/>
          <w:lang w:val="en-US" w:eastAsia="zh-CN"/>
        </w:rPr>
        <w:t>/d</w:t>
      </w:r>
      <w:r>
        <w:rPr>
          <w:rFonts w:hint="eastAsia"/>
        </w:rPr>
        <w:t>。</w:t>
      </w:r>
    </w:p>
    <w:p>
      <w:pPr>
        <w:bidi w:val="0"/>
        <w:rPr>
          <w:rFonts w:hint="eastAsia" w:eastAsia="宋体"/>
          <w:lang w:eastAsia="zh-CN"/>
        </w:rPr>
      </w:pPr>
      <w:r>
        <w:rPr>
          <w:rFonts w:hint="eastAsia"/>
          <w:lang w:val="en-US" w:eastAsia="zh-CN"/>
        </w:rPr>
        <w:t>②</w:t>
      </w:r>
      <w:r>
        <w:rPr>
          <w:rFonts w:hint="eastAsia"/>
          <w:lang w:eastAsia="zh-CN"/>
        </w:rPr>
        <w:t>进出车辆</w:t>
      </w:r>
      <w:r>
        <w:rPr>
          <w:rFonts w:hint="eastAsia"/>
        </w:rPr>
        <w:t>冲洗</w:t>
      </w:r>
      <w:r>
        <w:rPr>
          <w:rFonts w:hint="eastAsia"/>
          <w:lang w:val="en-US" w:eastAsia="zh-CN"/>
        </w:rPr>
        <w:t>废水</w:t>
      </w:r>
    </w:p>
    <w:p>
      <w:pPr>
        <w:bidi w:val="0"/>
        <w:rPr>
          <w:rFonts w:hint="eastAsia" w:eastAsia="宋体"/>
          <w:lang w:val="en-US" w:eastAsia="zh-CN"/>
        </w:rPr>
      </w:pPr>
      <w:r>
        <w:rPr>
          <w:rFonts w:hint="eastAsia"/>
          <w:lang w:val="en-US" w:eastAsia="zh-CN"/>
        </w:rPr>
        <w:t>进出</w:t>
      </w:r>
      <w:r>
        <w:rPr>
          <w:rFonts w:hint="eastAsia"/>
        </w:rPr>
        <w:t>车辆冲洗废水按用水量90</w:t>
      </w:r>
      <w:r>
        <w:rPr>
          <w:rFonts w:hint="eastAsia"/>
          <w:lang w:val="en-US" w:eastAsia="zh-CN"/>
        </w:rPr>
        <w:t>%</w:t>
      </w:r>
      <w:r>
        <w:rPr>
          <w:rFonts w:hint="eastAsia"/>
        </w:rPr>
        <w:t>计，则</w:t>
      </w:r>
      <w:r>
        <w:rPr>
          <w:rFonts w:hint="eastAsia"/>
          <w:lang w:val="en-US" w:eastAsia="zh-CN"/>
        </w:rPr>
        <w:t>进出</w:t>
      </w:r>
      <w:r>
        <w:rPr>
          <w:rFonts w:hint="eastAsia"/>
        </w:rPr>
        <w:t>车辆冲洗废水产生量为1.8m</w:t>
      </w:r>
      <w:r>
        <w:rPr>
          <w:rFonts w:hint="eastAsia"/>
          <w:vertAlign w:val="superscript"/>
        </w:rPr>
        <w:t>3</w:t>
      </w:r>
      <w:r>
        <w:rPr>
          <w:rFonts w:hint="eastAsia"/>
        </w:rPr>
        <w:t>/d</w:t>
      </w:r>
      <w:r>
        <w:rPr>
          <w:rFonts w:hint="eastAsia"/>
          <w:lang w:eastAsia="zh-CN"/>
        </w:rPr>
        <w:t>，</w:t>
      </w:r>
      <w:r>
        <w:rPr>
          <w:rFonts w:hint="eastAsia"/>
          <w:lang w:val="en-US" w:eastAsia="zh-CN"/>
        </w:rPr>
        <w:t>540m</w:t>
      </w:r>
      <w:r>
        <w:rPr>
          <w:rFonts w:hint="eastAsia"/>
          <w:vertAlign w:val="superscript"/>
          <w:lang w:val="en-US" w:eastAsia="zh-CN"/>
        </w:rPr>
        <w:t>3</w:t>
      </w:r>
      <w:r>
        <w:rPr>
          <w:rFonts w:hint="eastAsia"/>
          <w:vertAlign w:val="baseline"/>
          <w:lang w:val="en-US" w:eastAsia="zh-CN"/>
        </w:rPr>
        <w:t>/d</w:t>
      </w:r>
      <w:r>
        <w:rPr>
          <w:rFonts w:hint="eastAsia"/>
        </w:rPr>
        <w:t>。</w:t>
      </w:r>
    </w:p>
    <w:p>
      <w:pPr>
        <w:spacing w:beforeLines="0" w:afterLines="0"/>
        <w:jc w:val="left"/>
        <w:rPr>
          <w:rFonts w:hint="eastAsia"/>
          <w:lang w:eastAsia="zh-CN"/>
        </w:rPr>
      </w:pPr>
      <w:r>
        <w:rPr>
          <w:rFonts w:hint="eastAsia"/>
          <w:lang w:val="en-US" w:eastAsia="zh-CN"/>
        </w:rPr>
        <w:t>③</w:t>
      </w:r>
      <w:r>
        <w:rPr>
          <w:rFonts w:hint="eastAsia"/>
          <w:lang w:eastAsia="zh-CN"/>
        </w:rPr>
        <w:t>屠宰</w:t>
      </w:r>
      <w:r>
        <w:rPr>
          <w:rFonts w:hint="eastAsia"/>
          <w:lang w:val="en-US" w:eastAsia="zh-CN"/>
        </w:rPr>
        <w:t>废水</w:t>
      </w:r>
    </w:p>
    <w:p>
      <w:pPr>
        <w:bidi w:val="0"/>
        <w:rPr>
          <w:rFonts w:hint="eastAsia" w:eastAsia="宋体"/>
          <w:lang w:val="en-US" w:eastAsia="zh-CN"/>
        </w:rPr>
      </w:pPr>
      <w:r>
        <w:rPr>
          <w:rFonts w:hint="eastAsia"/>
        </w:rPr>
        <w:t>屠宰排水系数以0.9计，则生猪屠宰废水产生量0.</w:t>
      </w:r>
      <w:r>
        <w:rPr>
          <w:rFonts w:hint="eastAsia"/>
          <w:lang w:val="en-US" w:eastAsia="zh-CN"/>
        </w:rPr>
        <w:t>54</w:t>
      </w:r>
      <w:r>
        <w:rPr>
          <w:rFonts w:hint="eastAsia"/>
        </w:rPr>
        <w:t>m</w:t>
      </w:r>
      <w:r>
        <w:rPr>
          <w:rFonts w:hint="eastAsia"/>
          <w:vertAlign w:val="superscript"/>
        </w:rPr>
        <w:t>3</w:t>
      </w:r>
      <w:r>
        <w:rPr>
          <w:rFonts w:hint="eastAsia"/>
        </w:rPr>
        <w:t>/头，</w:t>
      </w:r>
      <w:r>
        <w:rPr>
          <w:rFonts w:hint="eastAsia"/>
          <w:lang w:val="en-US" w:eastAsia="zh-CN"/>
        </w:rPr>
        <w:t>肉牛屠宰废水产生量1.125m</w:t>
      </w:r>
      <w:r>
        <w:rPr>
          <w:rFonts w:hint="eastAsia"/>
          <w:vertAlign w:val="superscript"/>
          <w:lang w:val="en-US" w:eastAsia="zh-CN"/>
        </w:rPr>
        <w:t>3</w:t>
      </w:r>
      <w:r>
        <w:rPr>
          <w:rFonts w:hint="eastAsia"/>
          <w:vertAlign w:val="baseline"/>
          <w:lang w:val="en-US" w:eastAsia="zh-CN"/>
        </w:rPr>
        <w:t>/头，</w:t>
      </w:r>
      <w:r>
        <w:rPr>
          <w:rFonts w:hint="eastAsia"/>
        </w:rPr>
        <w:t>与《屠宰与肉类加工废水治理工程技术规范》（HJ2004-2010）中生猪屠宰废水产生量0.5~0.7m</w:t>
      </w:r>
      <w:r>
        <w:rPr>
          <w:rFonts w:hint="eastAsia"/>
          <w:vertAlign w:val="superscript"/>
        </w:rPr>
        <w:t>3</w:t>
      </w:r>
      <w:r>
        <w:rPr>
          <w:rFonts w:hint="eastAsia"/>
        </w:rPr>
        <w:t>/头</w:t>
      </w:r>
      <w:r>
        <w:rPr>
          <w:rFonts w:hint="eastAsia"/>
          <w:lang w:eastAsia="zh-CN"/>
        </w:rPr>
        <w:t>，</w:t>
      </w:r>
      <w:r>
        <w:rPr>
          <w:rFonts w:hint="eastAsia"/>
          <w:lang w:val="en-US" w:eastAsia="zh-CN"/>
        </w:rPr>
        <w:t>肉牛屠宰废水产生量1.0~1.5</w:t>
      </w:r>
      <w:r>
        <w:rPr>
          <w:rFonts w:hint="eastAsia"/>
        </w:rPr>
        <w:t>m</w:t>
      </w:r>
      <w:r>
        <w:rPr>
          <w:rFonts w:hint="eastAsia"/>
          <w:vertAlign w:val="superscript"/>
        </w:rPr>
        <w:t>3</w:t>
      </w:r>
      <w:r>
        <w:rPr>
          <w:rFonts w:hint="eastAsia"/>
        </w:rPr>
        <w:t>/头产污系数范围相符，</w:t>
      </w:r>
      <w:r>
        <w:rPr>
          <w:rFonts w:hint="eastAsia"/>
          <w:lang w:val="en-US" w:eastAsia="zh-CN"/>
        </w:rPr>
        <w:t>根据物料平衡，项目产品生猪分割肉1320t/a，牛肉2250t/a，根据</w:t>
      </w:r>
      <w:r>
        <w:rPr>
          <w:rFonts w:hint="eastAsia"/>
        </w:rPr>
        <w:t>《屠宰与肉类加工废水治理工程技术规范》</w:t>
      </w:r>
      <w:r>
        <w:rPr>
          <w:rFonts w:hint="eastAsia"/>
          <w:lang w:val="en-US" w:eastAsia="zh-CN"/>
        </w:rPr>
        <w:t>中“有分割肉、化制等工序的企业每加工1t原料肉可增加排水2m</w:t>
      </w:r>
      <w:r>
        <w:rPr>
          <w:rFonts w:hint="eastAsia"/>
          <w:vertAlign w:val="superscript"/>
          <w:lang w:val="en-US" w:eastAsia="zh-CN"/>
        </w:rPr>
        <w:t>3</w:t>
      </w:r>
      <w:r>
        <w:rPr>
          <w:rFonts w:hint="eastAsia"/>
          <w:lang w:val="en-US" w:eastAsia="zh-CN"/>
        </w:rPr>
        <w:t>”，因此，项目生猪分割肉产生废水为2640</w:t>
      </w:r>
      <w:r>
        <w:rPr>
          <w:rFonts w:hint="eastAsia"/>
          <w:vertAlign w:val="baseline"/>
          <w:lang w:val="en-US" w:eastAsia="zh-CN"/>
        </w:rPr>
        <w:t>m</w:t>
      </w:r>
      <w:r>
        <w:rPr>
          <w:rFonts w:hint="eastAsia"/>
          <w:vertAlign w:val="superscript"/>
          <w:lang w:val="en-US" w:eastAsia="zh-CN"/>
        </w:rPr>
        <w:t>3</w:t>
      </w:r>
      <w:r>
        <w:rPr>
          <w:rFonts w:hint="eastAsia"/>
          <w:vertAlign w:val="baseline"/>
          <w:lang w:val="en-US" w:eastAsia="zh-CN"/>
        </w:rPr>
        <w:t>/a（8.8m</w:t>
      </w:r>
      <w:r>
        <w:rPr>
          <w:rFonts w:hint="eastAsia"/>
          <w:vertAlign w:val="superscript"/>
          <w:lang w:val="en-US" w:eastAsia="zh-CN"/>
        </w:rPr>
        <w:t>3</w:t>
      </w:r>
      <w:r>
        <w:rPr>
          <w:rFonts w:hint="eastAsia"/>
          <w:vertAlign w:val="baseline"/>
          <w:lang w:val="en-US" w:eastAsia="zh-CN"/>
        </w:rPr>
        <w:t>/d），牛肉加工产生的废水为4500m</w:t>
      </w:r>
      <w:r>
        <w:rPr>
          <w:rFonts w:hint="eastAsia"/>
          <w:vertAlign w:val="superscript"/>
          <w:lang w:val="en-US" w:eastAsia="zh-CN"/>
        </w:rPr>
        <w:t>3</w:t>
      </w:r>
      <w:r>
        <w:rPr>
          <w:rFonts w:hint="eastAsia"/>
          <w:vertAlign w:val="baseline"/>
          <w:lang w:val="en-US" w:eastAsia="zh-CN"/>
        </w:rPr>
        <w:t>/a（30m</w:t>
      </w:r>
      <w:r>
        <w:rPr>
          <w:rFonts w:hint="eastAsia"/>
          <w:vertAlign w:val="superscript"/>
          <w:lang w:val="en-US" w:eastAsia="zh-CN"/>
        </w:rPr>
        <w:t>3</w:t>
      </w:r>
      <w:r>
        <w:rPr>
          <w:rFonts w:hint="eastAsia"/>
          <w:vertAlign w:val="baseline"/>
          <w:lang w:val="en-US" w:eastAsia="zh-CN"/>
        </w:rPr>
        <w:t>/d），</w:t>
      </w:r>
      <w:r>
        <w:rPr>
          <w:rFonts w:hint="eastAsia"/>
          <w:lang w:val="en-US" w:eastAsia="zh-CN"/>
        </w:rPr>
        <w:t>故在淡季</w:t>
      </w:r>
      <w:r>
        <w:rPr>
          <w:rFonts w:hint="eastAsia"/>
        </w:rPr>
        <w:t>屠宰</w:t>
      </w:r>
      <w:r>
        <w:rPr>
          <w:rFonts w:hint="eastAsia"/>
          <w:lang w:val="en-US" w:eastAsia="zh-CN"/>
        </w:rPr>
        <w:t>废水为432</w:t>
      </w:r>
      <w:r>
        <w:rPr>
          <w:rFonts w:hint="eastAsia"/>
          <w:vertAlign w:val="baseline"/>
          <w:lang w:val="en-US" w:eastAsia="zh-CN"/>
        </w:rPr>
        <w:t>m</w:t>
      </w:r>
      <w:r>
        <w:rPr>
          <w:rFonts w:hint="eastAsia"/>
          <w:vertAlign w:val="superscript"/>
          <w:lang w:val="en-US" w:eastAsia="zh-CN"/>
        </w:rPr>
        <w:t>3</w:t>
      </w:r>
      <w:r>
        <w:rPr>
          <w:rFonts w:hint="eastAsia"/>
          <w:vertAlign w:val="baseline"/>
          <w:lang w:val="en-US" w:eastAsia="zh-CN"/>
        </w:rPr>
        <w:t>/d（</w:t>
      </w:r>
      <w:r>
        <w:rPr>
          <w:rFonts w:hint="eastAsia"/>
          <w:lang w:val="en-US" w:eastAsia="zh-CN"/>
        </w:rPr>
        <w:t>未进行肉牛屠宰时段</w:t>
      </w:r>
      <w:r>
        <w:rPr>
          <w:rFonts w:hint="eastAsia"/>
          <w:vertAlign w:val="baseline"/>
          <w:lang w:val="en-US" w:eastAsia="zh-CN"/>
        </w:rPr>
        <w:t>），495m</w:t>
      </w:r>
      <w:r>
        <w:rPr>
          <w:rFonts w:hint="eastAsia"/>
          <w:vertAlign w:val="superscript"/>
          <w:lang w:val="en-US" w:eastAsia="zh-CN"/>
        </w:rPr>
        <w:t>3</w:t>
      </w:r>
      <w:r>
        <w:rPr>
          <w:rFonts w:hint="eastAsia"/>
          <w:vertAlign w:val="baseline"/>
          <w:lang w:val="en-US" w:eastAsia="zh-CN"/>
        </w:rPr>
        <w:t>/d（</w:t>
      </w:r>
      <w:r>
        <w:rPr>
          <w:rFonts w:hint="eastAsia"/>
          <w:lang w:val="en-US" w:eastAsia="zh-CN"/>
        </w:rPr>
        <w:t>进行肉牛屠宰时段</w:t>
      </w:r>
      <w:r>
        <w:rPr>
          <w:rFonts w:hint="eastAsia"/>
          <w:vertAlign w:val="baseline"/>
          <w:lang w:val="en-US" w:eastAsia="zh-CN"/>
        </w:rPr>
        <w:t>）；在旺季</w:t>
      </w:r>
      <w:r>
        <w:rPr>
          <w:rFonts w:hint="eastAsia"/>
        </w:rPr>
        <w:t>屠宰</w:t>
      </w:r>
      <w:r>
        <w:rPr>
          <w:rFonts w:hint="eastAsia"/>
          <w:lang w:val="en-US" w:eastAsia="zh-CN"/>
        </w:rPr>
        <w:t>废水</w:t>
      </w:r>
      <w:r>
        <w:rPr>
          <w:rFonts w:hint="eastAsia"/>
          <w:vertAlign w:val="baseline"/>
          <w:lang w:val="en-US" w:eastAsia="zh-CN"/>
        </w:rPr>
        <w:t>为648m</w:t>
      </w:r>
      <w:r>
        <w:rPr>
          <w:rFonts w:hint="eastAsia"/>
          <w:vertAlign w:val="superscript"/>
          <w:lang w:val="en-US" w:eastAsia="zh-CN"/>
        </w:rPr>
        <w:t>3</w:t>
      </w:r>
      <w:r>
        <w:rPr>
          <w:rFonts w:hint="eastAsia"/>
          <w:vertAlign w:val="baseline"/>
          <w:lang w:val="en-US" w:eastAsia="zh-CN"/>
        </w:rPr>
        <w:t>/d（</w:t>
      </w:r>
      <w:r>
        <w:rPr>
          <w:rFonts w:hint="eastAsia"/>
          <w:lang w:val="en-US" w:eastAsia="zh-CN"/>
        </w:rPr>
        <w:t>未进行肉牛屠宰时段</w:t>
      </w:r>
      <w:r>
        <w:rPr>
          <w:rFonts w:hint="eastAsia"/>
          <w:vertAlign w:val="baseline"/>
          <w:lang w:val="en-US" w:eastAsia="zh-CN"/>
        </w:rPr>
        <w:t>），738m</w:t>
      </w:r>
      <w:r>
        <w:rPr>
          <w:rFonts w:hint="eastAsia"/>
          <w:vertAlign w:val="superscript"/>
          <w:lang w:val="en-US" w:eastAsia="zh-CN"/>
        </w:rPr>
        <w:t>3</w:t>
      </w:r>
      <w:r>
        <w:rPr>
          <w:rFonts w:hint="eastAsia"/>
          <w:vertAlign w:val="baseline"/>
          <w:lang w:val="en-US" w:eastAsia="zh-CN"/>
        </w:rPr>
        <w:t>/d（</w:t>
      </w:r>
      <w:r>
        <w:rPr>
          <w:rFonts w:hint="eastAsia"/>
          <w:lang w:val="en-US" w:eastAsia="zh-CN"/>
        </w:rPr>
        <w:t>进行肉牛屠宰时段</w:t>
      </w:r>
      <w:r>
        <w:rPr>
          <w:rFonts w:hint="eastAsia"/>
          <w:vertAlign w:val="baseline"/>
          <w:lang w:val="en-US" w:eastAsia="zh-CN"/>
        </w:rPr>
        <w:t>）；平均日</w:t>
      </w:r>
      <w:r>
        <w:rPr>
          <w:rFonts w:hint="eastAsia"/>
        </w:rPr>
        <w:t>屠宰</w:t>
      </w:r>
      <w:r>
        <w:rPr>
          <w:rFonts w:hint="eastAsia"/>
          <w:lang w:val="en-US" w:eastAsia="zh-CN"/>
        </w:rPr>
        <w:t>废水540</w:t>
      </w:r>
      <w:r>
        <w:rPr>
          <w:rFonts w:hint="eastAsia"/>
        </w:rPr>
        <w:t>m</w:t>
      </w:r>
      <w:r>
        <w:rPr>
          <w:rFonts w:hint="eastAsia"/>
          <w:vertAlign w:val="superscript"/>
        </w:rPr>
        <w:t>3</w:t>
      </w:r>
      <w:r>
        <w:rPr>
          <w:rFonts w:hint="eastAsia"/>
        </w:rPr>
        <w:t>/d</w:t>
      </w:r>
      <w:r>
        <w:rPr>
          <w:rFonts w:hint="eastAsia"/>
          <w:lang w:eastAsia="zh-CN"/>
        </w:rPr>
        <w:t>（</w:t>
      </w:r>
      <w:r>
        <w:rPr>
          <w:rFonts w:hint="eastAsia"/>
          <w:lang w:val="en-US" w:eastAsia="zh-CN"/>
        </w:rPr>
        <w:t>未进行肉牛屠宰时段</w:t>
      </w:r>
      <w:r>
        <w:rPr>
          <w:rFonts w:hint="eastAsia"/>
          <w:lang w:eastAsia="zh-CN"/>
        </w:rPr>
        <w:t>），</w:t>
      </w:r>
      <w:r>
        <w:rPr>
          <w:rFonts w:hint="eastAsia"/>
          <w:lang w:val="en-US" w:eastAsia="zh-CN"/>
        </w:rPr>
        <w:t>615</w:t>
      </w:r>
      <w:r>
        <w:rPr>
          <w:rFonts w:hint="eastAsia"/>
        </w:rPr>
        <w:t>m</w:t>
      </w:r>
      <w:r>
        <w:rPr>
          <w:rFonts w:hint="eastAsia"/>
          <w:vertAlign w:val="superscript"/>
        </w:rPr>
        <w:t>3</w:t>
      </w:r>
      <w:r>
        <w:rPr>
          <w:rFonts w:hint="eastAsia"/>
        </w:rPr>
        <w:t>/d</w:t>
      </w:r>
      <w:r>
        <w:rPr>
          <w:rFonts w:hint="eastAsia"/>
          <w:lang w:eastAsia="zh-CN"/>
        </w:rPr>
        <w:t>（</w:t>
      </w:r>
      <w:r>
        <w:rPr>
          <w:rFonts w:hint="eastAsia"/>
          <w:lang w:val="en-US" w:eastAsia="zh-CN"/>
        </w:rPr>
        <w:t>进行肉牛屠宰时段）。</w:t>
      </w:r>
    </w:p>
    <w:p>
      <w:pPr>
        <w:bidi w:val="0"/>
        <w:rPr>
          <w:rFonts w:hint="eastAsia" w:ascii="宋体" w:hAnsi="宋体" w:eastAsia="宋体"/>
          <w:sz w:val="24"/>
          <w:szCs w:val="24"/>
          <w:lang w:val="en-US" w:eastAsia="zh-CN"/>
        </w:rPr>
      </w:pPr>
      <w:r>
        <w:rPr>
          <w:rFonts w:hint="eastAsia"/>
          <w:lang w:val="en-US" w:eastAsia="zh-CN"/>
        </w:rPr>
        <w:t>④</w:t>
      </w:r>
      <w:r>
        <w:rPr>
          <w:rFonts w:hint="eastAsia" w:ascii="宋体" w:hAnsi="宋体" w:eastAsia="宋体"/>
          <w:sz w:val="24"/>
          <w:szCs w:val="24"/>
          <w:lang w:val="en-US" w:eastAsia="zh-CN"/>
        </w:rPr>
        <w:t>洗涤塔排水</w:t>
      </w:r>
    </w:p>
    <w:p>
      <w:pPr>
        <w:bidi w:val="0"/>
        <w:rPr>
          <w:rFonts w:hint="eastAsia" w:eastAsia="宋体"/>
          <w:lang w:val="en-US" w:eastAsia="zh-CN"/>
        </w:rPr>
      </w:pPr>
      <w:r>
        <w:rPr>
          <w:rFonts w:hint="eastAsia" w:ascii="Times New Roman" w:hAnsi="Times New Roman" w:cs="Times New Roman"/>
          <w:color w:val="000000" w:themeColor="text1"/>
          <w:sz w:val="24"/>
          <w:vertAlign w:val="baseline"/>
          <w:lang w:val="en-US" w:eastAsia="zh-CN"/>
          <w14:textFill>
            <w14:solidFill>
              <w14:schemeClr w14:val="tx1"/>
            </w14:solidFill>
          </w14:textFill>
        </w:rPr>
        <w:t>排水量按10%计，因此，洗涤塔排水为20</w:t>
      </w:r>
      <w:r>
        <w:rPr>
          <w:rFonts w:hint="default" w:ascii="Times New Roman" w:hAnsi="Times New Roman" w:eastAsia="Times New Roman"/>
          <w:sz w:val="24"/>
          <w:szCs w:val="24"/>
        </w:rPr>
        <w:t>m</w:t>
      </w:r>
      <w:r>
        <w:rPr>
          <w:rFonts w:hint="eastAsia" w:ascii="Times New Roman" w:hAnsi="Times New Roman" w:eastAsia="宋体"/>
          <w:sz w:val="24"/>
          <w:szCs w:val="24"/>
          <w:vertAlign w:val="superscript"/>
          <w:lang w:val="en-US" w:eastAsia="zh-CN"/>
        </w:rPr>
        <w:t>3</w:t>
      </w:r>
      <w:r>
        <w:rPr>
          <w:rFonts w:hint="default" w:ascii="Times New Roman" w:hAnsi="Times New Roman" w:eastAsia="Times New Roman"/>
          <w:sz w:val="24"/>
          <w:szCs w:val="24"/>
        </w:rPr>
        <w:t>/d</w:t>
      </w:r>
      <w:r>
        <w:rPr>
          <w:rFonts w:hint="eastAsia" w:ascii="Times New Roman" w:hAnsi="Times New Roman" w:eastAsia="宋体"/>
          <w:sz w:val="24"/>
          <w:szCs w:val="24"/>
          <w:lang w:eastAsia="zh-CN"/>
        </w:rPr>
        <w:t>。</w:t>
      </w:r>
    </w:p>
    <w:p>
      <w:pPr>
        <w:bidi w:val="0"/>
        <w:rPr>
          <w:rFonts w:hint="default" w:eastAsia="宋体"/>
          <w:lang w:val="en-US" w:eastAsia="zh-CN"/>
        </w:rPr>
      </w:pPr>
      <w:r>
        <w:rPr>
          <w:rFonts w:hint="eastAsia"/>
          <w:lang w:val="en-US" w:eastAsia="zh-CN"/>
        </w:rPr>
        <w:t>⑤生活污水</w:t>
      </w:r>
    </w:p>
    <w:p>
      <w:pPr>
        <w:bidi w:val="0"/>
        <w:rPr>
          <w:rFonts w:hint="eastAsia"/>
        </w:rPr>
      </w:pPr>
      <w:r>
        <w:rPr>
          <w:rFonts w:hint="eastAsia"/>
        </w:rPr>
        <w:t>员工日常生活废水按用水量0.8计，则生活废水产生量约为</w:t>
      </w:r>
      <w:r>
        <w:rPr>
          <w:rFonts w:hint="eastAsia"/>
          <w:lang w:val="en-US" w:eastAsia="zh-CN"/>
        </w:rPr>
        <w:t>2</w:t>
      </w:r>
      <w:r>
        <w:rPr>
          <w:rFonts w:hint="eastAsia"/>
        </w:rPr>
        <w:t>m</w:t>
      </w:r>
      <w:r>
        <w:rPr>
          <w:rFonts w:hint="eastAsia"/>
          <w:vertAlign w:val="superscript"/>
        </w:rPr>
        <w:t>3</w:t>
      </w:r>
      <w:r>
        <w:rPr>
          <w:rFonts w:hint="eastAsia"/>
        </w:rPr>
        <w:t>/d。</w:t>
      </w:r>
    </w:p>
    <w:p>
      <w:pPr>
        <w:bidi w:val="0"/>
        <w:rPr>
          <w:rFonts w:hint="default" w:eastAsia="宋体"/>
          <w:lang w:val="en-US" w:eastAsia="zh-CN"/>
        </w:rPr>
      </w:pPr>
      <w:r>
        <w:rPr>
          <w:rFonts w:hint="eastAsia"/>
          <w:lang w:val="en-US" w:eastAsia="zh-CN"/>
        </w:rPr>
        <w:t>⑥食堂废水</w:t>
      </w:r>
    </w:p>
    <w:p>
      <w:pPr>
        <w:bidi w:val="0"/>
        <w:rPr>
          <w:rFonts w:hint="default" w:eastAsia="宋体"/>
          <w:vertAlign w:val="baseline"/>
          <w:lang w:val="en-US" w:eastAsia="zh-CN"/>
        </w:rPr>
      </w:pPr>
      <w:r>
        <w:rPr>
          <w:rFonts w:hint="eastAsia"/>
          <w:lang w:val="en-US" w:eastAsia="zh-CN"/>
        </w:rPr>
        <w:t>食堂废水按用水量的0.8及，则食堂废水产生量约为0.8m</w:t>
      </w:r>
      <w:r>
        <w:rPr>
          <w:rFonts w:hint="eastAsia"/>
          <w:vertAlign w:val="superscript"/>
          <w:lang w:val="en-US" w:eastAsia="zh-CN"/>
        </w:rPr>
        <w:t>3</w:t>
      </w:r>
      <w:r>
        <w:rPr>
          <w:rFonts w:hint="eastAsia"/>
          <w:vertAlign w:val="baseline"/>
          <w:lang w:val="en-US" w:eastAsia="zh-CN"/>
        </w:rPr>
        <w:t>/d。</w:t>
      </w:r>
    </w:p>
    <w:p>
      <w:pPr>
        <w:bidi w:val="0"/>
        <w:rPr>
          <w:rFonts w:hint="default"/>
          <w:lang w:val="en-US" w:eastAsia="zh-CN"/>
        </w:rPr>
      </w:pPr>
      <w:r>
        <w:rPr>
          <w:rFonts w:hint="eastAsia"/>
          <w:lang w:val="en-US" w:eastAsia="zh-CN"/>
        </w:rPr>
        <w:t>本项目给排水情况详见下表，水平衡图详见图2.1-1。</w:t>
      </w:r>
    </w:p>
    <w:p>
      <w:pPr>
        <w:pStyle w:val="29"/>
        <w:bidi w:val="0"/>
        <w:rPr>
          <w:rFonts w:hint="eastAsia"/>
          <w:lang w:val="en-US" w:eastAsia="zh-CN"/>
        </w:rPr>
      </w:pPr>
      <w:r>
        <w:rPr>
          <w:rFonts w:hint="eastAsia"/>
          <w:lang w:val="en-US" w:eastAsia="zh-CN"/>
        </w:rPr>
        <w:t>表3.3-3  本项目给排水情况一览表</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24"/>
        <w:gridCol w:w="1027"/>
        <w:gridCol w:w="642"/>
        <w:gridCol w:w="970"/>
        <w:gridCol w:w="638"/>
        <w:gridCol w:w="982"/>
        <w:gridCol w:w="1125"/>
        <w:gridCol w:w="720"/>
        <w:gridCol w:w="1020"/>
        <w:gridCol w:w="990"/>
        <w:gridCol w:w="107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9" w:hRule="atLeast"/>
        </w:trPr>
        <w:tc>
          <w:tcPr>
            <w:tcW w:w="755" w:type="pct"/>
            <w:gridSpan w:val="2"/>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项目</w:t>
            </w:r>
          </w:p>
        </w:tc>
        <w:tc>
          <w:tcPr>
            <w:tcW w:w="334"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单位</w:t>
            </w:r>
          </w:p>
        </w:tc>
        <w:tc>
          <w:tcPr>
            <w:tcW w:w="504"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数量</w:t>
            </w:r>
          </w:p>
        </w:tc>
        <w:tc>
          <w:tcPr>
            <w:tcW w:w="331"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用水定额</w:t>
            </w:r>
          </w:p>
        </w:tc>
        <w:tc>
          <w:tcPr>
            <w:tcW w:w="1096" w:type="pct"/>
            <w:gridSpan w:val="2"/>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日用水量</w:t>
            </w:r>
          </w:p>
        </w:tc>
        <w:tc>
          <w:tcPr>
            <w:tcW w:w="374"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废水排放系数</w:t>
            </w:r>
          </w:p>
        </w:tc>
        <w:tc>
          <w:tcPr>
            <w:tcW w:w="1045" w:type="pct"/>
            <w:gridSpan w:val="2"/>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日排水量</w:t>
            </w:r>
          </w:p>
        </w:tc>
        <w:tc>
          <w:tcPr>
            <w:tcW w:w="557"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排放去向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9" w:hRule="atLeast"/>
        </w:trPr>
        <w:tc>
          <w:tcPr>
            <w:tcW w:w="755" w:type="pct"/>
            <w:gridSpan w:val="2"/>
            <w:vMerge w:val="continue"/>
            <w:tcBorders>
              <w:tl2br w:val="nil"/>
              <w:tr2bl w:val="nil"/>
            </w:tcBorders>
            <w:vAlign w:val="center"/>
          </w:tcPr>
          <w:p>
            <w:pPr>
              <w:pStyle w:val="30"/>
              <w:widowControl w:val="0"/>
              <w:jc w:val="center"/>
            </w:pPr>
          </w:p>
        </w:tc>
        <w:tc>
          <w:tcPr>
            <w:tcW w:w="334" w:type="pct"/>
            <w:vMerge w:val="continue"/>
            <w:tcBorders>
              <w:tl2br w:val="nil"/>
              <w:tr2bl w:val="nil"/>
            </w:tcBorders>
            <w:vAlign w:val="center"/>
          </w:tcPr>
          <w:p>
            <w:pPr>
              <w:pStyle w:val="30"/>
              <w:widowControl w:val="0"/>
              <w:jc w:val="center"/>
            </w:pPr>
          </w:p>
        </w:tc>
        <w:tc>
          <w:tcPr>
            <w:tcW w:w="504" w:type="pct"/>
            <w:vMerge w:val="continue"/>
            <w:tcBorders>
              <w:tl2br w:val="nil"/>
              <w:tr2bl w:val="nil"/>
            </w:tcBorders>
            <w:vAlign w:val="center"/>
          </w:tcPr>
          <w:p>
            <w:pPr>
              <w:pStyle w:val="30"/>
              <w:widowControl w:val="0"/>
              <w:jc w:val="center"/>
            </w:pPr>
          </w:p>
        </w:tc>
        <w:tc>
          <w:tcPr>
            <w:tcW w:w="331" w:type="pct"/>
            <w:vMerge w:val="continue"/>
            <w:tcBorders>
              <w:tl2br w:val="nil"/>
              <w:tr2bl w:val="nil"/>
            </w:tcBorders>
            <w:vAlign w:val="center"/>
          </w:tcPr>
          <w:p>
            <w:pPr>
              <w:pStyle w:val="30"/>
              <w:widowControl w:val="0"/>
              <w:jc w:val="center"/>
            </w:pPr>
          </w:p>
        </w:tc>
        <w:tc>
          <w:tcPr>
            <w:tcW w:w="510" w:type="pct"/>
            <w:tcBorders>
              <w:tl2br w:val="nil"/>
              <w:tr2bl w:val="nil"/>
            </w:tcBorders>
            <w:vAlign w:val="center"/>
          </w:tcPr>
          <w:p>
            <w:pPr>
              <w:pStyle w:val="30"/>
              <w:widowControl w:val="0"/>
              <w:ind w:firstLine="0" w:firstLineChars="0"/>
              <w:jc w:val="center"/>
            </w:pPr>
            <w:r>
              <w:rPr>
                <w:rFonts w:hint="eastAsia"/>
                <w:b/>
                <w:bCs/>
                <w:vertAlign w:val="baseline"/>
                <w:lang w:val="en-US" w:eastAsia="zh-CN"/>
              </w:rPr>
              <w:t>肉牛屠宰时</w:t>
            </w:r>
          </w:p>
        </w:tc>
        <w:tc>
          <w:tcPr>
            <w:tcW w:w="585" w:type="pct"/>
            <w:tcBorders>
              <w:tl2br w:val="nil"/>
              <w:tr2bl w:val="nil"/>
            </w:tcBorders>
            <w:vAlign w:val="center"/>
          </w:tcPr>
          <w:p>
            <w:pPr>
              <w:pStyle w:val="30"/>
              <w:widowControl w:val="0"/>
              <w:ind w:firstLine="0" w:firstLineChars="0"/>
              <w:jc w:val="center"/>
            </w:pPr>
            <w:r>
              <w:rPr>
                <w:rFonts w:hint="eastAsia"/>
                <w:b/>
                <w:bCs/>
                <w:vertAlign w:val="baseline"/>
                <w:lang w:val="en-US" w:eastAsia="zh-CN"/>
              </w:rPr>
              <w:t>肉牛不屠宰时</w:t>
            </w:r>
          </w:p>
        </w:tc>
        <w:tc>
          <w:tcPr>
            <w:tcW w:w="374" w:type="pct"/>
            <w:vMerge w:val="continue"/>
            <w:tcBorders>
              <w:tl2br w:val="nil"/>
              <w:tr2bl w:val="nil"/>
            </w:tcBorders>
            <w:vAlign w:val="center"/>
          </w:tcPr>
          <w:p>
            <w:pPr>
              <w:pStyle w:val="30"/>
              <w:widowControl w:val="0"/>
              <w:jc w:val="center"/>
            </w:pPr>
          </w:p>
        </w:tc>
        <w:tc>
          <w:tcPr>
            <w:tcW w:w="530"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肉牛屠宰时</w:t>
            </w:r>
          </w:p>
        </w:tc>
        <w:tc>
          <w:tcPr>
            <w:tcW w:w="515"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肉牛不屠宰时</w:t>
            </w:r>
          </w:p>
        </w:tc>
        <w:tc>
          <w:tcPr>
            <w:tcW w:w="557" w:type="pct"/>
            <w:vMerge w:val="continue"/>
            <w:tcBorders>
              <w:tl2br w:val="nil"/>
              <w:tr2bl w:val="nil"/>
            </w:tcBorders>
            <w:vAlign w:val="center"/>
          </w:tcPr>
          <w:p>
            <w:pPr>
              <w:pStyle w:val="30"/>
              <w:widowControl w:val="0"/>
              <w:jc w:val="center"/>
              <w:rPr>
                <w:rFonts w:hint="eastAsia"/>
                <w:b/>
                <w:bCs/>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11" w:hRule="atLeast"/>
        </w:trPr>
        <w:tc>
          <w:tcPr>
            <w:tcW w:w="220"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生产用水</w:t>
            </w:r>
          </w:p>
        </w:tc>
        <w:tc>
          <w:tcPr>
            <w:tcW w:w="5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待宰圈冲洗水</w:t>
            </w:r>
          </w:p>
        </w:tc>
        <w:tc>
          <w:tcPr>
            <w:tcW w:w="3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50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3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w:t>
            </w:r>
          </w:p>
        </w:tc>
        <w:tc>
          <w:tcPr>
            <w:tcW w:w="585"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5</w:t>
            </w:r>
          </w:p>
        </w:tc>
        <w:tc>
          <w:tcPr>
            <w:tcW w:w="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0.9</w:t>
            </w:r>
          </w:p>
        </w:tc>
        <w:tc>
          <w:tcPr>
            <w:tcW w:w="53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4.5</w:t>
            </w:r>
          </w:p>
        </w:tc>
        <w:tc>
          <w:tcPr>
            <w:tcW w:w="515"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4.5</w:t>
            </w:r>
          </w:p>
        </w:tc>
        <w:tc>
          <w:tcPr>
            <w:tcW w:w="557" w:type="pct"/>
            <w:vMerge w:val="restart"/>
            <w:tcBorders>
              <w:tl2br w:val="nil"/>
              <w:tr2bl w:val="nil"/>
            </w:tcBorders>
            <w:vAlign w:val="center"/>
          </w:tcPr>
          <w:p>
            <w:pPr>
              <w:pStyle w:val="30"/>
              <w:widowControl w:val="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自建污水处理站→农田灌溉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34"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生猪屠宰</w:t>
            </w:r>
          </w:p>
        </w:tc>
        <w:tc>
          <w:tcPr>
            <w:tcW w:w="334"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头</w:t>
            </w:r>
          </w:p>
        </w:tc>
        <w:tc>
          <w:tcPr>
            <w:tcW w:w="504"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1000</w:t>
            </w:r>
          </w:p>
          <w:p>
            <w:pPr>
              <w:pStyle w:val="30"/>
              <w:widowControl w:val="0"/>
              <w:jc w:val="center"/>
              <w:rPr>
                <w:rFonts w:hint="default"/>
                <w:vertAlign w:val="baseline"/>
                <w:lang w:val="en-US" w:eastAsia="zh-CN"/>
              </w:rPr>
            </w:pPr>
            <w:r>
              <w:rPr>
                <w:rFonts w:hint="eastAsia"/>
                <w:vertAlign w:val="baseline"/>
                <w:lang w:val="en-US" w:eastAsia="zh-CN"/>
              </w:rPr>
              <w:t>（日均）</w:t>
            </w:r>
          </w:p>
        </w:tc>
        <w:tc>
          <w:tcPr>
            <w:tcW w:w="331"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0.6</w:t>
            </w: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600</w:t>
            </w:r>
          </w:p>
        </w:tc>
        <w:tc>
          <w:tcPr>
            <w:tcW w:w="585"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600</w:t>
            </w:r>
          </w:p>
        </w:tc>
        <w:tc>
          <w:tcPr>
            <w:tcW w:w="374"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0.9</w:t>
            </w:r>
          </w:p>
        </w:tc>
        <w:tc>
          <w:tcPr>
            <w:tcW w:w="53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540</w:t>
            </w:r>
          </w:p>
        </w:tc>
        <w:tc>
          <w:tcPr>
            <w:tcW w:w="515"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540</w:t>
            </w:r>
          </w:p>
        </w:tc>
        <w:tc>
          <w:tcPr>
            <w:tcW w:w="557"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04" w:hRule="atLeast"/>
        </w:trPr>
        <w:tc>
          <w:tcPr>
            <w:tcW w:w="22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3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33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04" w:type="pc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1200</w:t>
            </w:r>
          </w:p>
          <w:p>
            <w:pPr>
              <w:pStyle w:val="30"/>
              <w:widowControl w:val="0"/>
              <w:jc w:val="center"/>
              <w:rPr>
                <w:rFonts w:hint="default"/>
                <w:vertAlign w:val="baseline"/>
                <w:lang w:val="en-US" w:eastAsia="zh-CN"/>
              </w:rPr>
            </w:pPr>
            <w:r>
              <w:rPr>
                <w:rFonts w:hint="eastAsia"/>
                <w:vertAlign w:val="baseline"/>
                <w:lang w:val="en-US" w:eastAsia="zh-CN"/>
              </w:rPr>
              <w:t>（旺季）</w:t>
            </w:r>
          </w:p>
        </w:tc>
        <w:tc>
          <w:tcPr>
            <w:tcW w:w="331"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720</w:t>
            </w:r>
          </w:p>
        </w:tc>
        <w:tc>
          <w:tcPr>
            <w:tcW w:w="585"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720</w:t>
            </w:r>
          </w:p>
        </w:tc>
        <w:tc>
          <w:tcPr>
            <w:tcW w:w="37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3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648</w:t>
            </w:r>
          </w:p>
        </w:tc>
        <w:tc>
          <w:tcPr>
            <w:tcW w:w="515"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648</w:t>
            </w:r>
          </w:p>
        </w:tc>
        <w:tc>
          <w:tcPr>
            <w:tcW w:w="557"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3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33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0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800</w:t>
            </w:r>
          </w:p>
          <w:p>
            <w:pPr>
              <w:pStyle w:val="30"/>
              <w:widowControl w:val="0"/>
              <w:jc w:val="center"/>
              <w:rPr>
                <w:rFonts w:hint="default"/>
                <w:vertAlign w:val="baseline"/>
                <w:lang w:val="en-US" w:eastAsia="zh-CN"/>
              </w:rPr>
            </w:pPr>
            <w:r>
              <w:rPr>
                <w:rFonts w:hint="eastAsia"/>
                <w:vertAlign w:val="baseline"/>
                <w:lang w:val="en-US" w:eastAsia="zh-CN"/>
              </w:rPr>
              <w:t>（淡季）</w:t>
            </w:r>
          </w:p>
        </w:tc>
        <w:tc>
          <w:tcPr>
            <w:tcW w:w="331"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480</w:t>
            </w:r>
          </w:p>
        </w:tc>
        <w:tc>
          <w:tcPr>
            <w:tcW w:w="585"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480</w:t>
            </w:r>
          </w:p>
        </w:tc>
        <w:tc>
          <w:tcPr>
            <w:tcW w:w="37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3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432</w:t>
            </w:r>
          </w:p>
        </w:tc>
        <w:tc>
          <w:tcPr>
            <w:tcW w:w="515"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432</w:t>
            </w:r>
          </w:p>
        </w:tc>
        <w:tc>
          <w:tcPr>
            <w:tcW w:w="557"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猪肉分割肉</w:t>
            </w:r>
          </w:p>
        </w:tc>
        <w:tc>
          <w:tcPr>
            <w:tcW w:w="3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吨</w:t>
            </w:r>
          </w:p>
        </w:tc>
        <w:tc>
          <w:tcPr>
            <w:tcW w:w="50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1320</w:t>
            </w:r>
          </w:p>
          <w:p>
            <w:pPr>
              <w:pStyle w:val="30"/>
              <w:widowControl w:val="0"/>
              <w:jc w:val="center"/>
              <w:rPr>
                <w:rFonts w:hint="default"/>
                <w:vertAlign w:val="baseline"/>
                <w:lang w:val="en-US" w:eastAsia="zh-CN"/>
              </w:rPr>
            </w:pPr>
            <w:r>
              <w:rPr>
                <w:rFonts w:hint="eastAsia"/>
                <w:vertAlign w:val="baseline"/>
                <w:lang w:val="en-US" w:eastAsia="zh-CN"/>
              </w:rPr>
              <w:t>（年产）</w:t>
            </w:r>
          </w:p>
        </w:tc>
        <w:tc>
          <w:tcPr>
            <w:tcW w:w="33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510" w:type="pct"/>
            <w:tcBorders>
              <w:tl2br w:val="nil"/>
              <w:tr2bl w:val="nil"/>
            </w:tcBorders>
            <w:vAlign w:val="center"/>
          </w:tcPr>
          <w:p>
            <w:pPr>
              <w:pStyle w:val="30"/>
              <w:widowControl w:val="0"/>
              <w:jc w:val="center"/>
              <w:rPr>
                <w:rFonts w:hint="default"/>
                <w:lang w:val="en-US" w:eastAsia="zh-CN"/>
              </w:rPr>
            </w:pPr>
            <w:r>
              <w:rPr>
                <w:rFonts w:hint="eastAsia"/>
                <w:lang w:val="en-US" w:eastAsia="zh-CN"/>
              </w:rPr>
              <w:t>/</w:t>
            </w:r>
          </w:p>
        </w:tc>
        <w:tc>
          <w:tcPr>
            <w:tcW w:w="585" w:type="pct"/>
            <w:tcBorders>
              <w:tl2br w:val="nil"/>
              <w:tr2bl w:val="nil"/>
            </w:tcBorders>
            <w:vAlign w:val="center"/>
          </w:tcPr>
          <w:p>
            <w:pPr>
              <w:pStyle w:val="30"/>
              <w:widowControl w:val="0"/>
              <w:ind w:firstLine="0" w:firstLineChars="0"/>
              <w:jc w:val="center"/>
              <w:rPr>
                <w:rFonts w:hint="default"/>
                <w:lang w:val="en-US" w:eastAsia="zh-CN"/>
              </w:rPr>
            </w:pPr>
            <w:r>
              <w:rPr>
                <w:rFonts w:hint="eastAsia"/>
                <w:lang w:val="en-US" w:eastAsia="zh-CN"/>
              </w:rPr>
              <w:t>/</w:t>
            </w:r>
          </w:p>
        </w:tc>
        <w:tc>
          <w:tcPr>
            <w:tcW w:w="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530" w:type="pct"/>
            <w:tcBorders>
              <w:tl2br w:val="nil"/>
              <w:tr2bl w:val="nil"/>
            </w:tcBorders>
            <w:vAlign w:val="center"/>
          </w:tcPr>
          <w:p>
            <w:pPr>
              <w:pStyle w:val="30"/>
              <w:widowControl w:val="0"/>
              <w:ind w:firstLine="0" w:firstLineChars="0"/>
              <w:jc w:val="center"/>
              <w:rPr>
                <w:rFonts w:hint="default"/>
                <w:lang w:val="en-US" w:eastAsia="zh-CN"/>
              </w:rPr>
            </w:pPr>
            <w:r>
              <w:rPr>
                <w:rFonts w:hint="eastAsia"/>
                <w:lang w:val="en-US" w:eastAsia="zh-CN"/>
              </w:rPr>
              <w:t>8.8</w:t>
            </w:r>
          </w:p>
        </w:tc>
        <w:tc>
          <w:tcPr>
            <w:tcW w:w="515" w:type="pct"/>
            <w:tcBorders>
              <w:tl2br w:val="nil"/>
              <w:tr2bl w:val="nil"/>
            </w:tcBorders>
            <w:vAlign w:val="center"/>
          </w:tcPr>
          <w:p>
            <w:pPr>
              <w:pStyle w:val="30"/>
              <w:widowControl w:val="0"/>
              <w:ind w:firstLine="0" w:firstLineChars="0"/>
              <w:jc w:val="center"/>
              <w:rPr>
                <w:rFonts w:hint="default"/>
                <w:lang w:val="en-US" w:eastAsia="zh-CN"/>
              </w:rPr>
            </w:pPr>
            <w:r>
              <w:rPr>
                <w:rFonts w:hint="eastAsia"/>
                <w:lang w:val="en-US" w:eastAsia="zh-CN"/>
              </w:rPr>
              <w:t>8.8</w:t>
            </w:r>
          </w:p>
        </w:tc>
        <w:tc>
          <w:tcPr>
            <w:tcW w:w="557"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34"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肉牛屠宰</w:t>
            </w:r>
          </w:p>
        </w:tc>
        <w:tc>
          <w:tcPr>
            <w:tcW w:w="334"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头</w:t>
            </w:r>
          </w:p>
        </w:tc>
        <w:tc>
          <w:tcPr>
            <w:tcW w:w="50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67</w:t>
            </w:r>
          </w:p>
          <w:p>
            <w:pPr>
              <w:pStyle w:val="30"/>
              <w:widowControl w:val="0"/>
              <w:jc w:val="center"/>
              <w:rPr>
                <w:rFonts w:hint="default"/>
                <w:vertAlign w:val="baseline"/>
                <w:lang w:val="en-US" w:eastAsia="zh-CN"/>
              </w:rPr>
            </w:pPr>
            <w:r>
              <w:rPr>
                <w:rFonts w:hint="eastAsia"/>
                <w:vertAlign w:val="baseline"/>
                <w:lang w:val="en-US" w:eastAsia="zh-CN"/>
              </w:rPr>
              <w:t>（日均）</w:t>
            </w:r>
          </w:p>
        </w:tc>
        <w:tc>
          <w:tcPr>
            <w:tcW w:w="331"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1.25</w:t>
            </w: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84</w:t>
            </w:r>
          </w:p>
        </w:tc>
        <w:tc>
          <w:tcPr>
            <w:tcW w:w="585"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0</w:t>
            </w:r>
          </w:p>
        </w:tc>
        <w:tc>
          <w:tcPr>
            <w:tcW w:w="374"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0.9</w:t>
            </w:r>
          </w:p>
        </w:tc>
        <w:tc>
          <w:tcPr>
            <w:tcW w:w="53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75</w:t>
            </w:r>
          </w:p>
        </w:tc>
        <w:tc>
          <w:tcPr>
            <w:tcW w:w="515"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0</w:t>
            </w:r>
          </w:p>
        </w:tc>
        <w:tc>
          <w:tcPr>
            <w:tcW w:w="557"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2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3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33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0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80</w:t>
            </w:r>
          </w:p>
          <w:p>
            <w:pPr>
              <w:pStyle w:val="30"/>
              <w:widowControl w:val="0"/>
              <w:jc w:val="center"/>
              <w:rPr>
                <w:rFonts w:hint="default"/>
                <w:vertAlign w:val="baseline"/>
                <w:lang w:val="en-US" w:eastAsia="zh-CN"/>
              </w:rPr>
            </w:pPr>
            <w:r>
              <w:rPr>
                <w:rFonts w:hint="eastAsia"/>
                <w:vertAlign w:val="baseline"/>
                <w:lang w:val="en-US" w:eastAsia="zh-CN"/>
              </w:rPr>
              <w:t>（旺季）</w:t>
            </w:r>
          </w:p>
        </w:tc>
        <w:tc>
          <w:tcPr>
            <w:tcW w:w="331"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100</w:t>
            </w:r>
          </w:p>
        </w:tc>
        <w:tc>
          <w:tcPr>
            <w:tcW w:w="585"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0</w:t>
            </w:r>
          </w:p>
        </w:tc>
        <w:tc>
          <w:tcPr>
            <w:tcW w:w="37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3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90</w:t>
            </w:r>
          </w:p>
        </w:tc>
        <w:tc>
          <w:tcPr>
            <w:tcW w:w="515"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0</w:t>
            </w:r>
          </w:p>
        </w:tc>
        <w:tc>
          <w:tcPr>
            <w:tcW w:w="557"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3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33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0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56</w:t>
            </w:r>
          </w:p>
          <w:p>
            <w:pPr>
              <w:pStyle w:val="30"/>
              <w:widowControl w:val="0"/>
              <w:jc w:val="center"/>
              <w:rPr>
                <w:rFonts w:hint="default"/>
                <w:vertAlign w:val="baseline"/>
                <w:lang w:val="en-US" w:eastAsia="zh-CN"/>
              </w:rPr>
            </w:pPr>
            <w:r>
              <w:rPr>
                <w:rFonts w:hint="eastAsia"/>
                <w:vertAlign w:val="baseline"/>
                <w:lang w:val="en-US" w:eastAsia="zh-CN"/>
              </w:rPr>
              <w:t>（淡季）</w:t>
            </w:r>
          </w:p>
        </w:tc>
        <w:tc>
          <w:tcPr>
            <w:tcW w:w="331"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70</w:t>
            </w:r>
          </w:p>
        </w:tc>
        <w:tc>
          <w:tcPr>
            <w:tcW w:w="585"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0</w:t>
            </w:r>
          </w:p>
        </w:tc>
        <w:tc>
          <w:tcPr>
            <w:tcW w:w="37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3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63</w:t>
            </w:r>
          </w:p>
        </w:tc>
        <w:tc>
          <w:tcPr>
            <w:tcW w:w="515"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0</w:t>
            </w:r>
          </w:p>
        </w:tc>
        <w:tc>
          <w:tcPr>
            <w:tcW w:w="557"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牛肉分割</w:t>
            </w:r>
          </w:p>
        </w:tc>
        <w:tc>
          <w:tcPr>
            <w:tcW w:w="3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吨</w:t>
            </w:r>
          </w:p>
        </w:tc>
        <w:tc>
          <w:tcPr>
            <w:tcW w:w="50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2250</w:t>
            </w:r>
          </w:p>
          <w:p>
            <w:pPr>
              <w:pStyle w:val="30"/>
              <w:widowControl w:val="0"/>
              <w:jc w:val="center"/>
              <w:rPr>
                <w:rFonts w:hint="default"/>
                <w:vertAlign w:val="baseline"/>
                <w:lang w:val="en-US" w:eastAsia="zh-CN"/>
              </w:rPr>
            </w:pPr>
            <w:r>
              <w:rPr>
                <w:rFonts w:hint="eastAsia"/>
                <w:vertAlign w:val="baseline"/>
                <w:lang w:val="en-US" w:eastAsia="zh-CN"/>
              </w:rPr>
              <w:t>（年产）</w:t>
            </w:r>
          </w:p>
        </w:tc>
        <w:tc>
          <w:tcPr>
            <w:tcW w:w="33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585"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530"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30</w:t>
            </w:r>
          </w:p>
        </w:tc>
        <w:tc>
          <w:tcPr>
            <w:tcW w:w="515"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w:t>
            </w:r>
          </w:p>
        </w:tc>
        <w:tc>
          <w:tcPr>
            <w:tcW w:w="557"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进出车辆冲洗</w:t>
            </w:r>
          </w:p>
        </w:tc>
        <w:tc>
          <w:tcPr>
            <w:tcW w:w="3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50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3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585"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2</w:t>
            </w:r>
          </w:p>
        </w:tc>
        <w:tc>
          <w:tcPr>
            <w:tcW w:w="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0.9</w:t>
            </w:r>
          </w:p>
        </w:tc>
        <w:tc>
          <w:tcPr>
            <w:tcW w:w="53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1.8</w:t>
            </w:r>
          </w:p>
        </w:tc>
        <w:tc>
          <w:tcPr>
            <w:tcW w:w="515"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1.8</w:t>
            </w:r>
          </w:p>
        </w:tc>
        <w:tc>
          <w:tcPr>
            <w:tcW w:w="557"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2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洗涤塔用水</w:t>
            </w:r>
          </w:p>
        </w:tc>
        <w:tc>
          <w:tcPr>
            <w:tcW w:w="3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50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3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w:t>
            </w:r>
          </w:p>
        </w:tc>
        <w:tc>
          <w:tcPr>
            <w:tcW w:w="585"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20</w:t>
            </w:r>
          </w:p>
        </w:tc>
        <w:tc>
          <w:tcPr>
            <w:tcW w:w="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3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w:t>
            </w:r>
          </w:p>
        </w:tc>
        <w:tc>
          <w:tcPr>
            <w:tcW w:w="515"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20</w:t>
            </w:r>
          </w:p>
        </w:tc>
        <w:tc>
          <w:tcPr>
            <w:tcW w:w="557"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55" w:type="pct"/>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员工</w:t>
            </w:r>
          </w:p>
        </w:tc>
        <w:tc>
          <w:tcPr>
            <w:tcW w:w="3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人</w:t>
            </w:r>
          </w:p>
        </w:tc>
        <w:tc>
          <w:tcPr>
            <w:tcW w:w="50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50</w:t>
            </w:r>
          </w:p>
        </w:tc>
        <w:tc>
          <w:tcPr>
            <w:tcW w:w="33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0.5</w:t>
            </w: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2.5</w:t>
            </w:r>
          </w:p>
        </w:tc>
        <w:tc>
          <w:tcPr>
            <w:tcW w:w="585"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2.5</w:t>
            </w:r>
          </w:p>
        </w:tc>
        <w:tc>
          <w:tcPr>
            <w:tcW w:w="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0.8</w:t>
            </w:r>
          </w:p>
        </w:tc>
        <w:tc>
          <w:tcPr>
            <w:tcW w:w="53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w:t>
            </w:r>
          </w:p>
        </w:tc>
        <w:tc>
          <w:tcPr>
            <w:tcW w:w="515"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2.0</w:t>
            </w:r>
          </w:p>
        </w:tc>
        <w:tc>
          <w:tcPr>
            <w:tcW w:w="557" w:type="pct"/>
            <w:vMerge w:val="continue"/>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55" w:type="pct"/>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食堂用水</w:t>
            </w:r>
          </w:p>
        </w:tc>
        <w:tc>
          <w:tcPr>
            <w:tcW w:w="3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人</w:t>
            </w:r>
          </w:p>
        </w:tc>
        <w:tc>
          <w:tcPr>
            <w:tcW w:w="50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50</w:t>
            </w:r>
          </w:p>
        </w:tc>
        <w:tc>
          <w:tcPr>
            <w:tcW w:w="33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0.2</w:t>
            </w: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w:t>
            </w:r>
          </w:p>
        </w:tc>
        <w:tc>
          <w:tcPr>
            <w:tcW w:w="585"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1.0</w:t>
            </w:r>
          </w:p>
        </w:tc>
        <w:tc>
          <w:tcPr>
            <w:tcW w:w="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0.8</w:t>
            </w:r>
          </w:p>
        </w:tc>
        <w:tc>
          <w:tcPr>
            <w:tcW w:w="53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0.8</w:t>
            </w:r>
          </w:p>
        </w:tc>
        <w:tc>
          <w:tcPr>
            <w:tcW w:w="515"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0.8</w:t>
            </w:r>
          </w:p>
        </w:tc>
        <w:tc>
          <w:tcPr>
            <w:tcW w:w="557" w:type="pct"/>
            <w:vMerge w:val="continue"/>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89" w:type="pct"/>
            <w:gridSpan w:val="3"/>
            <w:vMerge w:val="restar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总计</w:t>
            </w:r>
          </w:p>
        </w:tc>
        <w:tc>
          <w:tcPr>
            <w:tcW w:w="836" w:type="pct"/>
            <w:gridSpan w:val="2"/>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日均</w:t>
            </w: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714.5</w:t>
            </w:r>
          </w:p>
        </w:tc>
        <w:tc>
          <w:tcPr>
            <w:tcW w:w="585"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630.5</w:t>
            </w:r>
          </w:p>
        </w:tc>
        <w:tc>
          <w:tcPr>
            <w:tcW w:w="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530" w:type="pct"/>
            <w:tcBorders>
              <w:tl2br w:val="nil"/>
              <w:tr2bl w:val="nil"/>
            </w:tcBorders>
            <w:vAlign w:val="center"/>
          </w:tcPr>
          <w:p>
            <w:pPr>
              <w:pStyle w:val="30"/>
              <w:widowControl w:val="0"/>
              <w:bidi w:val="0"/>
              <w:rPr>
                <w:rFonts w:hint="default"/>
                <w:lang w:val="en-US" w:eastAsia="zh-CN"/>
              </w:rPr>
            </w:pPr>
            <w:r>
              <w:rPr>
                <w:rFonts w:hint="eastAsia"/>
                <w:lang w:val="en-US" w:eastAsia="zh-CN"/>
              </w:rPr>
              <w:t>682.9</w:t>
            </w:r>
          </w:p>
        </w:tc>
        <w:tc>
          <w:tcPr>
            <w:tcW w:w="515" w:type="pct"/>
            <w:tcBorders>
              <w:tl2br w:val="nil"/>
              <w:tr2bl w:val="nil"/>
            </w:tcBorders>
            <w:vAlign w:val="center"/>
          </w:tcPr>
          <w:p>
            <w:pPr>
              <w:pStyle w:val="30"/>
              <w:widowControl w:val="0"/>
              <w:bidi w:val="0"/>
              <w:rPr>
                <w:rFonts w:hint="default"/>
                <w:lang w:val="en-US" w:eastAsia="zh-CN"/>
              </w:rPr>
            </w:pPr>
            <w:r>
              <w:rPr>
                <w:rFonts w:hint="eastAsia"/>
                <w:lang w:val="en-US" w:eastAsia="zh-CN"/>
              </w:rPr>
              <w:t>577.9</w:t>
            </w:r>
          </w:p>
        </w:tc>
        <w:tc>
          <w:tcPr>
            <w:tcW w:w="55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27回用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89" w:type="pct"/>
            <w:gridSpan w:val="3"/>
            <w:vMerge w:val="continue"/>
            <w:tcBorders>
              <w:tl2br w:val="nil"/>
              <w:tr2bl w:val="nil"/>
            </w:tcBorders>
            <w:vAlign w:val="center"/>
          </w:tcPr>
          <w:p>
            <w:pPr>
              <w:pStyle w:val="30"/>
              <w:widowControl w:val="0"/>
              <w:jc w:val="center"/>
              <w:rPr>
                <w:rFonts w:hint="eastAsia"/>
                <w:vertAlign w:val="baseline"/>
                <w:lang w:val="en-US" w:eastAsia="zh-CN"/>
              </w:rPr>
            </w:pPr>
          </w:p>
        </w:tc>
        <w:tc>
          <w:tcPr>
            <w:tcW w:w="836" w:type="pct"/>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旺季</w:t>
            </w:r>
          </w:p>
        </w:tc>
        <w:tc>
          <w:tcPr>
            <w:tcW w:w="5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850.5</w:t>
            </w:r>
          </w:p>
        </w:tc>
        <w:tc>
          <w:tcPr>
            <w:tcW w:w="585"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766.5</w:t>
            </w:r>
          </w:p>
        </w:tc>
        <w:tc>
          <w:tcPr>
            <w:tcW w:w="37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530" w:type="pct"/>
            <w:tcBorders>
              <w:tl2br w:val="nil"/>
              <w:tr2bl w:val="nil"/>
            </w:tcBorders>
            <w:vAlign w:val="center"/>
          </w:tcPr>
          <w:p>
            <w:pPr>
              <w:pStyle w:val="30"/>
              <w:widowControl w:val="0"/>
              <w:bidi w:val="0"/>
              <w:rPr>
                <w:rFonts w:hint="default"/>
                <w:lang w:val="en-US" w:eastAsia="zh-CN"/>
              </w:rPr>
            </w:pPr>
            <w:r>
              <w:rPr>
                <w:rFonts w:hint="eastAsia"/>
                <w:lang w:val="en-US" w:eastAsia="zh-CN"/>
              </w:rPr>
              <w:t>805.9</w:t>
            </w:r>
          </w:p>
        </w:tc>
        <w:tc>
          <w:tcPr>
            <w:tcW w:w="515" w:type="pct"/>
            <w:tcBorders>
              <w:tl2br w:val="nil"/>
              <w:tr2bl w:val="nil"/>
            </w:tcBorders>
            <w:vAlign w:val="center"/>
          </w:tcPr>
          <w:p>
            <w:pPr>
              <w:pStyle w:val="30"/>
              <w:widowControl w:val="0"/>
              <w:bidi w:val="0"/>
              <w:rPr>
                <w:rFonts w:hint="default"/>
                <w:lang w:val="en-US" w:eastAsia="zh-CN"/>
              </w:rPr>
            </w:pPr>
            <w:r>
              <w:rPr>
                <w:rFonts w:hint="eastAsia"/>
                <w:lang w:val="en-US" w:eastAsia="zh-CN"/>
              </w:rPr>
              <w:t>685.9</w:t>
            </w:r>
          </w:p>
        </w:tc>
        <w:tc>
          <w:tcPr>
            <w:tcW w:w="55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27回用</w:t>
            </w:r>
          </w:p>
        </w:tc>
      </w:tr>
    </w:tbl>
    <w:p>
      <w:pPr>
        <w:pStyle w:val="29"/>
        <w:bidi w:val="0"/>
        <w:rPr>
          <w:rFonts w:hint="eastAsia"/>
          <w:lang w:val="en-US" w:eastAsia="zh-CN"/>
        </w:rPr>
      </w:pPr>
      <w:r>
        <w:rPr>
          <w:rFonts w:hint="eastAsia"/>
          <w:lang w:val="en-US" w:eastAsia="zh-CN"/>
        </w:rPr>
        <w:drawing>
          <wp:inline distT="0" distB="0" distL="114300" distR="114300">
            <wp:extent cx="4386580" cy="3557905"/>
            <wp:effectExtent l="0" t="0" r="13970" b="4445"/>
            <wp:docPr id="13" name="图片 13"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具 Model (1)"/>
                    <pic:cNvPicPr>
                      <a:picLocks noChangeAspect="1"/>
                    </pic:cNvPicPr>
                  </pic:nvPicPr>
                  <pic:blipFill>
                    <a:blip r:embed="rId23"/>
                    <a:srcRect l="2457" t="22014" r="1070" b="22686"/>
                    <a:stretch>
                      <a:fillRect/>
                    </a:stretch>
                  </pic:blipFill>
                  <pic:spPr>
                    <a:xfrm>
                      <a:off x="0" y="0"/>
                      <a:ext cx="4386580" cy="3557905"/>
                    </a:xfrm>
                    <a:prstGeom prst="rect">
                      <a:avLst/>
                    </a:prstGeom>
                  </pic:spPr>
                </pic:pic>
              </a:graphicData>
            </a:graphic>
          </wp:inline>
        </w:drawing>
      </w:r>
    </w:p>
    <w:p>
      <w:pPr>
        <w:pStyle w:val="30"/>
        <w:bidi w:val="0"/>
        <w:rPr>
          <w:rFonts w:hint="eastAsia"/>
          <w:b/>
          <w:bCs/>
          <w:lang w:val="en-US" w:eastAsia="zh-CN"/>
        </w:rPr>
      </w:pPr>
      <w:r>
        <w:rPr>
          <w:rFonts w:hint="eastAsia"/>
          <w:b/>
          <w:bCs/>
          <w:lang w:val="en-US" w:eastAsia="zh-CN"/>
        </w:rPr>
        <w:t>图3.3-3  项目给排水平衡图（日均）   单位：m</w:t>
      </w:r>
      <w:r>
        <w:rPr>
          <w:rFonts w:hint="eastAsia"/>
          <w:b/>
          <w:bCs/>
          <w:vertAlign w:val="superscript"/>
          <w:lang w:val="en-US" w:eastAsia="zh-CN"/>
        </w:rPr>
        <w:t>3</w:t>
      </w:r>
      <w:r>
        <w:rPr>
          <w:rFonts w:hint="eastAsia"/>
          <w:b/>
          <w:bCs/>
          <w:lang w:val="en-US" w:eastAsia="zh-CN"/>
        </w:rPr>
        <w:t>/d</w:t>
      </w:r>
    </w:p>
    <w:p>
      <w:pPr>
        <w:pStyle w:val="30"/>
        <w:bidi w:val="0"/>
        <w:rPr>
          <w:rFonts w:hint="eastAsia"/>
          <w:lang w:val="en-US" w:eastAsia="zh-CN"/>
        </w:rPr>
      </w:pPr>
      <w:r>
        <w:rPr>
          <w:rFonts w:hint="eastAsia"/>
          <w:lang w:val="en-US" w:eastAsia="zh-CN"/>
        </w:rPr>
        <w:drawing>
          <wp:inline distT="0" distB="0" distL="114300" distR="114300">
            <wp:extent cx="4290060" cy="3493770"/>
            <wp:effectExtent l="0" t="0" r="15240" b="11430"/>
            <wp:docPr id="14" name="图片 14" descr="工具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具 Model (1)"/>
                    <pic:cNvPicPr>
                      <a:picLocks noChangeAspect="1"/>
                    </pic:cNvPicPr>
                  </pic:nvPicPr>
                  <pic:blipFill>
                    <a:blip r:embed="rId24"/>
                    <a:srcRect l="1965" t="21960" r="1398" b="22392"/>
                    <a:stretch>
                      <a:fillRect/>
                    </a:stretch>
                  </pic:blipFill>
                  <pic:spPr>
                    <a:xfrm>
                      <a:off x="0" y="0"/>
                      <a:ext cx="4290060" cy="3493770"/>
                    </a:xfrm>
                    <a:prstGeom prst="rect">
                      <a:avLst/>
                    </a:prstGeom>
                  </pic:spPr>
                </pic:pic>
              </a:graphicData>
            </a:graphic>
          </wp:inline>
        </w:drawing>
      </w:r>
    </w:p>
    <w:p>
      <w:pPr>
        <w:pStyle w:val="30"/>
        <w:bidi w:val="0"/>
        <w:rPr>
          <w:rFonts w:hint="default"/>
          <w:b/>
          <w:bCs/>
          <w:lang w:val="en-US" w:eastAsia="zh-CN"/>
        </w:rPr>
      </w:pPr>
      <w:r>
        <w:rPr>
          <w:rFonts w:hint="eastAsia"/>
          <w:b/>
          <w:bCs/>
          <w:lang w:val="en-US" w:eastAsia="zh-CN"/>
        </w:rPr>
        <w:t>图3.3-4  项目给排水平衡图（旺季）   单位：m</w:t>
      </w:r>
      <w:r>
        <w:rPr>
          <w:rFonts w:hint="eastAsia"/>
          <w:b/>
          <w:bCs/>
          <w:vertAlign w:val="superscript"/>
          <w:lang w:val="en-US" w:eastAsia="zh-CN"/>
        </w:rPr>
        <w:t>3</w:t>
      </w:r>
      <w:r>
        <w:rPr>
          <w:rFonts w:hint="eastAsia"/>
          <w:b/>
          <w:bCs/>
          <w:lang w:val="en-US" w:eastAsia="zh-CN"/>
        </w:rPr>
        <w:t>/d</w:t>
      </w:r>
    </w:p>
    <w:p>
      <w:pPr>
        <w:pStyle w:val="4"/>
        <w:bidi w:val="0"/>
        <w:rPr>
          <w:rFonts w:hint="default"/>
          <w:lang w:val="en-US" w:eastAsia="zh-CN"/>
        </w:rPr>
      </w:pPr>
      <w:bookmarkStart w:id="47" w:name="_Toc7247"/>
      <w:r>
        <w:rPr>
          <w:rFonts w:hint="eastAsia"/>
          <w:lang w:val="en-US" w:eastAsia="zh-CN"/>
        </w:rPr>
        <w:t>营运期污染物排放及治理措施</w:t>
      </w:r>
      <w:bookmarkEnd w:id="47"/>
    </w:p>
    <w:p>
      <w:pPr>
        <w:pStyle w:val="5"/>
        <w:bidi w:val="0"/>
        <w:rPr>
          <w:rFonts w:hint="default"/>
          <w:lang w:val="en-US" w:eastAsia="zh-CN"/>
        </w:rPr>
      </w:pPr>
      <w:r>
        <w:rPr>
          <w:rFonts w:hint="eastAsia"/>
          <w:lang w:val="en-US" w:eastAsia="zh-CN"/>
        </w:rPr>
        <w:t>废水排放和治理措施</w:t>
      </w:r>
    </w:p>
    <w:p>
      <w:pPr>
        <w:pStyle w:val="6"/>
        <w:bidi w:val="0"/>
        <w:rPr>
          <w:rFonts w:hint="default"/>
          <w:lang w:val="en-US" w:eastAsia="zh-CN"/>
        </w:rPr>
      </w:pPr>
      <w:r>
        <w:rPr>
          <w:rFonts w:hint="eastAsia"/>
          <w:lang w:val="en-US" w:eastAsia="zh-CN"/>
        </w:rPr>
        <w:t>废水来源</w:t>
      </w:r>
    </w:p>
    <w:p>
      <w:pPr>
        <w:rPr>
          <w:rFonts w:hint="default"/>
          <w:vertAlign w:val="baseline"/>
          <w:lang w:val="en-US" w:eastAsia="zh-CN"/>
        </w:rPr>
      </w:pPr>
      <w:r>
        <w:rPr>
          <w:rFonts w:hint="eastAsia"/>
          <w:vertAlign w:val="baseline"/>
          <w:lang w:val="en-US" w:eastAsia="zh-CN"/>
        </w:rPr>
        <w:t>本项目建成后产生的废水主要包括屠宰废水、地面及车辆冲洗废水及生活污水。</w:t>
      </w:r>
    </w:p>
    <w:p>
      <w:pPr>
        <w:pStyle w:val="6"/>
        <w:bidi w:val="0"/>
        <w:rPr>
          <w:rFonts w:hint="default"/>
          <w:lang w:val="en-US" w:eastAsia="zh-CN"/>
        </w:rPr>
      </w:pPr>
      <w:r>
        <w:rPr>
          <w:rFonts w:hint="eastAsia"/>
          <w:lang w:val="en-US" w:eastAsia="zh-CN"/>
        </w:rPr>
        <w:t>排放浓度</w:t>
      </w:r>
    </w:p>
    <w:p>
      <w:pPr>
        <w:rPr>
          <w:rFonts w:hint="default"/>
          <w:vertAlign w:val="baseline"/>
          <w:lang w:val="en-US" w:eastAsia="zh-CN"/>
        </w:rPr>
      </w:pPr>
      <w:r>
        <w:rPr>
          <w:rFonts w:hint="eastAsia"/>
          <w:vertAlign w:val="baseline"/>
          <w:lang w:val="en-US" w:eastAsia="zh-CN"/>
        </w:rPr>
        <w:t>（1）生产废水</w:t>
      </w:r>
    </w:p>
    <w:p>
      <w:pPr>
        <w:rPr>
          <w:rFonts w:hint="default"/>
          <w:vertAlign w:val="baseline"/>
          <w:lang w:val="en-US" w:eastAsia="zh-CN"/>
        </w:rPr>
      </w:pPr>
      <w:r>
        <w:rPr>
          <w:rFonts w:hint="eastAsia"/>
          <w:vertAlign w:val="baseline"/>
          <w:lang w:val="en-US" w:eastAsia="zh-CN"/>
        </w:rPr>
        <w:t>①屠宰废水（含待宰圈废水、宰前冲淋废水、胴体清洗废水、解剖清洗废水、内脏清洗废水、设备冲洗水等）。</w:t>
      </w:r>
    </w:p>
    <w:p>
      <w:pPr>
        <w:spacing w:beforeLines="0" w:afterLines="0"/>
        <w:jc w:val="left"/>
        <w:rPr>
          <w:rFonts w:hint="eastAsia"/>
          <w:vertAlign w:val="baseline"/>
          <w:lang w:val="en-US" w:eastAsia="zh-CN"/>
        </w:rPr>
      </w:pPr>
      <w:r>
        <w:rPr>
          <w:rFonts w:hint="eastAsia" w:ascii="宋体" w:hAnsi="宋体" w:eastAsia="宋体"/>
          <w:sz w:val="24"/>
        </w:rPr>
        <w:t>项目生产废水含有大量的血液、油脂、碎肉、食物残渣、毛、粪便和泥沙等污染物，其具有</w:t>
      </w:r>
      <w:r>
        <w:rPr>
          <w:rFonts w:hint="default" w:ascii="Times New Roman" w:hAnsi="Times New Roman" w:eastAsia="Times New Roman"/>
          <w:sz w:val="24"/>
        </w:rPr>
        <w:t>COD</w:t>
      </w:r>
      <w:r>
        <w:rPr>
          <w:rFonts w:hint="eastAsia" w:ascii="宋体" w:hAnsi="宋体" w:eastAsia="宋体"/>
          <w:sz w:val="24"/>
        </w:rPr>
        <w:t>、</w:t>
      </w:r>
      <w:r>
        <w:rPr>
          <w:rFonts w:hint="default" w:ascii="Times New Roman" w:hAnsi="Times New Roman" w:eastAsia="Times New Roman"/>
          <w:sz w:val="24"/>
        </w:rPr>
        <w:t>BOD</w:t>
      </w:r>
      <w:r>
        <w:rPr>
          <w:rFonts w:hint="eastAsia" w:ascii="Times New Roman" w:hAnsi="Times New Roman"/>
          <w:sz w:val="24"/>
          <w:vertAlign w:val="subscript"/>
          <w:lang w:val="en-US" w:eastAsia="zh-CN"/>
        </w:rPr>
        <w:t>5</w:t>
      </w:r>
      <w:r>
        <w:rPr>
          <w:rFonts w:hint="eastAsia" w:ascii="宋体" w:hAnsi="宋体" w:eastAsia="宋体"/>
          <w:sz w:val="24"/>
        </w:rPr>
        <w:t>、</w:t>
      </w:r>
      <w:r>
        <w:rPr>
          <w:rFonts w:hint="default" w:ascii="Times New Roman" w:hAnsi="Times New Roman" w:eastAsia="Times New Roman"/>
          <w:sz w:val="24"/>
        </w:rPr>
        <w:t>NH</w:t>
      </w:r>
      <w:r>
        <w:rPr>
          <w:rFonts w:hint="eastAsia" w:ascii="Times New Roman" w:hAnsi="Times New Roman"/>
          <w:sz w:val="24"/>
          <w:vertAlign w:val="subscript"/>
          <w:lang w:val="en-US" w:eastAsia="zh-CN"/>
        </w:rPr>
        <w:t>3</w:t>
      </w:r>
      <w:r>
        <w:rPr>
          <w:rFonts w:hint="default" w:ascii="Times New Roman" w:hAnsi="Times New Roman" w:eastAsia="Times New Roman"/>
          <w:sz w:val="24"/>
        </w:rPr>
        <w:t>-N</w:t>
      </w:r>
      <w:r>
        <w:rPr>
          <w:rFonts w:hint="eastAsia" w:ascii="宋体" w:hAnsi="宋体" w:eastAsia="宋体"/>
          <w:sz w:val="24"/>
        </w:rPr>
        <w:t>及悬浮物浓度高的特点，废水呈红褐色并具有明显的腥臭味。</w:t>
      </w:r>
    </w:p>
    <w:p>
      <w:pPr>
        <w:bidi w:val="0"/>
        <w:rPr>
          <w:rFonts w:hint="eastAsia"/>
          <w:lang w:val="en-US" w:eastAsia="zh-CN"/>
        </w:rPr>
      </w:pPr>
      <w:r>
        <w:rPr>
          <w:rFonts w:hint="eastAsia"/>
        </w:rPr>
        <w:t>根据《屠宰与肉类加工废水治理工程技术规范》（</w:t>
      </w:r>
      <w:r>
        <w:rPr>
          <w:rFonts w:hint="default"/>
        </w:rPr>
        <w:t>HJ2004-2010</w:t>
      </w:r>
      <w:r>
        <w:rPr>
          <w:rFonts w:hint="eastAsia"/>
        </w:rPr>
        <w:t>）表</w:t>
      </w:r>
      <w:r>
        <w:rPr>
          <w:rFonts w:hint="default"/>
        </w:rPr>
        <w:t>3</w:t>
      </w:r>
      <w:r>
        <w:rPr>
          <w:rFonts w:hint="eastAsia"/>
        </w:rPr>
        <w:t>屠宰废水水质设计取值，</w:t>
      </w:r>
      <w:r>
        <w:rPr>
          <w:rFonts w:hint="default"/>
        </w:rPr>
        <w:t>COD</w:t>
      </w:r>
      <w:r>
        <w:rPr>
          <w:rFonts w:hint="eastAsia"/>
        </w:rPr>
        <w:t>浓度范围</w:t>
      </w:r>
      <w:r>
        <w:rPr>
          <w:rFonts w:hint="default"/>
        </w:rPr>
        <w:t>1500~2000</w:t>
      </w:r>
      <w:r>
        <w:rPr>
          <w:rFonts w:hint="eastAsia"/>
          <w:lang w:eastAsia="zh-CN"/>
        </w:rPr>
        <w:t>mg/L</w:t>
      </w:r>
      <w:r>
        <w:rPr>
          <w:rFonts w:hint="eastAsia"/>
        </w:rPr>
        <w:t>，</w:t>
      </w:r>
      <w:r>
        <w:rPr>
          <w:rFonts w:hint="default"/>
        </w:rPr>
        <w:t>BOD</w:t>
      </w:r>
      <w:r>
        <w:rPr>
          <w:rFonts w:hint="default"/>
          <w:vertAlign w:val="subscript"/>
        </w:rPr>
        <w:t>5</w:t>
      </w:r>
      <w:r>
        <w:rPr>
          <w:rFonts w:hint="eastAsia"/>
        </w:rPr>
        <w:t>浓度范围</w:t>
      </w:r>
      <w:r>
        <w:rPr>
          <w:rFonts w:hint="default"/>
        </w:rPr>
        <w:t>750~1000</w:t>
      </w:r>
      <w:r>
        <w:rPr>
          <w:rFonts w:hint="eastAsia"/>
          <w:lang w:eastAsia="zh-CN"/>
        </w:rPr>
        <w:t>mg/L</w:t>
      </w:r>
      <w:r>
        <w:rPr>
          <w:rFonts w:hint="eastAsia"/>
        </w:rPr>
        <w:t>，</w:t>
      </w:r>
      <w:r>
        <w:rPr>
          <w:rFonts w:hint="default"/>
        </w:rPr>
        <w:t>SS</w:t>
      </w:r>
      <w:r>
        <w:rPr>
          <w:rFonts w:hint="eastAsia"/>
        </w:rPr>
        <w:t>浓度范围</w:t>
      </w:r>
      <w:r>
        <w:rPr>
          <w:rFonts w:hint="default"/>
        </w:rPr>
        <w:t>750~1000</w:t>
      </w:r>
      <w:r>
        <w:rPr>
          <w:rFonts w:hint="eastAsia"/>
          <w:lang w:eastAsia="zh-CN"/>
        </w:rPr>
        <w:t>mg/L</w:t>
      </w:r>
      <w:r>
        <w:rPr>
          <w:rFonts w:hint="eastAsia"/>
        </w:rPr>
        <w:t>，氨氮浓度范围</w:t>
      </w:r>
      <w:r>
        <w:rPr>
          <w:rFonts w:hint="default"/>
        </w:rPr>
        <w:t>50~150</w:t>
      </w:r>
      <w:r>
        <w:rPr>
          <w:rFonts w:hint="eastAsia"/>
          <w:lang w:eastAsia="zh-CN"/>
        </w:rPr>
        <w:t>mg/L</w:t>
      </w:r>
      <w:r>
        <w:rPr>
          <w:rFonts w:hint="eastAsia"/>
        </w:rPr>
        <w:t>，动植物油浓度范围</w:t>
      </w:r>
      <w:r>
        <w:rPr>
          <w:rFonts w:hint="default"/>
        </w:rPr>
        <w:t>50~200</w:t>
      </w:r>
      <w:r>
        <w:rPr>
          <w:rFonts w:hint="eastAsia"/>
          <w:lang w:eastAsia="zh-CN"/>
        </w:rPr>
        <w:t>mg/L</w:t>
      </w:r>
      <w:r>
        <w:rPr>
          <w:rFonts w:hint="eastAsia"/>
        </w:rPr>
        <w:t>，总磷参考《屠宰及肉类加工废水除磷研究》（《河南科技》</w:t>
      </w:r>
      <w:r>
        <w:rPr>
          <w:rFonts w:hint="default"/>
        </w:rPr>
        <w:t>2017</w:t>
      </w:r>
      <w:r>
        <w:rPr>
          <w:rFonts w:hint="eastAsia"/>
        </w:rPr>
        <w:t>年</w:t>
      </w:r>
      <w:r>
        <w:rPr>
          <w:rFonts w:hint="default"/>
        </w:rPr>
        <w:t>8</w:t>
      </w:r>
      <w:r>
        <w:rPr>
          <w:rFonts w:hint="eastAsia"/>
        </w:rPr>
        <w:t>月），取</w:t>
      </w:r>
      <w:r>
        <w:rPr>
          <w:rFonts w:hint="default"/>
        </w:rPr>
        <w:t>30</w:t>
      </w:r>
      <w:r>
        <w:rPr>
          <w:rFonts w:hint="eastAsia"/>
          <w:lang w:eastAsia="zh-CN"/>
        </w:rPr>
        <w:t>mg/L</w:t>
      </w:r>
      <w:r>
        <w:rPr>
          <w:rFonts w:hint="eastAsia"/>
        </w:rPr>
        <w:t>。总氮根据污水处理工程经验值取值</w:t>
      </w:r>
      <w:r>
        <w:rPr>
          <w:rFonts w:hint="default"/>
        </w:rPr>
        <w:t>200</w:t>
      </w:r>
      <w:r>
        <w:rPr>
          <w:rFonts w:hint="eastAsia"/>
          <w:lang w:eastAsia="zh-CN"/>
        </w:rPr>
        <w:t>mg/L</w:t>
      </w:r>
      <w:r>
        <w:rPr>
          <w:rFonts w:hint="eastAsia"/>
        </w:rPr>
        <w:t>，同时</w:t>
      </w:r>
      <w:r>
        <w:rPr>
          <w:rFonts w:hint="eastAsia"/>
          <w:lang w:val="en-US" w:eastAsia="zh-CN"/>
        </w:rPr>
        <w:t>考虑项目涉及加工分割肉，污水污染物浓度应高于技术规范中屠宰废水水质的要求</w:t>
      </w:r>
      <w:r>
        <w:rPr>
          <w:rFonts w:hint="eastAsia"/>
        </w:rPr>
        <w:t>，本评价取值如下。</w:t>
      </w:r>
    </w:p>
    <w:p>
      <w:pPr>
        <w:pStyle w:val="29"/>
        <w:bidi w:val="0"/>
        <w:rPr>
          <w:rFonts w:hint="eastAsia" w:eastAsia="宋体"/>
          <w:lang w:val="en-US" w:eastAsia="zh-CN"/>
        </w:rPr>
      </w:pPr>
      <w:r>
        <w:rPr>
          <w:rFonts w:hint="eastAsia"/>
          <w:lang w:val="en-US" w:eastAsia="zh-CN"/>
        </w:rPr>
        <w:t xml:space="preserve">表3.4-1  </w:t>
      </w:r>
      <w:r>
        <w:rPr>
          <w:rFonts w:hint="eastAsia"/>
        </w:rPr>
        <w:t>项目废水污染物产生浓度一览表</w:t>
      </w:r>
      <w:r>
        <w:rPr>
          <w:rFonts w:hint="eastAsia"/>
          <w:lang w:val="en-US" w:eastAsia="zh-CN"/>
        </w:rPr>
        <w:t xml:space="preserve">  </w:t>
      </w:r>
      <w:r>
        <w:rPr>
          <w:rFonts w:hint="eastAsia"/>
        </w:rPr>
        <w:t xml:space="preserve"> 单位：</w:t>
      </w:r>
      <w:r>
        <w:rPr>
          <w:rFonts w:hint="eastAsia"/>
          <w:lang w:eastAsia="zh-CN"/>
        </w:rPr>
        <w:t>mg/L</w:t>
      </w:r>
    </w:p>
    <w:tbl>
      <w:tblPr>
        <w:tblStyle w:val="2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1372"/>
        <w:gridCol w:w="1374"/>
        <w:gridCol w:w="1374"/>
        <w:gridCol w:w="1374"/>
        <w:gridCol w:w="1374"/>
        <w:gridCol w:w="13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污染物</w:t>
            </w:r>
          </w:p>
        </w:tc>
        <w:tc>
          <w:tcPr>
            <w:tcW w:w="713" w:type="pct"/>
            <w:tcBorders>
              <w:tl2br w:val="nil"/>
              <w:tr2bl w:val="nil"/>
            </w:tcBorders>
            <w:vAlign w:val="center"/>
          </w:tcPr>
          <w:p>
            <w:pPr>
              <w:pStyle w:val="30"/>
              <w:widowControl w:val="0"/>
              <w:bidi w:val="0"/>
              <w:jc w:val="center"/>
              <w:rPr>
                <w:rFonts w:hint="default"/>
                <w:b/>
                <w:bCs/>
                <w:vertAlign w:val="subscript"/>
                <w:lang w:val="en-US" w:eastAsia="zh-CN"/>
              </w:rPr>
            </w:pPr>
            <w:r>
              <w:rPr>
                <w:rFonts w:hint="eastAsia"/>
                <w:b/>
                <w:bCs/>
                <w:lang w:val="en-US" w:eastAsia="zh-CN"/>
              </w:rPr>
              <w:t>COD</w:t>
            </w:r>
          </w:p>
        </w:tc>
        <w:tc>
          <w:tcPr>
            <w:tcW w:w="714" w:type="pct"/>
            <w:tcBorders>
              <w:tl2br w:val="nil"/>
              <w:tr2bl w:val="nil"/>
            </w:tcBorders>
            <w:vAlign w:val="center"/>
          </w:tcPr>
          <w:p>
            <w:pPr>
              <w:pStyle w:val="30"/>
              <w:widowControl w:val="0"/>
              <w:bidi w:val="0"/>
              <w:jc w:val="center"/>
              <w:rPr>
                <w:rFonts w:hint="default"/>
                <w:b/>
                <w:bCs/>
                <w:vertAlign w:val="subscript"/>
                <w:lang w:val="en-US" w:eastAsia="zh-CN"/>
              </w:rPr>
            </w:pPr>
            <w:r>
              <w:rPr>
                <w:rFonts w:hint="eastAsia"/>
                <w:b/>
                <w:bCs/>
                <w:lang w:val="en-US" w:eastAsia="zh-CN"/>
              </w:rPr>
              <w:t>BOD</w:t>
            </w:r>
            <w:r>
              <w:rPr>
                <w:rFonts w:hint="eastAsia"/>
                <w:b/>
                <w:bCs/>
                <w:vertAlign w:val="subscript"/>
                <w:lang w:val="en-US" w:eastAsia="zh-CN"/>
              </w:rPr>
              <w:t>5</w:t>
            </w:r>
          </w:p>
        </w:tc>
        <w:tc>
          <w:tcPr>
            <w:tcW w:w="714" w:type="pct"/>
            <w:tcBorders>
              <w:tl2br w:val="nil"/>
              <w:tr2bl w:val="nil"/>
            </w:tcBorders>
            <w:vAlign w:val="center"/>
          </w:tcPr>
          <w:p>
            <w:pPr>
              <w:pStyle w:val="30"/>
              <w:widowControl w:val="0"/>
              <w:bidi w:val="0"/>
              <w:jc w:val="center"/>
              <w:rPr>
                <w:rFonts w:hint="default"/>
                <w:b/>
                <w:bCs/>
                <w:vertAlign w:val="baseline"/>
                <w:lang w:val="en-US" w:eastAsia="zh-CN"/>
              </w:rPr>
            </w:pPr>
            <w:r>
              <w:rPr>
                <w:rFonts w:hint="eastAsia"/>
                <w:b/>
                <w:bCs/>
                <w:vertAlign w:val="baseline"/>
                <w:lang w:val="en-US" w:eastAsia="zh-CN"/>
              </w:rPr>
              <w:t>SS</w:t>
            </w:r>
          </w:p>
        </w:tc>
        <w:tc>
          <w:tcPr>
            <w:tcW w:w="714" w:type="pct"/>
            <w:tcBorders>
              <w:tl2br w:val="nil"/>
              <w:tr2bl w:val="nil"/>
            </w:tcBorders>
            <w:vAlign w:val="center"/>
          </w:tcPr>
          <w:p>
            <w:pPr>
              <w:pStyle w:val="30"/>
              <w:widowControl w:val="0"/>
              <w:bidi w:val="0"/>
              <w:jc w:val="center"/>
              <w:rPr>
                <w:rFonts w:hint="eastAsia"/>
                <w:b/>
                <w:bCs/>
                <w:lang w:val="en-US" w:eastAsia="zh-CN"/>
              </w:rPr>
            </w:pPr>
            <w:r>
              <w:rPr>
                <w:rFonts w:hint="eastAsia"/>
                <w:b/>
                <w:bCs/>
                <w:lang w:val="en-US" w:eastAsia="zh-CN"/>
              </w:rPr>
              <w:t>NH</w:t>
            </w:r>
            <w:r>
              <w:rPr>
                <w:rFonts w:hint="eastAsia"/>
                <w:b/>
                <w:bCs/>
                <w:vertAlign w:val="subscript"/>
                <w:lang w:val="en-US" w:eastAsia="zh-CN"/>
              </w:rPr>
              <w:t>3</w:t>
            </w:r>
            <w:r>
              <w:rPr>
                <w:rFonts w:hint="eastAsia"/>
                <w:b/>
                <w:bCs/>
                <w:vertAlign w:val="baseline"/>
                <w:lang w:val="en-US" w:eastAsia="zh-CN"/>
              </w:rPr>
              <w:t>-N</w:t>
            </w:r>
          </w:p>
        </w:tc>
        <w:tc>
          <w:tcPr>
            <w:tcW w:w="714" w:type="pc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动植物油</w:t>
            </w:r>
          </w:p>
        </w:tc>
        <w:tc>
          <w:tcPr>
            <w:tcW w:w="714" w:type="pc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浓度</w:t>
            </w:r>
          </w:p>
        </w:tc>
        <w:tc>
          <w:tcPr>
            <w:tcW w:w="713"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2100</w:t>
            </w:r>
          </w:p>
        </w:tc>
        <w:tc>
          <w:tcPr>
            <w:tcW w:w="71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1000</w:t>
            </w:r>
          </w:p>
        </w:tc>
        <w:tc>
          <w:tcPr>
            <w:tcW w:w="71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1200</w:t>
            </w:r>
          </w:p>
        </w:tc>
        <w:tc>
          <w:tcPr>
            <w:tcW w:w="71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200</w:t>
            </w:r>
          </w:p>
        </w:tc>
        <w:tc>
          <w:tcPr>
            <w:tcW w:w="71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150</w:t>
            </w:r>
          </w:p>
        </w:tc>
        <w:tc>
          <w:tcPr>
            <w:tcW w:w="71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30</w:t>
            </w:r>
          </w:p>
        </w:tc>
      </w:tr>
    </w:tbl>
    <w:p>
      <w:pPr>
        <w:rPr>
          <w:rFonts w:hint="default"/>
          <w:vertAlign w:val="baseline"/>
          <w:lang w:val="en-US" w:eastAsia="zh-CN"/>
        </w:rPr>
      </w:pPr>
      <w:r>
        <w:rPr>
          <w:rFonts w:hint="eastAsia"/>
          <w:vertAlign w:val="baseline"/>
          <w:lang w:val="en-US" w:eastAsia="zh-CN"/>
        </w:rPr>
        <w:t>②地面及车辆冲洗废水</w:t>
      </w:r>
    </w:p>
    <w:p>
      <w:pPr>
        <w:spacing w:beforeLines="0" w:afterLines="0"/>
        <w:jc w:val="left"/>
        <w:rPr>
          <w:rFonts w:hint="default"/>
          <w:vertAlign w:val="baseline"/>
          <w:lang w:val="en-US" w:eastAsia="zh-CN"/>
        </w:rPr>
      </w:pPr>
      <w:r>
        <w:rPr>
          <w:rFonts w:hint="eastAsia"/>
          <w:vertAlign w:val="baseline"/>
          <w:lang w:val="en-US" w:eastAsia="zh-CN"/>
        </w:rPr>
        <w:t>此类废水主要污染物为</w:t>
      </w:r>
      <w:r>
        <w:rPr>
          <w:rFonts w:hint="default" w:ascii="Times New Roman" w:hAnsi="Times New Roman" w:eastAsia="Times New Roman"/>
          <w:sz w:val="24"/>
        </w:rPr>
        <w:t>COD</w:t>
      </w:r>
      <w:r>
        <w:rPr>
          <w:rFonts w:hint="eastAsia" w:ascii="宋体" w:hAnsi="宋体" w:eastAsia="宋体"/>
          <w:sz w:val="24"/>
        </w:rPr>
        <w:t>、</w:t>
      </w:r>
      <w:r>
        <w:rPr>
          <w:rFonts w:hint="default" w:ascii="Times New Roman" w:hAnsi="Times New Roman" w:eastAsia="Times New Roman"/>
          <w:sz w:val="24"/>
        </w:rPr>
        <w:t>BOD</w:t>
      </w:r>
      <w:r>
        <w:rPr>
          <w:rFonts w:hint="default" w:ascii="Times New Roman" w:hAnsi="Times New Roman" w:eastAsia="Times New Roman"/>
          <w:sz w:val="16"/>
        </w:rPr>
        <w:t>5</w:t>
      </w:r>
      <w:r>
        <w:rPr>
          <w:rFonts w:hint="eastAsia" w:ascii="宋体" w:hAnsi="宋体" w:eastAsia="宋体"/>
          <w:sz w:val="24"/>
        </w:rPr>
        <w:t>、</w:t>
      </w:r>
      <w:r>
        <w:rPr>
          <w:rFonts w:hint="default" w:ascii="Times New Roman" w:hAnsi="Times New Roman" w:eastAsia="Times New Roman"/>
          <w:sz w:val="24"/>
        </w:rPr>
        <w:t>NH</w:t>
      </w:r>
      <w:r>
        <w:rPr>
          <w:rFonts w:hint="default" w:ascii="Times New Roman" w:hAnsi="Times New Roman" w:eastAsia="Times New Roman"/>
          <w:sz w:val="16"/>
        </w:rPr>
        <w:t>3</w:t>
      </w:r>
      <w:r>
        <w:rPr>
          <w:rFonts w:hint="default" w:ascii="Times New Roman" w:hAnsi="Times New Roman" w:eastAsia="Times New Roman"/>
          <w:sz w:val="24"/>
        </w:rPr>
        <w:t>-N</w:t>
      </w:r>
      <w:r>
        <w:rPr>
          <w:rFonts w:hint="eastAsia" w:ascii="宋体" w:hAnsi="宋体" w:eastAsia="宋体"/>
          <w:sz w:val="24"/>
        </w:rPr>
        <w:t>、</w:t>
      </w:r>
      <w:r>
        <w:rPr>
          <w:rFonts w:hint="default" w:ascii="Times New Roman" w:hAnsi="Times New Roman" w:eastAsia="Times New Roman"/>
          <w:sz w:val="24"/>
        </w:rPr>
        <w:t>SS</w:t>
      </w:r>
      <w:r>
        <w:rPr>
          <w:rFonts w:hint="eastAsia" w:ascii="宋体" w:hAnsi="宋体" w:eastAsia="宋体"/>
          <w:sz w:val="24"/>
        </w:rPr>
        <w:t>、</w:t>
      </w:r>
      <w:r>
        <w:rPr>
          <w:rFonts w:hint="default" w:ascii="Times New Roman" w:hAnsi="Times New Roman" w:eastAsia="Times New Roman"/>
          <w:sz w:val="24"/>
        </w:rPr>
        <w:t>TN</w:t>
      </w:r>
      <w:r>
        <w:rPr>
          <w:rFonts w:hint="eastAsia" w:ascii="宋体" w:hAnsi="宋体" w:eastAsia="宋体"/>
          <w:sz w:val="24"/>
        </w:rPr>
        <w:t>，浓度分别为</w:t>
      </w:r>
      <w:r>
        <w:rPr>
          <w:rFonts w:hint="default" w:ascii="Times New Roman" w:hAnsi="Times New Roman" w:eastAsia="Times New Roman"/>
          <w:sz w:val="24"/>
        </w:rPr>
        <w:t>500</w:t>
      </w:r>
      <w:r>
        <w:rPr>
          <w:rFonts w:hint="eastAsia" w:ascii="Times New Roman" w:hAnsi="Times New Roman"/>
          <w:sz w:val="24"/>
          <w:lang w:eastAsia="zh-CN"/>
        </w:rPr>
        <w:t>mg/L</w:t>
      </w:r>
      <w:r>
        <w:rPr>
          <w:rFonts w:hint="eastAsia" w:ascii="宋体" w:hAnsi="宋体" w:eastAsia="宋体"/>
          <w:sz w:val="24"/>
        </w:rPr>
        <w:t>，</w:t>
      </w:r>
      <w:r>
        <w:rPr>
          <w:rFonts w:hint="default" w:ascii="Times New Roman" w:hAnsi="Times New Roman" w:eastAsia="Times New Roman"/>
          <w:sz w:val="24"/>
        </w:rPr>
        <w:t>200</w:t>
      </w:r>
      <w:r>
        <w:rPr>
          <w:rFonts w:hint="eastAsia" w:ascii="Times New Roman" w:hAnsi="Times New Roman"/>
          <w:sz w:val="24"/>
          <w:lang w:eastAsia="zh-CN"/>
        </w:rPr>
        <w:t>mg/L</w:t>
      </w:r>
      <w:r>
        <w:rPr>
          <w:rFonts w:hint="eastAsia" w:ascii="宋体" w:hAnsi="宋体" w:eastAsia="宋体"/>
          <w:sz w:val="24"/>
        </w:rPr>
        <w:t>，</w:t>
      </w:r>
      <w:r>
        <w:rPr>
          <w:rFonts w:hint="default" w:ascii="Times New Roman" w:hAnsi="Times New Roman" w:eastAsia="Times New Roman"/>
          <w:sz w:val="24"/>
        </w:rPr>
        <w:t>20</w:t>
      </w:r>
      <w:r>
        <w:rPr>
          <w:rFonts w:hint="eastAsia" w:ascii="Times New Roman" w:hAnsi="Times New Roman"/>
          <w:sz w:val="24"/>
          <w:lang w:eastAsia="zh-CN"/>
        </w:rPr>
        <w:t>mg/L</w:t>
      </w:r>
      <w:r>
        <w:rPr>
          <w:rFonts w:hint="eastAsia" w:ascii="宋体" w:hAnsi="宋体" w:eastAsia="宋体"/>
          <w:sz w:val="24"/>
        </w:rPr>
        <w:t>，</w:t>
      </w:r>
      <w:r>
        <w:rPr>
          <w:rFonts w:hint="default" w:ascii="Times New Roman" w:hAnsi="Times New Roman" w:eastAsia="Times New Roman"/>
          <w:sz w:val="24"/>
        </w:rPr>
        <w:t>300</w:t>
      </w:r>
      <w:r>
        <w:rPr>
          <w:rFonts w:hint="eastAsia" w:ascii="Times New Roman" w:hAnsi="Times New Roman"/>
          <w:sz w:val="24"/>
          <w:lang w:eastAsia="zh-CN"/>
        </w:rPr>
        <w:t>mg/L</w:t>
      </w:r>
      <w:r>
        <w:rPr>
          <w:rFonts w:hint="eastAsia" w:ascii="宋体" w:hAnsi="宋体" w:eastAsia="宋体"/>
          <w:sz w:val="24"/>
        </w:rPr>
        <w:t>，</w:t>
      </w:r>
      <w:r>
        <w:rPr>
          <w:rFonts w:hint="default" w:ascii="Times New Roman" w:hAnsi="Times New Roman" w:eastAsia="Times New Roman"/>
          <w:sz w:val="24"/>
        </w:rPr>
        <w:t>50</w:t>
      </w:r>
      <w:r>
        <w:rPr>
          <w:rFonts w:hint="eastAsia" w:ascii="Times New Roman" w:hAnsi="Times New Roman"/>
          <w:sz w:val="24"/>
          <w:lang w:eastAsia="zh-CN"/>
        </w:rPr>
        <w:t>mg/L</w:t>
      </w:r>
      <w:r>
        <w:rPr>
          <w:rFonts w:hint="eastAsia" w:ascii="宋体" w:hAnsi="宋体" w:eastAsia="宋体"/>
          <w:sz w:val="24"/>
        </w:rPr>
        <w:t>。</w:t>
      </w:r>
    </w:p>
    <w:p>
      <w:pPr>
        <w:spacing w:beforeLines="0" w:afterLines="0"/>
        <w:jc w:val="left"/>
        <w:rPr>
          <w:rFonts w:hint="eastAsia"/>
          <w:vertAlign w:val="baseline"/>
          <w:lang w:val="en-US" w:eastAsia="zh-CN"/>
        </w:rPr>
      </w:pPr>
      <w:r>
        <w:rPr>
          <w:rFonts w:hint="eastAsia" w:ascii="宋体" w:hAnsi="宋体" w:eastAsia="宋体"/>
          <w:sz w:val="24"/>
        </w:rPr>
        <w:t>危废暂存间内设置有围堰，并设置有防渗托盘放置收集桶，定期清理，不使用水进行清洗。</w:t>
      </w:r>
    </w:p>
    <w:p>
      <w:pPr>
        <w:rPr>
          <w:rFonts w:hint="eastAsia"/>
          <w:vertAlign w:val="baseline"/>
          <w:lang w:val="en-US" w:eastAsia="zh-CN"/>
        </w:rPr>
      </w:pPr>
      <w:r>
        <w:rPr>
          <w:rFonts w:hint="eastAsia"/>
          <w:vertAlign w:val="baseline"/>
          <w:lang w:val="en-US" w:eastAsia="zh-CN"/>
        </w:rPr>
        <w:t>③生物洗涤他排水</w:t>
      </w:r>
    </w:p>
    <w:p>
      <w:pPr>
        <w:spacing w:beforeLines="0" w:afterLines="0"/>
        <w:jc w:val="left"/>
        <w:rPr>
          <w:rFonts w:hint="default"/>
          <w:vertAlign w:val="baseline"/>
          <w:lang w:val="en-US" w:eastAsia="zh-CN"/>
        </w:rPr>
      </w:pPr>
      <w:r>
        <w:rPr>
          <w:rFonts w:hint="eastAsia"/>
          <w:vertAlign w:val="baseline"/>
          <w:lang w:val="en-US" w:eastAsia="zh-CN"/>
        </w:rPr>
        <w:t>洗涤塔排水主要污染物为</w:t>
      </w:r>
      <w:r>
        <w:rPr>
          <w:rFonts w:hint="default" w:ascii="Times New Roman" w:hAnsi="Times New Roman" w:eastAsia="Times New Roman"/>
          <w:sz w:val="24"/>
          <w:szCs w:val="24"/>
        </w:rPr>
        <w:t>COD</w:t>
      </w:r>
      <w:r>
        <w:rPr>
          <w:rFonts w:hint="eastAsia" w:ascii="宋体" w:hAnsi="宋体" w:eastAsia="宋体"/>
          <w:sz w:val="24"/>
          <w:szCs w:val="24"/>
        </w:rPr>
        <w:t>、</w:t>
      </w:r>
      <w:r>
        <w:rPr>
          <w:rFonts w:hint="default" w:ascii="Times New Roman" w:hAnsi="Times New Roman" w:eastAsia="Times New Roman"/>
          <w:sz w:val="24"/>
          <w:szCs w:val="24"/>
        </w:rPr>
        <w:t>NH</w:t>
      </w:r>
      <w:r>
        <w:rPr>
          <w:rFonts w:hint="default" w:ascii="Times New Roman" w:hAnsi="Times New Roman" w:eastAsia="Times New Roman"/>
          <w:sz w:val="16"/>
          <w:szCs w:val="24"/>
        </w:rPr>
        <w:t>3</w:t>
      </w:r>
      <w:r>
        <w:rPr>
          <w:rFonts w:hint="default" w:ascii="Times New Roman" w:hAnsi="Times New Roman" w:eastAsia="Times New Roman"/>
          <w:sz w:val="24"/>
          <w:szCs w:val="24"/>
        </w:rPr>
        <w:t>-N</w:t>
      </w:r>
      <w:r>
        <w:rPr>
          <w:rFonts w:hint="eastAsia" w:ascii="宋体" w:hAnsi="宋体" w:eastAsia="宋体"/>
          <w:sz w:val="24"/>
          <w:szCs w:val="24"/>
        </w:rPr>
        <w:t>，根据废气处理工程经验值，浓度分别为</w:t>
      </w:r>
      <w:r>
        <w:rPr>
          <w:rFonts w:hint="default" w:ascii="Times New Roman" w:hAnsi="Times New Roman" w:eastAsia="Times New Roman"/>
          <w:sz w:val="24"/>
          <w:szCs w:val="24"/>
        </w:rPr>
        <w:t>1800mg/l</w:t>
      </w:r>
      <w:r>
        <w:rPr>
          <w:rFonts w:hint="eastAsia" w:ascii="宋体" w:hAnsi="宋体" w:eastAsia="宋体"/>
          <w:sz w:val="24"/>
          <w:szCs w:val="24"/>
        </w:rPr>
        <w:t>，</w:t>
      </w:r>
      <w:r>
        <w:rPr>
          <w:rFonts w:hint="default" w:ascii="Times New Roman" w:hAnsi="Times New Roman" w:eastAsia="Times New Roman"/>
          <w:sz w:val="24"/>
          <w:szCs w:val="24"/>
        </w:rPr>
        <w:t>300mg/l</w:t>
      </w:r>
      <w:r>
        <w:rPr>
          <w:rFonts w:hint="eastAsia" w:ascii="宋体" w:hAnsi="宋体" w:eastAsia="宋体"/>
          <w:sz w:val="24"/>
          <w:szCs w:val="24"/>
        </w:rPr>
        <w:t>。</w:t>
      </w:r>
    </w:p>
    <w:p>
      <w:pPr>
        <w:rPr>
          <w:rFonts w:hint="default"/>
          <w:vertAlign w:val="baseline"/>
          <w:lang w:val="en-US" w:eastAsia="zh-CN"/>
        </w:rPr>
      </w:pPr>
      <w:r>
        <w:rPr>
          <w:rFonts w:hint="eastAsia"/>
          <w:vertAlign w:val="baseline"/>
          <w:lang w:val="en-US" w:eastAsia="zh-CN"/>
        </w:rPr>
        <w:t>（2）生活污水</w:t>
      </w:r>
    </w:p>
    <w:p>
      <w:pPr>
        <w:spacing w:beforeLines="0" w:afterLines="0"/>
        <w:jc w:val="left"/>
        <w:rPr>
          <w:rFonts w:hint="eastAsia"/>
          <w:vertAlign w:val="baseline"/>
          <w:lang w:val="en-US" w:eastAsia="zh-CN"/>
        </w:rPr>
      </w:pPr>
      <w:r>
        <w:rPr>
          <w:rFonts w:hint="eastAsia" w:ascii="宋体" w:hAnsi="宋体" w:eastAsia="宋体"/>
          <w:sz w:val="24"/>
        </w:rPr>
        <w:t>生活污水中主要污染物为</w:t>
      </w:r>
      <w:r>
        <w:rPr>
          <w:rFonts w:hint="default" w:ascii="Times New Roman" w:hAnsi="Times New Roman" w:eastAsia="Times New Roman"/>
          <w:sz w:val="24"/>
        </w:rPr>
        <w:t>COD</w:t>
      </w:r>
      <w:r>
        <w:rPr>
          <w:rFonts w:hint="eastAsia" w:ascii="宋体" w:hAnsi="宋体" w:eastAsia="宋体"/>
          <w:sz w:val="24"/>
        </w:rPr>
        <w:t>、</w:t>
      </w:r>
      <w:r>
        <w:rPr>
          <w:rFonts w:hint="default" w:ascii="Times New Roman" w:hAnsi="Times New Roman" w:eastAsia="Times New Roman"/>
          <w:sz w:val="24"/>
        </w:rPr>
        <w:t>BOD</w:t>
      </w:r>
      <w:r>
        <w:rPr>
          <w:rFonts w:hint="default" w:ascii="Times New Roman" w:hAnsi="Times New Roman" w:eastAsia="Times New Roman"/>
          <w:sz w:val="16"/>
        </w:rPr>
        <w:t>5</w:t>
      </w:r>
      <w:r>
        <w:rPr>
          <w:rFonts w:hint="eastAsia" w:ascii="宋体" w:hAnsi="宋体" w:eastAsia="宋体"/>
          <w:sz w:val="24"/>
        </w:rPr>
        <w:t>、</w:t>
      </w:r>
      <w:r>
        <w:rPr>
          <w:rFonts w:hint="default" w:ascii="Times New Roman" w:hAnsi="Times New Roman" w:eastAsia="Times New Roman"/>
          <w:sz w:val="24"/>
        </w:rPr>
        <w:t>SS</w:t>
      </w:r>
      <w:r>
        <w:rPr>
          <w:rFonts w:hint="eastAsia" w:ascii="宋体" w:hAnsi="宋体" w:eastAsia="宋体"/>
          <w:sz w:val="24"/>
        </w:rPr>
        <w:t>、</w:t>
      </w:r>
      <w:r>
        <w:rPr>
          <w:rFonts w:hint="default" w:ascii="Times New Roman" w:hAnsi="Times New Roman" w:eastAsia="Times New Roman"/>
          <w:sz w:val="24"/>
        </w:rPr>
        <w:t>NH</w:t>
      </w:r>
      <w:r>
        <w:rPr>
          <w:rFonts w:hint="default" w:ascii="Times New Roman" w:hAnsi="Times New Roman" w:eastAsia="Times New Roman"/>
          <w:sz w:val="16"/>
        </w:rPr>
        <w:t>3</w:t>
      </w:r>
      <w:r>
        <w:rPr>
          <w:rFonts w:hint="default" w:ascii="Times New Roman" w:hAnsi="Times New Roman" w:eastAsia="Times New Roman"/>
          <w:sz w:val="24"/>
        </w:rPr>
        <w:t>-N</w:t>
      </w:r>
      <w:r>
        <w:rPr>
          <w:rFonts w:hint="eastAsia" w:ascii="宋体" w:hAnsi="宋体" w:eastAsia="宋体"/>
          <w:sz w:val="24"/>
        </w:rPr>
        <w:t>、动植物油，浓度分别为</w:t>
      </w:r>
      <w:r>
        <w:rPr>
          <w:rFonts w:hint="default" w:ascii="Times New Roman" w:hAnsi="Times New Roman" w:eastAsia="Times New Roman"/>
          <w:sz w:val="24"/>
        </w:rPr>
        <w:t>350</w:t>
      </w:r>
      <w:r>
        <w:rPr>
          <w:rFonts w:hint="eastAsia" w:ascii="Times New Roman" w:hAnsi="Times New Roman"/>
          <w:sz w:val="24"/>
          <w:lang w:eastAsia="zh-CN"/>
        </w:rPr>
        <w:t>mg/L</w:t>
      </w:r>
      <w:r>
        <w:rPr>
          <w:rFonts w:hint="eastAsia" w:ascii="宋体" w:hAnsi="宋体" w:eastAsia="宋体"/>
          <w:sz w:val="24"/>
        </w:rPr>
        <w:t>，</w:t>
      </w:r>
      <w:r>
        <w:rPr>
          <w:rFonts w:hint="default" w:ascii="Times New Roman" w:hAnsi="Times New Roman" w:eastAsia="Times New Roman"/>
          <w:sz w:val="24"/>
        </w:rPr>
        <w:t>250</w:t>
      </w:r>
      <w:r>
        <w:rPr>
          <w:rFonts w:hint="eastAsia" w:ascii="Times New Roman" w:hAnsi="Times New Roman"/>
          <w:sz w:val="24"/>
          <w:lang w:eastAsia="zh-CN"/>
        </w:rPr>
        <w:t>mg/L</w:t>
      </w:r>
      <w:r>
        <w:rPr>
          <w:rFonts w:hint="eastAsia" w:ascii="宋体" w:hAnsi="宋体" w:eastAsia="宋体"/>
          <w:sz w:val="24"/>
        </w:rPr>
        <w:t>，</w:t>
      </w:r>
      <w:r>
        <w:rPr>
          <w:rFonts w:hint="default" w:ascii="Times New Roman" w:hAnsi="Times New Roman" w:eastAsia="Times New Roman"/>
          <w:sz w:val="24"/>
        </w:rPr>
        <w:t>300</w:t>
      </w:r>
      <w:r>
        <w:rPr>
          <w:rFonts w:hint="eastAsia" w:ascii="Times New Roman" w:hAnsi="Times New Roman"/>
          <w:sz w:val="24"/>
          <w:lang w:eastAsia="zh-CN"/>
        </w:rPr>
        <w:t>mg/L</w:t>
      </w:r>
      <w:r>
        <w:rPr>
          <w:rFonts w:hint="eastAsia" w:ascii="宋体" w:hAnsi="宋体" w:eastAsia="宋体"/>
          <w:sz w:val="24"/>
        </w:rPr>
        <w:t>，</w:t>
      </w:r>
      <w:r>
        <w:rPr>
          <w:rFonts w:hint="default" w:ascii="Times New Roman" w:hAnsi="Times New Roman" w:eastAsia="Times New Roman"/>
          <w:sz w:val="24"/>
        </w:rPr>
        <w:t>40</w:t>
      </w:r>
      <w:r>
        <w:rPr>
          <w:rFonts w:hint="eastAsia" w:ascii="Times New Roman" w:hAnsi="Times New Roman"/>
          <w:sz w:val="24"/>
          <w:lang w:eastAsia="zh-CN"/>
        </w:rPr>
        <w:t>mg/L</w:t>
      </w:r>
      <w:r>
        <w:rPr>
          <w:rFonts w:hint="eastAsia" w:ascii="宋体" w:hAnsi="宋体" w:eastAsia="宋体"/>
          <w:sz w:val="24"/>
        </w:rPr>
        <w:t>，</w:t>
      </w:r>
      <w:r>
        <w:rPr>
          <w:rFonts w:hint="default" w:ascii="Times New Roman" w:hAnsi="Times New Roman" w:eastAsia="Times New Roman"/>
          <w:sz w:val="24"/>
        </w:rPr>
        <w:t>20</w:t>
      </w:r>
      <w:r>
        <w:rPr>
          <w:rFonts w:hint="eastAsia" w:ascii="Times New Roman" w:hAnsi="Times New Roman"/>
          <w:sz w:val="24"/>
          <w:lang w:eastAsia="zh-CN"/>
        </w:rPr>
        <w:t>mg/L</w:t>
      </w:r>
      <w:r>
        <w:rPr>
          <w:rFonts w:hint="eastAsia" w:ascii="宋体" w:hAnsi="宋体" w:eastAsia="宋体"/>
          <w:sz w:val="24"/>
        </w:rPr>
        <w:t>。</w:t>
      </w:r>
    </w:p>
    <w:p>
      <w:pPr>
        <w:rPr>
          <w:rFonts w:hint="default"/>
          <w:vertAlign w:val="baseline"/>
          <w:lang w:val="en-US" w:eastAsia="zh-CN"/>
        </w:rPr>
      </w:pPr>
      <w:r>
        <w:rPr>
          <w:rFonts w:hint="eastAsia"/>
          <w:vertAlign w:val="baseline"/>
          <w:lang w:val="en-US" w:eastAsia="zh-CN"/>
        </w:rPr>
        <w:t>（3）食堂废水</w:t>
      </w:r>
    </w:p>
    <w:p>
      <w:pPr>
        <w:rPr>
          <w:rFonts w:hint="eastAsia"/>
          <w:vertAlign w:val="baseline"/>
          <w:lang w:val="en-US" w:eastAsia="zh-CN"/>
        </w:rPr>
      </w:pPr>
      <w:r>
        <w:rPr>
          <w:rFonts w:hint="eastAsia" w:ascii="宋体" w:hAnsi="宋体" w:eastAsia="宋体"/>
          <w:sz w:val="24"/>
        </w:rPr>
        <w:t>食堂废水中主要污染物为</w:t>
      </w:r>
      <w:r>
        <w:rPr>
          <w:rFonts w:hint="default" w:ascii="Times New Roman" w:hAnsi="Times New Roman" w:eastAsia="Times New Roman"/>
          <w:sz w:val="24"/>
        </w:rPr>
        <w:t>COD</w:t>
      </w:r>
      <w:r>
        <w:rPr>
          <w:rFonts w:hint="eastAsia" w:ascii="宋体" w:hAnsi="宋体" w:eastAsia="宋体"/>
          <w:sz w:val="24"/>
        </w:rPr>
        <w:t>、</w:t>
      </w:r>
      <w:r>
        <w:rPr>
          <w:rFonts w:hint="default" w:ascii="Times New Roman" w:hAnsi="Times New Roman" w:eastAsia="Times New Roman"/>
          <w:sz w:val="24"/>
        </w:rPr>
        <w:t>BOD</w:t>
      </w:r>
      <w:r>
        <w:rPr>
          <w:rFonts w:hint="default" w:ascii="Times New Roman" w:hAnsi="Times New Roman" w:eastAsia="Times New Roman"/>
          <w:sz w:val="16"/>
        </w:rPr>
        <w:t>5</w:t>
      </w:r>
      <w:r>
        <w:rPr>
          <w:rFonts w:hint="eastAsia" w:ascii="宋体" w:hAnsi="宋体" w:eastAsia="宋体"/>
          <w:sz w:val="24"/>
        </w:rPr>
        <w:t>、</w:t>
      </w:r>
      <w:r>
        <w:rPr>
          <w:rFonts w:hint="default" w:ascii="Times New Roman" w:hAnsi="Times New Roman" w:eastAsia="Times New Roman"/>
          <w:sz w:val="24"/>
        </w:rPr>
        <w:t>SS</w:t>
      </w:r>
      <w:r>
        <w:rPr>
          <w:rFonts w:hint="eastAsia" w:ascii="宋体" w:hAnsi="宋体" w:eastAsia="宋体"/>
          <w:sz w:val="24"/>
        </w:rPr>
        <w:t>、</w:t>
      </w:r>
      <w:r>
        <w:rPr>
          <w:rFonts w:hint="default" w:ascii="Times New Roman" w:hAnsi="Times New Roman" w:eastAsia="Times New Roman"/>
          <w:sz w:val="24"/>
        </w:rPr>
        <w:t>NH</w:t>
      </w:r>
      <w:r>
        <w:rPr>
          <w:rFonts w:hint="default" w:ascii="Times New Roman" w:hAnsi="Times New Roman" w:eastAsia="Times New Roman"/>
          <w:sz w:val="16"/>
        </w:rPr>
        <w:t>3</w:t>
      </w:r>
      <w:r>
        <w:rPr>
          <w:rFonts w:hint="default" w:ascii="Times New Roman" w:hAnsi="Times New Roman" w:eastAsia="Times New Roman"/>
          <w:sz w:val="24"/>
        </w:rPr>
        <w:t>-N</w:t>
      </w:r>
      <w:r>
        <w:rPr>
          <w:rFonts w:hint="eastAsia" w:ascii="宋体" w:hAnsi="宋体" w:eastAsia="宋体"/>
          <w:sz w:val="24"/>
        </w:rPr>
        <w:t>、动植物油，浓度分别为</w:t>
      </w:r>
      <w:r>
        <w:rPr>
          <w:rFonts w:hint="default" w:ascii="Times New Roman" w:hAnsi="Times New Roman" w:eastAsia="Times New Roman"/>
          <w:sz w:val="24"/>
        </w:rPr>
        <w:t>700</w:t>
      </w:r>
      <w:r>
        <w:rPr>
          <w:rFonts w:hint="eastAsia" w:ascii="Times New Roman" w:hAnsi="Times New Roman"/>
          <w:sz w:val="24"/>
          <w:lang w:eastAsia="zh-CN"/>
        </w:rPr>
        <w:t>mg/L</w:t>
      </w:r>
      <w:r>
        <w:rPr>
          <w:rFonts w:hint="eastAsia" w:ascii="宋体" w:hAnsi="宋体" w:eastAsia="宋体"/>
          <w:sz w:val="24"/>
        </w:rPr>
        <w:t>，</w:t>
      </w:r>
      <w:r>
        <w:rPr>
          <w:rFonts w:hint="default" w:ascii="Times New Roman" w:hAnsi="Times New Roman" w:eastAsia="Times New Roman"/>
          <w:sz w:val="24"/>
        </w:rPr>
        <w:t>420</w:t>
      </w:r>
      <w:r>
        <w:rPr>
          <w:rFonts w:hint="eastAsia" w:ascii="Times New Roman" w:hAnsi="Times New Roman"/>
          <w:sz w:val="24"/>
          <w:lang w:eastAsia="zh-CN"/>
        </w:rPr>
        <w:t>mg/L</w:t>
      </w:r>
      <w:r>
        <w:rPr>
          <w:rFonts w:hint="eastAsia" w:ascii="宋体" w:hAnsi="宋体" w:eastAsia="宋体"/>
          <w:sz w:val="24"/>
        </w:rPr>
        <w:t>，</w:t>
      </w:r>
      <w:r>
        <w:rPr>
          <w:rFonts w:hint="default" w:ascii="Times New Roman" w:hAnsi="Times New Roman" w:eastAsia="Times New Roman"/>
          <w:sz w:val="24"/>
        </w:rPr>
        <w:t>200</w:t>
      </w:r>
      <w:r>
        <w:rPr>
          <w:rFonts w:hint="eastAsia" w:ascii="Times New Roman" w:hAnsi="Times New Roman"/>
          <w:sz w:val="24"/>
          <w:lang w:eastAsia="zh-CN"/>
        </w:rPr>
        <w:t>mg/L</w:t>
      </w:r>
      <w:r>
        <w:rPr>
          <w:rFonts w:hint="eastAsia" w:ascii="宋体" w:hAnsi="宋体" w:eastAsia="宋体"/>
          <w:sz w:val="24"/>
        </w:rPr>
        <w:t>，</w:t>
      </w:r>
      <w:r>
        <w:rPr>
          <w:rFonts w:hint="default" w:ascii="Times New Roman" w:hAnsi="Times New Roman" w:eastAsia="Times New Roman"/>
          <w:sz w:val="24"/>
        </w:rPr>
        <w:t>30</w:t>
      </w:r>
      <w:r>
        <w:rPr>
          <w:rFonts w:hint="eastAsia" w:ascii="Times New Roman" w:hAnsi="Times New Roman"/>
          <w:sz w:val="24"/>
          <w:lang w:eastAsia="zh-CN"/>
        </w:rPr>
        <w:t>mg/L</w:t>
      </w:r>
      <w:r>
        <w:rPr>
          <w:rFonts w:hint="eastAsia" w:ascii="宋体" w:hAnsi="宋体" w:eastAsia="宋体"/>
          <w:sz w:val="24"/>
        </w:rPr>
        <w:t>，</w:t>
      </w:r>
      <w:r>
        <w:rPr>
          <w:rFonts w:hint="default" w:ascii="Times New Roman" w:hAnsi="Times New Roman" w:eastAsia="Times New Roman"/>
          <w:sz w:val="24"/>
        </w:rPr>
        <w:t>200</w:t>
      </w:r>
      <w:r>
        <w:rPr>
          <w:rFonts w:hint="eastAsia" w:ascii="Times New Roman" w:hAnsi="Times New Roman"/>
          <w:sz w:val="24"/>
          <w:lang w:eastAsia="zh-CN"/>
        </w:rPr>
        <w:t>mg/L</w:t>
      </w:r>
      <w:r>
        <w:rPr>
          <w:rFonts w:hint="eastAsia" w:ascii="宋体" w:hAnsi="宋体" w:eastAsia="宋体"/>
          <w:sz w:val="24"/>
        </w:rPr>
        <w:t>。</w:t>
      </w:r>
    </w:p>
    <w:p>
      <w:pPr>
        <w:rPr>
          <w:rFonts w:hint="default"/>
          <w:vertAlign w:val="baseline"/>
          <w:lang w:val="en-US" w:eastAsia="zh-CN"/>
        </w:rPr>
      </w:pPr>
      <w:r>
        <w:rPr>
          <w:rFonts w:hint="eastAsia"/>
          <w:vertAlign w:val="baseline"/>
          <w:lang w:val="en-US" w:eastAsia="zh-CN"/>
        </w:rPr>
        <w:t>各项废水水质情况见表3.4-2。</w:t>
      </w:r>
    </w:p>
    <w:p>
      <w:pPr>
        <w:pStyle w:val="29"/>
        <w:bidi w:val="0"/>
        <w:rPr>
          <w:rFonts w:hint="default"/>
        </w:rPr>
      </w:pPr>
      <w:r>
        <w:rPr>
          <w:rFonts w:hint="eastAsia"/>
          <w:lang w:val="en-US" w:eastAsia="zh-CN"/>
        </w:rPr>
        <w:t xml:space="preserve">表3.4-2  </w:t>
      </w:r>
      <w:r>
        <w:rPr>
          <w:rFonts w:hint="eastAsia"/>
        </w:rPr>
        <w:t>项目废水水质情况一览表</w:t>
      </w:r>
      <w:r>
        <w:rPr>
          <w:rFonts w:hint="eastAsia"/>
          <w:lang w:eastAsia="zh-CN"/>
        </w:rPr>
        <w:t>（</w:t>
      </w:r>
      <w:r>
        <w:rPr>
          <w:rFonts w:hint="eastAsia"/>
          <w:lang w:val="en-US" w:eastAsia="zh-CN"/>
        </w:rPr>
        <w:t>旺季</w:t>
      </w:r>
      <w:r>
        <w:rPr>
          <w:rFonts w:hint="eastAsia"/>
          <w:lang w:eastAsia="zh-CN"/>
        </w:rPr>
        <w:t>）</w:t>
      </w:r>
      <w:r>
        <w:rPr>
          <w:rFonts w:hint="eastAsia"/>
        </w:rPr>
        <w:t xml:space="preserve"> </w:t>
      </w:r>
      <w:r>
        <w:rPr>
          <w:rFonts w:hint="eastAsia"/>
          <w:lang w:val="en-US" w:eastAsia="zh-CN"/>
        </w:rPr>
        <w:t xml:space="preserve">   </w:t>
      </w:r>
      <w:r>
        <w:rPr>
          <w:rFonts w:hint="eastAsia"/>
        </w:rPr>
        <w:t>单位：</w:t>
      </w:r>
      <w:r>
        <w:rPr>
          <w:rFonts w:hint="default"/>
        </w:rPr>
        <w:t>mg/l</w:t>
      </w:r>
    </w:p>
    <w:tbl>
      <w:tblPr>
        <w:tblStyle w:val="23"/>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641"/>
        <w:gridCol w:w="2139"/>
        <w:gridCol w:w="893"/>
        <w:gridCol w:w="971"/>
        <w:gridCol w:w="1096"/>
        <w:gridCol w:w="848"/>
        <w:gridCol w:w="692"/>
        <w:gridCol w:w="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 w:type="pc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序号</w:t>
            </w:r>
          </w:p>
        </w:tc>
        <w:tc>
          <w:tcPr>
            <w:tcW w:w="853" w:type="pc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类别</w:t>
            </w:r>
          </w:p>
        </w:tc>
        <w:tc>
          <w:tcPr>
            <w:tcW w:w="1112" w:type="pct"/>
            <w:tcBorders>
              <w:tl2br w:val="nil"/>
              <w:tr2bl w:val="nil"/>
            </w:tcBorders>
            <w:vAlign w:val="center"/>
          </w:tcPr>
          <w:p>
            <w:pPr>
              <w:pStyle w:val="30"/>
              <w:widowControl w:val="0"/>
              <w:bidi w:val="0"/>
              <w:jc w:val="center"/>
              <w:rPr>
                <w:rFonts w:hint="eastAsia"/>
                <w:b/>
                <w:bCs/>
                <w:lang w:val="en-US" w:eastAsia="zh-CN"/>
              </w:rPr>
            </w:pPr>
            <w:r>
              <w:rPr>
                <w:rFonts w:hint="eastAsia"/>
                <w:b/>
                <w:bCs/>
                <w:lang w:val="en-US" w:eastAsia="zh-CN"/>
              </w:rPr>
              <w:t>废水量</w:t>
            </w:r>
          </w:p>
          <w:p>
            <w:pPr>
              <w:pStyle w:val="30"/>
              <w:widowControl w:val="0"/>
              <w:bidi w:val="0"/>
              <w:jc w:val="center"/>
              <w:rPr>
                <w:rFonts w:hint="default"/>
                <w:b/>
                <w:bCs/>
                <w:lang w:val="en-US" w:eastAsia="zh-CN"/>
              </w:rPr>
            </w:pPr>
            <w:r>
              <w:rPr>
                <w:rFonts w:hint="eastAsia"/>
                <w:b/>
                <w:bCs/>
                <w:lang w:val="en-US" w:eastAsia="zh-CN"/>
              </w:rPr>
              <w:t>（旺季值）</w:t>
            </w:r>
          </w:p>
        </w:tc>
        <w:tc>
          <w:tcPr>
            <w:tcW w:w="464" w:type="pc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COD</w:t>
            </w:r>
          </w:p>
        </w:tc>
        <w:tc>
          <w:tcPr>
            <w:tcW w:w="505" w:type="pct"/>
            <w:tcBorders>
              <w:tl2br w:val="nil"/>
              <w:tr2bl w:val="nil"/>
            </w:tcBorders>
            <w:vAlign w:val="center"/>
          </w:tcPr>
          <w:p>
            <w:pPr>
              <w:pStyle w:val="30"/>
              <w:widowControl w:val="0"/>
              <w:bidi w:val="0"/>
              <w:jc w:val="center"/>
              <w:rPr>
                <w:rFonts w:hint="default"/>
                <w:b/>
                <w:bCs/>
                <w:lang w:val="en-US" w:eastAsia="zh-CN"/>
              </w:rPr>
            </w:pPr>
            <w:r>
              <w:rPr>
                <w:rFonts w:hint="default" w:ascii="Times New Roman" w:hAnsi="Times New Roman" w:eastAsia="Times New Roman"/>
                <w:b/>
                <w:bCs/>
                <w:sz w:val="24"/>
              </w:rPr>
              <w:t>BOD</w:t>
            </w:r>
            <w:r>
              <w:rPr>
                <w:rFonts w:hint="default" w:ascii="Times New Roman" w:hAnsi="Times New Roman" w:eastAsia="Times New Roman"/>
                <w:b/>
                <w:bCs/>
                <w:sz w:val="16"/>
              </w:rPr>
              <w:t>5</w:t>
            </w:r>
          </w:p>
        </w:tc>
        <w:tc>
          <w:tcPr>
            <w:tcW w:w="570" w:type="pct"/>
            <w:tcBorders>
              <w:tl2br w:val="nil"/>
              <w:tr2bl w:val="nil"/>
            </w:tcBorders>
            <w:vAlign w:val="center"/>
          </w:tcPr>
          <w:p>
            <w:pPr>
              <w:pStyle w:val="30"/>
              <w:widowControl w:val="0"/>
              <w:bidi w:val="0"/>
              <w:jc w:val="center"/>
              <w:rPr>
                <w:rFonts w:hint="default"/>
                <w:b/>
                <w:bCs/>
                <w:lang w:val="en-US" w:eastAsia="zh-CN"/>
              </w:rPr>
            </w:pPr>
            <w:r>
              <w:rPr>
                <w:rFonts w:hint="default" w:ascii="Times New Roman" w:hAnsi="Times New Roman" w:eastAsia="Times New Roman"/>
                <w:b/>
                <w:bCs/>
                <w:sz w:val="24"/>
              </w:rPr>
              <w:t>NH</w:t>
            </w:r>
            <w:r>
              <w:rPr>
                <w:rFonts w:hint="default" w:ascii="Times New Roman" w:hAnsi="Times New Roman" w:eastAsia="Times New Roman"/>
                <w:b/>
                <w:bCs/>
                <w:sz w:val="16"/>
              </w:rPr>
              <w:t>3</w:t>
            </w:r>
            <w:r>
              <w:rPr>
                <w:rFonts w:hint="default" w:ascii="Times New Roman" w:hAnsi="Times New Roman" w:eastAsia="Times New Roman"/>
                <w:b/>
                <w:bCs/>
                <w:sz w:val="24"/>
              </w:rPr>
              <w:t>-N</w:t>
            </w:r>
          </w:p>
        </w:tc>
        <w:tc>
          <w:tcPr>
            <w:tcW w:w="441" w:type="pct"/>
            <w:tcBorders>
              <w:tl2br w:val="nil"/>
              <w:tr2bl w:val="nil"/>
            </w:tcBorders>
            <w:vAlign w:val="center"/>
          </w:tcPr>
          <w:p>
            <w:pPr>
              <w:pStyle w:val="30"/>
              <w:widowControl w:val="0"/>
              <w:bidi w:val="0"/>
              <w:jc w:val="center"/>
              <w:rPr>
                <w:rFonts w:hint="default"/>
                <w:b/>
                <w:bCs/>
                <w:lang w:val="en-US" w:eastAsia="zh-CN"/>
              </w:rPr>
            </w:pPr>
            <w:r>
              <w:rPr>
                <w:rFonts w:hint="default" w:ascii="Times New Roman" w:hAnsi="Times New Roman" w:eastAsia="Times New Roman"/>
                <w:b/>
                <w:bCs/>
                <w:sz w:val="24"/>
              </w:rPr>
              <w:t>SS</w:t>
            </w:r>
          </w:p>
        </w:tc>
        <w:tc>
          <w:tcPr>
            <w:tcW w:w="360"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b/>
                <w:bCs/>
                <w:kern w:val="2"/>
                <w:sz w:val="21"/>
                <w:lang w:val="en-US" w:eastAsia="zh-CN"/>
              </w:rPr>
            </w:pPr>
            <w:r>
              <w:rPr>
                <w:rFonts w:hint="eastAsia"/>
                <w:b/>
                <w:bCs/>
                <w:lang w:val="en-US" w:eastAsia="zh-CN"/>
              </w:rPr>
              <w:t>TP</w:t>
            </w:r>
          </w:p>
        </w:tc>
        <w:tc>
          <w:tcPr>
            <w:tcW w:w="411" w:type="pc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853"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屠宰废水</w:t>
            </w:r>
          </w:p>
        </w:tc>
        <w:tc>
          <w:tcPr>
            <w:tcW w:w="1112" w:type="pct"/>
            <w:tcBorders>
              <w:tl2br w:val="nil"/>
              <w:tr2bl w:val="nil"/>
            </w:tcBorders>
            <w:vAlign w:val="center"/>
          </w:tcPr>
          <w:p>
            <w:pPr>
              <w:pStyle w:val="30"/>
              <w:widowControl w:val="0"/>
              <w:bidi w:val="0"/>
              <w:ind w:firstLine="0" w:firstLineChars="0"/>
              <w:jc w:val="center"/>
              <w:rPr>
                <w:rFonts w:hint="default"/>
                <w:lang w:val="en-US" w:eastAsia="zh-CN"/>
              </w:rPr>
            </w:pPr>
            <w:r>
              <w:rPr>
                <w:rFonts w:hint="eastAsia"/>
                <w:lang w:val="en-US" w:eastAsia="zh-CN"/>
              </w:rPr>
              <w:t>658.3（含宰牛）</w:t>
            </w:r>
          </w:p>
        </w:tc>
        <w:tc>
          <w:tcPr>
            <w:tcW w:w="464" w:type="pct"/>
            <w:vMerge w:val="restart"/>
            <w:tcBorders>
              <w:tl2br w:val="nil"/>
              <w:tr2bl w:val="nil"/>
            </w:tcBorders>
            <w:vAlign w:val="center"/>
          </w:tcPr>
          <w:p>
            <w:pPr>
              <w:pStyle w:val="30"/>
              <w:widowControl w:val="0"/>
              <w:bidi w:val="0"/>
              <w:ind w:firstLine="0" w:firstLineChars="0"/>
              <w:jc w:val="center"/>
              <w:rPr>
                <w:rFonts w:hint="default"/>
                <w:lang w:val="en-US" w:eastAsia="zh-CN"/>
              </w:rPr>
            </w:pPr>
            <w:r>
              <w:rPr>
                <w:rFonts w:hint="eastAsia"/>
                <w:lang w:val="en-US" w:eastAsia="zh-CN"/>
              </w:rPr>
              <w:t>2100</w:t>
            </w:r>
          </w:p>
        </w:tc>
        <w:tc>
          <w:tcPr>
            <w:tcW w:w="505"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1000</w:t>
            </w:r>
          </w:p>
        </w:tc>
        <w:tc>
          <w:tcPr>
            <w:tcW w:w="570"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150</w:t>
            </w:r>
          </w:p>
        </w:tc>
        <w:tc>
          <w:tcPr>
            <w:tcW w:w="441"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1200</w:t>
            </w:r>
          </w:p>
        </w:tc>
        <w:tc>
          <w:tcPr>
            <w:tcW w:w="360" w:type="pct"/>
            <w:vMerge w:val="restart"/>
            <w:tcBorders>
              <w:tl2br w:val="nil"/>
              <w:tr2bl w:val="nil"/>
            </w:tcBorders>
            <w:vAlign w:val="center"/>
          </w:tcPr>
          <w:p>
            <w:pPr>
              <w:pStyle w:val="30"/>
              <w:widowControl w:val="0"/>
              <w:bidi w:val="0"/>
              <w:ind w:firstLine="0" w:firstLineChars="0"/>
              <w:jc w:val="center"/>
              <w:rPr>
                <w:rFonts w:hint="default"/>
                <w:lang w:val="en-US" w:eastAsia="zh-CN"/>
              </w:rPr>
            </w:pPr>
            <w:r>
              <w:rPr>
                <w:rFonts w:hint="eastAsia"/>
                <w:lang w:val="en-US" w:eastAsia="zh-CN"/>
              </w:rPr>
              <w:t>30</w:t>
            </w:r>
          </w:p>
        </w:tc>
        <w:tc>
          <w:tcPr>
            <w:tcW w:w="411"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 w:type="pc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2</w:t>
            </w:r>
          </w:p>
        </w:tc>
        <w:tc>
          <w:tcPr>
            <w:tcW w:w="853" w:type="pct"/>
            <w:vMerge w:val="continue"/>
            <w:tcBorders>
              <w:tl2br w:val="nil"/>
              <w:tr2bl w:val="nil"/>
            </w:tcBorders>
            <w:vAlign w:val="center"/>
          </w:tcPr>
          <w:p>
            <w:pPr>
              <w:pStyle w:val="30"/>
              <w:widowControl w:val="0"/>
              <w:bidi w:val="0"/>
              <w:jc w:val="center"/>
              <w:rPr>
                <w:rFonts w:hint="eastAsia"/>
                <w:lang w:val="en-US" w:eastAsia="zh-CN"/>
              </w:rPr>
            </w:pPr>
          </w:p>
        </w:tc>
        <w:tc>
          <w:tcPr>
            <w:tcW w:w="1112" w:type="pct"/>
            <w:tcBorders>
              <w:tl2br w:val="nil"/>
              <w:tr2bl w:val="nil"/>
            </w:tcBorders>
            <w:vAlign w:val="center"/>
          </w:tcPr>
          <w:p>
            <w:pPr>
              <w:pStyle w:val="30"/>
              <w:widowControl w:val="0"/>
              <w:bidi w:val="0"/>
              <w:ind w:firstLine="0" w:firstLineChars="0"/>
              <w:jc w:val="center"/>
              <w:rPr>
                <w:rFonts w:hint="default"/>
                <w:lang w:val="en-US" w:eastAsia="zh-CN"/>
              </w:rPr>
            </w:pPr>
            <w:r>
              <w:rPr>
                <w:rFonts w:hint="eastAsia"/>
                <w:lang w:val="en-US" w:eastAsia="zh-CN"/>
              </w:rPr>
              <w:t>553.3（不含宰牛）</w:t>
            </w:r>
          </w:p>
        </w:tc>
        <w:tc>
          <w:tcPr>
            <w:tcW w:w="464" w:type="pct"/>
            <w:vMerge w:val="continue"/>
            <w:tcBorders>
              <w:tl2br w:val="nil"/>
              <w:tr2bl w:val="nil"/>
            </w:tcBorders>
            <w:vAlign w:val="center"/>
          </w:tcPr>
          <w:p>
            <w:pPr>
              <w:pStyle w:val="30"/>
              <w:widowControl w:val="0"/>
              <w:bidi w:val="0"/>
              <w:ind w:firstLine="0" w:firstLineChars="0"/>
              <w:jc w:val="center"/>
              <w:rPr>
                <w:rFonts w:hint="eastAsia"/>
                <w:lang w:val="en-US" w:eastAsia="zh-CN"/>
              </w:rPr>
            </w:pPr>
          </w:p>
        </w:tc>
        <w:tc>
          <w:tcPr>
            <w:tcW w:w="505" w:type="pct"/>
            <w:vMerge w:val="continue"/>
            <w:tcBorders>
              <w:tl2br w:val="nil"/>
              <w:tr2bl w:val="nil"/>
            </w:tcBorders>
            <w:vAlign w:val="center"/>
          </w:tcPr>
          <w:p>
            <w:pPr>
              <w:pStyle w:val="30"/>
              <w:widowControl w:val="0"/>
              <w:bidi w:val="0"/>
              <w:jc w:val="center"/>
              <w:rPr>
                <w:rFonts w:hint="eastAsia"/>
                <w:lang w:val="en-US" w:eastAsia="zh-CN"/>
              </w:rPr>
            </w:pPr>
          </w:p>
        </w:tc>
        <w:tc>
          <w:tcPr>
            <w:tcW w:w="570" w:type="pct"/>
            <w:vMerge w:val="continue"/>
            <w:tcBorders>
              <w:tl2br w:val="nil"/>
              <w:tr2bl w:val="nil"/>
            </w:tcBorders>
            <w:vAlign w:val="center"/>
          </w:tcPr>
          <w:p>
            <w:pPr>
              <w:pStyle w:val="30"/>
              <w:widowControl w:val="0"/>
              <w:bidi w:val="0"/>
              <w:jc w:val="center"/>
              <w:rPr>
                <w:rFonts w:hint="eastAsia"/>
                <w:lang w:val="en-US" w:eastAsia="zh-CN"/>
              </w:rPr>
            </w:pPr>
          </w:p>
        </w:tc>
        <w:tc>
          <w:tcPr>
            <w:tcW w:w="441" w:type="pct"/>
            <w:vMerge w:val="continue"/>
            <w:tcBorders>
              <w:tl2br w:val="nil"/>
              <w:tr2bl w:val="nil"/>
            </w:tcBorders>
            <w:vAlign w:val="center"/>
          </w:tcPr>
          <w:p>
            <w:pPr>
              <w:pStyle w:val="30"/>
              <w:widowControl w:val="0"/>
              <w:bidi w:val="0"/>
              <w:jc w:val="center"/>
              <w:rPr>
                <w:rFonts w:hint="eastAsia"/>
                <w:lang w:val="en-US" w:eastAsia="zh-CN"/>
              </w:rPr>
            </w:pPr>
          </w:p>
        </w:tc>
        <w:tc>
          <w:tcPr>
            <w:tcW w:w="360" w:type="pct"/>
            <w:vMerge w:val="continue"/>
            <w:tcBorders>
              <w:tl2br w:val="nil"/>
              <w:tr2bl w:val="nil"/>
            </w:tcBorders>
            <w:vAlign w:val="center"/>
          </w:tcPr>
          <w:p>
            <w:pPr>
              <w:pStyle w:val="30"/>
              <w:widowControl w:val="0"/>
              <w:bidi w:val="0"/>
              <w:ind w:firstLine="0" w:firstLineChars="0"/>
              <w:jc w:val="center"/>
              <w:rPr>
                <w:rFonts w:hint="eastAsia"/>
                <w:lang w:val="en-US" w:eastAsia="zh-CN"/>
              </w:rPr>
            </w:pPr>
          </w:p>
        </w:tc>
        <w:tc>
          <w:tcPr>
            <w:tcW w:w="411" w:type="pct"/>
            <w:vMerge w:val="continue"/>
            <w:tcBorders>
              <w:tl2br w:val="nil"/>
              <w:tr2bl w:val="nil"/>
            </w:tcBorders>
            <w:vAlign w:val="center"/>
          </w:tcPr>
          <w:p>
            <w:pPr>
              <w:pStyle w:val="30"/>
              <w:widowControl w:val="0"/>
              <w:bidi w:val="0"/>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3</w:t>
            </w:r>
          </w:p>
        </w:tc>
        <w:tc>
          <w:tcPr>
            <w:tcW w:w="853" w:type="pct"/>
            <w:tcBorders>
              <w:tl2br w:val="nil"/>
              <w:tr2bl w:val="nil"/>
            </w:tcBorders>
            <w:vAlign w:val="center"/>
          </w:tcPr>
          <w:p>
            <w:pPr>
              <w:pStyle w:val="30"/>
              <w:widowControl w:val="0"/>
              <w:bidi w:val="0"/>
              <w:jc w:val="center"/>
              <w:rPr>
                <w:rFonts w:hint="default"/>
                <w:lang w:val="en-US" w:eastAsia="zh-CN"/>
              </w:rPr>
            </w:pPr>
            <w:r>
              <w:rPr>
                <w:rFonts w:hint="eastAsia"/>
                <w:vertAlign w:val="baseline"/>
                <w:lang w:val="en-US" w:eastAsia="zh-CN"/>
              </w:rPr>
              <w:t>进出车辆冲洗</w:t>
            </w:r>
          </w:p>
        </w:tc>
        <w:tc>
          <w:tcPr>
            <w:tcW w:w="111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1.8</w:t>
            </w:r>
          </w:p>
        </w:tc>
        <w:tc>
          <w:tcPr>
            <w:tcW w:w="46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500</w:t>
            </w:r>
          </w:p>
        </w:tc>
        <w:tc>
          <w:tcPr>
            <w:tcW w:w="505"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200</w:t>
            </w:r>
          </w:p>
        </w:tc>
        <w:tc>
          <w:tcPr>
            <w:tcW w:w="57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20</w:t>
            </w:r>
          </w:p>
        </w:tc>
        <w:tc>
          <w:tcPr>
            <w:tcW w:w="44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300</w:t>
            </w:r>
          </w:p>
        </w:tc>
        <w:tc>
          <w:tcPr>
            <w:tcW w:w="36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w:t>
            </w:r>
          </w:p>
        </w:tc>
        <w:tc>
          <w:tcPr>
            <w:tcW w:w="41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 w:type="pct"/>
            <w:tcBorders>
              <w:tl2br w:val="nil"/>
              <w:tr2bl w:val="nil"/>
            </w:tcBorders>
            <w:vAlign w:val="center"/>
          </w:tcPr>
          <w:p>
            <w:pPr>
              <w:pStyle w:val="30"/>
              <w:widowControl w:val="0"/>
              <w:bidi w:val="0"/>
              <w:ind w:firstLine="0" w:firstLineChars="0"/>
              <w:jc w:val="center"/>
              <w:rPr>
                <w:rFonts w:hint="default"/>
                <w:lang w:val="en-US" w:eastAsia="zh-CN"/>
              </w:rPr>
            </w:pPr>
            <w:r>
              <w:rPr>
                <w:rFonts w:hint="eastAsia"/>
                <w:lang w:val="en-US" w:eastAsia="zh-CN"/>
              </w:rPr>
              <w:t>4</w:t>
            </w:r>
          </w:p>
        </w:tc>
        <w:tc>
          <w:tcPr>
            <w:tcW w:w="853" w:type="pct"/>
            <w:tcBorders>
              <w:tl2br w:val="nil"/>
              <w:tr2bl w:val="nil"/>
            </w:tcBorders>
            <w:vAlign w:val="center"/>
          </w:tcPr>
          <w:p>
            <w:pPr>
              <w:pStyle w:val="30"/>
              <w:widowControl w:val="0"/>
              <w:bidi w:val="0"/>
              <w:jc w:val="center"/>
              <w:rPr>
                <w:rFonts w:hint="default"/>
                <w:vertAlign w:val="baseline"/>
                <w:lang w:val="en-US" w:eastAsia="zh-CN"/>
              </w:rPr>
            </w:pPr>
            <w:r>
              <w:rPr>
                <w:rFonts w:hint="eastAsia"/>
                <w:vertAlign w:val="baseline"/>
                <w:lang w:val="en-US" w:eastAsia="zh-CN"/>
              </w:rPr>
              <w:t>洗涤塔废水</w:t>
            </w:r>
          </w:p>
        </w:tc>
        <w:tc>
          <w:tcPr>
            <w:tcW w:w="111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20</w:t>
            </w:r>
          </w:p>
        </w:tc>
        <w:tc>
          <w:tcPr>
            <w:tcW w:w="46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1800</w:t>
            </w:r>
          </w:p>
        </w:tc>
        <w:tc>
          <w:tcPr>
            <w:tcW w:w="505"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w:t>
            </w:r>
          </w:p>
        </w:tc>
        <w:tc>
          <w:tcPr>
            <w:tcW w:w="57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300</w:t>
            </w:r>
          </w:p>
        </w:tc>
        <w:tc>
          <w:tcPr>
            <w:tcW w:w="44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w:t>
            </w:r>
          </w:p>
        </w:tc>
        <w:tc>
          <w:tcPr>
            <w:tcW w:w="36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w:t>
            </w:r>
          </w:p>
        </w:tc>
        <w:tc>
          <w:tcPr>
            <w:tcW w:w="41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3" w:type="pct"/>
            <w:gridSpan w:val="2"/>
            <w:vMerge w:val="restart"/>
            <w:tcBorders>
              <w:tl2br w:val="nil"/>
              <w:tr2bl w:val="nil"/>
            </w:tcBorders>
            <w:vAlign w:val="center"/>
          </w:tcPr>
          <w:p>
            <w:pPr>
              <w:pStyle w:val="30"/>
              <w:widowControl w:val="0"/>
              <w:bidi w:val="0"/>
              <w:jc w:val="center"/>
              <w:rPr>
                <w:rFonts w:hint="default"/>
                <w:vertAlign w:val="baseline"/>
                <w:lang w:val="en-US" w:eastAsia="zh-CN"/>
              </w:rPr>
            </w:pPr>
            <w:r>
              <w:rPr>
                <w:rFonts w:hint="eastAsia"/>
                <w:vertAlign w:val="baseline"/>
                <w:lang w:val="en-US" w:eastAsia="zh-CN"/>
              </w:rPr>
              <w:t>生产废水小计</w:t>
            </w:r>
          </w:p>
        </w:tc>
        <w:tc>
          <w:tcPr>
            <w:tcW w:w="111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680.1（含宰牛）</w:t>
            </w:r>
          </w:p>
        </w:tc>
        <w:tc>
          <w:tcPr>
            <w:tcW w:w="464"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2087 </w:t>
            </w:r>
          </w:p>
        </w:tc>
        <w:tc>
          <w:tcPr>
            <w:tcW w:w="505"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968 </w:t>
            </w:r>
          </w:p>
        </w:tc>
        <w:tc>
          <w:tcPr>
            <w:tcW w:w="570"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154 </w:t>
            </w:r>
          </w:p>
        </w:tc>
        <w:tc>
          <w:tcPr>
            <w:tcW w:w="441"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1162 </w:t>
            </w:r>
          </w:p>
        </w:tc>
        <w:tc>
          <w:tcPr>
            <w:tcW w:w="360"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29 </w:t>
            </w:r>
          </w:p>
        </w:tc>
        <w:tc>
          <w:tcPr>
            <w:tcW w:w="411"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145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3" w:type="pct"/>
            <w:gridSpan w:val="2"/>
            <w:vMerge w:val="continue"/>
            <w:tcBorders>
              <w:tl2br w:val="nil"/>
              <w:tr2bl w:val="nil"/>
            </w:tcBorders>
            <w:vAlign w:val="center"/>
          </w:tcPr>
          <w:p>
            <w:pPr>
              <w:pStyle w:val="30"/>
              <w:widowControl w:val="0"/>
              <w:bidi w:val="0"/>
              <w:jc w:val="center"/>
              <w:rPr>
                <w:rFonts w:hint="eastAsia"/>
                <w:vertAlign w:val="baseline"/>
                <w:lang w:val="en-US" w:eastAsia="zh-CN"/>
              </w:rPr>
            </w:pPr>
          </w:p>
        </w:tc>
        <w:tc>
          <w:tcPr>
            <w:tcW w:w="1112" w:type="pct"/>
            <w:tcBorders>
              <w:tl2br w:val="nil"/>
              <w:tr2bl w:val="nil"/>
            </w:tcBorders>
            <w:vAlign w:val="center"/>
          </w:tcPr>
          <w:p>
            <w:pPr>
              <w:pStyle w:val="30"/>
              <w:widowControl w:val="0"/>
              <w:bidi w:val="0"/>
              <w:ind w:firstLine="0" w:firstLineChars="0"/>
              <w:jc w:val="center"/>
              <w:rPr>
                <w:rFonts w:hint="eastAsia"/>
                <w:lang w:val="en-US" w:eastAsia="zh-CN"/>
              </w:rPr>
            </w:pPr>
            <w:r>
              <w:rPr>
                <w:rFonts w:hint="eastAsia"/>
                <w:lang w:val="en-US" w:eastAsia="zh-CN"/>
              </w:rPr>
              <w:t>575.1（不含宰牛）</w:t>
            </w:r>
          </w:p>
        </w:tc>
        <w:tc>
          <w:tcPr>
            <w:tcW w:w="464"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2085 </w:t>
            </w:r>
          </w:p>
        </w:tc>
        <w:tc>
          <w:tcPr>
            <w:tcW w:w="505"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963 </w:t>
            </w:r>
          </w:p>
        </w:tc>
        <w:tc>
          <w:tcPr>
            <w:tcW w:w="570"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155 </w:t>
            </w:r>
          </w:p>
        </w:tc>
        <w:tc>
          <w:tcPr>
            <w:tcW w:w="441"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1155 </w:t>
            </w:r>
          </w:p>
        </w:tc>
        <w:tc>
          <w:tcPr>
            <w:tcW w:w="360"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29 </w:t>
            </w:r>
          </w:p>
        </w:tc>
        <w:tc>
          <w:tcPr>
            <w:tcW w:w="411"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144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4</w:t>
            </w:r>
          </w:p>
        </w:tc>
        <w:tc>
          <w:tcPr>
            <w:tcW w:w="853"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员工</w:t>
            </w:r>
          </w:p>
        </w:tc>
        <w:tc>
          <w:tcPr>
            <w:tcW w:w="111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2.0</w:t>
            </w:r>
          </w:p>
        </w:tc>
        <w:tc>
          <w:tcPr>
            <w:tcW w:w="46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350</w:t>
            </w:r>
          </w:p>
        </w:tc>
        <w:tc>
          <w:tcPr>
            <w:tcW w:w="505"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250</w:t>
            </w:r>
          </w:p>
        </w:tc>
        <w:tc>
          <w:tcPr>
            <w:tcW w:w="57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40</w:t>
            </w:r>
          </w:p>
        </w:tc>
        <w:tc>
          <w:tcPr>
            <w:tcW w:w="44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300</w:t>
            </w:r>
          </w:p>
        </w:tc>
        <w:tc>
          <w:tcPr>
            <w:tcW w:w="36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w:t>
            </w:r>
          </w:p>
        </w:tc>
        <w:tc>
          <w:tcPr>
            <w:tcW w:w="41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w:t>
            </w:r>
          </w:p>
        </w:tc>
        <w:tc>
          <w:tcPr>
            <w:tcW w:w="853"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食堂用水</w:t>
            </w:r>
          </w:p>
        </w:tc>
        <w:tc>
          <w:tcPr>
            <w:tcW w:w="111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0.8</w:t>
            </w:r>
          </w:p>
        </w:tc>
        <w:tc>
          <w:tcPr>
            <w:tcW w:w="46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700</w:t>
            </w:r>
          </w:p>
        </w:tc>
        <w:tc>
          <w:tcPr>
            <w:tcW w:w="505"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420</w:t>
            </w:r>
          </w:p>
        </w:tc>
        <w:tc>
          <w:tcPr>
            <w:tcW w:w="57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30</w:t>
            </w:r>
          </w:p>
        </w:tc>
        <w:tc>
          <w:tcPr>
            <w:tcW w:w="44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20</w:t>
            </w:r>
          </w:p>
        </w:tc>
        <w:tc>
          <w:tcPr>
            <w:tcW w:w="36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w:t>
            </w:r>
          </w:p>
        </w:tc>
        <w:tc>
          <w:tcPr>
            <w:tcW w:w="41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3" w:type="pct"/>
            <w:gridSpan w:val="2"/>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生活污水小计</w:t>
            </w:r>
          </w:p>
        </w:tc>
        <w:tc>
          <w:tcPr>
            <w:tcW w:w="111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2.8</w:t>
            </w:r>
          </w:p>
        </w:tc>
        <w:tc>
          <w:tcPr>
            <w:tcW w:w="464" w:type="pc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450</w:t>
            </w:r>
          </w:p>
        </w:tc>
        <w:tc>
          <w:tcPr>
            <w:tcW w:w="505"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299</w:t>
            </w:r>
          </w:p>
        </w:tc>
        <w:tc>
          <w:tcPr>
            <w:tcW w:w="570" w:type="pc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37</w:t>
            </w:r>
          </w:p>
        </w:tc>
        <w:tc>
          <w:tcPr>
            <w:tcW w:w="441" w:type="pc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220</w:t>
            </w:r>
          </w:p>
        </w:tc>
        <w:tc>
          <w:tcPr>
            <w:tcW w:w="360" w:type="pct"/>
            <w:tcBorders>
              <w:tl2br w:val="nil"/>
              <w:tr2bl w:val="nil"/>
            </w:tcBorders>
            <w:vAlign w:val="center"/>
          </w:tcPr>
          <w:p>
            <w:pPr>
              <w:pStyle w:val="30"/>
              <w:widowControl w:val="0"/>
              <w:bidi w:val="0"/>
              <w:ind w:firstLine="0" w:firstLineChars="0"/>
              <w:jc w:val="center"/>
              <w:rPr>
                <w:rFonts w:hint="eastAsia"/>
                <w:lang w:val="en-US" w:eastAsia="zh-CN"/>
              </w:rPr>
            </w:pPr>
            <w:r>
              <w:rPr>
                <w:rFonts w:hint="eastAsia"/>
                <w:lang w:val="en-US" w:eastAsia="zh-CN"/>
              </w:rPr>
              <w:t>/</w:t>
            </w:r>
          </w:p>
        </w:tc>
        <w:tc>
          <w:tcPr>
            <w:tcW w:w="411" w:type="pc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3" w:type="pct"/>
            <w:gridSpan w:val="2"/>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厂区综合废水总计</w:t>
            </w:r>
          </w:p>
        </w:tc>
        <w:tc>
          <w:tcPr>
            <w:tcW w:w="1112" w:type="pc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682.9（含宰牛）</w:t>
            </w:r>
          </w:p>
        </w:tc>
        <w:tc>
          <w:tcPr>
            <w:tcW w:w="464" w:type="pct"/>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 xml:space="preserve">2080 </w:t>
            </w:r>
          </w:p>
        </w:tc>
        <w:tc>
          <w:tcPr>
            <w:tcW w:w="505" w:type="pct"/>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 xml:space="preserve">965 </w:t>
            </w:r>
          </w:p>
        </w:tc>
        <w:tc>
          <w:tcPr>
            <w:tcW w:w="570" w:type="pct"/>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 xml:space="preserve">154 </w:t>
            </w:r>
          </w:p>
        </w:tc>
        <w:tc>
          <w:tcPr>
            <w:tcW w:w="441" w:type="pct"/>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 xml:space="preserve">1158 </w:t>
            </w:r>
          </w:p>
        </w:tc>
        <w:tc>
          <w:tcPr>
            <w:tcW w:w="360" w:type="pct"/>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 xml:space="preserve">29 </w:t>
            </w:r>
          </w:p>
        </w:tc>
        <w:tc>
          <w:tcPr>
            <w:tcW w:w="411" w:type="pct"/>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 xml:space="preserve">145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3" w:type="pct"/>
            <w:gridSpan w:val="2"/>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111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577.9（不含宰牛）</w:t>
            </w:r>
          </w:p>
        </w:tc>
        <w:tc>
          <w:tcPr>
            <w:tcW w:w="464"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2077 </w:t>
            </w:r>
          </w:p>
        </w:tc>
        <w:tc>
          <w:tcPr>
            <w:tcW w:w="505"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960 </w:t>
            </w:r>
          </w:p>
        </w:tc>
        <w:tc>
          <w:tcPr>
            <w:tcW w:w="570"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154 </w:t>
            </w:r>
          </w:p>
        </w:tc>
        <w:tc>
          <w:tcPr>
            <w:tcW w:w="441"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1150 </w:t>
            </w:r>
          </w:p>
        </w:tc>
        <w:tc>
          <w:tcPr>
            <w:tcW w:w="360"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29 </w:t>
            </w:r>
          </w:p>
        </w:tc>
        <w:tc>
          <w:tcPr>
            <w:tcW w:w="411" w:type="pct"/>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144 </w:t>
            </w:r>
          </w:p>
        </w:tc>
      </w:tr>
    </w:tbl>
    <w:p>
      <w:pPr>
        <w:pStyle w:val="6"/>
        <w:bidi w:val="0"/>
        <w:rPr>
          <w:rFonts w:hint="default"/>
          <w:lang w:val="en-US" w:eastAsia="zh-CN"/>
        </w:rPr>
      </w:pPr>
      <w:r>
        <w:rPr>
          <w:rFonts w:hint="eastAsia"/>
          <w:lang w:val="en-US" w:eastAsia="zh-CN"/>
        </w:rPr>
        <w:t>初期雨水</w:t>
      </w:r>
    </w:p>
    <w:p>
      <w:pPr>
        <w:bidi w:val="0"/>
        <w:rPr>
          <w:rFonts w:hint="eastAsia"/>
          <w:lang w:val="en-US" w:eastAsia="zh-CN"/>
        </w:rPr>
      </w:pPr>
      <w:r>
        <w:rPr>
          <w:rFonts w:hint="eastAsia"/>
        </w:rPr>
        <w:t>本项目在实际生产过程中，难免会有少量物料散落在地面，随着雨水的冲刷，各类污染物将被雨水带入到地表水体中，从而对地表水水质造成影响，根据本项目的特征，本项目内地面易出现污染物的主要为屠宰车间、</w:t>
      </w:r>
      <w:r>
        <w:rPr>
          <w:rFonts w:hint="eastAsia"/>
          <w:lang w:eastAsia="zh-CN"/>
        </w:rPr>
        <w:t>待宰圈</w:t>
      </w:r>
      <w:r>
        <w:rPr>
          <w:rFonts w:hint="eastAsia"/>
        </w:rPr>
        <w:t>以及洗车场外侧道路（主要易散落猪粪等），因此本次评价要求在屠宰车间、</w:t>
      </w:r>
      <w:r>
        <w:rPr>
          <w:rFonts w:hint="eastAsia"/>
          <w:lang w:eastAsia="zh-CN"/>
        </w:rPr>
        <w:t>待宰圈</w:t>
      </w:r>
      <w:r>
        <w:rPr>
          <w:rFonts w:hint="eastAsia"/>
        </w:rPr>
        <w:t>以及洗车场外厂区道路外侧设置截水沟，地面微倾斜于截水沟，便于收集初期雨水以及地坪冲洗废水，并设置阀门控制与雨、污水管道相接，平时关闭雨水管道相接阀门，开启污水阀门，排至污水处理站处理后</w:t>
      </w:r>
      <w:r>
        <w:rPr>
          <w:rFonts w:hint="eastAsia"/>
          <w:lang w:val="en-US" w:eastAsia="zh-CN"/>
        </w:rPr>
        <w:t>排入磴子河</w:t>
      </w:r>
      <w:r>
        <w:rPr>
          <w:rFonts w:hint="eastAsia"/>
        </w:rPr>
        <w:t>；雨天</w:t>
      </w:r>
      <w:r>
        <w:rPr>
          <w:rFonts w:hint="default"/>
        </w:rPr>
        <w:t>15</w:t>
      </w:r>
      <w:r>
        <w:rPr>
          <w:rFonts w:hint="eastAsia"/>
        </w:rPr>
        <w:t>分钟后再开启雨水阀门，关闭污水阀门，汇入到市政雨水管网。</w:t>
      </w:r>
    </w:p>
    <w:p>
      <w:pPr>
        <w:pStyle w:val="6"/>
        <w:bidi w:val="0"/>
        <w:rPr>
          <w:rFonts w:hint="default"/>
          <w:lang w:val="en-US" w:eastAsia="zh-CN"/>
        </w:rPr>
      </w:pPr>
      <w:r>
        <w:rPr>
          <w:rFonts w:hint="eastAsia"/>
          <w:lang w:val="en-US" w:eastAsia="zh-CN"/>
        </w:rPr>
        <w:t>废水治理措施</w:t>
      </w:r>
    </w:p>
    <w:p>
      <w:pPr>
        <w:rPr>
          <w:rFonts w:hint="eastAsia"/>
          <w:highlight w:val="none"/>
          <w:vertAlign w:val="baseline"/>
          <w:lang w:val="en-US" w:eastAsia="zh-CN"/>
        </w:rPr>
      </w:pPr>
      <w:r>
        <w:rPr>
          <w:rFonts w:hint="eastAsia"/>
        </w:rPr>
        <w:t>本项目拟设置一座处理能力为</w:t>
      </w:r>
      <w:r>
        <w:rPr>
          <w:rFonts w:hint="eastAsia"/>
          <w:lang w:val="en-US" w:eastAsia="zh-CN"/>
        </w:rPr>
        <w:t>1000</w:t>
      </w:r>
      <w:r>
        <w:rPr>
          <w:rFonts w:hint="default"/>
        </w:rPr>
        <w:t>m</w:t>
      </w:r>
      <w:r>
        <w:rPr>
          <w:rFonts w:hint="default"/>
          <w:vertAlign w:val="superscript"/>
        </w:rPr>
        <w:t>3</w:t>
      </w:r>
      <w:r>
        <w:rPr>
          <w:rFonts w:hint="default"/>
        </w:rPr>
        <w:t>/d</w:t>
      </w:r>
      <w:r>
        <w:rPr>
          <w:rFonts w:hint="eastAsia"/>
        </w:rPr>
        <w:t>的污水处理站，处理工艺采用</w:t>
      </w:r>
      <w:r>
        <w:rPr>
          <w:rFonts w:hint="eastAsia"/>
          <w:lang w:eastAsia="zh-CN"/>
        </w:rPr>
        <w:t>“格栅池</w:t>
      </w:r>
      <w:r>
        <w:rPr>
          <w:rFonts w:hint="eastAsia"/>
          <w:lang w:val="en-US" w:eastAsia="zh-CN"/>
        </w:rPr>
        <w:t>+沉渣池+多功能生物调节池+</w:t>
      </w:r>
      <w:r>
        <w:rPr>
          <w:rFonts w:hint="eastAsia"/>
          <w:lang w:eastAsia="zh-CN"/>
        </w:rPr>
        <w:t>气浮沉渣池</w:t>
      </w:r>
      <w:r>
        <w:rPr>
          <w:rFonts w:hint="eastAsia"/>
          <w:lang w:val="en-US" w:eastAsia="zh-CN"/>
        </w:rPr>
        <w:t>+</w:t>
      </w:r>
      <w:r>
        <w:rPr>
          <w:rFonts w:hint="eastAsia"/>
          <w:lang w:eastAsia="zh-CN"/>
        </w:rPr>
        <w:t>厌氧池+初沉池</w:t>
      </w:r>
      <w:r>
        <w:rPr>
          <w:rFonts w:hint="eastAsia"/>
          <w:lang w:val="en-US" w:eastAsia="zh-CN"/>
        </w:rPr>
        <w:t>+缺氧</w:t>
      </w:r>
      <w:r>
        <w:rPr>
          <w:rFonts w:hint="eastAsia"/>
          <w:lang w:eastAsia="zh-CN"/>
        </w:rPr>
        <w:t>池</w:t>
      </w:r>
      <w:r>
        <w:rPr>
          <w:rFonts w:hint="eastAsia"/>
          <w:lang w:val="en-US" w:eastAsia="zh-CN"/>
        </w:rPr>
        <w:t>1+好氧池1+缺氧</w:t>
      </w:r>
      <w:r>
        <w:rPr>
          <w:rFonts w:hint="eastAsia"/>
          <w:lang w:eastAsia="zh-CN"/>
        </w:rPr>
        <w:t>池</w:t>
      </w:r>
      <w:r>
        <w:rPr>
          <w:rFonts w:hint="eastAsia"/>
          <w:lang w:val="en-US" w:eastAsia="zh-CN"/>
        </w:rPr>
        <w:t>2+好氧池2+二沉池+生物滤池+混凝沉淀池+过滤池+紫外线</w:t>
      </w:r>
      <w:r>
        <w:rPr>
          <w:rFonts w:hint="eastAsia"/>
          <w:lang w:eastAsia="zh-CN"/>
        </w:rPr>
        <w:t>消毒</w:t>
      </w:r>
      <w:r>
        <w:rPr>
          <w:rFonts w:hint="eastAsia"/>
          <w:lang w:val="en-US" w:eastAsia="zh-CN"/>
        </w:rPr>
        <w:t>+清水池</w:t>
      </w:r>
      <w:r>
        <w:rPr>
          <w:rFonts w:hint="eastAsia"/>
          <w:lang w:eastAsia="zh-CN"/>
        </w:rPr>
        <w:t>”</w:t>
      </w:r>
      <w:r>
        <w:rPr>
          <w:rFonts w:hint="eastAsia"/>
        </w:rPr>
        <w:t>组合工艺，</w:t>
      </w:r>
      <w:r>
        <w:rPr>
          <w:rFonts w:hint="eastAsia"/>
          <w:lang w:val="en-US" w:eastAsia="zh-CN"/>
        </w:rPr>
        <w:t>生产</w:t>
      </w:r>
      <w:r>
        <w:rPr>
          <w:rFonts w:hint="eastAsia"/>
        </w:rPr>
        <w:t>废水经厂区内的污水管网进入污水处理站处理后，</w:t>
      </w:r>
      <w:r>
        <w:rPr>
          <w:rFonts w:hint="eastAsia"/>
          <w:lang w:val="en-US" w:eastAsia="zh-CN"/>
        </w:rPr>
        <w:t>一部分回用于进出车辆冲洗、地面冲洗、待宰圈冲洗和洗涤塔补水等，剩余废水用于农田灌溉，不外排。</w:t>
      </w:r>
      <w:r>
        <w:rPr>
          <w:rFonts w:hint="eastAsia"/>
        </w:rPr>
        <w:t>项目产生的污废水经自建的污水处理设施处理，</w:t>
      </w:r>
      <w:r>
        <w:rPr>
          <w:rFonts w:hint="eastAsia"/>
          <w:lang w:val="en-US" w:eastAsia="zh-CN"/>
        </w:rPr>
        <w:t>可</w:t>
      </w:r>
      <w:r>
        <w:rPr>
          <w:rFonts w:hint="eastAsia"/>
        </w:rPr>
        <w:t>达到</w:t>
      </w:r>
      <w:r>
        <w:rPr>
          <w:rFonts w:hint="eastAsia"/>
          <w:lang w:eastAsia="zh-CN"/>
        </w:rPr>
        <w:t>《城镇污水处理厂污染物排放标准》（GB18918-2002）</w:t>
      </w:r>
      <w:r>
        <w:rPr>
          <w:rFonts w:hint="eastAsia"/>
          <w:lang w:val="en-US" w:eastAsia="zh-CN"/>
        </w:rPr>
        <w:t>中一级A</w:t>
      </w:r>
      <w:r>
        <w:rPr>
          <w:rFonts w:hint="eastAsia"/>
        </w:rPr>
        <w:t>排放标准</w:t>
      </w:r>
      <w:r>
        <w:rPr>
          <w:rFonts w:hint="eastAsia"/>
          <w:lang w:eastAsia="zh-CN"/>
        </w:rPr>
        <w:t>，</w:t>
      </w:r>
      <w:r>
        <w:rPr>
          <w:rFonts w:hint="eastAsia"/>
          <w:lang w:val="en-US" w:eastAsia="zh-CN"/>
        </w:rPr>
        <w:t>满足</w:t>
      </w:r>
      <w:r>
        <w:rPr>
          <w:rFonts w:hint="eastAsia"/>
          <w:lang w:eastAsia="zh-CN"/>
        </w:rPr>
        <w:t>《</w:t>
      </w:r>
      <w:r>
        <w:rPr>
          <w:rFonts w:hint="eastAsia"/>
          <w:lang w:val="en-US" w:eastAsia="zh-CN"/>
        </w:rPr>
        <w:t>肉类加工工业水污染物排放标准</w:t>
      </w:r>
      <w:r>
        <w:rPr>
          <w:rFonts w:hint="eastAsia"/>
          <w:lang w:eastAsia="zh-CN"/>
        </w:rPr>
        <w:t>》（</w:t>
      </w:r>
      <w:r>
        <w:rPr>
          <w:rFonts w:hint="eastAsia"/>
          <w:lang w:val="en-US" w:eastAsia="zh-CN"/>
        </w:rPr>
        <w:t>GB13457-92</w:t>
      </w:r>
      <w:r>
        <w:rPr>
          <w:rFonts w:hint="eastAsia"/>
          <w:lang w:eastAsia="zh-CN"/>
        </w:rPr>
        <w:t>）</w:t>
      </w:r>
      <w:r>
        <w:rPr>
          <w:rFonts w:hint="eastAsia"/>
          <w:lang w:val="en-US" w:eastAsia="zh-CN"/>
        </w:rPr>
        <w:t>中一级标准，满足《农田灌溉水质标准》（GB 5084-2005），且满足《城市污水再生利用城市杂用水水质》（GB/T18920-2002）中道路清扫、消防以及车辆冲洗水质要求。</w:t>
      </w:r>
    </w:p>
    <w:p>
      <w:pPr>
        <w:pStyle w:val="6"/>
        <w:bidi w:val="0"/>
        <w:rPr>
          <w:rFonts w:hint="default"/>
          <w:lang w:val="en-US" w:eastAsia="zh-CN"/>
        </w:rPr>
      </w:pPr>
      <w:r>
        <w:rPr>
          <w:rFonts w:hint="eastAsia"/>
          <w:lang w:val="en-US" w:eastAsia="zh-CN"/>
        </w:rPr>
        <w:t>项目污染物产排情况</w:t>
      </w:r>
    </w:p>
    <w:p>
      <w:pPr>
        <w:rPr>
          <w:rFonts w:hint="default"/>
          <w:vertAlign w:val="baseline"/>
          <w:lang w:val="en-US" w:eastAsia="zh-CN"/>
        </w:rPr>
      </w:pPr>
      <w:r>
        <w:rPr>
          <w:rFonts w:hint="eastAsia"/>
          <w:vertAlign w:val="baseline"/>
          <w:lang w:val="en-US" w:eastAsia="zh-CN"/>
        </w:rPr>
        <w:t>项目产排情况见表3.4-3。</w:t>
      </w:r>
    </w:p>
    <w:p>
      <w:pPr>
        <w:rPr>
          <w:rFonts w:hint="default"/>
          <w:vertAlign w:val="baseline"/>
          <w:lang w:val="en-US" w:eastAsia="zh-CN"/>
        </w:rPr>
        <w:sectPr>
          <w:pgSz w:w="12240" w:h="15840"/>
          <w:pgMar w:top="1440" w:right="1417" w:bottom="1440" w:left="1417" w:header="720" w:footer="720" w:gutter="0"/>
          <w:pgBorders>
            <w:top w:val="none" w:sz="0" w:space="0"/>
            <w:left w:val="none" w:sz="0" w:space="0"/>
            <w:bottom w:val="none" w:sz="0" w:space="0"/>
            <w:right w:val="none" w:sz="0" w:space="0"/>
          </w:pgBorders>
          <w:lnNumType w:countBy="0" w:distance="360"/>
          <w:pgNumType w:fmt="numberInDash"/>
          <w:cols w:space="720" w:num="1"/>
          <w:docGrid w:type="lines" w:linePitch="312" w:charSpace="0"/>
        </w:sectPr>
      </w:pPr>
    </w:p>
    <w:p>
      <w:pPr>
        <w:pStyle w:val="29"/>
        <w:bidi w:val="0"/>
        <w:rPr>
          <w:rFonts w:hint="eastAsia" w:ascii="宋体" w:hAnsi="宋体" w:eastAsia="宋体"/>
          <w:sz w:val="22"/>
          <w:lang w:val="en-US" w:eastAsia="zh-CN"/>
        </w:rPr>
      </w:pPr>
      <w:r>
        <w:rPr>
          <w:rFonts w:hint="eastAsia"/>
          <w:vertAlign w:val="baseline"/>
          <w:lang w:val="en-US" w:eastAsia="zh-CN"/>
        </w:rPr>
        <w:t xml:space="preserve">表3.4-3  </w:t>
      </w:r>
      <w:r>
        <w:rPr>
          <w:rFonts w:hint="eastAsia" w:ascii="宋体" w:hAnsi="宋体" w:eastAsia="宋体"/>
          <w:sz w:val="22"/>
        </w:rPr>
        <w:t>项目废水污染物产生及排放情况汇总表</w:t>
      </w:r>
    </w:p>
    <w:tbl>
      <w:tblPr>
        <w:tblStyle w:val="2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643"/>
        <w:gridCol w:w="873"/>
        <w:gridCol w:w="1103"/>
        <w:gridCol w:w="1073"/>
        <w:gridCol w:w="975"/>
        <w:gridCol w:w="911"/>
        <w:gridCol w:w="874"/>
        <w:gridCol w:w="2265"/>
        <w:gridCol w:w="1110"/>
        <w:gridCol w:w="1006"/>
        <w:gridCol w:w="955"/>
        <w:gridCol w:w="822"/>
        <w:gridCol w:w="13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 w:type="pct"/>
            <w:vMerge w:val="restar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类别</w:t>
            </w:r>
          </w:p>
        </w:tc>
        <w:tc>
          <w:tcPr>
            <w:tcW w:w="224" w:type="pct"/>
            <w:vMerge w:val="restar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设施</w:t>
            </w:r>
          </w:p>
        </w:tc>
        <w:tc>
          <w:tcPr>
            <w:tcW w:w="304" w:type="pct"/>
            <w:vMerge w:val="restar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污染源</w:t>
            </w:r>
          </w:p>
        </w:tc>
        <w:tc>
          <w:tcPr>
            <w:tcW w:w="384" w:type="pct"/>
            <w:vMerge w:val="restar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污染物</w:t>
            </w:r>
          </w:p>
        </w:tc>
        <w:tc>
          <w:tcPr>
            <w:tcW w:w="1335" w:type="pct"/>
            <w:gridSpan w:val="4"/>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污染物产生</w:t>
            </w:r>
          </w:p>
        </w:tc>
        <w:tc>
          <w:tcPr>
            <w:tcW w:w="789" w:type="pct"/>
            <w:vMerge w:val="restar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治理措施</w:t>
            </w:r>
          </w:p>
        </w:tc>
        <w:tc>
          <w:tcPr>
            <w:tcW w:w="1356" w:type="pct"/>
            <w:gridSpan w:val="4"/>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污染物排放浓度</w:t>
            </w:r>
          </w:p>
        </w:tc>
        <w:tc>
          <w:tcPr>
            <w:tcW w:w="455" w:type="pct"/>
            <w:vMerge w:val="restart"/>
            <w:tcBorders>
              <w:tl2br w:val="nil"/>
              <w:tr2bl w:val="nil"/>
            </w:tcBorders>
            <w:vAlign w:val="center"/>
          </w:tcPr>
          <w:p>
            <w:pPr>
              <w:pStyle w:val="30"/>
              <w:widowControl w:val="0"/>
              <w:bidi w:val="0"/>
              <w:jc w:val="center"/>
              <w:rPr>
                <w:rFonts w:hint="default"/>
                <w:lang w:val="en-US" w:eastAsia="zh-CN"/>
              </w:rPr>
            </w:pPr>
            <w:r>
              <w:rPr>
                <w:rFonts w:hint="eastAsia"/>
                <w:b/>
                <w:bCs/>
                <w:lang w:val="en-US" w:eastAsia="zh-CN"/>
              </w:rPr>
              <w:t>排放时间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 w:type="pct"/>
            <w:vMerge w:val="continue"/>
            <w:tcBorders>
              <w:tl2br w:val="nil"/>
              <w:tr2bl w:val="nil"/>
            </w:tcBorders>
            <w:vAlign w:val="center"/>
          </w:tcPr>
          <w:p>
            <w:pPr>
              <w:pStyle w:val="30"/>
              <w:widowControl w:val="0"/>
              <w:bidi w:val="0"/>
              <w:jc w:val="center"/>
              <w:rPr>
                <w:rFonts w:hint="default"/>
                <w:b/>
                <w:bCs/>
                <w:lang w:val="en-US" w:eastAsia="zh-CN"/>
              </w:rPr>
            </w:pPr>
          </w:p>
        </w:tc>
        <w:tc>
          <w:tcPr>
            <w:tcW w:w="224" w:type="pct"/>
            <w:vMerge w:val="continue"/>
            <w:tcBorders>
              <w:tl2br w:val="nil"/>
              <w:tr2bl w:val="nil"/>
            </w:tcBorders>
            <w:vAlign w:val="center"/>
          </w:tcPr>
          <w:p>
            <w:pPr>
              <w:pStyle w:val="30"/>
              <w:widowControl w:val="0"/>
              <w:bidi w:val="0"/>
              <w:jc w:val="center"/>
              <w:rPr>
                <w:rFonts w:hint="default"/>
                <w:b/>
                <w:bCs/>
                <w:lang w:val="en-US" w:eastAsia="zh-CN"/>
              </w:rPr>
            </w:pPr>
          </w:p>
        </w:tc>
        <w:tc>
          <w:tcPr>
            <w:tcW w:w="304" w:type="pct"/>
            <w:vMerge w:val="continue"/>
            <w:tcBorders>
              <w:tl2br w:val="nil"/>
              <w:tr2bl w:val="nil"/>
            </w:tcBorders>
            <w:vAlign w:val="center"/>
          </w:tcPr>
          <w:p>
            <w:pPr>
              <w:pStyle w:val="30"/>
              <w:widowControl w:val="0"/>
              <w:bidi w:val="0"/>
              <w:jc w:val="center"/>
              <w:rPr>
                <w:rFonts w:hint="default"/>
                <w:b/>
                <w:bCs/>
                <w:lang w:val="en-US" w:eastAsia="zh-CN"/>
              </w:rPr>
            </w:pPr>
          </w:p>
        </w:tc>
        <w:tc>
          <w:tcPr>
            <w:tcW w:w="384" w:type="pct"/>
            <w:vMerge w:val="continue"/>
            <w:tcBorders>
              <w:tl2br w:val="nil"/>
              <w:tr2bl w:val="nil"/>
            </w:tcBorders>
            <w:vAlign w:val="center"/>
          </w:tcPr>
          <w:p>
            <w:pPr>
              <w:pStyle w:val="30"/>
              <w:widowControl w:val="0"/>
              <w:bidi w:val="0"/>
              <w:jc w:val="center"/>
              <w:rPr>
                <w:rFonts w:hint="default"/>
                <w:b/>
                <w:bCs/>
                <w:lang w:val="en-US" w:eastAsia="zh-CN"/>
              </w:rPr>
            </w:pPr>
          </w:p>
        </w:tc>
        <w:tc>
          <w:tcPr>
            <w:tcW w:w="373" w:type="pct"/>
            <w:vMerge w:val="restart"/>
            <w:tcBorders>
              <w:tl2br w:val="nil"/>
              <w:tr2bl w:val="nil"/>
            </w:tcBorders>
            <w:vAlign w:val="center"/>
          </w:tcPr>
          <w:p>
            <w:pPr>
              <w:pStyle w:val="30"/>
              <w:widowControl w:val="0"/>
              <w:bidi w:val="0"/>
              <w:jc w:val="center"/>
              <w:rPr>
                <w:rFonts w:hint="default"/>
                <w:b/>
                <w:bCs/>
                <w:vertAlign w:val="baseline"/>
                <w:lang w:val="en-US" w:eastAsia="zh-CN"/>
              </w:rPr>
            </w:pPr>
            <w:r>
              <w:rPr>
                <w:rFonts w:hint="eastAsia"/>
                <w:b/>
                <w:bCs/>
                <w:lang w:val="en-US" w:eastAsia="zh-CN"/>
              </w:rPr>
              <w:t>废水产生量m</w:t>
            </w:r>
            <w:r>
              <w:rPr>
                <w:rFonts w:hint="eastAsia"/>
                <w:b/>
                <w:bCs/>
                <w:vertAlign w:val="superscript"/>
                <w:lang w:val="en-US" w:eastAsia="zh-CN"/>
              </w:rPr>
              <w:t>3</w:t>
            </w:r>
            <w:r>
              <w:rPr>
                <w:rFonts w:hint="eastAsia"/>
                <w:b/>
                <w:bCs/>
                <w:vertAlign w:val="baseline"/>
                <w:lang w:val="en-US" w:eastAsia="zh-CN"/>
              </w:rPr>
              <w:t>/d</w:t>
            </w:r>
          </w:p>
        </w:tc>
        <w:tc>
          <w:tcPr>
            <w:tcW w:w="339" w:type="pct"/>
            <w:vMerge w:val="restar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产生浓度mg/L</w:t>
            </w:r>
          </w:p>
        </w:tc>
        <w:tc>
          <w:tcPr>
            <w:tcW w:w="622" w:type="pct"/>
            <w:gridSpan w:val="2"/>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产生量</w:t>
            </w:r>
          </w:p>
        </w:tc>
        <w:tc>
          <w:tcPr>
            <w:tcW w:w="789" w:type="pct"/>
            <w:vMerge w:val="continue"/>
            <w:tcBorders>
              <w:tl2br w:val="nil"/>
              <w:tr2bl w:val="nil"/>
            </w:tcBorders>
            <w:vAlign w:val="center"/>
          </w:tcPr>
          <w:p>
            <w:pPr>
              <w:pStyle w:val="30"/>
              <w:widowControl w:val="0"/>
              <w:bidi w:val="0"/>
              <w:jc w:val="center"/>
              <w:rPr>
                <w:rFonts w:hint="default"/>
                <w:b/>
                <w:bCs/>
                <w:lang w:val="en-US" w:eastAsia="zh-CN"/>
              </w:rPr>
            </w:pPr>
          </w:p>
        </w:tc>
        <w:tc>
          <w:tcPr>
            <w:tcW w:w="386" w:type="pct"/>
            <w:vMerge w:val="restart"/>
            <w:tcBorders>
              <w:tl2br w:val="nil"/>
              <w:tr2bl w:val="nil"/>
            </w:tcBorders>
            <w:vAlign w:val="center"/>
          </w:tcPr>
          <w:p>
            <w:pPr>
              <w:pStyle w:val="30"/>
              <w:widowControl w:val="0"/>
              <w:bidi w:val="0"/>
              <w:jc w:val="center"/>
              <w:rPr>
                <w:rFonts w:hint="default"/>
                <w:b/>
                <w:bCs/>
                <w:vertAlign w:val="baseline"/>
                <w:lang w:val="en-US" w:eastAsia="zh-CN"/>
              </w:rPr>
            </w:pPr>
            <w:r>
              <w:rPr>
                <w:rFonts w:hint="eastAsia"/>
                <w:b/>
                <w:bCs/>
                <w:lang w:val="en-US" w:eastAsia="zh-CN"/>
              </w:rPr>
              <w:t>废水排放量m</w:t>
            </w:r>
            <w:r>
              <w:rPr>
                <w:rFonts w:hint="eastAsia"/>
                <w:b/>
                <w:bCs/>
                <w:vertAlign w:val="superscript"/>
                <w:lang w:val="en-US" w:eastAsia="zh-CN"/>
              </w:rPr>
              <w:t>3</w:t>
            </w:r>
            <w:r>
              <w:rPr>
                <w:rFonts w:hint="eastAsia"/>
                <w:b/>
                <w:bCs/>
                <w:vertAlign w:val="baseline"/>
                <w:lang w:val="en-US" w:eastAsia="zh-CN"/>
              </w:rPr>
              <w:t>/d</w:t>
            </w:r>
          </w:p>
        </w:tc>
        <w:tc>
          <w:tcPr>
            <w:tcW w:w="350" w:type="pct"/>
            <w:vMerge w:val="restar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排放浓度mg/L</w:t>
            </w:r>
          </w:p>
        </w:tc>
        <w:tc>
          <w:tcPr>
            <w:tcW w:w="619" w:type="pct"/>
            <w:gridSpan w:val="2"/>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排放量</w:t>
            </w:r>
          </w:p>
        </w:tc>
        <w:tc>
          <w:tcPr>
            <w:tcW w:w="455" w:type="pct"/>
            <w:vMerge w:val="continue"/>
            <w:tcBorders>
              <w:tl2br w:val="nil"/>
              <w:tr2bl w:val="nil"/>
            </w:tcBorders>
            <w:vAlign w:val="center"/>
          </w:tcPr>
          <w:p>
            <w:pPr>
              <w:pStyle w:val="30"/>
              <w:widowControl w:val="0"/>
              <w:bidi w:val="0"/>
              <w:jc w:val="center"/>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 w:type="pct"/>
            <w:vMerge w:val="continue"/>
            <w:tcBorders>
              <w:tl2br w:val="nil"/>
              <w:tr2bl w:val="nil"/>
            </w:tcBorders>
            <w:vAlign w:val="center"/>
          </w:tcPr>
          <w:p>
            <w:pPr>
              <w:pStyle w:val="30"/>
              <w:widowControl w:val="0"/>
              <w:bidi w:val="0"/>
              <w:jc w:val="center"/>
              <w:rPr>
                <w:b/>
                <w:bCs/>
              </w:rPr>
            </w:pPr>
          </w:p>
        </w:tc>
        <w:tc>
          <w:tcPr>
            <w:tcW w:w="224" w:type="pct"/>
            <w:vMerge w:val="continue"/>
            <w:tcBorders>
              <w:tl2br w:val="nil"/>
              <w:tr2bl w:val="nil"/>
            </w:tcBorders>
            <w:vAlign w:val="center"/>
          </w:tcPr>
          <w:p>
            <w:pPr>
              <w:pStyle w:val="30"/>
              <w:widowControl w:val="0"/>
              <w:bidi w:val="0"/>
              <w:jc w:val="center"/>
              <w:rPr>
                <w:b/>
                <w:bCs/>
              </w:rPr>
            </w:pPr>
          </w:p>
        </w:tc>
        <w:tc>
          <w:tcPr>
            <w:tcW w:w="304" w:type="pct"/>
            <w:vMerge w:val="continue"/>
            <w:tcBorders>
              <w:tl2br w:val="nil"/>
              <w:tr2bl w:val="nil"/>
            </w:tcBorders>
            <w:vAlign w:val="center"/>
          </w:tcPr>
          <w:p>
            <w:pPr>
              <w:pStyle w:val="30"/>
              <w:widowControl w:val="0"/>
              <w:bidi w:val="0"/>
              <w:jc w:val="center"/>
              <w:rPr>
                <w:b/>
                <w:bCs/>
              </w:rPr>
            </w:pPr>
          </w:p>
        </w:tc>
        <w:tc>
          <w:tcPr>
            <w:tcW w:w="384" w:type="pct"/>
            <w:vMerge w:val="continue"/>
            <w:tcBorders>
              <w:tl2br w:val="nil"/>
              <w:tr2bl w:val="nil"/>
            </w:tcBorders>
            <w:vAlign w:val="center"/>
          </w:tcPr>
          <w:p>
            <w:pPr>
              <w:pStyle w:val="30"/>
              <w:widowControl w:val="0"/>
              <w:bidi w:val="0"/>
              <w:jc w:val="center"/>
              <w:rPr>
                <w:b/>
                <w:bCs/>
              </w:rPr>
            </w:pPr>
          </w:p>
        </w:tc>
        <w:tc>
          <w:tcPr>
            <w:tcW w:w="373" w:type="pct"/>
            <w:vMerge w:val="continue"/>
            <w:tcBorders>
              <w:tl2br w:val="nil"/>
              <w:tr2bl w:val="nil"/>
            </w:tcBorders>
            <w:vAlign w:val="center"/>
          </w:tcPr>
          <w:p>
            <w:pPr>
              <w:pStyle w:val="30"/>
              <w:widowControl w:val="0"/>
              <w:bidi w:val="0"/>
              <w:jc w:val="center"/>
              <w:rPr>
                <w:b/>
                <w:bCs/>
              </w:rPr>
            </w:pPr>
          </w:p>
        </w:tc>
        <w:tc>
          <w:tcPr>
            <w:tcW w:w="339" w:type="pct"/>
            <w:vMerge w:val="continue"/>
            <w:tcBorders>
              <w:tl2br w:val="nil"/>
              <w:tr2bl w:val="nil"/>
            </w:tcBorders>
            <w:vAlign w:val="center"/>
          </w:tcPr>
          <w:p>
            <w:pPr>
              <w:pStyle w:val="30"/>
              <w:widowControl w:val="0"/>
              <w:bidi w:val="0"/>
              <w:jc w:val="center"/>
              <w:rPr>
                <w:b/>
                <w:bCs/>
              </w:rPr>
            </w:pPr>
          </w:p>
        </w:tc>
        <w:tc>
          <w:tcPr>
            <w:tcW w:w="317" w:type="pc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t/d</w:t>
            </w:r>
          </w:p>
        </w:tc>
        <w:tc>
          <w:tcPr>
            <w:tcW w:w="304" w:type="pc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t/a</w:t>
            </w:r>
          </w:p>
        </w:tc>
        <w:tc>
          <w:tcPr>
            <w:tcW w:w="789" w:type="pct"/>
            <w:vMerge w:val="continue"/>
            <w:tcBorders>
              <w:tl2br w:val="nil"/>
              <w:tr2bl w:val="nil"/>
            </w:tcBorders>
            <w:vAlign w:val="center"/>
          </w:tcPr>
          <w:p>
            <w:pPr>
              <w:pStyle w:val="30"/>
              <w:widowControl w:val="0"/>
              <w:bidi w:val="0"/>
              <w:jc w:val="center"/>
              <w:rPr>
                <w:rFonts w:hint="eastAsia"/>
                <w:b/>
                <w:bCs/>
                <w:lang w:val="en-US" w:eastAsia="zh-CN"/>
              </w:rPr>
            </w:pPr>
          </w:p>
        </w:tc>
        <w:tc>
          <w:tcPr>
            <w:tcW w:w="386" w:type="pct"/>
            <w:vMerge w:val="continue"/>
            <w:tcBorders>
              <w:tl2br w:val="nil"/>
              <w:tr2bl w:val="nil"/>
            </w:tcBorders>
            <w:vAlign w:val="center"/>
          </w:tcPr>
          <w:p>
            <w:pPr>
              <w:pStyle w:val="30"/>
              <w:widowControl w:val="0"/>
              <w:bidi w:val="0"/>
              <w:jc w:val="center"/>
              <w:rPr>
                <w:rFonts w:hint="eastAsia"/>
                <w:b/>
                <w:bCs/>
                <w:lang w:val="en-US" w:eastAsia="zh-CN"/>
              </w:rPr>
            </w:pPr>
          </w:p>
        </w:tc>
        <w:tc>
          <w:tcPr>
            <w:tcW w:w="350" w:type="pct"/>
            <w:vMerge w:val="continue"/>
            <w:tcBorders>
              <w:tl2br w:val="nil"/>
              <w:tr2bl w:val="nil"/>
            </w:tcBorders>
            <w:vAlign w:val="center"/>
          </w:tcPr>
          <w:p>
            <w:pPr>
              <w:pStyle w:val="30"/>
              <w:widowControl w:val="0"/>
              <w:bidi w:val="0"/>
              <w:jc w:val="center"/>
              <w:rPr>
                <w:rFonts w:hint="eastAsia"/>
                <w:b/>
                <w:bCs/>
                <w:lang w:val="en-US" w:eastAsia="zh-CN"/>
              </w:rPr>
            </w:pPr>
          </w:p>
        </w:tc>
        <w:tc>
          <w:tcPr>
            <w:tcW w:w="332" w:type="pct"/>
            <w:tcBorders>
              <w:tl2br w:val="nil"/>
              <w:tr2bl w:val="nil"/>
            </w:tcBorders>
            <w:vAlign w:val="center"/>
          </w:tcPr>
          <w:p>
            <w:pPr>
              <w:pStyle w:val="30"/>
              <w:widowControl w:val="0"/>
              <w:bidi w:val="0"/>
              <w:ind w:firstLine="0" w:firstLineChars="0"/>
              <w:jc w:val="center"/>
              <w:rPr>
                <w:rFonts w:hint="eastAsia"/>
                <w:b/>
                <w:bCs/>
                <w:lang w:val="en-US" w:eastAsia="zh-CN"/>
              </w:rPr>
            </w:pPr>
            <w:r>
              <w:rPr>
                <w:rFonts w:hint="eastAsia"/>
                <w:b/>
                <w:bCs/>
                <w:lang w:val="en-US" w:eastAsia="zh-CN"/>
              </w:rPr>
              <w:t>t/d</w:t>
            </w:r>
          </w:p>
        </w:tc>
        <w:tc>
          <w:tcPr>
            <w:tcW w:w="286" w:type="pct"/>
            <w:tcBorders>
              <w:tl2br w:val="nil"/>
              <w:tr2bl w:val="nil"/>
            </w:tcBorders>
            <w:vAlign w:val="center"/>
          </w:tcPr>
          <w:p>
            <w:pPr>
              <w:pStyle w:val="30"/>
              <w:widowControl w:val="0"/>
              <w:bidi w:val="0"/>
              <w:ind w:firstLine="0" w:firstLineChars="0"/>
              <w:jc w:val="center"/>
              <w:rPr>
                <w:rFonts w:hint="eastAsia"/>
                <w:b/>
                <w:bCs/>
                <w:lang w:val="en-US" w:eastAsia="zh-CN"/>
              </w:rPr>
            </w:pPr>
            <w:r>
              <w:rPr>
                <w:rFonts w:hint="eastAsia"/>
                <w:b/>
                <w:bCs/>
                <w:lang w:val="en-US" w:eastAsia="zh-CN"/>
              </w:rPr>
              <w:t>t/a</w:t>
            </w:r>
          </w:p>
        </w:tc>
        <w:tc>
          <w:tcPr>
            <w:tcW w:w="455" w:type="pct"/>
            <w:vMerge w:val="continue"/>
            <w:tcBorders>
              <w:tl2br w:val="nil"/>
              <w:tr2bl w:val="nil"/>
            </w:tcBorders>
            <w:vAlign w:val="center"/>
          </w:tcPr>
          <w:p>
            <w:pPr>
              <w:pStyle w:val="30"/>
              <w:widowControl w:val="0"/>
              <w:bidi w:val="0"/>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综合废水</w:t>
            </w:r>
          </w:p>
        </w:tc>
        <w:tc>
          <w:tcPr>
            <w:tcW w:w="224"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自建污水处理站</w:t>
            </w:r>
          </w:p>
        </w:tc>
        <w:tc>
          <w:tcPr>
            <w:tcW w:w="304"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屠宰、运输、员工生活及食堂</w:t>
            </w:r>
          </w:p>
        </w:tc>
        <w:tc>
          <w:tcPr>
            <w:tcW w:w="38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COD</w:t>
            </w:r>
          </w:p>
        </w:tc>
        <w:tc>
          <w:tcPr>
            <w:tcW w:w="373" w:type="pct"/>
            <w:vMerge w:val="restart"/>
            <w:tcBorders>
              <w:tl2br w:val="nil"/>
              <w:tr2bl w:val="nil"/>
            </w:tcBorders>
            <w:vAlign w:val="center"/>
          </w:tcPr>
          <w:p>
            <w:pPr>
              <w:pStyle w:val="30"/>
              <w:widowControl w:val="0"/>
              <w:bidi w:val="0"/>
              <w:ind w:firstLine="0" w:firstLineChars="0"/>
              <w:jc w:val="center"/>
              <w:rPr>
                <w:rFonts w:hint="default"/>
                <w:lang w:val="en-US" w:eastAsia="zh-CN"/>
              </w:rPr>
            </w:pPr>
            <w:r>
              <w:rPr>
                <w:rFonts w:hint="eastAsia"/>
                <w:lang w:val="en-US" w:eastAsia="zh-CN"/>
              </w:rPr>
              <w:t>805.9</w:t>
            </w:r>
          </w:p>
          <w:p>
            <w:pPr>
              <w:pStyle w:val="30"/>
              <w:widowControl w:val="0"/>
              <w:bidi w:val="0"/>
              <w:ind w:firstLine="0" w:firstLineChars="0"/>
              <w:jc w:val="center"/>
              <w:rPr>
                <w:rFonts w:hint="default"/>
                <w:lang w:val="en-US" w:eastAsia="zh-CN"/>
              </w:rPr>
            </w:pPr>
            <w:r>
              <w:rPr>
                <w:rFonts w:hint="eastAsia"/>
                <w:lang w:val="en-US" w:eastAsia="zh-CN"/>
              </w:rPr>
              <w:t>（旺季）</w:t>
            </w:r>
          </w:p>
        </w:tc>
        <w:tc>
          <w:tcPr>
            <w:tcW w:w="33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2080</w:t>
            </w:r>
          </w:p>
        </w:tc>
        <w:tc>
          <w:tcPr>
            <w:tcW w:w="911"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1.68 </w:t>
            </w:r>
          </w:p>
        </w:tc>
        <w:tc>
          <w:tcPr>
            <w:tcW w:w="874" w:type="dxa"/>
            <w:tcBorders>
              <w:tl2br w:val="nil"/>
              <w:tr2bl w:val="nil"/>
            </w:tcBorders>
            <w:vAlign w:val="center"/>
          </w:tcPr>
          <w:p>
            <w:pPr>
              <w:pStyle w:val="30"/>
              <w:widowControl w:val="0"/>
              <w:bidi w:val="0"/>
              <w:rPr>
                <w:rFonts w:hint="default"/>
                <w:lang w:val="en-US" w:eastAsia="zh-CN"/>
              </w:rPr>
            </w:pPr>
            <w:r>
              <w:rPr>
                <w:rFonts w:hint="default"/>
                <w:lang w:val="en-US" w:eastAsia="zh-CN"/>
              </w:rPr>
              <w:t>393.37</w:t>
            </w:r>
          </w:p>
        </w:tc>
        <w:tc>
          <w:tcPr>
            <w:tcW w:w="789" w:type="pct"/>
            <w:vMerge w:val="restart"/>
            <w:tcBorders>
              <w:tl2br w:val="nil"/>
              <w:tr2bl w:val="nil"/>
            </w:tcBorders>
            <w:vAlign w:val="center"/>
          </w:tcPr>
          <w:p>
            <w:pPr>
              <w:pStyle w:val="30"/>
              <w:widowControl w:val="0"/>
              <w:bidi w:val="0"/>
              <w:jc w:val="center"/>
              <w:rPr>
                <w:rFonts w:hint="default"/>
                <w:lang w:val="en-US" w:eastAsia="zh-CN"/>
              </w:rPr>
            </w:pPr>
            <w:r>
              <w:rPr>
                <w:rFonts w:hint="eastAsia"/>
                <w:lang w:eastAsia="zh-CN"/>
              </w:rPr>
              <w:t>格栅池</w:t>
            </w:r>
            <w:r>
              <w:rPr>
                <w:rFonts w:hint="eastAsia"/>
                <w:lang w:val="en-US" w:eastAsia="zh-CN"/>
              </w:rPr>
              <w:t>+沉渣池+多功能生物调节池+</w:t>
            </w:r>
            <w:r>
              <w:rPr>
                <w:rFonts w:hint="eastAsia"/>
                <w:lang w:eastAsia="zh-CN"/>
              </w:rPr>
              <w:t>气浮沉渣池</w:t>
            </w:r>
            <w:r>
              <w:rPr>
                <w:rFonts w:hint="eastAsia"/>
                <w:lang w:val="en-US" w:eastAsia="zh-CN"/>
              </w:rPr>
              <w:t>+</w:t>
            </w:r>
            <w:r>
              <w:rPr>
                <w:rFonts w:hint="eastAsia"/>
                <w:lang w:eastAsia="zh-CN"/>
              </w:rPr>
              <w:t>厌氧池+初沉池</w:t>
            </w:r>
            <w:r>
              <w:rPr>
                <w:rFonts w:hint="eastAsia"/>
                <w:lang w:val="en-US" w:eastAsia="zh-CN"/>
              </w:rPr>
              <w:t>+缺氧</w:t>
            </w:r>
            <w:r>
              <w:rPr>
                <w:rFonts w:hint="eastAsia"/>
                <w:lang w:eastAsia="zh-CN"/>
              </w:rPr>
              <w:t>池</w:t>
            </w:r>
            <w:r>
              <w:rPr>
                <w:rFonts w:hint="eastAsia"/>
                <w:lang w:val="en-US" w:eastAsia="zh-CN"/>
              </w:rPr>
              <w:t>1+好氧池1+缺氧</w:t>
            </w:r>
            <w:r>
              <w:rPr>
                <w:rFonts w:hint="eastAsia"/>
                <w:lang w:eastAsia="zh-CN"/>
              </w:rPr>
              <w:t>池</w:t>
            </w:r>
            <w:r>
              <w:rPr>
                <w:rFonts w:hint="eastAsia"/>
                <w:lang w:val="en-US" w:eastAsia="zh-CN"/>
              </w:rPr>
              <w:t>2+好氧池2+二沉池+生物滤池+混凝沉淀池+过滤池+紫外线</w:t>
            </w:r>
            <w:r>
              <w:rPr>
                <w:rFonts w:hint="eastAsia"/>
                <w:lang w:eastAsia="zh-CN"/>
              </w:rPr>
              <w:t>消毒</w:t>
            </w:r>
            <w:r>
              <w:rPr>
                <w:rFonts w:hint="eastAsia"/>
                <w:lang w:val="en-US" w:eastAsia="zh-CN"/>
              </w:rPr>
              <w:t>+清水池</w:t>
            </w:r>
          </w:p>
        </w:tc>
        <w:tc>
          <w:tcPr>
            <w:tcW w:w="386" w:type="pct"/>
            <w:vMerge w:val="restart"/>
            <w:tcBorders>
              <w:tl2br w:val="nil"/>
              <w:tr2bl w:val="nil"/>
            </w:tcBorders>
            <w:vAlign w:val="center"/>
          </w:tcPr>
          <w:p>
            <w:pPr>
              <w:pStyle w:val="30"/>
              <w:widowControl w:val="0"/>
              <w:bidi w:val="0"/>
              <w:ind w:firstLine="0" w:firstLineChars="0"/>
              <w:jc w:val="center"/>
              <w:rPr>
                <w:rFonts w:hint="default"/>
                <w:lang w:val="en-US" w:eastAsia="zh-CN"/>
              </w:rPr>
            </w:pPr>
            <w:r>
              <w:rPr>
                <w:rFonts w:hint="eastAsia"/>
                <w:lang w:val="en-US" w:eastAsia="zh-CN"/>
              </w:rPr>
              <w:t>805.9</w:t>
            </w:r>
          </w:p>
          <w:p>
            <w:pPr>
              <w:pStyle w:val="30"/>
              <w:widowControl w:val="0"/>
              <w:bidi w:val="0"/>
              <w:ind w:firstLine="0" w:firstLineChars="0"/>
              <w:jc w:val="center"/>
              <w:rPr>
                <w:rFonts w:hint="default"/>
                <w:lang w:val="en-US" w:eastAsia="zh-CN"/>
              </w:rPr>
            </w:pPr>
            <w:r>
              <w:rPr>
                <w:rFonts w:hint="eastAsia"/>
                <w:lang w:val="en-US" w:eastAsia="zh-CN"/>
              </w:rPr>
              <w:t>（旺季）</w:t>
            </w:r>
          </w:p>
        </w:tc>
        <w:tc>
          <w:tcPr>
            <w:tcW w:w="35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50</w:t>
            </w:r>
          </w:p>
        </w:tc>
        <w:tc>
          <w:tcPr>
            <w:tcW w:w="955" w:type="dxa"/>
            <w:tcBorders>
              <w:tl2br w:val="nil"/>
              <w:tr2bl w:val="nil"/>
            </w:tcBorders>
            <w:vAlign w:val="center"/>
          </w:tcPr>
          <w:p>
            <w:pPr>
              <w:pStyle w:val="30"/>
              <w:widowControl w:val="0"/>
              <w:bidi w:val="0"/>
              <w:rPr>
                <w:rFonts w:hint="default"/>
                <w:lang w:val="en-US" w:eastAsia="zh-CN"/>
              </w:rPr>
            </w:pPr>
            <w:r>
              <w:rPr>
                <w:rFonts w:hint="eastAsia"/>
                <w:lang w:val="en-US" w:eastAsia="zh-CN"/>
              </w:rPr>
              <w:t>0.04</w:t>
            </w:r>
          </w:p>
        </w:tc>
        <w:tc>
          <w:tcPr>
            <w:tcW w:w="822" w:type="dxa"/>
            <w:tcBorders>
              <w:tl2br w:val="nil"/>
              <w:tr2bl w:val="nil"/>
            </w:tcBorders>
            <w:vAlign w:val="center"/>
          </w:tcPr>
          <w:p>
            <w:pPr>
              <w:pStyle w:val="30"/>
              <w:widowControl w:val="0"/>
              <w:bidi w:val="0"/>
              <w:rPr>
                <w:rFonts w:hint="default"/>
                <w:lang w:val="en-US" w:eastAsia="zh-CN"/>
              </w:rPr>
            </w:pPr>
            <w:r>
              <w:rPr>
                <w:rFonts w:hint="default"/>
                <w:lang w:val="en-US" w:eastAsia="zh-CN"/>
              </w:rPr>
              <w:t xml:space="preserve">9.46 </w:t>
            </w:r>
          </w:p>
        </w:tc>
        <w:tc>
          <w:tcPr>
            <w:tcW w:w="455"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年营运300（肉牛屠宰150天）天，每天24小时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 w:type="pct"/>
            <w:vMerge w:val="continue"/>
            <w:tcBorders>
              <w:tl2br w:val="nil"/>
              <w:tr2bl w:val="nil"/>
            </w:tcBorders>
            <w:vAlign w:val="center"/>
          </w:tcPr>
          <w:p>
            <w:pPr>
              <w:pStyle w:val="30"/>
              <w:widowControl w:val="0"/>
              <w:bidi w:val="0"/>
              <w:jc w:val="center"/>
              <w:rPr>
                <w:rFonts w:hint="default"/>
                <w:lang w:val="en-US" w:eastAsia="zh-CN"/>
              </w:rPr>
            </w:pPr>
          </w:p>
        </w:tc>
        <w:tc>
          <w:tcPr>
            <w:tcW w:w="224" w:type="pct"/>
            <w:vMerge w:val="continue"/>
            <w:tcBorders>
              <w:tl2br w:val="nil"/>
              <w:tr2bl w:val="nil"/>
            </w:tcBorders>
            <w:vAlign w:val="center"/>
          </w:tcPr>
          <w:p>
            <w:pPr>
              <w:pStyle w:val="30"/>
              <w:widowControl w:val="0"/>
              <w:bidi w:val="0"/>
              <w:jc w:val="center"/>
              <w:rPr>
                <w:rFonts w:hint="default"/>
                <w:lang w:val="en-US" w:eastAsia="zh-CN"/>
              </w:rPr>
            </w:pPr>
          </w:p>
        </w:tc>
        <w:tc>
          <w:tcPr>
            <w:tcW w:w="304" w:type="pct"/>
            <w:vMerge w:val="continue"/>
            <w:tcBorders>
              <w:tl2br w:val="nil"/>
              <w:tr2bl w:val="nil"/>
            </w:tcBorders>
            <w:vAlign w:val="center"/>
          </w:tcPr>
          <w:p>
            <w:pPr>
              <w:pStyle w:val="30"/>
              <w:widowControl w:val="0"/>
              <w:bidi w:val="0"/>
              <w:jc w:val="center"/>
              <w:rPr>
                <w:rFonts w:hint="default"/>
                <w:lang w:val="en-US" w:eastAsia="zh-CN"/>
              </w:rPr>
            </w:pPr>
          </w:p>
        </w:tc>
        <w:tc>
          <w:tcPr>
            <w:tcW w:w="384" w:type="pct"/>
            <w:tcBorders>
              <w:tl2br w:val="nil"/>
              <w:tr2bl w:val="nil"/>
            </w:tcBorders>
            <w:vAlign w:val="center"/>
          </w:tcPr>
          <w:p>
            <w:pPr>
              <w:pStyle w:val="30"/>
              <w:widowControl w:val="0"/>
              <w:bidi w:val="0"/>
              <w:jc w:val="center"/>
              <w:rPr>
                <w:rFonts w:hint="default"/>
                <w:vertAlign w:val="subscript"/>
                <w:lang w:val="en-US" w:eastAsia="zh-CN"/>
              </w:rPr>
            </w:pPr>
            <w:r>
              <w:rPr>
                <w:rFonts w:hint="eastAsia"/>
                <w:lang w:val="en-US" w:eastAsia="zh-CN"/>
              </w:rPr>
              <w:t>BOD</w:t>
            </w:r>
            <w:r>
              <w:rPr>
                <w:rFonts w:hint="eastAsia"/>
                <w:vertAlign w:val="subscript"/>
                <w:lang w:val="en-US" w:eastAsia="zh-CN"/>
              </w:rPr>
              <w:t>5</w:t>
            </w:r>
          </w:p>
        </w:tc>
        <w:tc>
          <w:tcPr>
            <w:tcW w:w="373" w:type="pct"/>
            <w:vMerge w:val="continue"/>
            <w:tcBorders>
              <w:tl2br w:val="nil"/>
              <w:tr2bl w:val="nil"/>
            </w:tcBorders>
            <w:vAlign w:val="center"/>
          </w:tcPr>
          <w:p>
            <w:pPr>
              <w:pStyle w:val="30"/>
              <w:widowControl w:val="0"/>
              <w:bidi w:val="0"/>
              <w:jc w:val="center"/>
              <w:rPr>
                <w:rFonts w:hint="default"/>
                <w:lang w:val="en-US" w:eastAsia="zh-CN"/>
              </w:rPr>
            </w:pPr>
          </w:p>
        </w:tc>
        <w:tc>
          <w:tcPr>
            <w:tcW w:w="33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965</w:t>
            </w:r>
          </w:p>
        </w:tc>
        <w:tc>
          <w:tcPr>
            <w:tcW w:w="911"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0.78 </w:t>
            </w:r>
          </w:p>
        </w:tc>
        <w:tc>
          <w:tcPr>
            <w:tcW w:w="874" w:type="dxa"/>
            <w:tcBorders>
              <w:tl2br w:val="nil"/>
              <w:tr2bl w:val="nil"/>
            </w:tcBorders>
            <w:vAlign w:val="center"/>
          </w:tcPr>
          <w:p>
            <w:pPr>
              <w:pStyle w:val="30"/>
              <w:widowControl w:val="0"/>
              <w:bidi w:val="0"/>
              <w:rPr>
                <w:rFonts w:hint="default"/>
                <w:lang w:val="en-US" w:eastAsia="zh-CN"/>
              </w:rPr>
            </w:pPr>
            <w:r>
              <w:rPr>
                <w:rFonts w:hint="default"/>
                <w:lang w:val="en-US" w:eastAsia="zh-CN"/>
              </w:rPr>
              <w:t>182.50</w:t>
            </w:r>
          </w:p>
        </w:tc>
        <w:tc>
          <w:tcPr>
            <w:tcW w:w="789" w:type="pct"/>
            <w:vMerge w:val="continue"/>
            <w:tcBorders>
              <w:tl2br w:val="nil"/>
              <w:tr2bl w:val="nil"/>
            </w:tcBorders>
            <w:vAlign w:val="center"/>
          </w:tcPr>
          <w:p>
            <w:pPr>
              <w:pStyle w:val="30"/>
              <w:widowControl w:val="0"/>
              <w:bidi w:val="0"/>
              <w:jc w:val="center"/>
              <w:rPr>
                <w:rFonts w:hint="default"/>
                <w:lang w:val="en-US" w:eastAsia="zh-CN"/>
              </w:rPr>
            </w:pPr>
          </w:p>
        </w:tc>
        <w:tc>
          <w:tcPr>
            <w:tcW w:w="386" w:type="pct"/>
            <w:vMerge w:val="continue"/>
            <w:tcBorders>
              <w:tl2br w:val="nil"/>
              <w:tr2bl w:val="nil"/>
            </w:tcBorders>
            <w:vAlign w:val="center"/>
          </w:tcPr>
          <w:p>
            <w:pPr>
              <w:pStyle w:val="30"/>
              <w:widowControl w:val="0"/>
              <w:bidi w:val="0"/>
              <w:jc w:val="center"/>
              <w:rPr>
                <w:rFonts w:hint="default"/>
                <w:lang w:val="en-US" w:eastAsia="zh-CN"/>
              </w:rPr>
            </w:pPr>
          </w:p>
        </w:tc>
        <w:tc>
          <w:tcPr>
            <w:tcW w:w="35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w:t>
            </w:r>
          </w:p>
        </w:tc>
        <w:tc>
          <w:tcPr>
            <w:tcW w:w="955" w:type="dxa"/>
            <w:tcBorders>
              <w:tl2br w:val="nil"/>
              <w:tr2bl w:val="nil"/>
            </w:tcBorders>
            <w:vAlign w:val="center"/>
          </w:tcPr>
          <w:p>
            <w:pPr>
              <w:pStyle w:val="30"/>
              <w:widowControl w:val="0"/>
              <w:bidi w:val="0"/>
              <w:rPr>
                <w:rFonts w:hint="default"/>
                <w:lang w:val="en-US" w:eastAsia="zh-CN"/>
              </w:rPr>
            </w:pPr>
            <w:r>
              <w:rPr>
                <w:rFonts w:hint="eastAsia"/>
                <w:lang w:val="en-US" w:eastAsia="zh-CN"/>
              </w:rPr>
              <w:t>0.008</w:t>
            </w:r>
          </w:p>
        </w:tc>
        <w:tc>
          <w:tcPr>
            <w:tcW w:w="822" w:type="dxa"/>
            <w:tcBorders>
              <w:tl2br w:val="nil"/>
              <w:tr2bl w:val="nil"/>
            </w:tcBorders>
            <w:vAlign w:val="center"/>
          </w:tcPr>
          <w:p>
            <w:pPr>
              <w:pStyle w:val="30"/>
              <w:widowControl w:val="0"/>
              <w:bidi w:val="0"/>
              <w:rPr>
                <w:rFonts w:hint="default"/>
                <w:lang w:val="en-US" w:eastAsia="zh-CN"/>
              </w:rPr>
            </w:pPr>
            <w:r>
              <w:rPr>
                <w:rFonts w:hint="default"/>
                <w:lang w:val="en-US" w:eastAsia="zh-CN"/>
              </w:rPr>
              <w:t xml:space="preserve">1.89 </w:t>
            </w:r>
          </w:p>
        </w:tc>
        <w:tc>
          <w:tcPr>
            <w:tcW w:w="455" w:type="pct"/>
            <w:vMerge w:val="continue"/>
            <w:tcBorders>
              <w:tl2br w:val="nil"/>
              <w:tr2bl w:val="nil"/>
            </w:tcBorders>
            <w:vAlign w:val="center"/>
          </w:tcPr>
          <w:p>
            <w:pPr>
              <w:pStyle w:val="30"/>
              <w:widowControl w:val="0"/>
              <w:bidi w:val="0"/>
              <w:jc w:val="center"/>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 w:type="pct"/>
            <w:vMerge w:val="continue"/>
            <w:tcBorders>
              <w:tl2br w:val="nil"/>
              <w:tr2bl w:val="nil"/>
            </w:tcBorders>
            <w:vAlign w:val="center"/>
          </w:tcPr>
          <w:p>
            <w:pPr>
              <w:pStyle w:val="30"/>
              <w:widowControl w:val="0"/>
              <w:bidi w:val="0"/>
              <w:jc w:val="center"/>
              <w:rPr>
                <w:rFonts w:hint="default"/>
                <w:lang w:val="en-US" w:eastAsia="zh-CN"/>
              </w:rPr>
            </w:pPr>
          </w:p>
        </w:tc>
        <w:tc>
          <w:tcPr>
            <w:tcW w:w="224" w:type="pct"/>
            <w:vMerge w:val="continue"/>
            <w:tcBorders>
              <w:tl2br w:val="nil"/>
              <w:tr2bl w:val="nil"/>
            </w:tcBorders>
            <w:vAlign w:val="center"/>
          </w:tcPr>
          <w:p>
            <w:pPr>
              <w:pStyle w:val="30"/>
              <w:widowControl w:val="0"/>
              <w:bidi w:val="0"/>
              <w:jc w:val="center"/>
              <w:rPr>
                <w:rFonts w:hint="default"/>
                <w:lang w:val="en-US" w:eastAsia="zh-CN"/>
              </w:rPr>
            </w:pPr>
          </w:p>
        </w:tc>
        <w:tc>
          <w:tcPr>
            <w:tcW w:w="304" w:type="pct"/>
            <w:vMerge w:val="continue"/>
            <w:tcBorders>
              <w:tl2br w:val="nil"/>
              <w:tr2bl w:val="nil"/>
            </w:tcBorders>
            <w:vAlign w:val="center"/>
          </w:tcPr>
          <w:p>
            <w:pPr>
              <w:pStyle w:val="30"/>
              <w:widowControl w:val="0"/>
              <w:bidi w:val="0"/>
              <w:jc w:val="center"/>
              <w:rPr>
                <w:rFonts w:hint="default"/>
                <w:lang w:val="en-US" w:eastAsia="zh-CN"/>
              </w:rPr>
            </w:pPr>
          </w:p>
        </w:tc>
        <w:tc>
          <w:tcPr>
            <w:tcW w:w="384"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vertAlign w:val="baseline"/>
                <w:lang w:val="en-US" w:eastAsia="zh-CN"/>
              </w:rPr>
            </w:pPr>
            <w:r>
              <w:rPr>
                <w:rFonts w:hint="eastAsia"/>
                <w:lang w:val="en-US" w:eastAsia="zh-CN"/>
              </w:rPr>
              <w:t>NH</w:t>
            </w:r>
            <w:r>
              <w:rPr>
                <w:rFonts w:hint="eastAsia"/>
                <w:vertAlign w:val="subscript"/>
                <w:lang w:val="en-US" w:eastAsia="zh-CN"/>
              </w:rPr>
              <w:t>3</w:t>
            </w:r>
            <w:r>
              <w:rPr>
                <w:rFonts w:hint="eastAsia"/>
                <w:vertAlign w:val="baseline"/>
                <w:lang w:val="en-US" w:eastAsia="zh-CN"/>
              </w:rPr>
              <w:t>-N</w:t>
            </w:r>
          </w:p>
        </w:tc>
        <w:tc>
          <w:tcPr>
            <w:tcW w:w="373" w:type="pct"/>
            <w:vMerge w:val="continue"/>
            <w:tcBorders>
              <w:tl2br w:val="nil"/>
              <w:tr2bl w:val="nil"/>
            </w:tcBorders>
            <w:vAlign w:val="center"/>
          </w:tcPr>
          <w:p>
            <w:pPr>
              <w:pStyle w:val="30"/>
              <w:widowControl w:val="0"/>
              <w:bidi w:val="0"/>
              <w:jc w:val="center"/>
              <w:rPr>
                <w:rFonts w:hint="default"/>
                <w:lang w:val="en-US" w:eastAsia="zh-CN"/>
              </w:rPr>
            </w:pPr>
          </w:p>
        </w:tc>
        <w:tc>
          <w:tcPr>
            <w:tcW w:w="339"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cs="Times New Roman"/>
                <w:kern w:val="2"/>
                <w:sz w:val="21"/>
                <w:lang w:val="en-US" w:eastAsia="zh-CN"/>
              </w:rPr>
              <w:t>154</w:t>
            </w:r>
          </w:p>
        </w:tc>
        <w:tc>
          <w:tcPr>
            <w:tcW w:w="911"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0.12 </w:t>
            </w:r>
          </w:p>
        </w:tc>
        <w:tc>
          <w:tcPr>
            <w:tcW w:w="874" w:type="dxa"/>
            <w:tcBorders>
              <w:tl2br w:val="nil"/>
              <w:tr2bl w:val="nil"/>
            </w:tcBorders>
            <w:vAlign w:val="center"/>
          </w:tcPr>
          <w:p>
            <w:pPr>
              <w:pStyle w:val="30"/>
              <w:widowControl w:val="0"/>
              <w:bidi w:val="0"/>
              <w:rPr>
                <w:rFonts w:hint="default"/>
                <w:lang w:val="en-US" w:eastAsia="zh-CN"/>
              </w:rPr>
            </w:pPr>
            <w:r>
              <w:rPr>
                <w:rFonts w:hint="default"/>
                <w:lang w:val="en-US" w:eastAsia="zh-CN"/>
              </w:rPr>
              <w:t>29.12</w:t>
            </w:r>
          </w:p>
        </w:tc>
        <w:tc>
          <w:tcPr>
            <w:tcW w:w="789" w:type="pct"/>
            <w:vMerge w:val="continue"/>
            <w:tcBorders>
              <w:tl2br w:val="nil"/>
              <w:tr2bl w:val="nil"/>
            </w:tcBorders>
            <w:vAlign w:val="center"/>
          </w:tcPr>
          <w:p>
            <w:pPr>
              <w:pStyle w:val="30"/>
              <w:widowControl w:val="0"/>
              <w:bidi w:val="0"/>
              <w:jc w:val="center"/>
              <w:rPr>
                <w:rFonts w:hint="default"/>
                <w:lang w:val="en-US" w:eastAsia="zh-CN"/>
              </w:rPr>
            </w:pPr>
          </w:p>
        </w:tc>
        <w:tc>
          <w:tcPr>
            <w:tcW w:w="386" w:type="pct"/>
            <w:vMerge w:val="continue"/>
            <w:tcBorders>
              <w:tl2br w:val="nil"/>
              <w:tr2bl w:val="nil"/>
            </w:tcBorders>
            <w:vAlign w:val="center"/>
          </w:tcPr>
          <w:p>
            <w:pPr>
              <w:pStyle w:val="30"/>
              <w:widowControl w:val="0"/>
              <w:bidi w:val="0"/>
              <w:jc w:val="center"/>
              <w:rPr>
                <w:rFonts w:hint="default"/>
                <w:lang w:val="en-US" w:eastAsia="zh-CN"/>
              </w:rPr>
            </w:pPr>
          </w:p>
        </w:tc>
        <w:tc>
          <w:tcPr>
            <w:tcW w:w="35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w:t>
            </w:r>
          </w:p>
        </w:tc>
        <w:tc>
          <w:tcPr>
            <w:tcW w:w="955"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0.004 </w:t>
            </w:r>
          </w:p>
        </w:tc>
        <w:tc>
          <w:tcPr>
            <w:tcW w:w="822" w:type="dxa"/>
            <w:tcBorders>
              <w:tl2br w:val="nil"/>
              <w:tr2bl w:val="nil"/>
            </w:tcBorders>
            <w:vAlign w:val="center"/>
          </w:tcPr>
          <w:p>
            <w:pPr>
              <w:pStyle w:val="30"/>
              <w:widowControl w:val="0"/>
              <w:bidi w:val="0"/>
              <w:rPr>
                <w:rFonts w:hint="default"/>
                <w:lang w:val="en-US" w:eastAsia="zh-CN"/>
              </w:rPr>
            </w:pPr>
            <w:r>
              <w:rPr>
                <w:rFonts w:hint="default"/>
                <w:lang w:val="en-US" w:eastAsia="zh-CN"/>
              </w:rPr>
              <w:t xml:space="preserve">0.95 </w:t>
            </w:r>
          </w:p>
        </w:tc>
        <w:tc>
          <w:tcPr>
            <w:tcW w:w="455" w:type="pct"/>
            <w:vMerge w:val="continue"/>
            <w:tcBorders>
              <w:tl2br w:val="nil"/>
              <w:tr2bl w:val="nil"/>
            </w:tcBorders>
            <w:vAlign w:val="center"/>
          </w:tcPr>
          <w:p>
            <w:pPr>
              <w:pStyle w:val="30"/>
              <w:widowControl w:val="0"/>
              <w:bidi w:val="0"/>
              <w:jc w:val="center"/>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49" w:type="pct"/>
            <w:vMerge w:val="continue"/>
            <w:tcBorders>
              <w:tl2br w:val="nil"/>
              <w:tr2bl w:val="nil"/>
            </w:tcBorders>
            <w:vAlign w:val="center"/>
          </w:tcPr>
          <w:p>
            <w:pPr>
              <w:pStyle w:val="30"/>
              <w:widowControl w:val="0"/>
              <w:bidi w:val="0"/>
              <w:jc w:val="center"/>
              <w:rPr>
                <w:rFonts w:hint="default"/>
                <w:lang w:val="en-US" w:eastAsia="zh-CN"/>
              </w:rPr>
            </w:pPr>
          </w:p>
        </w:tc>
        <w:tc>
          <w:tcPr>
            <w:tcW w:w="224" w:type="pct"/>
            <w:vMerge w:val="continue"/>
            <w:tcBorders>
              <w:tl2br w:val="nil"/>
              <w:tr2bl w:val="nil"/>
            </w:tcBorders>
            <w:vAlign w:val="center"/>
          </w:tcPr>
          <w:p>
            <w:pPr>
              <w:pStyle w:val="30"/>
              <w:widowControl w:val="0"/>
              <w:bidi w:val="0"/>
              <w:jc w:val="center"/>
              <w:rPr>
                <w:rFonts w:hint="default"/>
                <w:lang w:val="en-US" w:eastAsia="zh-CN"/>
              </w:rPr>
            </w:pPr>
          </w:p>
        </w:tc>
        <w:tc>
          <w:tcPr>
            <w:tcW w:w="304" w:type="pct"/>
            <w:vMerge w:val="continue"/>
            <w:tcBorders>
              <w:tl2br w:val="nil"/>
              <w:tr2bl w:val="nil"/>
            </w:tcBorders>
            <w:vAlign w:val="center"/>
          </w:tcPr>
          <w:p>
            <w:pPr>
              <w:pStyle w:val="30"/>
              <w:widowControl w:val="0"/>
              <w:bidi w:val="0"/>
              <w:jc w:val="center"/>
              <w:rPr>
                <w:rFonts w:hint="default"/>
                <w:lang w:val="en-US" w:eastAsia="zh-CN"/>
              </w:rPr>
            </w:pPr>
          </w:p>
        </w:tc>
        <w:tc>
          <w:tcPr>
            <w:tcW w:w="384" w:type="pct"/>
            <w:tcBorders>
              <w:tl2br w:val="nil"/>
              <w:tr2bl w:val="nil"/>
            </w:tcBorders>
            <w:vAlign w:val="center"/>
          </w:tcPr>
          <w:p>
            <w:pPr>
              <w:pStyle w:val="30"/>
              <w:widowControl w:val="0"/>
              <w:bidi w:val="0"/>
              <w:jc w:val="center"/>
              <w:rPr>
                <w:rFonts w:hint="default"/>
                <w:vertAlign w:val="baseline"/>
                <w:lang w:val="en-US" w:eastAsia="zh-CN"/>
              </w:rPr>
            </w:pPr>
            <w:r>
              <w:rPr>
                <w:rFonts w:hint="eastAsia"/>
                <w:lang w:val="en-US" w:eastAsia="zh-CN"/>
              </w:rPr>
              <w:t>SS</w:t>
            </w:r>
          </w:p>
        </w:tc>
        <w:tc>
          <w:tcPr>
            <w:tcW w:w="373" w:type="pct"/>
            <w:vMerge w:val="continue"/>
            <w:tcBorders>
              <w:tl2br w:val="nil"/>
              <w:tr2bl w:val="nil"/>
            </w:tcBorders>
            <w:vAlign w:val="center"/>
          </w:tcPr>
          <w:p>
            <w:pPr>
              <w:pStyle w:val="30"/>
              <w:widowControl w:val="0"/>
              <w:bidi w:val="0"/>
              <w:jc w:val="center"/>
              <w:rPr>
                <w:rFonts w:hint="default"/>
                <w:lang w:val="en-US" w:eastAsia="zh-CN"/>
              </w:rPr>
            </w:pPr>
          </w:p>
        </w:tc>
        <w:tc>
          <w:tcPr>
            <w:tcW w:w="339"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cs="Times New Roman"/>
                <w:kern w:val="2"/>
                <w:sz w:val="21"/>
                <w:lang w:val="en-US" w:eastAsia="zh-CN"/>
              </w:rPr>
              <w:t>1158</w:t>
            </w:r>
          </w:p>
        </w:tc>
        <w:tc>
          <w:tcPr>
            <w:tcW w:w="911"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0.93 </w:t>
            </w:r>
          </w:p>
        </w:tc>
        <w:tc>
          <w:tcPr>
            <w:tcW w:w="874" w:type="dxa"/>
            <w:tcBorders>
              <w:tl2br w:val="nil"/>
              <w:tr2bl w:val="nil"/>
            </w:tcBorders>
            <w:vAlign w:val="center"/>
          </w:tcPr>
          <w:p>
            <w:pPr>
              <w:pStyle w:val="30"/>
              <w:widowControl w:val="0"/>
              <w:bidi w:val="0"/>
              <w:rPr>
                <w:rFonts w:hint="default"/>
                <w:lang w:val="en-US" w:eastAsia="zh-CN"/>
              </w:rPr>
            </w:pPr>
            <w:r>
              <w:rPr>
                <w:rFonts w:hint="default"/>
                <w:lang w:val="en-US" w:eastAsia="zh-CN"/>
              </w:rPr>
              <w:t>219.00</w:t>
            </w:r>
          </w:p>
        </w:tc>
        <w:tc>
          <w:tcPr>
            <w:tcW w:w="789" w:type="pct"/>
            <w:vMerge w:val="continue"/>
            <w:tcBorders>
              <w:tl2br w:val="nil"/>
              <w:tr2bl w:val="nil"/>
            </w:tcBorders>
            <w:vAlign w:val="center"/>
          </w:tcPr>
          <w:p>
            <w:pPr>
              <w:pStyle w:val="30"/>
              <w:widowControl w:val="0"/>
              <w:bidi w:val="0"/>
              <w:jc w:val="center"/>
              <w:rPr>
                <w:rFonts w:hint="default"/>
                <w:lang w:val="en-US" w:eastAsia="zh-CN"/>
              </w:rPr>
            </w:pPr>
          </w:p>
        </w:tc>
        <w:tc>
          <w:tcPr>
            <w:tcW w:w="386" w:type="pct"/>
            <w:vMerge w:val="continue"/>
            <w:tcBorders>
              <w:tl2br w:val="nil"/>
              <w:tr2bl w:val="nil"/>
            </w:tcBorders>
            <w:vAlign w:val="center"/>
          </w:tcPr>
          <w:p>
            <w:pPr>
              <w:pStyle w:val="30"/>
              <w:widowControl w:val="0"/>
              <w:bidi w:val="0"/>
              <w:jc w:val="center"/>
              <w:rPr>
                <w:rFonts w:hint="default"/>
                <w:lang w:val="en-US" w:eastAsia="zh-CN"/>
              </w:rPr>
            </w:pPr>
          </w:p>
        </w:tc>
        <w:tc>
          <w:tcPr>
            <w:tcW w:w="35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w:t>
            </w:r>
          </w:p>
        </w:tc>
        <w:tc>
          <w:tcPr>
            <w:tcW w:w="955" w:type="dxa"/>
            <w:tcBorders>
              <w:tl2br w:val="nil"/>
              <w:tr2bl w:val="nil"/>
            </w:tcBorders>
            <w:vAlign w:val="center"/>
          </w:tcPr>
          <w:p>
            <w:pPr>
              <w:pStyle w:val="30"/>
              <w:widowControl w:val="0"/>
              <w:bidi w:val="0"/>
              <w:rPr>
                <w:rFonts w:hint="default"/>
                <w:lang w:val="en-US" w:eastAsia="zh-CN"/>
              </w:rPr>
            </w:pPr>
            <w:r>
              <w:rPr>
                <w:rFonts w:hint="eastAsia"/>
                <w:lang w:val="en-US" w:eastAsia="zh-CN"/>
              </w:rPr>
              <w:t>0.008</w:t>
            </w:r>
          </w:p>
        </w:tc>
        <w:tc>
          <w:tcPr>
            <w:tcW w:w="822" w:type="dxa"/>
            <w:tcBorders>
              <w:tl2br w:val="nil"/>
              <w:tr2bl w:val="nil"/>
            </w:tcBorders>
            <w:vAlign w:val="center"/>
          </w:tcPr>
          <w:p>
            <w:pPr>
              <w:pStyle w:val="30"/>
              <w:widowControl w:val="0"/>
              <w:bidi w:val="0"/>
              <w:rPr>
                <w:rFonts w:hint="default"/>
                <w:lang w:val="en-US" w:eastAsia="zh-CN"/>
              </w:rPr>
            </w:pPr>
            <w:r>
              <w:rPr>
                <w:rFonts w:hint="default"/>
                <w:lang w:val="en-US" w:eastAsia="zh-CN"/>
              </w:rPr>
              <w:t xml:space="preserve">1.89 </w:t>
            </w:r>
          </w:p>
        </w:tc>
        <w:tc>
          <w:tcPr>
            <w:tcW w:w="455" w:type="pct"/>
            <w:vMerge w:val="continue"/>
            <w:tcBorders>
              <w:tl2br w:val="nil"/>
              <w:tr2bl w:val="nil"/>
            </w:tcBorders>
            <w:vAlign w:val="center"/>
          </w:tcPr>
          <w:p>
            <w:pPr>
              <w:pStyle w:val="30"/>
              <w:widowControl w:val="0"/>
              <w:bidi w:val="0"/>
              <w:jc w:val="center"/>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 w:type="pct"/>
            <w:vMerge w:val="continue"/>
            <w:tcBorders>
              <w:tl2br w:val="nil"/>
              <w:tr2bl w:val="nil"/>
            </w:tcBorders>
            <w:vAlign w:val="center"/>
          </w:tcPr>
          <w:p>
            <w:pPr>
              <w:pStyle w:val="30"/>
              <w:widowControl w:val="0"/>
              <w:bidi w:val="0"/>
              <w:jc w:val="center"/>
              <w:rPr>
                <w:rFonts w:hint="default"/>
                <w:lang w:val="en-US" w:eastAsia="zh-CN"/>
              </w:rPr>
            </w:pPr>
          </w:p>
        </w:tc>
        <w:tc>
          <w:tcPr>
            <w:tcW w:w="224" w:type="pct"/>
            <w:vMerge w:val="continue"/>
            <w:tcBorders>
              <w:tl2br w:val="nil"/>
              <w:tr2bl w:val="nil"/>
            </w:tcBorders>
            <w:vAlign w:val="center"/>
          </w:tcPr>
          <w:p>
            <w:pPr>
              <w:pStyle w:val="30"/>
              <w:widowControl w:val="0"/>
              <w:bidi w:val="0"/>
              <w:jc w:val="center"/>
              <w:rPr>
                <w:rFonts w:hint="default"/>
                <w:lang w:val="en-US" w:eastAsia="zh-CN"/>
              </w:rPr>
            </w:pPr>
          </w:p>
        </w:tc>
        <w:tc>
          <w:tcPr>
            <w:tcW w:w="304" w:type="pct"/>
            <w:vMerge w:val="continue"/>
            <w:tcBorders>
              <w:tl2br w:val="nil"/>
              <w:tr2bl w:val="nil"/>
            </w:tcBorders>
            <w:vAlign w:val="center"/>
          </w:tcPr>
          <w:p>
            <w:pPr>
              <w:pStyle w:val="30"/>
              <w:widowControl w:val="0"/>
              <w:bidi w:val="0"/>
              <w:jc w:val="center"/>
              <w:rPr>
                <w:rFonts w:hint="default"/>
                <w:lang w:val="en-US" w:eastAsia="zh-CN"/>
              </w:rPr>
            </w:pPr>
          </w:p>
        </w:tc>
        <w:tc>
          <w:tcPr>
            <w:tcW w:w="384" w:type="pct"/>
            <w:tcBorders>
              <w:tl2br w:val="nil"/>
              <w:tr2bl w:val="nil"/>
            </w:tcBorders>
            <w:vAlign w:val="center"/>
          </w:tcPr>
          <w:p>
            <w:pPr>
              <w:pStyle w:val="30"/>
              <w:widowControl w:val="0"/>
              <w:bidi w:val="0"/>
              <w:ind w:firstLine="0" w:firstLineChars="0"/>
              <w:jc w:val="center"/>
              <w:rPr>
                <w:rFonts w:hint="default"/>
                <w:lang w:val="en-US" w:eastAsia="zh-CN"/>
              </w:rPr>
            </w:pPr>
            <w:r>
              <w:rPr>
                <w:rFonts w:hint="eastAsia"/>
                <w:lang w:val="en-US" w:eastAsia="zh-CN"/>
              </w:rPr>
              <w:t>TP</w:t>
            </w:r>
          </w:p>
        </w:tc>
        <w:tc>
          <w:tcPr>
            <w:tcW w:w="373" w:type="pct"/>
            <w:vMerge w:val="continue"/>
            <w:tcBorders>
              <w:tl2br w:val="nil"/>
              <w:tr2bl w:val="nil"/>
            </w:tcBorders>
            <w:vAlign w:val="center"/>
          </w:tcPr>
          <w:p>
            <w:pPr>
              <w:pStyle w:val="30"/>
              <w:widowControl w:val="0"/>
              <w:bidi w:val="0"/>
              <w:jc w:val="center"/>
              <w:rPr>
                <w:rFonts w:hint="default"/>
                <w:lang w:val="en-US" w:eastAsia="zh-CN"/>
              </w:rPr>
            </w:pPr>
          </w:p>
        </w:tc>
        <w:tc>
          <w:tcPr>
            <w:tcW w:w="339"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29</w:t>
            </w:r>
          </w:p>
        </w:tc>
        <w:tc>
          <w:tcPr>
            <w:tcW w:w="911"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0.02 </w:t>
            </w:r>
          </w:p>
        </w:tc>
        <w:tc>
          <w:tcPr>
            <w:tcW w:w="874" w:type="dxa"/>
            <w:tcBorders>
              <w:tl2br w:val="nil"/>
              <w:tr2bl w:val="nil"/>
            </w:tcBorders>
            <w:vAlign w:val="center"/>
          </w:tcPr>
          <w:p>
            <w:pPr>
              <w:pStyle w:val="30"/>
              <w:widowControl w:val="0"/>
              <w:bidi w:val="0"/>
              <w:rPr>
                <w:rFonts w:hint="default"/>
                <w:lang w:val="en-US" w:eastAsia="zh-CN"/>
              </w:rPr>
            </w:pPr>
            <w:r>
              <w:rPr>
                <w:rFonts w:hint="default"/>
                <w:lang w:val="en-US" w:eastAsia="zh-CN"/>
              </w:rPr>
              <w:t>5.48</w:t>
            </w:r>
          </w:p>
        </w:tc>
        <w:tc>
          <w:tcPr>
            <w:tcW w:w="789" w:type="pct"/>
            <w:vMerge w:val="continue"/>
            <w:tcBorders>
              <w:tl2br w:val="nil"/>
              <w:tr2bl w:val="nil"/>
            </w:tcBorders>
            <w:vAlign w:val="center"/>
          </w:tcPr>
          <w:p>
            <w:pPr>
              <w:pStyle w:val="30"/>
              <w:widowControl w:val="0"/>
              <w:bidi w:val="0"/>
              <w:jc w:val="center"/>
              <w:rPr>
                <w:rFonts w:hint="default"/>
                <w:lang w:val="en-US" w:eastAsia="zh-CN"/>
              </w:rPr>
            </w:pPr>
          </w:p>
        </w:tc>
        <w:tc>
          <w:tcPr>
            <w:tcW w:w="386" w:type="pct"/>
            <w:vMerge w:val="continue"/>
            <w:tcBorders>
              <w:tl2br w:val="nil"/>
              <w:tr2bl w:val="nil"/>
            </w:tcBorders>
            <w:vAlign w:val="center"/>
          </w:tcPr>
          <w:p>
            <w:pPr>
              <w:pStyle w:val="30"/>
              <w:widowControl w:val="0"/>
              <w:bidi w:val="0"/>
              <w:jc w:val="center"/>
              <w:rPr>
                <w:rFonts w:hint="default"/>
                <w:lang w:val="en-US" w:eastAsia="zh-CN"/>
              </w:rPr>
            </w:pPr>
          </w:p>
        </w:tc>
        <w:tc>
          <w:tcPr>
            <w:tcW w:w="35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0.5</w:t>
            </w:r>
          </w:p>
        </w:tc>
        <w:tc>
          <w:tcPr>
            <w:tcW w:w="955"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0.0004 </w:t>
            </w:r>
          </w:p>
        </w:tc>
        <w:tc>
          <w:tcPr>
            <w:tcW w:w="822" w:type="dxa"/>
            <w:tcBorders>
              <w:tl2br w:val="nil"/>
              <w:tr2bl w:val="nil"/>
            </w:tcBorders>
            <w:vAlign w:val="center"/>
          </w:tcPr>
          <w:p>
            <w:pPr>
              <w:pStyle w:val="30"/>
              <w:widowControl w:val="0"/>
              <w:bidi w:val="0"/>
              <w:rPr>
                <w:rFonts w:hint="default"/>
                <w:lang w:val="en-US" w:eastAsia="zh-CN"/>
              </w:rPr>
            </w:pPr>
            <w:r>
              <w:rPr>
                <w:rFonts w:hint="default"/>
                <w:lang w:val="en-US" w:eastAsia="zh-CN"/>
              </w:rPr>
              <w:t xml:space="preserve">0.09 </w:t>
            </w:r>
          </w:p>
        </w:tc>
        <w:tc>
          <w:tcPr>
            <w:tcW w:w="455" w:type="pct"/>
            <w:vMerge w:val="continue"/>
            <w:tcBorders>
              <w:tl2br w:val="nil"/>
              <w:tr2bl w:val="nil"/>
            </w:tcBorders>
            <w:vAlign w:val="center"/>
          </w:tcPr>
          <w:p>
            <w:pPr>
              <w:pStyle w:val="30"/>
              <w:widowControl w:val="0"/>
              <w:bidi w:val="0"/>
              <w:jc w:val="center"/>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49" w:type="pct"/>
            <w:vMerge w:val="continue"/>
            <w:tcBorders>
              <w:tl2br w:val="nil"/>
              <w:tr2bl w:val="nil"/>
            </w:tcBorders>
            <w:vAlign w:val="center"/>
          </w:tcPr>
          <w:p>
            <w:pPr>
              <w:pStyle w:val="30"/>
              <w:widowControl w:val="0"/>
              <w:bidi w:val="0"/>
              <w:jc w:val="center"/>
              <w:rPr>
                <w:rFonts w:hint="default"/>
                <w:lang w:val="en-US" w:eastAsia="zh-CN"/>
              </w:rPr>
            </w:pPr>
          </w:p>
        </w:tc>
        <w:tc>
          <w:tcPr>
            <w:tcW w:w="224" w:type="pct"/>
            <w:vMerge w:val="continue"/>
            <w:tcBorders>
              <w:tl2br w:val="nil"/>
              <w:tr2bl w:val="nil"/>
            </w:tcBorders>
            <w:vAlign w:val="center"/>
          </w:tcPr>
          <w:p>
            <w:pPr>
              <w:pStyle w:val="30"/>
              <w:widowControl w:val="0"/>
              <w:bidi w:val="0"/>
              <w:jc w:val="center"/>
              <w:rPr>
                <w:rFonts w:hint="default"/>
                <w:lang w:val="en-US" w:eastAsia="zh-CN"/>
              </w:rPr>
            </w:pPr>
          </w:p>
        </w:tc>
        <w:tc>
          <w:tcPr>
            <w:tcW w:w="304" w:type="pct"/>
            <w:vMerge w:val="continue"/>
            <w:tcBorders>
              <w:tl2br w:val="nil"/>
              <w:tr2bl w:val="nil"/>
            </w:tcBorders>
            <w:vAlign w:val="center"/>
          </w:tcPr>
          <w:p>
            <w:pPr>
              <w:pStyle w:val="30"/>
              <w:widowControl w:val="0"/>
              <w:bidi w:val="0"/>
              <w:jc w:val="center"/>
              <w:rPr>
                <w:rFonts w:hint="default"/>
                <w:lang w:val="en-US" w:eastAsia="zh-CN"/>
              </w:rPr>
            </w:pPr>
          </w:p>
        </w:tc>
        <w:tc>
          <w:tcPr>
            <w:tcW w:w="38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动植物油</w:t>
            </w:r>
          </w:p>
        </w:tc>
        <w:tc>
          <w:tcPr>
            <w:tcW w:w="373" w:type="pct"/>
            <w:vMerge w:val="continue"/>
            <w:tcBorders>
              <w:tl2br w:val="nil"/>
              <w:tr2bl w:val="nil"/>
            </w:tcBorders>
            <w:vAlign w:val="center"/>
          </w:tcPr>
          <w:p>
            <w:pPr>
              <w:pStyle w:val="30"/>
              <w:widowControl w:val="0"/>
              <w:bidi w:val="0"/>
              <w:jc w:val="center"/>
              <w:rPr>
                <w:rFonts w:hint="default"/>
                <w:lang w:val="en-US" w:eastAsia="zh-CN"/>
              </w:rPr>
            </w:pPr>
          </w:p>
        </w:tc>
        <w:tc>
          <w:tcPr>
            <w:tcW w:w="339" w:type="pct"/>
            <w:tcBorders>
              <w:tl2br w:val="nil"/>
              <w:tr2bl w:val="nil"/>
            </w:tcBorders>
            <w:vAlign w:val="center"/>
          </w:tcPr>
          <w:p>
            <w:pPr>
              <w:pStyle w:val="30"/>
              <w:widowControl w:val="0"/>
              <w:bidi w:val="0"/>
              <w:ind w:firstLine="0" w:firstLineChars="0"/>
              <w:jc w:val="center"/>
              <w:rPr>
                <w:rFonts w:hint="default"/>
                <w:lang w:val="en-US" w:eastAsia="zh-CN"/>
              </w:rPr>
            </w:pPr>
            <w:r>
              <w:rPr>
                <w:rFonts w:hint="eastAsia"/>
                <w:lang w:val="en-US" w:eastAsia="zh-CN"/>
              </w:rPr>
              <w:t>145</w:t>
            </w:r>
          </w:p>
        </w:tc>
        <w:tc>
          <w:tcPr>
            <w:tcW w:w="911"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0.12 </w:t>
            </w:r>
          </w:p>
        </w:tc>
        <w:tc>
          <w:tcPr>
            <w:tcW w:w="874" w:type="dxa"/>
            <w:tcBorders>
              <w:tl2br w:val="nil"/>
              <w:tr2bl w:val="nil"/>
            </w:tcBorders>
            <w:vAlign w:val="center"/>
          </w:tcPr>
          <w:p>
            <w:pPr>
              <w:pStyle w:val="30"/>
              <w:widowControl w:val="0"/>
              <w:bidi w:val="0"/>
              <w:rPr>
                <w:rFonts w:hint="default"/>
                <w:lang w:val="en-US" w:eastAsia="zh-CN"/>
              </w:rPr>
            </w:pPr>
            <w:r>
              <w:rPr>
                <w:rFonts w:hint="default"/>
                <w:lang w:val="en-US" w:eastAsia="zh-CN"/>
              </w:rPr>
              <w:t>27.42</w:t>
            </w:r>
          </w:p>
        </w:tc>
        <w:tc>
          <w:tcPr>
            <w:tcW w:w="789" w:type="pct"/>
            <w:vMerge w:val="continue"/>
            <w:tcBorders>
              <w:tl2br w:val="nil"/>
              <w:tr2bl w:val="nil"/>
            </w:tcBorders>
            <w:vAlign w:val="center"/>
          </w:tcPr>
          <w:p>
            <w:pPr>
              <w:pStyle w:val="30"/>
              <w:widowControl w:val="0"/>
              <w:bidi w:val="0"/>
              <w:jc w:val="center"/>
              <w:rPr>
                <w:rFonts w:hint="default"/>
                <w:lang w:val="en-US" w:eastAsia="zh-CN"/>
              </w:rPr>
            </w:pPr>
          </w:p>
        </w:tc>
        <w:tc>
          <w:tcPr>
            <w:tcW w:w="386" w:type="pct"/>
            <w:vMerge w:val="continue"/>
            <w:tcBorders>
              <w:tl2br w:val="nil"/>
              <w:tr2bl w:val="nil"/>
            </w:tcBorders>
            <w:vAlign w:val="center"/>
          </w:tcPr>
          <w:p>
            <w:pPr>
              <w:pStyle w:val="30"/>
              <w:widowControl w:val="0"/>
              <w:bidi w:val="0"/>
              <w:jc w:val="center"/>
              <w:rPr>
                <w:rFonts w:hint="default"/>
                <w:lang w:val="en-US" w:eastAsia="zh-CN"/>
              </w:rPr>
            </w:pPr>
          </w:p>
        </w:tc>
        <w:tc>
          <w:tcPr>
            <w:tcW w:w="35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955"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0.0008 </w:t>
            </w:r>
          </w:p>
        </w:tc>
        <w:tc>
          <w:tcPr>
            <w:tcW w:w="822" w:type="dxa"/>
            <w:tcBorders>
              <w:tl2br w:val="nil"/>
              <w:tr2bl w:val="nil"/>
            </w:tcBorders>
            <w:vAlign w:val="center"/>
          </w:tcPr>
          <w:p>
            <w:pPr>
              <w:pStyle w:val="30"/>
              <w:widowControl w:val="0"/>
              <w:bidi w:val="0"/>
              <w:rPr>
                <w:rFonts w:hint="default"/>
                <w:lang w:val="en-US" w:eastAsia="zh-CN"/>
              </w:rPr>
            </w:pPr>
            <w:r>
              <w:rPr>
                <w:rFonts w:hint="default"/>
                <w:lang w:val="en-US" w:eastAsia="zh-CN"/>
              </w:rPr>
              <w:t xml:space="preserve">0.19 </w:t>
            </w:r>
          </w:p>
        </w:tc>
        <w:tc>
          <w:tcPr>
            <w:tcW w:w="455" w:type="pct"/>
            <w:vMerge w:val="continue"/>
            <w:tcBorders>
              <w:tl2br w:val="nil"/>
              <w:tr2bl w:val="nil"/>
            </w:tcBorders>
            <w:vAlign w:val="center"/>
          </w:tcPr>
          <w:p>
            <w:pPr>
              <w:pStyle w:val="30"/>
              <w:widowControl w:val="0"/>
              <w:bidi w:val="0"/>
              <w:jc w:val="center"/>
              <w:rPr>
                <w:rFonts w:hint="default"/>
                <w:lang w:val="en-US" w:eastAsia="zh-CN"/>
              </w:rPr>
            </w:pPr>
          </w:p>
        </w:tc>
      </w:tr>
    </w:tbl>
    <w:p>
      <w:pPr>
        <w:pStyle w:val="30"/>
        <w:rPr>
          <w:rFonts w:hint="default"/>
          <w:lang w:val="en-US" w:eastAsia="zh-CN"/>
        </w:rPr>
      </w:pPr>
    </w:p>
    <w:p>
      <w:pPr>
        <w:bidi w:val="0"/>
        <w:rPr>
          <w:rFonts w:hint="default"/>
          <w:lang w:val="en-US" w:eastAsia="zh-CN"/>
        </w:rPr>
        <w:sectPr>
          <w:pgSz w:w="15840" w:h="12240" w:orient="landscape"/>
          <w:pgMar w:top="1134" w:right="850" w:bottom="1417" w:left="850" w:header="720" w:footer="720" w:gutter="0"/>
          <w:pgBorders>
            <w:top w:val="none" w:sz="0" w:space="0"/>
            <w:left w:val="none" w:sz="0" w:space="0"/>
            <w:bottom w:val="none" w:sz="0" w:space="0"/>
            <w:right w:val="none" w:sz="0" w:space="0"/>
          </w:pgBorders>
          <w:lnNumType w:countBy="0" w:distance="360"/>
          <w:pgNumType w:fmt="numberInDash"/>
          <w:cols w:space="720" w:num="1"/>
          <w:docGrid w:type="lines" w:linePitch="312" w:charSpace="0"/>
        </w:sectPr>
      </w:pPr>
    </w:p>
    <w:p>
      <w:pPr>
        <w:pStyle w:val="5"/>
        <w:bidi w:val="0"/>
        <w:rPr>
          <w:rFonts w:hint="default"/>
          <w:lang w:val="en-US" w:eastAsia="zh-CN"/>
        </w:rPr>
      </w:pPr>
      <w:r>
        <w:rPr>
          <w:rFonts w:hint="eastAsia"/>
          <w:lang w:val="en-US" w:eastAsia="zh-CN"/>
        </w:rPr>
        <w:t>废气排放和治理措施</w:t>
      </w:r>
    </w:p>
    <w:p>
      <w:pPr>
        <w:bidi w:val="0"/>
        <w:rPr>
          <w:rFonts w:hint="default"/>
          <w:lang w:val="en-US" w:eastAsia="zh-CN"/>
        </w:rPr>
      </w:pPr>
      <w:r>
        <w:rPr>
          <w:rFonts w:hint="eastAsia"/>
          <w:lang w:val="en-US" w:eastAsia="zh-CN"/>
        </w:rPr>
        <w:t>本项目废气主要为待宰、屠宰过程、污水站产生的恶臭，食堂油烟和备用发电机烟气。</w:t>
      </w:r>
    </w:p>
    <w:p>
      <w:pPr>
        <w:pStyle w:val="6"/>
        <w:bidi w:val="0"/>
        <w:rPr>
          <w:rFonts w:hint="default"/>
          <w:lang w:val="en-US" w:eastAsia="zh-CN"/>
        </w:rPr>
      </w:pPr>
      <w:r>
        <w:rPr>
          <w:rFonts w:hint="eastAsia"/>
          <w:lang w:val="en-US" w:eastAsia="zh-CN"/>
        </w:rPr>
        <w:t>恶臭</w:t>
      </w:r>
    </w:p>
    <w:p>
      <w:pPr>
        <w:bidi w:val="0"/>
        <w:rPr>
          <w:rFonts w:hint="default"/>
          <w:lang w:val="en-US" w:eastAsia="zh-CN"/>
        </w:rPr>
      </w:pPr>
      <w:r>
        <w:rPr>
          <w:rFonts w:hint="eastAsia"/>
        </w:rPr>
        <w:t>根据工程分析，项目恶臭污染物主要来源于</w:t>
      </w:r>
      <w:r>
        <w:rPr>
          <w:rFonts w:hint="eastAsia"/>
          <w:lang w:eastAsia="zh-CN"/>
        </w:rPr>
        <w:t>待宰圈</w:t>
      </w:r>
      <w:r>
        <w:rPr>
          <w:rFonts w:hint="eastAsia"/>
        </w:rPr>
        <w:t>排泄物臭味、屠宰车间产生的腥臭及肠胃内容物、粪尿等臭味以及污水处理站臭味。隔离间、急宰间主要为生猪</w:t>
      </w:r>
      <w:r>
        <w:rPr>
          <w:rFonts w:hint="eastAsia"/>
          <w:lang w:val="en-US" w:eastAsia="zh-CN"/>
        </w:rPr>
        <w:t>和肉牛</w:t>
      </w:r>
      <w:r>
        <w:rPr>
          <w:rFonts w:hint="eastAsia"/>
        </w:rPr>
        <w:t>出现异常情况时进行使用，产生的源强较小且不确定，</w:t>
      </w:r>
      <w:r>
        <w:rPr>
          <w:rFonts w:hint="eastAsia"/>
          <w:highlight w:val="none"/>
        </w:rPr>
        <w:t>无害化</w:t>
      </w:r>
      <w:r>
        <w:rPr>
          <w:rFonts w:hint="eastAsia"/>
          <w:highlight w:val="none"/>
          <w:lang w:val="en-US" w:eastAsia="zh-CN"/>
        </w:rPr>
        <w:t>暂存间</w:t>
      </w:r>
      <w:r>
        <w:rPr>
          <w:rFonts w:hint="eastAsia"/>
          <w:highlight w:val="none"/>
        </w:rPr>
        <w:t>按冻库编制建设，实施冷冻存放，产生恶臭极少，</w:t>
      </w:r>
      <w:r>
        <w:rPr>
          <w:rFonts w:hint="eastAsia"/>
        </w:rPr>
        <w:t>因此本次源强不对隔离间、急宰间和无害化</w:t>
      </w:r>
      <w:r>
        <w:rPr>
          <w:rFonts w:hint="eastAsia"/>
          <w:lang w:val="en-US" w:eastAsia="zh-CN"/>
        </w:rPr>
        <w:t>暂存间</w:t>
      </w:r>
      <w:r>
        <w:rPr>
          <w:rFonts w:hint="eastAsia"/>
        </w:rPr>
        <w:t>进行核算。</w:t>
      </w:r>
    </w:p>
    <w:p>
      <w:pPr>
        <w:bidi w:val="0"/>
        <w:rPr>
          <w:rFonts w:hint="default"/>
          <w:lang w:val="en-US" w:eastAsia="zh-CN"/>
        </w:rPr>
      </w:pPr>
      <w:r>
        <w:rPr>
          <w:rFonts w:hint="eastAsia"/>
        </w:rPr>
        <w:t>恶臭是多组分低浓度的混合气体，其成分可达几十到几百种，各成分之间</w:t>
      </w:r>
      <w:r>
        <w:rPr>
          <w:rFonts w:hint="eastAsia"/>
          <w:lang w:eastAsia="zh-CN"/>
        </w:rPr>
        <w:t>既有</w:t>
      </w:r>
      <w:r>
        <w:rPr>
          <w:rFonts w:hint="eastAsia"/>
        </w:rPr>
        <w:t>协同作用也有颉颃作用。恶臭污染主要是通过影响人们的嗅觉来影响环境。由于个人的生理、心理条件、年龄、性别、职业、习惯等因素的不同对恶臭的敏感程度、厌恶程度和可耐受程度也不同。恶臭的影响也与污染源的性质、大气状况和距污染源的方位及距离有关。</w:t>
      </w:r>
    </w:p>
    <w:p>
      <w:pPr>
        <w:bidi w:val="0"/>
        <w:rPr>
          <w:rFonts w:hint="default"/>
          <w:lang w:val="en-US" w:eastAsia="zh-CN"/>
        </w:rPr>
      </w:pPr>
      <w:r>
        <w:rPr>
          <w:rFonts w:hint="eastAsia"/>
        </w:rPr>
        <w:t>与屠宰场及肉制品深加工有关的恶臭物质多达</w:t>
      </w:r>
      <w:r>
        <w:rPr>
          <w:rFonts w:hint="default"/>
        </w:rPr>
        <w:t>23</w:t>
      </w:r>
      <w:r>
        <w:rPr>
          <w:rFonts w:hint="eastAsia"/>
        </w:rPr>
        <w:t>种，大多为氨、硫化氢、硫醇类、酮类、胺类、吲哚类和醛类，若未及时清除或清除后不能及时处理，将会使臭味成倍增加，进一步产生甲基硫醇、二甲基二醇、硫醚、甲硫醚、三甲胺等恶臭气体，并会孳生大量蚊蝇，影响环境卫生。对于生猪</w:t>
      </w:r>
      <w:r>
        <w:rPr>
          <w:rFonts w:hint="eastAsia"/>
          <w:lang w:val="en-US" w:eastAsia="zh-CN"/>
        </w:rPr>
        <w:t>和肉牛</w:t>
      </w:r>
      <w:r>
        <w:rPr>
          <w:rFonts w:hint="eastAsia"/>
        </w:rPr>
        <w:t>屠宰，主要污染因子为氨、硫化氢。</w:t>
      </w:r>
    </w:p>
    <w:p>
      <w:pPr>
        <w:bidi w:val="0"/>
        <w:rPr>
          <w:rFonts w:hint="eastAsia"/>
          <w:b/>
          <w:bCs/>
        </w:rPr>
      </w:pPr>
      <w:r>
        <w:rPr>
          <w:rFonts w:hint="eastAsia"/>
          <w:b/>
          <w:bCs/>
        </w:rPr>
        <w:t>（</w:t>
      </w:r>
      <w:r>
        <w:rPr>
          <w:rFonts w:hint="default"/>
          <w:b/>
          <w:bCs/>
        </w:rPr>
        <w:t>1</w:t>
      </w:r>
      <w:r>
        <w:rPr>
          <w:rFonts w:hint="eastAsia"/>
          <w:b/>
          <w:bCs/>
        </w:rPr>
        <w:t>）源强</w:t>
      </w:r>
    </w:p>
    <w:p>
      <w:pPr>
        <w:bidi w:val="0"/>
        <w:rPr>
          <w:rFonts w:hint="default"/>
          <w:lang w:val="en-US" w:eastAsia="zh-CN"/>
        </w:rPr>
      </w:pPr>
      <w:r>
        <w:rPr>
          <w:rFonts w:hint="eastAsia"/>
        </w:rPr>
        <w:t>根据调查，待宰圈舍的恶臭主要来自猪</w:t>
      </w:r>
      <w:r>
        <w:rPr>
          <w:rFonts w:hint="eastAsia"/>
          <w:lang w:eastAsia="zh-CN"/>
        </w:rPr>
        <w:t>、</w:t>
      </w:r>
      <w:r>
        <w:rPr>
          <w:rFonts w:hint="eastAsia"/>
          <w:lang w:val="en-US" w:eastAsia="zh-CN"/>
        </w:rPr>
        <w:t>牛</w:t>
      </w:r>
      <w:r>
        <w:rPr>
          <w:rFonts w:hint="eastAsia"/>
        </w:rPr>
        <w:t>粪尿发酵而产生的无组织排放的</w:t>
      </w:r>
      <w:r>
        <w:rPr>
          <w:rFonts w:hint="default"/>
        </w:rPr>
        <w:t>NH</w:t>
      </w:r>
      <w:r>
        <w:rPr>
          <w:rFonts w:hint="default"/>
          <w:vertAlign w:val="subscript"/>
        </w:rPr>
        <w:t>3</w:t>
      </w:r>
      <w:r>
        <w:rPr>
          <w:rFonts w:hint="eastAsia"/>
        </w:rPr>
        <w:t>、</w:t>
      </w:r>
      <w:r>
        <w:rPr>
          <w:rFonts w:hint="default"/>
        </w:rPr>
        <w:t>H</w:t>
      </w:r>
      <w:r>
        <w:rPr>
          <w:rFonts w:hint="default"/>
          <w:vertAlign w:val="subscript"/>
        </w:rPr>
        <w:t>2</w:t>
      </w:r>
      <w:r>
        <w:rPr>
          <w:rFonts w:hint="default"/>
        </w:rPr>
        <w:t>S</w:t>
      </w:r>
      <w:r>
        <w:rPr>
          <w:rFonts w:hint="eastAsia"/>
        </w:rPr>
        <w:t>，其产生量随粪尿停留时间增加而增加。同时，粪尿未及时清除会孳生大量蚊蝇，影响环境卫生。屠宰车间腥臭主要为猪内脏气味挥发及高湿条件下副产物、废弃物腐败产生腥臭味。由此可见，项目恶臭产生源点及源强不固定，且易受自然通风条件和管理措施及要求影响。</w:t>
      </w:r>
    </w:p>
    <w:p>
      <w:pPr>
        <w:bidi w:val="0"/>
        <w:rPr>
          <w:rFonts w:hint="eastAsia"/>
          <w:b/>
          <w:bCs/>
        </w:rPr>
      </w:pPr>
      <w:r>
        <w:rPr>
          <w:rFonts w:hint="default"/>
          <w:b/>
          <w:bCs/>
        </w:rPr>
        <w:t>1</w:t>
      </w:r>
      <w:r>
        <w:rPr>
          <w:rFonts w:hint="eastAsia"/>
          <w:b/>
          <w:bCs/>
        </w:rPr>
        <w:t>）</w:t>
      </w:r>
      <w:r>
        <w:rPr>
          <w:rFonts w:hint="eastAsia"/>
          <w:b/>
          <w:bCs/>
          <w:lang w:eastAsia="zh-CN"/>
        </w:rPr>
        <w:t>待宰圈</w:t>
      </w:r>
      <w:r>
        <w:rPr>
          <w:rFonts w:hint="eastAsia"/>
          <w:b/>
          <w:bCs/>
        </w:rPr>
        <w:t>恶臭源强</w:t>
      </w:r>
    </w:p>
    <w:p>
      <w:pPr>
        <w:bidi w:val="0"/>
        <w:rPr>
          <w:rFonts w:hint="default" w:eastAsia="宋体"/>
          <w:b/>
          <w:bCs/>
          <w:lang w:val="en-US" w:eastAsia="zh-CN"/>
        </w:rPr>
      </w:pPr>
      <w:r>
        <w:rPr>
          <w:rFonts w:hint="eastAsia"/>
          <w:b/>
          <w:bCs/>
          <w:lang w:val="en-US" w:eastAsia="zh-CN"/>
        </w:rPr>
        <w:t>生猪：</w:t>
      </w:r>
    </w:p>
    <w:p>
      <w:pPr>
        <w:bidi w:val="0"/>
        <w:rPr>
          <w:rFonts w:hint="eastAsia"/>
        </w:rPr>
      </w:pPr>
      <w:r>
        <w:rPr>
          <w:rFonts w:hint="eastAsia"/>
        </w:rPr>
        <w:t>本项目</w:t>
      </w:r>
      <w:r>
        <w:rPr>
          <w:rFonts w:hint="eastAsia"/>
          <w:lang w:eastAsia="zh-CN"/>
        </w:rPr>
        <w:t>待宰圈</w:t>
      </w:r>
      <w:r>
        <w:rPr>
          <w:rFonts w:hint="eastAsia"/>
          <w:lang w:val="en-US" w:eastAsia="zh-CN"/>
        </w:rPr>
        <w:t>生猪</w:t>
      </w:r>
      <w:r>
        <w:rPr>
          <w:rFonts w:hint="eastAsia"/>
        </w:rPr>
        <w:t>最大静养规模为</w:t>
      </w:r>
      <w:r>
        <w:rPr>
          <w:rFonts w:hint="eastAsia"/>
          <w:highlight w:val="none"/>
          <w:lang w:val="en-US" w:eastAsia="zh-CN"/>
        </w:rPr>
        <w:t>1500</w:t>
      </w:r>
      <w:r>
        <w:rPr>
          <w:rFonts w:hint="eastAsia"/>
          <w:highlight w:val="none"/>
        </w:rPr>
        <w:t>头</w:t>
      </w:r>
      <w:r>
        <w:rPr>
          <w:rFonts w:hint="eastAsia"/>
        </w:rPr>
        <w:t>，生猪在厂区内静养时间为</w:t>
      </w:r>
      <w:r>
        <w:rPr>
          <w:rFonts w:hint="default"/>
        </w:rPr>
        <w:t>12h~24h</w:t>
      </w:r>
      <w:r>
        <w:rPr>
          <w:rFonts w:hint="eastAsia"/>
        </w:rPr>
        <w:t>（按</w:t>
      </w:r>
      <w:r>
        <w:rPr>
          <w:rFonts w:hint="default"/>
        </w:rPr>
        <w:t>24h</w:t>
      </w:r>
      <w:r>
        <w:rPr>
          <w:rFonts w:hint="eastAsia"/>
        </w:rPr>
        <w:t>计）。本次环评参照引用中国环境科学学会学术年会论文集（</w:t>
      </w:r>
      <w:r>
        <w:rPr>
          <w:rFonts w:hint="default"/>
        </w:rPr>
        <w:t>2010</w:t>
      </w:r>
      <w:r>
        <w:rPr>
          <w:rFonts w:hint="eastAsia"/>
        </w:rPr>
        <w:t>）中的《养猪场恶臭影响量化分析及控制对策研究》（天津市环境影响评价中心，孙艳青、张潞、李万庆）资料确定本项目</w:t>
      </w:r>
      <w:r>
        <w:rPr>
          <w:rFonts w:hint="eastAsia"/>
          <w:lang w:eastAsia="zh-CN"/>
        </w:rPr>
        <w:t>待宰圈</w:t>
      </w:r>
      <w:r>
        <w:rPr>
          <w:rFonts w:hint="eastAsia"/>
        </w:rPr>
        <w:t>恶臭污染物源强。</w:t>
      </w:r>
    </w:p>
    <w:p>
      <w:pPr>
        <w:bidi w:val="0"/>
        <w:rPr>
          <w:rFonts w:hint="default"/>
          <w:lang w:val="en-US" w:eastAsia="zh-CN"/>
        </w:rPr>
      </w:pPr>
      <w:r>
        <w:rPr>
          <w:rFonts w:hint="eastAsia"/>
        </w:rPr>
        <w:t>根据该文献中大猪产生量计，大猪的氨气排放量为</w:t>
      </w:r>
      <w:r>
        <w:rPr>
          <w:rFonts w:hint="default"/>
        </w:rPr>
        <w:t>5.6g/</w:t>
      </w:r>
      <w:r>
        <w:rPr>
          <w:rFonts w:hint="eastAsia"/>
        </w:rPr>
        <w:t>（头</w:t>
      </w:r>
      <w:r>
        <w:rPr>
          <w:rFonts w:hint="default"/>
        </w:rPr>
        <w:t>·d</w:t>
      </w:r>
      <w:r>
        <w:rPr>
          <w:rFonts w:hint="eastAsia"/>
        </w:rPr>
        <w:t>），硫化氢排放量为</w:t>
      </w:r>
      <w:r>
        <w:rPr>
          <w:rFonts w:hint="default"/>
        </w:rPr>
        <w:t>0.5g/</w:t>
      </w:r>
      <w:r>
        <w:rPr>
          <w:rFonts w:hint="eastAsia"/>
        </w:rPr>
        <w:t>（头</w:t>
      </w:r>
      <w:r>
        <w:rPr>
          <w:rFonts w:hint="default"/>
        </w:rPr>
        <w:t>·d</w:t>
      </w:r>
      <w:r>
        <w:rPr>
          <w:rFonts w:hint="eastAsia"/>
        </w:rPr>
        <w:t>），由于生猪在静养圈停留时间短且不喂食，同时及时清理粪便，因此采用</w:t>
      </w:r>
      <w:r>
        <w:rPr>
          <w:rFonts w:hint="default"/>
        </w:rPr>
        <w:t>0.8</w:t>
      </w:r>
      <w:r>
        <w:rPr>
          <w:rFonts w:hint="eastAsia"/>
        </w:rPr>
        <w:t>系数进行调节，本项目</w:t>
      </w:r>
      <w:r>
        <w:rPr>
          <w:rFonts w:hint="eastAsia"/>
          <w:lang w:eastAsia="zh-CN"/>
        </w:rPr>
        <w:t>待宰圈</w:t>
      </w:r>
      <w:r>
        <w:rPr>
          <w:rFonts w:hint="eastAsia"/>
        </w:rPr>
        <w:t>最大静养规模为</w:t>
      </w:r>
      <w:r>
        <w:rPr>
          <w:rFonts w:hint="eastAsia"/>
          <w:lang w:val="en-US" w:eastAsia="zh-CN"/>
        </w:rPr>
        <w:t>1500</w:t>
      </w:r>
      <w:r>
        <w:rPr>
          <w:rFonts w:hint="eastAsia"/>
        </w:rPr>
        <w:t>头，项目</w:t>
      </w:r>
      <w:r>
        <w:rPr>
          <w:rFonts w:hint="eastAsia"/>
          <w:lang w:eastAsia="zh-CN"/>
        </w:rPr>
        <w:t>待宰圈</w:t>
      </w:r>
      <w:r>
        <w:rPr>
          <w:rFonts w:hint="eastAsia"/>
          <w:lang w:val="en-US" w:eastAsia="zh-CN"/>
        </w:rPr>
        <w:t>生猪产生的</w:t>
      </w:r>
      <w:r>
        <w:rPr>
          <w:rFonts w:hint="eastAsia"/>
        </w:rPr>
        <w:t>氨气和硫化氢源强分别</w:t>
      </w:r>
      <w:r>
        <w:rPr>
          <w:rFonts w:hint="eastAsia"/>
          <w:highlight w:val="none"/>
        </w:rPr>
        <w:t>为</w:t>
      </w:r>
      <w:r>
        <w:rPr>
          <w:rFonts w:hint="default"/>
          <w:highlight w:val="none"/>
        </w:rPr>
        <w:t>NH</w:t>
      </w:r>
      <w:r>
        <w:rPr>
          <w:rFonts w:hint="default"/>
          <w:highlight w:val="none"/>
          <w:vertAlign w:val="subscript"/>
        </w:rPr>
        <w:t>3</w:t>
      </w:r>
      <w:r>
        <w:rPr>
          <w:rFonts w:hint="eastAsia"/>
          <w:highlight w:val="none"/>
        </w:rPr>
        <w:t>：</w:t>
      </w:r>
      <w:r>
        <w:rPr>
          <w:rFonts w:hint="default"/>
          <w:highlight w:val="none"/>
        </w:rPr>
        <w:t>0.</w:t>
      </w:r>
      <w:r>
        <w:rPr>
          <w:rFonts w:hint="eastAsia"/>
          <w:highlight w:val="none"/>
          <w:lang w:val="en-US" w:eastAsia="zh-CN"/>
        </w:rPr>
        <w:t>28</w:t>
      </w:r>
      <w:r>
        <w:rPr>
          <w:rFonts w:hint="default"/>
          <w:highlight w:val="none"/>
        </w:rPr>
        <w:t>kg/h</w:t>
      </w:r>
      <w:r>
        <w:rPr>
          <w:rFonts w:hint="eastAsia"/>
          <w:highlight w:val="none"/>
        </w:rPr>
        <w:t>、</w:t>
      </w:r>
      <w:r>
        <w:rPr>
          <w:rFonts w:hint="default"/>
          <w:highlight w:val="none"/>
        </w:rPr>
        <w:t>H</w:t>
      </w:r>
      <w:r>
        <w:rPr>
          <w:rFonts w:hint="default"/>
          <w:highlight w:val="none"/>
          <w:vertAlign w:val="subscript"/>
        </w:rPr>
        <w:t>2</w:t>
      </w:r>
      <w:r>
        <w:rPr>
          <w:rFonts w:hint="default"/>
          <w:highlight w:val="none"/>
        </w:rPr>
        <w:t>S</w:t>
      </w:r>
      <w:r>
        <w:rPr>
          <w:rFonts w:hint="eastAsia"/>
          <w:highlight w:val="none"/>
        </w:rPr>
        <w:t>：</w:t>
      </w:r>
      <w:r>
        <w:rPr>
          <w:rFonts w:hint="default"/>
          <w:highlight w:val="none"/>
        </w:rPr>
        <w:t>0.0</w:t>
      </w:r>
      <w:r>
        <w:rPr>
          <w:rFonts w:hint="eastAsia"/>
          <w:highlight w:val="none"/>
          <w:lang w:val="en-US" w:eastAsia="zh-CN"/>
        </w:rPr>
        <w:t>25</w:t>
      </w:r>
      <w:r>
        <w:rPr>
          <w:rFonts w:hint="default"/>
          <w:highlight w:val="none"/>
        </w:rPr>
        <w:t>kg/h</w:t>
      </w:r>
      <w:r>
        <w:rPr>
          <w:rFonts w:hint="eastAsia"/>
          <w:highlight w:val="none"/>
        </w:rPr>
        <w:t>，年产量约为</w:t>
      </w:r>
      <w:r>
        <w:rPr>
          <w:rFonts w:hint="default"/>
          <w:highlight w:val="none"/>
        </w:rPr>
        <w:t>NH</w:t>
      </w:r>
      <w:r>
        <w:rPr>
          <w:rFonts w:hint="default"/>
          <w:highlight w:val="none"/>
          <w:vertAlign w:val="subscript"/>
        </w:rPr>
        <w:t>3</w:t>
      </w:r>
      <w:r>
        <w:rPr>
          <w:rFonts w:hint="eastAsia"/>
          <w:highlight w:val="none"/>
        </w:rPr>
        <w:t>：</w:t>
      </w:r>
      <w:r>
        <w:rPr>
          <w:rFonts w:hint="eastAsia"/>
          <w:highlight w:val="none"/>
          <w:lang w:val="en-US" w:eastAsia="zh-CN"/>
        </w:rPr>
        <w:t>1.34</w:t>
      </w:r>
      <w:r>
        <w:rPr>
          <w:rFonts w:hint="default"/>
          <w:highlight w:val="none"/>
        </w:rPr>
        <w:t>t/a</w:t>
      </w:r>
      <w:r>
        <w:rPr>
          <w:rFonts w:hint="eastAsia"/>
          <w:highlight w:val="none"/>
        </w:rPr>
        <w:t>、</w:t>
      </w:r>
      <w:r>
        <w:rPr>
          <w:rFonts w:hint="default"/>
          <w:highlight w:val="none"/>
        </w:rPr>
        <w:t>H</w:t>
      </w:r>
      <w:r>
        <w:rPr>
          <w:rFonts w:hint="default"/>
          <w:highlight w:val="none"/>
          <w:vertAlign w:val="subscript"/>
        </w:rPr>
        <w:t>2</w:t>
      </w:r>
      <w:r>
        <w:rPr>
          <w:rFonts w:hint="default"/>
          <w:highlight w:val="none"/>
        </w:rPr>
        <w:t>S</w:t>
      </w:r>
      <w:r>
        <w:rPr>
          <w:rFonts w:hint="eastAsia"/>
          <w:highlight w:val="none"/>
        </w:rPr>
        <w:t>：</w:t>
      </w:r>
      <w:r>
        <w:rPr>
          <w:rFonts w:hint="default"/>
          <w:highlight w:val="none"/>
        </w:rPr>
        <w:t>0.</w:t>
      </w:r>
      <w:r>
        <w:rPr>
          <w:rFonts w:hint="eastAsia"/>
          <w:highlight w:val="none"/>
          <w:lang w:val="en-US" w:eastAsia="zh-CN"/>
        </w:rPr>
        <w:t>12</w:t>
      </w:r>
      <w:r>
        <w:rPr>
          <w:rFonts w:hint="default"/>
          <w:highlight w:val="none"/>
        </w:rPr>
        <w:t>t/a</w:t>
      </w:r>
      <w:r>
        <w:rPr>
          <w:rFonts w:hint="eastAsia"/>
          <w:highlight w:val="none"/>
        </w:rPr>
        <w:t>。</w:t>
      </w:r>
    </w:p>
    <w:p>
      <w:pPr>
        <w:bidi w:val="0"/>
        <w:rPr>
          <w:rFonts w:hint="default"/>
          <w:b/>
          <w:bCs/>
          <w:lang w:val="en-US" w:eastAsia="zh-CN"/>
        </w:rPr>
      </w:pPr>
      <w:r>
        <w:rPr>
          <w:rFonts w:hint="eastAsia"/>
          <w:b/>
          <w:bCs/>
          <w:lang w:val="en-US" w:eastAsia="zh-CN"/>
        </w:rPr>
        <w:t>肉牛：</w:t>
      </w:r>
    </w:p>
    <w:p>
      <w:pPr>
        <w:bidi w:val="0"/>
        <w:rPr>
          <w:rFonts w:hint="eastAsia"/>
          <w:lang w:val="en-US" w:eastAsia="zh-CN"/>
        </w:rPr>
      </w:pPr>
      <w:r>
        <w:rPr>
          <w:rFonts w:hint="eastAsia"/>
          <w:lang w:val="en-US" w:eastAsia="zh-CN"/>
        </w:rPr>
        <w:t>本项目待宰圈肉牛最大静养规模为100头，肉牛在厂区静养时间为</w:t>
      </w:r>
      <w:r>
        <w:rPr>
          <w:rFonts w:hint="default"/>
        </w:rPr>
        <w:t>12h~24h</w:t>
      </w:r>
      <w:r>
        <w:rPr>
          <w:rFonts w:hint="eastAsia"/>
        </w:rPr>
        <w:t>（按</w:t>
      </w:r>
      <w:r>
        <w:rPr>
          <w:rFonts w:hint="default"/>
        </w:rPr>
        <w:t>24h</w:t>
      </w:r>
      <w:r>
        <w:rPr>
          <w:rFonts w:hint="eastAsia"/>
        </w:rPr>
        <w:t>计）。</w:t>
      </w:r>
      <w:r>
        <w:rPr>
          <w:rFonts w:hint="eastAsia"/>
          <w:lang w:val="en-US" w:eastAsia="zh-CN"/>
        </w:rPr>
        <w:t>本次环评根据《畜禽养殖业排污系数表》（农业出版社）可知，牛粪产生量为20kg/头·d，牛尿产生量为10kg/头·d，</w:t>
      </w:r>
      <w:r>
        <w:rPr>
          <w:rFonts w:hint="eastAsia"/>
        </w:rPr>
        <w:t>由于</w:t>
      </w:r>
      <w:r>
        <w:rPr>
          <w:rFonts w:hint="eastAsia"/>
          <w:lang w:val="en-US" w:eastAsia="zh-CN"/>
        </w:rPr>
        <w:t>肉牛</w:t>
      </w:r>
      <w:r>
        <w:rPr>
          <w:rFonts w:hint="eastAsia"/>
        </w:rPr>
        <w:t>在静养圈停留时间短且不喂食，同时及时清理粪便</w:t>
      </w:r>
      <w:r>
        <w:rPr>
          <w:rFonts w:hint="eastAsia"/>
          <w:lang w:val="en-US" w:eastAsia="zh-CN"/>
        </w:rPr>
        <w:t>，参考同类项目可知，将采用0.8系数进行调整，因此本项目牛粪最大产生量约为1.6t/d，160t/a，牛尿最大产生量约为0.8t/d，80t/a。</w:t>
      </w:r>
    </w:p>
    <w:p>
      <w:pPr>
        <w:bidi w:val="0"/>
        <w:rPr>
          <w:rFonts w:hint="default" w:eastAsia="宋体"/>
          <w:vertAlign w:val="baseline"/>
          <w:lang w:val="en-US" w:eastAsia="zh-CN"/>
        </w:rPr>
      </w:pPr>
      <w:r>
        <w:rPr>
          <w:rFonts w:hint="eastAsia"/>
          <w:lang w:val="en-US" w:eastAsia="zh-CN"/>
        </w:rPr>
        <w:t>根据《畜禽养殖业排污系数表》（农业出版社）可知，每吨牛尿含氮量约为8.0kg，根据《中国畜禽粪便产生量估算及环境效应》（中国环境科学，2006，26（5）614~617），牛粪中含氮量0.315%，含硫量0.596</w:t>
      </w:r>
      <w:r>
        <w:rPr>
          <w:rFonts w:hint="default"/>
          <w:lang w:val="en-US" w:eastAsia="zh-CN"/>
        </w:rPr>
        <w:t>‰</w:t>
      </w:r>
      <w:r>
        <w:rPr>
          <w:rFonts w:hint="eastAsia"/>
          <w:lang w:val="en-US" w:eastAsia="zh-CN"/>
        </w:rPr>
        <w:t>。在饲料配方合理，栏舍管理得当的前提下，总氮、总硫转化成NH</w:t>
      </w:r>
      <w:r>
        <w:rPr>
          <w:rFonts w:hint="eastAsia"/>
          <w:vertAlign w:val="subscript"/>
          <w:lang w:val="en-US" w:eastAsia="zh-CN"/>
        </w:rPr>
        <w:t>3</w:t>
      </w:r>
      <w:r>
        <w:rPr>
          <w:rFonts w:hint="eastAsia"/>
          <w:lang w:val="en-US" w:eastAsia="zh-CN"/>
        </w:rPr>
        <w:t>、H</w:t>
      </w:r>
      <w:r>
        <w:rPr>
          <w:rFonts w:hint="eastAsia"/>
          <w:vertAlign w:val="subscript"/>
          <w:lang w:val="en-US" w:eastAsia="zh-CN"/>
        </w:rPr>
        <w:t>2</w:t>
      </w:r>
      <w:r>
        <w:rPr>
          <w:rFonts w:hint="eastAsia"/>
          <w:lang w:val="en-US" w:eastAsia="zh-CN"/>
        </w:rPr>
        <w:t>S的量不超过总量的5%，本项目肉牛静养不进行喂食喂水，因此本次评价按最不利条件，转化率取5%。本项目待宰圈肉牛产生的恶臭污染物排放浓度源强为NH</w:t>
      </w:r>
      <w:r>
        <w:rPr>
          <w:rFonts w:hint="eastAsia"/>
          <w:vertAlign w:val="subscript"/>
          <w:lang w:val="en-US" w:eastAsia="zh-CN"/>
        </w:rPr>
        <w:t>3</w:t>
      </w:r>
      <w:r>
        <w:rPr>
          <w:rFonts w:hint="eastAsia"/>
          <w:vertAlign w:val="baseline"/>
          <w:lang w:val="en-US" w:eastAsia="zh-CN"/>
        </w:rPr>
        <w:t>：0.024kg/h、H</w:t>
      </w:r>
      <w:r>
        <w:rPr>
          <w:rFonts w:hint="eastAsia"/>
          <w:vertAlign w:val="subscript"/>
          <w:lang w:val="en-US" w:eastAsia="zh-CN"/>
        </w:rPr>
        <w:t>2</w:t>
      </w:r>
      <w:r>
        <w:rPr>
          <w:rFonts w:hint="eastAsia"/>
          <w:vertAlign w:val="baseline"/>
          <w:lang w:val="en-US" w:eastAsia="zh-CN"/>
        </w:rPr>
        <w:t>S：0.002</w:t>
      </w:r>
      <w:r>
        <w:rPr>
          <w:rFonts w:hint="default"/>
        </w:rPr>
        <w:t>kg/h</w:t>
      </w:r>
      <w:r>
        <w:rPr>
          <w:rFonts w:hint="eastAsia"/>
          <w:lang w:eastAsia="zh-CN"/>
        </w:rPr>
        <w:t>，</w:t>
      </w:r>
      <w:r>
        <w:rPr>
          <w:rFonts w:hint="eastAsia"/>
          <w:lang w:val="en-US" w:eastAsia="zh-CN"/>
        </w:rPr>
        <w:t>年产量约为NH</w:t>
      </w:r>
      <w:r>
        <w:rPr>
          <w:rFonts w:hint="eastAsia"/>
          <w:vertAlign w:val="subscript"/>
          <w:lang w:val="en-US" w:eastAsia="zh-CN"/>
        </w:rPr>
        <w:t>3</w:t>
      </w:r>
      <w:r>
        <w:rPr>
          <w:rFonts w:hint="eastAsia"/>
          <w:vertAlign w:val="baseline"/>
          <w:lang w:val="en-US" w:eastAsia="zh-CN"/>
        </w:rPr>
        <w:t>：0.54t/a，H</w:t>
      </w:r>
      <w:r>
        <w:rPr>
          <w:rFonts w:hint="eastAsia"/>
          <w:vertAlign w:val="subscript"/>
          <w:lang w:val="en-US" w:eastAsia="zh-CN"/>
        </w:rPr>
        <w:t>2</w:t>
      </w:r>
      <w:r>
        <w:rPr>
          <w:rFonts w:hint="eastAsia"/>
          <w:vertAlign w:val="baseline"/>
          <w:lang w:val="en-US" w:eastAsia="zh-CN"/>
        </w:rPr>
        <w:t>S：0.005t/a。</w:t>
      </w:r>
    </w:p>
    <w:p>
      <w:pPr>
        <w:bidi w:val="0"/>
        <w:rPr>
          <w:rFonts w:hint="default"/>
          <w:vertAlign w:val="baseline"/>
          <w:lang w:val="en-US" w:eastAsia="zh-CN"/>
        </w:rPr>
      </w:pPr>
      <w:r>
        <w:rPr>
          <w:rFonts w:hint="eastAsia"/>
          <w:lang w:val="en-US" w:eastAsia="zh-CN"/>
        </w:rPr>
        <w:t>因此，本项目待宰圈产生的NH</w:t>
      </w:r>
      <w:r>
        <w:rPr>
          <w:rFonts w:hint="eastAsia"/>
          <w:vertAlign w:val="subscript"/>
          <w:lang w:val="en-US" w:eastAsia="zh-CN"/>
        </w:rPr>
        <w:t>3</w:t>
      </w: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S总量为1.88t/a和0.125t/a，产生速率为0.304kg/h和0.027kg/h。</w:t>
      </w:r>
    </w:p>
    <w:p>
      <w:pPr>
        <w:bidi w:val="0"/>
        <w:rPr>
          <w:rFonts w:hint="default"/>
          <w:b/>
          <w:bCs/>
          <w:lang w:val="en-US" w:eastAsia="zh-CN"/>
        </w:rPr>
      </w:pPr>
      <w:r>
        <w:rPr>
          <w:rFonts w:hint="eastAsia"/>
          <w:b/>
          <w:bCs/>
          <w:lang w:val="en-US" w:eastAsia="zh-CN"/>
        </w:rPr>
        <w:t>2）屠宰车间恶臭源强</w:t>
      </w:r>
    </w:p>
    <w:p>
      <w:pPr>
        <w:bidi w:val="0"/>
        <w:rPr>
          <w:rFonts w:hint="default"/>
          <w:b/>
          <w:bCs/>
          <w:lang w:val="en-US" w:eastAsia="zh-CN"/>
        </w:rPr>
      </w:pPr>
      <w:r>
        <w:rPr>
          <w:rFonts w:hint="eastAsia"/>
          <w:b/>
          <w:bCs/>
          <w:lang w:val="en-US" w:eastAsia="zh-CN"/>
        </w:rPr>
        <w:t>生猪屠宰车间：</w:t>
      </w:r>
    </w:p>
    <w:p>
      <w:pPr>
        <w:spacing w:beforeLines="0" w:afterLines="0"/>
        <w:jc w:val="left"/>
        <w:rPr>
          <w:rFonts w:hint="eastAsia" w:ascii="宋体" w:hAnsi="宋体" w:eastAsia="宋体"/>
          <w:sz w:val="24"/>
        </w:rPr>
      </w:pPr>
      <w:r>
        <w:rPr>
          <w:rFonts w:hint="eastAsia" w:ascii="宋体" w:hAnsi="宋体" w:eastAsia="宋体"/>
          <w:sz w:val="24"/>
        </w:rPr>
        <w:t>本次环评参照《肉联厂对周围大气的污染及其卫生防护距离分析》（辛峰，蒋蓉芳，赵金镯等，环境与职业医学，</w:t>
      </w:r>
      <w:r>
        <w:rPr>
          <w:rFonts w:hint="default" w:ascii="Times New Roman" w:hAnsi="Times New Roman" w:eastAsia="Times New Roman"/>
          <w:sz w:val="24"/>
        </w:rPr>
        <w:t>2012</w:t>
      </w:r>
      <w:r>
        <w:rPr>
          <w:rFonts w:hint="eastAsia" w:ascii="宋体" w:hAnsi="宋体" w:eastAsia="宋体"/>
          <w:sz w:val="24"/>
        </w:rPr>
        <w:t>年</w:t>
      </w:r>
      <w:r>
        <w:rPr>
          <w:rFonts w:hint="default" w:ascii="Times New Roman" w:hAnsi="Times New Roman" w:eastAsia="Times New Roman"/>
          <w:sz w:val="24"/>
        </w:rPr>
        <w:t>1</w:t>
      </w:r>
      <w:r>
        <w:rPr>
          <w:rFonts w:hint="eastAsia" w:ascii="宋体" w:hAnsi="宋体" w:eastAsia="宋体"/>
          <w:sz w:val="24"/>
        </w:rPr>
        <w:t>月，第</w:t>
      </w:r>
      <w:r>
        <w:rPr>
          <w:rFonts w:hint="default" w:ascii="Times New Roman" w:hAnsi="Times New Roman" w:eastAsia="Times New Roman"/>
          <w:sz w:val="24"/>
        </w:rPr>
        <w:t>29</w:t>
      </w:r>
      <w:r>
        <w:rPr>
          <w:rFonts w:hint="eastAsia" w:ascii="宋体" w:hAnsi="宋体" w:eastAsia="宋体"/>
          <w:sz w:val="24"/>
        </w:rPr>
        <w:t>卷第</w:t>
      </w:r>
      <w:r>
        <w:rPr>
          <w:rFonts w:hint="default" w:ascii="Times New Roman" w:hAnsi="Times New Roman" w:eastAsia="Times New Roman"/>
          <w:sz w:val="24"/>
        </w:rPr>
        <w:t>1</w:t>
      </w:r>
      <w:r>
        <w:rPr>
          <w:rFonts w:hint="eastAsia" w:ascii="宋体" w:hAnsi="宋体" w:eastAsia="宋体"/>
          <w:sz w:val="24"/>
        </w:rPr>
        <w:t>期）中实测数据确定本项目屠宰车间恶臭污染物源强。</w:t>
      </w:r>
    </w:p>
    <w:p>
      <w:pPr>
        <w:spacing w:beforeLines="0" w:afterLines="0"/>
        <w:jc w:val="left"/>
        <w:rPr>
          <w:rFonts w:hint="default"/>
          <w:lang w:val="en-US" w:eastAsia="zh-CN"/>
        </w:rPr>
      </w:pPr>
      <w:r>
        <w:rPr>
          <w:rFonts w:hint="eastAsia" w:ascii="宋体" w:hAnsi="宋体" w:eastAsia="宋体"/>
          <w:sz w:val="24"/>
        </w:rPr>
        <w:t>根据该文献可知，安徽某肉联厂日屠宰量为</w:t>
      </w:r>
      <w:r>
        <w:rPr>
          <w:rFonts w:hint="default" w:ascii="Times New Roman" w:hAnsi="Times New Roman" w:eastAsia="Times New Roman"/>
          <w:sz w:val="24"/>
        </w:rPr>
        <w:t>6500</w:t>
      </w:r>
      <w:r>
        <w:rPr>
          <w:rFonts w:hint="eastAsia" w:ascii="宋体" w:hAnsi="宋体" w:eastAsia="宋体"/>
          <w:sz w:val="24"/>
        </w:rPr>
        <w:t>头，屠宰时采用电机击昏生猪，机械化屠宰，全自动切割屠宰后的生猪胴体，该项目污水及残留物经全封闭管道进入污水处理站处理达标后排放。根据污染物排放特征，该文献于</w:t>
      </w:r>
      <w:r>
        <w:rPr>
          <w:rFonts w:hint="default" w:ascii="Times New Roman" w:hAnsi="Times New Roman" w:eastAsia="Times New Roman"/>
          <w:sz w:val="24"/>
        </w:rPr>
        <w:t>2010</w:t>
      </w:r>
      <w:r>
        <w:rPr>
          <w:rFonts w:hint="eastAsia" w:ascii="宋体" w:hAnsi="宋体" w:eastAsia="宋体"/>
          <w:sz w:val="24"/>
        </w:rPr>
        <w:t>年</w:t>
      </w:r>
      <w:r>
        <w:rPr>
          <w:rFonts w:hint="default" w:ascii="Times New Roman" w:hAnsi="Times New Roman" w:eastAsia="Times New Roman"/>
          <w:sz w:val="24"/>
        </w:rPr>
        <w:t>5</w:t>
      </w:r>
      <w:r>
        <w:rPr>
          <w:rFonts w:hint="eastAsia" w:ascii="宋体" w:hAnsi="宋体" w:eastAsia="宋体"/>
          <w:sz w:val="24"/>
        </w:rPr>
        <w:t>月</w:t>
      </w:r>
      <w:r>
        <w:rPr>
          <w:rFonts w:hint="default" w:ascii="Times New Roman" w:hAnsi="Times New Roman" w:eastAsia="Times New Roman"/>
          <w:sz w:val="24"/>
        </w:rPr>
        <w:t>25</w:t>
      </w:r>
      <w:r>
        <w:rPr>
          <w:rFonts w:hint="eastAsia" w:ascii="宋体" w:hAnsi="宋体" w:eastAsia="宋体"/>
          <w:sz w:val="24"/>
        </w:rPr>
        <w:t>～</w:t>
      </w:r>
      <w:r>
        <w:rPr>
          <w:rFonts w:hint="default" w:ascii="Times New Roman" w:hAnsi="Times New Roman" w:eastAsia="Times New Roman"/>
          <w:sz w:val="24"/>
        </w:rPr>
        <w:t>2011</w:t>
      </w:r>
      <w:r>
        <w:rPr>
          <w:rFonts w:hint="eastAsia" w:ascii="宋体" w:hAnsi="宋体" w:eastAsia="宋体"/>
          <w:sz w:val="24"/>
        </w:rPr>
        <w:t>年</w:t>
      </w:r>
      <w:r>
        <w:rPr>
          <w:rFonts w:hint="default" w:ascii="Times New Roman" w:hAnsi="Times New Roman" w:eastAsia="Times New Roman"/>
          <w:sz w:val="24"/>
        </w:rPr>
        <w:t>1</w:t>
      </w:r>
      <w:r>
        <w:rPr>
          <w:rFonts w:hint="eastAsia" w:ascii="宋体" w:hAnsi="宋体" w:eastAsia="宋体"/>
          <w:sz w:val="24"/>
        </w:rPr>
        <w:t>月</w:t>
      </w:r>
      <w:r>
        <w:rPr>
          <w:rFonts w:hint="default" w:ascii="Times New Roman" w:hAnsi="Times New Roman" w:eastAsia="Times New Roman"/>
          <w:sz w:val="24"/>
        </w:rPr>
        <w:t>13</w:t>
      </w:r>
      <w:r>
        <w:rPr>
          <w:rFonts w:hint="eastAsia" w:ascii="宋体" w:hAnsi="宋体" w:eastAsia="宋体"/>
          <w:sz w:val="24"/>
        </w:rPr>
        <w:t>日分</w:t>
      </w:r>
      <w:r>
        <w:rPr>
          <w:rFonts w:hint="default" w:ascii="Times New Roman" w:hAnsi="Times New Roman" w:eastAsia="Times New Roman"/>
          <w:sz w:val="24"/>
        </w:rPr>
        <w:t>4</w:t>
      </w:r>
      <w:r>
        <w:rPr>
          <w:rFonts w:hint="eastAsia" w:ascii="宋体" w:hAnsi="宋体" w:eastAsia="宋体"/>
          <w:sz w:val="24"/>
        </w:rPr>
        <w:t>次</w:t>
      </w:r>
      <w:r>
        <w:rPr>
          <w:rFonts w:hint="eastAsia" w:ascii="宋体" w:hAnsi="宋体"/>
          <w:sz w:val="24"/>
          <w:lang w:eastAsia="zh-CN"/>
        </w:rPr>
        <w:t>（</w:t>
      </w:r>
      <w:r>
        <w:rPr>
          <w:rFonts w:hint="default" w:ascii="Times New Roman" w:hAnsi="Times New Roman" w:eastAsia="Times New Roman"/>
          <w:sz w:val="24"/>
        </w:rPr>
        <w:t>1</w:t>
      </w:r>
      <w:r>
        <w:rPr>
          <w:rFonts w:hint="eastAsia" w:ascii="宋体" w:hAnsi="宋体" w:eastAsia="宋体"/>
          <w:sz w:val="24"/>
        </w:rPr>
        <w:t>次</w:t>
      </w:r>
      <w:r>
        <w:rPr>
          <w:rFonts w:hint="default" w:ascii="Times New Roman" w:hAnsi="Times New Roman" w:eastAsia="Times New Roman"/>
          <w:sz w:val="24"/>
        </w:rPr>
        <w:t>/</w:t>
      </w:r>
      <w:r>
        <w:rPr>
          <w:rFonts w:hint="eastAsia" w:ascii="宋体" w:hAnsi="宋体" w:eastAsia="宋体"/>
          <w:sz w:val="24"/>
        </w:rPr>
        <w:t>季度</w:t>
      </w:r>
      <w:r>
        <w:rPr>
          <w:rFonts w:hint="eastAsia" w:ascii="宋体" w:hAnsi="宋体"/>
          <w:sz w:val="24"/>
          <w:lang w:eastAsia="zh-CN"/>
        </w:rPr>
        <w:t>）</w:t>
      </w:r>
      <w:r>
        <w:rPr>
          <w:rFonts w:hint="eastAsia" w:ascii="宋体" w:hAnsi="宋体" w:eastAsia="宋体"/>
          <w:sz w:val="24"/>
        </w:rPr>
        <w:t>测定该肉联厂恶臭污染物排放源强，监测现场气候和监测结果见下表：</w:t>
      </w:r>
    </w:p>
    <w:p>
      <w:pPr>
        <w:pStyle w:val="29"/>
        <w:bidi w:val="0"/>
        <w:jc w:val="both"/>
        <w:rPr>
          <w:rFonts w:hint="eastAsia"/>
          <w:lang w:val="en-US" w:eastAsia="zh-CN"/>
        </w:rPr>
      </w:pPr>
    </w:p>
    <w:p>
      <w:pPr>
        <w:pStyle w:val="29"/>
        <w:bidi w:val="0"/>
        <w:rPr>
          <w:rFonts w:hint="eastAsia"/>
          <w:lang w:val="en-US" w:eastAsia="zh-CN"/>
        </w:rPr>
      </w:pPr>
      <w:r>
        <w:rPr>
          <w:rFonts w:hint="eastAsia"/>
          <w:lang w:val="en-US" w:eastAsia="zh-CN"/>
        </w:rPr>
        <w:t>表3.4-4  监测现场气候统计</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2347"/>
        <w:gridCol w:w="1924"/>
        <w:gridCol w:w="1925"/>
        <w:gridCol w:w="1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采样时间</w:t>
            </w:r>
          </w:p>
        </w:tc>
        <w:tc>
          <w:tcPr>
            <w:tcW w:w="2347"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温度（℃）</w:t>
            </w:r>
          </w:p>
        </w:tc>
        <w:tc>
          <w:tcPr>
            <w:tcW w:w="1924"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湿度（%）</w:t>
            </w:r>
          </w:p>
        </w:tc>
        <w:tc>
          <w:tcPr>
            <w:tcW w:w="192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风速（m/s）</w:t>
            </w:r>
          </w:p>
        </w:tc>
        <w:tc>
          <w:tcPr>
            <w:tcW w:w="192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2010.5.25~27</w:t>
            </w:r>
          </w:p>
        </w:tc>
        <w:tc>
          <w:tcPr>
            <w:tcW w:w="234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28.25±3.188</w:t>
            </w:r>
          </w:p>
        </w:tc>
        <w:tc>
          <w:tcPr>
            <w:tcW w:w="192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58.61±9.923</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1.243±0.792</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东南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2010.8.24~26</w:t>
            </w:r>
          </w:p>
        </w:tc>
        <w:tc>
          <w:tcPr>
            <w:tcW w:w="234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28.83±5.00</w:t>
            </w:r>
          </w:p>
        </w:tc>
        <w:tc>
          <w:tcPr>
            <w:tcW w:w="192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90.20±7.683</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1.615±1.234</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西北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2010.11.25~27</w:t>
            </w:r>
          </w:p>
        </w:tc>
        <w:tc>
          <w:tcPr>
            <w:tcW w:w="234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21.24±3.694</w:t>
            </w:r>
          </w:p>
        </w:tc>
        <w:tc>
          <w:tcPr>
            <w:tcW w:w="192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43.42±12.45</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1.093±1.013</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东南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2011.1.11~13</w:t>
            </w:r>
          </w:p>
        </w:tc>
        <w:tc>
          <w:tcPr>
            <w:tcW w:w="234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5.25±2.868</w:t>
            </w:r>
          </w:p>
        </w:tc>
        <w:tc>
          <w:tcPr>
            <w:tcW w:w="192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30.30±8.932</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1.390±1.267</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西北转南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F</w:t>
            </w:r>
          </w:p>
        </w:tc>
        <w:tc>
          <w:tcPr>
            <w:tcW w:w="234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1158.122</w:t>
            </w:r>
          </w:p>
        </w:tc>
        <w:tc>
          <w:tcPr>
            <w:tcW w:w="192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1303.389</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0.635</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P</w:t>
            </w:r>
          </w:p>
        </w:tc>
        <w:tc>
          <w:tcPr>
            <w:tcW w:w="234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&lt;0.001</w:t>
            </w:r>
          </w:p>
        </w:tc>
        <w:tc>
          <w:tcPr>
            <w:tcW w:w="192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&lt;0.001</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0.596</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pStyle w:val="29"/>
        <w:bidi w:val="0"/>
        <w:rPr>
          <w:rFonts w:hint="eastAsia"/>
          <w:lang w:val="en-US" w:eastAsia="zh-CN"/>
        </w:rPr>
      </w:pPr>
      <w:r>
        <w:rPr>
          <w:rFonts w:hint="eastAsia"/>
          <w:lang w:val="en-US" w:eastAsia="zh-CN"/>
        </w:rPr>
        <w:t>表3.4-5  恶臭污染物源强</w:t>
      </w:r>
      <w:r>
        <w:rPr>
          <w:rFonts w:hint="eastAsia"/>
          <w:lang w:val="en-US" w:eastAsia="zh-CN"/>
        </w:rPr>
        <w:tab/>
      </w:r>
      <w:r>
        <w:rPr>
          <w:rFonts w:hint="eastAsia"/>
          <w:lang w:val="en-US" w:eastAsia="zh-CN"/>
        </w:rPr>
        <w:tab/>
      </w:r>
      <w:r>
        <w:rPr>
          <w:rFonts w:hint="eastAsia"/>
          <w:lang w:val="en-US" w:eastAsia="zh-CN"/>
        </w:rPr>
        <w:t>单位：kg/h</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7"/>
        <w:gridCol w:w="3207"/>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采样时间</w:t>
            </w:r>
          </w:p>
        </w:tc>
        <w:tc>
          <w:tcPr>
            <w:tcW w:w="6415" w:type="dxa"/>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无组织恶臭污染源排放源强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default"/>
                <w:vertAlign w:val="baseline"/>
                <w:lang w:val="en-US" w:eastAsia="zh-CN"/>
              </w:rPr>
            </w:pPr>
          </w:p>
        </w:tc>
        <w:tc>
          <w:tcPr>
            <w:tcW w:w="3207" w:type="dxa"/>
            <w:tcBorders>
              <w:tl2br w:val="nil"/>
              <w:tr2bl w:val="nil"/>
            </w:tcBorders>
            <w:vAlign w:val="center"/>
          </w:tcPr>
          <w:p>
            <w:pPr>
              <w:pStyle w:val="30"/>
              <w:widowControl w:val="0"/>
              <w:jc w:val="center"/>
              <w:rPr>
                <w:rFonts w:hint="default"/>
                <w:vertAlign w:val="subscript"/>
                <w:lang w:val="en-US" w:eastAsia="zh-CN"/>
              </w:rPr>
            </w:pPr>
            <w:r>
              <w:rPr>
                <w:rFonts w:hint="eastAsia"/>
                <w:vertAlign w:val="baseline"/>
                <w:lang w:val="en-US" w:eastAsia="zh-CN"/>
              </w:rPr>
              <w:t>NH</w:t>
            </w:r>
            <w:r>
              <w:rPr>
                <w:rFonts w:hint="eastAsia"/>
                <w:vertAlign w:val="subscript"/>
                <w:lang w:val="en-US" w:eastAsia="zh-CN"/>
              </w:rPr>
              <w:t>3</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2010.5.25~27</w:t>
            </w: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0.505~1.134</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0.004~0.046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2010.8.24~26</w:t>
            </w: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1.005~2.182</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0.014~0.020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2010.11.25~27</w:t>
            </w: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0.376~0.696</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0.005~0.011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2011.1.11~13</w:t>
            </w: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0.245~0.813</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0.005~0.087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平均</w:t>
            </w: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1.21</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每百头产生系数</w:t>
            </w: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0.0186kg/h·百头</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0.000462kg/h·百头</w:t>
            </w:r>
          </w:p>
        </w:tc>
      </w:tr>
    </w:tbl>
    <w:p>
      <w:pPr>
        <w:spacing w:beforeLines="0" w:afterLines="0"/>
        <w:jc w:val="left"/>
        <w:rPr>
          <w:rFonts w:hint="eastAsia" w:ascii="宋体" w:hAnsi="宋体" w:eastAsia="宋体"/>
          <w:sz w:val="24"/>
        </w:rPr>
      </w:pPr>
      <w:r>
        <w:rPr>
          <w:rFonts w:hint="eastAsia" w:ascii="宋体" w:hAnsi="宋体" w:eastAsia="宋体"/>
          <w:sz w:val="24"/>
        </w:rPr>
        <w:t>根据项目设计，本项目生猪年屠宰量</w:t>
      </w:r>
      <w:r>
        <w:rPr>
          <w:rFonts w:hint="eastAsia"/>
          <w:sz w:val="24"/>
          <w:lang w:val="en-US" w:eastAsia="zh-CN"/>
        </w:rPr>
        <w:t>30万头</w:t>
      </w:r>
      <w:r>
        <w:rPr>
          <w:rFonts w:hint="default" w:ascii="Times New Roman" w:hAnsi="Times New Roman" w:eastAsia="Times New Roman"/>
          <w:sz w:val="24"/>
        </w:rPr>
        <w:t>/a</w:t>
      </w:r>
      <w:r>
        <w:rPr>
          <w:rFonts w:hint="eastAsia" w:ascii="宋体" w:hAnsi="宋体" w:eastAsia="宋体"/>
          <w:sz w:val="24"/>
        </w:rPr>
        <w:t>，</w:t>
      </w:r>
      <w:r>
        <w:rPr>
          <w:rFonts w:hint="eastAsia"/>
          <w:lang w:val="en-US" w:eastAsia="zh-CN"/>
        </w:rPr>
        <w:t>旺季屠宰量约为1200头/d，</w:t>
      </w:r>
      <w:r>
        <w:rPr>
          <w:rFonts w:hint="eastAsia" w:ascii="宋体" w:hAnsi="宋体" w:eastAsia="宋体"/>
          <w:sz w:val="24"/>
        </w:rPr>
        <w:t>屠宰时采用电击至昏，机械化刨毛及劈半，</w:t>
      </w:r>
      <w:r>
        <w:rPr>
          <w:rFonts w:hint="default" w:ascii="Times New Roman" w:hAnsi="Times New Roman" w:eastAsia="Times New Roman"/>
          <w:sz w:val="24"/>
        </w:rPr>
        <w:t>94%</w:t>
      </w:r>
      <w:r>
        <w:rPr>
          <w:rFonts w:hint="eastAsia" w:ascii="宋体" w:hAnsi="宋体" w:eastAsia="宋体"/>
          <w:sz w:val="24"/>
        </w:rPr>
        <w:t>白条直接出售，</w:t>
      </w:r>
      <w:r>
        <w:rPr>
          <w:rFonts w:hint="default" w:ascii="Times New Roman" w:hAnsi="Times New Roman" w:eastAsia="Times New Roman"/>
          <w:sz w:val="24"/>
        </w:rPr>
        <w:t>6%</w:t>
      </w:r>
      <w:r>
        <w:rPr>
          <w:rFonts w:hint="eastAsia" w:ascii="宋体" w:hAnsi="宋体" w:eastAsia="宋体"/>
          <w:sz w:val="24"/>
        </w:rPr>
        <w:t>白条分割和冷冻后出售，项目污水收集后经密闭管线送至自建污水处理设施处理。同时本项目与肉联厂均位于同一纬度带，均属于温带季风气候，且风速与肉联厂相差不大，整体环境较类似。</w:t>
      </w:r>
    </w:p>
    <w:p>
      <w:pPr>
        <w:spacing w:beforeLines="0" w:afterLines="0"/>
        <w:jc w:val="left"/>
        <w:rPr>
          <w:rFonts w:hint="eastAsia" w:ascii="宋体" w:hAnsi="宋体"/>
          <w:sz w:val="24"/>
          <w:lang w:val="en-US" w:eastAsia="zh-CN"/>
        </w:rPr>
      </w:pPr>
      <w:r>
        <w:rPr>
          <w:rFonts w:hint="eastAsia" w:ascii="宋体" w:hAnsi="宋体" w:eastAsia="宋体"/>
          <w:sz w:val="24"/>
        </w:rPr>
        <w:t>根据上述资料类比分析，同时考虑生产规模的变化对污染物产生的影响，本项目恶臭按最大产生条件考虑，项目屠宰车间氨气和硫化氢源强</w:t>
      </w:r>
      <w:r>
        <w:rPr>
          <w:rFonts w:hint="eastAsia" w:ascii="宋体" w:hAnsi="宋体"/>
          <w:sz w:val="24"/>
          <w:lang w:val="en-US" w:eastAsia="zh-CN"/>
        </w:rPr>
        <w:t>见下表。</w:t>
      </w:r>
    </w:p>
    <w:p>
      <w:pPr>
        <w:pStyle w:val="29"/>
        <w:bidi w:val="0"/>
        <w:rPr>
          <w:rFonts w:hint="eastAsia"/>
          <w:lang w:val="en-US" w:eastAsia="zh-CN"/>
        </w:rPr>
      </w:pPr>
      <w:r>
        <w:rPr>
          <w:rFonts w:hint="eastAsia"/>
          <w:lang w:val="en-US" w:eastAsia="zh-CN"/>
        </w:rPr>
        <w:t>表3.4-6  营运期生猪屠宰车间硫化氢和氨气产生源强</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2024"/>
        <w:gridCol w:w="1036"/>
        <w:gridCol w:w="1830"/>
        <w:gridCol w:w="1180"/>
        <w:gridCol w:w="1182"/>
        <w:gridCol w:w="11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5"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屠宰种类</w:t>
            </w:r>
          </w:p>
        </w:tc>
        <w:tc>
          <w:tcPr>
            <w:tcW w:w="1053"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屠宰量</w:t>
            </w:r>
          </w:p>
        </w:tc>
        <w:tc>
          <w:tcPr>
            <w:tcW w:w="539"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污染物名称</w:t>
            </w:r>
          </w:p>
        </w:tc>
        <w:tc>
          <w:tcPr>
            <w:tcW w:w="952"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每百头产生系数（kg·百头）</w:t>
            </w:r>
          </w:p>
        </w:tc>
        <w:tc>
          <w:tcPr>
            <w:tcW w:w="1810" w:type="pct"/>
            <w:gridSpan w:val="3"/>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45" w:type="pct"/>
            <w:vMerge w:val="continue"/>
            <w:tcBorders>
              <w:tl2br w:val="nil"/>
              <w:tr2bl w:val="nil"/>
            </w:tcBorders>
            <w:vAlign w:val="center"/>
          </w:tcPr>
          <w:p>
            <w:pPr>
              <w:pStyle w:val="30"/>
              <w:widowControl w:val="0"/>
              <w:jc w:val="center"/>
            </w:pPr>
          </w:p>
        </w:tc>
        <w:tc>
          <w:tcPr>
            <w:tcW w:w="1053" w:type="pct"/>
            <w:vMerge w:val="continue"/>
            <w:tcBorders>
              <w:tl2br w:val="nil"/>
              <w:tr2bl w:val="nil"/>
            </w:tcBorders>
            <w:vAlign w:val="center"/>
          </w:tcPr>
          <w:p>
            <w:pPr>
              <w:pStyle w:val="30"/>
              <w:widowControl w:val="0"/>
              <w:jc w:val="center"/>
            </w:pPr>
          </w:p>
        </w:tc>
        <w:tc>
          <w:tcPr>
            <w:tcW w:w="539" w:type="pct"/>
            <w:vMerge w:val="continue"/>
            <w:tcBorders>
              <w:tl2br w:val="nil"/>
              <w:tr2bl w:val="nil"/>
            </w:tcBorders>
            <w:vAlign w:val="center"/>
          </w:tcPr>
          <w:p>
            <w:pPr>
              <w:pStyle w:val="30"/>
              <w:widowControl w:val="0"/>
              <w:jc w:val="center"/>
            </w:pPr>
          </w:p>
        </w:tc>
        <w:tc>
          <w:tcPr>
            <w:tcW w:w="952" w:type="pct"/>
            <w:vMerge w:val="continue"/>
            <w:tcBorders>
              <w:tl2br w:val="nil"/>
              <w:tr2bl w:val="nil"/>
            </w:tcBorders>
            <w:vAlign w:val="center"/>
          </w:tcPr>
          <w:p>
            <w:pPr>
              <w:pStyle w:val="30"/>
              <w:widowControl w:val="0"/>
              <w:jc w:val="center"/>
            </w:pPr>
          </w:p>
        </w:tc>
        <w:tc>
          <w:tcPr>
            <w:tcW w:w="614" w:type="pct"/>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（kg/d）</w:t>
            </w:r>
          </w:p>
        </w:tc>
        <w:tc>
          <w:tcPr>
            <w:tcW w:w="615" w:type="pct"/>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（kg/h）</w:t>
            </w:r>
          </w:p>
        </w:tc>
        <w:tc>
          <w:tcPr>
            <w:tcW w:w="580" w:type="pct"/>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生猪</w:t>
            </w:r>
          </w:p>
        </w:tc>
        <w:tc>
          <w:tcPr>
            <w:tcW w:w="1053"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1200头/d（旺季）</w:t>
            </w:r>
          </w:p>
        </w:tc>
        <w:tc>
          <w:tcPr>
            <w:tcW w:w="539" w:type="pct"/>
            <w:tcBorders>
              <w:tl2br w:val="nil"/>
              <w:tr2bl w:val="nil"/>
            </w:tcBorders>
            <w:vAlign w:val="center"/>
          </w:tcPr>
          <w:p>
            <w:pPr>
              <w:pStyle w:val="30"/>
              <w:widowControl w:val="0"/>
              <w:jc w:val="center"/>
              <w:rPr>
                <w:rFonts w:hint="default"/>
                <w:vertAlign w:val="subscript"/>
                <w:lang w:val="en-US" w:eastAsia="zh-CN"/>
              </w:rPr>
            </w:pPr>
            <w:r>
              <w:rPr>
                <w:rFonts w:hint="eastAsia"/>
                <w:vertAlign w:val="baseline"/>
                <w:lang w:val="en-US" w:eastAsia="zh-CN"/>
              </w:rPr>
              <w:t>NH</w:t>
            </w:r>
            <w:r>
              <w:rPr>
                <w:rFonts w:hint="eastAsia"/>
                <w:vertAlign w:val="subscript"/>
                <w:lang w:val="en-US" w:eastAsia="zh-CN"/>
              </w:rPr>
              <w:t>3</w:t>
            </w:r>
          </w:p>
        </w:tc>
        <w:tc>
          <w:tcPr>
            <w:tcW w:w="95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0.0186</w:t>
            </w:r>
          </w:p>
        </w:tc>
        <w:tc>
          <w:tcPr>
            <w:tcW w:w="61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0.22</w:t>
            </w:r>
          </w:p>
        </w:tc>
        <w:tc>
          <w:tcPr>
            <w:tcW w:w="61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0.028</w:t>
            </w:r>
          </w:p>
        </w:tc>
        <w:tc>
          <w:tcPr>
            <w:tcW w:w="58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05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3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95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0.000462</w:t>
            </w:r>
          </w:p>
        </w:tc>
        <w:tc>
          <w:tcPr>
            <w:tcW w:w="61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0.0055</w:t>
            </w:r>
          </w:p>
        </w:tc>
        <w:tc>
          <w:tcPr>
            <w:tcW w:w="61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0.0007</w:t>
            </w:r>
          </w:p>
        </w:tc>
        <w:tc>
          <w:tcPr>
            <w:tcW w:w="58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0.001</w:t>
            </w:r>
          </w:p>
        </w:tc>
      </w:tr>
    </w:tbl>
    <w:p>
      <w:pPr>
        <w:bidi w:val="0"/>
        <w:rPr>
          <w:rFonts w:hint="default"/>
          <w:b/>
          <w:bCs/>
          <w:lang w:val="en-US" w:eastAsia="zh-CN"/>
        </w:rPr>
      </w:pPr>
      <w:r>
        <w:rPr>
          <w:rFonts w:hint="eastAsia"/>
          <w:b/>
          <w:bCs/>
          <w:lang w:val="en-US" w:eastAsia="zh-CN"/>
        </w:rPr>
        <w:t>肉牛屠宰车间：</w:t>
      </w:r>
    </w:p>
    <w:p>
      <w:pPr>
        <w:bidi w:val="0"/>
        <w:rPr>
          <w:rFonts w:hint="default"/>
          <w:lang w:val="en-US" w:eastAsia="zh-CN"/>
        </w:rPr>
      </w:pPr>
      <w:r>
        <w:rPr>
          <w:rFonts w:hint="eastAsia"/>
          <w:lang w:val="en-US" w:eastAsia="zh-CN"/>
        </w:rPr>
        <w:t>肉牛屠宰车间内湿度较高，</w:t>
      </w:r>
      <w:r>
        <w:rPr>
          <w:rFonts w:hint="default"/>
          <w:lang w:val="en-US" w:eastAsia="zh-CN"/>
        </w:rPr>
        <w:t>屠宰后的牲畜的湿皮、血、肠胃内容物、粪尿等产生的臭气混杂在一起，产生刺鼻的腥臭味，并扩散至整个厂区及周围地区。</w:t>
      </w:r>
      <w:r>
        <w:rPr>
          <w:rFonts w:hint="eastAsia"/>
          <w:lang w:val="en-US" w:eastAsia="zh-CN"/>
        </w:rPr>
        <w:t>本项目参照已取得批复环评项目《成都志鹏食品有限公司生猪肉牛屠宰线改建项目环境影响报告书》，该项目为新增1.5万头肉牛屠宰（日屠宰33头，日屠宰12h），该项目肉牛屠宰车间污染物源强为：NH</w:t>
      </w:r>
      <w:r>
        <w:rPr>
          <w:rFonts w:hint="eastAsia"/>
          <w:vertAlign w:val="subscript"/>
          <w:lang w:val="en-US" w:eastAsia="zh-CN"/>
        </w:rPr>
        <w:t>3</w:t>
      </w:r>
      <w:r>
        <w:rPr>
          <w:rFonts w:hint="eastAsia"/>
          <w:vertAlign w:val="baseline"/>
          <w:lang w:val="en-US" w:eastAsia="zh-CN"/>
        </w:rPr>
        <w:t>：</w:t>
      </w:r>
      <w:r>
        <w:rPr>
          <w:rFonts w:hint="eastAsia"/>
          <w:lang w:val="en-US" w:eastAsia="zh-CN"/>
        </w:rPr>
        <w:t>0.05kg/h，H</w:t>
      </w:r>
      <w:r>
        <w:rPr>
          <w:rFonts w:hint="eastAsia"/>
          <w:vertAlign w:val="subscript"/>
          <w:lang w:val="en-US" w:eastAsia="zh-CN"/>
        </w:rPr>
        <w:t>2</w:t>
      </w:r>
      <w:r>
        <w:rPr>
          <w:rFonts w:hint="eastAsia"/>
          <w:vertAlign w:val="baseline"/>
          <w:lang w:val="en-US" w:eastAsia="zh-CN"/>
        </w:rPr>
        <w:t>S：0.003kg/h。类比分析，本项目年屠宰肉牛1万头，旺季屠宰80头/d，日屠宰工作时间8h，因此本项目肉牛屠宰污染物源强为</w:t>
      </w:r>
      <w:r>
        <w:rPr>
          <w:rFonts w:hint="eastAsia"/>
          <w:lang w:val="en-US" w:eastAsia="zh-CN"/>
        </w:rPr>
        <w:t>NH</w:t>
      </w:r>
      <w:r>
        <w:rPr>
          <w:rFonts w:hint="eastAsia"/>
          <w:vertAlign w:val="subscript"/>
          <w:lang w:val="en-US" w:eastAsia="zh-CN"/>
        </w:rPr>
        <w:t>3</w:t>
      </w:r>
      <w:r>
        <w:rPr>
          <w:rFonts w:hint="eastAsia"/>
          <w:vertAlign w:val="baseline"/>
          <w:lang w:val="en-US" w:eastAsia="zh-CN"/>
        </w:rPr>
        <w:t>：</w:t>
      </w:r>
      <w:r>
        <w:rPr>
          <w:rFonts w:hint="eastAsia"/>
          <w:lang w:val="en-US" w:eastAsia="zh-CN"/>
        </w:rPr>
        <w:t>0.18kg/h，H</w:t>
      </w:r>
      <w:r>
        <w:rPr>
          <w:rFonts w:hint="eastAsia"/>
          <w:vertAlign w:val="subscript"/>
          <w:lang w:val="en-US" w:eastAsia="zh-CN"/>
        </w:rPr>
        <w:t>2</w:t>
      </w:r>
      <w:r>
        <w:rPr>
          <w:rFonts w:hint="eastAsia"/>
          <w:vertAlign w:val="baseline"/>
          <w:lang w:val="en-US" w:eastAsia="zh-CN"/>
        </w:rPr>
        <w:t>S：0.011kg/h，产生总量为0.18t/a，0.011t/a。</w:t>
      </w:r>
    </w:p>
    <w:p>
      <w:pPr>
        <w:bidi w:val="0"/>
        <w:rPr>
          <w:rFonts w:hint="default"/>
          <w:b/>
          <w:bCs/>
          <w:lang w:val="en-US" w:eastAsia="zh-CN"/>
        </w:rPr>
      </w:pPr>
      <w:r>
        <w:rPr>
          <w:rFonts w:hint="eastAsia"/>
          <w:b/>
          <w:bCs/>
          <w:lang w:val="en-US" w:eastAsia="zh-CN"/>
        </w:rPr>
        <w:t>3）污水处理站恶臭源强</w:t>
      </w:r>
    </w:p>
    <w:p>
      <w:pPr>
        <w:spacing w:beforeLines="0" w:afterLines="0"/>
        <w:jc w:val="left"/>
        <w:rPr>
          <w:rFonts w:hint="default"/>
          <w:lang w:val="en-US" w:eastAsia="zh-CN"/>
        </w:rPr>
      </w:pPr>
      <w:r>
        <w:rPr>
          <w:rFonts w:hint="eastAsia" w:ascii="宋体" w:hAnsi="宋体" w:eastAsia="宋体"/>
          <w:sz w:val="24"/>
        </w:rPr>
        <w:t>由于废水中有机类物质较多、污染物浓度较高，厂区污水处理设施运行过程中将不可避免的产生一定量的臭气，主要来源于废水中有机物厌氧分解产生的</w:t>
      </w:r>
      <w:r>
        <w:rPr>
          <w:rFonts w:hint="default" w:ascii="Times New Roman" w:hAnsi="Times New Roman" w:eastAsia="Times New Roman"/>
          <w:sz w:val="24"/>
        </w:rPr>
        <w:t>NH</w:t>
      </w:r>
      <w:r>
        <w:rPr>
          <w:rFonts w:hint="default" w:ascii="Times New Roman" w:hAnsi="Times New Roman" w:eastAsia="Times New Roman"/>
          <w:sz w:val="16"/>
        </w:rPr>
        <w:t>3</w:t>
      </w:r>
      <w:r>
        <w:rPr>
          <w:rFonts w:hint="eastAsia" w:ascii="宋体" w:hAnsi="宋体" w:eastAsia="宋体"/>
          <w:sz w:val="24"/>
        </w:rPr>
        <w:t>、</w:t>
      </w:r>
      <w:r>
        <w:rPr>
          <w:rFonts w:hint="default" w:ascii="Times New Roman" w:hAnsi="Times New Roman" w:eastAsia="Times New Roman"/>
          <w:sz w:val="24"/>
        </w:rPr>
        <w:t>H</w:t>
      </w:r>
      <w:r>
        <w:rPr>
          <w:rFonts w:hint="default" w:ascii="Times New Roman" w:hAnsi="Times New Roman" w:eastAsia="Times New Roman"/>
          <w:sz w:val="16"/>
        </w:rPr>
        <w:t>2</w:t>
      </w:r>
      <w:r>
        <w:rPr>
          <w:rFonts w:hint="default" w:ascii="Times New Roman" w:hAnsi="Times New Roman" w:eastAsia="Times New Roman"/>
          <w:sz w:val="24"/>
        </w:rPr>
        <w:t>S</w:t>
      </w:r>
      <w:r>
        <w:rPr>
          <w:rFonts w:hint="eastAsia" w:ascii="宋体" w:hAnsi="宋体" w:eastAsia="宋体"/>
          <w:sz w:val="24"/>
        </w:rPr>
        <w:t>等，同时，本项目污水处理工艺中涉及厌氧工艺，在该工艺运行过程中进行厌氧反应会产生少量沼气，本评价不对其定量计算。</w:t>
      </w:r>
    </w:p>
    <w:p>
      <w:pPr>
        <w:bidi w:val="0"/>
        <w:rPr>
          <w:rFonts w:hint="eastAsia"/>
        </w:rPr>
      </w:pPr>
      <w:r>
        <w:rPr>
          <w:rFonts w:hint="eastAsia"/>
        </w:rPr>
        <w:t>本次评价中废气污染源强采用美国EPA对城市污水处理厂恶臭污染物产生情况的研究结果，每处理1g的BOD</w:t>
      </w:r>
      <w:r>
        <w:rPr>
          <w:rFonts w:hint="eastAsia"/>
          <w:vertAlign w:val="subscript"/>
        </w:rPr>
        <w:t>5</w:t>
      </w:r>
      <w:r>
        <w:rPr>
          <w:rFonts w:hint="eastAsia"/>
        </w:rPr>
        <w:t>可产生0.0031g的NH</w:t>
      </w:r>
      <w:r>
        <w:rPr>
          <w:rFonts w:hint="eastAsia"/>
          <w:vertAlign w:val="subscript"/>
          <w:lang w:val="en-US" w:eastAsia="zh-CN"/>
        </w:rPr>
        <w:t>3</w:t>
      </w:r>
      <w:r>
        <w:rPr>
          <w:rFonts w:hint="eastAsia"/>
        </w:rPr>
        <w:t>、0.00012g的H</w:t>
      </w:r>
      <w:r>
        <w:rPr>
          <w:rFonts w:hint="eastAsia"/>
          <w:vertAlign w:val="subscript"/>
        </w:rPr>
        <w:t>2</w:t>
      </w:r>
      <w:r>
        <w:rPr>
          <w:rFonts w:hint="eastAsia"/>
        </w:rPr>
        <w:t>S，本项目污水处理站BOD</w:t>
      </w:r>
      <w:r>
        <w:rPr>
          <w:rFonts w:hint="eastAsia"/>
          <w:vertAlign w:val="subscript"/>
        </w:rPr>
        <w:t>5</w:t>
      </w:r>
      <w:r>
        <w:rPr>
          <w:rFonts w:hint="eastAsia"/>
        </w:rPr>
        <w:t>处理量约为</w:t>
      </w:r>
      <w:r>
        <w:rPr>
          <w:rFonts w:hint="eastAsia"/>
          <w:lang w:val="en-US" w:eastAsia="zh-CN"/>
        </w:rPr>
        <w:t>180.61t</w:t>
      </w:r>
      <w:r>
        <w:rPr>
          <w:rFonts w:hint="eastAsia"/>
        </w:rPr>
        <w:t>/a，经计算本项目运营后污水处理站恶臭气体产生量如下：NH</w:t>
      </w:r>
      <w:r>
        <w:rPr>
          <w:rFonts w:hint="eastAsia"/>
          <w:vertAlign w:val="subscript"/>
        </w:rPr>
        <w:t>3</w:t>
      </w:r>
      <w:r>
        <w:rPr>
          <w:rFonts w:hint="eastAsia"/>
        </w:rPr>
        <w:t>为0.</w:t>
      </w:r>
      <w:r>
        <w:rPr>
          <w:rFonts w:hint="eastAsia"/>
          <w:lang w:val="en-US" w:eastAsia="zh-CN"/>
        </w:rPr>
        <w:t>56</w:t>
      </w:r>
      <w:r>
        <w:rPr>
          <w:rFonts w:hint="eastAsia"/>
        </w:rPr>
        <w:t>t/a，H</w:t>
      </w:r>
      <w:r>
        <w:rPr>
          <w:rFonts w:hint="eastAsia"/>
          <w:vertAlign w:val="subscript"/>
        </w:rPr>
        <w:t>2</w:t>
      </w:r>
      <w:r>
        <w:rPr>
          <w:rFonts w:hint="eastAsia"/>
        </w:rPr>
        <w:t>S为0.</w:t>
      </w:r>
      <w:r>
        <w:rPr>
          <w:rFonts w:hint="eastAsia"/>
          <w:lang w:val="en-US" w:eastAsia="zh-CN"/>
        </w:rPr>
        <w:t>022</w:t>
      </w:r>
      <w:r>
        <w:rPr>
          <w:rFonts w:hint="eastAsia"/>
        </w:rPr>
        <w:t>t/a。污水站24小时</w:t>
      </w:r>
      <w:r>
        <w:rPr>
          <w:rFonts w:hint="eastAsia"/>
          <w:lang w:val="en-US" w:eastAsia="zh-CN"/>
        </w:rPr>
        <w:t>×</w:t>
      </w:r>
      <w:r>
        <w:rPr>
          <w:rFonts w:hint="eastAsia"/>
        </w:rPr>
        <w:t>3</w:t>
      </w:r>
      <w:r>
        <w:rPr>
          <w:rFonts w:hint="eastAsia"/>
          <w:lang w:val="en-US" w:eastAsia="zh-CN"/>
        </w:rPr>
        <w:t>00</w:t>
      </w:r>
      <w:r>
        <w:rPr>
          <w:rFonts w:hint="eastAsia"/>
        </w:rPr>
        <w:t>天运行，则污水站恶臭产生、排放情况见下表。</w:t>
      </w:r>
    </w:p>
    <w:p>
      <w:pPr>
        <w:spacing w:beforeLines="0" w:afterLines="0"/>
        <w:jc w:val="left"/>
        <w:rPr>
          <w:rFonts w:hint="default"/>
          <w:highlight w:val="none"/>
          <w:lang w:val="en-US" w:eastAsia="zh-CN"/>
        </w:rPr>
      </w:pPr>
      <w:r>
        <w:rPr>
          <w:rFonts w:hint="eastAsia" w:ascii="宋体" w:hAnsi="宋体" w:eastAsia="宋体"/>
          <w:sz w:val="24"/>
          <w:highlight w:val="none"/>
        </w:rPr>
        <w:t>本项目恶臭污染物产生情况见表</w:t>
      </w:r>
      <w:r>
        <w:rPr>
          <w:rFonts w:hint="default" w:ascii="Times New Roman" w:hAnsi="Times New Roman" w:eastAsia="Times New Roman"/>
          <w:sz w:val="24"/>
          <w:highlight w:val="none"/>
        </w:rPr>
        <w:t>3.4-</w:t>
      </w:r>
      <w:r>
        <w:rPr>
          <w:rFonts w:hint="eastAsia" w:ascii="Times New Roman" w:hAnsi="Times New Roman"/>
          <w:sz w:val="24"/>
          <w:highlight w:val="none"/>
          <w:lang w:val="en-US" w:eastAsia="zh-CN"/>
        </w:rPr>
        <w:t>7</w:t>
      </w:r>
      <w:r>
        <w:rPr>
          <w:rFonts w:hint="eastAsia" w:ascii="宋体" w:hAnsi="宋体" w:eastAsia="宋体"/>
          <w:sz w:val="24"/>
          <w:highlight w:val="none"/>
        </w:rPr>
        <w:t>。</w:t>
      </w:r>
    </w:p>
    <w:p>
      <w:pPr>
        <w:pStyle w:val="29"/>
        <w:bidi w:val="0"/>
        <w:rPr>
          <w:rFonts w:hint="eastAsia"/>
          <w:highlight w:val="none"/>
        </w:rPr>
      </w:pPr>
      <w:r>
        <w:rPr>
          <w:rFonts w:hint="eastAsia"/>
          <w:highlight w:val="none"/>
        </w:rPr>
        <w:t>表</w:t>
      </w:r>
      <w:r>
        <w:rPr>
          <w:rFonts w:hint="default"/>
          <w:highlight w:val="none"/>
        </w:rPr>
        <w:t>3.4-</w:t>
      </w:r>
      <w:r>
        <w:rPr>
          <w:rFonts w:hint="eastAsia"/>
          <w:highlight w:val="none"/>
          <w:lang w:val="en-US" w:eastAsia="zh-CN"/>
        </w:rPr>
        <w:t xml:space="preserve">7  </w:t>
      </w:r>
      <w:r>
        <w:rPr>
          <w:rFonts w:hint="eastAsia"/>
          <w:highlight w:val="none"/>
        </w:rPr>
        <w:t>本项目恶臭污染物产生情况一览表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169"/>
        <w:gridCol w:w="1923"/>
        <w:gridCol w:w="1925"/>
        <w:gridCol w:w="1925"/>
        <w:gridCol w:w="1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gridSpan w:val="2"/>
            <w:vMerge w:val="restart"/>
            <w:tcBorders>
              <w:tl2br w:val="nil"/>
              <w:tr2bl w:val="nil"/>
            </w:tcBorders>
            <w:vAlign w:val="center"/>
          </w:tcPr>
          <w:p>
            <w:pPr>
              <w:pStyle w:val="30"/>
              <w:widowControl w:val="0"/>
              <w:bidi w:val="0"/>
              <w:jc w:val="center"/>
              <w:rPr>
                <w:rFonts w:hint="default"/>
                <w:b/>
                <w:bCs/>
                <w:highlight w:val="none"/>
                <w:lang w:val="en-US" w:eastAsia="zh-CN"/>
              </w:rPr>
            </w:pPr>
            <w:r>
              <w:rPr>
                <w:rFonts w:hint="eastAsia"/>
                <w:b/>
                <w:bCs/>
                <w:highlight w:val="none"/>
                <w:lang w:val="en-US" w:eastAsia="zh-CN"/>
              </w:rPr>
              <w:t>污染源</w:t>
            </w:r>
          </w:p>
        </w:tc>
        <w:tc>
          <w:tcPr>
            <w:tcW w:w="1999" w:type="pct"/>
            <w:gridSpan w:val="2"/>
            <w:tcBorders>
              <w:tl2br w:val="nil"/>
              <w:tr2bl w:val="nil"/>
            </w:tcBorders>
            <w:vAlign w:val="center"/>
          </w:tcPr>
          <w:p>
            <w:pPr>
              <w:pStyle w:val="30"/>
              <w:widowControl w:val="0"/>
              <w:bidi w:val="0"/>
              <w:jc w:val="center"/>
              <w:rPr>
                <w:rFonts w:hint="default"/>
                <w:b/>
                <w:bCs/>
                <w:highlight w:val="none"/>
                <w:vertAlign w:val="subscript"/>
                <w:lang w:val="en-US" w:eastAsia="zh-CN"/>
              </w:rPr>
            </w:pPr>
            <w:r>
              <w:rPr>
                <w:rFonts w:hint="eastAsia"/>
                <w:b/>
                <w:bCs/>
                <w:highlight w:val="none"/>
                <w:lang w:val="en-US" w:eastAsia="zh-CN"/>
              </w:rPr>
              <w:t>NH</w:t>
            </w:r>
            <w:r>
              <w:rPr>
                <w:rFonts w:hint="eastAsia"/>
                <w:b/>
                <w:bCs/>
                <w:highlight w:val="none"/>
                <w:vertAlign w:val="subscript"/>
                <w:lang w:val="en-US" w:eastAsia="zh-CN"/>
              </w:rPr>
              <w:t>3</w:t>
            </w:r>
          </w:p>
        </w:tc>
        <w:tc>
          <w:tcPr>
            <w:tcW w:w="2001" w:type="pct"/>
            <w:gridSpan w:val="2"/>
            <w:tcBorders>
              <w:tl2br w:val="nil"/>
              <w:tr2bl w:val="nil"/>
            </w:tcBorders>
            <w:vAlign w:val="center"/>
          </w:tcPr>
          <w:p>
            <w:pPr>
              <w:pStyle w:val="30"/>
              <w:widowControl w:val="0"/>
              <w:bidi w:val="0"/>
              <w:jc w:val="center"/>
              <w:rPr>
                <w:rFonts w:hint="default"/>
                <w:b/>
                <w:bCs/>
                <w:highlight w:val="none"/>
                <w:vertAlign w:val="baseline"/>
                <w:lang w:val="en-US" w:eastAsia="zh-CN"/>
              </w:rPr>
            </w:pPr>
            <w:r>
              <w:rPr>
                <w:rFonts w:hint="eastAsia"/>
                <w:b/>
                <w:bCs/>
                <w:highlight w:val="none"/>
                <w:lang w:val="en-US" w:eastAsia="zh-CN"/>
              </w:rPr>
              <w:t>H</w:t>
            </w:r>
            <w:r>
              <w:rPr>
                <w:rFonts w:hint="eastAsia"/>
                <w:b/>
                <w:bCs/>
                <w:highlight w:val="none"/>
                <w:vertAlign w:val="subscript"/>
                <w:lang w:val="en-US" w:eastAsia="zh-CN"/>
              </w:rPr>
              <w:t>2</w:t>
            </w:r>
            <w:r>
              <w:rPr>
                <w:rFonts w:hint="eastAsia"/>
                <w:b/>
                <w:bCs/>
                <w:highlight w:val="none"/>
                <w:vertAlign w:val="baseline"/>
                <w:lang w:val="en-US" w:eastAsia="zh-CN"/>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gridSpan w:val="2"/>
            <w:vMerge w:val="continue"/>
            <w:tcBorders>
              <w:tl2br w:val="nil"/>
              <w:tr2bl w:val="nil"/>
            </w:tcBorders>
            <w:vAlign w:val="center"/>
          </w:tcPr>
          <w:p>
            <w:pPr>
              <w:pStyle w:val="30"/>
              <w:widowControl w:val="0"/>
              <w:bidi w:val="0"/>
              <w:jc w:val="center"/>
              <w:rPr>
                <w:rFonts w:hint="default"/>
                <w:b/>
                <w:bCs/>
                <w:highlight w:val="none"/>
                <w:lang w:val="en-US" w:eastAsia="zh-CN"/>
              </w:rPr>
            </w:pPr>
          </w:p>
        </w:tc>
        <w:tc>
          <w:tcPr>
            <w:tcW w:w="999" w:type="pct"/>
            <w:tcBorders>
              <w:tl2br w:val="nil"/>
              <w:tr2bl w:val="nil"/>
            </w:tcBorders>
            <w:vAlign w:val="center"/>
          </w:tcPr>
          <w:p>
            <w:pPr>
              <w:pStyle w:val="30"/>
              <w:widowControl w:val="0"/>
              <w:bidi w:val="0"/>
              <w:jc w:val="center"/>
              <w:rPr>
                <w:rFonts w:hint="default"/>
                <w:b/>
                <w:bCs/>
                <w:highlight w:val="none"/>
                <w:lang w:val="en-US" w:eastAsia="zh-CN"/>
              </w:rPr>
            </w:pPr>
            <w:r>
              <w:rPr>
                <w:rFonts w:hint="eastAsia"/>
                <w:b/>
                <w:bCs/>
                <w:highlight w:val="none"/>
                <w:lang w:val="en-US" w:eastAsia="zh-CN"/>
              </w:rPr>
              <w:t>产生速率（kg/h）</w:t>
            </w:r>
          </w:p>
        </w:tc>
        <w:tc>
          <w:tcPr>
            <w:tcW w:w="1000" w:type="pct"/>
            <w:tcBorders>
              <w:tl2br w:val="nil"/>
              <w:tr2bl w:val="nil"/>
            </w:tcBorders>
            <w:vAlign w:val="center"/>
          </w:tcPr>
          <w:p>
            <w:pPr>
              <w:pStyle w:val="30"/>
              <w:widowControl w:val="0"/>
              <w:bidi w:val="0"/>
              <w:jc w:val="center"/>
              <w:rPr>
                <w:rFonts w:hint="default"/>
                <w:b/>
                <w:bCs/>
                <w:highlight w:val="none"/>
                <w:lang w:val="en-US" w:eastAsia="zh-CN"/>
              </w:rPr>
            </w:pPr>
            <w:r>
              <w:rPr>
                <w:rFonts w:hint="eastAsia"/>
                <w:b/>
                <w:bCs/>
                <w:highlight w:val="none"/>
                <w:lang w:val="en-US" w:eastAsia="zh-CN"/>
              </w:rPr>
              <w:t>产生量（t/a）</w:t>
            </w:r>
          </w:p>
        </w:tc>
        <w:tc>
          <w:tcPr>
            <w:tcW w:w="1000" w:type="pct"/>
            <w:tcBorders>
              <w:tl2br w:val="nil"/>
              <w:tr2bl w:val="nil"/>
            </w:tcBorders>
            <w:vAlign w:val="center"/>
          </w:tcPr>
          <w:p>
            <w:pPr>
              <w:pStyle w:val="30"/>
              <w:widowControl w:val="0"/>
              <w:bidi w:val="0"/>
              <w:ind w:firstLine="0" w:firstLineChars="0"/>
              <w:jc w:val="center"/>
              <w:rPr>
                <w:rFonts w:hint="default"/>
                <w:b/>
                <w:bCs/>
                <w:highlight w:val="none"/>
                <w:lang w:val="en-US" w:eastAsia="zh-CN"/>
              </w:rPr>
            </w:pPr>
            <w:r>
              <w:rPr>
                <w:rFonts w:hint="eastAsia"/>
                <w:b/>
                <w:bCs/>
                <w:highlight w:val="none"/>
                <w:lang w:val="en-US" w:eastAsia="zh-CN"/>
              </w:rPr>
              <w:t>产生速率（kg/h）</w:t>
            </w:r>
          </w:p>
        </w:tc>
        <w:tc>
          <w:tcPr>
            <w:tcW w:w="1001" w:type="pct"/>
            <w:tcBorders>
              <w:tl2br w:val="nil"/>
              <w:tr2bl w:val="nil"/>
            </w:tcBorders>
            <w:vAlign w:val="center"/>
          </w:tcPr>
          <w:p>
            <w:pPr>
              <w:pStyle w:val="30"/>
              <w:widowControl w:val="0"/>
              <w:bidi w:val="0"/>
              <w:ind w:firstLine="0" w:firstLineChars="0"/>
              <w:jc w:val="center"/>
              <w:rPr>
                <w:rFonts w:hint="default"/>
                <w:b/>
                <w:bCs/>
                <w:highlight w:val="none"/>
                <w:lang w:val="en-US" w:eastAsia="zh-CN"/>
              </w:rPr>
            </w:pPr>
            <w:r>
              <w:rPr>
                <w:rFonts w:hint="eastAsia"/>
                <w:b/>
                <w:bCs/>
                <w:highlight w:val="none"/>
                <w:lang w:val="en-US" w:eastAsia="zh-CN"/>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gridSpan w:val="2"/>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待宰圈</w:t>
            </w:r>
          </w:p>
        </w:tc>
        <w:tc>
          <w:tcPr>
            <w:tcW w:w="1923"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0.304</w:t>
            </w:r>
          </w:p>
        </w:tc>
        <w:tc>
          <w:tcPr>
            <w:tcW w:w="1925"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vertAlign w:val="baseline"/>
                <w:lang w:val="en-US" w:eastAsia="zh-CN"/>
              </w:rPr>
              <w:t>1.88</w:t>
            </w:r>
          </w:p>
        </w:tc>
        <w:tc>
          <w:tcPr>
            <w:tcW w:w="1925"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0.027</w:t>
            </w:r>
          </w:p>
        </w:tc>
        <w:tc>
          <w:tcPr>
            <w:tcW w:w="1927"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vertAlign w:val="baseline"/>
                <w:lang w:val="en-US" w:eastAsia="zh-CN"/>
              </w:rPr>
              <w:t>0.125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restart"/>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屠宰车间</w:t>
            </w:r>
          </w:p>
        </w:tc>
        <w:tc>
          <w:tcPr>
            <w:tcW w:w="606" w:type="pct"/>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生猪</w:t>
            </w:r>
          </w:p>
        </w:tc>
        <w:tc>
          <w:tcPr>
            <w:tcW w:w="1923"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0.028</w:t>
            </w:r>
          </w:p>
        </w:tc>
        <w:tc>
          <w:tcPr>
            <w:tcW w:w="1925"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0.056</w:t>
            </w:r>
          </w:p>
        </w:tc>
        <w:tc>
          <w:tcPr>
            <w:tcW w:w="1925"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0.0007</w:t>
            </w:r>
          </w:p>
        </w:tc>
        <w:tc>
          <w:tcPr>
            <w:tcW w:w="1927"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1" w:type="pct"/>
            <w:vMerge w:val="continue"/>
            <w:tcBorders>
              <w:tl2br w:val="nil"/>
              <w:tr2bl w:val="nil"/>
            </w:tcBorders>
            <w:vAlign w:val="center"/>
          </w:tcPr>
          <w:p>
            <w:pPr>
              <w:pStyle w:val="30"/>
              <w:widowControl w:val="0"/>
              <w:bidi w:val="0"/>
              <w:jc w:val="center"/>
              <w:rPr>
                <w:rFonts w:hint="eastAsia"/>
                <w:highlight w:val="none"/>
                <w:lang w:val="en-US" w:eastAsia="zh-CN"/>
              </w:rPr>
            </w:pPr>
          </w:p>
        </w:tc>
        <w:tc>
          <w:tcPr>
            <w:tcW w:w="606" w:type="pct"/>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肉牛</w:t>
            </w:r>
          </w:p>
        </w:tc>
        <w:tc>
          <w:tcPr>
            <w:tcW w:w="1923"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0.18</w:t>
            </w:r>
          </w:p>
        </w:tc>
        <w:tc>
          <w:tcPr>
            <w:tcW w:w="1925"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0.18</w:t>
            </w:r>
          </w:p>
        </w:tc>
        <w:tc>
          <w:tcPr>
            <w:tcW w:w="1925"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0.011</w:t>
            </w:r>
          </w:p>
        </w:tc>
        <w:tc>
          <w:tcPr>
            <w:tcW w:w="1927"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gridSpan w:val="2"/>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污水处理站</w:t>
            </w:r>
          </w:p>
        </w:tc>
        <w:tc>
          <w:tcPr>
            <w:tcW w:w="1923"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0.08</w:t>
            </w:r>
          </w:p>
        </w:tc>
        <w:tc>
          <w:tcPr>
            <w:tcW w:w="1925"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0.56</w:t>
            </w:r>
          </w:p>
        </w:tc>
        <w:tc>
          <w:tcPr>
            <w:tcW w:w="1925"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0.003</w:t>
            </w:r>
          </w:p>
        </w:tc>
        <w:tc>
          <w:tcPr>
            <w:tcW w:w="1927" w:type="dxa"/>
            <w:tcBorders>
              <w:tl2br w:val="nil"/>
              <w:tr2bl w:val="nil"/>
            </w:tcBorders>
            <w:vAlign w:val="center"/>
          </w:tcPr>
          <w:p>
            <w:pPr>
              <w:pStyle w:val="30"/>
              <w:widowControl w:val="0"/>
              <w:bidi w:val="0"/>
              <w:ind w:firstLine="0" w:firstLineChars="0"/>
              <w:jc w:val="center"/>
              <w:rPr>
                <w:rFonts w:hint="default"/>
                <w:highlight w:val="none"/>
                <w:lang w:val="en-US" w:eastAsia="zh-CN"/>
              </w:rPr>
            </w:pPr>
            <w:r>
              <w:rPr>
                <w:rFonts w:hint="eastAsia"/>
                <w:highlight w:val="none"/>
                <w:lang w:val="en-US" w:eastAsia="zh-CN"/>
              </w:rPr>
              <w:t>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gridSpan w:val="2"/>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合计</w:t>
            </w:r>
          </w:p>
        </w:tc>
        <w:tc>
          <w:tcPr>
            <w:tcW w:w="1923" w:type="dxa"/>
            <w:tcBorders>
              <w:tl2br w:val="nil"/>
              <w:tr2bl w:val="nil"/>
            </w:tcBorders>
            <w:vAlign w:val="center"/>
          </w:tcPr>
          <w:p>
            <w:pPr>
              <w:pStyle w:val="30"/>
              <w:widowControl w:val="0"/>
              <w:bidi w:val="0"/>
              <w:rPr>
                <w:rFonts w:hint="default"/>
                <w:lang w:val="en-US" w:eastAsia="zh-CN"/>
              </w:rPr>
            </w:pPr>
            <w:r>
              <w:rPr>
                <w:rFonts w:hint="eastAsia"/>
                <w:lang w:val="en-US" w:eastAsia="zh-CN"/>
              </w:rPr>
              <w:t>0.592</w:t>
            </w:r>
          </w:p>
        </w:tc>
        <w:tc>
          <w:tcPr>
            <w:tcW w:w="1925" w:type="dxa"/>
            <w:tcBorders>
              <w:tl2br w:val="nil"/>
              <w:tr2bl w:val="nil"/>
            </w:tcBorders>
            <w:vAlign w:val="center"/>
          </w:tcPr>
          <w:p>
            <w:pPr>
              <w:pStyle w:val="30"/>
              <w:widowControl w:val="0"/>
              <w:bidi w:val="0"/>
              <w:rPr>
                <w:rFonts w:hint="default"/>
                <w:lang w:val="en-US" w:eastAsia="zh-CN"/>
              </w:rPr>
            </w:pPr>
            <w:r>
              <w:rPr>
                <w:rFonts w:hint="eastAsia"/>
                <w:lang w:val="en-US" w:eastAsia="zh-CN"/>
              </w:rPr>
              <w:t>2.676</w:t>
            </w:r>
          </w:p>
        </w:tc>
        <w:tc>
          <w:tcPr>
            <w:tcW w:w="1925" w:type="dxa"/>
            <w:tcBorders>
              <w:tl2br w:val="nil"/>
              <w:tr2bl w:val="nil"/>
            </w:tcBorders>
            <w:vAlign w:val="center"/>
          </w:tcPr>
          <w:p>
            <w:pPr>
              <w:pStyle w:val="30"/>
              <w:widowControl w:val="0"/>
              <w:bidi w:val="0"/>
              <w:rPr>
                <w:rFonts w:hint="default"/>
                <w:lang w:val="en-US" w:eastAsia="zh-CN"/>
              </w:rPr>
            </w:pPr>
            <w:r>
              <w:rPr>
                <w:rFonts w:hint="default"/>
                <w:lang w:val="en-US" w:eastAsia="zh-CN"/>
              </w:rPr>
              <w:t>0.0417</w:t>
            </w:r>
          </w:p>
        </w:tc>
        <w:tc>
          <w:tcPr>
            <w:tcW w:w="1927" w:type="dxa"/>
            <w:tcBorders>
              <w:tl2br w:val="nil"/>
              <w:tr2bl w:val="nil"/>
            </w:tcBorders>
            <w:vAlign w:val="center"/>
          </w:tcPr>
          <w:p>
            <w:pPr>
              <w:pStyle w:val="30"/>
              <w:widowControl w:val="0"/>
              <w:bidi w:val="0"/>
              <w:rPr>
                <w:rFonts w:hint="default"/>
                <w:lang w:val="en-US" w:eastAsia="zh-CN"/>
              </w:rPr>
            </w:pPr>
            <w:r>
              <w:rPr>
                <w:rFonts w:hint="eastAsia"/>
                <w:lang w:val="en-US" w:eastAsia="zh-CN"/>
              </w:rPr>
              <w:t>0.159</w:t>
            </w:r>
          </w:p>
        </w:tc>
      </w:tr>
    </w:tbl>
    <w:p>
      <w:pPr>
        <w:bidi w:val="0"/>
        <w:rPr>
          <w:rFonts w:hint="default"/>
          <w:b/>
          <w:bCs/>
          <w:lang w:val="en-US" w:eastAsia="zh-CN"/>
        </w:rPr>
      </w:pPr>
      <w:r>
        <w:rPr>
          <w:rFonts w:hint="eastAsia"/>
          <w:b/>
          <w:bCs/>
          <w:lang w:val="en-US" w:eastAsia="zh-CN"/>
        </w:rPr>
        <w:t>（2）恶臭防治措施</w:t>
      </w:r>
    </w:p>
    <w:p>
      <w:pPr>
        <w:bidi w:val="0"/>
        <w:rPr>
          <w:rFonts w:hint="eastAsia"/>
          <w:b/>
          <w:bCs/>
          <w:lang w:val="en-US" w:eastAsia="zh-CN"/>
        </w:rPr>
      </w:pPr>
      <w:r>
        <w:rPr>
          <w:rFonts w:hint="eastAsia"/>
          <w:b/>
          <w:bCs/>
          <w:lang w:val="en-US" w:eastAsia="zh-CN"/>
        </w:rPr>
        <w:t>1）待宰圈</w:t>
      </w:r>
    </w:p>
    <w:p>
      <w:pPr>
        <w:bidi w:val="0"/>
        <w:rPr>
          <w:rFonts w:hint="default"/>
          <w:b w:val="0"/>
          <w:bCs w:val="0"/>
          <w:lang w:val="en-US" w:eastAsia="zh-CN"/>
        </w:rPr>
      </w:pPr>
      <w:r>
        <w:rPr>
          <w:rFonts w:hint="eastAsia"/>
          <w:b w:val="0"/>
          <w:bCs w:val="0"/>
          <w:lang w:val="en-US" w:eastAsia="zh-CN"/>
        </w:rPr>
        <w:t>源强控制措施：</w:t>
      </w:r>
    </w:p>
    <w:p>
      <w:pPr>
        <w:bidi w:val="0"/>
        <w:rPr>
          <w:rFonts w:hint="default"/>
          <w:lang w:val="en-US" w:eastAsia="zh-CN"/>
        </w:rPr>
      </w:pPr>
      <w:r>
        <w:rPr>
          <w:rFonts w:hint="eastAsia"/>
          <w:lang w:val="en-US" w:eastAsia="zh-CN"/>
        </w:rPr>
        <w:t>①待宰圈设计为全密闭厂房，天花板全密闭，不设置换气天窗，四周墙壁全密闭，安装固定式密闭式采光玻璃。</w:t>
      </w:r>
    </w:p>
    <w:p>
      <w:pPr>
        <w:bidi w:val="0"/>
        <w:rPr>
          <w:rFonts w:hint="default"/>
          <w:lang w:val="en-US" w:eastAsia="zh-CN"/>
        </w:rPr>
      </w:pPr>
      <w:r>
        <w:rPr>
          <w:rFonts w:hint="eastAsia"/>
          <w:lang w:val="en-US" w:eastAsia="zh-CN"/>
        </w:rPr>
        <w:t>②为保证待宰圈的良好通风，厂房内空气进行机械强制排风，待宰圈</w:t>
      </w:r>
      <w:r>
        <w:rPr>
          <w:rFonts w:hint="eastAsia"/>
        </w:rPr>
        <w:t>密闭面积约</w:t>
      </w:r>
      <w:r>
        <w:rPr>
          <w:rFonts w:hint="eastAsia"/>
          <w:lang w:val="en-US" w:eastAsia="zh-CN"/>
        </w:rPr>
        <w:t>2850</w:t>
      </w:r>
      <w:r>
        <w:rPr>
          <w:rFonts w:hint="default"/>
        </w:rPr>
        <w:t>m</w:t>
      </w:r>
      <w:r>
        <w:rPr>
          <w:rFonts w:hint="default"/>
          <w:vertAlign w:val="superscript"/>
        </w:rPr>
        <w:t>2</w:t>
      </w:r>
      <w:r>
        <w:rPr>
          <w:rFonts w:hint="eastAsia"/>
        </w:rPr>
        <w:t>（尺寸为</w:t>
      </w:r>
      <w:r>
        <w:rPr>
          <w:rFonts w:hint="eastAsia"/>
          <w:lang w:val="en-US" w:eastAsia="zh-CN"/>
        </w:rPr>
        <w:t>90</w:t>
      </w:r>
      <w:r>
        <w:rPr>
          <w:rFonts w:hint="default"/>
        </w:rPr>
        <w:t>m</w:t>
      </w:r>
      <w:r>
        <w:rPr>
          <w:rFonts w:hint="default" w:ascii="Times New Roman" w:hAnsi="Times New Roman" w:cs="Times New Roman"/>
          <w:lang w:val="en-US" w:eastAsia="zh-CN"/>
        </w:rPr>
        <w:t>×</w:t>
      </w:r>
      <w:r>
        <w:rPr>
          <w:rFonts w:hint="eastAsia"/>
          <w:lang w:val="en-US" w:eastAsia="zh-CN"/>
        </w:rPr>
        <w:t>32</w:t>
      </w:r>
      <w:r>
        <w:rPr>
          <w:rFonts w:hint="default"/>
        </w:rPr>
        <w:t>m</w:t>
      </w:r>
      <w:r>
        <w:rPr>
          <w:rFonts w:hint="default" w:ascii="Times New Roman" w:hAnsi="Times New Roman" w:cs="Times New Roman"/>
          <w:lang w:val="en-US" w:eastAsia="zh-CN"/>
        </w:rPr>
        <w:t>×</w:t>
      </w:r>
      <w:r>
        <w:rPr>
          <w:rFonts w:hint="eastAsia"/>
          <w:lang w:val="en-US" w:eastAsia="zh-CN"/>
        </w:rPr>
        <w:t>5</w:t>
      </w:r>
      <w:r>
        <w:rPr>
          <w:rFonts w:hint="default"/>
        </w:rPr>
        <w:t>m</w:t>
      </w:r>
      <w:r>
        <w:rPr>
          <w:rFonts w:hint="eastAsia"/>
        </w:rPr>
        <w:t>）</w:t>
      </w:r>
      <w:r>
        <w:rPr>
          <w:rFonts w:hint="eastAsia"/>
          <w:lang w:eastAsia="zh-CN"/>
        </w:rPr>
        <w:t>，</w:t>
      </w:r>
      <w:r>
        <w:rPr>
          <w:rFonts w:hint="eastAsia"/>
        </w:rPr>
        <w:t>对密闭区域设置微负压抽风系统，并设置供风系统排放量按</w:t>
      </w:r>
      <w:r>
        <w:rPr>
          <w:rFonts w:hint="eastAsia"/>
          <w:lang w:val="en-US" w:eastAsia="zh-CN"/>
        </w:rPr>
        <w:t>1</w:t>
      </w:r>
      <w:r>
        <w:rPr>
          <w:rFonts w:hint="eastAsia"/>
        </w:rPr>
        <w:t>次</w:t>
      </w:r>
      <w:r>
        <w:rPr>
          <w:rFonts w:hint="default"/>
        </w:rPr>
        <w:t>/h</w:t>
      </w:r>
      <w:r>
        <w:rPr>
          <w:rFonts w:hint="eastAsia"/>
        </w:rPr>
        <w:t>计算，则</w:t>
      </w:r>
      <w:r>
        <w:rPr>
          <w:rFonts w:hint="eastAsia"/>
          <w:lang w:val="en-US" w:eastAsia="zh-CN"/>
        </w:rPr>
        <w:t>待宰圈</w:t>
      </w:r>
      <w:r>
        <w:rPr>
          <w:rFonts w:hint="eastAsia"/>
        </w:rPr>
        <w:t>风量不低于</w:t>
      </w:r>
      <w:r>
        <w:rPr>
          <w:rFonts w:hint="eastAsia"/>
          <w:lang w:val="en-US" w:eastAsia="zh-CN"/>
        </w:rPr>
        <w:t>14250</w:t>
      </w:r>
      <w:r>
        <w:rPr>
          <w:rFonts w:hint="default"/>
        </w:rPr>
        <w:t>m</w:t>
      </w:r>
      <w:r>
        <w:rPr>
          <w:rFonts w:hint="default"/>
          <w:vertAlign w:val="superscript"/>
        </w:rPr>
        <w:t>3</w:t>
      </w:r>
      <w:r>
        <w:rPr>
          <w:rFonts w:hint="default"/>
        </w:rPr>
        <w:t>/h</w:t>
      </w:r>
      <w:r>
        <w:rPr>
          <w:rFonts w:hint="eastAsia"/>
        </w:rPr>
        <w:t>。</w:t>
      </w:r>
    </w:p>
    <w:p>
      <w:pPr>
        <w:bidi w:val="0"/>
        <w:rPr>
          <w:rFonts w:hint="eastAsia"/>
          <w:lang w:val="en-US" w:eastAsia="zh-CN"/>
        </w:rPr>
      </w:pPr>
      <w:r>
        <w:rPr>
          <w:rFonts w:hint="eastAsia"/>
          <w:lang w:val="en-US" w:eastAsia="zh-CN"/>
        </w:rPr>
        <w:t>③</w:t>
      </w:r>
      <w:r>
        <w:rPr>
          <w:rFonts w:hint="eastAsia" w:ascii="宋体" w:hAnsi="宋体" w:cs="宋体"/>
          <w:sz w:val="24"/>
          <w:szCs w:val="24"/>
          <w:lang w:eastAsia="zh-CN"/>
        </w:rPr>
        <w:t>待宰圈</w:t>
      </w:r>
      <w:r>
        <w:rPr>
          <w:rFonts w:ascii="宋体" w:hAnsi="宋体" w:eastAsia="宋体" w:cs="宋体"/>
          <w:sz w:val="24"/>
          <w:szCs w:val="24"/>
        </w:rPr>
        <w:t>喷洒除臭剂，为微生物除臭剂，抑制臭气产生，厂房</w:t>
      </w:r>
      <w:r>
        <w:rPr>
          <w:rFonts w:hint="eastAsia" w:ascii="宋体" w:hAnsi="宋体" w:cs="宋体"/>
          <w:sz w:val="24"/>
          <w:szCs w:val="24"/>
          <w:lang w:eastAsia="zh-CN"/>
        </w:rPr>
        <w:t>待宰圈</w:t>
      </w:r>
      <w:r>
        <w:rPr>
          <w:rFonts w:ascii="宋体" w:hAnsi="宋体" w:eastAsia="宋体" w:cs="宋体"/>
          <w:sz w:val="24"/>
          <w:szCs w:val="24"/>
        </w:rPr>
        <w:t>设水雾喷淋装置。</w:t>
      </w:r>
    </w:p>
    <w:p>
      <w:pPr>
        <w:bidi w:val="0"/>
        <w:rPr>
          <w:rFonts w:hint="default"/>
          <w:lang w:val="en-US" w:eastAsia="zh-CN"/>
        </w:rPr>
      </w:pPr>
      <w:r>
        <w:rPr>
          <w:rFonts w:hint="eastAsia"/>
          <w:lang w:val="en-US" w:eastAsia="zh-CN"/>
        </w:rPr>
        <w:t>④</w:t>
      </w:r>
      <w:r>
        <w:rPr>
          <w:rFonts w:hint="eastAsia"/>
          <w:lang w:eastAsia="zh-CN"/>
        </w:rPr>
        <w:t>待宰圈</w:t>
      </w:r>
      <w:r>
        <w:t>设水雾喷淋装置，猪粪采用水冲式，每个待宰圈生猪进行屠宰后，就要对猪粪进行清洗，保证</w:t>
      </w:r>
      <w:r>
        <w:rPr>
          <w:rFonts w:hint="eastAsia"/>
          <w:lang w:eastAsia="zh-CN"/>
        </w:rPr>
        <w:t>待宰圈</w:t>
      </w:r>
      <w:r>
        <w:t>清洁，减少恶臭产生。采取上述措施后，可以减小</w:t>
      </w:r>
      <w:r>
        <w:rPr>
          <w:rFonts w:hint="eastAsia"/>
          <w:lang w:eastAsia="zh-CN"/>
        </w:rPr>
        <w:t>待宰圈</w:t>
      </w:r>
      <w:r>
        <w:t>NH</w:t>
      </w:r>
      <w:r>
        <w:rPr>
          <w:vertAlign w:val="subscript"/>
        </w:rPr>
        <w:t>3</w:t>
      </w:r>
      <w:r>
        <w:t>、H</w:t>
      </w:r>
      <w:r>
        <w:rPr>
          <w:vertAlign w:val="subscript"/>
        </w:rPr>
        <w:t>2</w:t>
      </w:r>
      <w:r>
        <w:t>S的产生量，减少80%以上</w:t>
      </w:r>
      <w:r>
        <w:rPr>
          <w:highlight w:val="none"/>
        </w:rPr>
        <w:t>（产生量消减的依据见</w:t>
      </w:r>
      <w:r>
        <w:rPr>
          <w:rFonts w:hint="eastAsia"/>
          <w:highlight w:val="none"/>
          <w:lang w:val="en-US" w:eastAsia="zh-CN"/>
        </w:rPr>
        <w:t>7.2.2</w:t>
      </w:r>
      <w:r>
        <w:rPr>
          <w:highlight w:val="none"/>
        </w:rPr>
        <w:t>章节）</w:t>
      </w:r>
      <w:r>
        <w:t>，采取措施后的</w:t>
      </w:r>
      <w:r>
        <w:rPr>
          <w:rFonts w:hint="eastAsia"/>
          <w:lang w:eastAsia="zh-CN"/>
        </w:rPr>
        <w:t>待宰圈</w:t>
      </w:r>
      <w:r>
        <w:t>恶臭气体产生量见</w:t>
      </w:r>
      <w:r>
        <w:rPr>
          <w:rFonts w:hint="eastAsia"/>
          <w:lang w:val="en-US" w:eastAsia="zh-CN"/>
        </w:rPr>
        <w:t>下表</w:t>
      </w:r>
      <w:r>
        <w:t>。</w:t>
      </w:r>
    </w:p>
    <w:p>
      <w:pPr>
        <w:pStyle w:val="29"/>
        <w:bidi w:val="0"/>
        <w:rPr>
          <w:rFonts w:hint="eastAsia"/>
          <w:lang w:val="en-US" w:eastAsia="zh-CN"/>
        </w:rPr>
      </w:pPr>
      <w:r>
        <w:rPr>
          <w:rFonts w:hint="eastAsia"/>
          <w:lang w:val="en-US" w:eastAsia="zh-CN"/>
        </w:rPr>
        <w:t>表3.4-8  运营期待宰圈采取措施后的污染物产生量计算表</w:t>
      </w:r>
    </w:p>
    <w:tbl>
      <w:tblPr>
        <w:tblStyle w:val="23"/>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2025"/>
        <w:gridCol w:w="4146"/>
        <w:gridCol w:w="24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污染物名称</w:t>
            </w:r>
          </w:p>
        </w:tc>
        <w:tc>
          <w:tcPr>
            <w:tcW w:w="1053"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采取措施前的污染物产生量（kg/h）</w:t>
            </w:r>
          </w:p>
        </w:tc>
        <w:tc>
          <w:tcPr>
            <w:tcW w:w="2156"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采取的恶臭气体控制措施</w:t>
            </w:r>
          </w:p>
        </w:tc>
        <w:tc>
          <w:tcPr>
            <w:tcW w:w="1288"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采取源强控制措施后的污染物产生量（kg/h）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pStyle w:val="30"/>
              <w:widowControl w:val="0"/>
              <w:jc w:val="center"/>
              <w:rPr>
                <w:rFonts w:hint="default"/>
                <w:vertAlign w:val="subscript"/>
                <w:lang w:val="en-US" w:eastAsia="zh-CN"/>
              </w:rPr>
            </w:pPr>
            <w:r>
              <w:rPr>
                <w:rFonts w:hint="eastAsia"/>
                <w:vertAlign w:val="baseline"/>
                <w:lang w:val="en-US" w:eastAsia="zh-CN"/>
              </w:rPr>
              <w:t>NH</w:t>
            </w:r>
            <w:r>
              <w:rPr>
                <w:rFonts w:hint="eastAsia"/>
                <w:vertAlign w:val="subscript"/>
                <w:lang w:val="en-US" w:eastAsia="zh-CN"/>
              </w:rPr>
              <w:t>3</w:t>
            </w:r>
          </w:p>
        </w:tc>
        <w:tc>
          <w:tcPr>
            <w:tcW w:w="105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0.304</w:t>
            </w:r>
          </w:p>
        </w:tc>
        <w:tc>
          <w:tcPr>
            <w:tcW w:w="2156" w:type="pct"/>
            <w:vMerge w:val="restart"/>
            <w:tcBorders>
              <w:tl2br w:val="nil"/>
              <w:tr2bl w:val="nil"/>
            </w:tcBorders>
            <w:vAlign w:val="center"/>
          </w:tcPr>
          <w:p>
            <w:pPr>
              <w:pStyle w:val="30"/>
              <w:widowControl w:val="0"/>
              <w:bidi w:val="0"/>
              <w:jc w:val="center"/>
              <w:rPr>
                <w:rFonts w:hint="default"/>
                <w:vertAlign w:val="baseline"/>
                <w:lang w:val="en-US" w:eastAsia="zh-CN"/>
              </w:rPr>
            </w:pPr>
            <w:r>
              <w:rPr>
                <w:rFonts w:hint="eastAsia"/>
                <w:lang w:eastAsia="zh-CN"/>
              </w:rPr>
              <w:t>待宰圈</w:t>
            </w:r>
            <w:r>
              <w:t>全密闭，设置强制通风设施，保持车间负压；喷洒生物除臭剂，猪粪采用水冲式，设水雾喷淋装置，保持</w:t>
            </w:r>
            <w:r>
              <w:rPr>
                <w:rFonts w:hint="eastAsia"/>
                <w:lang w:eastAsia="zh-CN"/>
              </w:rPr>
              <w:t>待宰圈</w:t>
            </w:r>
            <w:r>
              <w:t>清洁；可以减少80%的产生量</w:t>
            </w:r>
          </w:p>
        </w:tc>
        <w:tc>
          <w:tcPr>
            <w:tcW w:w="128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0.24（1.5t/a）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105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0.027</w:t>
            </w:r>
          </w:p>
        </w:tc>
        <w:tc>
          <w:tcPr>
            <w:tcW w:w="2156"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28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0.022（0.1t/a）</w:t>
            </w:r>
          </w:p>
        </w:tc>
      </w:tr>
    </w:tbl>
    <w:p>
      <w:pPr>
        <w:spacing w:beforeLines="0" w:afterLines="0"/>
        <w:jc w:val="left"/>
        <w:rPr>
          <w:rFonts w:hint="default"/>
          <w:b w:val="0"/>
          <w:bCs w:val="0"/>
          <w:lang w:val="en-US" w:eastAsia="zh-CN"/>
        </w:rPr>
      </w:pPr>
      <w:r>
        <w:rPr>
          <w:rFonts w:hint="eastAsia"/>
          <w:b w:val="0"/>
          <w:bCs w:val="0"/>
          <w:lang w:val="en-US" w:eastAsia="zh-CN"/>
        </w:rPr>
        <w:t>污染防治措施：</w:t>
      </w:r>
    </w:p>
    <w:p>
      <w:pPr>
        <w:bidi w:val="0"/>
        <w:rPr>
          <w:rFonts w:hint="default"/>
          <w:lang w:val="en-US" w:eastAsia="zh-CN"/>
        </w:rPr>
      </w:pPr>
      <w:r>
        <w:rPr>
          <w:rFonts w:hint="eastAsia"/>
        </w:rPr>
        <w:t>为确保项目恶臭污染物的有效收集，采用一台风量</w:t>
      </w:r>
      <w:r>
        <w:rPr>
          <w:rFonts w:hint="eastAsia"/>
          <w:lang w:val="en-US" w:eastAsia="zh-CN"/>
        </w:rPr>
        <w:t>17000</w:t>
      </w:r>
      <w:r>
        <w:rPr>
          <w:rFonts w:hint="default"/>
        </w:rPr>
        <w:t>m</w:t>
      </w:r>
      <w:r>
        <w:rPr>
          <w:rFonts w:hint="default"/>
          <w:vertAlign w:val="superscript"/>
        </w:rPr>
        <w:t>3</w:t>
      </w:r>
      <w:r>
        <w:rPr>
          <w:rFonts w:hint="default"/>
        </w:rPr>
        <w:t>/h</w:t>
      </w:r>
      <w:r>
        <w:rPr>
          <w:rFonts w:hint="eastAsia"/>
        </w:rPr>
        <w:t>风机</w:t>
      </w:r>
      <w:r>
        <w:rPr>
          <w:rFonts w:hint="eastAsia"/>
          <w:lang w:eastAsia="zh-CN"/>
        </w:rPr>
        <w:t>，</w:t>
      </w:r>
      <w:r>
        <w:rPr>
          <w:rFonts w:hint="eastAsia"/>
        </w:rPr>
        <w:t>经负压抽风抽出的废气经</w:t>
      </w:r>
      <w:r>
        <w:rPr>
          <w:rFonts w:hint="default"/>
        </w:rPr>
        <w:t>1</w:t>
      </w:r>
      <w:r>
        <w:rPr>
          <w:rFonts w:hint="eastAsia"/>
        </w:rPr>
        <w:t>套</w:t>
      </w:r>
      <w:r>
        <w:rPr>
          <w:rFonts w:hint="eastAsia"/>
          <w:lang w:eastAsia="zh-CN"/>
        </w:rPr>
        <w:t>“UV光解+生物洗涤塔”</w:t>
      </w:r>
      <w:r>
        <w:rPr>
          <w:rFonts w:hint="eastAsia"/>
        </w:rPr>
        <w:t>进行处理后经</w:t>
      </w:r>
      <w:r>
        <w:rPr>
          <w:rFonts w:hint="default"/>
        </w:rPr>
        <w:t>15m</w:t>
      </w:r>
      <w:r>
        <w:rPr>
          <w:rFonts w:hint="eastAsia"/>
        </w:rPr>
        <w:t>高排气筒（</w:t>
      </w:r>
      <w:r>
        <w:rPr>
          <w:rFonts w:hint="default"/>
        </w:rPr>
        <w:t>P1</w:t>
      </w:r>
      <w:r>
        <w:rPr>
          <w:rFonts w:hint="eastAsia"/>
        </w:rPr>
        <w:t>排气筒）进行排放</w:t>
      </w:r>
      <w:r>
        <w:rPr>
          <w:rFonts w:hint="eastAsia"/>
          <w:lang w:eastAsia="zh-CN"/>
        </w:rPr>
        <w:t>，</w:t>
      </w:r>
      <w:r>
        <w:rPr>
          <w:rFonts w:hint="eastAsia"/>
          <w:lang w:val="en-US" w:eastAsia="zh-CN"/>
        </w:rPr>
        <w:t>采用该处理方式收集效率约为90%，处理效率约为90%，因此，待宰圈恶臭经收集处理后有组织排速率为NH</w:t>
      </w:r>
      <w:r>
        <w:rPr>
          <w:rFonts w:hint="eastAsia"/>
          <w:vertAlign w:val="subscript"/>
          <w:lang w:val="en-US" w:eastAsia="zh-CN"/>
        </w:rPr>
        <w:t>3</w:t>
      </w:r>
      <w:r>
        <w:rPr>
          <w:rFonts w:hint="eastAsia"/>
          <w:vertAlign w:val="baseline"/>
          <w:lang w:val="en-US" w:eastAsia="zh-CN"/>
        </w:rPr>
        <w:t>：0.02kg/h，H</w:t>
      </w:r>
      <w:r>
        <w:rPr>
          <w:rFonts w:hint="eastAsia"/>
          <w:vertAlign w:val="subscript"/>
          <w:lang w:val="en-US" w:eastAsia="zh-CN"/>
        </w:rPr>
        <w:t>2</w:t>
      </w:r>
      <w:r>
        <w:rPr>
          <w:rFonts w:hint="eastAsia"/>
          <w:vertAlign w:val="baseline"/>
          <w:lang w:val="en-US" w:eastAsia="zh-CN"/>
        </w:rPr>
        <w:t>S：0.002kg/h；排放量为</w:t>
      </w:r>
      <w:r>
        <w:rPr>
          <w:rFonts w:hint="eastAsia"/>
          <w:lang w:val="en-US" w:eastAsia="zh-CN"/>
        </w:rPr>
        <w:t>NH</w:t>
      </w:r>
      <w:r>
        <w:rPr>
          <w:rFonts w:hint="eastAsia"/>
          <w:vertAlign w:val="subscript"/>
          <w:lang w:val="en-US" w:eastAsia="zh-CN"/>
        </w:rPr>
        <w:t>3</w:t>
      </w:r>
      <w:r>
        <w:rPr>
          <w:rFonts w:hint="eastAsia"/>
          <w:vertAlign w:val="baseline"/>
          <w:lang w:val="en-US" w:eastAsia="zh-CN"/>
        </w:rPr>
        <w:t>：0.135t/a，H</w:t>
      </w:r>
      <w:r>
        <w:rPr>
          <w:rFonts w:hint="eastAsia"/>
          <w:vertAlign w:val="subscript"/>
          <w:lang w:val="en-US" w:eastAsia="zh-CN"/>
        </w:rPr>
        <w:t>2</w:t>
      </w:r>
      <w:r>
        <w:rPr>
          <w:rFonts w:hint="eastAsia"/>
          <w:vertAlign w:val="baseline"/>
          <w:lang w:val="en-US" w:eastAsia="zh-CN"/>
        </w:rPr>
        <w:t>S：0.009t/a；无组织排放速率为</w:t>
      </w:r>
      <w:r>
        <w:rPr>
          <w:rFonts w:hint="eastAsia"/>
          <w:lang w:val="en-US" w:eastAsia="zh-CN"/>
        </w:rPr>
        <w:t>NH</w:t>
      </w:r>
      <w:r>
        <w:rPr>
          <w:rFonts w:hint="eastAsia"/>
          <w:vertAlign w:val="subscript"/>
          <w:lang w:val="en-US" w:eastAsia="zh-CN"/>
        </w:rPr>
        <w:t>3</w:t>
      </w:r>
      <w:r>
        <w:rPr>
          <w:rFonts w:hint="eastAsia"/>
          <w:vertAlign w:val="baseline"/>
          <w:lang w:val="en-US" w:eastAsia="zh-CN"/>
        </w:rPr>
        <w:t>：0.024kg/h，H</w:t>
      </w:r>
      <w:r>
        <w:rPr>
          <w:rFonts w:hint="eastAsia"/>
          <w:vertAlign w:val="subscript"/>
          <w:lang w:val="en-US" w:eastAsia="zh-CN"/>
        </w:rPr>
        <w:t>2</w:t>
      </w:r>
      <w:r>
        <w:rPr>
          <w:rFonts w:hint="eastAsia"/>
          <w:vertAlign w:val="baseline"/>
          <w:lang w:val="en-US" w:eastAsia="zh-CN"/>
        </w:rPr>
        <w:t>S：0.002kg/h；排放量为</w:t>
      </w:r>
      <w:r>
        <w:rPr>
          <w:rFonts w:hint="eastAsia"/>
          <w:lang w:val="en-US" w:eastAsia="zh-CN"/>
        </w:rPr>
        <w:t>NH</w:t>
      </w:r>
      <w:r>
        <w:rPr>
          <w:rFonts w:hint="eastAsia"/>
          <w:vertAlign w:val="subscript"/>
          <w:lang w:val="en-US" w:eastAsia="zh-CN"/>
        </w:rPr>
        <w:t>3</w:t>
      </w:r>
      <w:r>
        <w:rPr>
          <w:rFonts w:hint="eastAsia"/>
          <w:vertAlign w:val="baseline"/>
          <w:lang w:val="en-US" w:eastAsia="zh-CN"/>
        </w:rPr>
        <w:t>：0.15t/a，H</w:t>
      </w:r>
      <w:r>
        <w:rPr>
          <w:rFonts w:hint="eastAsia"/>
          <w:vertAlign w:val="subscript"/>
          <w:lang w:val="en-US" w:eastAsia="zh-CN"/>
        </w:rPr>
        <w:t>2</w:t>
      </w:r>
      <w:r>
        <w:rPr>
          <w:rFonts w:hint="eastAsia"/>
          <w:vertAlign w:val="baseline"/>
          <w:lang w:val="en-US" w:eastAsia="zh-CN"/>
        </w:rPr>
        <w:t>S：0.001t/a。</w:t>
      </w:r>
    </w:p>
    <w:p>
      <w:pPr>
        <w:spacing w:beforeLines="0" w:afterLines="0"/>
        <w:jc w:val="left"/>
        <w:rPr>
          <w:rFonts w:hint="eastAsia"/>
          <w:b/>
          <w:bCs/>
          <w:lang w:val="en-US" w:eastAsia="zh-CN"/>
        </w:rPr>
      </w:pPr>
      <w:r>
        <w:rPr>
          <w:rFonts w:hint="eastAsia"/>
          <w:b/>
          <w:bCs/>
          <w:lang w:val="en-US" w:eastAsia="zh-CN"/>
        </w:rPr>
        <w:t>2）屠宰车间</w:t>
      </w:r>
    </w:p>
    <w:p>
      <w:pPr>
        <w:spacing w:beforeLines="-2147483648" w:afterLines="-2147483648"/>
        <w:jc w:val="left"/>
        <w:rPr>
          <w:rFonts w:ascii="宋体" w:hAnsi="宋体" w:eastAsia="宋体" w:cs="宋体"/>
          <w:sz w:val="24"/>
          <w:szCs w:val="24"/>
        </w:rPr>
      </w:pPr>
      <w:r>
        <w:rPr>
          <w:rFonts w:hint="eastAsia"/>
          <w:b w:val="0"/>
          <w:bCs w:val="0"/>
          <w:lang w:val="en-US" w:eastAsia="zh-CN"/>
        </w:rPr>
        <w:t>源强控制措施：</w:t>
      </w:r>
    </w:p>
    <w:p>
      <w:pPr>
        <w:spacing w:beforeLines="0" w:afterLines="0"/>
        <w:jc w:val="left"/>
        <w:rPr>
          <w:rFonts w:hint="eastAsia"/>
          <w:b/>
          <w:bCs/>
          <w:lang w:val="en-US" w:eastAsia="zh-CN"/>
        </w:rPr>
      </w:pPr>
      <w:r>
        <w:rPr>
          <w:rFonts w:ascii="宋体" w:hAnsi="宋体" w:eastAsia="宋体" w:cs="宋体"/>
          <w:sz w:val="24"/>
          <w:szCs w:val="24"/>
        </w:rPr>
        <w:t>①屠宰车间设计为全密闭厂房，不设置换气天窗，安装固定密闭式采光玻璃。</w:t>
      </w:r>
    </w:p>
    <w:p>
      <w:pPr>
        <w:spacing w:beforeLines="0" w:afterLines="0"/>
        <w:jc w:val="left"/>
        <w:rPr>
          <w:rFonts w:hint="eastAsia"/>
        </w:rPr>
      </w:pPr>
      <w:r>
        <w:rPr>
          <w:rFonts w:ascii="宋体" w:hAnsi="宋体" w:eastAsia="宋体" w:cs="宋体"/>
          <w:sz w:val="24"/>
          <w:szCs w:val="24"/>
        </w:rPr>
        <w:t>②屠宰车间厂房内空气进行机械强制排风</w:t>
      </w:r>
      <w:r>
        <w:rPr>
          <w:rFonts w:hint="eastAsia" w:ascii="宋体" w:hAnsi="宋体" w:eastAsia="宋体" w:cs="宋体"/>
          <w:sz w:val="24"/>
          <w:szCs w:val="24"/>
          <w:lang w:eastAsia="zh-CN"/>
        </w:rPr>
        <w:t>，</w:t>
      </w:r>
      <w:r>
        <w:rPr>
          <w:rFonts w:hint="eastAsia"/>
          <w:b w:val="0"/>
          <w:bCs w:val="0"/>
          <w:lang w:val="en-US" w:eastAsia="zh-CN"/>
        </w:rPr>
        <w:t>生猪屠宰车间密闭面积为9500m</w:t>
      </w:r>
      <w:r>
        <w:rPr>
          <w:rFonts w:hint="eastAsia"/>
          <w:b w:val="0"/>
          <w:bCs w:val="0"/>
          <w:vertAlign w:val="superscript"/>
          <w:lang w:val="en-US" w:eastAsia="zh-CN"/>
        </w:rPr>
        <w:t>2</w:t>
      </w:r>
      <w:r>
        <w:rPr>
          <w:rFonts w:hint="eastAsia"/>
          <w:b w:val="0"/>
          <w:bCs w:val="0"/>
          <w:vertAlign w:val="baseline"/>
          <w:lang w:val="en-US" w:eastAsia="zh-CN"/>
        </w:rPr>
        <w:t>（h=8m），肉牛屠宰车间密闭面积为1950m</w:t>
      </w:r>
      <w:r>
        <w:rPr>
          <w:rFonts w:hint="eastAsia"/>
          <w:b w:val="0"/>
          <w:bCs w:val="0"/>
          <w:vertAlign w:val="superscript"/>
          <w:lang w:val="en-US" w:eastAsia="zh-CN"/>
        </w:rPr>
        <w:t>2</w:t>
      </w:r>
      <w:r>
        <w:rPr>
          <w:rFonts w:hint="eastAsia"/>
          <w:b w:val="0"/>
          <w:bCs w:val="0"/>
          <w:vertAlign w:val="baseline"/>
          <w:lang w:val="en-US" w:eastAsia="zh-CN"/>
        </w:rPr>
        <w:t>（h=8），</w:t>
      </w:r>
      <w:r>
        <w:rPr>
          <w:rFonts w:hint="eastAsia"/>
        </w:rPr>
        <w:t>对</w:t>
      </w:r>
      <w:r>
        <w:rPr>
          <w:rFonts w:hint="eastAsia"/>
          <w:lang w:val="en-US" w:eastAsia="zh-CN"/>
        </w:rPr>
        <w:t>该密闭</w:t>
      </w:r>
      <w:r>
        <w:rPr>
          <w:rFonts w:hint="eastAsia"/>
        </w:rPr>
        <w:t>区域设置微负压抽风系统，并设置供风系统，排放量按</w:t>
      </w:r>
      <w:r>
        <w:rPr>
          <w:rFonts w:hint="eastAsia"/>
          <w:lang w:val="en-US" w:eastAsia="zh-CN"/>
        </w:rPr>
        <w:t>每2小时换一次</w:t>
      </w:r>
      <w:r>
        <w:rPr>
          <w:rFonts w:hint="eastAsia"/>
        </w:rPr>
        <w:t>计算，则</w:t>
      </w:r>
      <w:r>
        <w:rPr>
          <w:rFonts w:hint="eastAsia"/>
          <w:lang w:val="en-US" w:eastAsia="zh-CN"/>
        </w:rPr>
        <w:t>生猪屠宰车间</w:t>
      </w:r>
      <w:r>
        <w:rPr>
          <w:rFonts w:hint="eastAsia"/>
        </w:rPr>
        <w:t>风量不低于</w:t>
      </w:r>
      <w:r>
        <w:rPr>
          <w:rFonts w:hint="eastAsia"/>
          <w:lang w:val="en-US" w:eastAsia="zh-CN"/>
        </w:rPr>
        <w:t>38000</w:t>
      </w:r>
      <w:r>
        <w:rPr>
          <w:rFonts w:hint="default"/>
        </w:rPr>
        <w:t>m</w:t>
      </w:r>
      <w:r>
        <w:rPr>
          <w:rFonts w:hint="default"/>
          <w:vertAlign w:val="superscript"/>
        </w:rPr>
        <w:t>3</w:t>
      </w:r>
      <w:r>
        <w:rPr>
          <w:rFonts w:hint="default"/>
        </w:rPr>
        <w:t>/h</w:t>
      </w:r>
      <w:r>
        <w:rPr>
          <w:rFonts w:hint="eastAsia"/>
          <w:lang w:eastAsia="zh-CN"/>
        </w:rPr>
        <w:t>，</w:t>
      </w:r>
      <w:r>
        <w:rPr>
          <w:rFonts w:hint="eastAsia"/>
          <w:lang w:val="en-US" w:eastAsia="zh-CN"/>
        </w:rPr>
        <w:t>肉牛屠宰车间风量不低于7800</w:t>
      </w:r>
      <w:r>
        <w:rPr>
          <w:rFonts w:hint="default"/>
        </w:rPr>
        <w:t>m</w:t>
      </w:r>
      <w:r>
        <w:rPr>
          <w:rFonts w:hint="default"/>
          <w:vertAlign w:val="superscript"/>
        </w:rPr>
        <w:t>3</w:t>
      </w:r>
      <w:r>
        <w:rPr>
          <w:rFonts w:hint="default"/>
        </w:rPr>
        <w:t>/h</w:t>
      </w:r>
      <w:r>
        <w:rPr>
          <w:rFonts w:hint="eastAsia"/>
        </w:rPr>
        <w:t>。</w:t>
      </w:r>
    </w:p>
    <w:p>
      <w:pPr>
        <w:bidi w:val="0"/>
        <w:rPr>
          <w:rFonts w:hint="default"/>
          <w:lang w:val="en-US" w:eastAsia="zh-CN"/>
        </w:rPr>
      </w:pPr>
      <w:r>
        <w:rPr>
          <w:rFonts w:hint="eastAsia"/>
          <w:lang w:val="en-US" w:eastAsia="zh-CN"/>
        </w:rPr>
        <w:t>③</w:t>
      </w:r>
      <w:r>
        <w:t>屠宰车间换气通风设施自带高效微粒过滤器，可以增大车间内湿度，有效降低恶臭气体的产生。</w:t>
      </w:r>
    </w:p>
    <w:p>
      <w:pPr>
        <w:bidi w:val="0"/>
        <w:rPr>
          <w:rFonts w:hint="default"/>
          <w:lang w:val="en-US" w:eastAsia="zh-CN"/>
        </w:rPr>
      </w:pPr>
      <w:r>
        <w:rPr>
          <w:rFonts w:hint="eastAsia"/>
          <w:lang w:val="en-US" w:eastAsia="zh-CN"/>
        </w:rPr>
        <w:t>④</w:t>
      </w:r>
      <w:r>
        <w:t>屠宰车间内各条生产线尤其是屠宰生产线、放血工序、内脏加工区、头蹄尾加工区要使用清水进行清洗，保持车间清洁。肠胃内容物和毛等污物及时送至暂存间内，不能在屠宰车间内长时间堆存。</w:t>
      </w:r>
    </w:p>
    <w:p>
      <w:pPr>
        <w:bidi w:val="0"/>
        <w:rPr>
          <w:highlight w:val="none"/>
        </w:rPr>
      </w:pPr>
      <w:r>
        <w:rPr>
          <w:rFonts w:hint="eastAsia"/>
          <w:highlight w:val="none"/>
          <w:lang w:val="en-US" w:eastAsia="zh-CN"/>
        </w:rPr>
        <w:t>⑤</w:t>
      </w:r>
      <w:r>
        <w:rPr>
          <w:highlight w:val="none"/>
        </w:rPr>
        <w:t>屠宰车间和刀具等使用二氧化氯消毒，定期消毒。采取上述措施后，可以进一步减小屠宰车间的NH</w:t>
      </w:r>
      <w:r>
        <w:rPr>
          <w:highlight w:val="none"/>
          <w:vertAlign w:val="subscript"/>
        </w:rPr>
        <w:t>3</w:t>
      </w:r>
      <w:r>
        <w:rPr>
          <w:highlight w:val="none"/>
        </w:rPr>
        <w:t>、H</w:t>
      </w:r>
      <w:r>
        <w:rPr>
          <w:highlight w:val="none"/>
          <w:vertAlign w:val="subscript"/>
        </w:rPr>
        <w:t>2</w:t>
      </w:r>
      <w:r>
        <w:rPr>
          <w:highlight w:val="none"/>
        </w:rPr>
        <w:t>S的产生量，减少80%以上（产生量消减的依据见</w:t>
      </w:r>
      <w:r>
        <w:rPr>
          <w:rFonts w:hint="eastAsia"/>
          <w:highlight w:val="none"/>
          <w:lang w:val="en-US" w:eastAsia="zh-CN"/>
        </w:rPr>
        <w:t>7.2.2</w:t>
      </w:r>
      <w:r>
        <w:rPr>
          <w:highlight w:val="none"/>
        </w:rPr>
        <w:t>章节）</w:t>
      </w:r>
      <w:r>
        <w:rPr>
          <w:rFonts w:hint="eastAsia"/>
          <w:highlight w:val="none"/>
          <w:lang w:eastAsia="zh-CN"/>
        </w:rPr>
        <w:t>，</w:t>
      </w:r>
      <w:r>
        <w:rPr>
          <w:highlight w:val="none"/>
        </w:rPr>
        <w:t>采取措施后的屠宰车间恶臭气体产生量见</w:t>
      </w:r>
      <w:r>
        <w:rPr>
          <w:rFonts w:hint="eastAsia"/>
          <w:highlight w:val="none"/>
          <w:lang w:val="en-US" w:eastAsia="zh-CN"/>
        </w:rPr>
        <w:t>下表</w:t>
      </w:r>
      <w:r>
        <w:rPr>
          <w:highlight w:val="none"/>
        </w:rPr>
        <w:t>。</w:t>
      </w:r>
    </w:p>
    <w:p>
      <w:pPr>
        <w:pStyle w:val="29"/>
        <w:bidi w:val="0"/>
        <w:rPr>
          <w:highlight w:val="none"/>
        </w:rPr>
      </w:pPr>
      <w:r>
        <w:rPr>
          <w:rFonts w:hint="eastAsia"/>
          <w:highlight w:val="none"/>
          <w:lang w:val="en-US" w:eastAsia="zh-CN"/>
        </w:rPr>
        <w:t xml:space="preserve">表3.4-9  </w:t>
      </w:r>
      <w:r>
        <w:rPr>
          <w:highlight w:val="none"/>
        </w:rPr>
        <w:t>运营期屠宰车间采取措施后的污染物产生量计算表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640"/>
        <w:gridCol w:w="1881"/>
        <w:gridCol w:w="4110"/>
        <w:gridCol w:w="23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9" w:type="dxa"/>
            <w:gridSpan w:val="2"/>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b/>
                <w:bCs/>
                <w:highlight w:val="none"/>
                <w:vertAlign w:val="baseline"/>
                <w:lang w:val="en-US" w:eastAsia="zh-CN"/>
              </w:rPr>
              <w:t>污染物名称</w:t>
            </w:r>
          </w:p>
        </w:tc>
        <w:tc>
          <w:tcPr>
            <w:tcW w:w="1881"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b/>
                <w:bCs/>
                <w:highlight w:val="none"/>
                <w:vertAlign w:val="baseline"/>
                <w:lang w:val="en-US" w:eastAsia="zh-CN"/>
              </w:rPr>
              <w:t>采取措施前的污染物产生量（kg/h）</w:t>
            </w:r>
          </w:p>
        </w:tc>
        <w:tc>
          <w:tcPr>
            <w:tcW w:w="4110"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b/>
                <w:bCs/>
                <w:highlight w:val="none"/>
                <w:vertAlign w:val="baseline"/>
                <w:lang w:val="en-US" w:eastAsia="zh-CN"/>
              </w:rPr>
              <w:t>采取的恶臭气体控制措施</w:t>
            </w:r>
          </w:p>
        </w:tc>
        <w:tc>
          <w:tcPr>
            <w:tcW w:w="2352" w:type="dxa"/>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b/>
                <w:bCs/>
                <w:highlight w:val="none"/>
                <w:vertAlign w:val="baseline"/>
                <w:lang w:val="en-US" w:eastAsia="zh-CN"/>
              </w:rPr>
              <w:t>采取源强控制措施后的污染物产生量（kg/h）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vMerge w:val="restart"/>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生猪</w:t>
            </w:r>
          </w:p>
        </w:tc>
        <w:tc>
          <w:tcPr>
            <w:tcW w:w="64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highlight w:val="none"/>
                <w:vertAlign w:val="baseline"/>
                <w:lang w:val="en-US" w:eastAsia="zh-CN"/>
              </w:rPr>
            </w:pPr>
            <w:r>
              <w:rPr>
                <w:rFonts w:hint="eastAsia"/>
                <w:highlight w:val="none"/>
                <w:vertAlign w:val="baseline"/>
                <w:lang w:val="en-US" w:eastAsia="zh-CN"/>
              </w:rPr>
              <w:t>NH</w:t>
            </w:r>
            <w:r>
              <w:rPr>
                <w:rFonts w:hint="eastAsia"/>
                <w:highlight w:val="none"/>
                <w:vertAlign w:val="subscript"/>
                <w:lang w:val="en-US" w:eastAsia="zh-CN"/>
              </w:rPr>
              <w:t>3</w:t>
            </w:r>
          </w:p>
        </w:tc>
        <w:tc>
          <w:tcPr>
            <w:tcW w:w="1881" w:type="dxa"/>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highlight w:val="none"/>
                <w:lang w:val="en-US" w:eastAsia="zh-CN"/>
              </w:rPr>
            </w:pPr>
            <w:r>
              <w:rPr>
                <w:rFonts w:hint="eastAsia"/>
                <w:highlight w:val="none"/>
                <w:lang w:val="en-US" w:eastAsia="zh-CN"/>
              </w:rPr>
              <w:t>0.028</w:t>
            </w:r>
          </w:p>
        </w:tc>
        <w:tc>
          <w:tcPr>
            <w:tcW w:w="4110" w:type="dxa"/>
            <w:vMerge w:val="restart"/>
            <w:tcBorders>
              <w:tl2br w:val="nil"/>
              <w:tr2bl w:val="nil"/>
            </w:tcBorders>
            <w:vAlign w:val="center"/>
          </w:tcPr>
          <w:p>
            <w:pPr>
              <w:pStyle w:val="30"/>
              <w:widowControl w:val="0"/>
              <w:bidi w:val="0"/>
              <w:jc w:val="center"/>
              <w:rPr>
                <w:rFonts w:hint="default"/>
                <w:highlight w:val="none"/>
                <w:vertAlign w:val="baseline"/>
                <w:lang w:val="en-US" w:eastAsia="zh-CN"/>
              </w:rPr>
            </w:pPr>
            <w:r>
              <w:rPr>
                <w:highlight w:val="none"/>
              </w:rPr>
              <w:t>屠宰车间为全密闭，设置强制通风设施，车间每</w:t>
            </w:r>
            <w:r>
              <w:rPr>
                <w:rFonts w:hint="eastAsia"/>
                <w:highlight w:val="none"/>
                <w:lang w:val="en-US" w:eastAsia="zh-CN"/>
              </w:rPr>
              <w:t>2</w:t>
            </w:r>
            <w:r>
              <w:rPr>
                <w:highlight w:val="none"/>
              </w:rPr>
              <w:t>小时换气一次，保持车间负压；车间生产线及时清洗，肠胃内容物和猪毛等污物及时清运，保持屠宰车间清洁；定期对车间进行消毒处理，可以减少80%的产生量</w:t>
            </w:r>
          </w:p>
        </w:tc>
        <w:tc>
          <w:tcPr>
            <w:tcW w:w="2352" w:type="dxa"/>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0.022（0.045t/a）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vMerge w:val="continue"/>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p>
        </w:tc>
        <w:tc>
          <w:tcPr>
            <w:tcW w:w="64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highlight w:val="none"/>
                <w:vertAlign w:val="baseline"/>
                <w:lang w:val="en-US" w:eastAsia="zh-CN"/>
              </w:rPr>
            </w:pPr>
            <w:r>
              <w:rPr>
                <w:rFonts w:hint="eastAsia"/>
                <w:highlight w:val="none"/>
                <w:vertAlign w:val="baseline"/>
                <w:lang w:val="en-US" w:eastAsia="zh-CN"/>
              </w:rPr>
              <w:t>H</w:t>
            </w:r>
            <w:r>
              <w:rPr>
                <w:rFonts w:hint="eastAsia"/>
                <w:highlight w:val="none"/>
                <w:vertAlign w:val="subscript"/>
                <w:lang w:val="en-US" w:eastAsia="zh-CN"/>
              </w:rPr>
              <w:t>2</w:t>
            </w:r>
            <w:r>
              <w:rPr>
                <w:rFonts w:hint="eastAsia"/>
                <w:highlight w:val="none"/>
                <w:vertAlign w:val="baseline"/>
                <w:lang w:val="en-US" w:eastAsia="zh-CN"/>
              </w:rPr>
              <w:t>S</w:t>
            </w:r>
          </w:p>
        </w:tc>
        <w:tc>
          <w:tcPr>
            <w:tcW w:w="1881" w:type="dxa"/>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highlight w:val="none"/>
                <w:lang w:val="en-US" w:eastAsia="zh-CN"/>
              </w:rPr>
            </w:pPr>
            <w:r>
              <w:rPr>
                <w:rFonts w:hint="eastAsia" w:cs="Times New Roman"/>
                <w:kern w:val="2"/>
                <w:sz w:val="21"/>
                <w:highlight w:val="none"/>
                <w:lang w:val="en-US" w:eastAsia="zh-CN"/>
              </w:rPr>
              <w:t>0.0007</w:t>
            </w:r>
          </w:p>
        </w:tc>
        <w:tc>
          <w:tcPr>
            <w:tcW w:w="4110" w:type="dxa"/>
            <w:vMerge w:val="continue"/>
            <w:tcBorders>
              <w:tl2br w:val="nil"/>
              <w:tr2bl w:val="nil"/>
            </w:tcBorders>
          </w:tcPr>
          <w:p>
            <w:pPr>
              <w:pStyle w:val="30"/>
              <w:widowControl w:val="0"/>
              <w:rPr>
                <w:rFonts w:hint="default"/>
                <w:highlight w:val="none"/>
                <w:vertAlign w:val="baseline"/>
                <w:lang w:val="en-US" w:eastAsia="zh-CN"/>
              </w:rPr>
            </w:pPr>
          </w:p>
        </w:tc>
        <w:tc>
          <w:tcPr>
            <w:tcW w:w="2352" w:type="dxa"/>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0.00056（0.0008t/a）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dxa"/>
            <w:vMerge w:val="restart"/>
            <w:tcBorders>
              <w:tl2br w:val="nil"/>
              <w:tr2bl w:val="nil"/>
            </w:tcBorders>
            <w:vAlign w:val="center"/>
          </w:tcPr>
          <w:p>
            <w:pPr>
              <w:pStyle w:val="30"/>
              <w:widowControl w:val="0"/>
              <w:ind w:firstLine="0" w:firstLineChars="0"/>
              <w:jc w:val="center"/>
              <w:rPr>
                <w:rFonts w:hint="default"/>
                <w:highlight w:val="none"/>
                <w:vertAlign w:val="baseline"/>
                <w:lang w:val="en-US" w:eastAsia="zh-CN"/>
              </w:rPr>
            </w:pPr>
            <w:r>
              <w:rPr>
                <w:rFonts w:hint="eastAsia"/>
                <w:highlight w:val="none"/>
                <w:vertAlign w:val="baseline"/>
                <w:lang w:val="en-US" w:eastAsia="zh-CN"/>
              </w:rPr>
              <w:t>肉牛</w:t>
            </w:r>
          </w:p>
        </w:tc>
        <w:tc>
          <w:tcPr>
            <w:tcW w:w="64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highlight w:val="none"/>
                <w:vertAlign w:val="baseline"/>
                <w:lang w:val="en-US" w:eastAsia="zh-CN"/>
              </w:rPr>
            </w:pPr>
            <w:r>
              <w:rPr>
                <w:rFonts w:hint="eastAsia"/>
                <w:highlight w:val="none"/>
                <w:vertAlign w:val="baseline"/>
                <w:lang w:val="en-US" w:eastAsia="zh-CN"/>
              </w:rPr>
              <w:t>NH</w:t>
            </w:r>
            <w:r>
              <w:rPr>
                <w:rFonts w:hint="eastAsia"/>
                <w:highlight w:val="none"/>
                <w:vertAlign w:val="subscript"/>
                <w:lang w:val="en-US" w:eastAsia="zh-CN"/>
              </w:rPr>
              <w:t>3</w:t>
            </w:r>
          </w:p>
        </w:tc>
        <w:tc>
          <w:tcPr>
            <w:tcW w:w="1881" w:type="dxa"/>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highlight w:val="none"/>
                <w:lang w:val="en-US" w:eastAsia="zh-CN"/>
              </w:rPr>
            </w:pPr>
            <w:r>
              <w:rPr>
                <w:rFonts w:hint="eastAsia"/>
                <w:highlight w:val="none"/>
                <w:lang w:val="en-US" w:eastAsia="zh-CN"/>
              </w:rPr>
              <w:t>0.18</w:t>
            </w:r>
          </w:p>
        </w:tc>
        <w:tc>
          <w:tcPr>
            <w:tcW w:w="4110" w:type="dxa"/>
            <w:vMerge w:val="continue"/>
            <w:tcBorders>
              <w:tl2br w:val="nil"/>
              <w:tr2bl w:val="nil"/>
            </w:tcBorders>
          </w:tcPr>
          <w:p>
            <w:pPr>
              <w:pStyle w:val="30"/>
              <w:widowControl w:val="0"/>
              <w:rPr>
                <w:rFonts w:hint="default"/>
                <w:highlight w:val="none"/>
                <w:vertAlign w:val="baseline"/>
                <w:lang w:val="en-US" w:eastAsia="zh-CN"/>
              </w:rPr>
            </w:pPr>
          </w:p>
        </w:tc>
        <w:tc>
          <w:tcPr>
            <w:tcW w:w="2352" w:type="dxa"/>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0.144（0.144t/a）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vMerge w:val="continue"/>
            <w:tcBorders>
              <w:tl2br w:val="nil"/>
              <w:tr2bl w:val="nil"/>
            </w:tcBorders>
            <w:vAlign w:val="center"/>
          </w:tcPr>
          <w:p>
            <w:pPr>
              <w:pStyle w:val="30"/>
              <w:widowControl w:val="0"/>
              <w:ind w:firstLine="0" w:firstLineChars="0"/>
              <w:jc w:val="center"/>
              <w:rPr>
                <w:rFonts w:hint="eastAsia"/>
                <w:highlight w:val="none"/>
                <w:vertAlign w:val="baseline"/>
                <w:lang w:val="en-US" w:eastAsia="zh-CN"/>
              </w:rPr>
            </w:pPr>
          </w:p>
        </w:tc>
        <w:tc>
          <w:tcPr>
            <w:tcW w:w="64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highlight w:val="none"/>
                <w:vertAlign w:val="baseline"/>
                <w:lang w:val="en-US" w:eastAsia="zh-CN"/>
              </w:rPr>
            </w:pPr>
            <w:r>
              <w:rPr>
                <w:rFonts w:hint="eastAsia"/>
                <w:highlight w:val="none"/>
                <w:vertAlign w:val="baseline"/>
                <w:lang w:val="en-US" w:eastAsia="zh-CN"/>
              </w:rPr>
              <w:t>H</w:t>
            </w:r>
            <w:r>
              <w:rPr>
                <w:rFonts w:hint="eastAsia"/>
                <w:highlight w:val="none"/>
                <w:vertAlign w:val="subscript"/>
                <w:lang w:val="en-US" w:eastAsia="zh-CN"/>
              </w:rPr>
              <w:t>2</w:t>
            </w:r>
            <w:r>
              <w:rPr>
                <w:rFonts w:hint="eastAsia"/>
                <w:highlight w:val="none"/>
                <w:vertAlign w:val="baseline"/>
                <w:lang w:val="en-US" w:eastAsia="zh-CN"/>
              </w:rPr>
              <w:t>S</w:t>
            </w:r>
          </w:p>
        </w:tc>
        <w:tc>
          <w:tcPr>
            <w:tcW w:w="1881" w:type="dxa"/>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highlight w:val="none"/>
                <w:lang w:val="en-US" w:eastAsia="zh-CN"/>
              </w:rPr>
            </w:pPr>
            <w:r>
              <w:rPr>
                <w:rFonts w:hint="eastAsia"/>
                <w:highlight w:val="none"/>
                <w:lang w:val="en-US" w:eastAsia="zh-CN"/>
              </w:rPr>
              <w:t>0.011</w:t>
            </w:r>
          </w:p>
        </w:tc>
        <w:tc>
          <w:tcPr>
            <w:tcW w:w="4110" w:type="dxa"/>
            <w:vMerge w:val="continue"/>
            <w:tcBorders>
              <w:tl2br w:val="nil"/>
              <w:tr2bl w:val="nil"/>
            </w:tcBorders>
          </w:tcPr>
          <w:p>
            <w:pPr>
              <w:pStyle w:val="30"/>
              <w:widowControl w:val="0"/>
              <w:rPr>
                <w:rFonts w:hint="default"/>
                <w:highlight w:val="none"/>
                <w:vertAlign w:val="baseline"/>
                <w:lang w:val="en-US" w:eastAsia="zh-CN"/>
              </w:rPr>
            </w:pPr>
          </w:p>
        </w:tc>
        <w:tc>
          <w:tcPr>
            <w:tcW w:w="2352" w:type="dxa"/>
            <w:tcBorders>
              <w:tl2br w:val="nil"/>
              <w:tr2bl w:val="nil"/>
            </w:tcBorders>
            <w:vAlign w:val="center"/>
          </w:tcPr>
          <w:p>
            <w:pPr>
              <w:pStyle w:val="30"/>
              <w:widowControl w:val="0"/>
              <w:bidi w:val="0"/>
              <w:jc w:val="center"/>
              <w:rPr>
                <w:rFonts w:hint="default"/>
                <w:highlight w:val="none"/>
                <w:lang w:val="en-US" w:eastAsia="zh-CN"/>
              </w:rPr>
            </w:pPr>
            <w:r>
              <w:rPr>
                <w:rFonts w:hint="eastAsia"/>
                <w:highlight w:val="none"/>
                <w:lang w:val="en-US" w:eastAsia="zh-CN"/>
              </w:rPr>
              <w:t>0.001（0.001t/a）</w:t>
            </w:r>
          </w:p>
        </w:tc>
      </w:tr>
    </w:tbl>
    <w:p>
      <w:pPr>
        <w:spacing w:beforeLines="0" w:afterLines="0"/>
        <w:jc w:val="left"/>
        <w:rPr>
          <w:rFonts w:hint="default"/>
          <w:b w:val="0"/>
          <w:bCs w:val="0"/>
          <w:lang w:val="en-US" w:eastAsia="zh-CN"/>
        </w:rPr>
      </w:pPr>
      <w:r>
        <w:rPr>
          <w:rFonts w:hint="eastAsia"/>
          <w:b w:val="0"/>
          <w:bCs w:val="0"/>
          <w:lang w:val="en-US" w:eastAsia="zh-CN"/>
        </w:rPr>
        <w:t>污染防治措施：</w:t>
      </w:r>
    </w:p>
    <w:p>
      <w:pPr>
        <w:bidi w:val="0"/>
        <w:rPr>
          <w:rFonts w:hint="default" w:eastAsia="宋体"/>
          <w:lang w:val="en-US" w:eastAsia="zh-CN"/>
        </w:rPr>
      </w:pPr>
      <w:r>
        <w:rPr>
          <w:rFonts w:hint="eastAsia"/>
        </w:rPr>
        <w:t>为确保项目恶臭污染物的有效收集，采用一台风量</w:t>
      </w:r>
      <w:r>
        <w:rPr>
          <w:rFonts w:hint="eastAsia"/>
          <w:lang w:val="en-US" w:eastAsia="zh-CN"/>
        </w:rPr>
        <w:t>46000</w:t>
      </w:r>
      <w:r>
        <w:rPr>
          <w:rFonts w:hint="default"/>
        </w:rPr>
        <w:t>m</w:t>
      </w:r>
      <w:r>
        <w:rPr>
          <w:rFonts w:hint="default"/>
          <w:vertAlign w:val="superscript"/>
        </w:rPr>
        <w:t>3</w:t>
      </w:r>
      <w:r>
        <w:rPr>
          <w:rFonts w:hint="default"/>
        </w:rPr>
        <w:t>/h</w:t>
      </w:r>
      <w:r>
        <w:rPr>
          <w:rFonts w:hint="eastAsia"/>
        </w:rPr>
        <w:t>风机，经负压抽风抽出的废气经</w:t>
      </w:r>
      <w:r>
        <w:rPr>
          <w:rFonts w:hint="default"/>
        </w:rPr>
        <w:t>1</w:t>
      </w:r>
      <w:r>
        <w:rPr>
          <w:rFonts w:hint="eastAsia"/>
        </w:rPr>
        <w:t>套</w:t>
      </w:r>
      <w:r>
        <w:rPr>
          <w:rFonts w:hint="eastAsia"/>
          <w:lang w:eastAsia="zh-CN"/>
        </w:rPr>
        <w:t>“UV光解+生物洗涤塔”</w:t>
      </w:r>
      <w:r>
        <w:rPr>
          <w:rFonts w:hint="eastAsia"/>
        </w:rPr>
        <w:t>进行处理后经</w:t>
      </w:r>
      <w:r>
        <w:rPr>
          <w:rFonts w:hint="default"/>
        </w:rPr>
        <w:t>15m</w:t>
      </w:r>
      <w:r>
        <w:rPr>
          <w:rFonts w:hint="eastAsia"/>
        </w:rPr>
        <w:t>高排气筒（</w:t>
      </w:r>
      <w:r>
        <w:rPr>
          <w:rFonts w:hint="default"/>
        </w:rPr>
        <w:t>P2</w:t>
      </w:r>
      <w:r>
        <w:rPr>
          <w:rFonts w:hint="eastAsia"/>
        </w:rPr>
        <w:t>排气筒）进行排放</w:t>
      </w:r>
      <w:r>
        <w:rPr>
          <w:rFonts w:hint="eastAsia"/>
          <w:lang w:eastAsia="zh-CN"/>
        </w:rPr>
        <w:t>，</w:t>
      </w:r>
      <w:r>
        <w:rPr>
          <w:rFonts w:hint="eastAsia"/>
          <w:lang w:val="en-US" w:eastAsia="zh-CN"/>
        </w:rPr>
        <w:t>采用该处理方式收集效率约为90%，处理效率约为90%，因此，屠宰车间恶臭经收集处理后生猪屠宰车间有组织排速率为NH</w:t>
      </w:r>
      <w:r>
        <w:rPr>
          <w:rFonts w:hint="eastAsia"/>
          <w:vertAlign w:val="subscript"/>
          <w:lang w:val="en-US" w:eastAsia="zh-CN"/>
        </w:rPr>
        <w:t>3</w:t>
      </w:r>
      <w:r>
        <w:rPr>
          <w:rFonts w:hint="eastAsia"/>
          <w:vertAlign w:val="baseline"/>
          <w:lang w:val="en-US" w:eastAsia="zh-CN"/>
        </w:rPr>
        <w:t>：0.002kg/h，H</w:t>
      </w:r>
      <w:r>
        <w:rPr>
          <w:rFonts w:hint="eastAsia"/>
          <w:vertAlign w:val="subscript"/>
          <w:lang w:val="en-US" w:eastAsia="zh-CN"/>
        </w:rPr>
        <w:t>2</w:t>
      </w:r>
      <w:r>
        <w:rPr>
          <w:rFonts w:hint="eastAsia"/>
          <w:vertAlign w:val="baseline"/>
          <w:lang w:val="en-US" w:eastAsia="zh-CN"/>
        </w:rPr>
        <w:t>S：0.00005kg/h；排放量为</w:t>
      </w:r>
      <w:r>
        <w:rPr>
          <w:rFonts w:hint="eastAsia"/>
          <w:lang w:val="en-US" w:eastAsia="zh-CN"/>
        </w:rPr>
        <w:t>NH</w:t>
      </w:r>
      <w:r>
        <w:rPr>
          <w:rFonts w:hint="eastAsia"/>
          <w:vertAlign w:val="subscript"/>
          <w:lang w:val="en-US" w:eastAsia="zh-CN"/>
        </w:rPr>
        <w:t>3</w:t>
      </w:r>
      <w:r>
        <w:rPr>
          <w:rFonts w:hint="eastAsia"/>
          <w:vertAlign w:val="baseline"/>
          <w:lang w:val="en-US" w:eastAsia="zh-CN"/>
        </w:rPr>
        <w:t>：0.004t/a，H</w:t>
      </w:r>
      <w:r>
        <w:rPr>
          <w:rFonts w:hint="eastAsia"/>
          <w:vertAlign w:val="subscript"/>
          <w:lang w:val="en-US" w:eastAsia="zh-CN"/>
        </w:rPr>
        <w:t>2</w:t>
      </w:r>
      <w:r>
        <w:rPr>
          <w:rFonts w:hint="eastAsia"/>
          <w:vertAlign w:val="baseline"/>
          <w:lang w:val="en-US" w:eastAsia="zh-CN"/>
        </w:rPr>
        <w:t>S：0.00007t/a；无组织排放速率为</w:t>
      </w:r>
      <w:r>
        <w:rPr>
          <w:rFonts w:hint="eastAsia"/>
          <w:lang w:val="en-US" w:eastAsia="zh-CN"/>
        </w:rPr>
        <w:t>NH</w:t>
      </w:r>
      <w:r>
        <w:rPr>
          <w:rFonts w:hint="eastAsia"/>
          <w:vertAlign w:val="subscript"/>
          <w:lang w:val="en-US" w:eastAsia="zh-CN"/>
        </w:rPr>
        <w:t>3</w:t>
      </w:r>
      <w:r>
        <w:rPr>
          <w:rFonts w:hint="eastAsia"/>
          <w:vertAlign w:val="baseline"/>
          <w:lang w:val="en-US" w:eastAsia="zh-CN"/>
        </w:rPr>
        <w:t>：0.0022kg/h，H</w:t>
      </w:r>
      <w:r>
        <w:rPr>
          <w:rFonts w:hint="eastAsia"/>
          <w:vertAlign w:val="subscript"/>
          <w:lang w:val="en-US" w:eastAsia="zh-CN"/>
        </w:rPr>
        <w:t>2</w:t>
      </w:r>
      <w:r>
        <w:rPr>
          <w:rFonts w:hint="eastAsia"/>
          <w:vertAlign w:val="baseline"/>
          <w:lang w:val="en-US" w:eastAsia="zh-CN"/>
        </w:rPr>
        <w:t>S：0.0045kg/h；排放量为</w:t>
      </w:r>
      <w:r>
        <w:rPr>
          <w:rFonts w:hint="eastAsia"/>
          <w:lang w:val="en-US" w:eastAsia="zh-CN"/>
        </w:rPr>
        <w:t>NH</w:t>
      </w:r>
      <w:r>
        <w:rPr>
          <w:rFonts w:hint="eastAsia"/>
          <w:vertAlign w:val="subscript"/>
          <w:lang w:val="en-US" w:eastAsia="zh-CN"/>
        </w:rPr>
        <w:t>3</w:t>
      </w:r>
      <w:r>
        <w:rPr>
          <w:rFonts w:hint="eastAsia"/>
          <w:vertAlign w:val="baseline"/>
          <w:lang w:val="en-US" w:eastAsia="zh-CN"/>
        </w:rPr>
        <w:t>：0.00056t/a，H</w:t>
      </w:r>
      <w:r>
        <w:rPr>
          <w:rFonts w:hint="eastAsia"/>
          <w:vertAlign w:val="subscript"/>
          <w:lang w:val="en-US" w:eastAsia="zh-CN"/>
        </w:rPr>
        <w:t>2</w:t>
      </w:r>
      <w:r>
        <w:rPr>
          <w:rFonts w:hint="eastAsia"/>
          <w:vertAlign w:val="baseline"/>
          <w:lang w:val="en-US" w:eastAsia="zh-CN"/>
        </w:rPr>
        <w:t>S：0.00008t/a；</w:t>
      </w:r>
      <w:r>
        <w:rPr>
          <w:rFonts w:hint="eastAsia"/>
          <w:lang w:val="en-US" w:eastAsia="zh-CN"/>
        </w:rPr>
        <w:t>肉牛屠宰车间有组织排速率为NH</w:t>
      </w:r>
      <w:r>
        <w:rPr>
          <w:rFonts w:hint="eastAsia"/>
          <w:vertAlign w:val="subscript"/>
          <w:lang w:val="en-US" w:eastAsia="zh-CN"/>
        </w:rPr>
        <w:t>3</w:t>
      </w:r>
      <w:r>
        <w:rPr>
          <w:rFonts w:hint="eastAsia"/>
          <w:vertAlign w:val="baseline"/>
          <w:lang w:val="en-US" w:eastAsia="zh-CN"/>
        </w:rPr>
        <w:t>：0.013kg/h，H</w:t>
      </w:r>
      <w:r>
        <w:rPr>
          <w:rFonts w:hint="eastAsia"/>
          <w:vertAlign w:val="subscript"/>
          <w:lang w:val="en-US" w:eastAsia="zh-CN"/>
        </w:rPr>
        <w:t>2</w:t>
      </w:r>
      <w:r>
        <w:rPr>
          <w:rFonts w:hint="eastAsia"/>
          <w:vertAlign w:val="baseline"/>
          <w:lang w:val="en-US" w:eastAsia="zh-CN"/>
        </w:rPr>
        <w:t>S：0.0001kg/h；排放量为</w:t>
      </w:r>
      <w:r>
        <w:rPr>
          <w:rFonts w:hint="eastAsia"/>
          <w:lang w:val="en-US" w:eastAsia="zh-CN"/>
        </w:rPr>
        <w:t>NH</w:t>
      </w:r>
      <w:r>
        <w:rPr>
          <w:rFonts w:hint="eastAsia"/>
          <w:vertAlign w:val="subscript"/>
          <w:lang w:val="en-US" w:eastAsia="zh-CN"/>
        </w:rPr>
        <w:t>3</w:t>
      </w:r>
      <w:r>
        <w:rPr>
          <w:rFonts w:hint="eastAsia"/>
          <w:vertAlign w:val="baseline"/>
          <w:lang w:val="en-US" w:eastAsia="zh-CN"/>
        </w:rPr>
        <w:t>：0.013t/a，H</w:t>
      </w:r>
      <w:r>
        <w:rPr>
          <w:rFonts w:hint="eastAsia"/>
          <w:vertAlign w:val="subscript"/>
          <w:lang w:val="en-US" w:eastAsia="zh-CN"/>
        </w:rPr>
        <w:t>2</w:t>
      </w:r>
      <w:r>
        <w:rPr>
          <w:rFonts w:hint="eastAsia"/>
          <w:vertAlign w:val="baseline"/>
          <w:lang w:val="en-US" w:eastAsia="zh-CN"/>
        </w:rPr>
        <w:t>S：0.0001t/a；无组织排放速率为</w:t>
      </w:r>
      <w:r>
        <w:rPr>
          <w:rFonts w:hint="eastAsia"/>
          <w:lang w:val="en-US" w:eastAsia="zh-CN"/>
        </w:rPr>
        <w:t>NH</w:t>
      </w:r>
      <w:r>
        <w:rPr>
          <w:rFonts w:hint="eastAsia"/>
          <w:vertAlign w:val="subscript"/>
          <w:lang w:val="en-US" w:eastAsia="zh-CN"/>
        </w:rPr>
        <w:t>3</w:t>
      </w:r>
      <w:r>
        <w:rPr>
          <w:rFonts w:hint="eastAsia"/>
          <w:vertAlign w:val="baseline"/>
          <w:lang w:val="en-US" w:eastAsia="zh-CN"/>
        </w:rPr>
        <w:t>：0.0144kg/h，H</w:t>
      </w:r>
      <w:r>
        <w:rPr>
          <w:rFonts w:hint="eastAsia"/>
          <w:vertAlign w:val="subscript"/>
          <w:lang w:val="en-US" w:eastAsia="zh-CN"/>
        </w:rPr>
        <w:t>2</w:t>
      </w:r>
      <w:r>
        <w:rPr>
          <w:rFonts w:hint="eastAsia"/>
          <w:vertAlign w:val="baseline"/>
          <w:lang w:val="en-US" w:eastAsia="zh-CN"/>
        </w:rPr>
        <w:t>S：0.0001kg/h；排放量为</w:t>
      </w:r>
      <w:r>
        <w:rPr>
          <w:rFonts w:hint="eastAsia"/>
          <w:lang w:val="en-US" w:eastAsia="zh-CN"/>
        </w:rPr>
        <w:t>NH</w:t>
      </w:r>
      <w:r>
        <w:rPr>
          <w:rFonts w:hint="eastAsia"/>
          <w:vertAlign w:val="subscript"/>
          <w:lang w:val="en-US" w:eastAsia="zh-CN"/>
        </w:rPr>
        <w:t>3</w:t>
      </w:r>
      <w:r>
        <w:rPr>
          <w:rFonts w:hint="eastAsia"/>
          <w:vertAlign w:val="baseline"/>
          <w:lang w:val="en-US" w:eastAsia="zh-CN"/>
        </w:rPr>
        <w:t>：0.0144t/a，H</w:t>
      </w:r>
      <w:r>
        <w:rPr>
          <w:rFonts w:hint="eastAsia"/>
          <w:vertAlign w:val="subscript"/>
          <w:lang w:val="en-US" w:eastAsia="zh-CN"/>
        </w:rPr>
        <w:t>2</w:t>
      </w:r>
      <w:r>
        <w:rPr>
          <w:rFonts w:hint="eastAsia"/>
          <w:vertAlign w:val="baseline"/>
          <w:lang w:val="en-US" w:eastAsia="zh-CN"/>
        </w:rPr>
        <w:t>S：0.0001t/a。</w:t>
      </w:r>
    </w:p>
    <w:p>
      <w:pPr>
        <w:numPr>
          <w:ilvl w:val="0"/>
          <w:numId w:val="8"/>
        </w:numPr>
        <w:bidi w:val="0"/>
        <w:rPr>
          <w:rFonts w:hint="eastAsia"/>
          <w:b/>
          <w:bCs/>
          <w:lang w:val="en-US" w:eastAsia="zh-CN"/>
        </w:rPr>
      </w:pPr>
      <w:r>
        <w:rPr>
          <w:rFonts w:hint="eastAsia"/>
          <w:b/>
          <w:bCs/>
          <w:lang w:val="en-US" w:eastAsia="zh-CN"/>
        </w:rPr>
        <w:t>污水处理站</w:t>
      </w:r>
    </w:p>
    <w:p>
      <w:pPr>
        <w:bidi w:val="0"/>
        <w:spacing w:beforeLines="0" w:afterLines="0"/>
        <w:jc w:val="left"/>
        <w:rPr>
          <w:rFonts w:hint="eastAsia"/>
          <w:b/>
          <w:bCs/>
          <w:lang w:val="en-US" w:eastAsia="zh-CN"/>
        </w:rPr>
      </w:pPr>
      <w:r>
        <w:rPr>
          <w:rFonts w:hint="eastAsia"/>
          <w:b w:val="0"/>
          <w:bCs w:val="0"/>
          <w:lang w:val="en-US" w:eastAsia="zh-CN"/>
        </w:rPr>
        <w:t>污染防治措施：</w:t>
      </w:r>
    </w:p>
    <w:p>
      <w:pPr>
        <w:bidi w:val="0"/>
        <w:rPr>
          <w:rFonts w:hint="default"/>
          <w:b w:val="0"/>
          <w:bCs w:val="0"/>
          <w:lang w:val="en-US" w:eastAsia="zh-CN"/>
        </w:rPr>
      </w:pPr>
      <w:r>
        <w:rPr>
          <w:rFonts w:hint="eastAsia"/>
          <w:b w:val="0"/>
          <w:bCs w:val="0"/>
          <w:lang w:val="en-US" w:eastAsia="zh-CN"/>
        </w:rPr>
        <w:t>本项目污水处理站采用半地埋式，对整个污水处理单元进行全部密闭，地面加盖，采用微负压抽风系统收集，污水处理站与待宰圈共用一套废气处理系统，</w:t>
      </w:r>
      <w:r>
        <w:rPr>
          <w:rFonts w:hint="eastAsia"/>
        </w:rPr>
        <w:t>采用一台风量</w:t>
      </w:r>
      <w:r>
        <w:rPr>
          <w:rFonts w:hint="eastAsia"/>
          <w:lang w:val="en-US" w:eastAsia="zh-CN"/>
        </w:rPr>
        <w:t>17000</w:t>
      </w:r>
      <w:r>
        <w:rPr>
          <w:rFonts w:hint="default"/>
        </w:rPr>
        <w:t>m</w:t>
      </w:r>
      <w:r>
        <w:rPr>
          <w:rFonts w:hint="default"/>
          <w:vertAlign w:val="superscript"/>
        </w:rPr>
        <w:t>3</w:t>
      </w:r>
      <w:r>
        <w:rPr>
          <w:rFonts w:hint="default"/>
        </w:rPr>
        <w:t>/h</w:t>
      </w:r>
      <w:r>
        <w:rPr>
          <w:rFonts w:hint="eastAsia"/>
        </w:rPr>
        <w:t>风机</w:t>
      </w:r>
      <w:r>
        <w:rPr>
          <w:rFonts w:hint="eastAsia"/>
          <w:lang w:eastAsia="zh-CN"/>
        </w:rPr>
        <w:t>，</w:t>
      </w:r>
      <w:r>
        <w:rPr>
          <w:rFonts w:hint="eastAsia"/>
        </w:rPr>
        <w:t>经负压抽风抽出的废气经</w:t>
      </w:r>
      <w:r>
        <w:rPr>
          <w:rFonts w:hint="default"/>
        </w:rPr>
        <w:t>1</w:t>
      </w:r>
      <w:r>
        <w:rPr>
          <w:rFonts w:hint="eastAsia"/>
        </w:rPr>
        <w:t>套</w:t>
      </w:r>
      <w:r>
        <w:rPr>
          <w:rFonts w:hint="eastAsia"/>
          <w:lang w:eastAsia="zh-CN"/>
        </w:rPr>
        <w:t>“UV光解+生物洗涤塔”</w:t>
      </w:r>
      <w:r>
        <w:rPr>
          <w:rFonts w:hint="eastAsia"/>
        </w:rPr>
        <w:t>进行处理后经</w:t>
      </w:r>
      <w:r>
        <w:rPr>
          <w:rFonts w:hint="default"/>
        </w:rPr>
        <w:t>15m</w:t>
      </w:r>
      <w:r>
        <w:rPr>
          <w:rFonts w:hint="eastAsia"/>
        </w:rPr>
        <w:t>高排气筒（</w:t>
      </w:r>
      <w:r>
        <w:rPr>
          <w:rFonts w:hint="default"/>
        </w:rPr>
        <w:t>P1</w:t>
      </w:r>
      <w:r>
        <w:rPr>
          <w:rFonts w:hint="eastAsia"/>
        </w:rPr>
        <w:t>排气筒）进行排放</w:t>
      </w:r>
      <w:r>
        <w:rPr>
          <w:rFonts w:hint="eastAsia"/>
          <w:lang w:eastAsia="zh-CN"/>
        </w:rPr>
        <w:t>，</w:t>
      </w:r>
      <w:r>
        <w:rPr>
          <w:rFonts w:hint="eastAsia"/>
          <w:lang w:val="en-US" w:eastAsia="zh-CN"/>
        </w:rPr>
        <w:t>采用该处理方式收集效率约为90%，处理效率约为90%，因此，污水处理站恶臭经收集处理后有组织排速率为NH</w:t>
      </w:r>
      <w:r>
        <w:rPr>
          <w:rFonts w:hint="eastAsia"/>
          <w:vertAlign w:val="subscript"/>
          <w:lang w:val="en-US" w:eastAsia="zh-CN"/>
        </w:rPr>
        <w:t>3</w:t>
      </w:r>
      <w:r>
        <w:rPr>
          <w:rFonts w:hint="eastAsia"/>
          <w:vertAlign w:val="baseline"/>
          <w:lang w:val="en-US" w:eastAsia="zh-CN"/>
        </w:rPr>
        <w:t>：0.007kg/h，H</w:t>
      </w:r>
      <w:r>
        <w:rPr>
          <w:rFonts w:hint="eastAsia"/>
          <w:vertAlign w:val="subscript"/>
          <w:lang w:val="en-US" w:eastAsia="zh-CN"/>
        </w:rPr>
        <w:t>2</w:t>
      </w:r>
      <w:r>
        <w:rPr>
          <w:rFonts w:hint="eastAsia"/>
          <w:vertAlign w:val="baseline"/>
          <w:lang w:val="en-US" w:eastAsia="zh-CN"/>
        </w:rPr>
        <w:t>S：0.0003kg/h；排放量为</w:t>
      </w:r>
      <w:r>
        <w:rPr>
          <w:rFonts w:hint="eastAsia"/>
          <w:lang w:val="en-US" w:eastAsia="zh-CN"/>
        </w:rPr>
        <w:t>NH</w:t>
      </w:r>
      <w:r>
        <w:rPr>
          <w:rFonts w:hint="eastAsia"/>
          <w:vertAlign w:val="subscript"/>
          <w:lang w:val="en-US" w:eastAsia="zh-CN"/>
        </w:rPr>
        <w:t>3</w:t>
      </w:r>
      <w:r>
        <w:rPr>
          <w:rFonts w:hint="eastAsia"/>
          <w:vertAlign w:val="baseline"/>
          <w:lang w:val="en-US" w:eastAsia="zh-CN"/>
        </w:rPr>
        <w:t>：0.05t/a，H</w:t>
      </w:r>
      <w:r>
        <w:rPr>
          <w:rFonts w:hint="eastAsia"/>
          <w:vertAlign w:val="subscript"/>
          <w:lang w:val="en-US" w:eastAsia="zh-CN"/>
        </w:rPr>
        <w:t>2</w:t>
      </w:r>
      <w:r>
        <w:rPr>
          <w:rFonts w:hint="eastAsia"/>
          <w:vertAlign w:val="baseline"/>
          <w:lang w:val="en-US" w:eastAsia="zh-CN"/>
        </w:rPr>
        <w:t>S：0.002t/a；无组织排放速率为</w:t>
      </w:r>
      <w:r>
        <w:rPr>
          <w:rFonts w:hint="eastAsia"/>
          <w:lang w:val="en-US" w:eastAsia="zh-CN"/>
        </w:rPr>
        <w:t>NH</w:t>
      </w:r>
      <w:r>
        <w:rPr>
          <w:rFonts w:hint="eastAsia"/>
          <w:vertAlign w:val="subscript"/>
          <w:lang w:val="en-US" w:eastAsia="zh-CN"/>
        </w:rPr>
        <w:t>3</w:t>
      </w:r>
      <w:r>
        <w:rPr>
          <w:rFonts w:hint="eastAsia"/>
          <w:vertAlign w:val="baseline"/>
          <w:lang w:val="en-US" w:eastAsia="zh-CN"/>
        </w:rPr>
        <w:t>：0.008kg/h，H</w:t>
      </w:r>
      <w:r>
        <w:rPr>
          <w:rFonts w:hint="eastAsia"/>
          <w:vertAlign w:val="subscript"/>
          <w:lang w:val="en-US" w:eastAsia="zh-CN"/>
        </w:rPr>
        <w:t>2</w:t>
      </w:r>
      <w:r>
        <w:rPr>
          <w:rFonts w:hint="eastAsia"/>
          <w:vertAlign w:val="baseline"/>
          <w:lang w:val="en-US" w:eastAsia="zh-CN"/>
        </w:rPr>
        <w:t>S：0.0003kg/h；排放量为</w:t>
      </w:r>
      <w:r>
        <w:rPr>
          <w:rFonts w:hint="eastAsia"/>
          <w:lang w:val="en-US" w:eastAsia="zh-CN"/>
        </w:rPr>
        <w:t>NH</w:t>
      </w:r>
      <w:r>
        <w:rPr>
          <w:rFonts w:hint="eastAsia"/>
          <w:vertAlign w:val="subscript"/>
          <w:lang w:val="en-US" w:eastAsia="zh-CN"/>
        </w:rPr>
        <w:t>3</w:t>
      </w:r>
      <w:r>
        <w:rPr>
          <w:rFonts w:hint="eastAsia"/>
          <w:vertAlign w:val="baseline"/>
          <w:lang w:val="en-US" w:eastAsia="zh-CN"/>
        </w:rPr>
        <w:t>：0.056t/a，H</w:t>
      </w:r>
      <w:r>
        <w:rPr>
          <w:rFonts w:hint="eastAsia"/>
          <w:vertAlign w:val="subscript"/>
          <w:lang w:val="en-US" w:eastAsia="zh-CN"/>
        </w:rPr>
        <w:t>2</w:t>
      </w:r>
      <w:r>
        <w:rPr>
          <w:rFonts w:hint="eastAsia"/>
          <w:vertAlign w:val="baseline"/>
          <w:lang w:val="en-US" w:eastAsia="zh-CN"/>
        </w:rPr>
        <w:t>S：0.0022t/a。</w:t>
      </w:r>
    </w:p>
    <w:p>
      <w:pPr>
        <w:bidi w:val="0"/>
        <w:rPr>
          <w:rFonts w:hint="default"/>
          <w:b/>
          <w:bCs/>
          <w:lang w:val="en-US" w:eastAsia="zh-CN"/>
        </w:rPr>
      </w:pPr>
      <w:r>
        <w:rPr>
          <w:rFonts w:hint="eastAsia"/>
          <w:b/>
          <w:bCs/>
          <w:lang w:val="en-US" w:eastAsia="zh-CN"/>
        </w:rPr>
        <w:t>（3）运输路线恶臭控制措施</w:t>
      </w:r>
    </w:p>
    <w:p>
      <w:pPr>
        <w:bidi w:val="0"/>
        <w:rPr>
          <w:rFonts w:hint="eastAsia"/>
        </w:rPr>
      </w:pPr>
      <w:r>
        <w:rPr>
          <w:rFonts w:hint="default"/>
        </w:rPr>
        <w:t>1</w:t>
      </w:r>
      <w:r>
        <w:rPr>
          <w:rFonts w:hint="eastAsia"/>
        </w:rPr>
        <w:t>）运输路线恶臭控制措施</w:t>
      </w:r>
    </w:p>
    <w:p>
      <w:pPr>
        <w:bidi w:val="0"/>
        <w:rPr>
          <w:rFonts w:hint="eastAsia"/>
        </w:rPr>
      </w:pPr>
      <w:r>
        <w:rPr>
          <w:rFonts w:hint="eastAsia"/>
        </w:rPr>
        <w:t>①合理安排运输时间。</w:t>
      </w:r>
    </w:p>
    <w:p>
      <w:pPr>
        <w:bidi w:val="0"/>
        <w:rPr>
          <w:rFonts w:hint="eastAsia"/>
        </w:rPr>
      </w:pPr>
      <w:r>
        <w:rPr>
          <w:rFonts w:hint="eastAsia"/>
        </w:rPr>
        <w:t>②在夏季进行运输时，要切实做好防暑降温措施，采用封闭的空调运输车辆进行运输，并安排好起运时间，一般选择下午装车晚上行走。冬季运输时要做好保暖措施，车厢内要铺满稻草，并在车外包上篷布，多选择在白天时运输。</w:t>
      </w:r>
    </w:p>
    <w:p>
      <w:pPr>
        <w:bidi w:val="0"/>
        <w:rPr>
          <w:rFonts w:hint="eastAsia"/>
        </w:rPr>
      </w:pPr>
      <w:r>
        <w:rPr>
          <w:rFonts w:hint="eastAsia"/>
        </w:rPr>
        <w:t>③避免道路崎岖或堵车拉长运输时间，选择熟悉路线的司机开车，刚开始时应控制车速慢行，待猪适应后再以正常速度行驶，尽量避免出现急转弯或急刹车的现象，减少挤压；在经过有疫情的地区少停车，避免感染疫情。</w:t>
      </w:r>
    </w:p>
    <w:p>
      <w:pPr>
        <w:bidi w:val="0"/>
        <w:rPr>
          <w:rFonts w:hint="eastAsia"/>
        </w:rPr>
      </w:pPr>
      <w:r>
        <w:rPr>
          <w:rFonts w:hint="eastAsia"/>
        </w:rPr>
        <w:t>④所有运输车辆在行驶出养殖场和屠宰场之前均需对车辆进行冲洗。</w:t>
      </w:r>
    </w:p>
    <w:p>
      <w:pPr>
        <w:bidi w:val="0"/>
        <w:rPr>
          <w:rFonts w:hint="eastAsia"/>
        </w:rPr>
      </w:pPr>
      <w:r>
        <w:rPr>
          <w:rFonts w:hint="default"/>
        </w:rPr>
        <w:t>2</w:t>
      </w:r>
      <w:r>
        <w:rPr>
          <w:rFonts w:hint="eastAsia"/>
        </w:rPr>
        <w:t>）</w:t>
      </w:r>
      <w:r>
        <w:rPr>
          <w:rFonts w:hint="eastAsia"/>
          <w:lang w:val="en-US" w:eastAsia="zh-CN"/>
        </w:rPr>
        <w:t>粪便</w:t>
      </w:r>
      <w:r>
        <w:rPr>
          <w:rFonts w:hint="eastAsia"/>
        </w:rPr>
        <w:t>及胃渣运输路线恶臭控制措施</w:t>
      </w:r>
    </w:p>
    <w:p>
      <w:pPr>
        <w:bidi w:val="0"/>
        <w:rPr>
          <w:rFonts w:hint="eastAsia"/>
        </w:rPr>
      </w:pPr>
      <w:r>
        <w:rPr>
          <w:rFonts w:hint="eastAsia"/>
        </w:rPr>
        <w:t>①合理安排运输时间。</w:t>
      </w:r>
    </w:p>
    <w:p>
      <w:pPr>
        <w:bidi w:val="0"/>
        <w:rPr>
          <w:rFonts w:hint="default"/>
          <w:lang w:val="en-US" w:eastAsia="zh-CN"/>
        </w:rPr>
      </w:pPr>
      <w:r>
        <w:rPr>
          <w:rFonts w:hint="eastAsia"/>
        </w:rPr>
        <w:t>②粪便及胃渣全部采用桶装，并进行密闭，再用具有封闭车斗的运输车辆进行运输，运输时，车斗全部做到封闭。</w:t>
      </w:r>
    </w:p>
    <w:p>
      <w:pPr>
        <w:bidi w:val="0"/>
        <w:rPr>
          <w:rFonts w:hint="default"/>
          <w:lang w:val="en-US" w:eastAsia="zh-CN"/>
        </w:rPr>
      </w:pPr>
      <w:r>
        <w:rPr>
          <w:rFonts w:hint="eastAsia"/>
        </w:rPr>
        <w:t>③所有运输车辆在行驶出屠宰场之前均需对车辆进行冲洗。</w:t>
      </w:r>
    </w:p>
    <w:p>
      <w:pPr>
        <w:bidi w:val="0"/>
        <w:rPr>
          <w:rFonts w:hint="default"/>
          <w:b/>
          <w:bCs/>
          <w:lang w:val="en-US" w:eastAsia="zh-CN"/>
        </w:rPr>
      </w:pPr>
      <w:r>
        <w:rPr>
          <w:rFonts w:hint="eastAsia"/>
          <w:b/>
          <w:bCs/>
          <w:lang w:val="en-US" w:eastAsia="zh-CN"/>
        </w:rPr>
        <w:t>（4）等效排气筒计算</w:t>
      </w:r>
    </w:p>
    <w:p>
      <w:pPr>
        <w:spacing w:beforeLines="0" w:afterLines="0"/>
        <w:ind w:firstLine="480"/>
        <w:jc w:val="left"/>
        <w:rPr>
          <w:rFonts w:hint="eastAsia" w:ascii="宋体" w:hAnsi="宋体" w:eastAsia="宋体"/>
          <w:sz w:val="24"/>
        </w:rPr>
      </w:pPr>
      <w:r>
        <w:rPr>
          <w:rFonts w:hint="eastAsia" w:ascii="宋体" w:hAnsi="宋体" w:eastAsia="宋体"/>
          <w:sz w:val="24"/>
        </w:rPr>
        <w:t>根据《大气污染物综合排放标准》（</w:t>
      </w:r>
      <w:r>
        <w:rPr>
          <w:rFonts w:hint="default" w:ascii="Times New Roman" w:hAnsi="Times New Roman" w:eastAsia="Times New Roman"/>
          <w:sz w:val="24"/>
        </w:rPr>
        <w:t>GB16297-1996</w:t>
      </w:r>
      <w:r>
        <w:rPr>
          <w:rFonts w:hint="eastAsia" w:ascii="宋体" w:hAnsi="宋体" w:eastAsia="宋体"/>
          <w:sz w:val="24"/>
        </w:rPr>
        <w:t>）中相关要求，项目排气筒间的最大距离为</w:t>
      </w:r>
      <w:r>
        <w:rPr>
          <w:rFonts w:hint="default" w:ascii="Times New Roman" w:hAnsi="Times New Roman" w:eastAsia="Times New Roman"/>
          <w:sz w:val="24"/>
        </w:rPr>
        <w:t>1.5m</w:t>
      </w:r>
      <w:r>
        <w:rPr>
          <w:rFonts w:hint="eastAsia" w:ascii="宋体" w:hAnsi="宋体" w:eastAsia="宋体"/>
          <w:sz w:val="24"/>
        </w:rPr>
        <w:t>，小于该两根排气筒的几何高度之和，应对其进行等效。具体计算公式如下：</w:t>
      </w:r>
    </w:p>
    <w:p>
      <w:pPr>
        <w:bidi w:val="0"/>
        <w:rPr>
          <w:rFonts w:hint="eastAsia"/>
        </w:rPr>
      </w:pPr>
      <w:r>
        <w:rPr>
          <w:rFonts w:hint="eastAsia"/>
        </w:rPr>
        <w:t>（</w:t>
      </w:r>
      <w:r>
        <w:rPr>
          <w:rFonts w:hint="default"/>
        </w:rPr>
        <w:t>1</w:t>
      </w:r>
      <w:r>
        <w:rPr>
          <w:rFonts w:hint="eastAsia"/>
        </w:rPr>
        <w:t>）等效排气筒污染物排放速率按下式计算：</w:t>
      </w:r>
    </w:p>
    <w:p>
      <w:pPr>
        <w:spacing w:beforeLines="0" w:afterLines="0"/>
        <w:ind w:left="0" w:leftChars="0" w:firstLine="0" w:firstLineChars="0"/>
        <w:jc w:val="center"/>
        <w:rPr>
          <w:rFonts w:hint="default" w:ascii="Times New Roman" w:hAnsi="Times New Roman" w:eastAsia="Times New Roman"/>
          <w:sz w:val="16"/>
        </w:rPr>
      </w:pPr>
      <w:r>
        <w:rPr>
          <w:rFonts w:hint="default" w:ascii="Times New Roman" w:hAnsi="Times New Roman" w:eastAsia="Times New Roman"/>
          <w:sz w:val="24"/>
        </w:rPr>
        <w:t>Q=Q</w:t>
      </w:r>
      <w:r>
        <w:rPr>
          <w:rFonts w:hint="default" w:ascii="Times New Roman" w:hAnsi="Times New Roman" w:eastAsia="Times New Roman"/>
          <w:sz w:val="16"/>
        </w:rPr>
        <w:t>1</w:t>
      </w:r>
      <w:r>
        <w:rPr>
          <w:rFonts w:hint="default" w:ascii="Times New Roman" w:hAnsi="Times New Roman" w:eastAsia="Times New Roman"/>
          <w:sz w:val="24"/>
        </w:rPr>
        <w:t>+Q</w:t>
      </w:r>
      <w:r>
        <w:rPr>
          <w:rFonts w:hint="default" w:ascii="Times New Roman" w:hAnsi="Times New Roman" w:eastAsia="Times New Roman"/>
          <w:sz w:val="16"/>
        </w:rPr>
        <w:t>2</w:t>
      </w:r>
    </w:p>
    <w:p>
      <w:pPr>
        <w:spacing w:beforeLines="0" w:afterLines="0"/>
        <w:jc w:val="left"/>
        <w:rPr>
          <w:rFonts w:hint="eastAsia" w:ascii="宋体" w:hAnsi="宋体" w:eastAsia="宋体"/>
          <w:sz w:val="24"/>
        </w:rPr>
      </w:pPr>
      <w:r>
        <w:rPr>
          <w:rFonts w:hint="eastAsia" w:ascii="宋体" w:hAnsi="宋体" w:eastAsia="宋体"/>
          <w:sz w:val="24"/>
        </w:rPr>
        <w:t>式中：</w:t>
      </w:r>
      <w:r>
        <w:rPr>
          <w:rFonts w:hint="default" w:ascii="Times New Roman" w:hAnsi="Times New Roman" w:eastAsia="Times New Roman"/>
          <w:sz w:val="24"/>
        </w:rPr>
        <w:t>Q</w:t>
      </w:r>
      <w:r>
        <w:rPr>
          <w:rFonts w:hint="eastAsia" w:ascii="TimesNewRomanPSMT" w:hAnsi="TimesNewRomanPSMT" w:eastAsia="宋体"/>
          <w:sz w:val="24"/>
          <w:lang w:eastAsia="zh-CN"/>
        </w:rPr>
        <w:t>——</w:t>
      </w:r>
      <w:r>
        <w:rPr>
          <w:rFonts w:hint="eastAsia" w:ascii="宋体" w:hAnsi="宋体" w:eastAsia="宋体"/>
          <w:sz w:val="24"/>
        </w:rPr>
        <w:t>等效排气筒某污染物排放速率</w:t>
      </w:r>
    </w:p>
    <w:p>
      <w:pPr>
        <w:spacing w:beforeLines="0" w:afterLines="0"/>
        <w:ind w:firstLine="1200" w:firstLineChars="500"/>
        <w:jc w:val="left"/>
        <w:rPr>
          <w:rFonts w:hint="eastAsia" w:ascii="宋体" w:hAnsi="宋体" w:eastAsia="宋体"/>
          <w:sz w:val="24"/>
        </w:rPr>
      </w:pPr>
      <w:r>
        <w:rPr>
          <w:rFonts w:hint="default" w:ascii="Times New Roman" w:hAnsi="Times New Roman" w:eastAsia="Times New Roman"/>
          <w:sz w:val="24"/>
        </w:rPr>
        <w:t>Q</w:t>
      </w:r>
      <w:r>
        <w:rPr>
          <w:rFonts w:hint="default" w:ascii="Times New Roman" w:hAnsi="Times New Roman" w:eastAsia="Times New Roman"/>
          <w:sz w:val="16"/>
        </w:rPr>
        <w:t>1</w:t>
      </w:r>
      <w:r>
        <w:rPr>
          <w:rFonts w:hint="eastAsia" w:ascii="宋体" w:hAnsi="宋体" w:eastAsia="宋体"/>
          <w:sz w:val="24"/>
        </w:rPr>
        <w:t>、</w:t>
      </w:r>
      <w:r>
        <w:rPr>
          <w:rFonts w:hint="default" w:ascii="Times New Roman" w:hAnsi="Times New Roman" w:eastAsia="Times New Roman"/>
          <w:sz w:val="24"/>
        </w:rPr>
        <w:t>Q</w:t>
      </w:r>
      <w:r>
        <w:rPr>
          <w:rFonts w:hint="default" w:ascii="Times New Roman" w:hAnsi="Times New Roman" w:eastAsia="Times New Roman"/>
          <w:sz w:val="16"/>
        </w:rPr>
        <w:t>2</w:t>
      </w:r>
      <w:r>
        <w:rPr>
          <w:rFonts w:hint="eastAsia" w:ascii="TimesNewRomanPSMT" w:hAnsi="TimesNewRomanPSMT" w:eastAsia="宋体"/>
          <w:sz w:val="24"/>
          <w:lang w:eastAsia="zh-CN"/>
        </w:rPr>
        <w:t>——</w:t>
      </w:r>
      <w:r>
        <w:rPr>
          <w:rFonts w:hint="eastAsia" w:ascii="宋体" w:hAnsi="宋体" w:eastAsia="宋体"/>
          <w:sz w:val="24"/>
        </w:rPr>
        <w:t>排气筒</w:t>
      </w:r>
      <w:r>
        <w:rPr>
          <w:rFonts w:hint="default" w:ascii="Times New Roman" w:hAnsi="Times New Roman" w:eastAsia="Times New Roman"/>
          <w:sz w:val="24"/>
        </w:rPr>
        <w:t>1</w:t>
      </w:r>
      <w:r>
        <w:rPr>
          <w:rFonts w:hint="eastAsia" w:ascii="宋体" w:hAnsi="宋体" w:eastAsia="宋体"/>
          <w:sz w:val="24"/>
        </w:rPr>
        <w:t>、排气筒</w:t>
      </w:r>
      <w:r>
        <w:rPr>
          <w:rFonts w:hint="default" w:ascii="Times New Roman" w:hAnsi="Times New Roman" w:eastAsia="Times New Roman"/>
          <w:sz w:val="24"/>
        </w:rPr>
        <w:t>2</w:t>
      </w:r>
      <w:r>
        <w:rPr>
          <w:rFonts w:hint="eastAsia" w:ascii="宋体" w:hAnsi="宋体" w:eastAsia="宋体"/>
          <w:sz w:val="24"/>
        </w:rPr>
        <w:t>某污染物排放速率</w:t>
      </w:r>
    </w:p>
    <w:p>
      <w:pPr>
        <w:bidi w:val="0"/>
        <w:rPr>
          <w:rFonts w:hint="eastAsia"/>
        </w:rPr>
      </w:pPr>
      <w:r>
        <w:rPr>
          <w:rFonts w:hint="eastAsia"/>
        </w:rPr>
        <w:t>（</w:t>
      </w:r>
      <w:r>
        <w:rPr>
          <w:rFonts w:hint="default"/>
        </w:rPr>
        <w:t>2</w:t>
      </w:r>
      <w:r>
        <w:rPr>
          <w:rFonts w:hint="eastAsia"/>
        </w:rPr>
        <w:t>）等效排气筒高度按下式计算：</w:t>
      </w:r>
    </w:p>
    <w:p>
      <w:pPr>
        <w:bidi w:val="0"/>
        <w:ind w:left="0" w:leftChars="0" w:firstLine="0" w:firstLineChars="0"/>
        <w:jc w:val="center"/>
        <w:rPr>
          <w:rFonts w:hint="eastAsia" w:ascii="宋体" w:hAnsi="宋体" w:eastAsia="宋体"/>
          <w:sz w:val="24"/>
          <w:lang w:eastAsia="zh-CN"/>
        </w:rPr>
      </w:pPr>
      <w:r>
        <w:rPr>
          <w:rFonts w:hint="eastAsia" w:ascii="宋体" w:hAnsi="宋体" w:eastAsia="宋体"/>
          <w:position w:val="-12"/>
          <w:sz w:val="24"/>
          <w:lang w:eastAsia="zh-CN"/>
        </w:rPr>
        <w:object>
          <v:shape id="_x0000_i1027" o:spt="75" type="#_x0000_t75" style="height:22pt;width:107pt;" o:ole="t" filled="f" o:preferrelative="t" stroked="f" coordsize="21600,21600">
            <v:path/>
            <v:fill on="f" focussize="0,0"/>
            <v:stroke on="f"/>
            <v:imagedata r:id="rId26" o:title=""/>
            <o:lock v:ext="edit" aspectratio="t"/>
            <w10:wrap type="none"/>
            <w10:anchorlock/>
          </v:shape>
          <o:OLEObject Type="Embed" ProgID="Equation.KSEE3" ShapeID="_x0000_i1027" DrawAspect="Content" ObjectID="_1468075728" r:id="rId25">
            <o:LockedField>false</o:LockedField>
          </o:OLEObject>
        </w:object>
      </w:r>
    </w:p>
    <w:p>
      <w:pPr>
        <w:spacing w:beforeLines="0" w:afterLines="0"/>
        <w:jc w:val="left"/>
        <w:rPr>
          <w:rFonts w:hint="eastAsia" w:ascii="宋体" w:hAnsi="宋体" w:eastAsia="宋体"/>
          <w:sz w:val="24"/>
        </w:rPr>
      </w:pPr>
      <w:r>
        <w:rPr>
          <w:rFonts w:hint="eastAsia" w:ascii="宋体" w:hAnsi="宋体" w:eastAsia="宋体"/>
          <w:sz w:val="24"/>
        </w:rPr>
        <w:t>式中：</w:t>
      </w:r>
      <w:r>
        <w:rPr>
          <w:rFonts w:hint="default" w:ascii="Times New Roman" w:hAnsi="Times New Roman" w:eastAsia="Times New Roman"/>
          <w:sz w:val="24"/>
        </w:rPr>
        <w:t>h</w:t>
      </w:r>
      <w:r>
        <w:rPr>
          <w:rFonts w:hint="eastAsia" w:ascii="TimesNewRomanPSMT" w:hAnsi="TimesNewRomanPSMT" w:eastAsia="宋体"/>
          <w:sz w:val="24"/>
          <w:lang w:eastAsia="zh-CN"/>
        </w:rPr>
        <w:t>——</w:t>
      </w:r>
      <w:r>
        <w:rPr>
          <w:rFonts w:hint="eastAsia" w:ascii="宋体" w:hAnsi="宋体" w:eastAsia="宋体"/>
          <w:sz w:val="24"/>
        </w:rPr>
        <w:t>等效排气筒高度</w:t>
      </w:r>
    </w:p>
    <w:p>
      <w:pPr>
        <w:spacing w:beforeLines="0" w:afterLines="0"/>
        <w:ind w:firstLine="1200" w:firstLineChars="500"/>
        <w:jc w:val="left"/>
        <w:rPr>
          <w:rFonts w:hint="eastAsia" w:ascii="宋体" w:hAnsi="宋体" w:eastAsia="宋体"/>
          <w:sz w:val="24"/>
        </w:rPr>
      </w:pPr>
      <w:r>
        <w:rPr>
          <w:rFonts w:hint="default" w:ascii="Times New Roman" w:hAnsi="Times New Roman" w:eastAsia="Times New Roman"/>
          <w:sz w:val="24"/>
        </w:rPr>
        <w:t>h</w:t>
      </w:r>
      <w:r>
        <w:rPr>
          <w:rFonts w:hint="default" w:ascii="Times New Roman" w:hAnsi="Times New Roman" w:eastAsia="Times New Roman"/>
          <w:sz w:val="16"/>
        </w:rPr>
        <w:t>1</w:t>
      </w:r>
      <w:r>
        <w:rPr>
          <w:rFonts w:hint="eastAsia" w:ascii="宋体" w:hAnsi="宋体" w:eastAsia="宋体"/>
          <w:sz w:val="24"/>
        </w:rPr>
        <w:t>、</w:t>
      </w:r>
      <w:r>
        <w:rPr>
          <w:rFonts w:hint="default" w:ascii="Times New Roman" w:hAnsi="Times New Roman" w:eastAsia="Times New Roman"/>
          <w:sz w:val="24"/>
        </w:rPr>
        <w:t>h</w:t>
      </w:r>
      <w:r>
        <w:rPr>
          <w:rFonts w:hint="default" w:ascii="Times New Roman" w:hAnsi="Times New Roman" w:eastAsia="Times New Roman"/>
          <w:sz w:val="16"/>
        </w:rPr>
        <w:t>2</w:t>
      </w:r>
      <w:r>
        <w:rPr>
          <w:rFonts w:hint="eastAsia" w:ascii="TimesNewRomanPSMT" w:hAnsi="TimesNewRomanPSMT" w:eastAsia="宋体"/>
          <w:sz w:val="24"/>
          <w:lang w:eastAsia="zh-CN"/>
        </w:rPr>
        <w:t>——</w:t>
      </w:r>
      <w:r>
        <w:rPr>
          <w:rFonts w:hint="eastAsia" w:ascii="宋体" w:hAnsi="宋体" w:eastAsia="宋体"/>
          <w:sz w:val="24"/>
        </w:rPr>
        <w:t>排气筒</w:t>
      </w:r>
      <w:r>
        <w:rPr>
          <w:rFonts w:hint="default" w:ascii="Times New Roman" w:hAnsi="Times New Roman" w:eastAsia="Times New Roman"/>
          <w:sz w:val="24"/>
        </w:rPr>
        <w:t>1</w:t>
      </w:r>
      <w:r>
        <w:rPr>
          <w:rFonts w:hint="eastAsia" w:ascii="宋体" w:hAnsi="宋体" w:eastAsia="宋体"/>
          <w:sz w:val="24"/>
        </w:rPr>
        <w:t>和排气筒</w:t>
      </w:r>
      <w:r>
        <w:rPr>
          <w:rFonts w:hint="default" w:ascii="Times New Roman" w:hAnsi="Times New Roman" w:eastAsia="Times New Roman"/>
          <w:sz w:val="24"/>
        </w:rPr>
        <w:t>2</w:t>
      </w:r>
      <w:r>
        <w:rPr>
          <w:rFonts w:hint="eastAsia" w:ascii="宋体" w:hAnsi="宋体" w:eastAsia="宋体"/>
          <w:sz w:val="24"/>
        </w:rPr>
        <w:t>的高度</w:t>
      </w:r>
    </w:p>
    <w:p>
      <w:pPr>
        <w:spacing w:beforeLines="0" w:afterLines="0"/>
        <w:jc w:val="left"/>
        <w:rPr>
          <w:rFonts w:hint="eastAsia" w:ascii="宋体" w:hAnsi="宋体" w:eastAsia="宋体"/>
          <w:sz w:val="24"/>
        </w:rPr>
      </w:pPr>
      <w:r>
        <w:rPr>
          <w:rFonts w:hint="eastAsia" w:ascii="宋体" w:hAnsi="宋体" w:eastAsia="宋体"/>
          <w:sz w:val="24"/>
        </w:rPr>
        <w:t>（</w:t>
      </w:r>
      <w:r>
        <w:rPr>
          <w:rFonts w:hint="default" w:ascii="Times New Roman" w:hAnsi="Times New Roman" w:eastAsia="Times New Roman"/>
          <w:sz w:val="24"/>
        </w:rPr>
        <w:t>3</w:t>
      </w:r>
      <w:r>
        <w:rPr>
          <w:rFonts w:hint="eastAsia" w:ascii="宋体" w:hAnsi="宋体" w:eastAsia="宋体"/>
          <w:sz w:val="24"/>
        </w:rPr>
        <w:t>）等效排气筒的位置按下式计算：</w:t>
      </w:r>
    </w:p>
    <w:p>
      <w:pPr>
        <w:spacing w:beforeLines="0" w:afterLines="0"/>
        <w:ind w:left="0" w:leftChars="0" w:firstLine="0" w:firstLineChars="0"/>
        <w:jc w:val="center"/>
        <w:rPr>
          <w:rFonts w:hint="default" w:ascii="Times New Roman" w:hAnsi="Times New Roman" w:eastAsia="Times New Roman"/>
          <w:sz w:val="24"/>
        </w:rPr>
      </w:pPr>
      <w:r>
        <w:rPr>
          <w:rFonts w:hint="default" w:ascii="Times New Roman" w:hAnsi="Times New Roman" w:eastAsia="Times New Roman"/>
          <w:sz w:val="24"/>
        </w:rPr>
        <w:t>x=a</w:t>
      </w:r>
      <w:r>
        <w:rPr>
          <w:rFonts w:hint="eastAsia" w:eastAsia="宋体"/>
          <w:sz w:val="24"/>
          <w:lang w:eastAsia="zh-CN"/>
        </w:rPr>
        <w:t>（</w:t>
      </w:r>
      <w:r>
        <w:rPr>
          <w:rFonts w:hint="default" w:ascii="Times New Roman" w:hAnsi="Times New Roman" w:eastAsia="Times New Roman"/>
          <w:sz w:val="24"/>
        </w:rPr>
        <w:t>Q-Q</w:t>
      </w:r>
      <w:r>
        <w:rPr>
          <w:rFonts w:hint="default" w:ascii="Times New Roman" w:hAnsi="Times New Roman" w:eastAsia="Times New Roman"/>
          <w:sz w:val="16"/>
        </w:rPr>
        <w:t>1</w:t>
      </w:r>
      <w:r>
        <w:rPr>
          <w:rFonts w:hint="eastAsia" w:eastAsia="宋体"/>
          <w:sz w:val="24"/>
          <w:lang w:eastAsia="zh-CN"/>
        </w:rPr>
        <w:t>）</w:t>
      </w:r>
      <w:r>
        <w:rPr>
          <w:rFonts w:hint="default" w:ascii="Times New Roman" w:hAnsi="Times New Roman" w:eastAsia="Times New Roman"/>
          <w:sz w:val="24"/>
        </w:rPr>
        <w:t>/Q=aQ</w:t>
      </w:r>
      <w:r>
        <w:rPr>
          <w:rFonts w:hint="default" w:ascii="Times New Roman" w:hAnsi="Times New Roman" w:eastAsia="Times New Roman"/>
          <w:sz w:val="16"/>
        </w:rPr>
        <w:t>2</w:t>
      </w:r>
      <w:r>
        <w:rPr>
          <w:rFonts w:hint="default" w:ascii="Times New Roman" w:hAnsi="Times New Roman" w:eastAsia="Times New Roman"/>
          <w:sz w:val="24"/>
        </w:rPr>
        <w:t>/Q</w:t>
      </w:r>
    </w:p>
    <w:p>
      <w:pPr>
        <w:spacing w:beforeLines="0" w:afterLines="0"/>
        <w:jc w:val="left"/>
        <w:rPr>
          <w:rFonts w:hint="eastAsia" w:ascii="宋体" w:hAnsi="宋体" w:eastAsia="宋体"/>
          <w:sz w:val="24"/>
        </w:rPr>
      </w:pPr>
      <w:r>
        <w:rPr>
          <w:rFonts w:hint="eastAsia" w:ascii="宋体" w:hAnsi="宋体" w:eastAsia="宋体"/>
          <w:sz w:val="24"/>
        </w:rPr>
        <w:t>式中：</w:t>
      </w:r>
      <w:r>
        <w:rPr>
          <w:rFonts w:hint="default" w:ascii="Times New Roman" w:hAnsi="Times New Roman" w:eastAsia="Times New Roman"/>
          <w:sz w:val="24"/>
        </w:rPr>
        <w:t>x</w:t>
      </w:r>
      <w:r>
        <w:rPr>
          <w:rFonts w:hint="eastAsia" w:ascii="TimesNewRomanPSMT" w:hAnsi="TimesNewRomanPSMT" w:eastAsia="宋体"/>
          <w:sz w:val="24"/>
          <w:lang w:eastAsia="zh-CN"/>
        </w:rPr>
        <w:t>——</w:t>
      </w:r>
      <w:r>
        <w:rPr>
          <w:rFonts w:hint="eastAsia" w:ascii="宋体" w:hAnsi="宋体" w:eastAsia="宋体"/>
          <w:sz w:val="24"/>
        </w:rPr>
        <w:t>等效排气筒距排气筒</w:t>
      </w:r>
      <w:r>
        <w:rPr>
          <w:rFonts w:hint="default" w:ascii="Times New Roman" w:hAnsi="Times New Roman" w:eastAsia="Times New Roman"/>
          <w:sz w:val="24"/>
        </w:rPr>
        <w:t>1</w:t>
      </w:r>
      <w:r>
        <w:rPr>
          <w:rFonts w:hint="eastAsia" w:ascii="宋体" w:hAnsi="宋体" w:eastAsia="宋体"/>
          <w:sz w:val="24"/>
        </w:rPr>
        <w:t>的距离</w:t>
      </w:r>
    </w:p>
    <w:p>
      <w:pPr>
        <w:spacing w:beforeLines="0" w:afterLines="0"/>
        <w:ind w:firstLine="1200" w:firstLineChars="500"/>
        <w:jc w:val="left"/>
        <w:rPr>
          <w:rFonts w:hint="eastAsia" w:ascii="宋体" w:hAnsi="宋体" w:eastAsia="宋体"/>
          <w:sz w:val="24"/>
        </w:rPr>
      </w:pPr>
      <w:r>
        <w:rPr>
          <w:rFonts w:hint="default" w:ascii="Times New Roman" w:hAnsi="Times New Roman" w:eastAsia="Times New Roman"/>
          <w:sz w:val="24"/>
        </w:rPr>
        <w:t>a</w:t>
      </w:r>
      <w:r>
        <w:rPr>
          <w:rFonts w:hint="eastAsia" w:ascii="TimesNewRomanPSMT" w:hAnsi="TimesNewRomanPSMT" w:eastAsia="宋体"/>
          <w:sz w:val="24"/>
          <w:lang w:eastAsia="zh-CN"/>
        </w:rPr>
        <w:t>——</w:t>
      </w:r>
      <w:r>
        <w:rPr>
          <w:rFonts w:hint="eastAsia" w:ascii="宋体" w:hAnsi="宋体" w:eastAsia="宋体"/>
          <w:sz w:val="24"/>
        </w:rPr>
        <w:t>排气筒</w:t>
      </w:r>
      <w:r>
        <w:rPr>
          <w:rFonts w:hint="default" w:ascii="Times New Roman" w:hAnsi="Times New Roman" w:eastAsia="Times New Roman"/>
          <w:sz w:val="24"/>
        </w:rPr>
        <w:t>1</w:t>
      </w:r>
      <w:r>
        <w:rPr>
          <w:rFonts w:hint="eastAsia" w:ascii="宋体" w:hAnsi="宋体" w:eastAsia="宋体"/>
          <w:sz w:val="24"/>
        </w:rPr>
        <w:t>至排气筒</w:t>
      </w:r>
      <w:r>
        <w:rPr>
          <w:rFonts w:hint="default" w:ascii="Times New Roman" w:hAnsi="Times New Roman" w:eastAsia="Times New Roman"/>
          <w:sz w:val="24"/>
        </w:rPr>
        <w:t>2</w:t>
      </w:r>
      <w:r>
        <w:rPr>
          <w:rFonts w:hint="eastAsia" w:ascii="宋体" w:hAnsi="宋体" w:eastAsia="宋体"/>
          <w:sz w:val="24"/>
        </w:rPr>
        <w:t>的距离</w:t>
      </w:r>
    </w:p>
    <w:p>
      <w:pPr>
        <w:spacing w:beforeLines="0" w:afterLines="0"/>
        <w:ind w:firstLine="1200" w:firstLineChars="500"/>
        <w:jc w:val="left"/>
        <w:rPr>
          <w:rFonts w:hint="eastAsia" w:ascii="宋体" w:hAnsi="宋体" w:eastAsia="宋体"/>
          <w:sz w:val="24"/>
        </w:rPr>
      </w:pPr>
      <w:r>
        <w:rPr>
          <w:rFonts w:hint="default" w:ascii="Times New Roman" w:hAnsi="Times New Roman" w:eastAsia="Times New Roman"/>
          <w:sz w:val="24"/>
        </w:rPr>
        <w:t>Q</w:t>
      </w:r>
      <w:r>
        <w:rPr>
          <w:rFonts w:hint="eastAsia" w:ascii="TimesNewRomanPSMT" w:hAnsi="TimesNewRomanPSMT" w:eastAsia="宋体"/>
          <w:sz w:val="24"/>
          <w:lang w:eastAsia="zh-CN"/>
        </w:rPr>
        <w:t>——</w:t>
      </w:r>
      <w:r>
        <w:rPr>
          <w:rFonts w:hint="eastAsia" w:ascii="宋体" w:hAnsi="宋体" w:eastAsia="宋体"/>
          <w:sz w:val="24"/>
        </w:rPr>
        <w:t>等效排气筒某污染物排放速率</w:t>
      </w:r>
    </w:p>
    <w:p>
      <w:pPr>
        <w:bidi w:val="0"/>
        <w:ind w:firstLine="1200" w:firstLineChars="500"/>
        <w:rPr>
          <w:rFonts w:hint="default"/>
          <w:lang w:val="en-US" w:eastAsia="zh-CN"/>
        </w:rPr>
      </w:pPr>
      <w:r>
        <w:rPr>
          <w:rFonts w:hint="default" w:ascii="Times New Roman" w:hAnsi="Times New Roman" w:eastAsia="Times New Roman"/>
          <w:sz w:val="24"/>
        </w:rPr>
        <w:t>Q</w:t>
      </w:r>
      <w:r>
        <w:rPr>
          <w:rFonts w:hint="default" w:ascii="Times New Roman" w:hAnsi="Times New Roman" w:eastAsia="Times New Roman"/>
          <w:sz w:val="16"/>
        </w:rPr>
        <w:t>1</w:t>
      </w:r>
      <w:r>
        <w:rPr>
          <w:rFonts w:hint="eastAsia" w:ascii="宋体" w:hAnsi="宋体" w:eastAsia="宋体"/>
          <w:sz w:val="24"/>
        </w:rPr>
        <w:t>、</w:t>
      </w:r>
      <w:r>
        <w:rPr>
          <w:rFonts w:hint="default" w:ascii="Times New Roman" w:hAnsi="Times New Roman" w:eastAsia="Times New Roman"/>
          <w:sz w:val="24"/>
        </w:rPr>
        <w:t>Q</w:t>
      </w:r>
      <w:r>
        <w:rPr>
          <w:rFonts w:hint="default" w:ascii="Times New Roman" w:hAnsi="Times New Roman" w:eastAsia="Times New Roman"/>
          <w:sz w:val="16"/>
        </w:rPr>
        <w:t>2</w:t>
      </w:r>
      <w:r>
        <w:rPr>
          <w:rFonts w:hint="eastAsia" w:ascii="TimesNewRomanPSMT" w:hAnsi="TimesNewRomanPSMT" w:eastAsia="宋体"/>
          <w:sz w:val="24"/>
          <w:lang w:eastAsia="zh-CN"/>
        </w:rPr>
        <w:t>——</w:t>
      </w:r>
      <w:r>
        <w:rPr>
          <w:rFonts w:hint="eastAsia" w:ascii="宋体" w:hAnsi="宋体" w:eastAsia="宋体"/>
          <w:sz w:val="24"/>
        </w:rPr>
        <w:t>排气筒</w:t>
      </w:r>
      <w:r>
        <w:rPr>
          <w:rFonts w:hint="default" w:ascii="Times New Roman" w:hAnsi="Times New Roman" w:eastAsia="Times New Roman"/>
          <w:sz w:val="24"/>
        </w:rPr>
        <w:t>1</w:t>
      </w:r>
      <w:r>
        <w:rPr>
          <w:rFonts w:hint="eastAsia" w:ascii="宋体" w:hAnsi="宋体" w:eastAsia="宋体"/>
          <w:sz w:val="24"/>
        </w:rPr>
        <w:t>、排气筒</w:t>
      </w:r>
      <w:r>
        <w:rPr>
          <w:rFonts w:hint="default" w:ascii="Times New Roman" w:hAnsi="Times New Roman" w:eastAsia="Times New Roman"/>
          <w:sz w:val="24"/>
        </w:rPr>
        <w:t>2</w:t>
      </w:r>
      <w:r>
        <w:rPr>
          <w:rFonts w:hint="eastAsia" w:ascii="宋体" w:hAnsi="宋体" w:eastAsia="宋体"/>
          <w:sz w:val="24"/>
        </w:rPr>
        <w:t>某污染物排放速率</w:t>
      </w:r>
    </w:p>
    <w:p>
      <w:pPr>
        <w:spacing w:beforeLines="0" w:afterLines="0"/>
        <w:jc w:val="left"/>
        <w:rPr>
          <w:rFonts w:hint="default"/>
          <w:highlight w:val="none"/>
          <w:lang w:val="en-US" w:eastAsia="zh-CN"/>
        </w:rPr>
      </w:pPr>
      <w:r>
        <w:rPr>
          <w:rFonts w:hint="eastAsia" w:ascii="宋体" w:hAnsi="宋体" w:eastAsia="宋体"/>
          <w:sz w:val="24"/>
          <w:highlight w:val="none"/>
        </w:rPr>
        <w:t>根据计算结果，</w:t>
      </w:r>
      <w:r>
        <w:rPr>
          <w:rFonts w:hint="default" w:ascii="Times New Roman" w:hAnsi="Times New Roman" w:eastAsia="Times New Roman"/>
          <w:sz w:val="24"/>
          <w:highlight w:val="none"/>
        </w:rPr>
        <w:t>P1</w:t>
      </w:r>
      <w:r>
        <w:rPr>
          <w:rFonts w:hint="eastAsia" w:ascii="宋体" w:hAnsi="宋体" w:eastAsia="宋体"/>
          <w:sz w:val="24"/>
          <w:highlight w:val="none"/>
        </w:rPr>
        <w:t>排气筒和</w:t>
      </w:r>
      <w:r>
        <w:rPr>
          <w:rFonts w:hint="default" w:ascii="Times New Roman" w:hAnsi="Times New Roman" w:eastAsia="Times New Roman"/>
          <w:sz w:val="24"/>
          <w:highlight w:val="none"/>
        </w:rPr>
        <w:t>P2</w:t>
      </w:r>
      <w:r>
        <w:rPr>
          <w:rFonts w:hint="eastAsia" w:ascii="宋体" w:hAnsi="宋体" w:eastAsia="宋体"/>
          <w:sz w:val="24"/>
          <w:highlight w:val="none"/>
        </w:rPr>
        <w:t>排气筒等效后的排气筒高度为</w:t>
      </w:r>
      <w:r>
        <w:rPr>
          <w:rFonts w:hint="default" w:ascii="Times New Roman" w:hAnsi="Times New Roman" w:eastAsia="Times New Roman"/>
          <w:sz w:val="24"/>
          <w:highlight w:val="none"/>
        </w:rPr>
        <w:t>15m</w:t>
      </w:r>
      <w:r>
        <w:rPr>
          <w:rFonts w:hint="eastAsia" w:ascii="宋体" w:hAnsi="宋体" w:eastAsia="宋体"/>
          <w:sz w:val="24"/>
          <w:highlight w:val="none"/>
        </w:rPr>
        <w:t>；</w:t>
      </w:r>
      <w:r>
        <w:rPr>
          <w:rFonts w:hint="default" w:ascii="Times New Roman" w:hAnsi="Times New Roman" w:eastAsia="Times New Roman"/>
          <w:sz w:val="24"/>
          <w:highlight w:val="none"/>
        </w:rPr>
        <w:t>NH</w:t>
      </w:r>
      <w:r>
        <w:rPr>
          <w:rFonts w:hint="default" w:ascii="Times New Roman" w:hAnsi="Times New Roman" w:eastAsia="Times New Roman"/>
          <w:sz w:val="16"/>
          <w:highlight w:val="none"/>
        </w:rPr>
        <w:t>3</w:t>
      </w:r>
      <w:r>
        <w:rPr>
          <w:rFonts w:hint="eastAsia" w:ascii="宋体" w:hAnsi="宋体" w:eastAsia="宋体"/>
          <w:sz w:val="24"/>
          <w:highlight w:val="none"/>
        </w:rPr>
        <w:t>排放速率为</w:t>
      </w:r>
      <w:r>
        <w:rPr>
          <w:rFonts w:hint="eastAsia" w:eastAsia="宋体"/>
          <w:sz w:val="24"/>
          <w:highlight w:val="none"/>
          <w:lang w:val="en-US" w:eastAsia="zh-CN"/>
        </w:rPr>
        <w:t>0.0684</w:t>
      </w:r>
      <w:r>
        <w:rPr>
          <w:rFonts w:hint="default" w:ascii="Times New Roman" w:hAnsi="Times New Roman" w:eastAsia="Times New Roman"/>
          <w:sz w:val="24"/>
          <w:highlight w:val="none"/>
        </w:rPr>
        <w:t>kg/h</w:t>
      </w:r>
      <w:r>
        <w:rPr>
          <w:rFonts w:hint="eastAsia" w:ascii="宋体" w:hAnsi="宋体" w:eastAsia="宋体"/>
          <w:sz w:val="24"/>
          <w:highlight w:val="none"/>
        </w:rPr>
        <w:t>，</w:t>
      </w:r>
      <w:r>
        <w:rPr>
          <w:rFonts w:hint="default" w:ascii="Times New Roman" w:hAnsi="Times New Roman" w:eastAsia="Times New Roman"/>
          <w:sz w:val="24"/>
          <w:highlight w:val="none"/>
        </w:rPr>
        <w:t>H</w:t>
      </w:r>
      <w:r>
        <w:rPr>
          <w:rFonts w:hint="default" w:ascii="Times New Roman" w:hAnsi="Times New Roman" w:eastAsia="Times New Roman"/>
          <w:sz w:val="16"/>
          <w:highlight w:val="none"/>
        </w:rPr>
        <w:t>2</w:t>
      </w:r>
      <w:r>
        <w:rPr>
          <w:rFonts w:hint="default" w:ascii="Times New Roman" w:hAnsi="Times New Roman" w:eastAsia="Times New Roman"/>
          <w:sz w:val="24"/>
          <w:highlight w:val="none"/>
        </w:rPr>
        <w:t>S</w:t>
      </w:r>
      <w:r>
        <w:rPr>
          <w:rFonts w:hint="eastAsia" w:ascii="宋体" w:hAnsi="宋体" w:eastAsia="宋体"/>
          <w:sz w:val="24"/>
          <w:highlight w:val="none"/>
        </w:rPr>
        <w:t>排放速率为</w:t>
      </w:r>
      <w:r>
        <w:rPr>
          <w:rFonts w:hint="default" w:ascii="Times New Roman" w:hAnsi="Times New Roman" w:eastAsia="Times New Roman"/>
          <w:sz w:val="24"/>
          <w:highlight w:val="none"/>
        </w:rPr>
        <w:t>0.</w:t>
      </w:r>
      <w:r>
        <w:rPr>
          <w:rFonts w:hint="eastAsia" w:eastAsia="宋体"/>
          <w:sz w:val="24"/>
          <w:highlight w:val="none"/>
          <w:lang w:val="en-US" w:eastAsia="zh-CN"/>
        </w:rPr>
        <w:t>22</w:t>
      </w:r>
      <w:r>
        <w:rPr>
          <w:rFonts w:hint="default" w:ascii="Times New Roman" w:hAnsi="Times New Roman" w:eastAsia="Times New Roman"/>
          <w:sz w:val="24"/>
          <w:highlight w:val="none"/>
        </w:rPr>
        <w:t>kg/h</w:t>
      </w:r>
      <w:r>
        <w:rPr>
          <w:rFonts w:hint="eastAsia" w:ascii="宋体" w:hAnsi="宋体" w:eastAsia="宋体"/>
          <w:sz w:val="24"/>
          <w:highlight w:val="none"/>
        </w:rPr>
        <w:t>，满足《恶臭污染物排放标准》（</w:t>
      </w:r>
      <w:r>
        <w:rPr>
          <w:rFonts w:hint="default" w:ascii="Times New Roman" w:hAnsi="Times New Roman" w:eastAsia="Times New Roman"/>
          <w:sz w:val="24"/>
          <w:highlight w:val="none"/>
        </w:rPr>
        <w:t>GB14554-93</w:t>
      </w:r>
      <w:r>
        <w:rPr>
          <w:rFonts w:hint="eastAsia" w:ascii="宋体" w:hAnsi="宋体" w:eastAsia="宋体"/>
          <w:sz w:val="24"/>
          <w:highlight w:val="none"/>
        </w:rPr>
        <w:t>）中表</w:t>
      </w:r>
      <w:r>
        <w:rPr>
          <w:rFonts w:hint="default" w:ascii="Times New Roman" w:hAnsi="Times New Roman" w:eastAsia="Times New Roman"/>
          <w:sz w:val="24"/>
          <w:highlight w:val="none"/>
        </w:rPr>
        <w:t>2</w:t>
      </w:r>
      <w:r>
        <w:rPr>
          <w:rFonts w:hint="eastAsia" w:ascii="宋体" w:hAnsi="宋体" w:eastAsia="宋体"/>
          <w:sz w:val="24"/>
          <w:highlight w:val="none"/>
        </w:rPr>
        <w:t>标准限值。</w:t>
      </w:r>
    </w:p>
    <w:p>
      <w:pPr>
        <w:bidi w:val="0"/>
        <w:rPr>
          <w:rFonts w:hint="default"/>
          <w:lang w:val="en-US" w:eastAsia="zh-CN"/>
        </w:rPr>
        <w:sectPr>
          <w:pgSz w:w="12240" w:h="15840"/>
          <w:pgMar w:top="1440" w:right="1417" w:bottom="1440" w:left="1417" w:header="720" w:footer="720" w:gutter="0"/>
          <w:pgBorders>
            <w:top w:val="none" w:sz="0" w:space="0"/>
            <w:left w:val="none" w:sz="0" w:space="0"/>
            <w:bottom w:val="none" w:sz="0" w:space="0"/>
            <w:right w:val="none" w:sz="0" w:space="0"/>
          </w:pgBorders>
          <w:lnNumType w:countBy="0" w:distance="360"/>
          <w:pgNumType w:fmt="numberInDash"/>
          <w:cols w:space="720" w:num="1"/>
          <w:docGrid w:type="lines" w:linePitch="312" w:charSpace="0"/>
        </w:sectPr>
      </w:pPr>
    </w:p>
    <w:p>
      <w:pPr>
        <w:pStyle w:val="29"/>
        <w:bidi w:val="0"/>
        <w:rPr>
          <w:rFonts w:hint="eastAsia"/>
          <w:lang w:val="en-US" w:eastAsia="zh-CN"/>
        </w:rPr>
      </w:pPr>
      <w:r>
        <w:rPr>
          <w:rFonts w:hint="eastAsia"/>
          <w:lang w:val="en-US" w:eastAsia="zh-CN"/>
        </w:rPr>
        <w:t>表3.4-8  项目恶臭污染物有组织排放统计表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655"/>
        <w:gridCol w:w="1035"/>
        <w:gridCol w:w="871"/>
        <w:gridCol w:w="1226"/>
        <w:gridCol w:w="1122"/>
        <w:gridCol w:w="1523"/>
        <w:gridCol w:w="1056"/>
        <w:gridCol w:w="1078"/>
        <w:gridCol w:w="899"/>
        <w:gridCol w:w="1223"/>
        <w:gridCol w:w="1122"/>
        <w:gridCol w:w="14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282"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污染源</w:t>
            </w:r>
          </w:p>
        </w:tc>
        <w:tc>
          <w:tcPr>
            <w:tcW w:w="234"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污染物名称</w:t>
            </w:r>
          </w:p>
        </w:tc>
        <w:tc>
          <w:tcPr>
            <w:tcW w:w="1117" w:type="pct"/>
            <w:gridSpan w:val="3"/>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产生情况</w:t>
            </w:r>
          </w:p>
        </w:tc>
        <w:tc>
          <w:tcPr>
            <w:tcW w:w="401"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治理措施</w:t>
            </w:r>
          </w:p>
        </w:tc>
        <w:tc>
          <w:tcPr>
            <w:tcW w:w="544"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收集效率（%）去除效率（%）</w:t>
            </w:r>
          </w:p>
        </w:tc>
        <w:tc>
          <w:tcPr>
            <w:tcW w:w="376"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排气量（m</w:t>
            </w:r>
            <w:r>
              <w:rPr>
                <w:rFonts w:hint="eastAsia"/>
                <w:b/>
                <w:bCs/>
                <w:vertAlign w:val="superscript"/>
                <w:lang w:val="en-US" w:eastAsia="zh-CN"/>
              </w:rPr>
              <w:t>3</w:t>
            </w:r>
            <w:r>
              <w:rPr>
                <w:rFonts w:hint="eastAsia"/>
                <w:b/>
                <w:bCs/>
                <w:vertAlign w:val="baseline"/>
                <w:lang w:val="en-US" w:eastAsia="zh-CN"/>
              </w:rPr>
              <w:t>/h）</w:t>
            </w:r>
          </w:p>
        </w:tc>
        <w:tc>
          <w:tcPr>
            <w:tcW w:w="1142" w:type="pct"/>
            <w:gridSpan w:val="3"/>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排放情况</w:t>
            </w:r>
          </w:p>
        </w:tc>
        <w:tc>
          <w:tcPr>
            <w:tcW w:w="401" w:type="pct"/>
            <w:vMerge w:val="restart"/>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排气筒</w:t>
            </w:r>
          </w:p>
          <w:p>
            <w:pPr>
              <w:pStyle w:val="30"/>
              <w:widowControl w:val="0"/>
              <w:jc w:val="center"/>
              <w:rPr>
                <w:rFonts w:hint="default"/>
                <w:b/>
                <w:bCs/>
                <w:vertAlign w:val="baseline"/>
                <w:lang w:val="en-US" w:eastAsia="zh-CN"/>
              </w:rPr>
            </w:pPr>
            <w:r>
              <w:rPr>
                <w:rFonts w:hint="eastAsia"/>
                <w:b/>
                <w:bCs/>
                <w:vertAlign w:val="baseline"/>
                <w:lang w:val="en-US" w:eastAsia="zh-CN"/>
              </w:rPr>
              <w:t>参数</w:t>
            </w:r>
          </w:p>
        </w:tc>
        <w:tc>
          <w:tcPr>
            <w:tcW w:w="499"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排放时间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tl2br w:val="nil"/>
              <w:tr2bl w:val="nil"/>
            </w:tcBorders>
            <w:vAlign w:val="center"/>
          </w:tcPr>
          <w:p>
            <w:pPr>
              <w:pStyle w:val="30"/>
              <w:widowControl w:val="0"/>
              <w:jc w:val="center"/>
              <w:rPr>
                <w:rFonts w:hint="default"/>
                <w:b/>
                <w:bCs/>
                <w:vertAlign w:val="baseline"/>
                <w:lang w:val="en-US" w:eastAsia="zh-CN"/>
              </w:rPr>
            </w:pPr>
          </w:p>
        </w:tc>
        <w:tc>
          <w:tcPr>
            <w:tcW w:w="234" w:type="pct"/>
            <w:vMerge w:val="continue"/>
            <w:tcBorders>
              <w:tl2br w:val="nil"/>
              <w:tr2bl w:val="nil"/>
            </w:tcBorders>
            <w:vAlign w:val="center"/>
          </w:tcPr>
          <w:p>
            <w:pPr>
              <w:pStyle w:val="30"/>
              <w:widowControl w:val="0"/>
              <w:jc w:val="center"/>
              <w:rPr>
                <w:rFonts w:hint="default"/>
                <w:b/>
                <w:bCs/>
                <w:vertAlign w:val="baseline"/>
                <w:lang w:val="en-US" w:eastAsia="zh-CN"/>
              </w:rPr>
            </w:pPr>
          </w:p>
        </w:tc>
        <w:tc>
          <w:tcPr>
            <w:tcW w:w="369"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产生速率（kg/h）</w:t>
            </w:r>
          </w:p>
        </w:tc>
        <w:tc>
          <w:tcPr>
            <w:tcW w:w="310"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产生量（t/a）</w:t>
            </w:r>
          </w:p>
        </w:tc>
        <w:tc>
          <w:tcPr>
            <w:tcW w:w="436"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产生浓度（mg/m</w:t>
            </w:r>
            <w:r>
              <w:rPr>
                <w:rFonts w:hint="eastAsia"/>
                <w:b/>
                <w:bCs/>
                <w:vertAlign w:val="superscript"/>
                <w:lang w:val="en-US" w:eastAsia="zh-CN"/>
              </w:rPr>
              <w:t>3</w:t>
            </w:r>
            <w:r>
              <w:rPr>
                <w:rFonts w:hint="eastAsia"/>
                <w:b/>
                <w:bCs/>
                <w:vertAlign w:val="baseline"/>
                <w:lang w:val="en-US" w:eastAsia="zh-CN"/>
              </w:rPr>
              <w:t>）</w:t>
            </w:r>
          </w:p>
        </w:tc>
        <w:tc>
          <w:tcPr>
            <w:tcW w:w="401" w:type="pct"/>
            <w:vMerge w:val="continue"/>
            <w:tcBorders>
              <w:tl2br w:val="nil"/>
              <w:tr2bl w:val="nil"/>
            </w:tcBorders>
            <w:vAlign w:val="center"/>
          </w:tcPr>
          <w:p>
            <w:pPr>
              <w:pStyle w:val="30"/>
              <w:widowControl w:val="0"/>
              <w:jc w:val="center"/>
              <w:rPr>
                <w:rFonts w:hint="default"/>
                <w:b/>
                <w:bCs/>
                <w:vertAlign w:val="baseline"/>
                <w:lang w:val="en-US" w:eastAsia="zh-CN"/>
              </w:rPr>
            </w:pPr>
          </w:p>
        </w:tc>
        <w:tc>
          <w:tcPr>
            <w:tcW w:w="544" w:type="pct"/>
            <w:vMerge w:val="continue"/>
            <w:tcBorders>
              <w:tl2br w:val="nil"/>
              <w:tr2bl w:val="nil"/>
            </w:tcBorders>
            <w:vAlign w:val="center"/>
          </w:tcPr>
          <w:p>
            <w:pPr>
              <w:pStyle w:val="30"/>
              <w:widowControl w:val="0"/>
              <w:jc w:val="center"/>
              <w:rPr>
                <w:rFonts w:hint="default"/>
                <w:b/>
                <w:bCs/>
                <w:vertAlign w:val="baseline"/>
                <w:lang w:val="en-US" w:eastAsia="zh-CN"/>
              </w:rPr>
            </w:pPr>
          </w:p>
        </w:tc>
        <w:tc>
          <w:tcPr>
            <w:tcW w:w="376" w:type="pct"/>
            <w:vMerge w:val="continue"/>
            <w:tcBorders>
              <w:tl2br w:val="nil"/>
              <w:tr2bl w:val="nil"/>
            </w:tcBorders>
            <w:vAlign w:val="center"/>
          </w:tcPr>
          <w:p>
            <w:pPr>
              <w:pStyle w:val="30"/>
              <w:widowControl w:val="0"/>
              <w:jc w:val="center"/>
              <w:rPr>
                <w:rFonts w:hint="default"/>
                <w:b/>
                <w:bCs/>
                <w:vertAlign w:val="baseline"/>
                <w:lang w:val="en-US" w:eastAsia="zh-CN"/>
              </w:rPr>
            </w:pPr>
          </w:p>
        </w:tc>
        <w:tc>
          <w:tcPr>
            <w:tcW w:w="385" w:type="pct"/>
            <w:tcBorders>
              <w:tl2br w:val="nil"/>
              <w:tr2bl w:val="nil"/>
            </w:tcBorders>
            <w:vAlign w:val="center"/>
          </w:tcPr>
          <w:p>
            <w:pPr>
              <w:pStyle w:val="30"/>
              <w:widowControl w:val="0"/>
              <w:ind w:left="210" w:hanging="211" w:hangingChars="100"/>
              <w:jc w:val="center"/>
              <w:rPr>
                <w:rFonts w:hint="eastAsia"/>
                <w:b/>
                <w:bCs/>
                <w:vertAlign w:val="baseline"/>
                <w:lang w:val="en-US" w:eastAsia="zh-CN"/>
              </w:rPr>
            </w:pPr>
            <w:r>
              <w:rPr>
                <w:rFonts w:hint="eastAsia"/>
                <w:b/>
                <w:bCs/>
                <w:vertAlign w:val="baseline"/>
                <w:lang w:val="en-US" w:eastAsia="zh-CN"/>
              </w:rPr>
              <w:t>排放速率</w:t>
            </w:r>
          </w:p>
          <w:p>
            <w:pPr>
              <w:pStyle w:val="30"/>
              <w:widowControl w:val="0"/>
              <w:ind w:left="210" w:hanging="211" w:hangingChars="100"/>
              <w:jc w:val="center"/>
              <w:rPr>
                <w:rFonts w:hint="default"/>
                <w:b/>
                <w:bCs/>
                <w:vertAlign w:val="baseline"/>
                <w:lang w:val="en-US" w:eastAsia="zh-CN"/>
              </w:rPr>
            </w:pPr>
            <w:r>
              <w:rPr>
                <w:rFonts w:hint="eastAsia"/>
                <w:b/>
                <w:bCs/>
                <w:vertAlign w:val="baseline"/>
                <w:lang w:val="en-US" w:eastAsia="zh-CN"/>
              </w:rPr>
              <w:t>（kg/h）</w:t>
            </w:r>
          </w:p>
        </w:tc>
        <w:tc>
          <w:tcPr>
            <w:tcW w:w="320" w:type="pct"/>
            <w:tcBorders>
              <w:tl2br w:val="nil"/>
              <w:tr2bl w:val="nil"/>
            </w:tcBorders>
            <w:vAlign w:val="center"/>
          </w:tcPr>
          <w:p>
            <w:pPr>
              <w:pStyle w:val="30"/>
              <w:widowControl w:val="0"/>
              <w:ind w:firstLine="0" w:firstLineChars="0"/>
              <w:jc w:val="center"/>
              <w:rPr>
                <w:rFonts w:hint="default"/>
                <w:b/>
                <w:bCs/>
                <w:vertAlign w:val="baseline"/>
                <w:lang w:val="en-US" w:eastAsia="zh-CN"/>
              </w:rPr>
            </w:pPr>
            <w:r>
              <w:rPr>
                <w:rFonts w:hint="eastAsia"/>
                <w:b/>
                <w:bCs/>
                <w:vertAlign w:val="baseline"/>
                <w:lang w:val="en-US" w:eastAsia="zh-CN"/>
              </w:rPr>
              <w:t>排放量（t/a）</w:t>
            </w:r>
          </w:p>
        </w:tc>
        <w:tc>
          <w:tcPr>
            <w:tcW w:w="436" w:type="pct"/>
            <w:tcBorders>
              <w:tl2br w:val="nil"/>
              <w:tr2bl w:val="nil"/>
            </w:tcBorders>
            <w:vAlign w:val="center"/>
          </w:tcPr>
          <w:p>
            <w:pPr>
              <w:pStyle w:val="30"/>
              <w:widowControl w:val="0"/>
              <w:ind w:firstLine="0" w:firstLineChars="0"/>
              <w:jc w:val="center"/>
              <w:rPr>
                <w:rFonts w:hint="default"/>
                <w:b/>
                <w:bCs/>
                <w:vertAlign w:val="baseline"/>
                <w:lang w:val="en-US" w:eastAsia="zh-CN"/>
              </w:rPr>
            </w:pPr>
            <w:r>
              <w:rPr>
                <w:rFonts w:hint="eastAsia"/>
                <w:b/>
                <w:bCs/>
                <w:vertAlign w:val="baseline"/>
                <w:lang w:val="en-US" w:eastAsia="zh-CN"/>
              </w:rPr>
              <w:t>排放浓度（mg/m</w:t>
            </w:r>
            <w:r>
              <w:rPr>
                <w:rFonts w:hint="eastAsia"/>
                <w:b/>
                <w:bCs/>
                <w:vertAlign w:val="superscript"/>
                <w:lang w:val="en-US" w:eastAsia="zh-CN"/>
              </w:rPr>
              <w:t>3</w:t>
            </w:r>
            <w:r>
              <w:rPr>
                <w:rFonts w:hint="eastAsia"/>
                <w:b/>
                <w:bCs/>
                <w:vertAlign w:val="baseline"/>
                <w:lang w:val="en-US" w:eastAsia="zh-CN"/>
              </w:rPr>
              <w:t>）</w:t>
            </w:r>
          </w:p>
        </w:tc>
        <w:tc>
          <w:tcPr>
            <w:tcW w:w="401" w:type="pct"/>
            <w:vMerge w:val="continue"/>
            <w:tcBorders>
              <w:tl2br w:val="nil"/>
              <w:tr2bl w:val="nil"/>
            </w:tcBorders>
            <w:vAlign w:val="center"/>
          </w:tcPr>
          <w:p>
            <w:pPr>
              <w:pStyle w:val="30"/>
              <w:widowControl w:val="0"/>
              <w:jc w:val="center"/>
              <w:rPr>
                <w:rFonts w:hint="default"/>
                <w:b/>
                <w:bCs/>
                <w:vertAlign w:val="baseline"/>
                <w:lang w:val="en-US" w:eastAsia="zh-CN"/>
              </w:rPr>
            </w:pPr>
          </w:p>
        </w:tc>
        <w:tc>
          <w:tcPr>
            <w:tcW w:w="499" w:type="pct"/>
            <w:vMerge w:val="continue"/>
            <w:tcBorders>
              <w:tl2br w:val="nil"/>
              <w:tr2bl w:val="nil"/>
            </w:tcBorders>
            <w:vAlign w:val="center"/>
          </w:tcPr>
          <w:p>
            <w:pPr>
              <w:pStyle w:val="30"/>
              <w:widowControl w:val="0"/>
              <w:jc w:val="center"/>
              <w:rPr>
                <w:rFonts w:hint="default"/>
                <w:b/>
                <w:bCs/>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待宰圈、污水处理间</w:t>
            </w:r>
          </w:p>
        </w:tc>
        <w:tc>
          <w:tcPr>
            <w:tcW w:w="234" w:type="pct"/>
            <w:tcBorders>
              <w:tl2br w:val="nil"/>
              <w:tr2bl w:val="nil"/>
            </w:tcBorders>
            <w:vAlign w:val="center"/>
          </w:tcPr>
          <w:p>
            <w:pPr>
              <w:pStyle w:val="30"/>
              <w:widowControl w:val="0"/>
              <w:jc w:val="center"/>
              <w:rPr>
                <w:rFonts w:hint="default"/>
                <w:vertAlign w:val="subscript"/>
                <w:lang w:val="en-US" w:eastAsia="zh-CN"/>
              </w:rPr>
            </w:pPr>
            <w:r>
              <w:rPr>
                <w:rFonts w:hint="eastAsia"/>
                <w:vertAlign w:val="baseline"/>
                <w:lang w:val="en-US" w:eastAsia="zh-CN"/>
              </w:rPr>
              <w:t>NH</w:t>
            </w:r>
            <w:r>
              <w:rPr>
                <w:rFonts w:hint="eastAsia"/>
                <w:vertAlign w:val="subscript"/>
                <w:lang w:val="en-US" w:eastAsia="zh-CN"/>
              </w:rPr>
              <w:t>3</w:t>
            </w:r>
          </w:p>
        </w:tc>
        <w:tc>
          <w:tcPr>
            <w:tcW w:w="3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0.32</w:t>
            </w:r>
          </w:p>
        </w:tc>
        <w:tc>
          <w:tcPr>
            <w:tcW w:w="3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2.06</w:t>
            </w:r>
          </w:p>
        </w:tc>
        <w:tc>
          <w:tcPr>
            <w:tcW w:w="1226" w:type="dxa"/>
            <w:tcBorders>
              <w:tl2br w:val="nil"/>
              <w:tr2bl w:val="nil"/>
            </w:tcBorders>
            <w:vAlign w:val="center"/>
          </w:tcPr>
          <w:p>
            <w:pPr>
              <w:pStyle w:val="30"/>
              <w:widowControl w:val="0"/>
              <w:bidi w:val="0"/>
              <w:rPr>
                <w:rFonts w:hint="default"/>
                <w:lang w:val="en-US" w:eastAsia="zh-CN"/>
              </w:rPr>
            </w:pPr>
            <w:r>
              <w:rPr>
                <w:rFonts w:hint="eastAsia"/>
                <w:lang w:val="en-US" w:eastAsia="zh-CN"/>
              </w:rPr>
              <w:t>18.82</w:t>
            </w:r>
          </w:p>
        </w:tc>
        <w:tc>
          <w:tcPr>
            <w:tcW w:w="401"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UV光解+生物洗涤塔（1#）</w:t>
            </w:r>
          </w:p>
        </w:tc>
        <w:tc>
          <w:tcPr>
            <w:tcW w:w="544" w:type="pct"/>
            <w:vMerge w:val="restar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90%</w:t>
            </w:r>
          </w:p>
          <w:p>
            <w:pPr>
              <w:pStyle w:val="30"/>
              <w:widowControl w:val="0"/>
              <w:jc w:val="center"/>
              <w:rPr>
                <w:rFonts w:hint="default"/>
                <w:vertAlign w:val="baseline"/>
                <w:lang w:val="en-US" w:eastAsia="zh-CN"/>
              </w:rPr>
            </w:pPr>
            <w:r>
              <w:rPr>
                <w:rFonts w:hint="eastAsia"/>
                <w:vertAlign w:val="baseline"/>
                <w:lang w:val="en-US" w:eastAsia="zh-CN"/>
              </w:rPr>
              <w:t>90%</w:t>
            </w:r>
          </w:p>
        </w:tc>
        <w:tc>
          <w:tcPr>
            <w:tcW w:w="376"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17000</w:t>
            </w:r>
          </w:p>
        </w:tc>
        <w:tc>
          <w:tcPr>
            <w:tcW w:w="38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0.027</w:t>
            </w:r>
          </w:p>
        </w:tc>
        <w:tc>
          <w:tcPr>
            <w:tcW w:w="320"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0.185</w:t>
            </w:r>
          </w:p>
        </w:tc>
        <w:tc>
          <w:tcPr>
            <w:tcW w:w="1224"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1.59 </w:t>
            </w:r>
          </w:p>
        </w:tc>
        <w:tc>
          <w:tcPr>
            <w:tcW w:w="401" w:type="pct"/>
            <w:vMerge w:val="restar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P1排气筒H=15m</w:t>
            </w:r>
          </w:p>
          <w:p>
            <w:pPr>
              <w:pStyle w:val="30"/>
              <w:widowControl w:val="0"/>
              <w:jc w:val="center"/>
              <w:rPr>
                <w:rFonts w:hint="default"/>
                <w:vertAlign w:val="baseline"/>
                <w:lang w:val="en-US" w:eastAsia="zh-CN"/>
              </w:rPr>
            </w:pPr>
            <w:r>
              <w:rPr>
                <w:rFonts w:hint="eastAsia"/>
                <w:vertAlign w:val="baseline"/>
                <w:lang w:val="en-US" w:eastAsia="zh-CN"/>
              </w:rPr>
              <w:t>D=0.8m环境温度</w:t>
            </w:r>
          </w:p>
        </w:tc>
        <w:tc>
          <w:tcPr>
            <w:tcW w:w="499"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24</w:t>
            </w:r>
            <w:r>
              <w:rPr>
                <w:rFonts w:hint="default" w:ascii="Times New Roman" w:hAnsi="Times New Roman" w:cs="Times New Roman"/>
                <w:vertAlign w:val="baseline"/>
                <w:lang w:val="en-US" w:eastAsia="zh-CN"/>
              </w:rPr>
              <w:t>×</w:t>
            </w:r>
            <w:r>
              <w:rPr>
                <w:rFonts w:hint="eastAsia" w:ascii="Times New Roman" w:hAnsi="Times New Roman" w:cs="Times New Roman"/>
                <w:vertAlign w:val="baseline"/>
                <w:lang w:val="en-US" w:eastAsia="zh-CN"/>
              </w:rPr>
              <w:t>300=7200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234"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3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0.025</w:t>
            </w:r>
          </w:p>
        </w:tc>
        <w:tc>
          <w:tcPr>
            <w:tcW w:w="3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0.122</w:t>
            </w:r>
          </w:p>
        </w:tc>
        <w:tc>
          <w:tcPr>
            <w:tcW w:w="1226"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1.47 </w:t>
            </w:r>
          </w:p>
        </w:tc>
        <w:tc>
          <w:tcPr>
            <w:tcW w:w="40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44"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76"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8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0.0023</w:t>
            </w:r>
          </w:p>
        </w:tc>
        <w:tc>
          <w:tcPr>
            <w:tcW w:w="320"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0.011</w:t>
            </w:r>
          </w:p>
        </w:tc>
        <w:tc>
          <w:tcPr>
            <w:tcW w:w="1224"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0.14 </w:t>
            </w:r>
          </w:p>
        </w:tc>
        <w:tc>
          <w:tcPr>
            <w:tcW w:w="40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9"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282" w:type="pct"/>
            <w:vMerge w:val="restar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屠宰</w:t>
            </w:r>
          </w:p>
          <w:p>
            <w:pPr>
              <w:pStyle w:val="30"/>
              <w:widowControl w:val="0"/>
              <w:jc w:val="center"/>
              <w:rPr>
                <w:rFonts w:hint="default"/>
                <w:vertAlign w:val="baseline"/>
                <w:lang w:val="en-US" w:eastAsia="zh-CN"/>
              </w:rPr>
            </w:pPr>
            <w:r>
              <w:rPr>
                <w:rFonts w:hint="eastAsia"/>
                <w:vertAlign w:val="baseline"/>
                <w:lang w:val="en-US" w:eastAsia="zh-CN"/>
              </w:rPr>
              <w:t>车间</w:t>
            </w:r>
          </w:p>
        </w:tc>
        <w:tc>
          <w:tcPr>
            <w:tcW w:w="234"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NH</w:t>
            </w:r>
            <w:r>
              <w:rPr>
                <w:rFonts w:hint="eastAsia"/>
                <w:vertAlign w:val="subscript"/>
                <w:lang w:val="en-US" w:eastAsia="zh-CN"/>
              </w:rPr>
              <w:t>3</w:t>
            </w:r>
          </w:p>
        </w:tc>
        <w:tc>
          <w:tcPr>
            <w:tcW w:w="3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0.166</w:t>
            </w:r>
          </w:p>
        </w:tc>
        <w:tc>
          <w:tcPr>
            <w:tcW w:w="3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0.189</w:t>
            </w:r>
          </w:p>
        </w:tc>
        <w:tc>
          <w:tcPr>
            <w:tcW w:w="1226"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3.61 </w:t>
            </w:r>
          </w:p>
        </w:tc>
        <w:tc>
          <w:tcPr>
            <w:tcW w:w="401"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UV光解+生物洗涤塔（2#）</w:t>
            </w:r>
          </w:p>
        </w:tc>
        <w:tc>
          <w:tcPr>
            <w:tcW w:w="544" w:type="pct"/>
            <w:vMerge w:val="restar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90%</w:t>
            </w:r>
          </w:p>
          <w:p>
            <w:pPr>
              <w:pStyle w:val="30"/>
              <w:widowControl w:val="0"/>
              <w:jc w:val="center"/>
              <w:rPr>
                <w:rFonts w:hint="default"/>
                <w:vertAlign w:val="baseline"/>
                <w:lang w:val="en-US" w:eastAsia="zh-CN"/>
              </w:rPr>
            </w:pPr>
            <w:r>
              <w:rPr>
                <w:rFonts w:hint="eastAsia"/>
                <w:vertAlign w:val="baseline"/>
                <w:lang w:val="en-US" w:eastAsia="zh-CN"/>
              </w:rPr>
              <w:t>90%</w:t>
            </w:r>
          </w:p>
        </w:tc>
        <w:tc>
          <w:tcPr>
            <w:tcW w:w="376"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46000</w:t>
            </w:r>
          </w:p>
        </w:tc>
        <w:tc>
          <w:tcPr>
            <w:tcW w:w="38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0.015</w:t>
            </w:r>
          </w:p>
        </w:tc>
        <w:tc>
          <w:tcPr>
            <w:tcW w:w="32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0.017</w:t>
            </w:r>
          </w:p>
        </w:tc>
        <w:tc>
          <w:tcPr>
            <w:tcW w:w="1224" w:type="dxa"/>
            <w:tcBorders>
              <w:tl2br w:val="nil"/>
              <w:tr2bl w:val="nil"/>
            </w:tcBorders>
            <w:vAlign w:val="center"/>
          </w:tcPr>
          <w:p>
            <w:pPr>
              <w:pStyle w:val="30"/>
              <w:widowControl w:val="0"/>
              <w:bidi w:val="0"/>
              <w:rPr>
                <w:rFonts w:hint="default"/>
                <w:lang w:val="en-US" w:eastAsia="zh-CN"/>
              </w:rPr>
            </w:pPr>
            <w:r>
              <w:rPr>
                <w:rFonts w:hint="eastAsia"/>
                <w:lang w:val="en-US" w:eastAsia="zh-CN"/>
              </w:rPr>
              <w:t>0.33</w:t>
            </w:r>
          </w:p>
        </w:tc>
        <w:tc>
          <w:tcPr>
            <w:tcW w:w="401" w:type="pct"/>
            <w:vMerge w:val="restar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P2排气筒H=15m</w:t>
            </w:r>
          </w:p>
          <w:p>
            <w:pPr>
              <w:pStyle w:val="30"/>
              <w:widowControl w:val="0"/>
              <w:jc w:val="center"/>
              <w:rPr>
                <w:rFonts w:hint="default"/>
                <w:vertAlign w:val="baseline"/>
                <w:lang w:val="en-US" w:eastAsia="zh-CN"/>
              </w:rPr>
            </w:pPr>
            <w:r>
              <w:rPr>
                <w:rFonts w:hint="eastAsia"/>
                <w:vertAlign w:val="baseline"/>
                <w:lang w:val="en-US" w:eastAsia="zh-CN"/>
              </w:rPr>
              <w:t>D=1.2m环境温度</w:t>
            </w:r>
          </w:p>
        </w:tc>
        <w:tc>
          <w:tcPr>
            <w:tcW w:w="499" w:type="pct"/>
            <w:tcBorders>
              <w:tl2br w:val="nil"/>
              <w:tr2bl w:val="nil"/>
            </w:tcBorders>
            <w:vAlign w:val="center"/>
          </w:tcPr>
          <w:p>
            <w:pPr>
              <w:pStyle w:val="30"/>
              <w:widowControl w:val="0"/>
              <w:jc w:val="center"/>
              <w:rPr>
                <w:rFonts w:hint="default"/>
                <w:vertAlign w:val="baseline"/>
                <w:lang w:val="en-US" w:eastAsia="zh-CN"/>
              </w:rPr>
            </w:pPr>
            <w:r>
              <w:rPr>
                <w:rFonts w:hint="eastAsia" w:cs="Times New Roman"/>
                <w:vertAlign w:val="baseline"/>
                <w:lang w:val="en-US" w:eastAsia="zh-CN"/>
              </w:rPr>
              <w:t>8</w:t>
            </w:r>
            <w:r>
              <w:rPr>
                <w:rFonts w:hint="default" w:ascii="Times New Roman" w:hAnsi="Times New Roman" w:cs="Times New Roman"/>
                <w:vertAlign w:val="baseline"/>
                <w:lang w:val="en-US" w:eastAsia="zh-CN"/>
              </w:rPr>
              <w:t>×</w:t>
            </w:r>
            <w:r>
              <w:rPr>
                <w:rFonts w:hint="eastAsia" w:ascii="Times New Roman" w:hAnsi="Times New Roman" w:cs="Times New Roman"/>
                <w:vertAlign w:val="baseline"/>
                <w:lang w:val="en-US" w:eastAsia="zh-CN"/>
              </w:rPr>
              <w:t>300=</w:t>
            </w:r>
            <w:r>
              <w:rPr>
                <w:rFonts w:hint="eastAsia" w:cs="Times New Roman"/>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234"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3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0.0015</w:t>
            </w:r>
          </w:p>
        </w:tc>
        <w:tc>
          <w:tcPr>
            <w:tcW w:w="31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0.0018</w:t>
            </w:r>
          </w:p>
        </w:tc>
        <w:tc>
          <w:tcPr>
            <w:tcW w:w="1226"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0.033 </w:t>
            </w:r>
          </w:p>
        </w:tc>
        <w:tc>
          <w:tcPr>
            <w:tcW w:w="40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44"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76"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8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0.00014</w:t>
            </w:r>
          </w:p>
        </w:tc>
        <w:tc>
          <w:tcPr>
            <w:tcW w:w="32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0.00016</w:t>
            </w:r>
          </w:p>
        </w:tc>
        <w:tc>
          <w:tcPr>
            <w:tcW w:w="1224" w:type="dxa"/>
            <w:tcBorders>
              <w:tl2br w:val="nil"/>
              <w:tr2bl w:val="nil"/>
            </w:tcBorders>
            <w:vAlign w:val="center"/>
          </w:tcPr>
          <w:p>
            <w:pPr>
              <w:pStyle w:val="30"/>
              <w:widowControl w:val="0"/>
              <w:bidi w:val="0"/>
              <w:rPr>
                <w:rFonts w:hint="default"/>
                <w:lang w:val="en-US" w:eastAsia="zh-CN"/>
              </w:rPr>
            </w:pPr>
            <w:r>
              <w:rPr>
                <w:rFonts w:hint="eastAsia"/>
                <w:lang w:val="en-US" w:eastAsia="zh-CN"/>
              </w:rPr>
              <w:t>0.003</w:t>
            </w:r>
          </w:p>
        </w:tc>
        <w:tc>
          <w:tcPr>
            <w:tcW w:w="40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9"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vertAlign w:val="baseline"/>
                <w:lang w:val="en-US" w:eastAsia="zh-CN"/>
              </w:rPr>
              <w:t>8</w:t>
            </w:r>
            <w:r>
              <w:rPr>
                <w:rFonts w:hint="default" w:ascii="Times New Roman" w:hAnsi="Times New Roman" w:cs="Times New Roman"/>
                <w:vertAlign w:val="baseline"/>
                <w:lang w:val="en-US" w:eastAsia="zh-CN"/>
              </w:rPr>
              <w:t>×</w:t>
            </w:r>
            <w:r>
              <w:rPr>
                <w:rFonts w:hint="eastAsia" w:cs="Times New Roman"/>
                <w:vertAlign w:val="baseline"/>
                <w:lang w:val="en-US" w:eastAsia="zh-CN"/>
              </w:rPr>
              <w:t>150</w:t>
            </w:r>
            <w:r>
              <w:rPr>
                <w:rFonts w:hint="eastAsia" w:ascii="Times New Roman" w:hAnsi="Times New Roman" w:cs="Times New Roman"/>
                <w:vertAlign w:val="baseline"/>
                <w:lang w:val="en-US" w:eastAsia="zh-CN"/>
              </w:rPr>
              <w:t>=</w:t>
            </w:r>
            <w:r>
              <w:rPr>
                <w:rFonts w:hint="eastAsia" w:cs="Times New Roman"/>
                <w:vertAlign w:val="baseli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13"/>
            <w:tcBorders>
              <w:tl2br w:val="nil"/>
              <w:tr2bl w:val="nil"/>
            </w:tcBorders>
            <w:vAlign w:val="center"/>
          </w:tcPr>
          <w:p>
            <w:pPr>
              <w:pStyle w:val="30"/>
              <w:widowControl w:val="0"/>
              <w:ind w:firstLine="0" w:firstLineChars="0"/>
              <w:jc w:val="left"/>
              <w:rPr>
                <w:rFonts w:hint="default" w:eastAsia="宋体" w:cs="Times New Roman"/>
                <w:vertAlign w:val="baseline"/>
                <w:lang w:val="en-US" w:eastAsia="zh-CN"/>
              </w:rPr>
            </w:pPr>
            <w:r>
              <w:rPr>
                <w:rFonts w:hint="eastAsia" w:cs="Times New Roman"/>
                <w:vertAlign w:val="baseline"/>
                <w:lang w:val="en-US" w:eastAsia="zh-CN"/>
              </w:rPr>
              <w:t>注：P1、P2排气筒废气均满足</w:t>
            </w:r>
            <w:r>
              <w:rPr>
                <w:rFonts w:hint="eastAsia"/>
              </w:rPr>
              <w:t>《恶臭污染物排放标准》（</w:t>
            </w:r>
            <w:r>
              <w:rPr>
                <w:rFonts w:hint="default"/>
              </w:rPr>
              <w:t>GB14554-93</w:t>
            </w:r>
            <w:r>
              <w:rPr>
                <w:rFonts w:hint="eastAsia"/>
              </w:rPr>
              <w:t>）</w:t>
            </w:r>
            <w:r>
              <w:rPr>
                <w:rFonts w:hint="eastAsia"/>
                <w:lang w:val="en-US" w:eastAsia="zh-CN"/>
              </w:rPr>
              <w:t>中有组织</w:t>
            </w:r>
            <w:r>
              <w:rPr>
                <w:rFonts w:hint="eastAsia"/>
                <w:vertAlign w:val="baseline"/>
                <w:lang w:val="en-US" w:eastAsia="zh-CN"/>
              </w:rPr>
              <w:t>NH</w:t>
            </w:r>
            <w:r>
              <w:rPr>
                <w:rFonts w:hint="eastAsia"/>
                <w:vertAlign w:val="subscript"/>
                <w:lang w:val="en-US" w:eastAsia="zh-CN"/>
              </w:rPr>
              <w:t>3</w:t>
            </w:r>
            <w:r>
              <w:rPr>
                <w:rFonts w:hint="eastAsia"/>
                <w:vertAlign w:val="baseline"/>
                <w:lang w:val="en-US" w:eastAsia="zh-CN"/>
              </w:rPr>
              <w:t>和H</w:t>
            </w:r>
            <w:r>
              <w:rPr>
                <w:rFonts w:hint="eastAsia"/>
                <w:vertAlign w:val="subscript"/>
                <w:lang w:val="en-US" w:eastAsia="zh-CN"/>
              </w:rPr>
              <w:t>2</w:t>
            </w:r>
            <w:r>
              <w:rPr>
                <w:rFonts w:hint="eastAsia"/>
                <w:vertAlign w:val="baseline"/>
                <w:lang w:val="en-US" w:eastAsia="zh-CN"/>
              </w:rPr>
              <w:t>S排放限值（NH</w:t>
            </w:r>
            <w:r>
              <w:rPr>
                <w:rFonts w:hint="eastAsia"/>
                <w:vertAlign w:val="subscript"/>
                <w:lang w:val="en-US" w:eastAsia="zh-CN"/>
              </w:rPr>
              <w:t>3</w:t>
            </w:r>
            <w:r>
              <w:rPr>
                <w:rFonts w:hint="eastAsia"/>
                <w:vertAlign w:val="baseline"/>
                <w:lang w:val="en-US" w:eastAsia="zh-CN"/>
              </w:rPr>
              <w:t>：4.9kg/h，H</w:t>
            </w:r>
            <w:r>
              <w:rPr>
                <w:rFonts w:hint="eastAsia"/>
                <w:vertAlign w:val="subscript"/>
                <w:lang w:val="en-US" w:eastAsia="zh-CN"/>
              </w:rPr>
              <w:t>2</w:t>
            </w:r>
            <w:r>
              <w:rPr>
                <w:rFonts w:hint="eastAsia"/>
                <w:vertAlign w:val="baseline"/>
                <w:lang w:val="en-US" w:eastAsia="zh-CN"/>
              </w:rPr>
              <w:t>S：0.33kg/h）</w:t>
            </w:r>
          </w:p>
        </w:tc>
      </w:tr>
    </w:tbl>
    <w:p>
      <w:pPr>
        <w:pStyle w:val="29"/>
        <w:bidi w:val="0"/>
        <w:rPr>
          <w:rFonts w:hint="eastAsia"/>
          <w:lang w:val="en-US" w:eastAsia="zh-CN"/>
        </w:rPr>
      </w:pPr>
      <w:r>
        <w:rPr>
          <w:rFonts w:hint="eastAsia"/>
          <w:lang w:val="en-US" w:eastAsia="zh-CN"/>
        </w:rPr>
        <w:t>表3.4-9  项目恶臭污染物无组织排放统计表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112"/>
        <w:gridCol w:w="1161"/>
        <w:gridCol w:w="1161"/>
        <w:gridCol w:w="1172"/>
        <w:gridCol w:w="1500"/>
        <w:gridCol w:w="1940"/>
        <w:gridCol w:w="1940"/>
        <w:gridCol w:w="2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9" w:type="pct"/>
            <w:gridSpan w:val="2"/>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污染源</w:t>
            </w:r>
          </w:p>
        </w:tc>
        <w:tc>
          <w:tcPr>
            <w:tcW w:w="1246" w:type="pct"/>
            <w:gridSpan w:val="3"/>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面源</w:t>
            </w:r>
          </w:p>
        </w:tc>
        <w:tc>
          <w:tcPr>
            <w:tcW w:w="535"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w:t>
            </w:r>
          </w:p>
        </w:tc>
        <w:tc>
          <w:tcPr>
            <w:tcW w:w="1384" w:type="pct"/>
            <w:gridSpan w:val="2"/>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产生情况</w:t>
            </w:r>
          </w:p>
        </w:tc>
        <w:tc>
          <w:tcPr>
            <w:tcW w:w="1024"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排放时间（h）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9" w:type="pct"/>
            <w:gridSpan w:val="2"/>
            <w:vMerge w:val="continue"/>
            <w:tcBorders>
              <w:tl2br w:val="nil"/>
              <w:tr2bl w:val="nil"/>
            </w:tcBorders>
            <w:vAlign w:val="center"/>
          </w:tcPr>
          <w:p>
            <w:pPr>
              <w:pStyle w:val="30"/>
              <w:widowControl w:val="0"/>
              <w:jc w:val="center"/>
              <w:rPr>
                <w:rFonts w:hint="default"/>
                <w:b/>
                <w:bCs/>
                <w:vertAlign w:val="baseline"/>
                <w:lang w:val="en-US" w:eastAsia="zh-CN"/>
              </w:rPr>
            </w:pPr>
          </w:p>
        </w:tc>
        <w:tc>
          <w:tcPr>
            <w:tcW w:w="414"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长（m）</w:t>
            </w:r>
          </w:p>
        </w:tc>
        <w:tc>
          <w:tcPr>
            <w:tcW w:w="414"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宽（m）</w:t>
            </w:r>
          </w:p>
        </w:tc>
        <w:tc>
          <w:tcPr>
            <w:tcW w:w="417"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高（m）</w:t>
            </w:r>
          </w:p>
        </w:tc>
        <w:tc>
          <w:tcPr>
            <w:tcW w:w="535" w:type="pct"/>
            <w:vMerge w:val="continue"/>
            <w:tcBorders>
              <w:tl2br w:val="nil"/>
              <w:tr2bl w:val="nil"/>
            </w:tcBorders>
            <w:vAlign w:val="center"/>
          </w:tcPr>
          <w:p>
            <w:pPr>
              <w:pStyle w:val="30"/>
              <w:widowControl w:val="0"/>
              <w:jc w:val="center"/>
              <w:rPr>
                <w:rFonts w:hint="default"/>
                <w:b/>
                <w:bCs/>
                <w:vertAlign w:val="baseline"/>
                <w:lang w:val="en-US" w:eastAsia="zh-CN"/>
              </w:rPr>
            </w:pPr>
          </w:p>
        </w:tc>
        <w:tc>
          <w:tcPr>
            <w:tcW w:w="69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产生速率（kg/h）</w:t>
            </w:r>
          </w:p>
        </w:tc>
        <w:tc>
          <w:tcPr>
            <w:tcW w:w="69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产生量（t/a）</w:t>
            </w:r>
          </w:p>
        </w:tc>
        <w:tc>
          <w:tcPr>
            <w:tcW w:w="1024" w:type="pct"/>
            <w:vMerge w:val="continue"/>
            <w:tcBorders>
              <w:tl2br w:val="nil"/>
              <w:tr2bl w:val="nil"/>
            </w:tcBorders>
            <w:vAlign w:val="center"/>
          </w:tcPr>
          <w:p>
            <w:pPr>
              <w:pStyle w:val="30"/>
              <w:widowControl w:val="0"/>
              <w:jc w:val="center"/>
              <w:rPr>
                <w:rFonts w:hint="default"/>
                <w:b/>
                <w:bCs/>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屠宰车间</w:t>
            </w:r>
          </w:p>
        </w:tc>
        <w:tc>
          <w:tcPr>
            <w:tcW w:w="397" w:type="pct"/>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生猪</w:t>
            </w:r>
          </w:p>
        </w:tc>
        <w:tc>
          <w:tcPr>
            <w:tcW w:w="414" w:type="pct"/>
            <w:vMerge w:val="restar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150</w:t>
            </w:r>
          </w:p>
        </w:tc>
        <w:tc>
          <w:tcPr>
            <w:tcW w:w="414" w:type="pct"/>
            <w:vMerge w:val="restar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64</w:t>
            </w:r>
          </w:p>
        </w:tc>
        <w:tc>
          <w:tcPr>
            <w:tcW w:w="417" w:type="pct"/>
            <w:vMerge w:val="restar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8</w:t>
            </w:r>
          </w:p>
        </w:tc>
        <w:tc>
          <w:tcPr>
            <w:tcW w:w="535"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NH</w:t>
            </w:r>
            <w:r>
              <w:rPr>
                <w:rFonts w:hint="eastAsia"/>
                <w:vertAlign w:val="subscript"/>
                <w:lang w:val="en-US" w:eastAsia="zh-CN"/>
              </w:rPr>
              <w:t>3</w:t>
            </w:r>
          </w:p>
        </w:tc>
        <w:tc>
          <w:tcPr>
            <w:tcW w:w="69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0.0022</w:t>
            </w:r>
          </w:p>
        </w:tc>
        <w:tc>
          <w:tcPr>
            <w:tcW w:w="69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0.00056</w:t>
            </w:r>
          </w:p>
        </w:tc>
        <w:tc>
          <w:tcPr>
            <w:tcW w:w="1024" w:type="pct"/>
            <w:vMerge w:val="restar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8</w:t>
            </w:r>
            <w:r>
              <w:rPr>
                <w:rFonts w:hint="default" w:ascii="Times New Roman" w:hAnsi="Times New Roman" w:cs="Times New Roman"/>
                <w:vertAlign w:val="baseline"/>
                <w:lang w:val="en-US" w:eastAsia="zh-CN"/>
              </w:rPr>
              <w:t>×</w:t>
            </w:r>
            <w:r>
              <w:rPr>
                <w:rFonts w:hint="eastAsia"/>
                <w:vertAlign w:val="baseline"/>
                <w:lang w:val="en-US" w:eastAsia="zh-CN"/>
              </w:rPr>
              <w:t>300=2400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397" w:type="pct"/>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414" w:type="pct"/>
            <w:vMerge w:val="continue"/>
            <w:tcBorders>
              <w:tl2br w:val="nil"/>
              <w:tr2bl w:val="nil"/>
            </w:tcBorders>
            <w:vAlign w:val="center"/>
          </w:tcPr>
          <w:p>
            <w:pPr>
              <w:pStyle w:val="30"/>
              <w:widowControl w:val="0"/>
              <w:jc w:val="center"/>
              <w:rPr>
                <w:rFonts w:hint="eastAsia"/>
                <w:highlight w:val="none"/>
                <w:vertAlign w:val="baseline"/>
                <w:lang w:val="en-US" w:eastAsia="zh-CN"/>
              </w:rPr>
            </w:pPr>
          </w:p>
        </w:tc>
        <w:tc>
          <w:tcPr>
            <w:tcW w:w="414" w:type="pct"/>
            <w:vMerge w:val="continue"/>
            <w:tcBorders>
              <w:tl2br w:val="nil"/>
              <w:tr2bl w:val="nil"/>
            </w:tcBorders>
            <w:vAlign w:val="center"/>
          </w:tcPr>
          <w:p>
            <w:pPr>
              <w:pStyle w:val="30"/>
              <w:widowControl w:val="0"/>
              <w:jc w:val="center"/>
              <w:rPr>
                <w:rFonts w:hint="eastAsia"/>
                <w:highlight w:val="none"/>
                <w:vertAlign w:val="baseline"/>
                <w:lang w:val="en-US" w:eastAsia="zh-CN"/>
              </w:rPr>
            </w:pPr>
          </w:p>
        </w:tc>
        <w:tc>
          <w:tcPr>
            <w:tcW w:w="417" w:type="pct"/>
            <w:vMerge w:val="continue"/>
            <w:tcBorders>
              <w:tl2br w:val="nil"/>
              <w:tr2bl w:val="nil"/>
            </w:tcBorders>
            <w:vAlign w:val="center"/>
          </w:tcPr>
          <w:p>
            <w:pPr>
              <w:pStyle w:val="30"/>
              <w:widowControl w:val="0"/>
              <w:jc w:val="center"/>
              <w:rPr>
                <w:rFonts w:hint="eastAsia"/>
                <w:highlight w:val="none"/>
                <w:vertAlign w:val="baseline"/>
                <w:lang w:val="en-US" w:eastAsia="zh-CN"/>
              </w:rPr>
            </w:pPr>
          </w:p>
        </w:tc>
        <w:tc>
          <w:tcPr>
            <w:tcW w:w="535"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69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0.0045</w:t>
            </w:r>
          </w:p>
        </w:tc>
        <w:tc>
          <w:tcPr>
            <w:tcW w:w="69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0.00007</w:t>
            </w:r>
          </w:p>
        </w:tc>
        <w:tc>
          <w:tcPr>
            <w:tcW w:w="1024" w:type="pct"/>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412"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397" w:type="pct"/>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肉牛</w:t>
            </w:r>
          </w:p>
        </w:tc>
        <w:tc>
          <w:tcPr>
            <w:tcW w:w="414" w:type="pct"/>
            <w:vMerge w:val="restar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65</w:t>
            </w:r>
          </w:p>
        </w:tc>
        <w:tc>
          <w:tcPr>
            <w:tcW w:w="414" w:type="pct"/>
            <w:vMerge w:val="restar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30</w:t>
            </w:r>
          </w:p>
        </w:tc>
        <w:tc>
          <w:tcPr>
            <w:tcW w:w="417" w:type="pct"/>
            <w:vMerge w:val="restar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8</w:t>
            </w:r>
          </w:p>
        </w:tc>
        <w:tc>
          <w:tcPr>
            <w:tcW w:w="535"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NH</w:t>
            </w:r>
            <w:r>
              <w:rPr>
                <w:rFonts w:hint="eastAsia"/>
                <w:vertAlign w:val="subscript"/>
                <w:lang w:val="en-US" w:eastAsia="zh-CN"/>
              </w:rPr>
              <w:t>3</w:t>
            </w:r>
          </w:p>
        </w:tc>
        <w:tc>
          <w:tcPr>
            <w:tcW w:w="69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0.0144</w:t>
            </w:r>
          </w:p>
        </w:tc>
        <w:tc>
          <w:tcPr>
            <w:tcW w:w="69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0.0144</w:t>
            </w:r>
          </w:p>
        </w:tc>
        <w:tc>
          <w:tcPr>
            <w:tcW w:w="1024" w:type="pct"/>
            <w:vMerge w:val="restar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8</w:t>
            </w:r>
            <w:r>
              <w:rPr>
                <w:rFonts w:hint="default" w:ascii="Times New Roman" w:hAnsi="Times New Roman" w:cs="Times New Roman"/>
                <w:vertAlign w:val="baseline"/>
                <w:lang w:val="en-US" w:eastAsia="zh-CN"/>
              </w:rPr>
              <w:t>×</w:t>
            </w:r>
            <w:r>
              <w:rPr>
                <w:rFonts w:hint="eastAsia" w:cs="Times New Roman"/>
                <w:vertAlign w:val="baseline"/>
                <w:lang w:val="en-US" w:eastAsia="zh-CN"/>
              </w:rPr>
              <w:t>150=1200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2"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397" w:type="pct"/>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414" w:type="pct"/>
            <w:vMerge w:val="continue"/>
            <w:tcBorders>
              <w:tl2br w:val="nil"/>
              <w:tr2bl w:val="nil"/>
            </w:tcBorders>
            <w:vAlign w:val="center"/>
          </w:tcPr>
          <w:p>
            <w:pPr>
              <w:pStyle w:val="30"/>
              <w:widowControl w:val="0"/>
              <w:jc w:val="center"/>
              <w:rPr>
                <w:rFonts w:hint="eastAsia"/>
                <w:highlight w:val="yellow"/>
                <w:vertAlign w:val="baseline"/>
                <w:lang w:val="en-US" w:eastAsia="zh-CN"/>
              </w:rPr>
            </w:pPr>
          </w:p>
        </w:tc>
        <w:tc>
          <w:tcPr>
            <w:tcW w:w="414" w:type="pct"/>
            <w:vMerge w:val="continue"/>
            <w:tcBorders>
              <w:tl2br w:val="nil"/>
              <w:tr2bl w:val="nil"/>
            </w:tcBorders>
            <w:vAlign w:val="center"/>
          </w:tcPr>
          <w:p>
            <w:pPr>
              <w:pStyle w:val="30"/>
              <w:widowControl w:val="0"/>
              <w:jc w:val="center"/>
              <w:rPr>
                <w:rFonts w:hint="eastAsia"/>
                <w:highlight w:val="yellow"/>
                <w:vertAlign w:val="baseline"/>
                <w:lang w:val="en-US" w:eastAsia="zh-CN"/>
              </w:rPr>
            </w:pPr>
          </w:p>
        </w:tc>
        <w:tc>
          <w:tcPr>
            <w:tcW w:w="417" w:type="pct"/>
            <w:vMerge w:val="continue"/>
            <w:tcBorders>
              <w:tl2br w:val="nil"/>
              <w:tr2bl w:val="nil"/>
            </w:tcBorders>
            <w:vAlign w:val="center"/>
          </w:tcPr>
          <w:p>
            <w:pPr>
              <w:pStyle w:val="30"/>
              <w:widowControl w:val="0"/>
              <w:jc w:val="center"/>
              <w:rPr>
                <w:rFonts w:hint="eastAsia"/>
                <w:highlight w:val="yellow"/>
                <w:vertAlign w:val="baseline"/>
                <w:lang w:val="en-US" w:eastAsia="zh-CN"/>
              </w:rPr>
            </w:pPr>
          </w:p>
        </w:tc>
        <w:tc>
          <w:tcPr>
            <w:tcW w:w="535" w:type="pct"/>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692" w:type="pc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0.0001</w:t>
            </w:r>
          </w:p>
        </w:tc>
        <w:tc>
          <w:tcPr>
            <w:tcW w:w="692" w:type="pc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0.0001</w:t>
            </w:r>
          </w:p>
        </w:tc>
        <w:tc>
          <w:tcPr>
            <w:tcW w:w="1024" w:type="pct"/>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9" w:type="pct"/>
            <w:gridSpan w:val="2"/>
            <w:vMerge w:val="restar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待宰圈</w:t>
            </w:r>
          </w:p>
        </w:tc>
        <w:tc>
          <w:tcPr>
            <w:tcW w:w="414" w:type="pct"/>
            <w:vMerge w:val="restar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90</w:t>
            </w:r>
          </w:p>
        </w:tc>
        <w:tc>
          <w:tcPr>
            <w:tcW w:w="414" w:type="pct"/>
            <w:vMerge w:val="restar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32</w:t>
            </w:r>
          </w:p>
        </w:tc>
        <w:tc>
          <w:tcPr>
            <w:tcW w:w="417" w:type="pct"/>
            <w:vMerge w:val="restar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5</w:t>
            </w:r>
          </w:p>
        </w:tc>
        <w:tc>
          <w:tcPr>
            <w:tcW w:w="535"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NH</w:t>
            </w:r>
            <w:r>
              <w:rPr>
                <w:rFonts w:hint="eastAsia"/>
                <w:vertAlign w:val="subscript"/>
                <w:lang w:val="en-US" w:eastAsia="zh-CN"/>
              </w:rPr>
              <w:t>3</w:t>
            </w:r>
          </w:p>
        </w:tc>
        <w:tc>
          <w:tcPr>
            <w:tcW w:w="69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0.024</w:t>
            </w:r>
          </w:p>
        </w:tc>
        <w:tc>
          <w:tcPr>
            <w:tcW w:w="69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0.15</w:t>
            </w:r>
          </w:p>
        </w:tc>
        <w:tc>
          <w:tcPr>
            <w:tcW w:w="1024"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24</w:t>
            </w:r>
            <w:r>
              <w:rPr>
                <w:rFonts w:hint="default" w:ascii="Times New Roman" w:hAnsi="Times New Roman" w:cs="Times New Roman"/>
                <w:vertAlign w:val="baseline"/>
                <w:lang w:val="en-US" w:eastAsia="zh-CN"/>
              </w:rPr>
              <w:t>×</w:t>
            </w:r>
            <w:r>
              <w:rPr>
                <w:rFonts w:hint="eastAsia" w:cs="Times New Roman"/>
                <w:vertAlign w:val="baseline"/>
                <w:lang w:val="en-US" w:eastAsia="zh-CN"/>
              </w:rPr>
              <w:t>300=7200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9" w:type="pct"/>
            <w:gridSpan w:val="2"/>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414" w:type="pct"/>
            <w:vMerge w:val="continue"/>
            <w:tcBorders>
              <w:tl2br w:val="nil"/>
              <w:tr2bl w:val="nil"/>
            </w:tcBorders>
            <w:vAlign w:val="center"/>
          </w:tcPr>
          <w:p>
            <w:pPr>
              <w:pStyle w:val="30"/>
              <w:widowControl w:val="0"/>
              <w:jc w:val="center"/>
              <w:rPr>
                <w:rFonts w:hint="eastAsia"/>
                <w:highlight w:val="yellow"/>
                <w:vertAlign w:val="baseline"/>
                <w:lang w:val="en-US" w:eastAsia="zh-CN"/>
              </w:rPr>
            </w:pPr>
          </w:p>
        </w:tc>
        <w:tc>
          <w:tcPr>
            <w:tcW w:w="414" w:type="pct"/>
            <w:vMerge w:val="continue"/>
            <w:tcBorders>
              <w:tl2br w:val="nil"/>
              <w:tr2bl w:val="nil"/>
            </w:tcBorders>
            <w:vAlign w:val="center"/>
          </w:tcPr>
          <w:p>
            <w:pPr>
              <w:pStyle w:val="30"/>
              <w:widowControl w:val="0"/>
              <w:jc w:val="center"/>
              <w:rPr>
                <w:rFonts w:hint="eastAsia"/>
                <w:highlight w:val="yellow"/>
                <w:vertAlign w:val="baseline"/>
                <w:lang w:val="en-US" w:eastAsia="zh-CN"/>
              </w:rPr>
            </w:pPr>
          </w:p>
        </w:tc>
        <w:tc>
          <w:tcPr>
            <w:tcW w:w="417" w:type="pct"/>
            <w:vMerge w:val="continue"/>
            <w:tcBorders>
              <w:tl2br w:val="nil"/>
              <w:tr2bl w:val="nil"/>
            </w:tcBorders>
            <w:vAlign w:val="center"/>
          </w:tcPr>
          <w:p>
            <w:pPr>
              <w:pStyle w:val="30"/>
              <w:widowControl w:val="0"/>
              <w:jc w:val="center"/>
              <w:rPr>
                <w:rFonts w:hint="eastAsia"/>
                <w:highlight w:val="yellow"/>
                <w:vertAlign w:val="baseline"/>
                <w:lang w:val="en-US" w:eastAsia="zh-CN"/>
              </w:rPr>
            </w:pPr>
          </w:p>
        </w:tc>
        <w:tc>
          <w:tcPr>
            <w:tcW w:w="535"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69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0.002</w:t>
            </w:r>
          </w:p>
        </w:tc>
        <w:tc>
          <w:tcPr>
            <w:tcW w:w="69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0.001</w:t>
            </w:r>
          </w:p>
        </w:tc>
        <w:tc>
          <w:tcPr>
            <w:tcW w:w="1024"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9" w:type="pct"/>
            <w:gridSpan w:val="2"/>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污水处理站</w:t>
            </w:r>
          </w:p>
        </w:tc>
        <w:tc>
          <w:tcPr>
            <w:tcW w:w="414"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41</w:t>
            </w:r>
          </w:p>
        </w:tc>
        <w:tc>
          <w:tcPr>
            <w:tcW w:w="414"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25</w:t>
            </w:r>
          </w:p>
        </w:tc>
        <w:tc>
          <w:tcPr>
            <w:tcW w:w="417"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w:t>
            </w:r>
          </w:p>
        </w:tc>
        <w:tc>
          <w:tcPr>
            <w:tcW w:w="535"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NH</w:t>
            </w:r>
            <w:r>
              <w:rPr>
                <w:rFonts w:hint="eastAsia"/>
                <w:vertAlign w:val="subscript"/>
                <w:lang w:val="en-US" w:eastAsia="zh-CN"/>
              </w:rPr>
              <w:t>3</w:t>
            </w:r>
          </w:p>
        </w:tc>
        <w:tc>
          <w:tcPr>
            <w:tcW w:w="69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0.008</w:t>
            </w:r>
          </w:p>
        </w:tc>
        <w:tc>
          <w:tcPr>
            <w:tcW w:w="69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0.056</w:t>
            </w:r>
          </w:p>
        </w:tc>
        <w:tc>
          <w:tcPr>
            <w:tcW w:w="1024"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9" w:type="pct"/>
            <w:gridSpan w:val="2"/>
            <w:vMerge w:val="continue"/>
            <w:tcBorders>
              <w:tl2br w:val="nil"/>
              <w:tr2bl w:val="nil"/>
            </w:tcBorders>
            <w:vAlign w:val="center"/>
          </w:tcPr>
          <w:p>
            <w:pPr>
              <w:pStyle w:val="30"/>
              <w:widowControl w:val="0"/>
              <w:jc w:val="center"/>
              <w:rPr>
                <w:rFonts w:hint="eastAsia"/>
                <w:vertAlign w:val="baseline"/>
                <w:lang w:val="en-US" w:eastAsia="zh-CN"/>
              </w:rPr>
            </w:pPr>
          </w:p>
        </w:tc>
        <w:tc>
          <w:tcPr>
            <w:tcW w:w="41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414"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417"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35"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69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0.0003</w:t>
            </w:r>
          </w:p>
        </w:tc>
        <w:tc>
          <w:tcPr>
            <w:tcW w:w="69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0.0022</w:t>
            </w:r>
          </w:p>
        </w:tc>
        <w:tc>
          <w:tcPr>
            <w:tcW w:w="1024"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9"/>
            <w:tcBorders>
              <w:tl2br w:val="nil"/>
              <w:tr2bl w:val="nil"/>
            </w:tcBorders>
            <w:vAlign w:val="center"/>
          </w:tcPr>
          <w:p>
            <w:pPr>
              <w:pStyle w:val="30"/>
              <w:widowControl w:val="0"/>
              <w:jc w:val="left"/>
              <w:rPr>
                <w:rFonts w:hint="default"/>
                <w:vertAlign w:val="baseline"/>
                <w:lang w:val="en-US" w:eastAsia="zh-CN"/>
              </w:rPr>
            </w:pPr>
            <w:r>
              <w:rPr>
                <w:rFonts w:hint="eastAsia"/>
                <w:vertAlign w:val="baseline"/>
                <w:lang w:val="en-US" w:eastAsia="zh-CN"/>
              </w:rPr>
              <w:t>注：项目各生产单元无组织排放均满足</w:t>
            </w:r>
            <w:r>
              <w:rPr>
                <w:rFonts w:hint="eastAsia"/>
              </w:rPr>
              <w:t>《恶臭污染物排放标准》（</w:t>
            </w:r>
            <w:r>
              <w:rPr>
                <w:rFonts w:hint="default"/>
              </w:rPr>
              <w:t>GB14554-93</w:t>
            </w:r>
            <w:r>
              <w:rPr>
                <w:rFonts w:hint="eastAsia"/>
              </w:rPr>
              <w:t>）</w:t>
            </w:r>
            <w:r>
              <w:rPr>
                <w:rFonts w:hint="eastAsia"/>
                <w:lang w:val="en-US" w:eastAsia="zh-CN"/>
              </w:rPr>
              <w:t>中无组织</w:t>
            </w:r>
            <w:r>
              <w:rPr>
                <w:rFonts w:hint="eastAsia"/>
                <w:vertAlign w:val="baseline"/>
                <w:lang w:val="en-US" w:eastAsia="zh-CN"/>
              </w:rPr>
              <w:t>NH</w:t>
            </w:r>
            <w:r>
              <w:rPr>
                <w:rFonts w:hint="eastAsia"/>
                <w:vertAlign w:val="subscript"/>
                <w:lang w:val="en-US" w:eastAsia="zh-CN"/>
              </w:rPr>
              <w:t>3</w:t>
            </w:r>
            <w:r>
              <w:rPr>
                <w:rFonts w:hint="eastAsia"/>
                <w:vertAlign w:val="baseline"/>
                <w:lang w:val="en-US" w:eastAsia="zh-CN"/>
              </w:rPr>
              <w:t>和H</w:t>
            </w:r>
            <w:r>
              <w:rPr>
                <w:rFonts w:hint="eastAsia"/>
                <w:vertAlign w:val="subscript"/>
                <w:lang w:val="en-US" w:eastAsia="zh-CN"/>
              </w:rPr>
              <w:t>2</w:t>
            </w:r>
            <w:r>
              <w:rPr>
                <w:rFonts w:hint="eastAsia"/>
                <w:vertAlign w:val="baseline"/>
                <w:lang w:val="en-US" w:eastAsia="zh-CN"/>
              </w:rPr>
              <w:t>S排放限值</w:t>
            </w:r>
          </w:p>
        </w:tc>
      </w:tr>
    </w:tbl>
    <w:p>
      <w:pPr>
        <w:pStyle w:val="30"/>
        <w:rPr>
          <w:rFonts w:hint="default"/>
          <w:lang w:val="en-US" w:eastAsia="zh-CN"/>
        </w:rPr>
      </w:pPr>
    </w:p>
    <w:p>
      <w:pPr>
        <w:bidi w:val="0"/>
        <w:rPr>
          <w:rFonts w:hint="default"/>
          <w:lang w:val="en-US" w:eastAsia="zh-CN"/>
        </w:rPr>
        <w:sectPr>
          <w:pgSz w:w="15840" w:h="12240" w:orient="landscape"/>
          <w:pgMar w:top="1417" w:right="1020" w:bottom="1417" w:left="1020" w:header="720" w:footer="720" w:gutter="0"/>
          <w:pgBorders>
            <w:top w:val="none" w:sz="0" w:space="0"/>
            <w:left w:val="none" w:sz="0" w:space="0"/>
            <w:bottom w:val="none" w:sz="0" w:space="0"/>
            <w:right w:val="none" w:sz="0" w:space="0"/>
          </w:pgBorders>
          <w:lnNumType w:countBy="0" w:distance="360"/>
          <w:pgNumType w:fmt="numberInDash"/>
          <w:cols w:space="720" w:num="1"/>
          <w:docGrid w:type="lines" w:linePitch="312" w:charSpace="0"/>
        </w:sectPr>
      </w:pPr>
    </w:p>
    <w:p>
      <w:pPr>
        <w:pStyle w:val="6"/>
        <w:bidi w:val="0"/>
        <w:rPr>
          <w:rFonts w:hint="default"/>
          <w:lang w:val="en-US" w:eastAsia="zh-CN"/>
        </w:rPr>
      </w:pPr>
      <w:r>
        <w:rPr>
          <w:rFonts w:hint="eastAsia"/>
          <w:lang w:val="en-US" w:eastAsia="zh-CN"/>
        </w:rPr>
        <w:t>食堂油烟</w:t>
      </w:r>
    </w:p>
    <w:p>
      <w:pPr>
        <w:bidi w:val="0"/>
        <w:rPr>
          <w:rFonts w:hint="default"/>
          <w:lang w:val="en-US" w:eastAsia="zh-CN"/>
        </w:rPr>
      </w:pPr>
      <w:r>
        <w:rPr>
          <w:rFonts w:hint="eastAsia"/>
        </w:rPr>
        <w:t>本项目设置有食堂，供项目内员工就餐（</w:t>
      </w:r>
      <w:r>
        <w:rPr>
          <w:rFonts w:hint="eastAsia"/>
          <w:lang w:val="en-US" w:eastAsia="zh-CN"/>
        </w:rPr>
        <w:t>三</w:t>
      </w:r>
      <w:r>
        <w:rPr>
          <w:rFonts w:hint="eastAsia"/>
        </w:rPr>
        <w:t>餐）。本项目劳动定员</w:t>
      </w:r>
      <w:r>
        <w:rPr>
          <w:rFonts w:hint="eastAsia"/>
          <w:lang w:val="en-US" w:eastAsia="zh-CN"/>
        </w:rPr>
        <w:t>50</w:t>
      </w:r>
      <w:r>
        <w:rPr>
          <w:rFonts w:hint="eastAsia"/>
        </w:rPr>
        <w:t>人，就餐人数按</w:t>
      </w:r>
      <w:r>
        <w:rPr>
          <w:rFonts w:hint="eastAsia"/>
          <w:lang w:val="en-US" w:eastAsia="zh-CN"/>
        </w:rPr>
        <w:t>50</w:t>
      </w:r>
      <w:r>
        <w:rPr>
          <w:rFonts w:hint="eastAsia"/>
        </w:rPr>
        <w:t>人计，餐厅规模按</w:t>
      </w:r>
      <w:r>
        <w:rPr>
          <w:rFonts w:hint="eastAsia"/>
          <w:lang w:val="en-US" w:eastAsia="zh-CN"/>
        </w:rPr>
        <w:t>小</w:t>
      </w:r>
      <w:r>
        <w:rPr>
          <w:rFonts w:hint="eastAsia"/>
        </w:rPr>
        <w:t>型计（设</w:t>
      </w:r>
      <w:r>
        <w:rPr>
          <w:rFonts w:hint="eastAsia"/>
          <w:lang w:val="en-US" w:eastAsia="zh-CN"/>
        </w:rPr>
        <w:t>2</w:t>
      </w:r>
      <w:r>
        <w:rPr>
          <w:rFonts w:hint="eastAsia"/>
        </w:rPr>
        <w:t>个灶头）。根据类比调查，一般餐厅的食用油耗油系数为</w:t>
      </w:r>
      <w:r>
        <w:rPr>
          <w:rFonts w:hint="eastAsia"/>
          <w:lang w:val="en-US" w:eastAsia="zh-CN"/>
        </w:rPr>
        <w:t>40</w:t>
      </w:r>
      <w:r>
        <w:rPr>
          <w:rFonts w:hint="default"/>
        </w:rPr>
        <w:t>g/</w:t>
      </w:r>
      <w:r>
        <w:rPr>
          <w:rFonts w:hint="eastAsia"/>
        </w:rPr>
        <w:t>人·餐一般油烟挥发量占总耗油量的</w:t>
      </w:r>
      <w:r>
        <w:rPr>
          <w:rFonts w:hint="default"/>
        </w:rPr>
        <w:t>1~3%</w:t>
      </w:r>
      <w:r>
        <w:rPr>
          <w:rFonts w:hint="eastAsia"/>
        </w:rPr>
        <w:t>，平均为</w:t>
      </w:r>
      <w:r>
        <w:rPr>
          <w:rFonts w:hint="default"/>
        </w:rPr>
        <w:t>2%</w:t>
      </w:r>
      <w:r>
        <w:rPr>
          <w:rFonts w:hint="eastAsia"/>
        </w:rPr>
        <w:t>，则油烟产生量为</w:t>
      </w:r>
      <w:r>
        <w:rPr>
          <w:rFonts w:hint="default"/>
        </w:rPr>
        <w:t>0.0</w:t>
      </w:r>
      <w:r>
        <w:rPr>
          <w:rFonts w:hint="eastAsia"/>
          <w:lang w:val="en-US" w:eastAsia="zh-CN"/>
        </w:rPr>
        <w:t>24</w:t>
      </w:r>
      <w:r>
        <w:rPr>
          <w:rFonts w:hint="default"/>
        </w:rPr>
        <w:t>t/a</w:t>
      </w:r>
      <w:r>
        <w:rPr>
          <w:rFonts w:hint="eastAsia"/>
        </w:rPr>
        <w:t>，餐厅拟安装净化效率为</w:t>
      </w:r>
      <w:r>
        <w:rPr>
          <w:rFonts w:hint="eastAsia"/>
          <w:lang w:val="en-US" w:eastAsia="zh-CN"/>
        </w:rPr>
        <w:t>70</w:t>
      </w:r>
      <w:r>
        <w:rPr>
          <w:rFonts w:hint="default"/>
        </w:rPr>
        <w:t>%</w:t>
      </w:r>
      <w:r>
        <w:rPr>
          <w:rFonts w:hint="eastAsia"/>
        </w:rPr>
        <w:t>，排风量为</w:t>
      </w:r>
      <w:r>
        <w:rPr>
          <w:rFonts w:hint="eastAsia"/>
          <w:lang w:val="en-US" w:eastAsia="zh-CN"/>
        </w:rPr>
        <w:t>2000</w:t>
      </w:r>
      <w:r>
        <w:rPr>
          <w:rFonts w:hint="default"/>
        </w:rPr>
        <w:t>m</w:t>
      </w:r>
      <w:r>
        <w:rPr>
          <w:rFonts w:hint="default"/>
          <w:vertAlign w:val="superscript"/>
        </w:rPr>
        <w:t>3</w:t>
      </w:r>
      <w:r>
        <w:rPr>
          <w:rFonts w:hint="default"/>
        </w:rPr>
        <w:t>/h</w:t>
      </w:r>
      <w:r>
        <w:rPr>
          <w:rFonts w:hint="eastAsia"/>
        </w:rPr>
        <w:t>的油烟净化器，食堂使用时间按</w:t>
      </w:r>
      <w:r>
        <w:rPr>
          <w:rFonts w:hint="default"/>
        </w:rPr>
        <w:t>5h/d</w:t>
      </w:r>
      <w:r>
        <w:rPr>
          <w:rFonts w:hint="eastAsia"/>
        </w:rPr>
        <w:t>计，处理后排放量为</w:t>
      </w:r>
      <w:r>
        <w:rPr>
          <w:rFonts w:hint="default"/>
        </w:rPr>
        <w:t>0.00</w:t>
      </w:r>
      <w:r>
        <w:rPr>
          <w:rFonts w:hint="eastAsia"/>
          <w:lang w:val="en-US" w:eastAsia="zh-CN"/>
        </w:rPr>
        <w:t>36</w:t>
      </w:r>
      <w:r>
        <w:rPr>
          <w:rFonts w:hint="default"/>
        </w:rPr>
        <w:t>t/a</w:t>
      </w:r>
      <w:r>
        <w:rPr>
          <w:rFonts w:hint="eastAsia"/>
        </w:rPr>
        <w:t>，排放浓度为</w:t>
      </w:r>
      <w:r>
        <w:rPr>
          <w:rFonts w:hint="eastAsia"/>
          <w:lang w:val="en-US" w:eastAsia="zh-CN"/>
        </w:rPr>
        <w:t>1.2</w:t>
      </w:r>
      <w:r>
        <w:rPr>
          <w:rFonts w:hint="default"/>
        </w:rPr>
        <w:t>mg/m</w:t>
      </w:r>
      <w:r>
        <w:rPr>
          <w:rFonts w:hint="default"/>
          <w:vertAlign w:val="superscript"/>
        </w:rPr>
        <w:t>3</w:t>
      </w:r>
      <w:r>
        <w:rPr>
          <w:rFonts w:hint="eastAsia"/>
        </w:rPr>
        <w:t>；满足《饮食业油烟排放标准（试行）》（</w:t>
      </w:r>
      <w:r>
        <w:rPr>
          <w:rFonts w:hint="default"/>
        </w:rPr>
        <w:t>GB18483-2001</w:t>
      </w:r>
      <w:r>
        <w:rPr>
          <w:rFonts w:hint="eastAsia"/>
        </w:rPr>
        <w:t>）中油烟最高允许排放浓度的要求，并经油烟道屋顶排放，对当地大气环境影响较小。</w:t>
      </w:r>
    </w:p>
    <w:p>
      <w:pPr>
        <w:pStyle w:val="29"/>
        <w:bidi w:val="0"/>
        <w:rPr>
          <w:rFonts w:hint="eastAsia"/>
          <w:lang w:val="en-US" w:eastAsia="zh-CN"/>
        </w:rPr>
      </w:pPr>
      <w:r>
        <w:rPr>
          <w:rFonts w:hint="eastAsia"/>
          <w:lang w:val="en-US" w:eastAsia="zh-CN"/>
        </w:rPr>
        <w:t>表3.4-10  营运期餐饮油烟排放情况</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8"/>
        <w:gridCol w:w="885"/>
        <w:gridCol w:w="690"/>
        <w:gridCol w:w="915"/>
        <w:gridCol w:w="1080"/>
        <w:gridCol w:w="2235"/>
        <w:gridCol w:w="975"/>
        <w:gridCol w:w="1140"/>
        <w:gridCol w:w="1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478"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序号</w:t>
            </w:r>
          </w:p>
        </w:tc>
        <w:tc>
          <w:tcPr>
            <w:tcW w:w="88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w:t>
            </w:r>
          </w:p>
        </w:tc>
        <w:tc>
          <w:tcPr>
            <w:tcW w:w="69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产生位置</w:t>
            </w:r>
          </w:p>
        </w:tc>
        <w:tc>
          <w:tcPr>
            <w:tcW w:w="91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产生量（t/a）</w:t>
            </w:r>
          </w:p>
        </w:tc>
        <w:tc>
          <w:tcPr>
            <w:tcW w:w="108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产生速率（kg/h）</w:t>
            </w:r>
          </w:p>
        </w:tc>
        <w:tc>
          <w:tcPr>
            <w:tcW w:w="223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处理措施</w:t>
            </w:r>
          </w:p>
        </w:tc>
        <w:tc>
          <w:tcPr>
            <w:tcW w:w="97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排放量（t/a）</w:t>
            </w:r>
          </w:p>
        </w:tc>
        <w:tc>
          <w:tcPr>
            <w:tcW w:w="114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b/>
                <w:bCs/>
                <w:kern w:val="2"/>
                <w:sz w:val="21"/>
                <w:vertAlign w:val="baseline"/>
                <w:lang w:val="en-US" w:eastAsia="zh-CN"/>
              </w:rPr>
            </w:pPr>
            <w:r>
              <w:rPr>
                <w:rFonts w:hint="eastAsia"/>
                <w:b/>
                <w:bCs/>
                <w:vertAlign w:val="baseline"/>
                <w:lang w:val="en-US" w:eastAsia="zh-CN"/>
              </w:rPr>
              <w:t>排放速率（kg/h）</w:t>
            </w:r>
          </w:p>
        </w:tc>
        <w:tc>
          <w:tcPr>
            <w:tcW w:w="1224"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排放浓度（mg/m</w:t>
            </w:r>
            <w:r>
              <w:rPr>
                <w:rFonts w:hint="eastAsia"/>
                <w:b/>
                <w:bCs/>
                <w:vertAlign w:val="superscript"/>
                <w:lang w:val="en-US" w:eastAsia="zh-CN"/>
              </w:rPr>
              <w:t>3</w:t>
            </w:r>
            <w:r>
              <w:rPr>
                <w:rFonts w:hint="eastAsia"/>
                <w:b/>
                <w:bCs/>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88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餐饮油烟</w:t>
            </w:r>
          </w:p>
        </w:tc>
        <w:tc>
          <w:tcPr>
            <w:tcW w:w="6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食堂</w:t>
            </w:r>
          </w:p>
        </w:tc>
        <w:tc>
          <w:tcPr>
            <w:tcW w:w="91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0.024</w:t>
            </w:r>
          </w:p>
        </w:tc>
        <w:tc>
          <w:tcPr>
            <w:tcW w:w="108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0.016</w:t>
            </w:r>
          </w:p>
        </w:tc>
        <w:tc>
          <w:tcPr>
            <w:tcW w:w="2235"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安装净化效率为70%，排风量为</w:t>
            </w:r>
            <w:r>
              <w:rPr>
                <w:rFonts w:hint="eastAsia"/>
                <w:lang w:val="en-US" w:eastAsia="zh-CN"/>
              </w:rPr>
              <w:t>2000</w:t>
            </w:r>
            <w:r>
              <w:rPr>
                <w:rFonts w:hint="default"/>
              </w:rPr>
              <w:t>m</w:t>
            </w:r>
            <w:r>
              <w:rPr>
                <w:rFonts w:hint="default"/>
                <w:vertAlign w:val="superscript"/>
              </w:rPr>
              <w:t>3</w:t>
            </w:r>
            <w:r>
              <w:rPr>
                <w:rFonts w:hint="default"/>
              </w:rPr>
              <w:t>/h</w:t>
            </w:r>
            <w:r>
              <w:rPr>
                <w:rFonts w:hint="eastAsia"/>
                <w:lang w:val="en-US" w:eastAsia="zh-CN"/>
              </w:rPr>
              <w:t>的油烟净化器</w:t>
            </w:r>
          </w:p>
        </w:tc>
        <w:tc>
          <w:tcPr>
            <w:tcW w:w="97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0.0072</w:t>
            </w:r>
          </w:p>
        </w:tc>
        <w:tc>
          <w:tcPr>
            <w:tcW w:w="114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0.0048</w:t>
            </w:r>
          </w:p>
        </w:tc>
        <w:tc>
          <w:tcPr>
            <w:tcW w:w="122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1.2</w:t>
            </w:r>
          </w:p>
        </w:tc>
      </w:tr>
    </w:tbl>
    <w:p>
      <w:pPr>
        <w:pStyle w:val="6"/>
        <w:bidi w:val="0"/>
        <w:rPr>
          <w:rFonts w:hint="default"/>
          <w:lang w:val="en-US" w:eastAsia="zh-CN"/>
        </w:rPr>
      </w:pPr>
      <w:r>
        <w:rPr>
          <w:rFonts w:hint="eastAsia"/>
          <w:lang w:val="en-US" w:eastAsia="zh-CN"/>
        </w:rPr>
        <w:t>备用发电机烟气</w:t>
      </w:r>
    </w:p>
    <w:p>
      <w:pPr>
        <w:bidi w:val="0"/>
        <w:rPr>
          <w:rFonts w:hint="eastAsia"/>
        </w:rPr>
      </w:pPr>
      <w:r>
        <w:rPr>
          <w:rFonts w:hint="eastAsia"/>
        </w:rPr>
        <w:t>本项目拟设置</w:t>
      </w:r>
      <w:r>
        <w:rPr>
          <w:rFonts w:hint="default"/>
        </w:rPr>
        <w:t>1</w:t>
      </w:r>
      <w:r>
        <w:rPr>
          <w:rFonts w:hint="eastAsia"/>
        </w:rPr>
        <w:t>台备用柴油发电机，功率为</w:t>
      </w:r>
      <w:r>
        <w:rPr>
          <w:rFonts w:hint="default"/>
        </w:rPr>
        <w:t>500kw</w:t>
      </w:r>
      <w:r>
        <w:rPr>
          <w:rFonts w:hint="eastAsia"/>
        </w:rPr>
        <w:t>，位于屠宰车间电控房内，停电时</w:t>
      </w:r>
      <w:r>
        <w:rPr>
          <w:rFonts w:hint="default"/>
        </w:rPr>
        <w:t>15</w:t>
      </w:r>
      <w:r>
        <w:rPr>
          <w:rFonts w:hint="eastAsia"/>
        </w:rPr>
        <w:t>秒内自动启动。柴油发电机在使用过程中会产生发电机烟气，其主要成分为</w:t>
      </w:r>
      <w:r>
        <w:rPr>
          <w:rFonts w:hint="default"/>
        </w:rPr>
        <w:t>CO</w:t>
      </w:r>
      <w:r>
        <w:rPr>
          <w:rFonts w:hint="eastAsia"/>
        </w:rPr>
        <w:t>、</w:t>
      </w:r>
      <w:r>
        <w:rPr>
          <w:rFonts w:hint="default"/>
        </w:rPr>
        <w:t>HC</w:t>
      </w:r>
      <w:r>
        <w:rPr>
          <w:rFonts w:hint="eastAsia"/>
        </w:rPr>
        <w:t>、</w:t>
      </w:r>
      <w:r>
        <w:rPr>
          <w:rFonts w:hint="default"/>
        </w:rPr>
        <w:t>NOx</w:t>
      </w:r>
      <w:r>
        <w:rPr>
          <w:rFonts w:hint="eastAsia"/>
        </w:rPr>
        <w:t>，烟气由自身携带的废气净化装置处理后经抽排风系统抽至配电房顶排放。</w:t>
      </w:r>
    </w:p>
    <w:p>
      <w:pPr>
        <w:bidi w:val="0"/>
        <w:rPr>
          <w:rFonts w:hint="eastAsia"/>
        </w:rPr>
      </w:pPr>
      <w:r>
        <w:rPr>
          <w:rFonts w:hint="eastAsia"/>
        </w:rPr>
        <w:t>由于柴油发电机只有在停电时应急使用，因此其产生频率小且具有偶发性，采用措施后完全能够做到达标排放，对周围环境影响很小。</w:t>
      </w:r>
    </w:p>
    <w:p>
      <w:pPr>
        <w:pStyle w:val="6"/>
        <w:bidi w:val="0"/>
        <w:rPr>
          <w:rFonts w:hint="default"/>
          <w:highlight w:val="none"/>
          <w:lang w:val="en-US" w:eastAsia="zh-CN"/>
        </w:rPr>
      </w:pPr>
      <w:r>
        <w:rPr>
          <w:rFonts w:hint="eastAsia"/>
          <w:highlight w:val="none"/>
          <w:lang w:val="en-US" w:eastAsia="zh-CN"/>
        </w:rPr>
        <w:t>锅炉天然气燃烧废气</w:t>
      </w:r>
    </w:p>
    <w:p>
      <w:pPr>
        <w:adjustRightInd w:val="0"/>
        <w:snapToGrid w:val="0"/>
        <w:ind w:firstLine="480"/>
        <w:rPr>
          <w:color w:val="auto"/>
          <w:u w:val="none"/>
        </w:rPr>
      </w:pPr>
      <w:r>
        <w:rPr>
          <w:rFonts w:hint="eastAsia"/>
          <w:highlight w:val="none"/>
          <w:lang w:val="en-US" w:eastAsia="zh-CN"/>
        </w:rPr>
        <w:t>本项目设置两台</w:t>
      </w:r>
      <w:r>
        <w:rPr>
          <w:rFonts w:hint="default"/>
          <w:highlight w:val="none"/>
          <w:vertAlign w:val="baseline"/>
          <w:lang w:val="en-US" w:eastAsia="zh-CN"/>
        </w:rPr>
        <w:t>全自动恒温</w:t>
      </w:r>
      <w:r>
        <w:rPr>
          <w:rFonts w:hint="eastAsia"/>
          <w:highlight w:val="none"/>
          <w:vertAlign w:val="baseline"/>
          <w:lang w:val="en-US" w:eastAsia="zh-CN"/>
        </w:rPr>
        <w:t>锅炉，采用的燃料为天然气，项目天然气使用量为12万</w:t>
      </w:r>
      <w:r>
        <w:rPr>
          <w:color w:val="auto"/>
          <w:u w:val="none"/>
        </w:rPr>
        <w:t>Nm</w:t>
      </w:r>
      <w:r>
        <w:rPr>
          <w:color w:val="auto"/>
          <w:u w:val="none"/>
          <w:vertAlign w:val="superscript"/>
        </w:rPr>
        <w:t>3</w:t>
      </w:r>
      <w:r>
        <w:rPr>
          <w:color w:val="auto"/>
          <w:u w:val="none"/>
        </w:rPr>
        <w:t>/a。产生的废气污染物主要为S</w:t>
      </w:r>
      <w:r>
        <w:rPr>
          <w:rFonts w:hint="eastAsia"/>
          <w:color w:val="auto"/>
          <w:u w:val="none"/>
        </w:rPr>
        <w:t>O</w:t>
      </w:r>
      <w:r>
        <w:rPr>
          <w:color w:val="auto"/>
          <w:u w:val="none"/>
          <w:vertAlign w:val="subscript"/>
        </w:rPr>
        <w:t>2</w:t>
      </w:r>
      <w:r>
        <w:rPr>
          <w:color w:val="auto"/>
          <w:u w:val="none"/>
        </w:rPr>
        <w:t>、NOx、颗粒物。参照</w:t>
      </w:r>
      <w:r>
        <w:rPr>
          <w:rFonts w:hint="eastAsia"/>
          <w:color w:val="auto"/>
          <w:u w:val="none"/>
          <w:lang w:eastAsia="zh-CN"/>
        </w:rPr>
        <w:t>“</w:t>
      </w:r>
      <w:r>
        <w:rPr>
          <w:color w:val="auto"/>
          <w:u w:val="none"/>
        </w:rPr>
        <w:t>《环境保护实用数据手册》（胡名操 主编）及《第一次全国污染源普查 工业污染源产排污系数手册》（第十册）的电力、热力的生产和供应业</w:t>
      </w:r>
      <w:r>
        <w:rPr>
          <w:rFonts w:hint="eastAsia"/>
          <w:color w:val="auto"/>
          <w:u w:val="none"/>
          <w:lang w:eastAsia="zh-CN"/>
        </w:rPr>
        <w:t>”</w:t>
      </w:r>
      <w:r>
        <w:rPr>
          <w:color w:val="auto"/>
          <w:u w:val="none"/>
        </w:rPr>
        <w:t>可知燃烧1万Nm</w:t>
      </w:r>
      <w:r>
        <w:rPr>
          <w:color w:val="auto"/>
          <w:u w:val="none"/>
          <w:vertAlign w:val="superscript"/>
        </w:rPr>
        <w:t>3</w:t>
      </w:r>
      <w:r>
        <w:rPr>
          <w:color w:val="auto"/>
          <w:u w:val="none"/>
        </w:rPr>
        <w:t>天然气工业废气产生量为136259.17Nm</w:t>
      </w:r>
      <w:r>
        <w:rPr>
          <w:color w:val="auto"/>
          <w:u w:val="none"/>
          <w:vertAlign w:val="superscript"/>
        </w:rPr>
        <w:t>3</w:t>
      </w:r>
      <w:r>
        <w:rPr>
          <w:color w:val="auto"/>
          <w:u w:val="none"/>
        </w:rPr>
        <w:t>，S</w:t>
      </w:r>
      <w:r>
        <w:rPr>
          <w:rFonts w:hint="eastAsia"/>
          <w:color w:val="auto"/>
          <w:u w:val="none"/>
        </w:rPr>
        <w:t>O</w:t>
      </w:r>
      <w:r>
        <w:rPr>
          <w:color w:val="auto"/>
          <w:u w:val="none"/>
          <w:vertAlign w:val="subscript"/>
        </w:rPr>
        <w:t>2</w:t>
      </w:r>
      <w:r>
        <w:rPr>
          <w:color w:val="auto"/>
          <w:u w:val="none"/>
        </w:rPr>
        <w:t>产生量为0.02Skg（本次S取</w:t>
      </w:r>
      <w:r>
        <w:rPr>
          <w:rFonts w:hint="eastAsia"/>
          <w:color w:val="auto"/>
          <w:u w:val="none"/>
        </w:rPr>
        <w:t>2</w:t>
      </w:r>
      <w:r>
        <w:rPr>
          <w:color w:val="auto"/>
          <w:u w:val="none"/>
        </w:rPr>
        <w:t>00），NOx产生量为18.71kg，颗粒物产生量为2.4kg。</w:t>
      </w:r>
    </w:p>
    <w:p>
      <w:pPr>
        <w:adjustRightInd w:val="0"/>
        <w:snapToGrid w:val="0"/>
        <w:ind w:firstLine="480"/>
        <w:rPr>
          <w:color w:val="auto"/>
          <w:u w:val="none"/>
        </w:rPr>
      </w:pPr>
      <w:r>
        <w:rPr>
          <w:color w:val="auto"/>
          <w:u w:val="none"/>
        </w:rPr>
        <w:t>天然气废气中各污染物的产生</w:t>
      </w:r>
      <w:r>
        <w:rPr>
          <w:rFonts w:hint="eastAsia"/>
          <w:color w:val="auto"/>
          <w:u w:val="none"/>
        </w:rPr>
        <w:t>排放情况</w:t>
      </w:r>
      <w:r>
        <w:rPr>
          <w:color w:val="auto"/>
          <w:u w:val="none"/>
        </w:rPr>
        <w:t>如下表所示。</w:t>
      </w:r>
    </w:p>
    <w:p>
      <w:pPr>
        <w:pStyle w:val="27"/>
      </w:pPr>
    </w:p>
    <w:p>
      <w:pPr>
        <w:pStyle w:val="27"/>
      </w:pPr>
    </w:p>
    <w:p>
      <w:pPr>
        <w:pStyle w:val="29"/>
        <w:bidi w:val="0"/>
        <w:rPr>
          <w:rFonts w:hint="eastAsia"/>
          <w:lang w:val="en-US" w:eastAsia="zh-CN"/>
        </w:rPr>
      </w:pPr>
      <w:r>
        <w:rPr>
          <w:rFonts w:hint="eastAsia"/>
          <w:lang w:val="en-US" w:eastAsia="zh-CN"/>
        </w:rPr>
        <w:t>表3.4-11  项目天然气废气预测产排量</w:t>
      </w:r>
    </w:p>
    <w:tbl>
      <w:tblPr>
        <w:tblStyle w:val="23"/>
        <w:tblW w:w="4995"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94"/>
        <w:gridCol w:w="1007"/>
        <w:gridCol w:w="967"/>
        <w:gridCol w:w="973"/>
        <w:gridCol w:w="1047"/>
        <w:gridCol w:w="894"/>
        <w:gridCol w:w="1005"/>
        <w:gridCol w:w="1219"/>
        <w:gridCol w:w="1214"/>
        <w:gridCol w:w="63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1" w:type="pct"/>
            <w:vMerge w:val="restart"/>
            <w:tcBorders>
              <w:tl2br w:val="nil"/>
              <w:tr2bl w:val="nil"/>
            </w:tcBorders>
            <w:vAlign w:val="center"/>
          </w:tcPr>
          <w:p>
            <w:pPr>
              <w:pStyle w:val="30"/>
              <w:widowControl w:val="0"/>
              <w:bidi w:val="0"/>
              <w:jc w:val="center"/>
              <w:rPr>
                <w:rFonts w:hint="default"/>
                <w:b/>
                <w:bCs/>
                <w:vertAlign w:val="baseline"/>
                <w:lang w:val="en-US" w:eastAsia="zh-CN"/>
              </w:rPr>
            </w:pPr>
            <w:r>
              <w:rPr>
                <w:rFonts w:hint="eastAsia"/>
                <w:b/>
                <w:bCs/>
                <w:vertAlign w:val="baseline"/>
                <w:lang w:val="en-US" w:eastAsia="zh-CN"/>
              </w:rPr>
              <w:t>序号</w:t>
            </w:r>
          </w:p>
        </w:tc>
        <w:tc>
          <w:tcPr>
            <w:tcW w:w="527" w:type="pct"/>
            <w:vMerge w:val="restart"/>
            <w:tcBorders>
              <w:tl2br w:val="nil"/>
              <w:tr2bl w:val="nil"/>
            </w:tcBorders>
            <w:vAlign w:val="center"/>
          </w:tcPr>
          <w:p>
            <w:pPr>
              <w:pStyle w:val="30"/>
              <w:widowControl w:val="0"/>
              <w:bidi w:val="0"/>
              <w:jc w:val="center"/>
              <w:rPr>
                <w:rFonts w:hint="default"/>
                <w:b/>
                <w:bCs/>
                <w:vertAlign w:val="baseline"/>
                <w:lang w:val="en-US" w:eastAsia="zh-CN"/>
              </w:rPr>
            </w:pPr>
            <w:r>
              <w:rPr>
                <w:rFonts w:hint="eastAsia"/>
                <w:b/>
                <w:bCs/>
                <w:vertAlign w:val="baseline"/>
                <w:lang w:val="en-US" w:eastAsia="zh-CN"/>
              </w:rPr>
              <w:t>污染物</w:t>
            </w:r>
          </w:p>
        </w:tc>
        <w:tc>
          <w:tcPr>
            <w:tcW w:w="1563" w:type="pct"/>
            <w:gridSpan w:val="3"/>
            <w:tcBorders>
              <w:tl2br w:val="nil"/>
              <w:tr2bl w:val="nil"/>
            </w:tcBorders>
            <w:vAlign w:val="center"/>
          </w:tcPr>
          <w:p>
            <w:pPr>
              <w:widowControl w:val="0"/>
              <w:adjustRightInd w:val="0"/>
              <w:snapToGrid w:val="0"/>
              <w:spacing w:line="240" w:lineRule="auto"/>
              <w:ind w:firstLine="422" w:firstLineChars="200"/>
              <w:jc w:val="center"/>
              <w:rPr>
                <w:rFonts w:hint="default"/>
                <w:b/>
                <w:bCs/>
                <w:vertAlign w:val="baseline"/>
                <w:lang w:val="en-US" w:eastAsia="zh-CN"/>
              </w:rPr>
            </w:pPr>
            <w:r>
              <w:rPr>
                <w:b/>
                <w:bCs/>
                <w:sz w:val="21"/>
                <w:szCs w:val="21"/>
              </w:rPr>
              <w:t>产生状况</w:t>
            </w:r>
          </w:p>
        </w:tc>
        <w:tc>
          <w:tcPr>
            <w:tcW w:w="1632" w:type="pct"/>
            <w:gridSpan w:val="3"/>
            <w:tcBorders>
              <w:tl2br w:val="nil"/>
              <w:tr2bl w:val="nil"/>
            </w:tcBorders>
            <w:vAlign w:val="center"/>
          </w:tcPr>
          <w:p>
            <w:pPr>
              <w:widowControl w:val="0"/>
              <w:adjustRightInd w:val="0"/>
              <w:snapToGrid w:val="0"/>
              <w:spacing w:line="240" w:lineRule="auto"/>
              <w:ind w:firstLine="422" w:firstLineChars="200"/>
              <w:jc w:val="center"/>
              <w:rPr>
                <w:rFonts w:hint="default"/>
                <w:b/>
                <w:bCs/>
                <w:vertAlign w:val="baseline"/>
                <w:lang w:val="en-US" w:eastAsia="zh-CN"/>
              </w:rPr>
            </w:pPr>
            <w:r>
              <w:rPr>
                <w:rFonts w:hint="eastAsia"/>
                <w:b/>
                <w:bCs/>
                <w:sz w:val="21"/>
                <w:szCs w:val="21"/>
              </w:rPr>
              <w:t>排放</w:t>
            </w:r>
            <w:r>
              <w:rPr>
                <w:b/>
                <w:bCs/>
                <w:sz w:val="21"/>
                <w:szCs w:val="21"/>
              </w:rPr>
              <w:t>状况</w:t>
            </w:r>
          </w:p>
        </w:tc>
        <w:tc>
          <w:tcPr>
            <w:tcW w:w="635" w:type="pct"/>
            <w:vMerge w:val="restart"/>
            <w:tcBorders>
              <w:tl2br w:val="nil"/>
              <w:tr2bl w:val="nil"/>
            </w:tcBorders>
            <w:vAlign w:val="center"/>
          </w:tcPr>
          <w:p>
            <w:pPr>
              <w:widowControl w:val="0"/>
              <w:adjustRightInd w:val="0"/>
              <w:snapToGrid w:val="0"/>
              <w:spacing w:line="240" w:lineRule="auto"/>
              <w:ind w:firstLine="0" w:firstLineChars="0"/>
              <w:jc w:val="center"/>
              <w:rPr>
                <w:b/>
                <w:bCs/>
                <w:sz w:val="21"/>
                <w:szCs w:val="21"/>
              </w:rPr>
            </w:pPr>
            <w:r>
              <w:rPr>
                <w:b/>
                <w:bCs/>
                <w:sz w:val="21"/>
                <w:szCs w:val="21"/>
              </w:rPr>
              <w:t>执行标准</w:t>
            </w:r>
          </w:p>
          <w:p>
            <w:pPr>
              <w:widowControl w:val="0"/>
              <w:adjustRightInd w:val="0"/>
              <w:snapToGrid w:val="0"/>
              <w:spacing w:line="240" w:lineRule="auto"/>
              <w:ind w:firstLine="0" w:firstLineChars="0"/>
              <w:jc w:val="center"/>
              <w:rPr>
                <w:rFonts w:hint="default"/>
                <w:b/>
                <w:bCs/>
                <w:vertAlign w:val="baseline"/>
                <w:lang w:val="en-US" w:eastAsia="zh-CN"/>
              </w:rPr>
            </w:pPr>
            <w:r>
              <w:rPr>
                <w:b/>
                <w:bCs/>
                <w:sz w:val="21"/>
                <w:szCs w:val="21"/>
              </w:rPr>
              <w:t>mg/m</w:t>
            </w:r>
            <w:r>
              <w:rPr>
                <w:b/>
                <w:bCs/>
                <w:sz w:val="21"/>
                <w:szCs w:val="21"/>
                <w:vertAlign w:val="superscript"/>
              </w:rPr>
              <w:t>3</w:t>
            </w:r>
          </w:p>
        </w:tc>
        <w:tc>
          <w:tcPr>
            <w:tcW w:w="328" w:type="pct"/>
            <w:vMerge w:val="restart"/>
            <w:tcBorders>
              <w:tl2br w:val="nil"/>
              <w:tr2bl w:val="nil"/>
            </w:tcBorders>
            <w:vAlign w:val="center"/>
          </w:tcPr>
          <w:p>
            <w:pPr>
              <w:widowControl w:val="0"/>
              <w:adjustRightInd w:val="0"/>
              <w:snapToGrid w:val="0"/>
              <w:spacing w:line="240" w:lineRule="auto"/>
              <w:ind w:firstLine="0" w:firstLineChars="0"/>
              <w:jc w:val="center"/>
              <w:rPr>
                <w:rFonts w:hint="default"/>
                <w:b/>
                <w:bCs/>
                <w:vertAlign w:val="baseline"/>
                <w:lang w:val="en-US" w:eastAsia="zh-CN"/>
              </w:rPr>
            </w:pPr>
            <w:r>
              <w:rPr>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1" w:type="pct"/>
            <w:vMerge w:val="continue"/>
            <w:tcBorders>
              <w:tl2br w:val="nil"/>
              <w:tr2bl w:val="nil"/>
            </w:tcBorders>
            <w:vAlign w:val="center"/>
          </w:tcPr>
          <w:p>
            <w:pPr>
              <w:pStyle w:val="30"/>
              <w:widowControl w:val="0"/>
              <w:bidi w:val="0"/>
              <w:jc w:val="center"/>
              <w:rPr>
                <w:rFonts w:hint="default"/>
                <w:vertAlign w:val="baseline"/>
                <w:lang w:val="en-US" w:eastAsia="zh-CN"/>
              </w:rPr>
            </w:pPr>
          </w:p>
        </w:tc>
        <w:tc>
          <w:tcPr>
            <w:tcW w:w="527" w:type="pct"/>
            <w:vMerge w:val="continue"/>
            <w:tcBorders>
              <w:tl2br w:val="nil"/>
              <w:tr2bl w:val="nil"/>
            </w:tcBorders>
            <w:vAlign w:val="center"/>
          </w:tcPr>
          <w:p>
            <w:pPr>
              <w:pStyle w:val="30"/>
              <w:widowControl w:val="0"/>
              <w:bidi w:val="0"/>
              <w:jc w:val="center"/>
              <w:rPr>
                <w:rFonts w:hint="default"/>
                <w:vertAlign w:val="baseline"/>
                <w:lang w:val="en-US" w:eastAsia="zh-CN"/>
              </w:rPr>
            </w:pPr>
          </w:p>
        </w:tc>
        <w:tc>
          <w:tcPr>
            <w:tcW w:w="506" w:type="pct"/>
            <w:tcBorders>
              <w:tl2br w:val="nil"/>
              <w:tr2bl w:val="nil"/>
            </w:tcBorders>
            <w:vAlign w:val="center"/>
          </w:tcPr>
          <w:p>
            <w:pPr>
              <w:widowControl w:val="0"/>
              <w:adjustRightInd w:val="0"/>
              <w:snapToGrid w:val="0"/>
              <w:spacing w:line="240" w:lineRule="auto"/>
              <w:ind w:firstLine="0" w:firstLineChars="0"/>
              <w:jc w:val="center"/>
              <w:rPr>
                <w:rFonts w:hint="default"/>
                <w:vertAlign w:val="baseline"/>
                <w:lang w:val="en-US" w:eastAsia="zh-CN"/>
              </w:rPr>
            </w:pPr>
            <w:r>
              <w:rPr>
                <w:b/>
                <w:sz w:val="21"/>
                <w:szCs w:val="21"/>
              </w:rPr>
              <w:t>产生量t/a</w:t>
            </w:r>
          </w:p>
        </w:tc>
        <w:tc>
          <w:tcPr>
            <w:tcW w:w="509" w:type="pct"/>
            <w:tcBorders>
              <w:tl2br w:val="nil"/>
              <w:tr2bl w:val="nil"/>
            </w:tcBorders>
            <w:vAlign w:val="center"/>
          </w:tcPr>
          <w:p>
            <w:pPr>
              <w:widowControl w:val="0"/>
              <w:adjustRightInd w:val="0"/>
              <w:snapToGrid w:val="0"/>
              <w:spacing w:line="240" w:lineRule="auto"/>
              <w:ind w:firstLine="0" w:firstLineChars="0"/>
              <w:jc w:val="center"/>
              <w:rPr>
                <w:rFonts w:hint="default"/>
                <w:vertAlign w:val="baseline"/>
                <w:lang w:val="en-US" w:eastAsia="zh-CN"/>
              </w:rPr>
            </w:pPr>
            <w:r>
              <w:rPr>
                <w:b/>
                <w:sz w:val="21"/>
                <w:szCs w:val="21"/>
              </w:rPr>
              <w:t>产生速率kg/h</w:t>
            </w:r>
          </w:p>
        </w:tc>
        <w:tc>
          <w:tcPr>
            <w:tcW w:w="547" w:type="pct"/>
            <w:tcBorders>
              <w:tl2br w:val="nil"/>
              <w:tr2bl w:val="nil"/>
            </w:tcBorders>
            <w:vAlign w:val="center"/>
          </w:tcPr>
          <w:p>
            <w:pPr>
              <w:widowControl w:val="0"/>
              <w:adjustRightInd w:val="0"/>
              <w:snapToGrid w:val="0"/>
              <w:spacing w:line="240" w:lineRule="auto"/>
              <w:ind w:firstLine="0" w:firstLineChars="0"/>
              <w:jc w:val="center"/>
              <w:rPr>
                <w:rFonts w:hint="default"/>
                <w:vertAlign w:val="baseline"/>
                <w:lang w:val="en-US" w:eastAsia="zh-CN"/>
              </w:rPr>
            </w:pPr>
            <w:r>
              <w:rPr>
                <w:b/>
                <w:sz w:val="21"/>
                <w:szCs w:val="21"/>
              </w:rPr>
              <w:t>产生浓度mg/m</w:t>
            </w:r>
            <w:r>
              <w:rPr>
                <w:b/>
                <w:sz w:val="21"/>
                <w:szCs w:val="21"/>
                <w:vertAlign w:val="superscript"/>
              </w:rPr>
              <w:t>3</w:t>
            </w:r>
          </w:p>
        </w:tc>
        <w:tc>
          <w:tcPr>
            <w:tcW w:w="468" w:type="pct"/>
            <w:tcBorders>
              <w:tl2br w:val="nil"/>
              <w:tr2bl w:val="nil"/>
            </w:tcBorders>
            <w:vAlign w:val="center"/>
          </w:tcPr>
          <w:p>
            <w:pPr>
              <w:widowControl w:val="0"/>
              <w:adjustRightInd w:val="0"/>
              <w:snapToGrid w:val="0"/>
              <w:spacing w:line="240" w:lineRule="auto"/>
              <w:ind w:firstLine="0" w:firstLineChars="0"/>
              <w:jc w:val="center"/>
              <w:rPr>
                <w:rFonts w:hint="default"/>
                <w:vertAlign w:val="baseline"/>
                <w:lang w:val="en-US" w:eastAsia="zh-CN"/>
              </w:rPr>
            </w:pPr>
            <w:r>
              <w:rPr>
                <w:rFonts w:hint="eastAsia"/>
                <w:b/>
                <w:sz w:val="21"/>
                <w:szCs w:val="21"/>
              </w:rPr>
              <w:t>排放</w:t>
            </w:r>
            <w:r>
              <w:rPr>
                <w:b/>
                <w:sz w:val="21"/>
                <w:szCs w:val="21"/>
              </w:rPr>
              <w:t>量t/a</w:t>
            </w:r>
          </w:p>
        </w:tc>
        <w:tc>
          <w:tcPr>
            <w:tcW w:w="526" w:type="pct"/>
            <w:tcBorders>
              <w:tl2br w:val="nil"/>
              <w:tr2bl w:val="nil"/>
            </w:tcBorders>
            <w:vAlign w:val="center"/>
          </w:tcPr>
          <w:p>
            <w:pPr>
              <w:widowControl w:val="0"/>
              <w:adjustRightInd w:val="0"/>
              <w:snapToGrid w:val="0"/>
              <w:spacing w:line="240" w:lineRule="auto"/>
              <w:ind w:firstLine="0" w:firstLineChars="0"/>
              <w:jc w:val="center"/>
              <w:rPr>
                <w:rFonts w:hint="default"/>
                <w:vertAlign w:val="baseline"/>
                <w:lang w:val="en-US" w:eastAsia="zh-CN"/>
              </w:rPr>
            </w:pPr>
            <w:r>
              <w:rPr>
                <w:rFonts w:hint="eastAsia"/>
                <w:b/>
                <w:sz w:val="21"/>
                <w:szCs w:val="21"/>
              </w:rPr>
              <w:t>排放</w:t>
            </w:r>
            <w:r>
              <w:rPr>
                <w:b/>
                <w:sz w:val="21"/>
                <w:szCs w:val="21"/>
              </w:rPr>
              <w:t>速率kg/h</w:t>
            </w:r>
          </w:p>
        </w:tc>
        <w:tc>
          <w:tcPr>
            <w:tcW w:w="637" w:type="pct"/>
            <w:tcBorders>
              <w:tl2br w:val="nil"/>
              <w:tr2bl w:val="nil"/>
            </w:tcBorders>
            <w:vAlign w:val="center"/>
          </w:tcPr>
          <w:p>
            <w:pPr>
              <w:widowControl w:val="0"/>
              <w:adjustRightInd w:val="0"/>
              <w:snapToGrid w:val="0"/>
              <w:spacing w:line="240" w:lineRule="auto"/>
              <w:ind w:firstLine="0" w:firstLineChars="0"/>
              <w:jc w:val="center"/>
              <w:rPr>
                <w:rFonts w:hint="default"/>
                <w:vertAlign w:val="baseline"/>
                <w:lang w:val="en-US" w:eastAsia="zh-CN"/>
              </w:rPr>
            </w:pPr>
            <w:r>
              <w:rPr>
                <w:rFonts w:hint="eastAsia"/>
                <w:b/>
                <w:sz w:val="21"/>
                <w:szCs w:val="21"/>
              </w:rPr>
              <w:t>排放</w:t>
            </w:r>
            <w:r>
              <w:rPr>
                <w:b/>
                <w:sz w:val="21"/>
                <w:szCs w:val="21"/>
              </w:rPr>
              <w:t>浓度mg/m</w:t>
            </w:r>
            <w:r>
              <w:rPr>
                <w:b/>
                <w:sz w:val="21"/>
                <w:szCs w:val="21"/>
                <w:vertAlign w:val="superscript"/>
              </w:rPr>
              <w:t>3</w:t>
            </w:r>
          </w:p>
        </w:tc>
        <w:tc>
          <w:tcPr>
            <w:tcW w:w="635" w:type="pct"/>
            <w:vMerge w:val="continue"/>
            <w:tcBorders>
              <w:tl2br w:val="nil"/>
              <w:tr2bl w:val="nil"/>
            </w:tcBorders>
            <w:vAlign w:val="center"/>
          </w:tcPr>
          <w:p>
            <w:pPr>
              <w:pStyle w:val="30"/>
              <w:widowControl w:val="0"/>
              <w:bidi w:val="0"/>
              <w:jc w:val="center"/>
              <w:rPr>
                <w:rFonts w:hint="default"/>
                <w:vertAlign w:val="baseline"/>
                <w:lang w:val="en-US" w:eastAsia="zh-CN"/>
              </w:rPr>
            </w:pPr>
          </w:p>
        </w:tc>
        <w:tc>
          <w:tcPr>
            <w:tcW w:w="328" w:type="pct"/>
            <w:vMerge w:val="continue"/>
            <w:tcBorders>
              <w:tl2br w:val="nil"/>
              <w:tr2bl w:val="nil"/>
            </w:tcBorders>
            <w:vAlign w:val="center"/>
          </w:tcPr>
          <w:p>
            <w:pPr>
              <w:pStyle w:val="30"/>
              <w:widowControl w:val="0"/>
              <w:bidi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1"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sz w:val="21"/>
                <w:szCs w:val="21"/>
              </w:rPr>
              <w:t>1</w:t>
            </w:r>
          </w:p>
        </w:tc>
        <w:tc>
          <w:tcPr>
            <w:tcW w:w="527"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sz w:val="21"/>
                <w:szCs w:val="21"/>
              </w:rPr>
              <w:t>SO</w:t>
            </w:r>
            <w:r>
              <w:rPr>
                <w:sz w:val="21"/>
                <w:szCs w:val="21"/>
                <w:vertAlign w:val="subscript"/>
              </w:rPr>
              <w:t>2</w:t>
            </w:r>
          </w:p>
        </w:tc>
        <w:tc>
          <w:tcPr>
            <w:tcW w:w="506"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0.048</w:t>
            </w:r>
          </w:p>
        </w:tc>
        <w:tc>
          <w:tcPr>
            <w:tcW w:w="509"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0.02</w:t>
            </w:r>
          </w:p>
        </w:tc>
        <w:tc>
          <w:tcPr>
            <w:tcW w:w="547"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24</w:t>
            </w:r>
          </w:p>
        </w:tc>
        <w:tc>
          <w:tcPr>
            <w:tcW w:w="468"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0.048</w:t>
            </w:r>
          </w:p>
        </w:tc>
        <w:tc>
          <w:tcPr>
            <w:tcW w:w="526"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0.02</w:t>
            </w:r>
          </w:p>
        </w:tc>
        <w:tc>
          <w:tcPr>
            <w:tcW w:w="637"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24</w:t>
            </w:r>
          </w:p>
        </w:tc>
        <w:tc>
          <w:tcPr>
            <w:tcW w:w="635" w:type="pct"/>
            <w:tcBorders>
              <w:tl2br w:val="nil"/>
              <w:tr2bl w:val="nil"/>
            </w:tcBorders>
            <w:vAlign w:val="center"/>
          </w:tcPr>
          <w:p>
            <w:pPr>
              <w:pStyle w:val="30"/>
              <w:widowControl w:val="0"/>
              <w:bidi w:val="0"/>
              <w:jc w:val="center"/>
              <w:rPr>
                <w:rFonts w:hint="default"/>
                <w:vertAlign w:val="baseline"/>
                <w:lang w:val="en-US" w:eastAsia="zh-CN"/>
              </w:rPr>
            </w:pPr>
            <w:r>
              <w:rPr>
                <w:rFonts w:hint="eastAsia"/>
                <w:vertAlign w:val="baseline"/>
                <w:lang w:val="en-US" w:eastAsia="zh-CN"/>
              </w:rPr>
              <w:t>50</w:t>
            </w:r>
          </w:p>
        </w:tc>
        <w:tc>
          <w:tcPr>
            <w:tcW w:w="328" w:type="pct"/>
            <w:tcBorders>
              <w:tl2br w:val="nil"/>
              <w:tr2bl w:val="nil"/>
            </w:tcBorders>
            <w:vAlign w:val="center"/>
          </w:tcPr>
          <w:p>
            <w:pPr>
              <w:pStyle w:val="30"/>
              <w:widowControl w:val="0"/>
              <w:bidi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1"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sz w:val="21"/>
                <w:szCs w:val="21"/>
              </w:rPr>
              <w:t>2</w:t>
            </w:r>
          </w:p>
        </w:tc>
        <w:tc>
          <w:tcPr>
            <w:tcW w:w="527"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sz w:val="21"/>
                <w:szCs w:val="21"/>
              </w:rPr>
              <w:t>NOx</w:t>
            </w:r>
          </w:p>
        </w:tc>
        <w:tc>
          <w:tcPr>
            <w:tcW w:w="506"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0.213</w:t>
            </w:r>
          </w:p>
        </w:tc>
        <w:tc>
          <w:tcPr>
            <w:tcW w:w="509"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0.089</w:t>
            </w:r>
          </w:p>
        </w:tc>
        <w:tc>
          <w:tcPr>
            <w:tcW w:w="547"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106.5</w:t>
            </w:r>
          </w:p>
        </w:tc>
        <w:tc>
          <w:tcPr>
            <w:tcW w:w="468"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0.213</w:t>
            </w:r>
          </w:p>
        </w:tc>
        <w:tc>
          <w:tcPr>
            <w:tcW w:w="526"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0.089</w:t>
            </w:r>
          </w:p>
        </w:tc>
        <w:tc>
          <w:tcPr>
            <w:tcW w:w="637"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106.5</w:t>
            </w:r>
          </w:p>
        </w:tc>
        <w:tc>
          <w:tcPr>
            <w:tcW w:w="635" w:type="pct"/>
            <w:tcBorders>
              <w:tl2br w:val="nil"/>
              <w:tr2bl w:val="nil"/>
            </w:tcBorders>
            <w:vAlign w:val="center"/>
          </w:tcPr>
          <w:p>
            <w:pPr>
              <w:pStyle w:val="30"/>
              <w:widowControl w:val="0"/>
              <w:bidi w:val="0"/>
              <w:jc w:val="center"/>
              <w:rPr>
                <w:rFonts w:hint="default"/>
                <w:vertAlign w:val="baseline"/>
                <w:lang w:val="en-US" w:eastAsia="zh-CN"/>
              </w:rPr>
            </w:pPr>
            <w:r>
              <w:rPr>
                <w:rFonts w:hint="eastAsia"/>
                <w:vertAlign w:val="baseline"/>
                <w:lang w:val="en-US" w:eastAsia="zh-CN"/>
              </w:rPr>
              <w:t>200</w:t>
            </w:r>
          </w:p>
        </w:tc>
        <w:tc>
          <w:tcPr>
            <w:tcW w:w="328" w:type="pct"/>
            <w:tcBorders>
              <w:tl2br w:val="nil"/>
              <w:tr2bl w:val="nil"/>
            </w:tcBorders>
            <w:vAlign w:val="center"/>
          </w:tcPr>
          <w:p>
            <w:pPr>
              <w:pStyle w:val="30"/>
              <w:widowControl w:val="0"/>
              <w:bidi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11"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sz w:val="21"/>
                <w:szCs w:val="21"/>
              </w:rPr>
              <w:t>3</w:t>
            </w:r>
          </w:p>
        </w:tc>
        <w:tc>
          <w:tcPr>
            <w:tcW w:w="527"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sz w:val="21"/>
                <w:szCs w:val="21"/>
              </w:rPr>
              <w:t>颗粒物</w:t>
            </w:r>
          </w:p>
        </w:tc>
        <w:tc>
          <w:tcPr>
            <w:tcW w:w="506"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0.029</w:t>
            </w:r>
          </w:p>
        </w:tc>
        <w:tc>
          <w:tcPr>
            <w:tcW w:w="509"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0.012</w:t>
            </w:r>
          </w:p>
        </w:tc>
        <w:tc>
          <w:tcPr>
            <w:tcW w:w="547"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14.5</w:t>
            </w:r>
          </w:p>
        </w:tc>
        <w:tc>
          <w:tcPr>
            <w:tcW w:w="468"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0.029</w:t>
            </w:r>
          </w:p>
        </w:tc>
        <w:tc>
          <w:tcPr>
            <w:tcW w:w="526"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0.012</w:t>
            </w:r>
          </w:p>
        </w:tc>
        <w:tc>
          <w:tcPr>
            <w:tcW w:w="637" w:type="pct"/>
            <w:tcBorders>
              <w:tl2br w:val="nil"/>
              <w:tr2bl w:val="nil"/>
            </w:tcBorders>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14.5</w:t>
            </w:r>
          </w:p>
        </w:tc>
        <w:tc>
          <w:tcPr>
            <w:tcW w:w="635" w:type="pct"/>
            <w:tcBorders>
              <w:tl2br w:val="nil"/>
              <w:tr2bl w:val="nil"/>
            </w:tcBorders>
            <w:vAlign w:val="center"/>
          </w:tcPr>
          <w:p>
            <w:pPr>
              <w:pStyle w:val="30"/>
              <w:widowControl w:val="0"/>
              <w:bidi w:val="0"/>
              <w:jc w:val="center"/>
              <w:rPr>
                <w:rFonts w:hint="default"/>
                <w:vertAlign w:val="baseline"/>
                <w:lang w:val="en-US" w:eastAsia="zh-CN"/>
              </w:rPr>
            </w:pPr>
            <w:r>
              <w:rPr>
                <w:rFonts w:hint="eastAsia"/>
                <w:vertAlign w:val="baseline"/>
                <w:lang w:val="en-US" w:eastAsia="zh-CN"/>
              </w:rPr>
              <w:t>20</w:t>
            </w:r>
          </w:p>
        </w:tc>
        <w:tc>
          <w:tcPr>
            <w:tcW w:w="328" w:type="pct"/>
            <w:tcBorders>
              <w:tl2br w:val="nil"/>
              <w:tr2bl w:val="nil"/>
            </w:tcBorders>
            <w:vAlign w:val="center"/>
          </w:tcPr>
          <w:p>
            <w:pPr>
              <w:pStyle w:val="30"/>
              <w:widowControl w:val="0"/>
              <w:bidi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5000" w:type="pct"/>
            <w:gridSpan w:val="10"/>
            <w:tcBorders>
              <w:tl2br w:val="nil"/>
              <w:tr2bl w:val="nil"/>
            </w:tcBorders>
            <w:vAlign w:val="center"/>
          </w:tcPr>
          <w:p>
            <w:pPr>
              <w:pStyle w:val="30"/>
              <w:widowControl w:val="0"/>
              <w:bidi w:val="0"/>
              <w:jc w:val="both"/>
              <w:rPr>
                <w:rFonts w:hint="default"/>
                <w:vertAlign w:val="baseline"/>
                <w:lang w:val="en-US" w:eastAsia="zh-CN"/>
              </w:rPr>
            </w:pPr>
            <w:r>
              <w:rPr>
                <w:rFonts w:hint="eastAsia"/>
                <w:vertAlign w:val="baseline"/>
                <w:lang w:val="en-US" w:eastAsia="zh-CN"/>
              </w:rPr>
              <w:t>注：燃烧废气执行《锅炉大气污染物排放标准》（GB 13271-2014）中表2标准</w:t>
            </w:r>
          </w:p>
        </w:tc>
      </w:tr>
    </w:tbl>
    <w:p>
      <w:pPr>
        <w:ind w:firstLine="480"/>
      </w:pPr>
      <w:r>
        <w:rPr>
          <w:rFonts w:hint="eastAsia"/>
          <w:lang w:val="en-US" w:eastAsia="zh-CN"/>
        </w:rPr>
        <w:t>本项目</w:t>
      </w:r>
      <w:r>
        <w:rPr>
          <w:rFonts w:hint="eastAsia"/>
        </w:rPr>
        <w:t>设备</w:t>
      </w:r>
      <w:r>
        <w:rPr>
          <w:rFonts w:hint="eastAsia"/>
          <w:lang w:val="en-US" w:eastAsia="zh-CN"/>
        </w:rPr>
        <w:t>设置于屠宰车间楼顶，两台设备共用一根排气筒至楼顶排放（h=8m），</w:t>
      </w:r>
      <w:r>
        <w:rPr>
          <w:rFonts w:hint="eastAsia"/>
        </w:rPr>
        <w:t>燃烧后的废气直接通过排气筒排</w:t>
      </w:r>
      <w:r>
        <w:rPr>
          <w:rFonts w:hint="eastAsia"/>
          <w:lang w:val="en-US" w:eastAsia="zh-CN"/>
        </w:rPr>
        <w:t>出</w:t>
      </w:r>
      <w:r>
        <w:rPr>
          <w:rFonts w:hint="eastAsia"/>
        </w:rPr>
        <w:t>。</w:t>
      </w:r>
    </w:p>
    <w:p>
      <w:pPr>
        <w:bidi w:val="0"/>
        <w:rPr>
          <w:rFonts w:hint="default" w:eastAsia="宋体"/>
          <w:highlight w:val="none"/>
          <w:lang w:val="en-US" w:eastAsia="zh-CN"/>
        </w:rPr>
      </w:pPr>
      <w:r>
        <w:rPr>
          <w:rFonts w:hint="eastAsia"/>
          <w:highlight w:val="none"/>
          <w:lang w:val="en-US" w:eastAsia="zh-CN"/>
        </w:rPr>
        <w:t>天然气属清洁能源，产生的燃烧废气，对周边环境影响较小，项目采取增强厂区绿化，排气筒设置远离居民敏感点，采取上述措施后，天然气产生的燃烧废气影响较小。</w:t>
      </w:r>
    </w:p>
    <w:p>
      <w:pPr>
        <w:pStyle w:val="5"/>
        <w:bidi w:val="0"/>
        <w:rPr>
          <w:rFonts w:hint="default"/>
          <w:lang w:val="en-US" w:eastAsia="zh-CN"/>
        </w:rPr>
      </w:pPr>
      <w:r>
        <w:rPr>
          <w:rFonts w:hint="eastAsia"/>
          <w:lang w:val="en-US" w:eastAsia="zh-CN"/>
        </w:rPr>
        <w:t>噪声排放和治理措施</w:t>
      </w:r>
    </w:p>
    <w:p>
      <w:pPr>
        <w:spacing w:beforeLines="0" w:afterLines="0"/>
        <w:jc w:val="left"/>
        <w:rPr>
          <w:rFonts w:hint="default"/>
          <w:lang w:val="en-US" w:eastAsia="zh-CN"/>
        </w:rPr>
      </w:pPr>
      <w:r>
        <w:rPr>
          <w:rFonts w:hint="eastAsia" w:ascii="宋体" w:hAnsi="宋体" w:eastAsia="宋体"/>
          <w:sz w:val="24"/>
        </w:rPr>
        <w:t>本项目噪声源主要为</w:t>
      </w:r>
      <w:r>
        <w:rPr>
          <w:rFonts w:hint="eastAsia" w:ascii="宋体" w:hAnsi="宋体"/>
          <w:sz w:val="24"/>
          <w:lang w:eastAsia="zh-CN"/>
        </w:rPr>
        <w:t>待宰圈</w:t>
      </w:r>
      <w:r>
        <w:rPr>
          <w:rFonts w:hint="eastAsia" w:ascii="宋体" w:hAnsi="宋体" w:eastAsia="宋体"/>
          <w:sz w:val="24"/>
        </w:rPr>
        <w:t>猪叫声、</w:t>
      </w:r>
      <w:r>
        <w:rPr>
          <w:rFonts w:hint="eastAsia" w:ascii="宋体" w:hAnsi="宋体"/>
          <w:sz w:val="24"/>
          <w:lang w:val="en-US" w:eastAsia="zh-CN"/>
        </w:rPr>
        <w:t>牛叫声、</w:t>
      </w:r>
      <w:r>
        <w:rPr>
          <w:rFonts w:hint="eastAsia" w:ascii="宋体" w:hAnsi="宋体" w:eastAsia="宋体"/>
          <w:sz w:val="24"/>
        </w:rPr>
        <w:t>屠宰车间生产设备及辅助设备噪声，运输车辆产生的噪声。</w:t>
      </w:r>
    </w:p>
    <w:p>
      <w:pPr>
        <w:pStyle w:val="6"/>
        <w:bidi w:val="0"/>
        <w:rPr>
          <w:rFonts w:hint="default"/>
          <w:lang w:val="en-US" w:eastAsia="zh-CN"/>
        </w:rPr>
      </w:pPr>
      <w:r>
        <w:rPr>
          <w:rFonts w:hint="eastAsia"/>
          <w:lang w:val="en-US" w:eastAsia="zh-CN"/>
        </w:rPr>
        <w:t>动物叫声及治理措施</w:t>
      </w:r>
    </w:p>
    <w:p>
      <w:pPr>
        <w:spacing w:beforeLines="0" w:afterLines="0"/>
        <w:jc w:val="left"/>
        <w:rPr>
          <w:rFonts w:hint="default"/>
          <w:lang w:val="en-US" w:eastAsia="zh-CN"/>
        </w:rPr>
      </w:pPr>
      <w:r>
        <w:rPr>
          <w:rFonts w:hint="eastAsia" w:ascii="宋体" w:hAnsi="宋体" w:eastAsia="宋体"/>
          <w:sz w:val="24"/>
        </w:rPr>
        <w:t>由于项目宰杀采用电麻技术，因此在宰杀过程中不会产生</w:t>
      </w:r>
      <w:r>
        <w:rPr>
          <w:rFonts w:hint="eastAsia" w:ascii="宋体" w:hAnsi="宋体"/>
          <w:sz w:val="24"/>
          <w:lang w:val="en-US" w:eastAsia="zh-CN"/>
        </w:rPr>
        <w:t>动物</w:t>
      </w:r>
      <w:r>
        <w:rPr>
          <w:rFonts w:hint="eastAsia" w:ascii="宋体" w:hAnsi="宋体" w:eastAsia="宋体"/>
          <w:sz w:val="24"/>
        </w:rPr>
        <w:t>叫声，</w:t>
      </w:r>
      <w:r>
        <w:rPr>
          <w:rFonts w:hint="eastAsia" w:ascii="宋体" w:hAnsi="宋体"/>
          <w:sz w:val="24"/>
          <w:lang w:val="en-US" w:eastAsia="zh-CN"/>
        </w:rPr>
        <w:t>动物</w:t>
      </w:r>
      <w:r>
        <w:rPr>
          <w:rFonts w:hint="eastAsia" w:ascii="宋体" w:hAnsi="宋体" w:eastAsia="宋体"/>
          <w:sz w:val="24"/>
        </w:rPr>
        <w:t>叫声主要产生于生猪</w:t>
      </w:r>
      <w:r>
        <w:rPr>
          <w:rFonts w:hint="eastAsia" w:ascii="宋体" w:hAnsi="宋体"/>
          <w:sz w:val="24"/>
          <w:lang w:val="en-US" w:eastAsia="zh-CN"/>
        </w:rPr>
        <w:t>和肉牛</w:t>
      </w:r>
      <w:r>
        <w:rPr>
          <w:rFonts w:hint="eastAsia" w:ascii="宋体" w:hAnsi="宋体" w:eastAsia="宋体"/>
          <w:sz w:val="24"/>
        </w:rPr>
        <w:t>卸载及静养期间，根据类比调查，</w:t>
      </w:r>
      <w:r>
        <w:rPr>
          <w:rFonts w:hint="eastAsia" w:ascii="宋体" w:hAnsi="宋体"/>
          <w:sz w:val="24"/>
          <w:lang w:val="en-US" w:eastAsia="zh-CN"/>
        </w:rPr>
        <w:t>动物</w:t>
      </w:r>
      <w:r>
        <w:rPr>
          <w:rFonts w:hint="eastAsia" w:ascii="宋体" w:hAnsi="宋体" w:eastAsia="宋体"/>
          <w:sz w:val="24"/>
        </w:rPr>
        <w:t>卸载时，叫声产生的噪声值在</w:t>
      </w:r>
      <w:r>
        <w:rPr>
          <w:rFonts w:hint="eastAsia" w:ascii="Times New Roman" w:hAnsi="Times New Roman"/>
          <w:sz w:val="24"/>
          <w:lang w:val="en-US" w:eastAsia="zh-CN"/>
        </w:rPr>
        <w:t>80</w:t>
      </w:r>
      <w:r>
        <w:rPr>
          <w:rFonts w:hint="default" w:ascii="Times New Roman" w:hAnsi="Times New Roman" w:eastAsia="Times New Roman"/>
          <w:sz w:val="24"/>
        </w:rPr>
        <w:t>dB</w:t>
      </w:r>
      <w:r>
        <w:rPr>
          <w:rFonts w:hint="eastAsia" w:ascii="宋体" w:hAnsi="宋体" w:eastAsia="宋体"/>
          <w:sz w:val="24"/>
        </w:rPr>
        <w:t>（</w:t>
      </w:r>
      <w:r>
        <w:rPr>
          <w:rFonts w:hint="default" w:ascii="Times New Roman" w:hAnsi="Times New Roman" w:eastAsia="Times New Roman"/>
          <w:sz w:val="24"/>
        </w:rPr>
        <w:t>A</w:t>
      </w:r>
      <w:r>
        <w:rPr>
          <w:rFonts w:hint="eastAsia" w:ascii="宋体" w:hAnsi="宋体" w:eastAsia="宋体"/>
          <w:sz w:val="24"/>
        </w:rPr>
        <w:t>）左右，而在静养期间，由于会对其放音乐，而待宰生猪</w:t>
      </w:r>
      <w:r>
        <w:rPr>
          <w:rFonts w:hint="eastAsia" w:ascii="宋体" w:hAnsi="宋体"/>
          <w:sz w:val="24"/>
          <w:lang w:val="en-US" w:eastAsia="zh-CN"/>
        </w:rPr>
        <w:t>及肉牛</w:t>
      </w:r>
      <w:r>
        <w:rPr>
          <w:rFonts w:hint="eastAsia" w:ascii="宋体" w:hAnsi="宋体" w:eastAsia="宋体"/>
          <w:sz w:val="24"/>
        </w:rPr>
        <w:t>较安静，猪叫声一般低</w:t>
      </w:r>
      <w:r>
        <w:rPr>
          <w:rFonts w:hint="eastAsia" w:ascii="Times New Roman" w:hAnsi="Times New Roman"/>
          <w:sz w:val="24"/>
          <w:lang w:val="en-US" w:eastAsia="zh-CN"/>
        </w:rPr>
        <w:t>65</w:t>
      </w:r>
      <w:r>
        <w:rPr>
          <w:rFonts w:hint="default" w:ascii="Times New Roman" w:hAnsi="Times New Roman" w:eastAsia="Times New Roman"/>
          <w:sz w:val="24"/>
        </w:rPr>
        <w:t>dB</w:t>
      </w:r>
      <w:r>
        <w:rPr>
          <w:rFonts w:hint="eastAsia" w:ascii="Times New Roman" w:hAnsi="Times New Roman"/>
          <w:sz w:val="24"/>
          <w:lang w:eastAsia="zh-CN"/>
        </w:rPr>
        <w:t>（</w:t>
      </w:r>
      <w:r>
        <w:rPr>
          <w:rFonts w:hint="default" w:ascii="Times New Roman" w:hAnsi="Times New Roman" w:eastAsia="Times New Roman"/>
          <w:sz w:val="24"/>
        </w:rPr>
        <w:t>A</w:t>
      </w:r>
      <w:r>
        <w:rPr>
          <w:rFonts w:hint="eastAsia" w:ascii="Times New Roman" w:hAnsi="Times New Roman"/>
          <w:sz w:val="24"/>
          <w:lang w:eastAsia="zh-CN"/>
        </w:rPr>
        <w:t>）</w:t>
      </w:r>
      <w:r>
        <w:rPr>
          <w:rFonts w:hint="eastAsia" w:ascii="宋体" w:hAnsi="宋体" w:eastAsia="宋体"/>
          <w:sz w:val="24"/>
        </w:rPr>
        <w:t>，因此项目猪叫声产生时段主要在</w:t>
      </w:r>
      <w:r>
        <w:rPr>
          <w:rFonts w:hint="eastAsia" w:ascii="宋体" w:hAnsi="宋体"/>
          <w:sz w:val="24"/>
          <w:lang w:val="en-US" w:eastAsia="zh-CN"/>
        </w:rPr>
        <w:t>动物</w:t>
      </w:r>
      <w:r>
        <w:rPr>
          <w:rFonts w:hint="eastAsia" w:ascii="宋体" w:hAnsi="宋体" w:eastAsia="宋体"/>
          <w:sz w:val="24"/>
        </w:rPr>
        <w:t>进场时。本项目拟采用以下治理措施：</w:t>
      </w:r>
    </w:p>
    <w:p>
      <w:pPr>
        <w:bidi w:val="0"/>
        <w:rPr>
          <w:rFonts w:hint="eastAsia"/>
        </w:rPr>
      </w:pPr>
      <w:r>
        <w:rPr>
          <w:rFonts w:hint="eastAsia"/>
        </w:rPr>
        <w:t>（</w:t>
      </w:r>
      <w:r>
        <w:rPr>
          <w:rFonts w:hint="default"/>
        </w:rPr>
        <w:t>1</w:t>
      </w:r>
      <w:r>
        <w:rPr>
          <w:rFonts w:hint="eastAsia"/>
        </w:rPr>
        <w:t>）项目采用麻电机将牲畜致昏后刺杀，可大大降低牲畜宰杀过程中噪声。</w:t>
      </w:r>
    </w:p>
    <w:p>
      <w:pPr>
        <w:bidi w:val="0"/>
        <w:rPr>
          <w:rFonts w:hint="default"/>
          <w:lang w:val="en-US" w:eastAsia="zh-CN"/>
        </w:rPr>
      </w:pPr>
      <w:r>
        <w:rPr>
          <w:rFonts w:hint="eastAsia"/>
        </w:rPr>
        <w:t>（</w:t>
      </w:r>
      <w:r>
        <w:rPr>
          <w:rFonts w:hint="default"/>
        </w:rPr>
        <w:t>2</w:t>
      </w:r>
      <w:r>
        <w:rPr>
          <w:rFonts w:hint="eastAsia"/>
        </w:rPr>
        <w:t>）</w:t>
      </w:r>
      <w:r>
        <w:rPr>
          <w:rFonts w:hint="eastAsia"/>
          <w:lang w:eastAsia="zh-CN"/>
        </w:rPr>
        <w:t>待宰圈</w:t>
      </w:r>
      <w:r>
        <w:rPr>
          <w:rFonts w:hint="eastAsia"/>
        </w:rPr>
        <w:t>进行封闭措施，墙体采用吸音、隔声建筑材料建造厂房，同时，项目应当尽量减少对</w:t>
      </w:r>
      <w:r>
        <w:rPr>
          <w:rFonts w:hint="eastAsia"/>
          <w:lang w:eastAsia="zh-CN"/>
        </w:rPr>
        <w:t>待宰圈</w:t>
      </w:r>
      <w:r>
        <w:rPr>
          <w:rFonts w:hint="eastAsia"/>
        </w:rPr>
        <w:t>的干扰，保持安定平和的气氛，以缓解牲畜的紧张情绪，减少卸</w:t>
      </w:r>
      <w:r>
        <w:rPr>
          <w:rFonts w:hint="eastAsia"/>
          <w:lang w:val="en-US" w:eastAsia="zh-CN"/>
        </w:rPr>
        <w:t>载</w:t>
      </w:r>
      <w:r>
        <w:rPr>
          <w:rFonts w:hint="eastAsia"/>
        </w:rPr>
        <w:t>和待宰过程的嘶叫。</w:t>
      </w:r>
    </w:p>
    <w:p>
      <w:pPr>
        <w:bidi w:val="0"/>
        <w:rPr>
          <w:rFonts w:hint="default"/>
          <w:lang w:val="en-US" w:eastAsia="zh-CN"/>
        </w:rPr>
      </w:pPr>
      <w:r>
        <w:rPr>
          <w:rFonts w:hint="eastAsia" w:ascii="宋体" w:hAnsi="宋体" w:eastAsia="宋体"/>
          <w:sz w:val="24"/>
        </w:rPr>
        <w:t>（</w:t>
      </w:r>
      <w:r>
        <w:rPr>
          <w:rFonts w:hint="default" w:ascii="Times New Roman" w:hAnsi="Times New Roman" w:eastAsia="Times New Roman"/>
          <w:sz w:val="24"/>
        </w:rPr>
        <w:t>3</w:t>
      </w:r>
      <w:r>
        <w:rPr>
          <w:rFonts w:hint="eastAsia" w:ascii="宋体" w:hAnsi="宋体" w:eastAsia="宋体"/>
          <w:sz w:val="24"/>
        </w:rPr>
        <w:t>）在待宰圈内播放音乐（音量较小），使生猪</w:t>
      </w:r>
      <w:r>
        <w:rPr>
          <w:rFonts w:hint="eastAsia" w:ascii="宋体" w:hAnsi="宋体"/>
          <w:sz w:val="24"/>
          <w:lang w:val="en-US" w:eastAsia="zh-CN"/>
        </w:rPr>
        <w:t>和肉牛</w:t>
      </w:r>
      <w:r>
        <w:rPr>
          <w:rFonts w:hint="eastAsia" w:ascii="宋体" w:hAnsi="宋体" w:eastAsia="宋体"/>
          <w:sz w:val="24"/>
        </w:rPr>
        <w:t>保持安静。</w:t>
      </w:r>
    </w:p>
    <w:p>
      <w:pPr>
        <w:pStyle w:val="6"/>
        <w:bidi w:val="0"/>
        <w:rPr>
          <w:rFonts w:hint="default"/>
          <w:lang w:val="en-US" w:eastAsia="zh-CN"/>
        </w:rPr>
      </w:pPr>
      <w:r>
        <w:rPr>
          <w:rFonts w:hint="eastAsia"/>
          <w:lang w:val="en-US" w:eastAsia="zh-CN"/>
        </w:rPr>
        <w:t>设备噪声及治理措施</w:t>
      </w:r>
    </w:p>
    <w:p>
      <w:pPr>
        <w:spacing w:beforeLines="0" w:afterLines="0"/>
        <w:jc w:val="left"/>
        <w:rPr>
          <w:rFonts w:hint="eastAsia" w:ascii="宋体" w:hAnsi="宋体" w:eastAsia="宋体"/>
          <w:sz w:val="24"/>
        </w:rPr>
      </w:pPr>
      <w:r>
        <w:rPr>
          <w:rFonts w:hint="eastAsia" w:ascii="宋体" w:hAnsi="宋体" w:eastAsia="宋体"/>
          <w:sz w:val="24"/>
        </w:rPr>
        <w:t>设备噪声源主要为屠宰车间刨毛机、劈半机等生产设备产生的噪声，污水处理站水泵产生的噪声，废气处理设备风机产生噪声，噪声源强为</w:t>
      </w:r>
      <w:r>
        <w:rPr>
          <w:rFonts w:hint="default" w:ascii="Times New Roman" w:hAnsi="Times New Roman" w:eastAsia="Times New Roman"/>
          <w:sz w:val="24"/>
        </w:rPr>
        <w:t>70~105dB</w:t>
      </w:r>
      <w:r>
        <w:rPr>
          <w:rFonts w:hint="eastAsia" w:ascii="宋体" w:hAnsi="宋体" w:eastAsia="宋体"/>
          <w:sz w:val="24"/>
        </w:rPr>
        <w:t>（</w:t>
      </w:r>
      <w:r>
        <w:rPr>
          <w:rFonts w:hint="default" w:ascii="Times New Roman" w:hAnsi="Times New Roman" w:eastAsia="Times New Roman"/>
          <w:sz w:val="24"/>
        </w:rPr>
        <w:t>A</w:t>
      </w:r>
      <w:r>
        <w:rPr>
          <w:rFonts w:hint="eastAsia" w:ascii="宋体" w:hAnsi="宋体" w:eastAsia="宋体"/>
          <w:sz w:val="24"/>
        </w:rPr>
        <w:t>），各噪声源强及治理措施见表</w:t>
      </w:r>
      <w:r>
        <w:rPr>
          <w:rFonts w:hint="default" w:ascii="Times New Roman" w:hAnsi="Times New Roman" w:eastAsia="Times New Roman"/>
          <w:sz w:val="24"/>
        </w:rPr>
        <w:t>3.4-1</w:t>
      </w:r>
      <w:r>
        <w:rPr>
          <w:rFonts w:hint="eastAsia" w:eastAsia="宋体"/>
          <w:sz w:val="24"/>
          <w:lang w:val="en-US" w:eastAsia="zh-CN"/>
        </w:rPr>
        <w:t>2</w:t>
      </w:r>
      <w:r>
        <w:rPr>
          <w:rFonts w:hint="eastAsia" w:ascii="宋体" w:hAnsi="宋体" w:eastAsia="宋体"/>
          <w:sz w:val="24"/>
        </w:rPr>
        <w:t>。</w:t>
      </w:r>
    </w:p>
    <w:p>
      <w:pPr>
        <w:pStyle w:val="27"/>
        <w:rPr>
          <w:rFonts w:hint="default"/>
          <w:lang w:val="en-US" w:eastAsia="zh-CN"/>
        </w:rPr>
      </w:pPr>
    </w:p>
    <w:p>
      <w:pPr>
        <w:pStyle w:val="29"/>
        <w:bidi w:val="0"/>
        <w:rPr>
          <w:rFonts w:hint="eastAsia"/>
          <w:lang w:eastAsia="zh-CN"/>
        </w:rPr>
      </w:pPr>
      <w:r>
        <w:rPr>
          <w:rFonts w:hint="eastAsia"/>
          <w:lang w:val="en-US" w:eastAsia="zh-CN"/>
        </w:rPr>
        <w:t>表3.4-12  本项目噪声</w:t>
      </w:r>
      <w:r>
        <w:rPr>
          <w:rFonts w:hint="eastAsia"/>
        </w:rPr>
        <w:t>源源强及治理措施一览表</w:t>
      </w:r>
      <w:r>
        <w:rPr>
          <w:rFonts w:hint="eastAsia"/>
          <w:lang w:val="en-US" w:eastAsia="zh-CN"/>
        </w:rPr>
        <w:t xml:space="preserve">  </w:t>
      </w:r>
      <w:r>
        <w:rPr>
          <w:rFonts w:hint="eastAsia"/>
        </w:rPr>
        <w:t xml:space="preserve"> 单位：</w:t>
      </w:r>
      <w:r>
        <w:rPr>
          <w:rFonts w:hint="default"/>
        </w:rPr>
        <w:t>dB</w:t>
      </w:r>
      <w:r>
        <w:rPr>
          <w:rFonts w:hint="eastAsia"/>
          <w:lang w:eastAsia="zh-CN"/>
        </w:rPr>
        <w:t>（</w:t>
      </w:r>
      <w:r>
        <w:rPr>
          <w:rFonts w:hint="eastAsia"/>
          <w:lang w:val="en-US" w:eastAsia="zh-CN"/>
        </w:rPr>
        <w:t>A</w:t>
      </w:r>
      <w:r>
        <w:rPr>
          <w:rFonts w:hint="eastAsia"/>
          <w:lang w:eastAsia="zh-CN"/>
        </w:rPr>
        <w:t>）</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2100"/>
        <w:gridCol w:w="945"/>
        <w:gridCol w:w="510"/>
        <w:gridCol w:w="570"/>
        <w:gridCol w:w="675"/>
        <w:gridCol w:w="2565"/>
        <w:gridCol w:w="735"/>
        <w:gridCol w:w="10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序号</w:t>
            </w:r>
          </w:p>
        </w:tc>
        <w:tc>
          <w:tcPr>
            <w:tcW w:w="210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噪声源</w:t>
            </w:r>
          </w:p>
        </w:tc>
        <w:tc>
          <w:tcPr>
            <w:tcW w:w="94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产噪位置</w:t>
            </w: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数量</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源强</w:t>
            </w:r>
          </w:p>
        </w:tc>
        <w:tc>
          <w:tcPr>
            <w:tcW w:w="67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排放特征</w:t>
            </w:r>
          </w:p>
        </w:tc>
        <w:tc>
          <w:tcPr>
            <w:tcW w:w="256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降噪措施</w:t>
            </w:r>
          </w:p>
        </w:tc>
        <w:tc>
          <w:tcPr>
            <w:tcW w:w="73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降噪效果</w:t>
            </w:r>
          </w:p>
        </w:tc>
        <w:tc>
          <w:tcPr>
            <w:tcW w:w="105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持续时间（h）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2100" w:type="dxa"/>
            <w:tcBorders>
              <w:tl2br w:val="nil"/>
              <w:tr2bl w:val="nil"/>
            </w:tcBorders>
            <w:vAlign w:val="center"/>
          </w:tcPr>
          <w:p>
            <w:pPr>
              <w:pStyle w:val="30"/>
              <w:widowControl w:val="0"/>
              <w:bidi w:val="0"/>
              <w:jc w:val="center"/>
              <w:rPr>
                <w:rFonts w:hint="eastAsia"/>
                <w:lang w:val="en-US" w:eastAsia="zh-CN"/>
              </w:rPr>
            </w:pPr>
            <w:r>
              <w:rPr>
                <w:rFonts w:hint="eastAsia"/>
              </w:rPr>
              <w:t>托胸活挂输送机</w:t>
            </w:r>
          </w:p>
        </w:tc>
        <w:tc>
          <w:tcPr>
            <w:tcW w:w="94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生猪屠宰车间</w:t>
            </w: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80</w:t>
            </w:r>
          </w:p>
        </w:tc>
        <w:tc>
          <w:tcPr>
            <w:tcW w:w="67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建筑隔声</w:t>
            </w:r>
          </w:p>
        </w:tc>
        <w:tc>
          <w:tcPr>
            <w:tcW w:w="73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15</w:t>
            </w:r>
          </w:p>
        </w:tc>
        <w:tc>
          <w:tcPr>
            <w:tcW w:w="105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w:t>
            </w:r>
          </w:p>
        </w:tc>
        <w:tc>
          <w:tcPr>
            <w:tcW w:w="2100" w:type="dxa"/>
            <w:tcBorders>
              <w:tl2br w:val="nil"/>
              <w:tr2bl w:val="nil"/>
            </w:tcBorders>
            <w:vAlign w:val="center"/>
          </w:tcPr>
          <w:p>
            <w:pPr>
              <w:pStyle w:val="30"/>
              <w:widowControl w:val="0"/>
              <w:bidi w:val="0"/>
              <w:jc w:val="center"/>
              <w:rPr>
                <w:rFonts w:hint="eastAsia"/>
                <w:lang w:val="en-US" w:eastAsia="zh-CN"/>
              </w:rPr>
            </w:pPr>
            <w:r>
              <w:rPr>
                <w:rFonts w:hint="eastAsia"/>
              </w:rPr>
              <w:t>自动落猪器</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57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80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建筑隔声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15</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w:t>
            </w:r>
          </w:p>
        </w:tc>
        <w:tc>
          <w:tcPr>
            <w:tcW w:w="2100" w:type="dxa"/>
            <w:tcBorders>
              <w:tl2br w:val="nil"/>
              <w:tr2bl w:val="nil"/>
            </w:tcBorders>
            <w:vAlign w:val="center"/>
          </w:tcPr>
          <w:p>
            <w:pPr>
              <w:pStyle w:val="30"/>
              <w:widowControl w:val="0"/>
              <w:bidi w:val="0"/>
              <w:jc w:val="center"/>
              <w:rPr>
                <w:rFonts w:hint="eastAsia"/>
                <w:lang w:val="en-US" w:eastAsia="zh-CN"/>
              </w:rPr>
            </w:pPr>
            <w:r>
              <w:rPr>
                <w:rFonts w:hint="default"/>
                <w:lang w:val="en-US" w:eastAsia="zh-CN"/>
              </w:rPr>
              <w:t>洗猪机</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80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建筑隔声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15</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w:t>
            </w:r>
          </w:p>
        </w:tc>
        <w:tc>
          <w:tcPr>
            <w:tcW w:w="2100" w:type="dxa"/>
            <w:tcBorders>
              <w:tl2br w:val="nil"/>
              <w:tr2bl w:val="nil"/>
            </w:tcBorders>
            <w:vAlign w:val="center"/>
          </w:tcPr>
          <w:p>
            <w:pPr>
              <w:pStyle w:val="30"/>
              <w:widowControl w:val="0"/>
              <w:bidi w:val="0"/>
              <w:jc w:val="center"/>
              <w:rPr>
                <w:rFonts w:hint="eastAsia"/>
                <w:lang w:val="en-US" w:eastAsia="zh-CN"/>
              </w:rPr>
            </w:pPr>
            <w:r>
              <w:rPr>
                <w:rFonts w:hint="default"/>
                <w:lang w:val="en-US" w:eastAsia="zh-CN"/>
              </w:rPr>
              <w:t>打毛机</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85</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减振、建筑隔声</w:t>
            </w:r>
          </w:p>
        </w:tc>
        <w:tc>
          <w:tcPr>
            <w:tcW w:w="735"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20</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w:t>
            </w:r>
          </w:p>
        </w:tc>
        <w:tc>
          <w:tcPr>
            <w:tcW w:w="2100" w:type="dxa"/>
            <w:tcBorders>
              <w:tl2br w:val="nil"/>
              <w:tr2bl w:val="nil"/>
            </w:tcBorders>
            <w:vAlign w:val="center"/>
          </w:tcPr>
          <w:p>
            <w:pPr>
              <w:pStyle w:val="30"/>
              <w:widowControl w:val="0"/>
              <w:bidi w:val="0"/>
              <w:jc w:val="center"/>
              <w:rPr>
                <w:rFonts w:hint="eastAsia"/>
                <w:lang w:val="en-US" w:eastAsia="zh-CN"/>
              </w:rPr>
            </w:pPr>
            <w:r>
              <w:rPr>
                <w:rFonts w:hint="default"/>
                <w:lang w:val="en-US" w:eastAsia="zh-CN"/>
              </w:rPr>
              <w:t>劈半锯</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80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建筑隔声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15</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w:t>
            </w:r>
          </w:p>
        </w:tc>
        <w:tc>
          <w:tcPr>
            <w:tcW w:w="2100" w:type="dxa"/>
            <w:tcBorders>
              <w:tl2br w:val="nil"/>
              <w:tr2bl w:val="nil"/>
            </w:tcBorders>
            <w:vAlign w:val="center"/>
          </w:tcPr>
          <w:p>
            <w:pPr>
              <w:pStyle w:val="30"/>
              <w:widowControl w:val="0"/>
              <w:bidi w:val="0"/>
              <w:jc w:val="center"/>
              <w:rPr>
                <w:rFonts w:hint="eastAsia"/>
                <w:lang w:val="en-US" w:eastAsia="zh-CN"/>
              </w:rPr>
            </w:pPr>
            <w:r>
              <w:rPr>
                <w:rFonts w:hint="default"/>
                <w:lang w:val="en-US" w:eastAsia="zh-CN"/>
              </w:rPr>
              <w:t>断轨器</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57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80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建筑隔声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15</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7</w:t>
            </w:r>
          </w:p>
        </w:tc>
        <w:tc>
          <w:tcPr>
            <w:tcW w:w="2100" w:type="dxa"/>
            <w:tcBorders>
              <w:tl2br w:val="nil"/>
              <w:tr2bl w:val="nil"/>
            </w:tcBorders>
            <w:vAlign w:val="center"/>
          </w:tcPr>
          <w:p>
            <w:pPr>
              <w:pStyle w:val="30"/>
              <w:widowControl w:val="0"/>
              <w:bidi w:val="0"/>
              <w:jc w:val="center"/>
              <w:rPr>
                <w:rFonts w:hint="eastAsia"/>
                <w:lang w:val="en-US" w:eastAsia="zh-CN"/>
              </w:rPr>
            </w:pPr>
            <w:r>
              <w:rPr>
                <w:rFonts w:hint="default"/>
                <w:lang w:val="en-US" w:eastAsia="zh-CN"/>
              </w:rPr>
              <w:t>劈半站台</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80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建筑隔声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15</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8</w:t>
            </w:r>
          </w:p>
        </w:tc>
        <w:tc>
          <w:tcPr>
            <w:tcW w:w="2100" w:type="dxa"/>
            <w:tcBorders>
              <w:tl2br w:val="nil"/>
              <w:tr2bl w:val="nil"/>
            </w:tcBorders>
            <w:vAlign w:val="center"/>
          </w:tcPr>
          <w:p>
            <w:pPr>
              <w:pStyle w:val="30"/>
              <w:widowControl w:val="0"/>
              <w:bidi w:val="0"/>
              <w:jc w:val="center"/>
              <w:rPr>
                <w:rFonts w:hint="default"/>
                <w:lang w:val="en-US" w:eastAsia="zh-CN"/>
              </w:rPr>
            </w:pPr>
            <w:r>
              <w:rPr>
                <w:rFonts w:hint="default"/>
                <w:lang w:val="en-US" w:eastAsia="zh-CN"/>
              </w:rPr>
              <w:t>牵牛机</w:t>
            </w:r>
          </w:p>
        </w:tc>
        <w:tc>
          <w:tcPr>
            <w:tcW w:w="94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肉牛屠宰车间</w:t>
            </w: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80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建筑隔声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15</w:t>
            </w:r>
          </w:p>
        </w:tc>
        <w:tc>
          <w:tcPr>
            <w:tcW w:w="105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9</w:t>
            </w:r>
          </w:p>
        </w:tc>
        <w:tc>
          <w:tcPr>
            <w:tcW w:w="2100" w:type="dxa"/>
            <w:tcBorders>
              <w:tl2br w:val="nil"/>
              <w:tr2bl w:val="nil"/>
            </w:tcBorders>
            <w:vAlign w:val="center"/>
          </w:tcPr>
          <w:p>
            <w:pPr>
              <w:pStyle w:val="30"/>
              <w:widowControl w:val="0"/>
              <w:bidi w:val="0"/>
              <w:jc w:val="center"/>
              <w:rPr>
                <w:rFonts w:hint="default"/>
                <w:lang w:val="en-US" w:eastAsia="zh-CN"/>
              </w:rPr>
            </w:pPr>
            <w:r>
              <w:rPr>
                <w:rFonts w:hint="default"/>
                <w:lang w:val="en-US" w:eastAsia="zh-CN"/>
              </w:rPr>
              <w:t>牛翻板箱</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80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建筑隔声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15</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10</w:t>
            </w:r>
          </w:p>
        </w:tc>
        <w:tc>
          <w:tcPr>
            <w:tcW w:w="2100" w:type="dxa"/>
            <w:tcBorders>
              <w:tl2br w:val="nil"/>
              <w:tr2bl w:val="nil"/>
            </w:tcBorders>
            <w:vAlign w:val="center"/>
          </w:tcPr>
          <w:p>
            <w:pPr>
              <w:pStyle w:val="30"/>
              <w:widowControl w:val="0"/>
              <w:bidi w:val="0"/>
              <w:jc w:val="center"/>
              <w:rPr>
                <w:rFonts w:hint="default"/>
                <w:lang w:val="en-US" w:eastAsia="zh-CN"/>
              </w:rPr>
            </w:pPr>
            <w:r>
              <w:rPr>
                <w:rFonts w:hint="default"/>
                <w:lang w:val="en-US" w:eastAsia="zh-CN"/>
              </w:rPr>
              <w:t>活牛起吊器</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80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建筑隔声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15</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11</w:t>
            </w:r>
          </w:p>
        </w:tc>
        <w:tc>
          <w:tcPr>
            <w:tcW w:w="2100" w:type="dxa"/>
            <w:tcBorders>
              <w:tl2br w:val="nil"/>
              <w:tr2bl w:val="nil"/>
            </w:tcBorders>
            <w:vAlign w:val="center"/>
          </w:tcPr>
          <w:p>
            <w:pPr>
              <w:pStyle w:val="30"/>
              <w:widowControl w:val="0"/>
              <w:bidi w:val="0"/>
              <w:jc w:val="center"/>
              <w:rPr>
                <w:rFonts w:hint="default"/>
                <w:lang w:val="en-US" w:eastAsia="zh-CN"/>
              </w:rPr>
            </w:pPr>
            <w:r>
              <w:rPr>
                <w:rFonts w:hint="default"/>
                <w:lang w:val="en-US" w:eastAsia="zh-CN"/>
              </w:rPr>
              <w:t>开胸锯</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建筑隔声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15</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12</w:t>
            </w:r>
          </w:p>
        </w:tc>
        <w:tc>
          <w:tcPr>
            <w:tcW w:w="2100" w:type="dxa"/>
            <w:tcBorders>
              <w:tl2br w:val="nil"/>
              <w:tr2bl w:val="nil"/>
            </w:tcBorders>
            <w:vAlign w:val="center"/>
          </w:tcPr>
          <w:p>
            <w:pPr>
              <w:pStyle w:val="30"/>
              <w:widowControl w:val="0"/>
              <w:bidi w:val="0"/>
              <w:jc w:val="center"/>
              <w:rPr>
                <w:rFonts w:hint="default"/>
                <w:lang w:val="en-US" w:eastAsia="zh-CN"/>
              </w:rPr>
            </w:pPr>
            <w:r>
              <w:rPr>
                <w:rFonts w:hint="default"/>
                <w:lang w:val="en-US" w:eastAsia="zh-CN"/>
              </w:rPr>
              <w:t>劈半锯</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建筑隔声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15</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13</w:t>
            </w:r>
          </w:p>
        </w:tc>
        <w:tc>
          <w:tcPr>
            <w:tcW w:w="2100" w:type="dxa"/>
            <w:tcBorders>
              <w:tl2br w:val="nil"/>
              <w:tr2bl w:val="nil"/>
            </w:tcBorders>
            <w:vAlign w:val="center"/>
          </w:tcPr>
          <w:p>
            <w:pPr>
              <w:pStyle w:val="30"/>
              <w:widowControl w:val="0"/>
              <w:bidi w:val="0"/>
              <w:jc w:val="center"/>
              <w:rPr>
                <w:rFonts w:hint="default"/>
                <w:lang w:val="en-US" w:eastAsia="zh-CN"/>
              </w:rPr>
            </w:pPr>
            <w:r>
              <w:rPr>
                <w:rFonts w:hint="default"/>
                <w:lang w:val="en-US" w:eastAsia="zh-CN"/>
              </w:rPr>
              <w:t>四分体单柱升降台</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建筑隔声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15</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14</w:t>
            </w:r>
          </w:p>
        </w:tc>
        <w:tc>
          <w:tcPr>
            <w:tcW w:w="2100" w:type="dxa"/>
            <w:tcBorders>
              <w:tl2br w:val="nil"/>
              <w:tr2bl w:val="nil"/>
            </w:tcBorders>
            <w:vAlign w:val="center"/>
          </w:tcPr>
          <w:p>
            <w:pPr>
              <w:pStyle w:val="30"/>
              <w:widowControl w:val="0"/>
              <w:bidi w:val="0"/>
              <w:jc w:val="center"/>
              <w:rPr>
                <w:rFonts w:hint="default"/>
                <w:lang w:val="en-US" w:eastAsia="zh-CN"/>
              </w:rPr>
            </w:pPr>
            <w:r>
              <w:rPr>
                <w:rFonts w:hint="default"/>
                <w:lang w:val="en-US" w:eastAsia="zh-CN"/>
              </w:rPr>
              <w:t>四分体转挂装置</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建筑隔声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15</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15</w:t>
            </w:r>
          </w:p>
        </w:tc>
        <w:tc>
          <w:tcPr>
            <w:tcW w:w="2100" w:type="dxa"/>
            <w:tcBorders>
              <w:tl2br w:val="nil"/>
              <w:tr2bl w:val="nil"/>
            </w:tcBorders>
            <w:vAlign w:val="center"/>
          </w:tcPr>
          <w:p>
            <w:pPr>
              <w:pStyle w:val="30"/>
              <w:widowControl w:val="0"/>
              <w:bidi w:val="0"/>
              <w:jc w:val="center"/>
              <w:rPr>
                <w:rFonts w:hint="default"/>
                <w:lang w:val="en-US" w:eastAsia="zh-CN"/>
              </w:rPr>
            </w:pPr>
            <w:r>
              <w:rPr>
                <w:rFonts w:hint="default"/>
                <w:lang w:val="en-US" w:eastAsia="zh-CN"/>
              </w:rPr>
              <w:t>调节池预曝气装置</w:t>
            </w:r>
          </w:p>
        </w:tc>
        <w:tc>
          <w:tcPr>
            <w:tcW w:w="94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污水处理站</w:t>
            </w: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减振、地埋、构筑物隔声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20</w:t>
            </w:r>
          </w:p>
        </w:tc>
        <w:tc>
          <w:tcPr>
            <w:tcW w:w="105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16</w:t>
            </w:r>
          </w:p>
        </w:tc>
        <w:tc>
          <w:tcPr>
            <w:tcW w:w="2100" w:type="dxa"/>
            <w:tcBorders>
              <w:tl2br w:val="nil"/>
              <w:tr2bl w:val="nil"/>
            </w:tcBorders>
            <w:vAlign w:val="center"/>
          </w:tcPr>
          <w:p>
            <w:pPr>
              <w:pStyle w:val="30"/>
              <w:widowControl w:val="0"/>
              <w:bidi w:val="0"/>
              <w:jc w:val="center"/>
              <w:rPr>
                <w:rFonts w:hint="default"/>
                <w:lang w:val="en-US" w:eastAsia="zh-CN"/>
              </w:rPr>
            </w:pPr>
            <w:r>
              <w:rPr>
                <w:rFonts w:hint="default"/>
                <w:lang w:val="en-US" w:eastAsia="zh-CN"/>
              </w:rPr>
              <w:t>调节池潜污泵</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85</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减振、地埋、构筑物隔声</w:t>
            </w:r>
          </w:p>
        </w:tc>
        <w:tc>
          <w:tcPr>
            <w:tcW w:w="735"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20</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17</w:t>
            </w:r>
          </w:p>
        </w:tc>
        <w:tc>
          <w:tcPr>
            <w:tcW w:w="2100" w:type="dxa"/>
            <w:tcBorders>
              <w:tl2br w:val="nil"/>
              <w:tr2bl w:val="nil"/>
            </w:tcBorders>
            <w:vAlign w:val="center"/>
          </w:tcPr>
          <w:p>
            <w:pPr>
              <w:pStyle w:val="30"/>
              <w:widowControl w:val="0"/>
              <w:bidi w:val="0"/>
              <w:jc w:val="center"/>
              <w:rPr>
                <w:rFonts w:hint="default"/>
                <w:lang w:val="en-US" w:eastAsia="zh-CN"/>
              </w:rPr>
            </w:pPr>
            <w:r>
              <w:rPr>
                <w:rFonts w:hint="default"/>
                <w:lang w:val="en-US" w:eastAsia="zh-CN"/>
              </w:rPr>
              <w:t>硝化液回流泵</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85</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减振、地埋、构筑物隔声</w:t>
            </w:r>
          </w:p>
        </w:tc>
        <w:tc>
          <w:tcPr>
            <w:tcW w:w="73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20</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18</w:t>
            </w:r>
          </w:p>
        </w:tc>
        <w:tc>
          <w:tcPr>
            <w:tcW w:w="2100" w:type="dxa"/>
            <w:tcBorders>
              <w:tl2br w:val="nil"/>
              <w:tr2bl w:val="nil"/>
            </w:tcBorders>
            <w:vAlign w:val="center"/>
          </w:tcPr>
          <w:p>
            <w:pPr>
              <w:pStyle w:val="30"/>
              <w:widowControl w:val="0"/>
              <w:bidi w:val="0"/>
              <w:jc w:val="center"/>
              <w:rPr>
                <w:rFonts w:hint="default"/>
                <w:lang w:val="en-US" w:eastAsia="zh-CN"/>
              </w:rPr>
            </w:pPr>
            <w:r>
              <w:rPr>
                <w:rFonts w:hint="default"/>
                <w:lang w:val="en-US" w:eastAsia="zh-CN"/>
              </w:rPr>
              <w:t>水解池微曝气装置</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75</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减振、地埋、构筑物隔声</w:t>
            </w:r>
          </w:p>
        </w:tc>
        <w:tc>
          <w:tcPr>
            <w:tcW w:w="735"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20</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19</w:t>
            </w:r>
          </w:p>
        </w:tc>
        <w:tc>
          <w:tcPr>
            <w:tcW w:w="2100"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风机</w:t>
            </w:r>
          </w:p>
        </w:tc>
        <w:tc>
          <w:tcPr>
            <w:tcW w:w="94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废气处理系统</w:t>
            </w: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95</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减振、隔声罩</w:t>
            </w:r>
          </w:p>
        </w:tc>
        <w:tc>
          <w:tcPr>
            <w:tcW w:w="73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25</w:t>
            </w:r>
          </w:p>
        </w:tc>
        <w:tc>
          <w:tcPr>
            <w:tcW w:w="105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20</w:t>
            </w:r>
          </w:p>
        </w:tc>
        <w:tc>
          <w:tcPr>
            <w:tcW w:w="2100" w:type="dxa"/>
            <w:tcBorders>
              <w:tl2br w:val="nil"/>
              <w:tr2bl w:val="nil"/>
            </w:tcBorders>
            <w:vAlign w:val="center"/>
          </w:tcPr>
          <w:p>
            <w:pPr>
              <w:pStyle w:val="30"/>
              <w:widowControl w:val="0"/>
              <w:bidi w:val="0"/>
              <w:jc w:val="center"/>
              <w:rPr>
                <w:rFonts w:hint="eastAsia"/>
                <w:lang w:val="en-US" w:eastAsia="zh-CN"/>
              </w:rPr>
            </w:pPr>
            <w:r>
              <w:rPr>
                <w:rFonts w:hint="default"/>
                <w:lang w:val="en-US" w:eastAsia="zh-CN"/>
              </w:rPr>
              <w:t>压缩机</w:t>
            </w:r>
          </w:p>
        </w:tc>
        <w:tc>
          <w:tcPr>
            <w:tcW w:w="94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冷库</w:t>
            </w: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12</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减振、建筑隔声</w:t>
            </w:r>
          </w:p>
        </w:tc>
        <w:tc>
          <w:tcPr>
            <w:tcW w:w="73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w:t>
            </w:r>
          </w:p>
        </w:tc>
        <w:tc>
          <w:tcPr>
            <w:tcW w:w="105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21</w:t>
            </w:r>
          </w:p>
        </w:tc>
        <w:tc>
          <w:tcPr>
            <w:tcW w:w="2100" w:type="dxa"/>
            <w:tcBorders>
              <w:tl2br w:val="nil"/>
              <w:tr2bl w:val="nil"/>
            </w:tcBorders>
            <w:vAlign w:val="center"/>
          </w:tcPr>
          <w:p>
            <w:pPr>
              <w:pStyle w:val="30"/>
              <w:widowControl w:val="0"/>
              <w:bidi w:val="0"/>
              <w:jc w:val="center"/>
              <w:rPr>
                <w:rFonts w:hint="default"/>
                <w:lang w:val="en-US" w:eastAsia="zh-CN"/>
              </w:rPr>
            </w:pPr>
            <w:r>
              <w:rPr>
                <w:rFonts w:hint="default"/>
                <w:lang w:val="en-US" w:eastAsia="zh-CN"/>
              </w:rPr>
              <w:t>风幕机</w:t>
            </w:r>
          </w:p>
        </w:tc>
        <w:tc>
          <w:tcPr>
            <w:tcW w:w="94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80</w:t>
            </w:r>
          </w:p>
        </w:tc>
        <w:tc>
          <w:tcPr>
            <w:tcW w:w="67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连续</w:t>
            </w:r>
          </w:p>
        </w:tc>
        <w:tc>
          <w:tcPr>
            <w:tcW w:w="256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减振、建筑隔声</w:t>
            </w:r>
          </w:p>
        </w:tc>
        <w:tc>
          <w:tcPr>
            <w:tcW w:w="73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w:t>
            </w:r>
          </w:p>
        </w:tc>
        <w:tc>
          <w:tcPr>
            <w:tcW w:w="1059" w:type="dxa"/>
            <w:vMerge w:val="continue"/>
            <w:tcBorders>
              <w:tl2br w:val="nil"/>
              <w:tr2bl w:val="nil"/>
            </w:tcBorders>
            <w:vAlign w:val="center"/>
          </w:tcPr>
          <w:p>
            <w:pPr>
              <w:pStyle w:val="30"/>
              <w:widowControl w:val="0"/>
              <w:jc w:val="center"/>
              <w:rPr>
                <w:rFonts w:hint="eastAsia"/>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22</w:t>
            </w:r>
          </w:p>
        </w:tc>
        <w:tc>
          <w:tcPr>
            <w:tcW w:w="2100"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备用柴油发电机</w:t>
            </w:r>
          </w:p>
        </w:tc>
        <w:tc>
          <w:tcPr>
            <w:tcW w:w="94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配电房</w:t>
            </w:r>
          </w:p>
        </w:tc>
        <w:tc>
          <w:tcPr>
            <w:tcW w:w="51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105</w:t>
            </w:r>
          </w:p>
        </w:tc>
        <w:tc>
          <w:tcPr>
            <w:tcW w:w="67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间断</w:t>
            </w:r>
          </w:p>
        </w:tc>
        <w:tc>
          <w:tcPr>
            <w:tcW w:w="2565"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减振、建筑隔声</w:t>
            </w:r>
          </w:p>
        </w:tc>
        <w:tc>
          <w:tcPr>
            <w:tcW w:w="73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w:t>
            </w:r>
          </w:p>
        </w:tc>
        <w:tc>
          <w:tcPr>
            <w:tcW w:w="105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pStyle w:val="6"/>
        <w:bidi w:val="0"/>
        <w:rPr>
          <w:rFonts w:hint="default"/>
          <w:lang w:val="en-US" w:eastAsia="zh-CN"/>
        </w:rPr>
      </w:pPr>
      <w:r>
        <w:rPr>
          <w:rFonts w:hint="eastAsia"/>
          <w:lang w:val="en-US" w:eastAsia="zh-CN"/>
        </w:rPr>
        <w:t>运输车辆噪声</w:t>
      </w:r>
    </w:p>
    <w:p>
      <w:pPr>
        <w:bidi w:val="0"/>
        <w:rPr>
          <w:rFonts w:hint="eastAsia"/>
        </w:rPr>
      </w:pPr>
      <w:r>
        <w:rPr>
          <w:rFonts w:hint="eastAsia"/>
        </w:rPr>
        <w:t>（</w:t>
      </w:r>
      <w:r>
        <w:rPr>
          <w:rFonts w:hint="default"/>
        </w:rPr>
        <w:t>1</w:t>
      </w:r>
      <w:r>
        <w:rPr>
          <w:rFonts w:hint="eastAsia"/>
        </w:rPr>
        <w:t>）场外运输车辆噪声控制</w:t>
      </w:r>
    </w:p>
    <w:p>
      <w:pPr>
        <w:bidi w:val="0"/>
        <w:rPr>
          <w:rFonts w:hint="eastAsia"/>
        </w:rPr>
      </w:pPr>
      <w:r>
        <w:rPr>
          <w:rFonts w:hint="eastAsia"/>
        </w:rPr>
        <w:t>运输车辆噪声属非稳态噪声源，其源强在</w:t>
      </w:r>
      <w:r>
        <w:rPr>
          <w:rFonts w:hint="eastAsia"/>
          <w:lang w:val="en-US" w:eastAsia="zh-CN"/>
        </w:rPr>
        <w:t>70</w:t>
      </w:r>
      <w:r>
        <w:rPr>
          <w:rFonts w:hint="default"/>
        </w:rPr>
        <w:t>~95dB</w:t>
      </w:r>
      <w:r>
        <w:rPr>
          <w:rFonts w:hint="eastAsia"/>
        </w:rPr>
        <w:t>（</w:t>
      </w:r>
      <w:r>
        <w:rPr>
          <w:rFonts w:hint="default"/>
        </w:rPr>
        <w:t>A</w:t>
      </w:r>
      <w:r>
        <w:rPr>
          <w:rFonts w:hint="eastAsia"/>
        </w:rPr>
        <w:t>）之间，其特点为不连续、间断性噪声。运输车辆拟通过优化线路、加强管理等措施进行控制。</w:t>
      </w:r>
    </w:p>
    <w:p>
      <w:pPr>
        <w:bidi w:val="0"/>
        <w:rPr>
          <w:rFonts w:hint="eastAsia"/>
        </w:rPr>
      </w:pPr>
      <w:r>
        <w:rPr>
          <w:rFonts w:hint="eastAsia"/>
        </w:rPr>
        <w:t>本环评要求：</w:t>
      </w:r>
    </w:p>
    <w:p>
      <w:pPr>
        <w:bidi w:val="0"/>
        <w:rPr>
          <w:rFonts w:hint="default"/>
          <w:lang w:val="en-US" w:eastAsia="zh-CN"/>
        </w:rPr>
      </w:pPr>
      <w:r>
        <w:rPr>
          <w:rFonts w:hint="eastAsia"/>
        </w:rPr>
        <w:t>①合理选择生猪</w:t>
      </w:r>
      <w:r>
        <w:rPr>
          <w:rFonts w:hint="eastAsia"/>
          <w:lang w:val="en-US" w:eastAsia="zh-CN"/>
        </w:rPr>
        <w:t>和肉牛</w:t>
      </w:r>
      <w:r>
        <w:rPr>
          <w:rFonts w:hint="eastAsia"/>
        </w:rPr>
        <w:t>运输路线和运输时间，减缓对运输沿线的影响。</w:t>
      </w:r>
    </w:p>
    <w:p>
      <w:pPr>
        <w:bidi w:val="0"/>
        <w:rPr>
          <w:rFonts w:hint="eastAsia"/>
        </w:rPr>
      </w:pPr>
      <w:r>
        <w:rPr>
          <w:rFonts w:hint="eastAsia"/>
        </w:rPr>
        <w:t>②制定好运输的时间、路线和人员等的安排。长途运输的</w:t>
      </w:r>
      <w:r>
        <w:rPr>
          <w:rFonts w:hint="eastAsia"/>
          <w:lang w:eastAsia="zh-CN"/>
        </w:rPr>
        <w:t>运输车</w:t>
      </w:r>
      <w:r>
        <w:rPr>
          <w:rFonts w:hint="eastAsia"/>
        </w:rPr>
        <w:t>应尽量行驶高速公路。刚开始时应控制车速慢行，待猪适应后再以正常速度行驶，尽量避免出现急转弯或急刹车的现象，减少</w:t>
      </w:r>
      <w:r>
        <w:rPr>
          <w:rFonts w:hint="eastAsia"/>
          <w:lang w:val="en-US" w:eastAsia="zh-CN"/>
        </w:rPr>
        <w:t>动物</w:t>
      </w:r>
      <w:r>
        <w:rPr>
          <w:rFonts w:hint="eastAsia"/>
        </w:rPr>
        <w:t>的挤压或恐慌发出的叫声。</w:t>
      </w:r>
    </w:p>
    <w:p>
      <w:pPr>
        <w:bidi w:val="0"/>
        <w:rPr>
          <w:rFonts w:hint="eastAsia"/>
        </w:rPr>
      </w:pPr>
      <w:r>
        <w:rPr>
          <w:rFonts w:hint="eastAsia"/>
        </w:rPr>
        <w:t>③白天运输入场，避免夜间（</w:t>
      </w:r>
      <w:r>
        <w:rPr>
          <w:rFonts w:hint="default"/>
        </w:rPr>
        <w:t>22</w:t>
      </w:r>
      <w:r>
        <w:rPr>
          <w:rFonts w:hint="eastAsia"/>
          <w:lang w:eastAsia="zh-CN"/>
        </w:rPr>
        <w:t>：</w:t>
      </w:r>
      <w:r>
        <w:rPr>
          <w:rFonts w:hint="default"/>
        </w:rPr>
        <w:t>00</w:t>
      </w:r>
      <w:r>
        <w:rPr>
          <w:rFonts w:hint="eastAsia"/>
        </w:rPr>
        <w:t>后）卸</w:t>
      </w:r>
      <w:r>
        <w:rPr>
          <w:rFonts w:hint="eastAsia"/>
          <w:lang w:val="en-US" w:eastAsia="zh-CN"/>
        </w:rPr>
        <w:t>载</w:t>
      </w:r>
      <w:r>
        <w:rPr>
          <w:rFonts w:hint="eastAsia"/>
        </w:rPr>
        <w:t>；加强管理，禁止夜间鸣笛。</w:t>
      </w:r>
    </w:p>
    <w:p>
      <w:pPr>
        <w:bidi w:val="0"/>
        <w:rPr>
          <w:rFonts w:hint="eastAsia"/>
        </w:rPr>
      </w:pPr>
      <w:r>
        <w:rPr>
          <w:rFonts w:hint="eastAsia"/>
        </w:rPr>
        <w:t>（</w:t>
      </w:r>
      <w:r>
        <w:rPr>
          <w:rFonts w:hint="default"/>
        </w:rPr>
        <w:t>2</w:t>
      </w:r>
      <w:r>
        <w:rPr>
          <w:rFonts w:hint="eastAsia"/>
        </w:rPr>
        <w:t>）场内运输车辆噪声控制</w:t>
      </w:r>
    </w:p>
    <w:p>
      <w:pPr>
        <w:bidi w:val="0"/>
        <w:rPr>
          <w:rFonts w:hint="eastAsia"/>
        </w:rPr>
      </w:pPr>
      <w:r>
        <w:rPr>
          <w:rFonts w:hint="eastAsia"/>
        </w:rPr>
        <w:t>①</w:t>
      </w:r>
      <w:r>
        <w:rPr>
          <w:rFonts w:hint="eastAsia"/>
          <w:lang w:eastAsia="zh-CN"/>
        </w:rPr>
        <w:t>厂区内</w:t>
      </w:r>
      <w:r>
        <w:rPr>
          <w:rFonts w:hint="eastAsia"/>
        </w:rPr>
        <w:t>禁止车辆鸣笛。</w:t>
      </w:r>
    </w:p>
    <w:p>
      <w:pPr>
        <w:bidi w:val="0"/>
        <w:rPr>
          <w:rFonts w:hint="default"/>
          <w:lang w:val="en-US" w:eastAsia="zh-CN"/>
        </w:rPr>
      </w:pPr>
      <w:r>
        <w:rPr>
          <w:rFonts w:hint="eastAsia"/>
        </w:rPr>
        <w:t>②车辆在场区内控制车速，限速</w:t>
      </w:r>
      <w:r>
        <w:rPr>
          <w:rFonts w:hint="default"/>
        </w:rPr>
        <w:t>10km/h</w:t>
      </w:r>
      <w:r>
        <w:rPr>
          <w:rFonts w:hint="eastAsia"/>
        </w:rPr>
        <w:t>。</w:t>
      </w:r>
    </w:p>
    <w:p>
      <w:pPr>
        <w:pStyle w:val="5"/>
        <w:bidi w:val="0"/>
        <w:rPr>
          <w:rFonts w:hint="default"/>
          <w:lang w:val="en-US" w:eastAsia="zh-CN"/>
        </w:rPr>
      </w:pPr>
      <w:r>
        <w:rPr>
          <w:rFonts w:hint="eastAsia"/>
          <w:lang w:val="en-US" w:eastAsia="zh-CN"/>
        </w:rPr>
        <w:t>固体废物产生和治理措施</w:t>
      </w:r>
    </w:p>
    <w:p>
      <w:pPr>
        <w:spacing w:beforeLines="0" w:afterLines="0"/>
        <w:jc w:val="left"/>
        <w:rPr>
          <w:rFonts w:hint="default"/>
          <w:lang w:val="en-US" w:eastAsia="zh-CN"/>
        </w:rPr>
      </w:pPr>
      <w:r>
        <w:rPr>
          <w:rFonts w:hint="eastAsia" w:ascii="宋体" w:hAnsi="宋体" w:eastAsia="宋体"/>
          <w:sz w:val="24"/>
        </w:rPr>
        <w:t>项目营运期产生的固废主要为一般工业固废（检疫不合格猪</w:t>
      </w:r>
      <w:r>
        <w:rPr>
          <w:rFonts w:hint="eastAsia" w:ascii="宋体" w:hAnsi="宋体"/>
          <w:sz w:val="24"/>
          <w:lang w:eastAsia="zh-CN"/>
        </w:rPr>
        <w:t>、</w:t>
      </w:r>
      <w:r>
        <w:rPr>
          <w:rFonts w:hint="eastAsia" w:ascii="宋体" w:hAnsi="宋体"/>
          <w:sz w:val="24"/>
          <w:lang w:val="en-US" w:eastAsia="zh-CN"/>
        </w:rPr>
        <w:t>牛</w:t>
      </w:r>
      <w:r>
        <w:rPr>
          <w:rFonts w:hint="eastAsia" w:ascii="宋体" w:hAnsi="宋体" w:eastAsia="宋体"/>
          <w:sz w:val="24"/>
        </w:rPr>
        <w:t>及病胴体、病内脏，不可食用内脏，</w:t>
      </w:r>
      <w:r>
        <w:rPr>
          <w:rFonts w:hint="eastAsia" w:ascii="宋体" w:hAnsi="宋体"/>
          <w:sz w:val="24"/>
          <w:lang w:val="en-US" w:eastAsia="zh-CN"/>
        </w:rPr>
        <w:t>粪便</w:t>
      </w:r>
      <w:r>
        <w:rPr>
          <w:rFonts w:hint="eastAsia" w:ascii="宋体" w:hAnsi="宋体" w:eastAsia="宋体"/>
          <w:sz w:val="24"/>
        </w:rPr>
        <w:t>及肠胃内容物，检验后残渣、废弃动物组织及碎肉碎骨等，污水处理站栅渣、废油脂和污泥、废包装材料、废胶皮手套）、生活垃圾、餐厨垃圾和危险固废（废润滑油及废油桶）。</w:t>
      </w:r>
    </w:p>
    <w:p>
      <w:pPr>
        <w:bidi w:val="0"/>
        <w:rPr>
          <w:rFonts w:hint="default"/>
          <w:b/>
          <w:bCs/>
          <w:lang w:val="en-US" w:eastAsia="zh-CN"/>
        </w:rPr>
      </w:pPr>
      <w:r>
        <w:rPr>
          <w:rFonts w:hint="eastAsia"/>
          <w:b/>
          <w:bCs/>
        </w:rPr>
        <w:t>（</w:t>
      </w:r>
      <w:r>
        <w:rPr>
          <w:rFonts w:hint="default"/>
          <w:b/>
          <w:bCs/>
        </w:rPr>
        <w:t>1</w:t>
      </w:r>
      <w:r>
        <w:rPr>
          <w:rFonts w:hint="eastAsia"/>
          <w:b/>
          <w:bCs/>
        </w:rPr>
        <w:t>）检疫不合格猪</w:t>
      </w:r>
      <w:r>
        <w:rPr>
          <w:rFonts w:hint="eastAsia"/>
          <w:b/>
          <w:bCs/>
          <w:lang w:eastAsia="zh-CN"/>
        </w:rPr>
        <w:t>、</w:t>
      </w:r>
      <w:r>
        <w:rPr>
          <w:rFonts w:hint="eastAsia"/>
          <w:b/>
          <w:bCs/>
          <w:lang w:val="en-US" w:eastAsia="zh-CN"/>
        </w:rPr>
        <w:t>牛</w:t>
      </w:r>
      <w:r>
        <w:rPr>
          <w:rFonts w:hint="eastAsia"/>
          <w:b/>
          <w:bCs/>
        </w:rPr>
        <w:t>及病胴体、病内脏</w:t>
      </w:r>
    </w:p>
    <w:p>
      <w:pPr>
        <w:bidi w:val="0"/>
        <w:rPr>
          <w:rFonts w:hint="eastAsia"/>
          <w:lang w:val="en-US" w:eastAsia="zh-CN"/>
        </w:rPr>
      </w:pPr>
      <w:r>
        <w:rPr>
          <w:rFonts w:hint="eastAsia"/>
          <w:lang w:val="en-US" w:eastAsia="zh-CN"/>
        </w:rPr>
        <w:t>包括生猪、肉牛进场后在检疫过程产生的生猪、猪肉、肉牛、牛肉及动物内脏等，根据物料品平衡分析，项目检疫不合格猪、牛及病胴体、病内脏产生量约为68t/a。</w:t>
      </w:r>
    </w:p>
    <w:p>
      <w:pPr>
        <w:spacing w:beforeLines="0" w:afterLines="0"/>
        <w:jc w:val="left"/>
        <w:rPr>
          <w:rFonts w:hint="default"/>
          <w:lang w:val="en-US" w:eastAsia="zh-CN"/>
        </w:rPr>
      </w:pPr>
      <w:r>
        <w:rPr>
          <w:rFonts w:hint="eastAsia" w:ascii="宋体" w:hAnsi="宋体" w:eastAsia="宋体"/>
          <w:sz w:val="24"/>
        </w:rPr>
        <w:t>检疫不合格猪及病胴体、病内脏经企业分类桶装集中收集后</w:t>
      </w:r>
      <w:r>
        <w:rPr>
          <w:rFonts w:hint="eastAsia" w:ascii="宋体" w:hAnsi="宋体"/>
          <w:sz w:val="24"/>
          <w:lang w:val="en-US" w:eastAsia="zh-CN"/>
        </w:rPr>
        <w:t>暂存于无害化暂存间后交由成都市科农动物无害化处置有限公司处置</w:t>
      </w:r>
      <w:r>
        <w:rPr>
          <w:rFonts w:hint="eastAsia" w:ascii="宋体" w:hAnsi="宋体" w:eastAsia="宋体"/>
          <w:sz w:val="24"/>
        </w:rPr>
        <w:t>。</w:t>
      </w:r>
    </w:p>
    <w:p>
      <w:pPr>
        <w:bidi w:val="0"/>
        <w:rPr>
          <w:rFonts w:hint="default"/>
          <w:b/>
          <w:bCs/>
          <w:lang w:val="en-US" w:eastAsia="zh-CN"/>
        </w:rPr>
      </w:pPr>
      <w:r>
        <w:rPr>
          <w:rFonts w:hint="eastAsia"/>
          <w:b/>
          <w:bCs/>
          <w:lang w:val="en-US" w:eastAsia="zh-CN"/>
        </w:rPr>
        <w:t>（2）粪便及肠胃内容物</w:t>
      </w:r>
    </w:p>
    <w:p>
      <w:pPr>
        <w:spacing w:beforeLines="0" w:afterLines="0"/>
        <w:jc w:val="left"/>
        <w:rPr>
          <w:rFonts w:hint="eastAsia" w:ascii="宋体" w:hAnsi="宋体" w:eastAsia="宋体"/>
          <w:sz w:val="24"/>
        </w:rPr>
      </w:pPr>
      <w:r>
        <w:rPr>
          <w:rFonts w:hint="eastAsia" w:ascii="宋体" w:hAnsi="宋体" w:eastAsia="宋体"/>
          <w:sz w:val="24"/>
        </w:rPr>
        <w:t>项目</w:t>
      </w:r>
      <w:r>
        <w:rPr>
          <w:rFonts w:hint="eastAsia" w:ascii="宋体" w:hAnsi="宋体"/>
          <w:sz w:val="24"/>
          <w:lang w:val="en-US" w:eastAsia="zh-CN"/>
        </w:rPr>
        <w:t>粪便</w:t>
      </w:r>
      <w:r>
        <w:rPr>
          <w:rFonts w:hint="eastAsia" w:ascii="宋体" w:hAnsi="宋体" w:eastAsia="宋体"/>
          <w:sz w:val="24"/>
        </w:rPr>
        <w:t>及肠胃内容物主要来源于</w:t>
      </w:r>
      <w:r>
        <w:rPr>
          <w:rFonts w:hint="eastAsia" w:ascii="宋体" w:hAnsi="宋体"/>
          <w:sz w:val="24"/>
          <w:lang w:eastAsia="zh-CN"/>
        </w:rPr>
        <w:t>待宰圈</w:t>
      </w:r>
      <w:r>
        <w:rPr>
          <w:rFonts w:hint="eastAsia" w:ascii="宋体" w:hAnsi="宋体" w:eastAsia="宋体"/>
          <w:sz w:val="24"/>
        </w:rPr>
        <w:t>的排泄物和屠宰车间内脏处置，根据物料平衡分析，项目</w:t>
      </w:r>
      <w:r>
        <w:rPr>
          <w:rFonts w:hint="eastAsia" w:ascii="宋体" w:hAnsi="宋体"/>
          <w:sz w:val="24"/>
          <w:lang w:val="en-US" w:eastAsia="zh-CN"/>
        </w:rPr>
        <w:t>粪便</w:t>
      </w:r>
      <w:r>
        <w:rPr>
          <w:rFonts w:hint="eastAsia" w:ascii="宋体" w:hAnsi="宋体" w:eastAsia="宋体"/>
          <w:sz w:val="24"/>
        </w:rPr>
        <w:t>及肠胃内容物产生量约</w:t>
      </w:r>
      <w:r>
        <w:rPr>
          <w:rFonts w:hint="eastAsia"/>
          <w:sz w:val="24"/>
          <w:lang w:val="en-US" w:eastAsia="zh-CN"/>
        </w:rPr>
        <w:t>2017</w:t>
      </w:r>
      <w:r>
        <w:rPr>
          <w:rFonts w:hint="default" w:ascii="Times New Roman" w:hAnsi="Times New Roman" w:eastAsia="Times New Roman"/>
          <w:sz w:val="24"/>
        </w:rPr>
        <w:t>t/a</w:t>
      </w:r>
      <w:r>
        <w:rPr>
          <w:rFonts w:hint="eastAsia" w:ascii="宋体" w:hAnsi="宋体" w:eastAsia="宋体"/>
          <w:sz w:val="24"/>
        </w:rPr>
        <w:t>。</w:t>
      </w:r>
    </w:p>
    <w:p>
      <w:pPr>
        <w:spacing w:beforeLines="0" w:afterLines="0"/>
        <w:jc w:val="left"/>
        <w:rPr>
          <w:rFonts w:hint="eastAsia" w:ascii="宋体" w:hAnsi="宋体" w:eastAsia="宋体"/>
          <w:sz w:val="24"/>
        </w:rPr>
      </w:pPr>
      <w:r>
        <w:rPr>
          <w:rFonts w:hint="eastAsia" w:ascii="宋体" w:hAnsi="宋体"/>
          <w:sz w:val="24"/>
          <w:lang w:val="en-US" w:eastAsia="zh-CN"/>
        </w:rPr>
        <w:t>粪便</w:t>
      </w:r>
      <w:r>
        <w:rPr>
          <w:rFonts w:hint="eastAsia" w:ascii="宋体" w:hAnsi="宋体" w:eastAsia="宋体"/>
          <w:sz w:val="24"/>
        </w:rPr>
        <w:t>暂存于</w:t>
      </w:r>
      <w:r>
        <w:rPr>
          <w:rFonts w:hint="eastAsia" w:ascii="宋体" w:hAnsi="宋体"/>
          <w:sz w:val="24"/>
          <w:lang w:val="en-US" w:eastAsia="zh-CN"/>
        </w:rPr>
        <w:t>粪便暂存区内</w:t>
      </w:r>
      <w:r>
        <w:rPr>
          <w:rFonts w:hint="eastAsia" w:ascii="宋体" w:hAnsi="宋体" w:eastAsia="宋体"/>
          <w:sz w:val="24"/>
        </w:rPr>
        <w:t>；肠胃内容物暂存于内脏处理间内的垃圾箱内，每日由生产有机肥料的单位派遣车辆清运处置。</w:t>
      </w:r>
    </w:p>
    <w:p>
      <w:pPr>
        <w:bidi w:val="0"/>
        <w:rPr>
          <w:rFonts w:hint="eastAsia"/>
          <w:b/>
          <w:bCs/>
        </w:rPr>
      </w:pPr>
      <w:r>
        <w:rPr>
          <w:rFonts w:hint="eastAsia"/>
          <w:b/>
          <w:bCs/>
        </w:rPr>
        <w:t>（</w:t>
      </w:r>
      <w:r>
        <w:rPr>
          <w:rFonts w:hint="default"/>
          <w:b/>
          <w:bCs/>
        </w:rPr>
        <w:t>3</w:t>
      </w:r>
      <w:r>
        <w:rPr>
          <w:rFonts w:hint="eastAsia"/>
          <w:b/>
          <w:bCs/>
        </w:rPr>
        <w:t>）不可食用内脏</w:t>
      </w:r>
    </w:p>
    <w:p>
      <w:pPr>
        <w:bidi w:val="0"/>
        <w:rPr>
          <w:rFonts w:hint="eastAsia"/>
        </w:rPr>
      </w:pPr>
      <w:r>
        <w:rPr>
          <w:rFonts w:hint="eastAsia"/>
        </w:rPr>
        <w:t>项目不可食用内脏包括摘除腺体及淋巴等，根据物料平衡分析，项目不可食用内脏产生量约</w:t>
      </w:r>
      <w:r>
        <w:rPr>
          <w:rFonts w:hint="eastAsia"/>
          <w:lang w:val="en-US" w:eastAsia="zh-CN"/>
        </w:rPr>
        <w:t>720</w:t>
      </w:r>
      <w:r>
        <w:rPr>
          <w:rFonts w:hint="default"/>
        </w:rPr>
        <w:t>t/a</w:t>
      </w:r>
      <w:r>
        <w:rPr>
          <w:rFonts w:hint="eastAsia"/>
        </w:rPr>
        <w:t>。</w:t>
      </w:r>
    </w:p>
    <w:p>
      <w:pPr>
        <w:bidi w:val="0"/>
        <w:rPr>
          <w:rFonts w:hint="eastAsia"/>
        </w:rPr>
      </w:pPr>
      <w:r>
        <w:rPr>
          <w:rFonts w:hint="eastAsia"/>
        </w:rPr>
        <w:t>收集后经企业分类桶装集中收集</w:t>
      </w:r>
      <w:r>
        <w:rPr>
          <w:rFonts w:hint="eastAsia"/>
          <w:lang w:val="en-US" w:eastAsia="zh-CN"/>
        </w:rPr>
        <w:t>后</w:t>
      </w:r>
      <w:r>
        <w:rPr>
          <w:rFonts w:hint="eastAsia" w:ascii="宋体" w:hAnsi="宋体"/>
          <w:sz w:val="24"/>
          <w:lang w:val="en-US" w:eastAsia="zh-CN"/>
        </w:rPr>
        <w:t>暂存于无害化暂存间后交由有处理资质的单位处置</w:t>
      </w:r>
      <w:r>
        <w:rPr>
          <w:rFonts w:hint="eastAsia" w:ascii="宋体" w:hAnsi="宋体" w:eastAsia="宋体"/>
          <w:sz w:val="24"/>
        </w:rPr>
        <w:t>。</w:t>
      </w:r>
    </w:p>
    <w:p>
      <w:pPr>
        <w:bidi w:val="0"/>
        <w:rPr>
          <w:rFonts w:hint="eastAsia"/>
          <w:b/>
          <w:bCs/>
        </w:rPr>
      </w:pPr>
      <w:r>
        <w:rPr>
          <w:rFonts w:hint="eastAsia"/>
          <w:b/>
          <w:bCs/>
        </w:rPr>
        <w:t>（</w:t>
      </w:r>
      <w:r>
        <w:rPr>
          <w:rFonts w:hint="default"/>
          <w:b/>
          <w:bCs/>
        </w:rPr>
        <w:t>4</w:t>
      </w:r>
      <w:r>
        <w:rPr>
          <w:rFonts w:hint="eastAsia"/>
          <w:b/>
          <w:bCs/>
        </w:rPr>
        <w:t>）检验后残渣、废弃动物组织及碎肉碎骨等</w:t>
      </w:r>
    </w:p>
    <w:p>
      <w:pPr>
        <w:bidi w:val="0"/>
        <w:rPr>
          <w:rFonts w:hint="eastAsia"/>
        </w:rPr>
      </w:pPr>
      <w:r>
        <w:rPr>
          <w:rFonts w:hint="eastAsia"/>
        </w:rPr>
        <w:t>根据物料平衡分析，项目检验后残渣、废弃动物组织及碎肉碎骨等产生量约</w:t>
      </w:r>
      <w:r>
        <w:rPr>
          <w:rFonts w:hint="eastAsia"/>
          <w:lang w:val="en-US" w:eastAsia="zh-CN"/>
        </w:rPr>
        <w:t>110</w:t>
      </w:r>
      <w:r>
        <w:rPr>
          <w:rFonts w:hint="default"/>
        </w:rPr>
        <w:t>t/a</w:t>
      </w:r>
      <w:r>
        <w:rPr>
          <w:rFonts w:hint="eastAsia"/>
        </w:rPr>
        <w:t>。</w:t>
      </w:r>
    </w:p>
    <w:p>
      <w:pPr>
        <w:bidi w:val="0"/>
        <w:rPr>
          <w:rFonts w:hint="eastAsia"/>
        </w:rPr>
      </w:pPr>
      <w:r>
        <w:rPr>
          <w:rFonts w:hint="eastAsia"/>
        </w:rPr>
        <w:t>收集后经企业分类桶装集中收集后</w:t>
      </w:r>
      <w:r>
        <w:rPr>
          <w:rFonts w:hint="eastAsia" w:ascii="宋体" w:hAnsi="宋体"/>
          <w:sz w:val="24"/>
          <w:lang w:val="en-US" w:eastAsia="zh-CN"/>
        </w:rPr>
        <w:t>暂存于无害化暂存间后交由有处理资质的单位处置</w:t>
      </w:r>
      <w:r>
        <w:rPr>
          <w:rFonts w:hint="eastAsia" w:ascii="宋体" w:hAnsi="宋体" w:eastAsia="宋体"/>
          <w:sz w:val="24"/>
        </w:rPr>
        <w:t>。</w:t>
      </w:r>
    </w:p>
    <w:p>
      <w:pPr>
        <w:bidi w:val="0"/>
        <w:rPr>
          <w:rFonts w:hint="eastAsia"/>
          <w:b/>
          <w:bCs/>
        </w:rPr>
      </w:pPr>
      <w:r>
        <w:rPr>
          <w:rFonts w:hint="eastAsia"/>
          <w:b/>
          <w:bCs/>
        </w:rPr>
        <w:t>（</w:t>
      </w:r>
      <w:r>
        <w:rPr>
          <w:rFonts w:hint="default"/>
          <w:b/>
          <w:bCs/>
        </w:rPr>
        <w:t>5</w:t>
      </w:r>
      <w:r>
        <w:rPr>
          <w:rFonts w:hint="eastAsia"/>
          <w:b/>
          <w:bCs/>
        </w:rPr>
        <w:t>）污水处理站废物</w:t>
      </w:r>
    </w:p>
    <w:p>
      <w:pPr>
        <w:spacing w:beforeLines="0" w:afterLines="0"/>
        <w:jc w:val="left"/>
        <w:rPr>
          <w:rFonts w:hint="eastAsia" w:ascii="宋体" w:hAnsi="宋体" w:eastAsia="宋体"/>
          <w:sz w:val="24"/>
        </w:rPr>
      </w:pPr>
      <w:r>
        <w:rPr>
          <w:rFonts w:hint="eastAsia" w:ascii="宋体" w:hAnsi="宋体" w:eastAsia="宋体"/>
          <w:sz w:val="24"/>
        </w:rPr>
        <w:t>项目污水处理系统产生的固体废物主要为栅渣、废油脂、污泥等。</w:t>
      </w:r>
    </w:p>
    <w:p>
      <w:pPr>
        <w:bidi w:val="0"/>
        <w:rPr>
          <w:rFonts w:hint="eastAsia" w:eastAsia="宋体"/>
          <w:b/>
          <w:bCs/>
          <w:lang w:val="en-US" w:eastAsia="zh-CN"/>
        </w:rPr>
      </w:pPr>
      <w:r>
        <w:rPr>
          <w:rFonts w:hint="default"/>
          <w:b/>
          <w:bCs/>
        </w:rPr>
        <w:t>1</w:t>
      </w:r>
      <w:r>
        <w:rPr>
          <w:rFonts w:hint="eastAsia"/>
          <w:b/>
          <w:bCs/>
        </w:rPr>
        <w:t>）栅渣</w:t>
      </w:r>
    </w:p>
    <w:p>
      <w:pPr>
        <w:bidi w:val="0"/>
        <w:rPr>
          <w:rFonts w:hint="eastAsia"/>
        </w:rPr>
      </w:pPr>
      <w:r>
        <w:rPr>
          <w:rFonts w:hint="eastAsia"/>
        </w:rPr>
        <w:t>项目污水处理站预处理时会产生栅渣（主要为待宰圈未能干清粪的少量粪便、内脏清理间内冲洗的胃渣、以及少量的</w:t>
      </w:r>
      <w:r>
        <w:rPr>
          <w:rFonts w:hint="eastAsia"/>
          <w:lang w:val="en-US" w:eastAsia="zh-CN"/>
        </w:rPr>
        <w:t>动物</w:t>
      </w:r>
      <w:r>
        <w:rPr>
          <w:rFonts w:hint="eastAsia"/>
        </w:rPr>
        <w:t>毛、蹄壳等），预计产生量约</w:t>
      </w:r>
      <w:r>
        <w:rPr>
          <w:rFonts w:hint="eastAsia"/>
          <w:lang w:val="en-US" w:eastAsia="zh-CN"/>
        </w:rPr>
        <w:t>300</w:t>
      </w:r>
      <w:r>
        <w:rPr>
          <w:rFonts w:hint="default"/>
        </w:rPr>
        <w:t>t/a</w:t>
      </w:r>
      <w:r>
        <w:rPr>
          <w:rFonts w:hint="eastAsia"/>
        </w:rPr>
        <w:t>，收集后暂存于污泥脱水间，与猪粪及肠胃内容物一并由生产有机肥料的单位每日派遣车辆清运处理。</w:t>
      </w:r>
    </w:p>
    <w:p>
      <w:pPr>
        <w:bidi w:val="0"/>
        <w:rPr>
          <w:rFonts w:hint="default"/>
          <w:b/>
          <w:bCs/>
          <w:lang w:val="en-US" w:eastAsia="zh-CN"/>
        </w:rPr>
      </w:pPr>
      <w:r>
        <w:rPr>
          <w:rFonts w:hint="eastAsia"/>
          <w:b/>
          <w:bCs/>
          <w:lang w:val="en-US" w:eastAsia="zh-CN"/>
        </w:rPr>
        <w:t>2）污泥</w:t>
      </w:r>
    </w:p>
    <w:p>
      <w:pPr>
        <w:bidi w:val="0"/>
        <w:rPr>
          <w:rFonts w:hint="eastAsia"/>
        </w:rPr>
      </w:pPr>
      <w:r>
        <w:rPr>
          <w:rFonts w:hint="eastAsia"/>
        </w:rPr>
        <w:t>污水处理设施污泥计算主要采用</w:t>
      </w:r>
      <w:r>
        <w:rPr>
          <w:rFonts w:hint="default"/>
        </w:rPr>
        <w:t>SS</w:t>
      </w:r>
      <w:r>
        <w:rPr>
          <w:rFonts w:hint="eastAsia"/>
        </w:rPr>
        <w:t>去除量进行计算。本项目日均废水排放量为</w:t>
      </w:r>
      <w:r>
        <w:rPr>
          <w:rFonts w:hint="eastAsia"/>
          <w:lang w:val="en-US" w:eastAsia="zh-CN"/>
        </w:rPr>
        <w:t>682.9</w:t>
      </w:r>
      <w:r>
        <w:rPr>
          <w:rFonts w:hint="default"/>
        </w:rPr>
        <w:t>m</w:t>
      </w:r>
      <w:r>
        <w:rPr>
          <w:rFonts w:hint="default"/>
          <w:vertAlign w:val="superscript"/>
        </w:rPr>
        <w:t>3</w:t>
      </w:r>
      <w:r>
        <w:rPr>
          <w:rFonts w:hint="default"/>
        </w:rPr>
        <w:t>/d</w:t>
      </w:r>
      <w:r>
        <w:rPr>
          <w:rFonts w:hint="eastAsia"/>
        </w:rPr>
        <w:t>，其进水中</w:t>
      </w:r>
      <w:r>
        <w:rPr>
          <w:rFonts w:hint="default"/>
        </w:rPr>
        <w:t>SS</w:t>
      </w:r>
      <w:r>
        <w:rPr>
          <w:rFonts w:hint="eastAsia"/>
        </w:rPr>
        <w:t>浓度为</w:t>
      </w:r>
      <w:r>
        <w:rPr>
          <w:rFonts w:hint="eastAsia"/>
          <w:lang w:val="en-US" w:eastAsia="zh-CN"/>
        </w:rPr>
        <w:t>1158</w:t>
      </w:r>
      <w:r>
        <w:rPr>
          <w:rFonts w:hint="default"/>
        </w:rPr>
        <w:t>mg/L</w:t>
      </w:r>
      <w:r>
        <w:rPr>
          <w:rFonts w:hint="eastAsia"/>
        </w:rPr>
        <w:t>，出水中</w:t>
      </w:r>
      <w:r>
        <w:rPr>
          <w:rFonts w:hint="default"/>
        </w:rPr>
        <w:t>SS</w:t>
      </w:r>
      <w:r>
        <w:rPr>
          <w:rFonts w:hint="eastAsia"/>
        </w:rPr>
        <w:t>浓度为</w:t>
      </w:r>
      <w:r>
        <w:rPr>
          <w:rFonts w:hint="eastAsia"/>
          <w:lang w:val="en-US" w:eastAsia="zh-CN"/>
        </w:rPr>
        <w:t>10</w:t>
      </w:r>
      <w:r>
        <w:rPr>
          <w:rFonts w:hint="default"/>
        </w:rPr>
        <w:t>mg/L</w:t>
      </w:r>
      <w:r>
        <w:rPr>
          <w:rFonts w:hint="eastAsia"/>
        </w:rPr>
        <w:t>，则干污泥产生量为</w:t>
      </w:r>
      <w:r>
        <w:rPr>
          <w:rFonts w:hint="eastAsia"/>
          <w:lang w:val="en-US" w:eastAsia="zh-CN"/>
        </w:rPr>
        <w:t>0.783t</w:t>
      </w:r>
      <w:r>
        <w:rPr>
          <w:rFonts w:hint="default"/>
        </w:rPr>
        <w:t>/d</w:t>
      </w:r>
      <w:r>
        <w:rPr>
          <w:rFonts w:hint="eastAsia"/>
        </w:rPr>
        <w:t>，污泥考虑</w:t>
      </w:r>
      <w:r>
        <w:rPr>
          <w:rFonts w:hint="default"/>
        </w:rPr>
        <w:t>80%</w:t>
      </w:r>
      <w:r>
        <w:rPr>
          <w:rFonts w:hint="eastAsia"/>
        </w:rPr>
        <w:t>的含水率，则项目污水处理设施污泥产生量约</w:t>
      </w:r>
      <w:r>
        <w:rPr>
          <w:rFonts w:hint="eastAsia"/>
          <w:lang w:val="en-US" w:eastAsia="zh-CN"/>
        </w:rPr>
        <w:t>0.16t</w:t>
      </w:r>
      <w:r>
        <w:rPr>
          <w:rFonts w:hint="default"/>
        </w:rPr>
        <w:t>/</w:t>
      </w:r>
      <w:r>
        <w:rPr>
          <w:rFonts w:hint="eastAsia"/>
          <w:lang w:val="en-US" w:eastAsia="zh-CN"/>
        </w:rPr>
        <w:t>d（43.4t/a）</w:t>
      </w:r>
      <w:r>
        <w:rPr>
          <w:rFonts w:hint="eastAsia"/>
        </w:rPr>
        <w:t>。污泥脱水后暂存于脱水间，每日交由</w:t>
      </w:r>
      <w:r>
        <w:rPr>
          <w:rFonts w:hint="eastAsia"/>
          <w:lang w:val="en-US" w:eastAsia="zh-CN"/>
        </w:rPr>
        <w:t>有机肥厂界作为营养土</w:t>
      </w:r>
      <w:r>
        <w:rPr>
          <w:rFonts w:hint="eastAsia"/>
        </w:rPr>
        <w:t>。</w:t>
      </w:r>
    </w:p>
    <w:p>
      <w:pPr>
        <w:bidi w:val="0"/>
        <w:rPr>
          <w:rFonts w:hint="eastAsia"/>
          <w:b/>
          <w:bCs/>
        </w:rPr>
      </w:pPr>
      <w:r>
        <w:rPr>
          <w:rFonts w:hint="default"/>
          <w:b/>
          <w:bCs/>
        </w:rPr>
        <w:t>3</w:t>
      </w:r>
      <w:r>
        <w:rPr>
          <w:rFonts w:hint="eastAsia"/>
          <w:b/>
          <w:bCs/>
        </w:rPr>
        <w:t>）废油脂</w:t>
      </w:r>
    </w:p>
    <w:p>
      <w:pPr>
        <w:bidi w:val="0"/>
        <w:rPr>
          <w:rFonts w:hint="eastAsia"/>
        </w:rPr>
      </w:pPr>
      <w:r>
        <w:rPr>
          <w:rFonts w:hint="eastAsia"/>
        </w:rPr>
        <w:t>项目生产、生活废水经隔油处理时会产生一定量的浮油，产生量主要采用动植物油去除率进行计算，本项目日均废水排放量为</w:t>
      </w:r>
      <w:r>
        <w:rPr>
          <w:rFonts w:hint="eastAsia"/>
          <w:lang w:val="en-US" w:eastAsia="zh-CN"/>
        </w:rPr>
        <w:t>682.9</w:t>
      </w:r>
      <w:r>
        <w:rPr>
          <w:rFonts w:hint="default"/>
        </w:rPr>
        <w:t>m</w:t>
      </w:r>
      <w:r>
        <w:rPr>
          <w:rFonts w:hint="default"/>
          <w:vertAlign w:val="superscript"/>
        </w:rPr>
        <w:t>3</w:t>
      </w:r>
      <w:r>
        <w:rPr>
          <w:rFonts w:hint="default"/>
        </w:rPr>
        <w:t>/d</w:t>
      </w:r>
      <w:r>
        <w:rPr>
          <w:rFonts w:hint="eastAsia"/>
        </w:rPr>
        <w:t>，其进水中动植物油浓度为</w:t>
      </w:r>
      <w:r>
        <w:rPr>
          <w:rFonts w:hint="eastAsia"/>
          <w:lang w:val="en-US" w:eastAsia="zh-CN"/>
        </w:rPr>
        <w:t>145</w:t>
      </w:r>
      <w:r>
        <w:rPr>
          <w:rFonts w:hint="default"/>
        </w:rPr>
        <w:t>mg/L</w:t>
      </w:r>
      <w:r>
        <w:rPr>
          <w:rFonts w:hint="eastAsia"/>
          <w:lang w:eastAsia="zh-CN"/>
        </w:rPr>
        <w:t>，</w:t>
      </w:r>
      <w:r>
        <w:rPr>
          <w:rFonts w:hint="eastAsia"/>
        </w:rPr>
        <w:t>出水中动植物油浓度为</w:t>
      </w:r>
      <w:r>
        <w:rPr>
          <w:rFonts w:hint="eastAsia"/>
          <w:lang w:val="en-US" w:eastAsia="zh-CN"/>
        </w:rPr>
        <w:t>1</w:t>
      </w:r>
      <w:r>
        <w:rPr>
          <w:rFonts w:hint="default"/>
        </w:rPr>
        <w:t>mg/L</w:t>
      </w:r>
      <w:r>
        <w:rPr>
          <w:rFonts w:hint="eastAsia"/>
          <w:lang w:eastAsia="zh-CN"/>
        </w:rPr>
        <w:t>，</w:t>
      </w:r>
      <w:r>
        <w:rPr>
          <w:rFonts w:hint="eastAsia"/>
        </w:rPr>
        <w:t>则油脂产生量为</w:t>
      </w:r>
      <w:r>
        <w:rPr>
          <w:rFonts w:hint="eastAsia"/>
          <w:lang w:val="en-US" w:eastAsia="zh-CN"/>
        </w:rPr>
        <w:t>0.1t</w:t>
      </w:r>
      <w:r>
        <w:rPr>
          <w:rFonts w:hint="default"/>
        </w:rPr>
        <w:t>/d</w:t>
      </w:r>
      <w:r>
        <w:rPr>
          <w:rFonts w:hint="eastAsia"/>
        </w:rPr>
        <w:t>，则项目污水处理设施废油脂产生量约</w:t>
      </w:r>
      <w:r>
        <w:rPr>
          <w:rFonts w:hint="eastAsia"/>
          <w:lang w:val="en-US" w:eastAsia="zh-CN"/>
        </w:rPr>
        <w:t>27.23t</w:t>
      </w:r>
      <w:r>
        <w:rPr>
          <w:rFonts w:hint="default"/>
        </w:rPr>
        <w:t>/a</w:t>
      </w:r>
      <w:r>
        <w:rPr>
          <w:rFonts w:hint="eastAsia"/>
        </w:rPr>
        <w:t>，委托有资质的单位进行清掏处置。</w:t>
      </w:r>
    </w:p>
    <w:p>
      <w:pPr>
        <w:bidi w:val="0"/>
        <w:rPr>
          <w:rFonts w:hint="eastAsia"/>
          <w:b/>
          <w:bCs/>
        </w:rPr>
      </w:pPr>
      <w:r>
        <w:rPr>
          <w:rFonts w:hint="eastAsia"/>
          <w:b/>
          <w:bCs/>
        </w:rPr>
        <w:t>（</w:t>
      </w:r>
      <w:r>
        <w:rPr>
          <w:rFonts w:hint="default"/>
          <w:b/>
          <w:bCs/>
        </w:rPr>
        <w:t>6</w:t>
      </w:r>
      <w:r>
        <w:rPr>
          <w:rFonts w:hint="eastAsia"/>
          <w:b/>
          <w:bCs/>
        </w:rPr>
        <w:t>）废包装材料、废胶皮手套</w:t>
      </w:r>
    </w:p>
    <w:p>
      <w:pPr>
        <w:bidi w:val="0"/>
        <w:rPr>
          <w:rFonts w:hint="eastAsia"/>
        </w:rPr>
      </w:pPr>
      <w:r>
        <w:rPr>
          <w:rFonts w:hint="eastAsia"/>
        </w:rPr>
        <w:t>项目分割肉包装时会产生少量塑料薄膜等废包装材料，生产过程会产生废胶皮手套，产生量约</w:t>
      </w:r>
      <w:r>
        <w:rPr>
          <w:rFonts w:hint="eastAsia"/>
          <w:lang w:val="en-US" w:eastAsia="zh-CN"/>
        </w:rPr>
        <w:t>1.2</w:t>
      </w:r>
      <w:r>
        <w:rPr>
          <w:rFonts w:hint="default"/>
        </w:rPr>
        <w:t>t/a</w:t>
      </w:r>
      <w:r>
        <w:rPr>
          <w:rFonts w:hint="eastAsia"/>
        </w:rPr>
        <w:t>，收集后外售废品收购站处理。</w:t>
      </w:r>
    </w:p>
    <w:p>
      <w:pPr>
        <w:pStyle w:val="6"/>
        <w:bidi w:val="0"/>
        <w:rPr>
          <w:rFonts w:hint="eastAsia"/>
          <w:lang w:val="en-US" w:eastAsia="zh-CN"/>
        </w:rPr>
      </w:pPr>
      <w:r>
        <w:rPr>
          <w:rFonts w:hint="eastAsia"/>
          <w:lang w:val="en-US" w:eastAsia="zh-CN"/>
        </w:rPr>
        <w:t>生活垃圾</w:t>
      </w:r>
    </w:p>
    <w:p>
      <w:pPr>
        <w:spacing w:beforeLines="0" w:afterLines="0"/>
        <w:jc w:val="left"/>
        <w:rPr>
          <w:rFonts w:hint="eastAsia" w:ascii="宋体" w:hAnsi="宋体" w:eastAsia="宋体"/>
          <w:sz w:val="24"/>
        </w:rPr>
      </w:pPr>
      <w:r>
        <w:rPr>
          <w:rFonts w:hint="eastAsia" w:ascii="宋体" w:hAnsi="宋体" w:eastAsia="宋体"/>
          <w:sz w:val="24"/>
        </w:rPr>
        <w:t>项目员工定员</w:t>
      </w:r>
      <w:r>
        <w:rPr>
          <w:rFonts w:hint="eastAsia" w:ascii="Times New Roman" w:hAnsi="Times New Roman"/>
          <w:sz w:val="24"/>
          <w:lang w:val="en-US" w:eastAsia="zh-CN"/>
        </w:rPr>
        <w:t>50</w:t>
      </w:r>
      <w:r>
        <w:rPr>
          <w:rFonts w:hint="eastAsia" w:ascii="宋体" w:hAnsi="宋体" w:eastAsia="宋体"/>
          <w:sz w:val="24"/>
        </w:rPr>
        <w:t>人，工作人员产生的生活垃圾按每人每天</w:t>
      </w:r>
      <w:r>
        <w:rPr>
          <w:rFonts w:hint="default" w:ascii="Times New Roman" w:hAnsi="Times New Roman" w:eastAsia="Times New Roman"/>
          <w:sz w:val="24"/>
        </w:rPr>
        <w:t>0.5kg</w:t>
      </w:r>
      <w:r>
        <w:rPr>
          <w:rFonts w:hint="eastAsia" w:ascii="宋体" w:hAnsi="宋体" w:eastAsia="宋体"/>
          <w:sz w:val="24"/>
        </w:rPr>
        <w:t>计算，故产生量为</w:t>
      </w:r>
      <w:r>
        <w:rPr>
          <w:rFonts w:hint="default" w:ascii="Times New Roman" w:hAnsi="Times New Roman" w:eastAsia="Times New Roman"/>
          <w:sz w:val="24"/>
        </w:rPr>
        <w:t>7.5t/a</w:t>
      </w:r>
      <w:r>
        <w:rPr>
          <w:rFonts w:hint="eastAsia" w:ascii="宋体" w:hAnsi="宋体" w:eastAsia="宋体"/>
          <w:sz w:val="24"/>
        </w:rPr>
        <w:t>，生活垃圾收集后暂存生活垃圾收集点由环卫部门统一清运，日清日产。</w:t>
      </w:r>
    </w:p>
    <w:p>
      <w:pPr>
        <w:pStyle w:val="6"/>
        <w:bidi w:val="0"/>
        <w:rPr>
          <w:rFonts w:hint="default"/>
          <w:lang w:val="en-US" w:eastAsia="zh-CN"/>
        </w:rPr>
      </w:pPr>
      <w:r>
        <w:rPr>
          <w:rFonts w:hint="eastAsia"/>
          <w:lang w:val="en-US" w:eastAsia="zh-CN"/>
        </w:rPr>
        <w:t>餐厨垃圾</w:t>
      </w:r>
    </w:p>
    <w:p>
      <w:pPr>
        <w:bidi w:val="0"/>
        <w:rPr>
          <w:rFonts w:hint="eastAsia"/>
        </w:rPr>
      </w:pPr>
      <w:r>
        <w:rPr>
          <w:rFonts w:hint="eastAsia"/>
        </w:rPr>
        <w:t>本项目设置食堂，共</w:t>
      </w:r>
      <w:r>
        <w:rPr>
          <w:rFonts w:hint="eastAsia"/>
          <w:lang w:val="en-US" w:eastAsia="zh-CN"/>
        </w:rPr>
        <w:t>50</w:t>
      </w:r>
      <w:r>
        <w:rPr>
          <w:rFonts w:hint="eastAsia"/>
        </w:rPr>
        <w:t>名员工用餐，餐厨垃圾产生量按</w:t>
      </w:r>
      <w:r>
        <w:rPr>
          <w:rFonts w:hint="default"/>
        </w:rPr>
        <w:t>0.05kg/</w:t>
      </w:r>
      <w:r>
        <w:rPr>
          <w:rFonts w:hint="eastAsia"/>
        </w:rPr>
        <w:t>人</w:t>
      </w:r>
      <w:r>
        <w:rPr>
          <w:rFonts w:hint="default"/>
        </w:rPr>
        <w:t>·d</w:t>
      </w:r>
      <w:r>
        <w:rPr>
          <w:rFonts w:hint="eastAsia"/>
        </w:rPr>
        <w:t>计，餐厨垃圾产生量为</w:t>
      </w:r>
      <w:r>
        <w:rPr>
          <w:rFonts w:hint="eastAsia"/>
          <w:lang w:val="en-US" w:eastAsia="zh-CN"/>
        </w:rPr>
        <w:t>2.5</w:t>
      </w:r>
      <w:r>
        <w:rPr>
          <w:rFonts w:hint="default"/>
        </w:rPr>
        <w:t>kg/d</w:t>
      </w:r>
      <w:r>
        <w:rPr>
          <w:rFonts w:hint="eastAsia"/>
        </w:rPr>
        <w:t>（</w:t>
      </w:r>
      <w:r>
        <w:rPr>
          <w:rFonts w:hint="eastAsia"/>
          <w:lang w:val="en-US" w:eastAsia="zh-CN"/>
        </w:rPr>
        <w:t>0</w:t>
      </w:r>
      <w:r>
        <w:rPr>
          <w:rFonts w:hint="default"/>
        </w:rPr>
        <w:t>.75t/a</w:t>
      </w:r>
      <w:r>
        <w:rPr>
          <w:rFonts w:hint="eastAsia"/>
        </w:rPr>
        <w:t>）。</w:t>
      </w:r>
    </w:p>
    <w:p>
      <w:pPr>
        <w:bidi w:val="0"/>
        <w:rPr>
          <w:rFonts w:hint="eastAsia"/>
        </w:rPr>
      </w:pPr>
      <w:r>
        <w:rPr>
          <w:rFonts w:hint="eastAsia"/>
        </w:rPr>
        <w:t>产生的餐厨垃圾经专用收集桶收集后交由经城管部门许可的餐厨垃圾收运单位处置。</w:t>
      </w:r>
    </w:p>
    <w:p>
      <w:pPr>
        <w:pStyle w:val="6"/>
        <w:bidi w:val="0"/>
        <w:rPr>
          <w:rFonts w:hint="eastAsia"/>
        </w:rPr>
      </w:pPr>
      <w:r>
        <w:rPr>
          <w:rFonts w:hint="eastAsia"/>
        </w:rPr>
        <w:t>危险废物</w:t>
      </w:r>
    </w:p>
    <w:p>
      <w:pPr>
        <w:bidi w:val="0"/>
        <w:rPr>
          <w:rFonts w:hint="eastAsia"/>
          <w:b/>
          <w:bCs/>
        </w:rPr>
      </w:pPr>
      <w:r>
        <w:rPr>
          <w:rFonts w:hint="eastAsia"/>
          <w:b/>
          <w:bCs/>
        </w:rPr>
        <w:t>（</w:t>
      </w:r>
      <w:r>
        <w:rPr>
          <w:rFonts w:hint="default"/>
          <w:b/>
          <w:bCs/>
        </w:rPr>
        <w:t>1</w:t>
      </w:r>
      <w:r>
        <w:rPr>
          <w:rFonts w:hint="eastAsia"/>
          <w:b/>
          <w:bCs/>
        </w:rPr>
        <w:t>）废试纸、废</w:t>
      </w:r>
      <w:r>
        <w:rPr>
          <w:rFonts w:hint="default"/>
          <w:b/>
          <w:bCs/>
        </w:rPr>
        <w:t>PCR</w:t>
      </w:r>
      <w:r>
        <w:rPr>
          <w:rFonts w:hint="eastAsia"/>
          <w:b/>
          <w:bCs/>
        </w:rPr>
        <w:t>试剂盒</w:t>
      </w:r>
    </w:p>
    <w:p>
      <w:pPr>
        <w:bidi w:val="0"/>
        <w:rPr>
          <w:rFonts w:hint="eastAsia"/>
        </w:rPr>
      </w:pPr>
      <w:r>
        <w:rPr>
          <w:rFonts w:hint="eastAsia"/>
          <w:lang w:val="en-US" w:eastAsia="zh-CN"/>
        </w:rPr>
        <w:t>牲畜</w:t>
      </w:r>
      <w:r>
        <w:rPr>
          <w:rFonts w:hint="eastAsia"/>
        </w:rPr>
        <w:t>进场进行抽检产生的废试纸、废</w:t>
      </w:r>
      <w:r>
        <w:rPr>
          <w:rFonts w:hint="default"/>
        </w:rPr>
        <w:t>PCR</w:t>
      </w:r>
      <w:r>
        <w:rPr>
          <w:rFonts w:hint="eastAsia"/>
        </w:rPr>
        <w:t>试剂盒属于</w:t>
      </w:r>
      <w:r>
        <w:rPr>
          <w:rFonts w:hint="default"/>
        </w:rPr>
        <w:t>HW01</w:t>
      </w:r>
      <w:r>
        <w:rPr>
          <w:rFonts w:hint="eastAsia"/>
        </w:rPr>
        <w:t>医疗废物，委外代码</w:t>
      </w:r>
      <w:r>
        <w:rPr>
          <w:rFonts w:hint="eastAsia"/>
          <w:lang w:eastAsia="zh-CN"/>
        </w:rPr>
        <w:t>841-001-01</w:t>
      </w:r>
      <w:r>
        <w:rPr>
          <w:rFonts w:hint="eastAsia"/>
        </w:rPr>
        <w:t>，产生的废物暂存于门卫室的冰柜内，每日交具有相应资质单位进行处置。</w:t>
      </w:r>
    </w:p>
    <w:p>
      <w:pPr>
        <w:bidi w:val="0"/>
        <w:rPr>
          <w:rFonts w:hint="default" w:eastAsia="宋体"/>
          <w:b/>
          <w:bCs/>
          <w:lang w:val="en-US" w:eastAsia="zh-CN"/>
        </w:rPr>
      </w:pPr>
      <w:r>
        <w:rPr>
          <w:rFonts w:hint="eastAsia"/>
          <w:b/>
          <w:bCs/>
          <w:lang w:eastAsia="zh-CN"/>
        </w:rPr>
        <w:t>（</w:t>
      </w:r>
      <w:r>
        <w:rPr>
          <w:rFonts w:hint="eastAsia"/>
          <w:b/>
          <w:bCs/>
          <w:lang w:val="en-US" w:eastAsia="zh-CN"/>
        </w:rPr>
        <w:t>2</w:t>
      </w:r>
      <w:r>
        <w:rPr>
          <w:rFonts w:hint="eastAsia"/>
          <w:b/>
          <w:bCs/>
          <w:lang w:eastAsia="zh-CN"/>
        </w:rPr>
        <w:t>）</w:t>
      </w:r>
      <w:r>
        <w:rPr>
          <w:rFonts w:hint="eastAsia"/>
          <w:b/>
          <w:bCs/>
          <w:lang w:val="en-US" w:eastAsia="zh-CN"/>
        </w:rPr>
        <w:t>废润滑油及废油桶</w:t>
      </w:r>
    </w:p>
    <w:p>
      <w:pPr>
        <w:spacing w:beforeLines="0" w:afterLines="0"/>
        <w:jc w:val="left"/>
        <w:rPr>
          <w:rFonts w:hint="eastAsia"/>
        </w:rPr>
      </w:pPr>
      <w:r>
        <w:rPr>
          <w:rFonts w:hint="eastAsia" w:ascii="宋体" w:hAnsi="宋体" w:eastAsia="宋体"/>
          <w:sz w:val="24"/>
        </w:rPr>
        <w:t>项目维护设备会产生了少量废润滑油，产生量约为</w:t>
      </w:r>
      <w:r>
        <w:rPr>
          <w:rFonts w:hint="default" w:ascii="Times New Roman" w:hAnsi="Times New Roman" w:eastAsia="Times New Roman"/>
          <w:sz w:val="24"/>
        </w:rPr>
        <w:t>0.1t/a</w:t>
      </w:r>
      <w:r>
        <w:rPr>
          <w:rFonts w:hint="eastAsia" w:ascii="宋体" w:hAnsi="宋体" w:eastAsia="宋体"/>
          <w:sz w:val="24"/>
        </w:rPr>
        <w:t>，属于国家危险废物名录中的废矿物油与含矿物油废物（</w:t>
      </w:r>
      <w:r>
        <w:rPr>
          <w:rFonts w:hint="default" w:ascii="Times New Roman" w:hAnsi="Times New Roman" w:eastAsia="Times New Roman"/>
          <w:sz w:val="24"/>
        </w:rPr>
        <w:t>HW08</w:t>
      </w:r>
      <w:r>
        <w:rPr>
          <w:rFonts w:hint="eastAsia" w:ascii="宋体" w:hAnsi="宋体" w:eastAsia="宋体"/>
          <w:sz w:val="24"/>
        </w:rPr>
        <w:t>），废润滑油（</w:t>
      </w:r>
      <w:r>
        <w:rPr>
          <w:rFonts w:hint="default" w:ascii="Times New Roman" w:hAnsi="Times New Roman" w:eastAsia="Times New Roman"/>
          <w:sz w:val="24"/>
        </w:rPr>
        <w:t>900-217-08</w:t>
      </w:r>
      <w:r>
        <w:rPr>
          <w:rFonts w:hint="eastAsia" w:ascii="宋体" w:hAnsi="宋体" w:eastAsia="宋体"/>
          <w:sz w:val="24"/>
        </w:rPr>
        <w:t>），采用专用容器收集后暂存于危废暂存间，废油桶年产生量约</w:t>
      </w:r>
      <w:r>
        <w:rPr>
          <w:rFonts w:hint="default" w:ascii="Times New Roman" w:hAnsi="Times New Roman" w:eastAsia="Times New Roman"/>
          <w:sz w:val="24"/>
        </w:rPr>
        <w:t>10</w:t>
      </w:r>
      <w:r>
        <w:rPr>
          <w:rFonts w:hint="eastAsia" w:ascii="宋体" w:hAnsi="宋体" w:eastAsia="宋体"/>
          <w:sz w:val="24"/>
        </w:rPr>
        <w:t>个</w:t>
      </w:r>
      <w:r>
        <w:rPr>
          <w:rFonts w:hint="default" w:ascii="Times New Roman" w:hAnsi="Times New Roman" w:eastAsia="Times New Roman"/>
          <w:sz w:val="24"/>
        </w:rPr>
        <w:t>/a</w:t>
      </w:r>
      <w:r>
        <w:rPr>
          <w:rFonts w:hint="eastAsia" w:ascii="宋体" w:hAnsi="宋体" w:eastAsia="宋体"/>
          <w:sz w:val="24"/>
        </w:rPr>
        <w:t>，油桶重</w:t>
      </w:r>
      <w:r>
        <w:rPr>
          <w:rFonts w:hint="default" w:ascii="Times New Roman" w:hAnsi="Times New Roman" w:eastAsia="Times New Roman"/>
          <w:sz w:val="24"/>
        </w:rPr>
        <w:t>1kg/</w:t>
      </w:r>
      <w:r>
        <w:rPr>
          <w:rFonts w:hint="eastAsia" w:ascii="宋体" w:hAnsi="宋体" w:eastAsia="宋体"/>
          <w:sz w:val="24"/>
        </w:rPr>
        <w:t>个，则年产生量为</w:t>
      </w:r>
      <w:r>
        <w:rPr>
          <w:rFonts w:hint="default" w:ascii="Times New Roman" w:hAnsi="Times New Roman" w:eastAsia="Times New Roman"/>
          <w:sz w:val="24"/>
        </w:rPr>
        <w:t>0.01t/a</w:t>
      </w:r>
      <w:r>
        <w:rPr>
          <w:rFonts w:hint="eastAsia" w:ascii="宋体" w:hAnsi="宋体" w:eastAsia="宋体"/>
          <w:sz w:val="24"/>
        </w:rPr>
        <w:t>。交由具有相应资质的单位收集处理。</w:t>
      </w:r>
    </w:p>
    <w:p>
      <w:pPr>
        <w:pStyle w:val="29"/>
        <w:bidi w:val="0"/>
        <w:rPr>
          <w:rFonts w:hint="eastAsia"/>
          <w:lang w:val="en-US" w:eastAsia="zh-CN"/>
        </w:rPr>
      </w:pPr>
      <w:r>
        <w:rPr>
          <w:rFonts w:hint="eastAsia"/>
          <w:lang w:val="en-US" w:eastAsia="zh-CN"/>
        </w:rPr>
        <w:t>表3.4-13  危险废物汇总表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39"/>
        <w:gridCol w:w="925"/>
        <w:gridCol w:w="1197"/>
        <w:gridCol w:w="900"/>
        <w:gridCol w:w="896"/>
        <w:gridCol w:w="433"/>
        <w:gridCol w:w="672"/>
        <w:gridCol w:w="799"/>
        <w:gridCol w:w="762"/>
        <w:gridCol w:w="689"/>
        <w:gridCol w:w="11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序号</w:t>
            </w:r>
          </w:p>
        </w:tc>
        <w:tc>
          <w:tcPr>
            <w:tcW w:w="386"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危险废物名称</w:t>
            </w:r>
          </w:p>
        </w:tc>
        <w:tc>
          <w:tcPr>
            <w:tcW w:w="483"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危险废物类别</w:t>
            </w:r>
          </w:p>
        </w:tc>
        <w:tc>
          <w:tcPr>
            <w:tcW w:w="625"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危险废物代码</w:t>
            </w:r>
          </w:p>
        </w:tc>
        <w:tc>
          <w:tcPr>
            <w:tcW w:w="470"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产生量（t/a）</w:t>
            </w:r>
          </w:p>
        </w:tc>
        <w:tc>
          <w:tcPr>
            <w:tcW w:w="468"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产生工序及装置</w:t>
            </w:r>
          </w:p>
        </w:tc>
        <w:tc>
          <w:tcPr>
            <w:tcW w:w="226"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形态</w:t>
            </w:r>
          </w:p>
        </w:tc>
        <w:tc>
          <w:tcPr>
            <w:tcW w:w="351"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主要成分</w:t>
            </w:r>
          </w:p>
        </w:tc>
        <w:tc>
          <w:tcPr>
            <w:tcW w:w="417"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有害成分</w:t>
            </w:r>
          </w:p>
        </w:tc>
        <w:tc>
          <w:tcPr>
            <w:tcW w:w="398"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产废周期</w:t>
            </w:r>
          </w:p>
        </w:tc>
        <w:tc>
          <w:tcPr>
            <w:tcW w:w="360"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危险特性</w:t>
            </w:r>
          </w:p>
        </w:tc>
        <w:tc>
          <w:tcPr>
            <w:tcW w:w="588"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38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废试纸、废PCR试剂盒</w:t>
            </w:r>
          </w:p>
        </w:tc>
        <w:tc>
          <w:tcPr>
            <w:tcW w:w="48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HW01</w:t>
            </w:r>
          </w:p>
        </w:tc>
        <w:tc>
          <w:tcPr>
            <w:tcW w:w="62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841-001-01</w:t>
            </w:r>
          </w:p>
        </w:tc>
        <w:tc>
          <w:tcPr>
            <w:tcW w:w="47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0.15</w:t>
            </w:r>
          </w:p>
        </w:tc>
        <w:tc>
          <w:tcPr>
            <w:tcW w:w="46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进场检疫</w:t>
            </w:r>
          </w:p>
        </w:tc>
        <w:tc>
          <w:tcPr>
            <w:tcW w:w="22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固态</w:t>
            </w:r>
          </w:p>
        </w:tc>
        <w:tc>
          <w:tcPr>
            <w:tcW w:w="35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41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9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1d</w:t>
            </w:r>
          </w:p>
        </w:tc>
        <w:tc>
          <w:tcPr>
            <w:tcW w:w="36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In</w:t>
            </w:r>
          </w:p>
        </w:tc>
        <w:tc>
          <w:tcPr>
            <w:tcW w:w="588" w:type="pct"/>
            <w:tcBorders>
              <w:tl2br w:val="nil"/>
              <w:tr2bl w:val="nil"/>
            </w:tcBorders>
            <w:vAlign w:val="center"/>
          </w:tcPr>
          <w:p>
            <w:pPr>
              <w:pStyle w:val="30"/>
              <w:widowControl w:val="0"/>
              <w:bidi w:val="0"/>
              <w:jc w:val="center"/>
              <w:rPr>
                <w:rFonts w:hint="default"/>
                <w:lang w:val="en-US" w:eastAsia="zh-CN"/>
              </w:rPr>
            </w:pPr>
            <w:r>
              <w:rPr>
                <w:rFonts w:hint="eastAsia"/>
              </w:rPr>
              <w:t>暂存于门卫室冰柜内，每日交具有相应资质单位处置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386"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废润滑油</w:t>
            </w:r>
          </w:p>
        </w:tc>
        <w:tc>
          <w:tcPr>
            <w:tcW w:w="483"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HW08</w:t>
            </w:r>
          </w:p>
        </w:tc>
        <w:tc>
          <w:tcPr>
            <w:tcW w:w="625"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900-217-08</w:t>
            </w:r>
          </w:p>
        </w:tc>
        <w:tc>
          <w:tcPr>
            <w:tcW w:w="47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0.1</w:t>
            </w:r>
          </w:p>
        </w:tc>
        <w:tc>
          <w:tcPr>
            <w:tcW w:w="46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设备维护</w:t>
            </w:r>
          </w:p>
        </w:tc>
        <w:tc>
          <w:tcPr>
            <w:tcW w:w="226"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液态</w:t>
            </w:r>
          </w:p>
        </w:tc>
        <w:tc>
          <w:tcPr>
            <w:tcW w:w="35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矿物油</w:t>
            </w:r>
          </w:p>
        </w:tc>
        <w:tc>
          <w:tcPr>
            <w:tcW w:w="417"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矿物油</w:t>
            </w:r>
          </w:p>
        </w:tc>
        <w:tc>
          <w:tcPr>
            <w:tcW w:w="39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30d</w:t>
            </w:r>
          </w:p>
        </w:tc>
        <w:tc>
          <w:tcPr>
            <w:tcW w:w="36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T</w:t>
            </w:r>
          </w:p>
        </w:tc>
        <w:tc>
          <w:tcPr>
            <w:tcW w:w="588" w:type="pct"/>
            <w:vMerge w:val="restart"/>
            <w:tcBorders>
              <w:tl2br w:val="nil"/>
              <w:tr2bl w:val="nil"/>
            </w:tcBorders>
            <w:vAlign w:val="center"/>
          </w:tcPr>
          <w:p>
            <w:pPr>
              <w:pStyle w:val="30"/>
              <w:widowControl w:val="0"/>
              <w:bidi w:val="0"/>
              <w:jc w:val="center"/>
              <w:rPr>
                <w:rFonts w:hint="default"/>
                <w:lang w:val="en-US" w:eastAsia="zh-CN"/>
              </w:rPr>
            </w:pPr>
            <w:r>
              <w:rPr>
                <w:rFonts w:hint="eastAsia"/>
              </w:rPr>
              <w:t>暂存于危险废物暂存点，交由具有相应资质的单位收集处理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w:t>
            </w:r>
          </w:p>
        </w:tc>
        <w:tc>
          <w:tcPr>
            <w:tcW w:w="386"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废油桶</w:t>
            </w:r>
          </w:p>
        </w:tc>
        <w:tc>
          <w:tcPr>
            <w:tcW w:w="483"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HW08</w:t>
            </w:r>
          </w:p>
        </w:tc>
        <w:tc>
          <w:tcPr>
            <w:tcW w:w="625"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900-249-08</w:t>
            </w:r>
          </w:p>
        </w:tc>
        <w:tc>
          <w:tcPr>
            <w:tcW w:w="47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0.01</w:t>
            </w:r>
          </w:p>
        </w:tc>
        <w:tc>
          <w:tcPr>
            <w:tcW w:w="46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装润滑油</w:t>
            </w:r>
          </w:p>
        </w:tc>
        <w:tc>
          <w:tcPr>
            <w:tcW w:w="226"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固态</w:t>
            </w:r>
          </w:p>
        </w:tc>
        <w:tc>
          <w:tcPr>
            <w:tcW w:w="35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矿物油</w:t>
            </w:r>
          </w:p>
        </w:tc>
        <w:tc>
          <w:tcPr>
            <w:tcW w:w="417"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矿物油</w:t>
            </w:r>
          </w:p>
        </w:tc>
        <w:tc>
          <w:tcPr>
            <w:tcW w:w="39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60d</w:t>
            </w:r>
          </w:p>
        </w:tc>
        <w:tc>
          <w:tcPr>
            <w:tcW w:w="360"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T</w:t>
            </w:r>
          </w:p>
        </w:tc>
        <w:tc>
          <w:tcPr>
            <w:tcW w:w="588" w:type="pct"/>
            <w:vMerge w:val="continue"/>
            <w:tcBorders>
              <w:tl2br w:val="nil"/>
              <w:tr2bl w:val="nil"/>
            </w:tcBorders>
            <w:vAlign w:val="center"/>
          </w:tcPr>
          <w:p>
            <w:pPr>
              <w:pStyle w:val="30"/>
              <w:widowControl w:val="0"/>
              <w:jc w:val="center"/>
              <w:rPr>
                <w:rFonts w:hint="default"/>
                <w:vertAlign w:val="baseline"/>
                <w:lang w:val="en-US" w:eastAsia="zh-CN"/>
              </w:rPr>
            </w:pPr>
          </w:p>
        </w:tc>
      </w:tr>
    </w:tbl>
    <w:p>
      <w:pPr>
        <w:bidi w:val="0"/>
        <w:rPr>
          <w:rFonts w:hint="eastAsia"/>
          <w:lang w:val="en-US" w:eastAsia="zh-CN"/>
        </w:rPr>
      </w:pPr>
      <w:r>
        <w:rPr>
          <w:rFonts w:hint="eastAsia"/>
          <w:lang w:val="en-US" w:eastAsia="zh-CN"/>
        </w:rPr>
        <w:t>本项目产生的主要固体废弃物及处置情况见表3.4-13。</w:t>
      </w:r>
    </w:p>
    <w:p>
      <w:pPr>
        <w:pStyle w:val="29"/>
        <w:bidi w:val="0"/>
        <w:rPr>
          <w:rFonts w:hint="eastAsia"/>
          <w:lang w:val="en-US" w:eastAsia="zh-CN"/>
        </w:rPr>
      </w:pPr>
      <w:r>
        <w:rPr>
          <w:rFonts w:hint="eastAsia"/>
          <w:lang w:val="en-US" w:eastAsia="zh-CN"/>
        </w:rPr>
        <w:t>表3.4-13  本项目固废分析情况汇总</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2185"/>
        <w:gridCol w:w="1225"/>
        <w:gridCol w:w="1230"/>
        <w:gridCol w:w="1355"/>
        <w:gridCol w:w="29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序号</w:t>
            </w:r>
          </w:p>
        </w:tc>
        <w:tc>
          <w:tcPr>
            <w:tcW w:w="114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名称</w:t>
            </w:r>
          </w:p>
        </w:tc>
        <w:tc>
          <w:tcPr>
            <w:tcW w:w="640"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产生位置</w:t>
            </w:r>
          </w:p>
        </w:tc>
        <w:tc>
          <w:tcPr>
            <w:tcW w:w="64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固废类别</w:t>
            </w:r>
          </w:p>
        </w:tc>
        <w:tc>
          <w:tcPr>
            <w:tcW w:w="708"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产生量（t/a）</w:t>
            </w:r>
          </w:p>
        </w:tc>
        <w:tc>
          <w:tcPr>
            <w:tcW w:w="153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1142" w:type="pct"/>
            <w:tcBorders>
              <w:tl2br w:val="nil"/>
              <w:tr2bl w:val="nil"/>
            </w:tcBorders>
            <w:vAlign w:val="center"/>
          </w:tcPr>
          <w:p>
            <w:pPr>
              <w:pStyle w:val="30"/>
              <w:widowControl w:val="0"/>
              <w:bidi w:val="0"/>
              <w:jc w:val="center"/>
              <w:rPr>
                <w:rFonts w:hint="default"/>
                <w:lang w:val="en-US" w:eastAsia="zh-CN"/>
              </w:rPr>
            </w:pPr>
            <w:r>
              <w:rPr>
                <w:rFonts w:hint="eastAsia"/>
              </w:rPr>
              <w:t>检疫不合格猪</w:t>
            </w:r>
            <w:r>
              <w:rPr>
                <w:rFonts w:hint="eastAsia"/>
                <w:lang w:eastAsia="zh-CN"/>
              </w:rPr>
              <w:t>、</w:t>
            </w:r>
            <w:r>
              <w:rPr>
                <w:rFonts w:hint="eastAsia"/>
                <w:lang w:val="en-US" w:eastAsia="zh-CN"/>
              </w:rPr>
              <w:t>牛</w:t>
            </w:r>
            <w:r>
              <w:rPr>
                <w:rFonts w:hint="eastAsia"/>
              </w:rPr>
              <w:t>及病胴体、病内脏</w:t>
            </w:r>
          </w:p>
        </w:tc>
        <w:tc>
          <w:tcPr>
            <w:tcW w:w="640"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待宰圈、屠宰车间</w:t>
            </w:r>
          </w:p>
        </w:tc>
        <w:tc>
          <w:tcPr>
            <w:tcW w:w="64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一般固废</w:t>
            </w:r>
          </w:p>
        </w:tc>
        <w:tc>
          <w:tcPr>
            <w:tcW w:w="7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68</w:t>
            </w:r>
          </w:p>
        </w:tc>
        <w:tc>
          <w:tcPr>
            <w:tcW w:w="1532" w:type="pct"/>
            <w:vMerge w:val="restart"/>
            <w:tcBorders>
              <w:tl2br w:val="nil"/>
              <w:tr2bl w:val="nil"/>
            </w:tcBorders>
            <w:vAlign w:val="center"/>
          </w:tcPr>
          <w:p>
            <w:pPr>
              <w:pStyle w:val="30"/>
              <w:widowControl/>
              <w:bidi w:val="0"/>
              <w:jc w:val="center"/>
              <w:rPr>
                <w:rFonts w:hint="default"/>
                <w:vertAlign w:val="baseline"/>
                <w:lang w:val="en-US" w:eastAsia="zh-CN"/>
              </w:rPr>
            </w:pPr>
            <w:r>
              <w:rPr>
                <w:rFonts w:hint="eastAsia"/>
                <w:lang w:val="en-US" w:eastAsia="zh-CN"/>
              </w:rPr>
              <w:t>暂存于无害化暂存间后交由成都市科农动物无害化处置有限公司处置</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w:t>
            </w:r>
          </w:p>
        </w:tc>
        <w:tc>
          <w:tcPr>
            <w:tcW w:w="114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粪便</w:t>
            </w:r>
            <w:r>
              <w:rPr>
                <w:rFonts w:hint="eastAsia"/>
              </w:rPr>
              <w:t>及肠胃内容物</w:t>
            </w:r>
          </w:p>
        </w:tc>
        <w:tc>
          <w:tcPr>
            <w:tcW w:w="64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4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2017</w:t>
            </w:r>
          </w:p>
        </w:tc>
        <w:tc>
          <w:tcPr>
            <w:tcW w:w="1532" w:type="pct"/>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w:t>
            </w:r>
          </w:p>
        </w:tc>
        <w:tc>
          <w:tcPr>
            <w:tcW w:w="1142" w:type="pct"/>
            <w:tcBorders>
              <w:tl2br w:val="nil"/>
              <w:tr2bl w:val="nil"/>
            </w:tcBorders>
            <w:vAlign w:val="center"/>
          </w:tcPr>
          <w:p>
            <w:pPr>
              <w:pStyle w:val="30"/>
              <w:widowControl w:val="0"/>
              <w:bidi w:val="0"/>
              <w:jc w:val="center"/>
              <w:rPr>
                <w:rFonts w:hint="default"/>
                <w:lang w:val="en-US" w:eastAsia="zh-CN"/>
              </w:rPr>
            </w:pPr>
            <w:r>
              <w:rPr>
                <w:rFonts w:hint="eastAsia"/>
              </w:rPr>
              <w:t>不可食用内脏</w:t>
            </w:r>
          </w:p>
        </w:tc>
        <w:tc>
          <w:tcPr>
            <w:tcW w:w="640"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屠宰车间</w:t>
            </w:r>
          </w:p>
        </w:tc>
        <w:tc>
          <w:tcPr>
            <w:tcW w:w="64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720</w:t>
            </w:r>
          </w:p>
        </w:tc>
        <w:tc>
          <w:tcPr>
            <w:tcW w:w="1532" w:type="pct"/>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4</w:t>
            </w:r>
          </w:p>
        </w:tc>
        <w:tc>
          <w:tcPr>
            <w:tcW w:w="1142" w:type="pct"/>
            <w:tcBorders>
              <w:tl2br w:val="nil"/>
              <w:tr2bl w:val="nil"/>
            </w:tcBorders>
            <w:vAlign w:val="center"/>
          </w:tcPr>
          <w:p>
            <w:pPr>
              <w:pStyle w:val="30"/>
              <w:widowControl w:val="0"/>
              <w:bidi w:val="0"/>
              <w:jc w:val="center"/>
              <w:rPr>
                <w:rFonts w:hint="default"/>
                <w:lang w:val="en-US" w:eastAsia="zh-CN"/>
              </w:rPr>
            </w:pPr>
            <w:r>
              <w:rPr>
                <w:rFonts w:hint="eastAsia"/>
              </w:rPr>
              <w:t>检验后残渣、废弃动物组织及碎肉碎骨等</w:t>
            </w:r>
          </w:p>
        </w:tc>
        <w:tc>
          <w:tcPr>
            <w:tcW w:w="64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4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110</w:t>
            </w:r>
          </w:p>
        </w:tc>
        <w:tc>
          <w:tcPr>
            <w:tcW w:w="1532" w:type="pct"/>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w:t>
            </w:r>
          </w:p>
        </w:tc>
        <w:tc>
          <w:tcPr>
            <w:tcW w:w="1142" w:type="pct"/>
            <w:tcBorders>
              <w:tl2br w:val="nil"/>
              <w:tr2bl w:val="nil"/>
            </w:tcBorders>
            <w:vAlign w:val="center"/>
          </w:tcPr>
          <w:p>
            <w:pPr>
              <w:pStyle w:val="30"/>
              <w:widowControl w:val="0"/>
              <w:bidi w:val="0"/>
              <w:jc w:val="center"/>
              <w:rPr>
                <w:rFonts w:hint="default"/>
                <w:lang w:val="en-US" w:eastAsia="zh-CN"/>
              </w:rPr>
            </w:pPr>
            <w:r>
              <w:rPr>
                <w:rFonts w:hint="eastAsia"/>
              </w:rPr>
              <w:t>栅渣</w:t>
            </w:r>
          </w:p>
        </w:tc>
        <w:tc>
          <w:tcPr>
            <w:tcW w:w="640"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污水处理系统</w:t>
            </w:r>
          </w:p>
        </w:tc>
        <w:tc>
          <w:tcPr>
            <w:tcW w:w="64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300</w:t>
            </w:r>
          </w:p>
        </w:tc>
        <w:tc>
          <w:tcPr>
            <w:tcW w:w="15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交由生产有机肥料的单位进行处置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6</w:t>
            </w:r>
          </w:p>
        </w:tc>
        <w:tc>
          <w:tcPr>
            <w:tcW w:w="1142" w:type="pct"/>
            <w:tcBorders>
              <w:tl2br w:val="nil"/>
              <w:tr2bl w:val="nil"/>
            </w:tcBorders>
            <w:vAlign w:val="center"/>
          </w:tcPr>
          <w:p>
            <w:pPr>
              <w:pStyle w:val="30"/>
              <w:widowControl w:val="0"/>
              <w:bidi w:val="0"/>
              <w:jc w:val="center"/>
              <w:rPr>
                <w:rFonts w:hint="default"/>
                <w:lang w:val="en-US" w:eastAsia="zh-CN"/>
              </w:rPr>
            </w:pPr>
            <w:r>
              <w:rPr>
                <w:rFonts w:hint="eastAsia"/>
              </w:rPr>
              <w:t>污泥</w:t>
            </w:r>
          </w:p>
        </w:tc>
        <w:tc>
          <w:tcPr>
            <w:tcW w:w="64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4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43.4</w:t>
            </w:r>
          </w:p>
        </w:tc>
        <w:tc>
          <w:tcPr>
            <w:tcW w:w="15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交由环卫部门统一清运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7</w:t>
            </w:r>
          </w:p>
        </w:tc>
        <w:tc>
          <w:tcPr>
            <w:tcW w:w="1142" w:type="pct"/>
            <w:tcBorders>
              <w:tl2br w:val="nil"/>
              <w:tr2bl w:val="nil"/>
            </w:tcBorders>
            <w:vAlign w:val="center"/>
          </w:tcPr>
          <w:p>
            <w:pPr>
              <w:pStyle w:val="30"/>
              <w:widowControl w:val="0"/>
              <w:bidi w:val="0"/>
              <w:jc w:val="center"/>
              <w:rPr>
                <w:rFonts w:hint="default"/>
                <w:lang w:val="en-US" w:eastAsia="zh-CN"/>
              </w:rPr>
            </w:pPr>
            <w:r>
              <w:rPr>
                <w:rFonts w:hint="eastAsia"/>
              </w:rPr>
              <w:t>废油脂</w:t>
            </w:r>
          </w:p>
        </w:tc>
        <w:tc>
          <w:tcPr>
            <w:tcW w:w="64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4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27.23</w:t>
            </w:r>
          </w:p>
        </w:tc>
        <w:tc>
          <w:tcPr>
            <w:tcW w:w="15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委托有资质的单位进行处置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8</w:t>
            </w:r>
          </w:p>
        </w:tc>
        <w:tc>
          <w:tcPr>
            <w:tcW w:w="1142" w:type="pct"/>
            <w:tcBorders>
              <w:tl2br w:val="nil"/>
              <w:tr2bl w:val="nil"/>
            </w:tcBorders>
            <w:vAlign w:val="center"/>
          </w:tcPr>
          <w:p>
            <w:pPr>
              <w:pStyle w:val="30"/>
              <w:widowControl w:val="0"/>
              <w:bidi w:val="0"/>
              <w:jc w:val="center"/>
              <w:rPr>
                <w:rFonts w:hint="eastAsia"/>
              </w:rPr>
            </w:pPr>
            <w:r>
              <w:rPr>
                <w:rFonts w:hint="eastAsia"/>
              </w:rPr>
              <w:t>废包装材料、废胶皮手套</w:t>
            </w:r>
          </w:p>
        </w:tc>
        <w:tc>
          <w:tcPr>
            <w:tcW w:w="64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分割车间</w:t>
            </w:r>
          </w:p>
        </w:tc>
        <w:tc>
          <w:tcPr>
            <w:tcW w:w="64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1.2</w:t>
            </w:r>
          </w:p>
        </w:tc>
        <w:tc>
          <w:tcPr>
            <w:tcW w:w="15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外售废品收购站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9</w:t>
            </w:r>
          </w:p>
        </w:tc>
        <w:tc>
          <w:tcPr>
            <w:tcW w:w="1142" w:type="pct"/>
            <w:tcBorders>
              <w:tl2br w:val="nil"/>
              <w:tr2bl w:val="nil"/>
            </w:tcBorders>
            <w:vAlign w:val="center"/>
          </w:tcPr>
          <w:p>
            <w:pPr>
              <w:pStyle w:val="30"/>
              <w:widowControl w:val="0"/>
              <w:bidi w:val="0"/>
              <w:jc w:val="center"/>
              <w:rPr>
                <w:rFonts w:hint="eastAsia"/>
              </w:rPr>
            </w:pPr>
            <w:r>
              <w:rPr>
                <w:rFonts w:hint="eastAsia"/>
              </w:rPr>
              <w:t>生活垃圾</w:t>
            </w:r>
          </w:p>
        </w:tc>
        <w:tc>
          <w:tcPr>
            <w:tcW w:w="64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员工办公生活</w:t>
            </w:r>
          </w:p>
        </w:tc>
        <w:tc>
          <w:tcPr>
            <w:tcW w:w="64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生活垃圾</w:t>
            </w:r>
          </w:p>
        </w:tc>
        <w:tc>
          <w:tcPr>
            <w:tcW w:w="7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7.5</w:t>
            </w:r>
          </w:p>
        </w:tc>
        <w:tc>
          <w:tcPr>
            <w:tcW w:w="15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交由环卫部门统一清运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w:t>
            </w:r>
          </w:p>
        </w:tc>
        <w:tc>
          <w:tcPr>
            <w:tcW w:w="1142" w:type="pct"/>
            <w:tcBorders>
              <w:tl2br w:val="nil"/>
              <w:tr2bl w:val="nil"/>
            </w:tcBorders>
            <w:vAlign w:val="center"/>
          </w:tcPr>
          <w:p>
            <w:pPr>
              <w:pStyle w:val="30"/>
              <w:widowControl w:val="0"/>
              <w:bidi w:val="0"/>
              <w:jc w:val="center"/>
              <w:rPr>
                <w:rFonts w:hint="eastAsia"/>
              </w:rPr>
            </w:pPr>
            <w:r>
              <w:rPr>
                <w:rFonts w:hint="eastAsia"/>
              </w:rPr>
              <w:t>餐厨垃圾</w:t>
            </w:r>
          </w:p>
        </w:tc>
        <w:tc>
          <w:tcPr>
            <w:tcW w:w="64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食堂</w:t>
            </w:r>
          </w:p>
        </w:tc>
        <w:tc>
          <w:tcPr>
            <w:tcW w:w="64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0.75</w:t>
            </w:r>
          </w:p>
        </w:tc>
        <w:tc>
          <w:tcPr>
            <w:tcW w:w="15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由经城管部门许可的餐厨垃圾收运单位处置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11</w:t>
            </w:r>
          </w:p>
        </w:tc>
        <w:tc>
          <w:tcPr>
            <w:tcW w:w="1142" w:type="pct"/>
            <w:tcBorders>
              <w:tl2br w:val="nil"/>
              <w:tr2bl w:val="nil"/>
            </w:tcBorders>
            <w:vAlign w:val="center"/>
          </w:tcPr>
          <w:p>
            <w:pPr>
              <w:pStyle w:val="30"/>
              <w:widowControl w:val="0"/>
              <w:bidi w:val="0"/>
              <w:jc w:val="center"/>
              <w:rPr>
                <w:rFonts w:hint="eastAsia"/>
              </w:rPr>
            </w:pPr>
            <w:r>
              <w:rPr>
                <w:rFonts w:hint="eastAsia"/>
              </w:rPr>
              <w:t>废试纸、废</w:t>
            </w:r>
            <w:r>
              <w:rPr>
                <w:rFonts w:hint="default"/>
              </w:rPr>
              <w:t>PCR</w:t>
            </w:r>
            <w:r>
              <w:rPr>
                <w:rFonts w:hint="eastAsia"/>
              </w:rPr>
              <w:t>试剂盒</w:t>
            </w:r>
          </w:p>
        </w:tc>
        <w:tc>
          <w:tcPr>
            <w:tcW w:w="640"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生猪进场</w:t>
            </w:r>
          </w:p>
        </w:tc>
        <w:tc>
          <w:tcPr>
            <w:tcW w:w="64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危险固废</w:t>
            </w:r>
          </w:p>
        </w:tc>
        <w:tc>
          <w:tcPr>
            <w:tcW w:w="7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0.15</w:t>
            </w:r>
          </w:p>
        </w:tc>
        <w:tc>
          <w:tcPr>
            <w:tcW w:w="1532" w:type="pct"/>
            <w:tcBorders>
              <w:tl2br w:val="nil"/>
              <w:tr2bl w:val="nil"/>
            </w:tcBorders>
            <w:vAlign w:val="center"/>
          </w:tcPr>
          <w:p>
            <w:pPr>
              <w:pStyle w:val="30"/>
              <w:widowControl w:val="0"/>
              <w:jc w:val="center"/>
              <w:rPr>
                <w:rFonts w:hint="default"/>
                <w:vertAlign w:val="baseline"/>
                <w:lang w:val="en-US" w:eastAsia="zh-CN"/>
              </w:rPr>
            </w:pPr>
            <w:r>
              <w:rPr>
                <w:rFonts w:hint="eastAsia"/>
              </w:rPr>
              <w:t>暂存于门卫室冰柜内，每日交具有相应资质单位处置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12</w:t>
            </w:r>
          </w:p>
        </w:tc>
        <w:tc>
          <w:tcPr>
            <w:tcW w:w="114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废润滑油</w:t>
            </w:r>
          </w:p>
        </w:tc>
        <w:tc>
          <w:tcPr>
            <w:tcW w:w="640"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设备维护</w:t>
            </w:r>
          </w:p>
        </w:tc>
        <w:tc>
          <w:tcPr>
            <w:tcW w:w="64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0.1</w:t>
            </w:r>
          </w:p>
        </w:tc>
        <w:tc>
          <w:tcPr>
            <w:tcW w:w="153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暂存于危废暂存间，定期交由有资质的单位处置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13</w:t>
            </w:r>
          </w:p>
        </w:tc>
        <w:tc>
          <w:tcPr>
            <w:tcW w:w="1142" w:type="pc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废油桶</w:t>
            </w:r>
          </w:p>
        </w:tc>
        <w:tc>
          <w:tcPr>
            <w:tcW w:w="640" w:type="pct"/>
            <w:vMerge w:val="continue"/>
            <w:tcBorders>
              <w:tl2br w:val="nil"/>
              <w:tr2bl w:val="nil"/>
            </w:tcBorders>
            <w:vAlign w:val="center"/>
          </w:tcPr>
          <w:p>
            <w:pPr>
              <w:pStyle w:val="30"/>
              <w:widowControl w:val="0"/>
              <w:jc w:val="center"/>
              <w:rPr>
                <w:rFonts w:hint="default"/>
                <w:vertAlign w:val="baseline"/>
                <w:lang w:val="en-US" w:eastAsia="zh-CN"/>
              </w:rPr>
            </w:pPr>
          </w:p>
        </w:tc>
        <w:tc>
          <w:tcPr>
            <w:tcW w:w="64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w:t>
            </w:r>
          </w:p>
        </w:tc>
        <w:tc>
          <w:tcPr>
            <w:tcW w:w="1532"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59" w:type="pct"/>
            <w:gridSpan w:val="4"/>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合计</w:t>
            </w:r>
          </w:p>
        </w:tc>
        <w:tc>
          <w:tcPr>
            <w:tcW w:w="708"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3295.34</w:t>
            </w:r>
          </w:p>
        </w:tc>
        <w:tc>
          <w:tcPr>
            <w:tcW w:w="15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pStyle w:val="5"/>
        <w:bidi w:val="0"/>
        <w:rPr>
          <w:rFonts w:hint="default"/>
          <w:lang w:val="en-US" w:eastAsia="zh-CN"/>
        </w:rPr>
      </w:pPr>
      <w:r>
        <w:rPr>
          <w:rFonts w:hint="eastAsia"/>
          <w:lang w:val="en-US" w:eastAsia="zh-CN"/>
        </w:rPr>
        <w:t>项目污染物产排情况汇总</w:t>
      </w:r>
    </w:p>
    <w:p>
      <w:pPr>
        <w:bidi w:val="0"/>
        <w:rPr>
          <w:rFonts w:hint="default" w:eastAsia="宋体"/>
          <w:lang w:val="en-US" w:eastAsia="zh-CN"/>
        </w:rPr>
      </w:pPr>
      <w:r>
        <w:rPr>
          <w:rFonts w:hint="eastAsia"/>
          <w:lang w:val="en-US" w:eastAsia="zh-CN"/>
        </w:rPr>
        <w:t>综上，本项目污染物产排情况汇总见表3.4-14。</w:t>
      </w:r>
    </w:p>
    <w:p>
      <w:pPr>
        <w:bidi w:val="0"/>
        <w:rPr>
          <w:rFonts w:hint="eastAsia"/>
        </w:rPr>
        <w:sectPr>
          <w:pgSz w:w="12240" w:h="15840"/>
          <w:pgMar w:top="1440" w:right="1474" w:bottom="1440" w:left="1417" w:header="720" w:footer="720" w:gutter="0"/>
          <w:pgBorders>
            <w:top w:val="none" w:sz="0" w:space="0"/>
            <w:left w:val="none" w:sz="0" w:space="0"/>
            <w:bottom w:val="none" w:sz="0" w:space="0"/>
            <w:right w:val="none" w:sz="0" w:space="0"/>
          </w:pgBorders>
          <w:lnNumType w:countBy="0" w:distance="360"/>
          <w:pgNumType w:fmt="numberInDash"/>
          <w:cols w:space="720" w:num="1"/>
          <w:docGrid w:type="lines" w:linePitch="312" w:charSpace="0"/>
        </w:sectPr>
      </w:pPr>
    </w:p>
    <w:p>
      <w:pPr>
        <w:pStyle w:val="29"/>
        <w:bidi w:val="0"/>
        <w:rPr>
          <w:rFonts w:hint="eastAsia"/>
          <w:lang w:val="en-US" w:eastAsia="zh-CN"/>
        </w:rPr>
      </w:pPr>
      <w:r>
        <w:rPr>
          <w:rFonts w:hint="eastAsia"/>
          <w:lang w:val="en-US" w:eastAsia="zh-CN"/>
        </w:rPr>
        <w:t>表3.4-14  项目污染物产排情况汇总表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0"/>
        <w:gridCol w:w="555"/>
        <w:gridCol w:w="840"/>
        <w:gridCol w:w="735"/>
        <w:gridCol w:w="1425"/>
        <w:gridCol w:w="1110"/>
        <w:gridCol w:w="1296"/>
        <w:gridCol w:w="975"/>
        <w:gridCol w:w="4350"/>
        <w:gridCol w:w="1377"/>
        <w:gridCol w:w="9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57"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类别</w:t>
            </w:r>
          </w:p>
        </w:tc>
        <w:tc>
          <w:tcPr>
            <w:tcW w:w="760" w:type="pct"/>
            <w:gridSpan w:val="3"/>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污染物名称</w:t>
            </w:r>
          </w:p>
        </w:tc>
        <w:tc>
          <w:tcPr>
            <w:tcW w:w="508"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产生量</w:t>
            </w:r>
          </w:p>
        </w:tc>
        <w:tc>
          <w:tcPr>
            <w:tcW w:w="1206" w:type="pct"/>
            <w:gridSpan w:val="3"/>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治理前污染物产生情况</w:t>
            </w:r>
          </w:p>
        </w:tc>
        <w:tc>
          <w:tcPr>
            <w:tcW w:w="1552"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治理措施</w:t>
            </w:r>
          </w:p>
        </w:tc>
        <w:tc>
          <w:tcPr>
            <w:tcW w:w="814" w:type="pct"/>
            <w:gridSpan w:val="2"/>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处理后排放量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b/>
                <w:bCs/>
                <w:vertAlign w:val="baseline"/>
                <w:lang w:val="en-US" w:eastAsia="zh-CN"/>
              </w:rPr>
            </w:pPr>
          </w:p>
        </w:tc>
        <w:tc>
          <w:tcPr>
            <w:tcW w:w="760" w:type="pct"/>
            <w:gridSpan w:val="3"/>
            <w:vMerge w:val="continue"/>
            <w:tcBorders>
              <w:tl2br w:val="nil"/>
              <w:tr2bl w:val="nil"/>
            </w:tcBorders>
            <w:vAlign w:val="center"/>
          </w:tcPr>
          <w:p>
            <w:pPr>
              <w:pStyle w:val="30"/>
              <w:widowControl w:val="0"/>
              <w:jc w:val="center"/>
              <w:rPr>
                <w:rFonts w:hint="default"/>
                <w:b/>
                <w:bCs/>
                <w:vertAlign w:val="baseline"/>
                <w:lang w:val="en-US" w:eastAsia="zh-CN"/>
              </w:rPr>
            </w:pPr>
          </w:p>
        </w:tc>
        <w:tc>
          <w:tcPr>
            <w:tcW w:w="508" w:type="pct"/>
            <w:vMerge w:val="continue"/>
            <w:tcBorders>
              <w:tl2br w:val="nil"/>
              <w:tr2bl w:val="nil"/>
            </w:tcBorders>
            <w:vAlign w:val="center"/>
          </w:tcPr>
          <w:p>
            <w:pPr>
              <w:pStyle w:val="30"/>
              <w:widowControl w:val="0"/>
              <w:jc w:val="center"/>
              <w:rPr>
                <w:rFonts w:hint="default"/>
                <w:b/>
                <w:bCs/>
                <w:vertAlign w:val="baseline"/>
                <w:lang w:val="en-US" w:eastAsia="zh-CN"/>
              </w:rPr>
            </w:pPr>
          </w:p>
        </w:tc>
        <w:tc>
          <w:tcPr>
            <w:tcW w:w="396"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污染因子</w:t>
            </w:r>
          </w:p>
        </w:tc>
        <w:tc>
          <w:tcPr>
            <w:tcW w:w="46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浓度</w:t>
            </w:r>
          </w:p>
        </w:tc>
        <w:tc>
          <w:tcPr>
            <w:tcW w:w="348"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产生量（t/a）</w:t>
            </w:r>
          </w:p>
        </w:tc>
        <w:tc>
          <w:tcPr>
            <w:tcW w:w="1552" w:type="pct"/>
            <w:vMerge w:val="continue"/>
            <w:tcBorders>
              <w:tl2br w:val="nil"/>
              <w:tr2bl w:val="nil"/>
            </w:tcBorders>
            <w:vAlign w:val="center"/>
          </w:tcPr>
          <w:p>
            <w:pPr>
              <w:pStyle w:val="30"/>
              <w:widowControl w:val="0"/>
              <w:jc w:val="center"/>
              <w:rPr>
                <w:rFonts w:hint="default"/>
                <w:b/>
                <w:bCs/>
                <w:vertAlign w:val="baseline"/>
                <w:lang w:val="en-US" w:eastAsia="zh-CN"/>
              </w:rPr>
            </w:pPr>
          </w:p>
        </w:tc>
        <w:tc>
          <w:tcPr>
            <w:tcW w:w="491"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浓度</w:t>
            </w:r>
          </w:p>
        </w:tc>
        <w:tc>
          <w:tcPr>
            <w:tcW w:w="323"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废水</w:t>
            </w:r>
          </w:p>
        </w:tc>
        <w:tc>
          <w:tcPr>
            <w:tcW w:w="760" w:type="pct"/>
            <w:gridSpan w:val="3"/>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综合废水</w:t>
            </w:r>
          </w:p>
        </w:tc>
        <w:tc>
          <w:tcPr>
            <w:tcW w:w="508" w:type="pct"/>
            <w:vMerge w:val="restart"/>
            <w:tcBorders>
              <w:tl2br w:val="nil"/>
              <w:tr2bl w:val="nil"/>
            </w:tcBorders>
            <w:vAlign w:val="center"/>
          </w:tcPr>
          <w:p>
            <w:pPr>
              <w:pStyle w:val="30"/>
              <w:widowControl w:val="0"/>
              <w:jc w:val="center"/>
              <w:rPr>
                <w:rFonts w:hint="eastAsia"/>
                <w:vertAlign w:val="baseline"/>
                <w:lang w:val="en-US" w:eastAsia="zh-CN"/>
              </w:rPr>
            </w:pPr>
            <w:r>
              <w:rPr>
                <w:rFonts w:hint="eastAsia"/>
                <w:lang w:val="en-US" w:eastAsia="zh-CN"/>
              </w:rPr>
              <w:t>805.9m</w:t>
            </w:r>
            <w:r>
              <w:rPr>
                <w:rFonts w:hint="eastAsia"/>
                <w:vertAlign w:val="superscript"/>
                <w:lang w:val="en-US" w:eastAsia="zh-CN"/>
              </w:rPr>
              <w:t>3</w:t>
            </w:r>
            <w:r>
              <w:rPr>
                <w:rFonts w:hint="eastAsia"/>
                <w:vertAlign w:val="baseline"/>
                <w:lang w:val="en-US" w:eastAsia="zh-CN"/>
              </w:rPr>
              <w:t>/d</w:t>
            </w:r>
          </w:p>
          <w:p>
            <w:pPr>
              <w:pStyle w:val="30"/>
              <w:widowControl w:val="0"/>
              <w:jc w:val="center"/>
              <w:rPr>
                <w:rFonts w:hint="default"/>
                <w:vertAlign w:val="baseline"/>
                <w:lang w:val="en-US" w:eastAsia="zh-CN"/>
              </w:rPr>
            </w:pPr>
            <w:r>
              <w:rPr>
                <w:rFonts w:hint="eastAsia"/>
                <w:vertAlign w:val="baseline"/>
                <w:lang w:val="en-US" w:eastAsia="zh-CN"/>
              </w:rPr>
              <w:t>（旺季）</w:t>
            </w:r>
          </w:p>
        </w:tc>
        <w:tc>
          <w:tcPr>
            <w:tcW w:w="396"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COD</w:t>
            </w:r>
          </w:p>
        </w:tc>
        <w:tc>
          <w:tcPr>
            <w:tcW w:w="462"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2080</w:t>
            </w:r>
            <w:r>
              <w:rPr>
                <w:rFonts w:hint="eastAsia"/>
                <w:b w:val="0"/>
                <w:bCs w:val="0"/>
                <w:vertAlign w:val="baseline"/>
                <w:lang w:val="en-US" w:eastAsia="zh-CN"/>
              </w:rPr>
              <w:t>mg/L</w:t>
            </w:r>
          </w:p>
        </w:tc>
        <w:tc>
          <w:tcPr>
            <w:tcW w:w="348" w:type="pct"/>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393.37</w:t>
            </w:r>
          </w:p>
        </w:tc>
        <w:tc>
          <w:tcPr>
            <w:tcW w:w="155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经自建污水处理站处理后</w:t>
            </w:r>
            <w:r>
              <w:rPr>
                <w:rFonts w:hint="eastAsia"/>
                <w:lang w:val="en-US" w:eastAsia="zh-CN"/>
              </w:rPr>
              <w:t>一部分回用于进出车辆冲洗、地面冲洗、待宰圈冲洗和洗涤塔补水等，剩余废水用于农田灌溉，不外排</w:t>
            </w:r>
            <w:r>
              <w:rPr>
                <w:rFonts w:hint="eastAsia"/>
                <w:vertAlign w:val="baseline"/>
                <w:lang w:val="en-US" w:eastAsia="zh-CN"/>
              </w:rPr>
              <w:t>。</w:t>
            </w:r>
          </w:p>
        </w:tc>
        <w:tc>
          <w:tcPr>
            <w:tcW w:w="491"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b w:val="0"/>
                <w:bCs w:val="0"/>
                <w:vertAlign w:val="baseline"/>
                <w:lang w:val="en-US" w:eastAsia="zh-CN"/>
              </w:rPr>
              <w:t>50mg/L</w:t>
            </w:r>
          </w:p>
        </w:tc>
        <w:tc>
          <w:tcPr>
            <w:tcW w:w="323" w:type="pct"/>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 xml:space="preserve">9.46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vMerge w:val="continue"/>
            <w:tcBorders>
              <w:tl2br w:val="nil"/>
              <w:tr2bl w:val="nil"/>
            </w:tcBorders>
            <w:vAlign w:val="center"/>
          </w:tcPr>
          <w:p>
            <w:pPr>
              <w:pStyle w:val="30"/>
              <w:widowControl w:val="0"/>
              <w:jc w:val="center"/>
              <w:rPr>
                <w:rFonts w:hint="default"/>
                <w:vertAlign w:val="baseline"/>
                <w:lang w:val="en-US" w:eastAsia="zh-CN"/>
              </w:rPr>
            </w:pPr>
          </w:p>
        </w:tc>
        <w:tc>
          <w:tcPr>
            <w:tcW w:w="50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96"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vertAlign w:val="subscript"/>
                <w:lang w:val="en-US" w:eastAsia="zh-CN"/>
              </w:rPr>
            </w:pPr>
            <w:r>
              <w:rPr>
                <w:rFonts w:hint="eastAsia"/>
                <w:lang w:val="en-US" w:eastAsia="zh-CN"/>
              </w:rPr>
              <w:t>BOD</w:t>
            </w:r>
            <w:r>
              <w:rPr>
                <w:rFonts w:hint="eastAsia"/>
                <w:vertAlign w:val="subscript"/>
                <w:lang w:val="en-US" w:eastAsia="zh-CN"/>
              </w:rPr>
              <w:t>5</w:t>
            </w:r>
          </w:p>
        </w:tc>
        <w:tc>
          <w:tcPr>
            <w:tcW w:w="462"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965</w:t>
            </w:r>
            <w:r>
              <w:rPr>
                <w:rFonts w:hint="eastAsia"/>
                <w:b w:val="0"/>
                <w:bCs w:val="0"/>
                <w:vertAlign w:val="baseline"/>
                <w:lang w:val="en-US" w:eastAsia="zh-CN"/>
              </w:rPr>
              <w:t>mg/L</w:t>
            </w:r>
          </w:p>
        </w:tc>
        <w:tc>
          <w:tcPr>
            <w:tcW w:w="348" w:type="pct"/>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182.50</w:t>
            </w:r>
          </w:p>
        </w:tc>
        <w:tc>
          <w:tcPr>
            <w:tcW w:w="155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1"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10</w:t>
            </w:r>
            <w:r>
              <w:rPr>
                <w:rFonts w:hint="eastAsia"/>
                <w:b w:val="0"/>
                <w:bCs w:val="0"/>
                <w:vertAlign w:val="baseline"/>
                <w:lang w:val="en-US" w:eastAsia="zh-CN"/>
              </w:rPr>
              <w:t>mg/L</w:t>
            </w:r>
          </w:p>
        </w:tc>
        <w:tc>
          <w:tcPr>
            <w:tcW w:w="323" w:type="pct"/>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 xml:space="preserve">1.89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vMerge w:val="continue"/>
            <w:tcBorders>
              <w:tl2br w:val="nil"/>
              <w:tr2bl w:val="nil"/>
            </w:tcBorders>
            <w:vAlign w:val="center"/>
          </w:tcPr>
          <w:p>
            <w:pPr>
              <w:pStyle w:val="30"/>
              <w:widowControl w:val="0"/>
              <w:jc w:val="center"/>
              <w:rPr>
                <w:rFonts w:hint="default"/>
                <w:vertAlign w:val="baseline"/>
                <w:lang w:val="en-US" w:eastAsia="zh-CN"/>
              </w:rPr>
            </w:pPr>
          </w:p>
        </w:tc>
        <w:tc>
          <w:tcPr>
            <w:tcW w:w="50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96"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vertAlign w:val="baseline"/>
                <w:lang w:val="en-US" w:eastAsia="zh-CN"/>
              </w:rPr>
            </w:pPr>
            <w:r>
              <w:rPr>
                <w:rFonts w:hint="eastAsia"/>
                <w:lang w:val="en-US" w:eastAsia="zh-CN"/>
              </w:rPr>
              <w:t>NH</w:t>
            </w:r>
            <w:r>
              <w:rPr>
                <w:rFonts w:hint="eastAsia"/>
                <w:vertAlign w:val="subscript"/>
                <w:lang w:val="en-US" w:eastAsia="zh-CN"/>
              </w:rPr>
              <w:t>3</w:t>
            </w:r>
            <w:r>
              <w:rPr>
                <w:rFonts w:hint="eastAsia"/>
                <w:vertAlign w:val="baseline"/>
                <w:lang w:val="en-US" w:eastAsia="zh-CN"/>
              </w:rPr>
              <w:t>-N</w:t>
            </w:r>
          </w:p>
        </w:tc>
        <w:tc>
          <w:tcPr>
            <w:tcW w:w="462"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cs="Times New Roman"/>
                <w:kern w:val="2"/>
                <w:sz w:val="21"/>
                <w:lang w:val="en-US" w:eastAsia="zh-CN"/>
              </w:rPr>
              <w:t>154</w:t>
            </w:r>
            <w:r>
              <w:rPr>
                <w:rFonts w:hint="eastAsia"/>
                <w:b w:val="0"/>
                <w:bCs w:val="0"/>
                <w:vertAlign w:val="baseline"/>
                <w:lang w:val="en-US" w:eastAsia="zh-CN"/>
              </w:rPr>
              <w:t>mg/L</w:t>
            </w:r>
          </w:p>
        </w:tc>
        <w:tc>
          <w:tcPr>
            <w:tcW w:w="348" w:type="pct"/>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29.12</w:t>
            </w:r>
          </w:p>
        </w:tc>
        <w:tc>
          <w:tcPr>
            <w:tcW w:w="155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1"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5</w:t>
            </w:r>
            <w:r>
              <w:rPr>
                <w:rFonts w:hint="eastAsia"/>
                <w:b w:val="0"/>
                <w:bCs w:val="0"/>
                <w:vertAlign w:val="baseline"/>
                <w:lang w:val="en-US" w:eastAsia="zh-CN"/>
              </w:rPr>
              <w:t>mg/L</w:t>
            </w:r>
          </w:p>
        </w:tc>
        <w:tc>
          <w:tcPr>
            <w:tcW w:w="323" w:type="pct"/>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 xml:space="preserve">0.95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vMerge w:val="continue"/>
            <w:tcBorders>
              <w:tl2br w:val="nil"/>
              <w:tr2bl w:val="nil"/>
            </w:tcBorders>
            <w:vAlign w:val="center"/>
          </w:tcPr>
          <w:p>
            <w:pPr>
              <w:pStyle w:val="30"/>
              <w:widowControl w:val="0"/>
              <w:jc w:val="center"/>
              <w:rPr>
                <w:rFonts w:hint="default"/>
                <w:vertAlign w:val="baseline"/>
                <w:lang w:val="en-US" w:eastAsia="zh-CN"/>
              </w:rPr>
            </w:pPr>
          </w:p>
        </w:tc>
        <w:tc>
          <w:tcPr>
            <w:tcW w:w="50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96"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vertAlign w:val="baseline"/>
                <w:lang w:val="en-US" w:eastAsia="zh-CN"/>
              </w:rPr>
            </w:pPr>
            <w:r>
              <w:rPr>
                <w:rFonts w:hint="eastAsia"/>
                <w:lang w:val="en-US" w:eastAsia="zh-CN"/>
              </w:rPr>
              <w:t>SS</w:t>
            </w:r>
          </w:p>
        </w:tc>
        <w:tc>
          <w:tcPr>
            <w:tcW w:w="462"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cs="Times New Roman"/>
                <w:kern w:val="2"/>
                <w:sz w:val="21"/>
                <w:lang w:val="en-US" w:eastAsia="zh-CN"/>
              </w:rPr>
              <w:t>1158</w:t>
            </w:r>
            <w:r>
              <w:rPr>
                <w:rFonts w:hint="eastAsia"/>
                <w:b w:val="0"/>
                <w:bCs w:val="0"/>
                <w:vertAlign w:val="baseline"/>
                <w:lang w:val="en-US" w:eastAsia="zh-CN"/>
              </w:rPr>
              <w:t>mg/L</w:t>
            </w:r>
          </w:p>
        </w:tc>
        <w:tc>
          <w:tcPr>
            <w:tcW w:w="348" w:type="pct"/>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219.00</w:t>
            </w:r>
          </w:p>
        </w:tc>
        <w:tc>
          <w:tcPr>
            <w:tcW w:w="155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1"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b w:val="0"/>
                <w:bCs w:val="0"/>
                <w:vertAlign w:val="baseline"/>
                <w:lang w:val="en-US" w:eastAsia="zh-CN"/>
              </w:rPr>
              <w:t>10mg/L</w:t>
            </w:r>
          </w:p>
        </w:tc>
        <w:tc>
          <w:tcPr>
            <w:tcW w:w="323" w:type="pct"/>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 xml:space="preserve">1.89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vMerge w:val="continue"/>
            <w:tcBorders>
              <w:tl2br w:val="nil"/>
              <w:tr2bl w:val="nil"/>
            </w:tcBorders>
            <w:vAlign w:val="center"/>
          </w:tcPr>
          <w:p>
            <w:pPr>
              <w:pStyle w:val="30"/>
              <w:widowControl w:val="0"/>
              <w:jc w:val="center"/>
              <w:rPr>
                <w:rFonts w:hint="default"/>
                <w:vertAlign w:val="baseline"/>
                <w:lang w:val="en-US" w:eastAsia="zh-CN"/>
              </w:rPr>
            </w:pPr>
          </w:p>
        </w:tc>
        <w:tc>
          <w:tcPr>
            <w:tcW w:w="50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96"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TP</w:t>
            </w:r>
          </w:p>
        </w:tc>
        <w:tc>
          <w:tcPr>
            <w:tcW w:w="462"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29</w:t>
            </w:r>
            <w:r>
              <w:rPr>
                <w:rFonts w:hint="eastAsia"/>
                <w:b w:val="0"/>
                <w:bCs w:val="0"/>
                <w:vertAlign w:val="baseline"/>
                <w:lang w:val="en-US" w:eastAsia="zh-CN"/>
              </w:rPr>
              <w:t>mg/L</w:t>
            </w:r>
          </w:p>
        </w:tc>
        <w:tc>
          <w:tcPr>
            <w:tcW w:w="348" w:type="pct"/>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5.48</w:t>
            </w:r>
          </w:p>
        </w:tc>
        <w:tc>
          <w:tcPr>
            <w:tcW w:w="155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1"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b w:val="0"/>
                <w:bCs w:val="0"/>
                <w:vertAlign w:val="baseline"/>
                <w:lang w:val="en-US" w:eastAsia="zh-CN"/>
              </w:rPr>
              <w:t>0.5mg/L</w:t>
            </w:r>
          </w:p>
        </w:tc>
        <w:tc>
          <w:tcPr>
            <w:tcW w:w="323" w:type="pct"/>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 xml:space="preserve">0.09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vMerge w:val="continue"/>
            <w:tcBorders>
              <w:tl2br w:val="nil"/>
              <w:tr2bl w:val="nil"/>
            </w:tcBorders>
            <w:vAlign w:val="center"/>
          </w:tcPr>
          <w:p>
            <w:pPr>
              <w:pStyle w:val="30"/>
              <w:widowControl w:val="0"/>
              <w:jc w:val="center"/>
              <w:rPr>
                <w:rFonts w:hint="default"/>
                <w:vertAlign w:val="baseline"/>
                <w:lang w:val="en-US" w:eastAsia="zh-CN"/>
              </w:rPr>
            </w:pPr>
          </w:p>
        </w:tc>
        <w:tc>
          <w:tcPr>
            <w:tcW w:w="50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96"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动植物油</w:t>
            </w:r>
          </w:p>
        </w:tc>
        <w:tc>
          <w:tcPr>
            <w:tcW w:w="462"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145</w:t>
            </w:r>
            <w:r>
              <w:rPr>
                <w:rFonts w:hint="eastAsia"/>
                <w:b w:val="0"/>
                <w:bCs w:val="0"/>
                <w:vertAlign w:val="baseline"/>
                <w:lang w:val="en-US" w:eastAsia="zh-CN"/>
              </w:rPr>
              <w:t>mg/L</w:t>
            </w:r>
          </w:p>
        </w:tc>
        <w:tc>
          <w:tcPr>
            <w:tcW w:w="348" w:type="pct"/>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27.42</w:t>
            </w:r>
          </w:p>
        </w:tc>
        <w:tc>
          <w:tcPr>
            <w:tcW w:w="155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1" w:type="pc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1</w:t>
            </w:r>
            <w:r>
              <w:rPr>
                <w:rFonts w:hint="eastAsia"/>
                <w:b w:val="0"/>
                <w:bCs w:val="0"/>
                <w:vertAlign w:val="baseline"/>
                <w:lang w:val="en-US" w:eastAsia="zh-CN"/>
              </w:rPr>
              <w:t>mg/L</w:t>
            </w:r>
          </w:p>
        </w:tc>
        <w:tc>
          <w:tcPr>
            <w:tcW w:w="323" w:type="pct"/>
            <w:tcBorders>
              <w:tl2br w:val="nil"/>
              <w:tr2bl w:val="nil"/>
            </w:tcBorders>
            <w:vAlign w:val="center"/>
          </w:tcPr>
          <w:p>
            <w:pPr>
              <w:pStyle w:val="30"/>
              <w:widowControl w:val="0"/>
              <w:bidi w:val="0"/>
              <w:ind w:firstLine="0" w:firstLineChars="0"/>
              <w:rPr>
                <w:rFonts w:hint="default" w:ascii="Times New Roman" w:hAnsi="Times New Roman" w:eastAsia="宋体" w:cs="Times New Roman"/>
                <w:kern w:val="2"/>
                <w:sz w:val="21"/>
                <w:lang w:val="en-US" w:eastAsia="zh-CN"/>
              </w:rPr>
            </w:pPr>
            <w:r>
              <w:rPr>
                <w:rFonts w:hint="default"/>
                <w:lang w:val="en-US" w:eastAsia="zh-CN"/>
              </w:rPr>
              <w:t xml:space="preserve">0.19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7"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废气</w:t>
            </w:r>
          </w:p>
        </w:tc>
        <w:tc>
          <w:tcPr>
            <w:tcW w:w="198"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有组织</w:t>
            </w:r>
          </w:p>
        </w:tc>
        <w:tc>
          <w:tcPr>
            <w:tcW w:w="562" w:type="pct"/>
            <w:gridSpan w:val="2"/>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待宰圈、污水处理站</w:t>
            </w:r>
          </w:p>
        </w:tc>
        <w:tc>
          <w:tcPr>
            <w:tcW w:w="508"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17000</w:t>
            </w:r>
            <w:r>
              <w:rPr>
                <w:rFonts w:hint="default"/>
              </w:rPr>
              <w:t>m</w:t>
            </w:r>
            <w:r>
              <w:rPr>
                <w:rFonts w:hint="default"/>
                <w:vertAlign w:val="superscript"/>
              </w:rPr>
              <w:t>3</w:t>
            </w:r>
            <w:r>
              <w:rPr>
                <w:rFonts w:hint="default"/>
              </w:rPr>
              <w:t>/h</w:t>
            </w:r>
          </w:p>
        </w:tc>
        <w:tc>
          <w:tcPr>
            <w:tcW w:w="396" w:type="pct"/>
            <w:tcBorders>
              <w:tl2br w:val="nil"/>
              <w:tr2bl w:val="nil"/>
            </w:tcBorders>
            <w:vAlign w:val="center"/>
          </w:tcPr>
          <w:p>
            <w:pPr>
              <w:pStyle w:val="30"/>
              <w:widowControl w:val="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NH</w:t>
            </w:r>
            <w:r>
              <w:rPr>
                <w:rFonts w:hint="eastAsia"/>
                <w:vertAlign w:val="subscript"/>
                <w:lang w:val="en-US" w:eastAsia="zh-CN"/>
              </w:rPr>
              <w:t>3</w:t>
            </w:r>
          </w:p>
        </w:tc>
        <w:tc>
          <w:tcPr>
            <w:tcW w:w="46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superscript"/>
                <w:lang w:val="en-US" w:eastAsia="zh-CN"/>
              </w:rPr>
            </w:pPr>
            <w:r>
              <w:rPr>
                <w:rFonts w:hint="eastAsia" w:cs="Times New Roman"/>
                <w:kern w:val="2"/>
                <w:sz w:val="21"/>
                <w:vertAlign w:val="baseline"/>
                <w:lang w:val="en-US" w:eastAsia="zh-CN"/>
              </w:rPr>
              <w:t>37.65mg/m</w:t>
            </w:r>
            <w:r>
              <w:rPr>
                <w:rFonts w:hint="eastAsia" w:cs="Times New Roman"/>
                <w:kern w:val="2"/>
                <w:sz w:val="21"/>
                <w:vertAlign w:val="superscript"/>
                <w:lang w:val="en-US" w:eastAsia="zh-CN"/>
              </w:rPr>
              <w:t>3</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2.57</w:t>
            </w:r>
          </w:p>
        </w:tc>
        <w:tc>
          <w:tcPr>
            <w:tcW w:w="1552" w:type="pct"/>
            <w:vMerge w:val="restart"/>
            <w:tcBorders>
              <w:tl2br w:val="nil"/>
              <w:tr2bl w:val="nil"/>
            </w:tcBorders>
            <w:vAlign w:val="center"/>
          </w:tcPr>
          <w:p>
            <w:pPr>
              <w:pStyle w:val="30"/>
              <w:widowControl w:val="0"/>
              <w:jc w:val="both"/>
              <w:rPr>
                <w:rFonts w:hint="eastAsia"/>
                <w:vertAlign w:val="baseline"/>
                <w:lang w:val="en-US" w:eastAsia="zh-CN"/>
              </w:rPr>
            </w:pPr>
            <w:r>
              <w:rPr>
                <w:rFonts w:hint="eastAsia"/>
                <w:vertAlign w:val="baseline"/>
                <w:lang w:val="en-US" w:eastAsia="zh-CN"/>
              </w:rPr>
              <w:t>污染控制措施：</w:t>
            </w:r>
          </w:p>
          <w:p>
            <w:pPr>
              <w:pStyle w:val="30"/>
              <w:widowControl w:val="0"/>
              <w:jc w:val="both"/>
              <w:rPr>
                <w:rFonts w:hint="eastAsia"/>
                <w:lang w:val="en-US" w:eastAsia="zh-CN"/>
              </w:rPr>
            </w:pPr>
            <w:r>
              <w:rPr>
                <w:rFonts w:hint="eastAsia"/>
                <w:lang w:eastAsia="zh-CN"/>
              </w:rPr>
              <w:t>待宰圈</w:t>
            </w:r>
            <w:r>
              <w:t>全密闭，设置强制通风设施，保持车间负压；喷洒生物除臭剂，猪粪采用水冲式，设水雾喷淋装置，保持</w:t>
            </w:r>
            <w:r>
              <w:rPr>
                <w:rFonts w:hint="eastAsia"/>
                <w:lang w:eastAsia="zh-CN"/>
              </w:rPr>
              <w:t>待宰圈</w:t>
            </w:r>
            <w:r>
              <w:t>清洁；可以减少80%的产生量</w:t>
            </w:r>
            <w:r>
              <w:rPr>
                <w:rFonts w:hint="eastAsia"/>
                <w:lang w:eastAsia="zh-CN"/>
              </w:rPr>
              <w:t>；</w:t>
            </w:r>
            <w:r>
              <w:rPr>
                <w:rFonts w:hint="eastAsia"/>
                <w:b w:val="0"/>
                <w:bCs w:val="0"/>
                <w:lang w:val="en-US" w:eastAsia="zh-CN"/>
              </w:rPr>
              <w:t>污水处理站采用半地埋式，对整个污水处理单元进行全部密闭，地面加盖，采用微负压抽风系统收集。</w:t>
            </w:r>
          </w:p>
          <w:p>
            <w:pPr>
              <w:pStyle w:val="30"/>
              <w:widowControl w:val="0"/>
              <w:jc w:val="both"/>
              <w:rPr>
                <w:rFonts w:hint="default"/>
                <w:vertAlign w:val="baseline"/>
                <w:lang w:val="en-US" w:eastAsia="zh-CN"/>
              </w:rPr>
            </w:pPr>
            <w:r>
              <w:rPr>
                <w:rFonts w:hint="eastAsia"/>
                <w:vertAlign w:val="baseline"/>
                <w:lang w:val="en-US" w:eastAsia="zh-CN"/>
              </w:rPr>
              <w:t>污染治理措施：</w:t>
            </w:r>
          </w:p>
          <w:p>
            <w:pPr>
              <w:pStyle w:val="30"/>
              <w:widowControl w:val="0"/>
              <w:ind w:firstLine="0" w:firstLineChars="0"/>
              <w:jc w:val="both"/>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臭气收集后采用1套UV光解+生物洗涤塔处理后15m排气筒（P1）排放</w:t>
            </w:r>
          </w:p>
        </w:tc>
        <w:tc>
          <w:tcPr>
            <w:tcW w:w="49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2.76</w:t>
            </w:r>
            <w:r>
              <w:rPr>
                <w:rFonts w:hint="eastAsia" w:cs="Times New Roman"/>
                <w:kern w:val="2"/>
                <w:sz w:val="21"/>
                <w:vertAlign w:val="baseline"/>
                <w:lang w:val="en-US" w:eastAsia="zh-CN"/>
              </w:rPr>
              <w:t>mg/m</w:t>
            </w:r>
            <w:r>
              <w:rPr>
                <w:rFonts w:hint="eastAsia" w:cs="Times New Roman"/>
                <w:kern w:val="2"/>
                <w:sz w:val="21"/>
                <w:vertAlign w:val="superscript"/>
                <w:lang w:val="en-US" w:eastAsia="zh-CN"/>
              </w:rPr>
              <w:t>3</w:t>
            </w:r>
          </w:p>
        </w:tc>
        <w:tc>
          <w:tcPr>
            <w:tcW w:w="323"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kern w:val="2"/>
                <w:sz w:val="21"/>
                <w:vertAlign w:val="baseline"/>
                <w:lang w:val="en-US" w:eastAsia="zh-CN"/>
              </w:rPr>
              <w:t>0.194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562" w:type="pct"/>
            <w:gridSpan w:val="2"/>
            <w:vMerge w:val="continue"/>
            <w:tcBorders>
              <w:tl2br w:val="nil"/>
              <w:tr2bl w:val="nil"/>
            </w:tcBorders>
            <w:vAlign w:val="center"/>
          </w:tcPr>
          <w:p>
            <w:pPr>
              <w:pStyle w:val="30"/>
              <w:widowControl w:val="0"/>
              <w:jc w:val="center"/>
              <w:rPr>
                <w:rFonts w:hint="eastAsia"/>
                <w:vertAlign w:val="baseline"/>
                <w:lang w:val="en-US" w:eastAsia="zh-CN"/>
              </w:rPr>
            </w:pPr>
          </w:p>
        </w:tc>
        <w:tc>
          <w:tcPr>
            <w:tcW w:w="508"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46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2.06</w:t>
            </w:r>
            <w:r>
              <w:rPr>
                <w:rFonts w:hint="eastAsia" w:cs="Times New Roman"/>
                <w:kern w:val="2"/>
                <w:sz w:val="21"/>
                <w:vertAlign w:val="baseline"/>
                <w:lang w:val="en-US" w:eastAsia="zh-CN"/>
              </w:rPr>
              <w:t>mg/m</w:t>
            </w:r>
            <w:r>
              <w:rPr>
                <w:rFonts w:hint="eastAsia" w:cs="Times New Roman"/>
                <w:kern w:val="2"/>
                <w:sz w:val="21"/>
                <w:vertAlign w:val="superscript"/>
                <w:lang w:val="en-US" w:eastAsia="zh-CN"/>
              </w:rPr>
              <w:t>3</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0.147</w:t>
            </w:r>
          </w:p>
        </w:tc>
        <w:tc>
          <w:tcPr>
            <w:tcW w:w="155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0.14</w:t>
            </w:r>
            <w:r>
              <w:rPr>
                <w:rFonts w:hint="eastAsia" w:cs="Times New Roman"/>
                <w:kern w:val="2"/>
                <w:sz w:val="21"/>
                <w:vertAlign w:val="baseline"/>
                <w:lang w:val="en-US" w:eastAsia="zh-CN"/>
              </w:rPr>
              <w:t>mg/m</w:t>
            </w:r>
            <w:r>
              <w:rPr>
                <w:rFonts w:hint="eastAsia" w:cs="Times New Roman"/>
                <w:kern w:val="2"/>
                <w:sz w:val="21"/>
                <w:vertAlign w:val="superscript"/>
                <w:lang w:val="en-US" w:eastAsia="zh-CN"/>
              </w:rPr>
              <w:t>3</w:t>
            </w:r>
          </w:p>
        </w:tc>
        <w:tc>
          <w:tcPr>
            <w:tcW w:w="323"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62" w:type="pct"/>
            <w:gridSpan w:val="2"/>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屠宰车间</w:t>
            </w:r>
          </w:p>
        </w:tc>
        <w:tc>
          <w:tcPr>
            <w:tcW w:w="508"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46000</w:t>
            </w:r>
            <w:r>
              <w:rPr>
                <w:rFonts w:hint="default"/>
              </w:rPr>
              <w:t>m</w:t>
            </w:r>
            <w:r>
              <w:rPr>
                <w:rFonts w:hint="default"/>
                <w:vertAlign w:val="superscript"/>
              </w:rPr>
              <w:t>3</w:t>
            </w:r>
            <w:r>
              <w:rPr>
                <w:rFonts w:hint="default"/>
              </w:rPr>
              <w:t>/h</w:t>
            </w: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NH</w:t>
            </w:r>
            <w:r>
              <w:rPr>
                <w:rFonts w:hint="eastAsia"/>
                <w:vertAlign w:val="subscript"/>
                <w:lang w:val="en-US" w:eastAsia="zh-CN"/>
              </w:rPr>
              <w:t>3</w:t>
            </w:r>
          </w:p>
        </w:tc>
        <w:tc>
          <w:tcPr>
            <w:tcW w:w="46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kern w:val="2"/>
                <w:sz w:val="21"/>
                <w:vertAlign w:val="baseline"/>
                <w:lang w:val="en-US" w:eastAsia="zh-CN"/>
              </w:rPr>
              <w:t>4.52mg/m</w:t>
            </w:r>
            <w:r>
              <w:rPr>
                <w:rFonts w:hint="eastAsia" w:cs="Times New Roman"/>
                <w:kern w:val="2"/>
                <w:sz w:val="21"/>
                <w:vertAlign w:val="superscript"/>
                <w:lang w:val="en-US" w:eastAsia="zh-CN"/>
              </w:rPr>
              <w:t>3</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0.236</w:t>
            </w:r>
          </w:p>
        </w:tc>
        <w:tc>
          <w:tcPr>
            <w:tcW w:w="1552" w:type="pct"/>
            <w:vMerge w:val="restart"/>
            <w:tcBorders>
              <w:tl2br w:val="nil"/>
              <w:tr2bl w:val="nil"/>
            </w:tcBorders>
            <w:vAlign w:val="center"/>
          </w:tcPr>
          <w:p>
            <w:pPr>
              <w:pStyle w:val="30"/>
              <w:widowControl w:val="0"/>
              <w:jc w:val="both"/>
              <w:rPr>
                <w:rFonts w:hint="eastAsia"/>
                <w:vertAlign w:val="baseline"/>
                <w:lang w:val="en-US" w:eastAsia="zh-CN"/>
              </w:rPr>
            </w:pPr>
            <w:r>
              <w:rPr>
                <w:rFonts w:hint="eastAsia"/>
                <w:vertAlign w:val="baseline"/>
                <w:lang w:val="en-US" w:eastAsia="zh-CN"/>
              </w:rPr>
              <w:t>污染控制措施：</w:t>
            </w:r>
          </w:p>
          <w:p>
            <w:pPr>
              <w:pStyle w:val="30"/>
              <w:widowControl w:val="0"/>
              <w:jc w:val="both"/>
              <w:rPr>
                <w:rFonts w:hint="eastAsia"/>
                <w:highlight w:val="none"/>
                <w:vertAlign w:val="baseline"/>
                <w:lang w:val="en-US" w:eastAsia="zh-CN"/>
              </w:rPr>
            </w:pPr>
            <w:r>
              <w:rPr>
                <w:highlight w:val="none"/>
              </w:rPr>
              <w:t>屠宰车间为全密闭，设置强制通风设施，车间每</w:t>
            </w:r>
            <w:r>
              <w:rPr>
                <w:rFonts w:hint="eastAsia"/>
                <w:highlight w:val="none"/>
                <w:lang w:val="en-US" w:eastAsia="zh-CN"/>
              </w:rPr>
              <w:t>2</w:t>
            </w:r>
            <w:r>
              <w:rPr>
                <w:highlight w:val="none"/>
              </w:rPr>
              <w:t>小时换气一次，保持车间负压；车间生产线及时清洗，肠胃内容物和猪毛等污物及时清运，保持屠宰车间清洁；定期对车间进行消毒处理，可以减少80%的产生量</w:t>
            </w:r>
            <w:r>
              <w:rPr>
                <w:rFonts w:hint="eastAsia"/>
                <w:highlight w:val="none"/>
                <w:lang w:eastAsia="zh-CN"/>
              </w:rPr>
              <w:t>。</w:t>
            </w:r>
          </w:p>
          <w:p>
            <w:pPr>
              <w:pStyle w:val="30"/>
              <w:widowControl w:val="0"/>
              <w:jc w:val="both"/>
              <w:rPr>
                <w:rFonts w:hint="default"/>
                <w:vertAlign w:val="baseline"/>
                <w:lang w:val="en-US" w:eastAsia="zh-CN"/>
              </w:rPr>
            </w:pPr>
            <w:r>
              <w:rPr>
                <w:rFonts w:hint="eastAsia"/>
                <w:vertAlign w:val="baseline"/>
                <w:lang w:val="en-US" w:eastAsia="zh-CN"/>
              </w:rPr>
              <w:t>污染治理措施：</w:t>
            </w:r>
          </w:p>
          <w:p>
            <w:pPr>
              <w:pStyle w:val="30"/>
              <w:widowControl w:val="0"/>
              <w:jc w:val="both"/>
              <w:rPr>
                <w:rFonts w:hint="default"/>
                <w:vertAlign w:val="baseline"/>
                <w:lang w:val="en-US" w:eastAsia="zh-CN"/>
              </w:rPr>
            </w:pPr>
            <w:r>
              <w:rPr>
                <w:rFonts w:hint="eastAsia"/>
                <w:vertAlign w:val="baseline"/>
                <w:lang w:val="en-US" w:eastAsia="zh-CN"/>
              </w:rPr>
              <w:t>臭气收集后采用1套UV光解+生物洗涤塔处理后15m排气筒（P2）排放</w:t>
            </w:r>
          </w:p>
        </w:tc>
        <w:tc>
          <w:tcPr>
            <w:tcW w:w="49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0.33</w:t>
            </w:r>
            <w:r>
              <w:rPr>
                <w:rFonts w:hint="eastAsia" w:cs="Times New Roman"/>
                <w:kern w:val="2"/>
                <w:sz w:val="21"/>
                <w:vertAlign w:val="baseline"/>
                <w:lang w:val="en-US" w:eastAsia="zh-CN"/>
              </w:rPr>
              <w:t>mg/m</w:t>
            </w:r>
            <w:r>
              <w:rPr>
                <w:rFonts w:hint="eastAsia" w:cs="Times New Roman"/>
                <w:kern w:val="2"/>
                <w:sz w:val="21"/>
                <w:vertAlign w:val="superscript"/>
                <w:lang w:val="en-US" w:eastAsia="zh-CN"/>
              </w:rPr>
              <w:t>3</w:t>
            </w:r>
          </w:p>
        </w:tc>
        <w:tc>
          <w:tcPr>
            <w:tcW w:w="323"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62" w:type="pct"/>
            <w:gridSpan w:val="2"/>
            <w:vMerge w:val="continue"/>
            <w:tcBorders>
              <w:tl2br w:val="nil"/>
              <w:tr2bl w:val="nil"/>
            </w:tcBorders>
            <w:vAlign w:val="center"/>
          </w:tcPr>
          <w:p>
            <w:pPr>
              <w:pStyle w:val="30"/>
              <w:widowControl w:val="0"/>
              <w:jc w:val="center"/>
              <w:rPr>
                <w:rFonts w:hint="eastAsia"/>
                <w:vertAlign w:val="baseline"/>
                <w:lang w:val="en-US" w:eastAsia="zh-CN"/>
              </w:rPr>
            </w:pPr>
          </w:p>
        </w:tc>
        <w:tc>
          <w:tcPr>
            <w:tcW w:w="508"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46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kern w:val="2"/>
                <w:sz w:val="21"/>
                <w:vertAlign w:val="baseline"/>
                <w:lang w:val="en-US" w:eastAsia="zh-CN"/>
              </w:rPr>
              <w:t>0.25mg/m</w:t>
            </w:r>
            <w:r>
              <w:rPr>
                <w:rFonts w:hint="eastAsia" w:cs="Times New Roman"/>
                <w:kern w:val="2"/>
                <w:sz w:val="21"/>
                <w:vertAlign w:val="superscript"/>
                <w:lang w:val="en-US" w:eastAsia="zh-CN"/>
              </w:rPr>
              <w:t>3</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0.012</w:t>
            </w:r>
          </w:p>
        </w:tc>
        <w:tc>
          <w:tcPr>
            <w:tcW w:w="155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0.0002</w:t>
            </w:r>
            <w:r>
              <w:rPr>
                <w:rFonts w:hint="eastAsia" w:cs="Times New Roman"/>
                <w:kern w:val="2"/>
                <w:sz w:val="21"/>
                <w:vertAlign w:val="baseline"/>
                <w:lang w:val="en-US" w:eastAsia="zh-CN"/>
              </w:rPr>
              <w:t>mg/m</w:t>
            </w:r>
            <w:r>
              <w:rPr>
                <w:rFonts w:hint="eastAsia" w:cs="Times New Roman"/>
                <w:kern w:val="2"/>
                <w:sz w:val="21"/>
                <w:vertAlign w:val="superscript"/>
                <w:lang w:val="en-US" w:eastAsia="zh-CN"/>
              </w:rPr>
              <w:t>3</w:t>
            </w:r>
          </w:p>
        </w:tc>
        <w:tc>
          <w:tcPr>
            <w:tcW w:w="323"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62" w:type="pct"/>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食堂油烟</w:t>
            </w:r>
          </w:p>
        </w:tc>
        <w:tc>
          <w:tcPr>
            <w:tcW w:w="5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200</w:t>
            </w:r>
            <w:r>
              <w:rPr>
                <w:rFonts w:hint="default"/>
              </w:rPr>
              <w:t>m</w:t>
            </w:r>
            <w:r>
              <w:rPr>
                <w:rFonts w:hint="default"/>
                <w:vertAlign w:val="superscript"/>
              </w:rPr>
              <w:t>3</w:t>
            </w:r>
            <w:r>
              <w:rPr>
                <w:rFonts w:hint="default"/>
              </w:rPr>
              <w:t>/h</w:t>
            </w:r>
          </w:p>
        </w:tc>
        <w:tc>
          <w:tcPr>
            <w:tcW w:w="39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餐饮油烟</w:t>
            </w:r>
          </w:p>
        </w:tc>
        <w:tc>
          <w:tcPr>
            <w:tcW w:w="46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4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0.024</w:t>
            </w:r>
          </w:p>
        </w:tc>
        <w:tc>
          <w:tcPr>
            <w:tcW w:w="155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油烟净化器处理后，屋顶排放</w:t>
            </w:r>
          </w:p>
        </w:tc>
        <w:tc>
          <w:tcPr>
            <w:tcW w:w="49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1.2</w:t>
            </w:r>
            <w:r>
              <w:rPr>
                <w:rFonts w:hint="eastAsia" w:cs="Times New Roman"/>
                <w:kern w:val="2"/>
                <w:sz w:val="21"/>
                <w:vertAlign w:val="baseline"/>
                <w:lang w:val="en-US" w:eastAsia="zh-CN"/>
              </w:rPr>
              <w:t>mg/m</w:t>
            </w:r>
            <w:r>
              <w:rPr>
                <w:rFonts w:hint="eastAsia" w:cs="Times New Roman"/>
                <w:kern w:val="2"/>
                <w:sz w:val="21"/>
                <w:vertAlign w:val="superscript"/>
                <w:lang w:val="en-US" w:eastAsia="zh-CN"/>
              </w:rPr>
              <w:t>3</w:t>
            </w:r>
          </w:p>
        </w:tc>
        <w:tc>
          <w:tcPr>
            <w:tcW w:w="32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62" w:type="pct"/>
            <w:gridSpan w:val="2"/>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天然气燃烧废气</w:t>
            </w:r>
          </w:p>
        </w:tc>
        <w:tc>
          <w:tcPr>
            <w:tcW w:w="508"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2000m</w:t>
            </w:r>
            <w:r>
              <w:rPr>
                <w:rFonts w:hint="eastAsia"/>
                <w:vertAlign w:val="superscript"/>
                <w:lang w:val="en-US" w:eastAsia="zh-CN"/>
              </w:rPr>
              <w:t>3</w:t>
            </w:r>
            <w:r>
              <w:rPr>
                <w:rFonts w:hint="eastAsia"/>
                <w:vertAlign w:val="baseline"/>
                <w:lang w:val="en-US" w:eastAsia="zh-CN"/>
              </w:rPr>
              <w:t>/h</w:t>
            </w:r>
          </w:p>
        </w:tc>
        <w:tc>
          <w:tcPr>
            <w:tcW w:w="396"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sz w:val="21"/>
                <w:szCs w:val="21"/>
              </w:rPr>
              <w:t>SO</w:t>
            </w:r>
            <w:r>
              <w:rPr>
                <w:sz w:val="21"/>
                <w:szCs w:val="21"/>
                <w:vertAlign w:val="subscript"/>
              </w:rPr>
              <w:t>2</w:t>
            </w:r>
          </w:p>
        </w:tc>
        <w:tc>
          <w:tcPr>
            <w:tcW w:w="462"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24</w:t>
            </w:r>
            <w:r>
              <w:rPr>
                <w:rFonts w:hint="eastAsia" w:cs="Times New Roman"/>
                <w:kern w:val="2"/>
                <w:sz w:val="21"/>
                <w:vertAlign w:val="baseline"/>
                <w:lang w:val="en-US" w:eastAsia="zh-CN"/>
              </w:rPr>
              <w:t>mg/m</w:t>
            </w:r>
            <w:r>
              <w:rPr>
                <w:rFonts w:hint="eastAsia" w:cs="Times New Roman"/>
                <w:kern w:val="2"/>
                <w:sz w:val="21"/>
                <w:vertAlign w:val="superscript"/>
                <w:lang w:val="en-US" w:eastAsia="zh-CN"/>
              </w:rPr>
              <w:t>3</w:t>
            </w:r>
          </w:p>
        </w:tc>
        <w:tc>
          <w:tcPr>
            <w:tcW w:w="348"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0.048</w:t>
            </w:r>
          </w:p>
        </w:tc>
        <w:tc>
          <w:tcPr>
            <w:tcW w:w="155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收集通过楼顶排气筒（P3）排放（h=8m）</w:t>
            </w:r>
          </w:p>
        </w:tc>
        <w:tc>
          <w:tcPr>
            <w:tcW w:w="491"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24</w:t>
            </w:r>
            <w:r>
              <w:rPr>
                <w:rFonts w:hint="eastAsia" w:cs="Times New Roman"/>
                <w:kern w:val="2"/>
                <w:sz w:val="21"/>
                <w:vertAlign w:val="baseline"/>
                <w:lang w:val="en-US" w:eastAsia="zh-CN"/>
              </w:rPr>
              <w:t>mg/m</w:t>
            </w:r>
            <w:r>
              <w:rPr>
                <w:rFonts w:hint="eastAsia" w:cs="Times New Roman"/>
                <w:kern w:val="2"/>
                <w:sz w:val="21"/>
                <w:vertAlign w:val="superscript"/>
                <w:lang w:val="en-US" w:eastAsia="zh-CN"/>
              </w:rPr>
              <w:t>3</w:t>
            </w:r>
          </w:p>
        </w:tc>
        <w:tc>
          <w:tcPr>
            <w:tcW w:w="323"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62" w:type="pct"/>
            <w:gridSpan w:val="2"/>
            <w:vMerge w:val="continue"/>
            <w:tcBorders>
              <w:tl2br w:val="nil"/>
              <w:tr2bl w:val="nil"/>
            </w:tcBorders>
            <w:vAlign w:val="center"/>
          </w:tcPr>
          <w:p>
            <w:pPr>
              <w:pStyle w:val="30"/>
              <w:widowControl w:val="0"/>
              <w:jc w:val="center"/>
              <w:rPr>
                <w:rFonts w:hint="eastAsia"/>
                <w:vertAlign w:val="baseline"/>
                <w:lang w:val="en-US" w:eastAsia="zh-CN"/>
              </w:rPr>
            </w:pPr>
          </w:p>
        </w:tc>
        <w:tc>
          <w:tcPr>
            <w:tcW w:w="508"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396"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sz w:val="21"/>
                <w:szCs w:val="21"/>
              </w:rPr>
              <w:t>NOx</w:t>
            </w:r>
          </w:p>
        </w:tc>
        <w:tc>
          <w:tcPr>
            <w:tcW w:w="462"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106.5</w:t>
            </w:r>
            <w:r>
              <w:rPr>
                <w:rFonts w:hint="eastAsia" w:cs="Times New Roman"/>
                <w:kern w:val="2"/>
                <w:sz w:val="21"/>
                <w:vertAlign w:val="baseline"/>
                <w:lang w:val="en-US" w:eastAsia="zh-CN"/>
              </w:rPr>
              <w:t>mg/m</w:t>
            </w:r>
            <w:r>
              <w:rPr>
                <w:rFonts w:hint="eastAsia" w:cs="Times New Roman"/>
                <w:kern w:val="2"/>
                <w:sz w:val="21"/>
                <w:vertAlign w:val="superscript"/>
                <w:lang w:val="en-US" w:eastAsia="zh-CN"/>
              </w:rPr>
              <w:t>3</w:t>
            </w:r>
          </w:p>
        </w:tc>
        <w:tc>
          <w:tcPr>
            <w:tcW w:w="348"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0.213</w:t>
            </w:r>
          </w:p>
        </w:tc>
        <w:tc>
          <w:tcPr>
            <w:tcW w:w="1552"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491"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106.5</w:t>
            </w:r>
            <w:r>
              <w:rPr>
                <w:rFonts w:hint="eastAsia" w:cs="Times New Roman"/>
                <w:kern w:val="2"/>
                <w:sz w:val="21"/>
                <w:vertAlign w:val="baseline"/>
                <w:lang w:val="en-US" w:eastAsia="zh-CN"/>
              </w:rPr>
              <w:t>mg/m</w:t>
            </w:r>
            <w:r>
              <w:rPr>
                <w:rFonts w:hint="eastAsia" w:cs="Times New Roman"/>
                <w:kern w:val="2"/>
                <w:sz w:val="21"/>
                <w:vertAlign w:val="superscript"/>
                <w:lang w:val="en-US" w:eastAsia="zh-CN"/>
              </w:rPr>
              <w:t>3</w:t>
            </w:r>
          </w:p>
        </w:tc>
        <w:tc>
          <w:tcPr>
            <w:tcW w:w="323"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62" w:type="pct"/>
            <w:gridSpan w:val="2"/>
            <w:vMerge w:val="continue"/>
            <w:tcBorders>
              <w:tl2br w:val="nil"/>
              <w:tr2bl w:val="nil"/>
            </w:tcBorders>
            <w:vAlign w:val="center"/>
          </w:tcPr>
          <w:p>
            <w:pPr>
              <w:pStyle w:val="30"/>
              <w:widowControl w:val="0"/>
              <w:jc w:val="center"/>
              <w:rPr>
                <w:rFonts w:hint="eastAsia"/>
                <w:vertAlign w:val="baseline"/>
                <w:lang w:val="en-US" w:eastAsia="zh-CN"/>
              </w:rPr>
            </w:pPr>
          </w:p>
        </w:tc>
        <w:tc>
          <w:tcPr>
            <w:tcW w:w="508"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396"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sz w:val="21"/>
                <w:szCs w:val="21"/>
              </w:rPr>
              <w:t>颗粒物</w:t>
            </w:r>
          </w:p>
        </w:tc>
        <w:tc>
          <w:tcPr>
            <w:tcW w:w="462"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14.5</w:t>
            </w:r>
            <w:r>
              <w:rPr>
                <w:rFonts w:hint="eastAsia" w:cs="Times New Roman"/>
                <w:kern w:val="2"/>
                <w:sz w:val="21"/>
                <w:vertAlign w:val="baseline"/>
                <w:lang w:val="en-US" w:eastAsia="zh-CN"/>
              </w:rPr>
              <w:t>mg/m</w:t>
            </w:r>
            <w:r>
              <w:rPr>
                <w:rFonts w:hint="eastAsia" w:cs="Times New Roman"/>
                <w:kern w:val="2"/>
                <w:sz w:val="21"/>
                <w:vertAlign w:val="superscript"/>
                <w:lang w:val="en-US" w:eastAsia="zh-CN"/>
              </w:rPr>
              <w:t>3</w:t>
            </w:r>
          </w:p>
        </w:tc>
        <w:tc>
          <w:tcPr>
            <w:tcW w:w="348"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0.029</w:t>
            </w:r>
          </w:p>
        </w:tc>
        <w:tc>
          <w:tcPr>
            <w:tcW w:w="1552"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491"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14.5</w:t>
            </w:r>
            <w:r>
              <w:rPr>
                <w:rFonts w:hint="eastAsia" w:cs="Times New Roman"/>
                <w:kern w:val="2"/>
                <w:sz w:val="21"/>
                <w:vertAlign w:val="baseline"/>
                <w:lang w:val="en-US" w:eastAsia="zh-CN"/>
              </w:rPr>
              <w:t>mg/m</w:t>
            </w:r>
            <w:r>
              <w:rPr>
                <w:rFonts w:hint="eastAsia" w:cs="Times New Roman"/>
                <w:kern w:val="2"/>
                <w:sz w:val="21"/>
                <w:vertAlign w:val="superscript"/>
                <w:lang w:val="en-US" w:eastAsia="zh-CN"/>
              </w:rPr>
              <w:t>3</w:t>
            </w:r>
          </w:p>
        </w:tc>
        <w:tc>
          <w:tcPr>
            <w:tcW w:w="323" w:type="pct"/>
            <w:tcBorders>
              <w:tl2br w:val="nil"/>
              <w:tr2bl w:val="nil"/>
            </w:tcBorders>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无组织</w:t>
            </w:r>
          </w:p>
        </w:tc>
        <w:tc>
          <w:tcPr>
            <w:tcW w:w="299" w:type="pct"/>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屠宰车间</w:t>
            </w:r>
          </w:p>
        </w:tc>
        <w:tc>
          <w:tcPr>
            <w:tcW w:w="262" w:type="pct"/>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生猪</w:t>
            </w:r>
          </w:p>
        </w:tc>
        <w:tc>
          <w:tcPr>
            <w:tcW w:w="508"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NH</w:t>
            </w:r>
            <w:r>
              <w:rPr>
                <w:rFonts w:hint="eastAsia"/>
                <w:vertAlign w:val="subscript"/>
                <w:lang w:val="en-US" w:eastAsia="zh-CN"/>
              </w:rPr>
              <w:t>3</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975" w:type="dxa"/>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vertAlign w:val="baseline"/>
                <w:lang w:val="en-US" w:eastAsia="zh-CN"/>
              </w:rPr>
            </w:pPr>
            <w:r>
              <w:rPr>
                <w:rFonts w:hint="eastAsia"/>
                <w:lang w:val="en-US" w:eastAsia="zh-CN"/>
              </w:rPr>
              <w:t>0.0045</w:t>
            </w:r>
          </w:p>
        </w:tc>
        <w:tc>
          <w:tcPr>
            <w:tcW w:w="155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rPr>
              <w:t>待宰圈采用干清粪工艺，及时进行清洁</w:t>
            </w: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bidi w:val="0"/>
              <w:ind w:firstLine="0" w:firstLineChars="0"/>
              <w:jc w:val="center"/>
              <w:rPr>
                <w:rFonts w:hint="default"/>
                <w:vertAlign w:val="baseline"/>
                <w:lang w:val="en-US" w:eastAsia="zh-CN"/>
              </w:rPr>
            </w:pPr>
            <w:r>
              <w:rPr>
                <w:rFonts w:hint="eastAsia"/>
                <w:lang w:val="en-US" w:eastAsia="zh-CN"/>
              </w:rPr>
              <w:t>0.0045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299" w:type="pct"/>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262" w:type="pct"/>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c>
          <w:tcPr>
            <w:tcW w:w="508"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396"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462"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c>
          <w:tcPr>
            <w:tcW w:w="975" w:type="dxa"/>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vertAlign w:val="baseline"/>
                <w:lang w:val="en-US" w:eastAsia="zh-CN"/>
              </w:rPr>
            </w:pPr>
            <w:r>
              <w:rPr>
                <w:rFonts w:hint="eastAsia"/>
                <w:lang w:val="en-US" w:eastAsia="zh-CN"/>
              </w:rPr>
              <w:t>0.0001</w:t>
            </w:r>
          </w:p>
        </w:tc>
        <w:tc>
          <w:tcPr>
            <w:tcW w:w="155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bidi w:val="0"/>
              <w:ind w:firstLine="0" w:firstLineChars="0"/>
              <w:jc w:val="center"/>
              <w:rPr>
                <w:rFonts w:hint="default"/>
                <w:vertAlign w:val="baseline"/>
                <w:lang w:val="en-US" w:eastAsia="zh-CN"/>
              </w:rPr>
            </w:pPr>
            <w:r>
              <w:rPr>
                <w:rFonts w:hint="eastAsia"/>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eastAsia"/>
                <w:vertAlign w:val="baseline"/>
                <w:lang w:val="en-US" w:eastAsia="zh-CN"/>
              </w:rPr>
            </w:pPr>
          </w:p>
        </w:tc>
        <w:tc>
          <w:tcPr>
            <w:tcW w:w="299" w:type="pct"/>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262" w:type="pct"/>
            <w:vMerge w:val="restar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肉牛</w:t>
            </w:r>
          </w:p>
        </w:tc>
        <w:tc>
          <w:tcPr>
            <w:tcW w:w="508"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NH</w:t>
            </w:r>
            <w:r>
              <w:rPr>
                <w:rFonts w:hint="eastAsia"/>
                <w:vertAlign w:val="subscript"/>
                <w:lang w:val="en-US" w:eastAsia="zh-CN"/>
              </w:rPr>
              <w:t>3</w:t>
            </w:r>
          </w:p>
        </w:tc>
        <w:tc>
          <w:tcPr>
            <w:tcW w:w="462" w:type="pc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w:t>
            </w:r>
          </w:p>
        </w:tc>
        <w:tc>
          <w:tcPr>
            <w:tcW w:w="975" w:type="dxa"/>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vertAlign w:val="baseline"/>
                <w:lang w:val="en-US" w:eastAsia="zh-CN"/>
              </w:rPr>
            </w:pPr>
            <w:r>
              <w:rPr>
                <w:rFonts w:hint="eastAsia"/>
                <w:lang w:val="en-US" w:eastAsia="zh-CN"/>
              </w:rPr>
              <w:t>0.0001</w:t>
            </w:r>
          </w:p>
        </w:tc>
        <w:tc>
          <w:tcPr>
            <w:tcW w:w="155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加强通风，及时进行清洁</w:t>
            </w: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bidi w:val="0"/>
              <w:ind w:firstLine="0" w:firstLineChars="0"/>
              <w:jc w:val="center"/>
              <w:rPr>
                <w:rFonts w:hint="default"/>
                <w:vertAlign w:val="baseline"/>
                <w:lang w:val="en-US" w:eastAsia="zh-CN"/>
              </w:rPr>
            </w:pPr>
            <w:r>
              <w:rPr>
                <w:rFonts w:hint="eastAsia"/>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299" w:type="pct"/>
            <w:vMerge w:val="continue"/>
            <w:tcBorders>
              <w:tl2br w:val="nil"/>
              <w:tr2bl w:val="nil"/>
            </w:tcBorders>
            <w:vAlign w:val="center"/>
          </w:tcPr>
          <w:p>
            <w:pPr>
              <w:pStyle w:val="30"/>
              <w:widowControl w:val="0"/>
              <w:jc w:val="center"/>
              <w:rPr>
                <w:rFonts w:hint="default"/>
                <w:vertAlign w:val="baseline"/>
                <w:lang w:val="en-US" w:eastAsia="zh-CN"/>
              </w:rPr>
            </w:pPr>
          </w:p>
        </w:tc>
        <w:tc>
          <w:tcPr>
            <w:tcW w:w="26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0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975" w:type="dxa"/>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vertAlign w:val="baseline"/>
                <w:lang w:val="en-US" w:eastAsia="zh-CN"/>
              </w:rPr>
            </w:pPr>
            <w:r>
              <w:rPr>
                <w:rFonts w:hint="eastAsia"/>
                <w:lang w:val="en-US" w:eastAsia="zh-CN"/>
              </w:rPr>
              <w:t>0.0001</w:t>
            </w:r>
          </w:p>
        </w:tc>
        <w:tc>
          <w:tcPr>
            <w:tcW w:w="155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bidi w:val="0"/>
              <w:ind w:firstLine="0" w:firstLineChars="0"/>
              <w:jc w:val="center"/>
              <w:rPr>
                <w:rFonts w:hint="default"/>
                <w:vertAlign w:val="baseline"/>
                <w:lang w:val="en-US" w:eastAsia="zh-CN"/>
              </w:rPr>
            </w:pPr>
            <w:r>
              <w:rPr>
                <w:rFonts w:hint="eastAsia"/>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62" w:type="pct"/>
            <w:gridSpan w:val="2"/>
            <w:vMerge w:val="restar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待宰圈</w:t>
            </w:r>
          </w:p>
        </w:tc>
        <w:tc>
          <w:tcPr>
            <w:tcW w:w="508"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NH</w:t>
            </w:r>
            <w:r>
              <w:rPr>
                <w:rFonts w:hint="eastAsia"/>
                <w:vertAlign w:val="subscript"/>
                <w:lang w:val="en-US" w:eastAsia="zh-CN"/>
              </w:rPr>
              <w:t>3</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97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0.16</w:t>
            </w:r>
          </w:p>
        </w:tc>
        <w:tc>
          <w:tcPr>
            <w:tcW w:w="155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rPr>
              <w:t>待宰圈采用干清粪工艺，及时进行清洁</w:t>
            </w: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62" w:type="pct"/>
            <w:gridSpan w:val="2"/>
            <w:vMerge w:val="continue"/>
            <w:tcBorders>
              <w:tl2br w:val="nil"/>
              <w:tr2bl w:val="nil"/>
            </w:tcBorders>
            <w:vAlign w:val="center"/>
          </w:tcPr>
          <w:p>
            <w:pPr>
              <w:pStyle w:val="30"/>
              <w:widowControl w:val="0"/>
              <w:jc w:val="center"/>
              <w:rPr>
                <w:rFonts w:hint="default"/>
                <w:vertAlign w:val="baseline"/>
                <w:lang w:val="en-US" w:eastAsia="zh-CN"/>
              </w:rPr>
            </w:pPr>
          </w:p>
        </w:tc>
        <w:tc>
          <w:tcPr>
            <w:tcW w:w="50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97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0.0026</w:t>
            </w:r>
          </w:p>
        </w:tc>
        <w:tc>
          <w:tcPr>
            <w:tcW w:w="155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62" w:type="pct"/>
            <w:gridSpan w:val="2"/>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污水处理站</w:t>
            </w:r>
          </w:p>
        </w:tc>
        <w:tc>
          <w:tcPr>
            <w:tcW w:w="508"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NH</w:t>
            </w:r>
            <w:r>
              <w:rPr>
                <w:rFonts w:hint="eastAsia"/>
                <w:vertAlign w:val="subscript"/>
                <w:lang w:val="en-US" w:eastAsia="zh-CN"/>
              </w:rPr>
              <w:t>3</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97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0.056</w:t>
            </w:r>
          </w:p>
        </w:tc>
        <w:tc>
          <w:tcPr>
            <w:tcW w:w="155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rPr>
              <w:t>污泥及时清运，保持清洁。</w:t>
            </w: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19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562" w:type="pct"/>
            <w:gridSpan w:val="2"/>
            <w:vMerge w:val="continue"/>
            <w:tcBorders>
              <w:tl2br w:val="nil"/>
              <w:tr2bl w:val="nil"/>
            </w:tcBorders>
            <w:vAlign w:val="center"/>
          </w:tcPr>
          <w:p>
            <w:pPr>
              <w:pStyle w:val="30"/>
              <w:widowControl w:val="0"/>
              <w:jc w:val="center"/>
              <w:rPr>
                <w:rFonts w:hint="default"/>
                <w:vertAlign w:val="baseline"/>
                <w:lang w:val="en-US" w:eastAsia="zh-CN"/>
              </w:rPr>
            </w:pPr>
          </w:p>
        </w:tc>
        <w:tc>
          <w:tcPr>
            <w:tcW w:w="508" w:type="pct"/>
            <w:vMerge w:val="continue"/>
            <w:tcBorders>
              <w:tl2br w:val="nil"/>
              <w:tr2bl w:val="nil"/>
            </w:tcBorders>
            <w:vAlign w:val="center"/>
          </w:tcPr>
          <w:p>
            <w:pPr>
              <w:pStyle w:val="30"/>
              <w:widowControl w:val="0"/>
              <w:jc w:val="center"/>
              <w:rPr>
                <w:rFonts w:hint="default"/>
                <w:vertAlign w:val="baseline"/>
                <w:lang w:val="en-US" w:eastAsia="zh-CN"/>
              </w:rPr>
            </w:pPr>
          </w:p>
        </w:tc>
        <w:tc>
          <w:tcPr>
            <w:tcW w:w="396"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46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97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0.0022</w:t>
            </w:r>
          </w:p>
        </w:tc>
        <w:tc>
          <w:tcPr>
            <w:tcW w:w="155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pct"/>
            <w:gridSpan w:val="4"/>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噪声</w:t>
            </w:r>
          </w:p>
        </w:tc>
        <w:tc>
          <w:tcPr>
            <w:tcW w:w="50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46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4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155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采用低噪设备，减振，建构筑物隔声</w:t>
            </w:r>
          </w:p>
        </w:tc>
        <w:tc>
          <w:tcPr>
            <w:tcW w:w="49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固废</w:t>
            </w:r>
          </w:p>
        </w:tc>
        <w:tc>
          <w:tcPr>
            <w:tcW w:w="760" w:type="pct"/>
            <w:gridSpan w:val="3"/>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rPr>
              <w:t>检疫不合格猪</w:t>
            </w:r>
            <w:r>
              <w:rPr>
                <w:rFonts w:hint="eastAsia"/>
                <w:lang w:eastAsia="zh-CN"/>
              </w:rPr>
              <w:t>、</w:t>
            </w:r>
            <w:r>
              <w:rPr>
                <w:rFonts w:hint="eastAsia"/>
                <w:lang w:val="en-US" w:eastAsia="zh-CN"/>
              </w:rPr>
              <w:t>牛</w:t>
            </w:r>
            <w:r>
              <w:rPr>
                <w:rFonts w:hint="eastAsia"/>
              </w:rPr>
              <w:t>及病胴体、病内脏</w:t>
            </w:r>
          </w:p>
        </w:tc>
        <w:tc>
          <w:tcPr>
            <w:tcW w:w="508"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68</w:t>
            </w:r>
          </w:p>
        </w:tc>
        <w:tc>
          <w:tcPr>
            <w:tcW w:w="1552" w:type="pct"/>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lang w:val="en-US" w:eastAsia="zh-CN"/>
              </w:rPr>
              <w:t>暂存于无害化暂存间后交由成都市科农动物无害化处置有限公司处置</w:t>
            </w:r>
            <w:r>
              <w:rPr>
                <w:rFonts w:hint="eastAsia"/>
              </w:rPr>
              <w:t>。</w:t>
            </w: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粪便</w:t>
            </w:r>
            <w:r>
              <w:rPr>
                <w:rFonts w:hint="eastAsia"/>
              </w:rPr>
              <w:t>及肠胃内容物</w:t>
            </w:r>
          </w:p>
        </w:tc>
        <w:tc>
          <w:tcPr>
            <w:tcW w:w="508"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2017</w:t>
            </w:r>
          </w:p>
        </w:tc>
        <w:tc>
          <w:tcPr>
            <w:tcW w:w="1552" w:type="pct"/>
            <w:vMerge w:val="continue"/>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rPr>
              <w:t>不可食用内脏</w:t>
            </w:r>
          </w:p>
        </w:tc>
        <w:tc>
          <w:tcPr>
            <w:tcW w:w="508"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720</w:t>
            </w:r>
          </w:p>
        </w:tc>
        <w:tc>
          <w:tcPr>
            <w:tcW w:w="1552" w:type="pct"/>
            <w:vMerge w:val="continue"/>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rPr>
              <w:t>检验后残渣、废弃动物组织及碎肉碎骨等</w:t>
            </w:r>
          </w:p>
        </w:tc>
        <w:tc>
          <w:tcPr>
            <w:tcW w:w="508"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110</w:t>
            </w:r>
          </w:p>
        </w:tc>
        <w:tc>
          <w:tcPr>
            <w:tcW w:w="1552" w:type="pct"/>
            <w:vMerge w:val="continue"/>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rPr>
              <w:t>栅渣</w:t>
            </w:r>
          </w:p>
        </w:tc>
        <w:tc>
          <w:tcPr>
            <w:tcW w:w="508"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300</w:t>
            </w:r>
          </w:p>
        </w:tc>
        <w:tc>
          <w:tcPr>
            <w:tcW w:w="155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交由生产有机肥料的单位进行处置</w:t>
            </w: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rPr>
              <w:t>污泥</w:t>
            </w:r>
          </w:p>
        </w:tc>
        <w:tc>
          <w:tcPr>
            <w:tcW w:w="508"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43.4</w:t>
            </w:r>
          </w:p>
        </w:tc>
        <w:tc>
          <w:tcPr>
            <w:tcW w:w="155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交由环卫部门统一清运</w:t>
            </w: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rPr>
              <w:t>废油脂</w:t>
            </w:r>
          </w:p>
        </w:tc>
        <w:tc>
          <w:tcPr>
            <w:tcW w:w="508"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27.23</w:t>
            </w:r>
          </w:p>
        </w:tc>
        <w:tc>
          <w:tcPr>
            <w:tcW w:w="155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委托有资质的单位进行处置</w:t>
            </w: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rPr>
              <w:t>废包装材料、废胶皮手套</w:t>
            </w:r>
          </w:p>
        </w:tc>
        <w:tc>
          <w:tcPr>
            <w:tcW w:w="508"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1.2</w:t>
            </w:r>
          </w:p>
        </w:tc>
        <w:tc>
          <w:tcPr>
            <w:tcW w:w="155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外售废品收购站</w:t>
            </w: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rPr>
              <w:t>生活垃圾</w:t>
            </w:r>
          </w:p>
        </w:tc>
        <w:tc>
          <w:tcPr>
            <w:tcW w:w="508"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7.5</w:t>
            </w:r>
          </w:p>
        </w:tc>
        <w:tc>
          <w:tcPr>
            <w:tcW w:w="155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交由环卫部门统一清运</w:t>
            </w: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60" w:type="pct"/>
            <w:gridSpan w:val="3"/>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rPr>
              <w:t>餐厨垃圾</w:t>
            </w:r>
          </w:p>
        </w:tc>
        <w:tc>
          <w:tcPr>
            <w:tcW w:w="508"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96"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462"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48"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0.75</w:t>
            </w:r>
          </w:p>
        </w:tc>
        <w:tc>
          <w:tcPr>
            <w:tcW w:w="1552"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由经城管部门许可的餐厨垃圾收运单位处置</w:t>
            </w:r>
          </w:p>
        </w:tc>
        <w:tc>
          <w:tcPr>
            <w:tcW w:w="491"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Pr>
          <w:p>
            <w:pPr>
              <w:pStyle w:val="30"/>
              <w:widowControl w:val="0"/>
              <w:jc w:val="center"/>
              <w:rPr>
                <w:rFonts w:hint="default"/>
                <w:vertAlign w:val="baseline"/>
                <w:lang w:val="en-US" w:eastAsia="zh-CN"/>
              </w:rPr>
            </w:pPr>
          </w:p>
        </w:tc>
        <w:tc>
          <w:tcPr>
            <w:tcW w:w="760" w:type="pct"/>
            <w:gridSpan w:val="3"/>
            <w:vAlign w:val="center"/>
          </w:tcPr>
          <w:p>
            <w:pPr>
              <w:pStyle w:val="30"/>
              <w:widowControl w:val="0"/>
              <w:bidi w:val="0"/>
              <w:jc w:val="center"/>
              <w:rPr>
                <w:rFonts w:hint="default" w:ascii="Times New Roman" w:hAnsi="Times New Roman" w:eastAsia="宋体" w:cs="Times New Roman"/>
                <w:kern w:val="2"/>
                <w:sz w:val="21"/>
                <w:lang w:val="en-US" w:eastAsia="zh-CN"/>
              </w:rPr>
            </w:pPr>
            <w:r>
              <w:rPr>
                <w:rFonts w:hint="eastAsia"/>
              </w:rPr>
              <w:t>废试纸、废</w:t>
            </w:r>
            <w:r>
              <w:rPr>
                <w:rFonts w:hint="default"/>
              </w:rPr>
              <w:t>PCR</w:t>
            </w:r>
            <w:r>
              <w:rPr>
                <w:rFonts w:hint="eastAsia"/>
              </w:rPr>
              <w:t>试剂盒</w:t>
            </w:r>
          </w:p>
        </w:tc>
        <w:tc>
          <w:tcPr>
            <w:tcW w:w="508"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96"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462"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48" w:type="pct"/>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0.15</w:t>
            </w:r>
          </w:p>
        </w:tc>
        <w:tc>
          <w:tcPr>
            <w:tcW w:w="1552" w:type="pct"/>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rPr>
              <w:t>暂存于门卫室冰柜内，每日交具有相应资质单位处置</w:t>
            </w:r>
          </w:p>
        </w:tc>
        <w:tc>
          <w:tcPr>
            <w:tcW w:w="491"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Pr>
          <w:p>
            <w:pPr>
              <w:pStyle w:val="30"/>
              <w:widowControl w:val="0"/>
              <w:jc w:val="center"/>
              <w:rPr>
                <w:rFonts w:hint="default"/>
                <w:vertAlign w:val="baseline"/>
                <w:lang w:val="en-US" w:eastAsia="zh-CN"/>
              </w:rPr>
            </w:pPr>
          </w:p>
        </w:tc>
        <w:tc>
          <w:tcPr>
            <w:tcW w:w="760" w:type="pct"/>
            <w:gridSpan w:val="3"/>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废润滑油</w:t>
            </w:r>
          </w:p>
        </w:tc>
        <w:tc>
          <w:tcPr>
            <w:tcW w:w="508"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96"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462"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48" w:type="pct"/>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0.1</w:t>
            </w:r>
          </w:p>
        </w:tc>
        <w:tc>
          <w:tcPr>
            <w:tcW w:w="1552" w:type="pct"/>
            <w:vMerge w:val="restart"/>
          </w:tcPr>
          <w:p>
            <w:pPr>
              <w:pStyle w:val="30"/>
              <w:widowControl w:val="0"/>
              <w:jc w:val="center"/>
              <w:rPr>
                <w:rFonts w:hint="default"/>
                <w:vertAlign w:val="baseline"/>
                <w:lang w:val="en-US" w:eastAsia="zh-CN"/>
              </w:rPr>
            </w:pPr>
            <w:r>
              <w:rPr>
                <w:rFonts w:hint="eastAsia"/>
                <w:vertAlign w:val="baseline"/>
                <w:lang w:val="en-US" w:eastAsia="zh-CN"/>
              </w:rPr>
              <w:t>暂存于危废暂存间（40m</w:t>
            </w:r>
            <w:r>
              <w:rPr>
                <w:rFonts w:hint="eastAsia"/>
                <w:vertAlign w:val="superscript"/>
                <w:lang w:val="en-US" w:eastAsia="zh-CN"/>
              </w:rPr>
              <w:t>2</w:t>
            </w:r>
            <w:r>
              <w:rPr>
                <w:rFonts w:hint="eastAsia"/>
                <w:vertAlign w:val="baseline"/>
                <w:lang w:val="en-US" w:eastAsia="zh-CN"/>
              </w:rPr>
              <w:t>），定期交由有资质的单位处置</w:t>
            </w:r>
          </w:p>
        </w:tc>
        <w:tc>
          <w:tcPr>
            <w:tcW w:w="491"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 w:type="pct"/>
            <w:vMerge w:val="continue"/>
          </w:tcPr>
          <w:p>
            <w:pPr>
              <w:pStyle w:val="30"/>
              <w:widowControl w:val="0"/>
              <w:jc w:val="center"/>
              <w:rPr>
                <w:rFonts w:hint="default"/>
                <w:vertAlign w:val="baseline"/>
                <w:lang w:val="en-US" w:eastAsia="zh-CN"/>
              </w:rPr>
            </w:pPr>
          </w:p>
        </w:tc>
        <w:tc>
          <w:tcPr>
            <w:tcW w:w="760" w:type="pct"/>
            <w:gridSpan w:val="3"/>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废油桶</w:t>
            </w:r>
          </w:p>
        </w:tc>
        <w:tc>
          <w:tcPr>
            <w:tcW w:w="508"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96"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462"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48" w:type="pct"/>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0.01</w:t>
            </w:r>
          </w:p>
        </w:tc>
        <w:tc>
          <w:tcPr>
            <w:tcW w:w="1552" w:type="pct"/>
            <w:vMerge w:val="continue"/>
          </w:tcPr>
          <w:p>
            <w:pPr>
              <w:pStyle w:val="30"/>
              <w:widowControl w:val="0"/>
              <w:jc w:val="center"/>
              <w:rPr>
                <w:rFonts w:hint="default"/>
                <w:vertAlign w:val="baseline"/>
                <w:lang w:val="en-US" w:eastAsia="zh-CN"/>
              </w:rPr>
            </w:pPr>
          </w:p>
        </w:tc>
        <w:tc>
          <w:tcPr>
            <w:tcW w:w="491"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w:t>
            </w:r>
          </w:p>
        </w:tc>
        <w:tc>
          <w:tcPr>
            <w:tcW w:w="323" w:type="pct"/>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w:t>
            </w:r>
          </w:p>
        </w:tc>
      </w:tr>
    </w:tbl>
    <w:p>
      <w:pPr>
        <w:pStyle w:val="30"/>
        <w:rPr>
          <w:rFonts w:hint="default"/>
          <w:lang w:val="en-US" w:eastAsia="zh-CN"/>
        </w:rPr>
        <w:sectPr>
          <w:pgSz w:w="15840" w:h="12240" w:orient="landscape"/>
          <w:pgMar w:top="1134" w:right="1020" w:bottom="1134" w:left="1020" w:header="720" w:footer="720" w:gutter="0"/>
          <w:pgBorders>
            <w:top w:val="none" w:sz="0" w:space="0"/>
            <w:left w:val="none" w:sz="0" w:space="0"/>
            <w:bottom w:val="none" w:sz="0" w:space="0"/>
            <w:right w:val="none" w:sz="0" w:space="0"/>
          </w:pgBorders>
          <w:lnNumType w:countBy="0" w:distance="360"/>
          <w:pgNumType w:fmt="numberInDash"/>
          <w:cols w:space="720" w:num="1"/>
          <w:docGrid w:type="lines" w:linePitch="312" w:charSpace="0"/>
        </w:sectPr>
      </w:pPr>
    </w:p>
    <w:p>
      <w:pPr>
        <w:pStyle w:val="4"/>
        <w:bidi w:val="0"/>
        <w:rPr>
          <w:rFonts w:hint="default"/>
          <w:lang w:val="en-US" w:eastAsia="zh-CN"/>
        </w:rPr>
      </w:pPr>
      <w:bookmarkStart w:id="48" w:name="_Toc20181"/>
      <w:r>
        <w:rPr>
          <w:rFonts w:hint="eastAsia"/>
          <w:lang w:val="en-US" w:eastAsia="zh-CN"/>
        </w:rPr>
        <w:t>清洁生产及总量控制</w:t>
      </w:r>
      <w:bookmarkEnd w:id="48"/>
    </w:p>
    <w:p>
      <w:pPr>
        <w:pStyle w:val="5"/>
        <w:bidi w:val="0"/>
        <w:rPr>
          <w:rFonts w:hint="eastAsia"/>
        </w:rPr>
      </w:pPr>
      <w:r>
        <w:rPr>
          <w:rFonts w:hint="eastAsia"/>
        </w:rPr>
        <w:t>清洁生产</w:t>
      </w:r>
    </w:p>
    <w:p>
      <w:pPr>
        <w:bidi w:val="0"/>
        <w:rPr>
          <w:rFonts w:hint="eastAsia"/>
        </w:rPr>
      </w:pPr>
      <w:r>
        <w:rPr>
          <w:rFonts w:hint="eastAsia"/>
        </w:rPr>
        <w:t>推行清洁生产、实现可持续发展战略，是我国经济建设应遵循的根本方针，也是工业污染防治的基本原则和根本任务。清洁生产就是指不断采取改进设计、使用清洁的能源和原料、采用先进的工艺技术与设备、改善管理、综合利用等措施，从源头上削减污染，提高资源利用效率，减少或者避免生产、服务和产品使用过程中污染物的产生和排放，以减轻或者消除对人类健康和环境的危害，实现经济建设与环境保护的协调发展。</w:t>
      </w:r>
    </w:p>
    <w:p>
      <w:pPr>
        <w:bidi w:val="0"/>
        <w:rPr>
          <w:rFonts w:hint="eastAsia"/>
        </w:rPr>
      </w:pPr>
      <w:r>
        <w:rPr>
          <w:rFonts w:hint="eastAsia"/>
        </w:rPr>
        <w:t>清洁生产（污染预防）已被证明是优于污染末端控制且需优先考虑的一种环境战略，是对人类及环境危害最小的生产过程，要求在减少对资源和能源消耗量、以及降低产品成本的同时，减少污染物的排放及对环境的危害。</w:t>
      </w:r>
    </w:p>
    <w:p>
      <w:pPr>
        <w:pStyle w:val="6"/>
        <w:bidi w:val="0"/>
        <w:rPr>
          <w:rFonts w:hint="default"/>
          <w:lang w:val="en-US" w:eastAsia="zh-CN"/>
        </w:rPr>
      </w:pPr>
      <w:r>
        <w:rPr>
          <w:rFonts w:hint="eastAsia"/>
          <w:lang w:val="en-US" w:eastAsia="zh-CN"/>
        </w:rPr>
        <w:t>评价方法</w:t>
      </w:r>
    </w:p>
    <w:p>
      <w:pPr>
        <w:bidi w:val="0"/>
        <w:rPr>
          <w:rFonts w:hint="eastAsia"/>
          <w:b/>
          <w:bCs/>
        </w:rPr>
      </w:pPr>
      <w:r>
        <w:rPr>
          <w:rFonts w:hint="eastAsia"/>
          <w:b/>
          <w:bCs/>
        </w:rPr>
        <w:t>（</w:t>
      </w:r>
      <w:r>
        <w:rPr>
          <w:rFonts w:hint="default"/>
          <w:b/>
          <w:bCs/>
        </w:rPr>
        <w:t>1</w:t>
      </w:r>
      <w:r>
        <w:rPr>
          <w:rFonts w:hint="eastAsia"/>
          <w:b/>
          <w:bCs/>
        </w:rPr>
        <w:t>）评价指标确定</w:t>
      </w:r>
    </w:p>
    <w:p>
      <w:pPr>
        <w:bidi w:val="0"/>
        <w:rPr>
          <w:rFonts w:hint="eastAsia"/>
        </w:rPr>
      </w:pPr>
      <w:r>
        <w:rPr>
          <w:rFonts w:hint="eastAsia"/>
        </w:rPr>
        <w:t>结合本项目工程特点，依据生产周期的分析原则，本评价选择生产工艺与装备要求、资源能源利用指标、产品指标、污染物产生指标、废物回收利用指标、环境管理要求六大类指标作为清洁生产评价的指标。</w:t>
      </w:r>
    </w:p>
    <w:p>
      <w:pPr>
        <w:bidi w:val="0"/>
        <w:rPr>
          <w:rFonts w:hint="eastAsia"/>
          <w:b/>
          <w:bCs/>
        </w:rPr>
      </w:pPr>
      <w:r>
        <w:rPr>
          <w:rFonts w:hint="eastAsia"/>
          <w:b/>
          <w:bCs/>
        </w:rPr>
        <w:t>（</w:t>
      </w:r>
      <w:r>
        <w:rPr>
          <w:rFonts w:hint="default"/>
          <w:b/>
          <w:bCs/>
        </w:rPr>
        <w:t>2</w:t>
      </w:r>
      <w:r>
        <w:rPr>
          <w:rFonts w:hint="eastAsia"/>
          <w:b/>
          <w:bCs/>
        </w:rPr>
        <w:t>）清洁生产等级划分及评价</w:t>
      </w:r>
    </w:p>
    <w:p>
      <w:pPr>
        <w:bidi w:val="0"/>
        <w:rPr>
          <w:rFonts w:hint="eastAsia"/>
        </w:rPr>
      </w:pPr>
      <w:r>
        <w:rPr>
          <w:rFonts w:hint="eastAsia"/>
        </w:rPr>
        <w:t>企业生产过程清洁生产水平划分为三个级别：一级：国际清洁生产先进水平；二级：国内清洁生产先进水平；三级：国内清洁生产基本水平。目前我国已出台了多个行业的清洁生产标准和清洁生产标准讨论稿。</w:t>
      </w:r>
    </w:p>
    <w:p>
      <w:pPr>
        <w:bidi w:val="0"/>
        <w:rPr>
          <w:rFonts w:hint="eastAsia"/>
        </w:rPr>
      </w:pPr>
      <w:r>
        <w:rPr>
          <w:rFonts w:hint="eastAsia"/>
        </w:rPr>
        <w:t>这些标准均按三个级别对清洁生产水平进行划分，给出清洁生产评价指标每个细分指标的数值。在无标准可参照的情况下可比照同行业其他企业在上述清洁生产指标上所达到的水平，对项目清洁生产水平予以评价。</w:t>
      </w:r>
    </w:p>
    <w:p>
      <w:pPr>
        <w:pStyle w:val="6"/>
        <w:bidi w:val="0"/>
        <w:rPr>
          <w:rFonts w:hint="default"/>
          <w:lang w:val="en-US" w:eastAsia="zh-CN"/>
        </w:rPr>
      </w:pPr>
      <w:r>
        <w:rPr>
          <w:rFonts w:hint="eastAsia"/>
          <w:lang w:val="en-US" w:eastAsia="zh-CN"/>
        </w:rPr>
        <w:t>本项目清洁生产评述</w:t>
      </w:r>
    </w:p>
    <w:p>
      <w:pPr>
        <w:bidi w:val="0"/>
        <w:rPr>
          <w:rFonts w:hint="eastAsia"/>
          <w:b/>
          <w:bCs/>
        </w:rPr>
      </w:pPr>
      <w:r>
        <w:rPr>
          <w:rFonts w:hint="eastAsia"/>
          <w:b/>
          <w:bCs/>
        </w:rPr>
        <w:t>（</w:t>
      </w:r>
      <w:r>
        <w:rPr>
          <w:rFonts w:hint="default"/>
          <w:b/>
          <w:bCs/>
        </w:rPr>
        <w:t>1</w:t>
      </w:r>
      <w:r>
        <w:rPr>
          <w:rFonts w:hint="eastAsia"/>
          <w:b/>
          <w:bCs/>
        </w:rPr>
        <w:t>）生产工艺及装备要求</w:t>
      </w:r>
    </w:p>
    <w:p>
      <w:pPr>
        <w:bidi w:val="0"/>
        <w:rPr>
          <w:rFonts w:hint="eastAsia"/>
        </w:rPr>
      </w:pPr>
      <w:r>
        <w:rPr>
          <w:rFonts w:hint="eastAsia"/>
        </w:rPr>
        <w:t>整合前，原有三家屠宰场主要为半自动化生产，人工干扰较多，且采用</w:t>
      </w:r>
      <w:r>
        <w:rPr>
          <w:rFonts w:hint="eastAsia"/>
          <w:lang w:val="en-US" w:eastAsia="zh-CN"/>
        </w:rPr>
        <w:t>电能源</w:t>
      </w:r>
      <w:r>
        <w:rPr>
          <w:rFonts w:hint="eastAsia"/>
        </w:rPr>
        <w:t>锅炉进行供热，整合后本项目采用符合国内清洁生产标准的先进设备，实现自动化、机械化生产，生产工艺为国内成熟的屠宰加工工艺，工艺更加成熟；污水处理工艺采用《屠宰与肉类加工废水治理工程技术规范》（</w:t>
      </w:r>
      <w:r>
        <w:rPr>
          <w:rFonts w:hint="default"/>
        </w:rPr>
        <w:t>HJ2004-2010</w:t>
      </w:r>
      <w:r>
        <w:rPr>
          <w:rFonts w:hint="eastAsia"/>
        </w:rPr>
        <w:t>）推荐工艺，符合国家清洁生产标准，末端处理设施具备较高的处理效率。</w:t>
      </w:r>
    </w:p>
    <w:p>
      <w:pPr>
        <w:bidi w:val="0"/>
        <w:rPr>
          <w:rFonts w:hint="eastAsia"/>
        </w:rPr>
      </w:pPr>
      <w:r>
        <w:rPr>
          <w:rFonts w:hint="eastAsia"/>
        </w:rPr>
        <w:t>本项目所采用设备均为符合国家标准的节能设备，可充分节约能源。</w:t>
      </w:r>
    </w:p>
    <w:p>
      <w:pPr>
        <w:bidi w:val="0"/>
        <w:rPr>
          <w:rFonts w:hint="eastAsia"/>
        </w:rPr>
      </w:pPr>
      <w:r>
        <w:rPr>
          <w:rFonts w:hint="eastAsia"/>
        </w:rPr>
        <w:t>整合后屠宰工艺趋于自动化，生产工艺更加先进，更加节约能源，产出效率增加。</w:t>
      </w:r>
    </w:p>
    <w:p>
      <w:pPr>
        <w:bidi w:val="0"/>
        <w:rPr>
          <w:rFonts w:hint="eastAsia"/>
          <w:b/>
          <w:bCs/>
        </w:rPr>
      </w:pPr>
      <w:r>
        <w:rPr>
          <w:rFonts w:hint="eastAsia"/>
          <w:b/>
          <w:bCs/>
        </w:rPr>
        <w:t>（</w:t>
      </w:r>
      <w:r>
        <w:rPr>
          <w:rFonts w:hint="default"/>
          <w:b/>
          <w:bCs/>
        </w:rPr>
        <w:t>2</w:t>
      </w:r>
      <w:r>
        <w:rPr>
          <w:rFonts w:hint="eastAsia"/>
          <w:b/>
          <w:bCs/>
        </w:rPr>
        <w:t>）原料</w:t>
      </w:r>
    </w:p>
    <w:p>
      <w:pPr>
        <w:bidi w:val="0"/>
        <w:rPr>
          <w:rFonts w:hint="eastAsia"/>
        </w:rPr>
      </w:pPr>
      <w:r>
        <w:rPr>
          <w:rFonts w:hint="eastAsia"/>
        </w:rPr>
        <w:t>在原料的采购环节，生猪</w:t>
      </w:r>
      <w:r>
        <w:rPr>
          <w:rFonts w:hint="eastAsia"/>
          <w:lang w:val="en-US" w:eastAsia="zh-CN"/>
        </w:rPr>
        <w:t>和肉牛</w:t>
      </w:r>
      <w:r>
        <w:rPr>
          <w:rFonts w:hint="eastAsia"/>
        </w:rPr>
        <w:t>均经过卫生部门检疫，保证了家禽肉质的品质和安全。</w:t>
      </w:r>
    </w:p>
    <w:p>
      <w:pPr>
        <w:bidi w:val="0"/>
        <w:rPr>
          <w:rFonts w:hint="eastAsia"/>
          <w:b/>
          <w:bCs/>
        </w:rPr>
      </w:pPr>
      <w:r>
        <w:rPr>
          <w:rFonts w:hint="eastAsia"/>
          <w:b/>
          <w:bCs/>
        </w:rPr>
        <w:t>（</w:t>
      </w:r>
      <w:r>
        <w:rPr>
          <w:rFonts w:hint="default"/>
          <w:b/>
          <w:bCs/>
        </w:rPr>
        <w:t>3</w:t>
      </w:r>
      <w:r>
        <w:rPr>
          <w:rFonts w:hint="eastAsia"/>
          <w:b/>
          <w:bCs/>
        </w:rPr>
        <w:t>）产品指标</w:t>
      </w:r>
    </w:p>
    <w:p>
      <w:pPr>
        <w:bidi w:val="0"/>
        <w:rPr>
          <w:rFonts w:hint="eastAsia"/>
        </w:rPr>
      </w:pPr>
      <w:r>
        <w:rPr>
          <w:rFonts w:hint="eastAsia"/>
        </w:rPr>
        <w:t>本项目为屠宰加工，肉质产品均需满足相应的肉质食品标准后方可进入市场，生产中严格控制污染物的产生，做到了全过程控制和预防。</w:t>
      </w:r>
    </w:p>
    <w:p>
      <w:pPr>
        <w:bidi w:val="0"/>
        <w:rPr>
          <w:rFonts w:hint="eastAsia"/>
          <w:b/>
          <w:bCs/>
        </w:rPr>
      </w:pPr>
      <w:r>
        <w:rPr>
          <w:rFonts w:hint="eastAsia"/>
          <w:b/>
          <w:bCs/>
        </w:rPr>
        <w:t>（</w:t>
      </w:r>
      <w:r>
        <w:rPr>
          <w:rFonts w:hint="default"/>
          <w:b/>
          <w:bCs/>
        </w:rPr>
        <w:t>4</w:t>
      </w:r>
      <w:r>
        <w:rPr>
          <w:rFonts w:hint="eastAsia"/>
          <w:b/>
          <w:bCs/>
        </w:rPr>
        <w:t>）废物综合利用</w:t>
      </w:r>
    </w:p>
    <w:p>
      <w:pPr>
        <w:bidi w:val="0"/>
        <w:rPr>
          <w:rFonts w:hint="eastAsia"/>
        </w:rPr>
      </w:pPr>
      <w:r>
        <w:rPr>
          <w:rFonts w:hint="eastAsia"/>
        </w:rPr>
        <w:t>根据前述分析，本项目主要固体废弃物主要为疫不合格猪</w:t>
      </w:r>
      <w:r>
        <w:rPr>
          <w:rFonts w:hint="eastAsia"/>
          <w:lang w:eastAsia="zh-CN"/>
        </w:rPr>
        <w:t>、</w:t>
      </w:r>
      <w:r>
        <w:rPr>
          <w:rFonts w:hint="eastAsia"/>
          <w:lang w:val="en-US" w:eastAsia="zh-CN"/>
        </w:rPr>
        <w:t>牛</w:t>
      </w:r>
      <w:r>
        <w:rPr>
          <w:rFonts w:hint="eastAsia"/>
        </w:rPr>
        <w:t>及病胴体、病内脏，不可食用内脏，猪粪及肠胃内容物，废弃动物组织及碎肉碎骨等，污水处理站栅渣、废油脂和污泥等，以上固体废物全部</w:t>
      </w:r>
      <w:r>
        <w:rPr>
          <w:rFonts w:hint="eastAsia"/>
          <w:lang w:val="en-US" w:eastAsia="zh-CN"/>
        </w:rPr>
        <w:t>送至无害化暂存间</w:t>
      </w:r>
      <w:r>
        <w:rPr>
          <w:rFonts w:hint="eastAsia"/>
        </w:rPr>
        <w:t>处理。</w:t>
      </w:r>
    </w:p>
    <w:p>
      <w:pPr>
        <w:bidi w:val="0"/>
        <w:rPr>
          <w:rFonts w:hint="eastAsia"/>
        </w:rPr>
      </w:pPr>
      <w:r>
        <w:rPr>
          <w:rFonts w:hint="eastAsia"/>
        </w:rPr>
        <w:t>在废物的综合利用上，本项目遵循</w:t>
      </w:r>
      <w:r>
        <w:rPr>
          <w:rFonts w:hint="eastAsia"/>
          <w:lang w:eastAsia="zh-CN"/>
        </w:rPr>
        <w:t>“</w:t>
      </w:r>
      <w:r>
        <w:rPr>
          <w:rFonts w:hint="eastAsia"/>
        </w:rPr>
        <w:t>减量化、资源化、无害化</w:t>
      </w:r>
      <w:r>
        <w:rPr>
          <w:rFonts w:hint="eastAsia"/>
          <w:lang w:eastAsia="zh-CN"/>
        </w:rPr>
        <w:t>”</w:t>
      </w:r>
      <w:r>
        <w:rPr>
          <w:rFonts w:hint="eastAsia"/>
        </w:rPr>
        <w:t>的原则，最终实现废物的综合利用，具有较好的清洁生产水平。</w:t>
      </w:r>
    </w:p>
    <w:p>
      <w:pPr>
        <w:bidi w:val="0"/>
        <w:rPr>
          <w:rFonts w:hint="eastAsia"/>
          <w:b/>
          <w:bCs/>
        </w:rPr>
      </w:pPr>
      <w:r>
        <w:rPr>
          <w:rFonts w:hint="eastAsia"/>
          <w:b/>
          <w:bCs/>
        </w:rPr>
        <w:t>（</w:t>
      </w:r>
      <w:r>
        <w:rPr>
          <w:rFonts w:hint="default"/>
          <w:b/>
          <w:bCs/>
        </w:rPr>
        <w:t>5</w:t>
      </w:r>
      <w:r>
        <w:rPr>
          <w:rFonts w:hint="eastAsia"/>
          <w:b/>
          <w:bCs/>
        </w:rPr>
        <w:t>）污染物产生指标</w:t>
      </w:r>
    </w:p>
    <w:p>
      <w:pPr>
        <w:bidi w:val="0"/>
        <w:rPr>
          <w:rFonts w:hint="eastAsia"/>
        </w:rPr>
      </w:pPr>
      <w:r>
        <w:rPr>
          <w:rFonts w:hint="eastAsia"/>
        </w:rPr>
        <w:t>本项目产生的恶臭通过收集后经</w:t>
      </w:r>
      <w:r>
        <w:rPr>
          <w:rFonts w:hint="eastAsia"/>
          <w:lang w:eastAsia="zh-CN"/>
        </w:rPr>
        <w:t>UV光解+生物洗涤塔</w:t>
      </w:r>
      <w:r>
        <w:rPr>
          <w:rFonts w:hint="eastAsia"/>
        </w:rPr>
        <w:t>处理后可实现达标排放；废水经自建的污水处理站处理后</w:t>
      </w:r>
      <w:r>
        <w:rPr>
          <w:rFonts w:hint="eastAsia"/>
          <w:lang w:val="en-US" w:eastAsia="zh-CN"/>
        </w:rPr>
        <w:t>部分回用于厂区及车辆冲洗，剩余部分用于农田灌溉，不外排</w:t>
      </w:r>
      <w:r>
        <w:rPr>
          <w:rFonts w:hint="eastAsia"/>
        </w:rPr>
        <w:t>；固废分类收集交专业有资质公司收集处理后综合利用不外排；噪声经减振、隔声等措施后达标排放。从污染物产生指标看，整合后的项目对环境的影响具有正效应，减少了污染物的产生以及削减了污染物的排放。</w:t>
      </w:r>
    </w:p>
    <w:p>
      <w:pPr>
        <w:bidi w:val="0"/>
        <w:rPr>
          <w:rFonts w:hint="eastAsia"/>
          <w:b/>
          <w:bCs/>
        </w:rPr>
      </w:pPr>
      <w:r>
        <w:rPr>
          <w:rFonts w:hint="eastAsia"/>
          <w:b/>
          <w:bCs/>
        </w:rPr>
        <w:t>（</w:t>
      </w:r>
      <w:r>
        <w:rPr>
          <w:rFonts w:hint="default"/>
          <w:b/>
          <w:bCs/>
        </w:rPr>
        <w:t>6</w:t>
      </w:r>
      <w:r>
        <w:rPr>
          <w:rFonts w:hint="eastAsia"/>
          <w:b/>
          <w:bCs/>
        </w:rPr>
        <w:t>）环境管理</w:t>
      </w:r>
    </w:p>
    <w:p>
      <w:pPr>
        <w:bidi w:val="0"/>
        <w:rPr>
          <w:rFonts w:hint="eastAsia"/>
        </w:rPr>
      </w:pPr>
      <w:r>
        <w:rPr>
          <w:rFonts w:hint="eastAsia"/>
        </w:rPr>
        <w:t>①厂区排水进行雨、污分流。</w:t>
      </w:r>
    </w:p>
    <w:p>
      <w:pPr>
        <w:bidi w:val="0"/>
        <w:rPr>
          <w:rFonts w:hint="eastAsia"/>
        </w:rPr>
      </w:pPr>
      <w:r>
        <w:rPr>
          <w:rFonts w:hint="eastAsia"/>
        </w:rPr>
        <w:t>②污水设施符合设计规范要求，防止污水管道和污水站池体的破损、渗漏，防止对土壤、地表水和地下水的污染。</w:t>
      </w:r>
    </w:p>
    <w:p>
      <w:pPr>
        <w:bidi w:val="0"/>
        <w:rPr>
          <w:rFonts w:hint="eastAsia"/>
        </w:rPr>
      </w:pPr>
      <w:r>
        <w:rPr>
          <w:rFonts w:hint="eastAsia"/>
        </w:rPr>
        <w:t>③减少废水流失和</w:t>
      </w:r>
      <w:r>
        <w:rPr>
          <w:rFonts w:hint="eastAsia"/>
          <w:lang w:eastAsia="zh-CN"/>
        </w:rPr>
        <w:t>“</w:t>
      </w:r>
      <w:r>
        <w:rPr>
          <w:rFonts w:hint="eastAsia"/>
        </w:rPr>
        <w:t>跑、冒、滴、漏</w:t>
      </w:r>
      <w:r>
        <w:rPr>
          <w:rFonts w:hint="eastAsia"/>
          <w:lang w:eastAsia="zh-CN"/>
        </w:rPr>
        <w:t>”</w:t>
      </w:r>
      <w:r>
        <w:rPr>
          <w:rFonts w:hint="eastAsia"/>
        </w:rPr>
        <w:t>对环境的污染。</w:t>
      </w:r>
      <w:r>
        <w:rPr>
          <w:rFonts w:hint="eastAsia"/>
          <w:lang w:eastAsia="zh-CN"/>
        </w:rPr>
        <w:t>“</w:t>
      </w:r>
      <w:r>
        <w:rPr>
          <w:rFonts w:hint="eastAsia"/>
        </w:rPr>
        <w:t>三废</w:t>
      </w:r>
      <w:r>
        <w:rPr>
          <w:rFonts w:hint="eastAsia"/>
          <w:lang w:eastAsia="zh-CN"/>
        </w:rPr>
        <w:t>”</w:t>
      </w:r>
      <w:r>
        <w:rPr>
          <w:rFonts w:hint="eastAsia"/>
        </w:rPr>
        <w:t>进行有效的治理，达标后排放。优化生产、工艺条件，降低能耗、物耗和减少污染物的产生。</w:t>
      </w:r>
    </w:p>
    <w:p>
      <w:pPr>
        <w:bidi w:val="0"/>
        <w:rPr>
          <w:rFonts w:hint="eastAsia" w:ascii="宋体" w:hAnsi="宋体" w:eastAsia="宋体"/>
          <w:sz w:val="24"/>
        </w:rPr>
      </w:pPr>
      <w:r>
        <w:rPr>
          <w:rFonts w:hint="eastAsia" w:ascii="宋体" w:hAnsi="宋体" w:eastAsia="宋体"/>
          <w:sz w:val="24"/>
        </w:rPr>
        <w:t>④产噪设备均采取减振、隔音和消声的措施，确保厂界噪声达标排放。</w:t>
      </w:r>
    </w:p>
    <w:p>
      <w:pPr>
        <w:pStyle w:val="6"/>
        <w:bidi w:val="0"/>
        <w:rPr>
          <w:rFonts w:hint="eastAsia"/>
        </w:rPr>
      </w:pPr>
      <w:r>
        <w:rPr>
          <w:rFonts w:hint="eastAsia"/>
        </w:rPr>
        <w:t>清洁生产结论</w:t>
      </w:r>
    </w:p>
    <w:p>
      <w:pPr>
        <w:bidi w:val="0"/>
        <w:rPr>
          <w:rFonts w:hint="eastAsia"/>
        </w:rPr>
      </w:pPr>
      <w:r>
        <w:rPr>
          <w:rFonts w:hint="eastAsia"/>
        </w:rPr>
        <w:t>从以上分析可以看出，本项目属于机械化屠宰，生产工艺技术先进，合理利用资源，提高了</w:t>
      </w:r>
      <w:r>
        <w:rPr>
          <w:rFonts w:hint="eastAsia"/>
          <w:lang w:eastAsia="zh-CN"/>
        </w:rPr>
        <w:t>“</w:t>
      </w:r>
      <w:r>
        <w:rPr>
          <w:rFonts w:hint="eastAsia"/>
        </w:rPr>
        <w:t>三废</w:t>
      </w:r>
      <w:r>
        <w:rPr>
          <w:rFonts w:hint="eastAsia"/>
          <w:lang w:eastAsia="zh-CN"/>
        </w:rPr>
        <w:t>”</w:t>
      </w:r>
      <w:r>
        <w:rPr>
          <w:rFonts w:hint="eastAsia"/>
        </w:rPr>
        <w:t>污染源治理水平，强化</w:t>
      </w:r>
      <w:r>
        <w:rPr>
          <w:rFonts w:hint="eastAsia"/>
          <w:lang w:eastAsia="zh-CN"/>
        </w:rPr>
        <w:t>环境治理</w:t>
      </w:r>
      <w:r>
        <w:rPr>
          <w:rFonts w:hint="eastAsia"/>
        </w:rPr>
        <w:t>设施和肉类产品管理等措施，较好地贯彻了</w:t>
      </w:r>
      <w:r>
        <w:rPr>
          <w:rFonts w:hint="eastAsia"/>
          <w:lang w:eastAsia="zh-CN"/>
        </w:rPr>
        <w:t>“</w:t>
      </w:r>
      <w:r>
        <w:rPr>
          <w:rFonts w:hint="eastAsia"/>
        </w:rPr>
        <w:t>节能、降耗、减污、增效</w:t>
      </w:r>
      <w:r>
        <w:rPr>
          <w:rFonts w:hint="eastAsia"/>
          <w:lang w:eastAsia="zh-CN"/>
        </w:rPr>
        <w:t>”</w:t>
      </w:r>
      <w:r>
        <w:rPr>
          <w:rFonts w:hint="eastAsia"/>
        </w:rPr>
        <w:t>为目的的清洁生产，因此本项目清洁生产水平为国内先进水平，相比整合前，对环境具有正效应。</w:t>
      </w:r>
    </w:p>
    <w:p>
      <w:pPr>
        <w:pStyle w:val="5"/>
        <w:bidi w:val="0"/>
        <w:rPr>
          <w:rFonts w:hint="default"/>
          <w:lang w:val="en-US" w:eastAsia="zh-CN"/>
        </w:rPr>
      </w:pPr>
      <w:r>
        <w:rPr>
          <w:rFonts w:hint="eastAsia"/>
          <w:lang w:val="en-US" w:eastAsia="zh-CN"/>
        </w:rPr>
        <w:t>总量控制</w:t>
      </w:r>
    </w:p>
    <w:p>
      <w:pPr>
        <w:bidi w:val="0"/>
        <w:rPr>
          <w:rFonts w:hint="eastAsia"/>
        </w:rPr>
      </w:pPr>
      <w:r>
        <w:rPr>
          <w:rFonts w:hint="eastAsia"/>
        </w:rPr>
        <w:t>本评价在工程分析的基础上，计算出本项目的废水、废气、固体废物年污染物排放总量，提供给环保管理部门，作为制定该公司总量控制指标时的参考。</w:t>
      </w:r>
    </w:p>
    <w:p>
      <w:pPr>
        <w:pStyle w:val="6"/>
        <w:bidi w:val="0"/>
        <w:rPr>
          <w:rFonts w:hint="default"/>
          <w:lang w:val="en-US" w:eastAsia="zh-CN"/>
        </w:rPr>
      </w:pPr>
      <w:r>
        <w:rPr>
          <w:rFonts w:hint="eastAsia"/>
          <w:lang w:val="en-US" w:eastAsia="zh-CN"/>
        </w:rPr>
        <w:t>总量控制因子确定</w:t>
      </w:r>
    </w:p>
    <w:p>
      <w:pPr>
        <w:bidi w:val="0"/>
        <w:rPr>
          <w:rFonts w:hint="eastAsia"/>
        </w:rPr>
      </w:pPr>
      <w:r>
        <w:rPr>
          <w:rFonts w:hint="eastAsia"/>
        </w:rPr>
        <w:t>根据拟建项目排污特征，对本项目污染物排放总量控制分为两类：</w:t>
      </w:r>
    </w:p>
    <w:p>
      <w:pPr>
        <w:bidi w:val="0"/>
        <w:rPr>
          <w:rFonts w:hint="eastAsia"/>
        </w:rPr>
      </w:pPr>
      <w:r>
        <w:rPr>
          <w:rFonts w:hint="eastAsia"/>
        </w:rPr>
        <w:t>（</w:t>
      </w:r>
      <w:r>
        <w:rPr>
          <w:rFonts w:hint="default"/>
        </w:rPr>
        <w:t>1</w:t>
      </w:r>
      <w:r>
        <w:rPr>
          <w:rFonts w:hint="eastAsia"/>
        </w:rPr>
        <w:t>）国家要求进行总量控制的污染物，提出污染物总量控制建议指标；</w:t>
      </w:r>
    </w:p>
    <w:p>
      <w:pPr>
        <w:bidi w:val="0"/>
        <w:rPr>
          <w:rFonts w:hint="eastAsia"/>
        </w:rPr>
      </w:pPr>
      <w:r>
        <w:rPr>
          <w:rFonts w:hint="eastAsia"/>
        </w:rPr>
        <w:t>（</w:t>
      </w:r>
      <w:r>
        <w:rPr>
          <w:rFonts w:hint="default"/>
        </w:rPr>
        <w:t>2</w:t>
      </w:r>
      <w:r>
        <w:rPr>
          <w:rFonts w:hint="eastAsia"/>
        </w:rPr>
        <w:t>）对于未列入国家污染物总量控制的特征污染物，提出污染物排放总量考核要求，由当地</w:t>
      </w:r>
      <w:r>
        <w:rPr>
          <w:rFonts w:hint="eastAsia"/>
          <w:lang w:val="en-US" w:eastAsia="zh-CN"/>
        </w:rPr>
        <w:t>生态环境</w:t>
      </w:r>
      <w:r>
        <w:rPr>
          <w:rFonts w:hint="eastAsia"/>
        </w:rPr>
        <w:t>部门对企业废水、废气污染物排放总量进行考核。</w:t>
      </w:r>
    </w:p>
    <w:p>
      <w:pPr>
        <w:pStyle w:val="6"/>
        <w:bidi w:val="0"/>
        <w:rPr>
          <w:rFonts w:hint="default"/>
          <w:lang w:val="en-US" w:eastAsia="zh-CN"/>
        </w:rPr>
      </w:pPr>
      <w:r>
        <w:rPr>
          <w:rFonts w:hint="eastAsia"/>
          <w:lang w:val="en-US" w:eastAsia="zh-CN"/>
        </w:rPr>
        <w:t>总量控制指标</w:t>
      </w:r>
    </w:p>
    <w:p>
      <w:pPr>
        <w:bidi w:val="0"/>
        <w:rPr>
          <w:rFonts w:hint="eastAsia"/>
        </w:rPr>
      </w:pPr>
      <w:r>
        <w:rPr>
          <w:rFonts w:hint="eastAsia"/>
        </w:rPr>
        <w:t>根据国家制定的总量控制指标，同时结合本项目的污染物排放特点，特制定以下总量控制指标及特征污染物排放考核指标。</w:t>
      </w:r>
    </w:p>
    <w:p>
      <w:pPr>
        <w:bidi w:val="0"/>
        <w:rPr>
          <w:rFonts w:hint="default"/>
          <w:b/>
          <w:bCs/>
          <w:lang w:val="en-US" w:eastAsia="zh-CN"/>
        </w:rPr>
      </w:pPr>
      <w:r>
        <w:rPr>
          <w:rFonts w:hint="eastAsia"/>
          <w:b/>
          <w:bCs/>
          <w:lang w:val="en-US" w:eastAsia="zh-CN"/>
        </w:rPr>
        <w:t>（1）水污染物总量控制指标</w:t>
      </w:r>
    </w:p>
    <w:p>
      <w:pPr>
        <w:bidi w:val="0"/>
        <w:rPr>
          <w:rFonts w:hint="eastAsia"/>
        </w:rPr>
      </w:pPr>
      <w:r>
        <w:rPr>
          <w:rFonts w:hint="eastAsia"/>
        </w:rPr>
        <w:t>本项目废水日均排放量</w:t>
      </w:r>
      <w:r>
        <w:rPr>
          <w:rFonts w:hint="eastAsia"/>
          <w:lang w:val="en-US" w:eastAsia="zh-CN"/>
        </w:rPr>
        <w:t>682.9</w:t>
      </w:r>
      <w:r>
        <w:rPr>
          <w:rFonts w:hint="default"/>
        </w:rPr>
        <w:t>m</w:t>
      </w:r>
      <w:r>
        <w:rPr>
          <w:rFonts w:hint="default"/>
          <w:vertAlign w:val="superscript"/>
        </w:rPr>
        <w:t>3</w:t>
      </w:r>
      <w:r>
        <w:rPr>
          <w:rFonts w:hint="default"/>
        </w:rPr>
        <w:t>/d</w:t>
      </w:r>
      <w:r>
        <w:rPr>
          <w:rFonts w:hint="eastAsia"/>
        </w:rPr>
        <w:t>（单日最大排放量</w:t>
      </w:r>
      <w:r>
        <w:rPr>
          <w:rFonts w:hint="eastAsia"/>
          <w:lang w:val="en-US" w:eastAsia="zh-CN"/>
        </w:rPr>
        <w:t>805.9</w:t>
      </w:r>
      <w:r>
        <w:rPr>
          <w:rFonts w:hint="default"/>
        </w:rPr>
        <w:t>m</w:t>
      </w:r>
      <w:r>
        <w:rPr>
          <w:rFonts w:hint="default"/>
          <w:vertAlign w:val="superscript"/>
        </w:rPr>
        <w:t>3</w:t>
      </w:r>
      <w:r>
        <w:rPr>
          <w:rFonts w:hint="default"/>
        </w:rPr>
        <w:t>/d</w:t>
      </w:r>
      <w:r>
        <w:rPr>
          <w:rFonts w:hint="eastAsia"/>
        </w:rPr>
        <w:t>），经自建的污水处理站处理后，</w:t>
      </w:r>
      <w:r>
        <w:rPr>
          <w:rFonts w:hint="eastAsia"/>
          <w:lang w:val="en-US" w:eastAsia="zh-CN"/>
        </w:rPr>
        <w:t>一部分回用于进出车辆冲洗、地面冲洗、待宰圈冲洗和洗涤塔补水等，剩余废水用于农田灌溉，不外排。</w:t>
      </w:r>
      <w:r>
        <w:rPr>
          <w:rFonts w:hint="eastAsia"/>
        </w:rPr>
        <w:t>项目产生的污废水经自建的污水处理设施处理，</w:t>
      </w:r>
      <w:r>
        <w:rPr>
          <w:rFonts w:hint="eastAsia"/>
          <w:lang w:val="en-US" w:eastAsia="zh-CN"/>
        </w:rPr>
        <w:t>可</w:t>
      </w:r>
      <w:r>
        <w:rPr>
          <w:rFonts w:hint="eastAsia"/>
        </w:rPr>
        <w:t>达到</w:t>
      </w:r>
      <w:r>
        <w:rPr>
          <w:rFonts w:hint="eastAsia"/>
          <w:lang w:eastAsia="zh-CN"/>
        </w:rPr>
        <w:t>《城镇污水处理厂污染物排放标准》（GB18918-2002）</w:t>
      </w:r>
      <w:r>
        <w:rPr>
          <w:rFonts w:hint="eastAsia"/>
          <w:lang w:val="en-US" w:eastAsia="zh-CN"/>
        </w:rPr>
        <w:t>中一级A</w:t>
      </w:r>
      <w:r>
        <w:rPr>
          <w:rFonts w:hint="eastAsia"/>
        </w:rPr>
        <w:t>排放标准</w:t>
      </w:r>
      <w:r>
        <w:rPr>
          <w:rFonts w:hint="eastAsia"/>
          <w:lang w:eastAsia="zh-CN"/>
        </w:rPr>
        <w:t>，</w:t>
      </w:r>
      <w:r>
        <w:rPr>
          <w:rFonts w:hint="eastAsia"/>
          <w:lang w:val="en-US" w:eastAsia="zh-CN"/>
        </w:rPr>
        <w:t>满足</w:t>
      </w:r>
      <w:r>
        <w:rPr>
          <w:rFonts w:hint="eastAsia"/>
          <w:lang w:eastAsia="zh-CN"/>
        </w:rPr>
        <w:t>《</w:t>
      </w:r>
      <w:r>
        <w:rPr>
          <w:rFonts w:hint="eastAsia"/>
          <w:lang w:val="en-US" w:eastAsia="zh-CN"/>
        </w:rPr>
        <w:t>肉类加工工业水污染物排放标准</w:t>
      </w:r>
      <w:r>
        <w:rPr>
          <w:rFonts w:hint="eastAsia"/>
          <w:lang w:eastAsia="zh-CN"/>
        </w:rPr>
        <w:t>》（</w:t>
      </w:r>
      <w:r>
        <w:rPr>
          <w:rFonts w:hint="eastAsia"/>
          <w:lang w:val="en-US" w:eastAsia="zh-CN"/>
        </w:rPr>
        <w:t>GB13457-92</w:t>
      </w:r>
      <w:r>
        <w:rPr>
          <w:rFonts w:hint="eastAsia"/>
          <w:lang w:eastAsia="zh-CN"/>
        </w:rPr>
        <w:t>）</w:t>
      </w:r>
      <w:r>
        <w:rPr>
          <w:rFonts w:hint="eastAsia"/>
          <w:lang w:val="en-US" w:eastAsia="zh-CN"/>
        </w:rPr>
        <w:t>中一级标准，满足《农田灌溉水质标准》（GB 5084-2005），且满足《城市污水再生利用城市杂用水水质》（GB/T18920-2002）中道路清扫、消防以及车辆冲洗水质要求。</w:t>
      </w:r>
    </w:p>
    <w:p>
      <w:pPr>
        <w:bidi w:val="0"/>
        <w:rPr>
          <w:rFonts w:hint="default"/>
          <w:b/>
          <w:bCs/>
          <w:lang w:val="en-US" w:eastAsia="zh-CN"/>
        </w:rPr>
      </w:pPr>
      <w:r>
        <w:rPr>
          <w:rFonts w:hint="eastAsia"/>
          <w:b/>
          <w:bCs/>
          <w:lang w:val="en-US" w:eastAsia="zh-CN"/>
        </w:rPr>
        <w:t>因此，本项目废水无总量控制指标。</w:t>
      </w:r>
    </w:p>
    <w:p>
      <w:pPr>
        <w:bidi w:val="0"/>
        <w:rPr>
          <w:rFonts w:hint="default"/>
          <w:b/>
          <w:bCs/>
          <w:lang w:val="en-US" w:eastAsia="zh-CN"/>
        </w:rPr>
      </w:pPr>
      <w:r>
        <w:rPr>
          <w:rFonts w:hint="eastAsia"/>
          <w:b/>
          <w:bCs/>
          <w:lang w:val="en-US" w:eastAsia="zh-CN"/>
        </w:rPr>
        <w:t>（2）大气污染物总量控制指标</w:t>
      </w:r>
    </w:p>
    <w:p>
      <w:pPr>
        <w:bidi w:val="0"/>
        <w:rPr>
          <w:rFonts w:hint="default"/>
          <w:lang w:val="en-US" w:eastAsia="zh-CN"/>
        </w:rPr>
      </w:pPr>
      <w:r>
        <w:rPr>
          <w:rFonts w:hint="eastAsia"/>
          <w:lang w:val="en-US" w:eastAsia="zh-CN"/>
        </w:rPr>
        <w:t>本项目大气污染物主要为恶臭因子</w:t>
      </w:r>
      <w:r>
        <w:rPr>
          <w:rFonts w:hint="default"/>
        </w:rPr>
        <w:t>NH</w:t>
      </w:r>
      <w:r>
        <w:rPr>
          <w:rFonts w:hint="default"/>
          <w:vertAlign w:val="subscript"/>
        </w:rPr>
        <w:t>3</w:t>
      </w:r>
      <w:r>
        <w:rPr>
          <w:rFonts w:hint="eastAsia"/>
          <w:lang w:eastAsia="zh-CN"/>
        </w:rPr>
        <w:t>、</w:t>
      </w:r>
      <w:r>
        <w:rPr>
          <w:rFonts w:hint="default"/>
        </w:rPr>
        <w:t>H</w:t>
      </w:r>
      <w:r>
        <w:rPr>
          <w:rFonts w:hint="default"/>
          <w:vertAlign w:val="subscript"/>
        </w:rPr>
        <w:t>2</w:t>
      </w:r>
      <w:r>
        <w:rPr>
          <w:rFonts w:hint="default"/>
        </w:rPr>
        <w:t>S</w:t>
      </w:r>
      <w:r>
        <w:rPr>
          <w:rFonts w:hint="eastAsia"/>
          <w:lang w:val="en-US" w:eastAsia="zh-CN"/>
        </w:rPr>
        <w:t>和天然气燃烧废气SO</w:t>
      </w:r>
      <w:r>
        <w:rPr>
          <w:rFonts w:hint="eastAsia"/>
          <w:vertAlign w:val="subscript"/>
          <w:lang w:val="en-US" w:eastAsia="zh-CN"/>
        </w:rPr>
        <w:t>2</w:t>
      </w:r>
      <w:r>
        <w:rPr>
          <w:rFonts w:hint="eastAsia"/>
          <w:vertAlign w:val="baseline"/>
          <w:lang w:val="en-US" w:eastAsia="zh-CN"/>
        </w:rPr>
        <w:t>、NOx、颗粒物</w:t>
      </w:r>
      <w:r>
        <w:rPr>
          <w:rFonts w:hint="eastAsia"/>
        </w:rPr>
        <w:t>，总量控制指标建议值见表</w:t>
      </w:r>
      <w:r>
        <w:rPr>
          <w:rFonts w:hint="default"/>
        </w:rPr>
        <w:t>3.5-2</w:t>
      </w:r>
      <w:r>
        <w:rPr>
          <w:rFonts w:hint="eastAsia"/>
        </w:rPr>
        <w:t>。</w:t>
      </w:r>
    </w:p>
    <w:p>
      <w:pPr>
        <w:pStyle w:val="29"/>
        <w:bidi w:val="0"/>
        <w:rPr>
          <w:rFonts w:hint="default"/>
        </w:rPr>
      </w:pPr>
      <w:r>
        <w:rPr>
          <w:rFonts w:hint="eastAsia"/>
        </w:rPr>
        <w:t>表</w:t>
      </w:r>
      <w:r>
        <w:rPr>
          <w:rFonts w:hint="default"/>
        </w:rPr>
        <w:t xml:space="preserve">3.5-2 </w:t>
      </w:r>
      <w:r>
        <w:rPr>
          <w:rFonts w:hint="eastAsia"/>
          <w:lang w:val="en-US" w:eastAsia="zh-CN"/>
        </w:rPr>
        <w:t xml:space="preserve"> </w:t>
      </w:r>
      <w:r>
        <w:rPr>
          <w:rFonts w:hint="eastAsia"/>
        </w:rPr>
        <w:t>大气污染物总量控制指标建议值</w:t>
      </w:r>
      <w:r>
        <w:rPr>
          <w:rFonts w:hint="eastAsia"/>
          <w:lang w:val="en-US" w:eastAsia="zh-CN"/>
        </w:rPr>
        <w:t xml:space="preserve">   </w:t>
      </w:r>
      <w:r>
        <w:rPr>
          <w:rFonts w:hint="eastAsia"/>
        </w:rPr>
        <w:t>单位：</w:t>
      </w:r>
      <w:r>
        <w:rPr>
          <w:rFonts w:hint="default"/>
        </w:rPr>
        <w:t>t/a</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115"/>
        <w:gridCol w:w="2595"/>
        <w:gridCol w:w="33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tcBorders>
              <w:tl2br w:val="nil"/>
              <w:tr2bl w:val="nil"/>
            </w:tcBorders>
            <w:vAlign w:val="center"/>
          </w:tcPr>
          <w:p>
            <w:pPr>
              <w:pStyle w:val="30"/>
              <w:widowControl w:val="0"/>
              <w:jc w:val="center"/>
              <w:rPr>
                <w:rFonts w:hint="eastAsia" w:eastAsia="宋体"/>
                <w:b/>
                <w:bCs/>
                <w:vertAlign w:val="baseline"/>
                <w:lang w:val="en-US" w:eastAsia="zh-CN"/>
              </w:rPr>
            </w:pPr>
            <w:r>
              <w:rPr>
                <w:rFonts w:hint="eastAsia"/>
                <w:b/>
                <w:bCs/>
                <w:vertAlign w:val="baseline"/>
                <w:lang w:val="en-US" w:eastAsia="zh-CN"/>
              </w:rPr>
              <w:t>污染物</w:t>
            </w:r>
          </w:p>
        </w:tc>
        <w:tc>
          <w:tcPr>
            <w:tcW w:w="4710" w:type="dxa"/>
            <w:gridSpan w:val="2"/>
            <w:tcBorders>
              <w:tl2br w:val="nil"/>
              <w:tr2bl w:val="nil"/>
            </w:tcBorders>
            <w:vAlign w:val="center"/>
          </w:tcPr>
          <w:p>
            <w:pPr>
              <w:pStyle w:val="30"/>
              <w:widowControl w:val="0"/>
              <w:jc w:val="center"/>
              <w:rPr>
                <w:rFonts w:hint="eastAsia"/>
                <w:b/>
                <w:bCs/>
                <w:vertAlign w:val="baseline"/>
              </w:rPr>
            </w:pPr>
            <w:r>
              <w:rPr>
                <w:rFonts w:hint="eastAsia"/>
                <w:b/>
                <w:bCs/>
                <w:vertAlign w:val="baseline"/>
                <w:lang w:val="en-US" w:eastAsia="zh-CN"/>
              </w:rPr>
              <w:t>污染因子</w:t>
            </w:r>
          </w:p>
        </w:tc>
        <w:tc>
          <w:tcPr>
            <w:tcW w:w="3364" w:type="dxa"/>
            <w:tcBorders>
              <w:tl2br w:val="nil"/>
              <w:tr2bl w:val="nil"/>
            </w:tcBorders>
            <w:vAlign w:val="center"/>
          </w:tcPr>
          <w:p>
            <w:pPr>
              <w:pStyle w:val="30"/>
              <w:widowControl w:val="0"/>
              <w:jc w:val="center"/>
              <w:rPr>
                <w:rFonts w:hint="eastAsia" w:eastAsia="宋体"/>
                <w:b/>
                <w:bCs/>
                <w:vertAlign w:val="baseline"/>
                <w:lang w:val="en-US" w:eastAsia="zh-CN"/>
              </w:rPr>
            </w:pPr>
            <w:r>
              <w:rPr>
                <w:rFonts w:hint="eastAsia"/>
                <w:b/>
                <w:bCs/>
                <w:vertAlign w:val="baseline"/>
                <w:lang w:val="en-US" w:eastAsia="zh-CN"/>
              </w:rPr>
              <w:t>年排放量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vMerge w:val="restart"/>
            <w:tcBorders>
              <w:tl2br w:val="nil"/>
              <w:tr2bl w:val="nil"/>
            </w:tcBorders>
            <w:vAlign w:val="center"/>
          </w:tcPr>
          <w:p>
            <w:pPr>
              <w:pStyle w:val="30"/>
              <w:widowControl w:val="0"/>
              <w:jc w:val="center"/>
              <w:rPr>
                <w:rFonts w:hint="eastAsia" w:eastAsia="宋体"/>
                <w:vertAlign w:val="baseline"/>
                <w:lang w:val="en-US" w:eastAsia="zh-CN"/>
              </w:rPr>
            </w:pPr>
            <w:r>
              <w:rPr>
                <w:rFonts w:hint="eastAsia"/>
                <w:vertAlign w:val="baseline"/>
                <w:lang w:val="en-US" w:eastAsia="zh-CN"/>
              </w:rPr>
              <w:t>恶臭</w:t>
            </w:r>
          </w:p>
        </w:tc>
        <w:tc>
          <w:tcPr>
            <w:tcW w:w="2115" w:type="dxa"/>
            <w:vMerge w:val="restart"/>
            <w:tcBorders>
              <w:tl2br w:val="nil"/>
              <w:tr2bl w:val="nil"/>
            </w:tcBorders>
            <w:vAlign w:val="center"/>
          </w:tcPr>
          <w:p>
            <w:pPr>
              <w:pStyle w:val="30"/>
              <w:widowControl w:val="0"/>
              <w:jc w:val="center"/>
              <w:rPr>
                <w:rFonts w:hint="default" w:eastAsia="宋体"/>
                <w:vertAlign w:val="subscript"/>
                <w:lang w:val="en-US" w:eastAsia="zh-CN"/>
              </w:rPr>
            </w:pPr>
            <w:r>
              <w:rPr>
                <w:rFonts w:hint="eastAsia"/>
                <w:vertAlign w:val="baseline"/>
                <w:lang w:val="en-US" w:eastAsia="zh-CN"/>
              </w:rPr>
              <w:t>NH</w:t>
            </w:r>
            <w:r>
              <w:rPr>
                <w:rFonts w:hint="eastAsia"/>
                <w:vertAlign w:val="subscript"/>
                <w:lang w:val="en-US" w:eastAsia="zh-CN"/>
              </w:rPr>
              <w:t>3</w:t>
            </w:r>
          </w:p>
        </w:tc>
        <w:tc>
          <w:tcPr>
            <w:tcW w:w="2595" w:type="dxa"/>
            <w:tcBorders>
              <w:tl2br w:val="nil"/>
              <w:tr2bl w:val="nil"/>
            </w:tcBorders>
            <w:vAlign w:val="center"/>
          </w:tcPr>
          <w:p>
            <w:pPr>
              <w:pStyle w:val="30"/>
              <w:widowControl w:val="0"/>
              <w:jc w:val="center"/>
              <w:rPr>
                <w:rFonts w:hint="eastAsia" w:eastAsia="宋体"/>
                <w:vertAlign w:val="baseline"/>
                <w:lang w:val="en-US" w:eastAsia="zh-CN"/>
              </w:rPr>
            </w:pPr>
            <w:r>
              <w:rPr>
                <w:rFonts w:hint="eastAsia"/>
                <w:vertAlign w:val="baseline"/>
                <w:lang w:val="en-US" w:eastAsia="zh-CN"/>
              </w:rPr>
              <w:t>有组织</w:t>
            </w:r>
          </w:p>
        </w:tc>
        <w:tc>
          <w:tcPr>
            <w:tcW w:w="3364"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0.211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vMerge w:val="continue"/>
            <w:tcBorders>
              <w:tl2br w:val="nil"/>
              <w:tr2bl w:val="nil"/>
            </w:tcBorders>
            <w:vAlign w:val="center"/>
          </w:tcPr>
          <w:p>
            <w:pPr>
              <w:pStyle w:val="30"/>
              <w:widowControl w:val="0"/>
              <w:jc w:val="center"/>
              <w:rPr>
                <w:rFonts w:hint="eastAsia"/>
                <w:vertAlign w:val="baseline"/>
              </w:rPr>
            </w:pPr>
          </w:p>
        </w:tc>
        <w:tc>
          <w:tcPr>
            <w:tcW w:w="2115" w:type="dxa"/>
            <w:vMerge w:val="continue"/>
            <w:tcBorders>
              <w:tl2br w:val="nil"/>
              <w:tr2bl w:val="nil"/>
            </w:tcBorders>
            <w:vAlign w:val="center"/>
          </w:tcPr>
          <w:p>
            <w:pPr>
              <w:pStyle w:val="30"/>
              <w:widowControl w:val="0"/>
              <w:jc w:val="center"/>
              <w:rPr>
                <w:rFonts w:hint="eastAsia"/>
                <w:vertAlign w:val="baseline"/>
              </w:rPr>
            </w:pPr>
          </w:p>
        </w:tc>
        <w:tc>
          <w:tcPr>
            <w:tcW w:w="2595" w:type="dxa"/>
            <w:tcBorders>
              <w:tl2br w:val="nil"/>
              <w:tr2bl w:val="nil"/>
            </w:tcBorders>
            <w:vAlign w:val="center"/>
          </w:tcPr>
          <w:p>
            <w:pPr>
              <w:pStyle w:val="30"/>
              <w:widowControl w:val="0"/>
              <w:jc w:val="center"/>
              <w:rPr>
                <w:rFonts w:hint="eastAsia" w:eastAsia="宋体"/>
                <w:vertAlign w:val="baseline"/>
                <w:lang w:val="en-US" w:eastAsia="zh-CN"/>
              </w:rPr>
            </w:pPr>
            <w:r>
              <w:rPr>
                <w:rFonts w:hint="eastAsia"/>
                <w:vertAlign w:val="baseline"/>
                <w:lang w:val="en-US" w:eastAsia="zh-CN"/>
              </w:rPr>
              <w:t>无组织</w:t>
            </w:r>
          </w:p>
        </w:tc>
        <w:tc>
          <w:tcPr>
            <w:tcW w:w="3364"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vMerge w:val="continue"/>
            <w:tcBorders>
              <w:tl2br w:val="nil"/>
              <w:tr2bl w:val="nil"/>
            </w:tcBorders>
            <w:vAlign w:val="center"/>
          </w:tcPr>
          <w:p>
            <w:pPr>
              <w:pStyle w:val="30"/>
              <w:widowControl w:val="0"/>
              <w:jc w:val="center"/>
              <w:rPr>
                <w:rFonts w:hint="eastAsia"/>
                <w:vertAlign w:val="baseline"/>
              </w:rPr>
            </w:pPr>
          </w:p>
        </w:tc>
        <w:tc>
          <w:tcPr>
            <w:tcW w:w="211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2595" w:type="dxa"/>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合计</w:t>
            </w:r>
          </w:p>
        </w:tc>
        <w:tc>
          <w:tcPr>
            <w:tcW w:w="3364" w:type="dxa"/>
            <w:tcBorders>
              <w:tl2br w:val="nil"/>
              <w:tr2bl w:val="nil"/>
            </w:tcBorders>
            <w:vAlign w:val="center"/>
          </w:tcPr>
          <w:p>
            <w:pPr>
              <w:pStyle w:val="30"/>
              <w:widowControl w:val="0"/>
              <w:jc w:val="center"/>
              <w:rPr>
                <w:rFonts w:hint="default" w:eastAsia="宋体"/>
                <w:b/>
                <w:bCs/>
                <w:vertAlign w:val="baseline"/>
                <w:lang w:val="en-US" w:eastAsia="zh-CN"/>
              </w:rPr>
            </w:pPr>
            <w:r>
              <w:rPr>
                <w:rFonts w:hint="eastAsia"/>
                <w:b/>
                <w:bCs/>
                <w:vertAlign w:val="baseline"/>
                <w:lang w:val="en-US" w:eastAsia="zh-CN"/>
              </w:rPr>
              <w:t>0.431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vMerge w:val="continue"/>
            <w:tcBorders>
              <w:tl2br w:val="nil"/>
              <w:tr2bl w:val="nil"/>
            </w:tcBorders>
            <w:vAlign w:val="center"/>
          </w:tcPr>
          <w:p>
            <w:pPr>
              <w:pStyle w:val="30"/>
              <w:widowControl w:val="0"/>
              <w:jc w:val="center"/>
              <w:rPr>
                <w:rFonts w:hint="eastAsia"/>
                <w:vertAlign w:val="baseline"/>
              </w:rPr>
            </w:pPr>
          </w:p>
        </w:tc>
        <w:tc>
          <w:tcPr>
            <w:tcW w:w="2115" w:type="dxa"/>
            <w:vMerge w:val="restart"/>
            <w:tcBorders>
              <w:tl2br w:val="nil"/>
              <w:tr2bl w:val="nil"/>
            </w:tcBorders>
            <w:vAlign w:val="center"/>
          </w:tcPr>
          <w:p>
            <w:pPr>
              <w:pStyle w:val="30"/>
              <w:widowControl w:val="0"/>
              <w:jc w:val="center"/>
              <w:rPr>
                <w:rFonts w:hint="eastAsia"/>
                <w:vertAlign w:val="baseline"/>
              </w:rPr>
            </w:pPr>
            <w:r>
              <w:rPr>
                <w:rFonts w:hint="default"/>
              </w:rPr>
              <w:t>H</w:t>
            </w:r>
            <w:r>
              <w:rPr>
                <w:rFonts w:hint="default"/>
                <w:vertAlign w:val="subscript"/>
              </w:rPr>
              <w:t>2</w:t>
            </w:r>
            <w:r>
              <w:rPr>
                <w:rFonts w:hint="default"/>
              </w:rPr>
              <w:t>S</w:t>
            </w:r>
          </w:p>
        </w:tc>
        <w:tc>
          <w:tcPr>
            <w:tcW w:w="259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有组织</w:t>
            </w:r>
          </w:p>
        </w:tc>
        <w:tc>
          <w:tcPr>
            <w:tcW w:w="3364"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vMerge w:val="continue"/>
            <w:tcBorders>
              <w:tl2br w:val="nil"/>
              <w:tr2bl w:val="nil"/>
            </w:tcBorders>
            <w:vAlign w:val="center"/>
          </w:tcPr>
          <w:p>
            <w:pPr>
              <w:pStyle w:val="30"/>
              <w:widowControl w:val="0"/>
              <w:jc w:val="center"/>
              <w:rPr>
                <w:rFonts w:hint="eastAsia"/>
                <w:vertAlign w:val="baseline"/>
              </w:rPr>
            </w:pPr>
          </w:p>
        </w:tc>
        <w:tc>
          <w:tcPr>
            <w:tcW w:w="2115" w:type="dxa"/>
            <w:vMerge w:val="continue"/>
            <w:tcBorders>
              <w:tl2br w:val="nil"/>
              <w:tr2bl w:val="nil"/>
            </w:tcBorders>
            <w:vAlign w:val="center"/>
          </w:tcPr>
          <w:p>
            <w:pPr>
              <w:pStyle w:val="30"/>
              <w:widowControl w:val="0"/>
              <w:jc w:val="center"/>
              <w:rPr>
                <w:rFonts w:hint="eastAsia"/>
                <w:vertAlign w:val="baseline"/>
              </w:rPr>
            </w:pPr>
          </w:p>
        </w:tc>
        <w:tc>
          <w:tcPr>
            <w:tcW w:w="259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无组织</w:t>
            </w:r>
          </w:p>
        </w:tc>
        <w:tc>
          <w:tcPr>
            <w:tcW w:w="3364"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vMerge w:val="continue"/>
            <w:tcBorders>
              <w:tl2br w:val="nil"/>
              <w:tr2bl w:val="nil"/>
            </w:tcBorders>
            <w:vAlign w:val="center"/>
          </w:tcPr>
          <w:p>
            <w:pPr>
              <w:pStyle w:val="30"/>
              <w:widowControl w:val="0"/>
              <w:jc w:val="center"/>
              <w:rPr>
                <w:rFonts w:hint="eastAsia"/>
                <w:vertAlign w:val="baseline"/>
              </w:rPr>
            </w:pPr>
          </w:p>
        </w:tc>
        <w:tc>
          <w:tcPr>
            <w:tcW w:w="211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2595" w:type="dxa"/>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合计</w:t>
            </w:r>
          </w:p>
        </w:tc>
        <w:tc>
          <w:tcPr>
            <w:tcW w:w="3364" w:type="dxa"/>
            <w:tcBorders>
              <w:tl2br w:val="nil"/>
              <w:tr2bl w:val="nil"/>
            </w:tcBorders>
            <w:vAlign w:val="center"/>
          </w:tcPr>
          <w:p>
            <w:pPr>
              <w:pStyle w:val="30"/>
              <w:widowControl w:val="0"/>
              <w:jc w:val="center"/>
              <w:rPr>
                <w:rFonts w:hint="default" w:eastAsia="宋体"/>
                <w:b/>
                <w:bCs/>
                <w:vertAlign w:val="baseline"/>
                <w:lang w:val="en-US" w:eastAsia="zh-CN"/>
              </w:rPr>
            </w:pPr>
            <w:r>
              <w:rPr>
                <w:rFonts w:hint="eastAsia"/>
                <w:b/>
                <w:bCs/>
                <w:vertAlign w:val="baseline"/>
                <w:lang w:val="en-US" w:eastAsia="zh-CN"/>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vMerge w:val="restart"/>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天然气燃烧废气</w:t>
            </w:r>
          </w:p>
        </w:tc>
        <w:tc>
          <w:tcPr>
            <w:tcW w:w="2115" w:type="dxa"/>
            <w:tcBorders>
              <w:tl2br w:val="nil"/>
              <w:tr2bl w:val="nil"/>
            </w:tcBorders>
            <w:vAlign w:val="center"/>
          </w:tcPr>
          <w:p>
            <w:pPr>
              <w:widowControl w:val="0"/>
              <w:adjustRightInd w:val="0"/>
              <w:snapToGrid w:val="0"/>
              <w:spacing w:line="240" w:lineRule="auto"/>
              <w:ind w:firstLine="0" w:firstLineChars="0"/>
              <w:jc w:val="center"/>
              <w:rPr>
                <w:rFonts w:hint="default"/>
                <w:vertAlign w:val="baseline"/>
                <w:lang w:val="en-US" w:eastAsia="zh-CN"/>
              </w:rPr>
            </w:pPr>
            <w:r>
              <w:rPr>
                <w:sz w:val="21"/>
                <w:szCs w:val="21"/>
              </w:rPr>
              <w:t>SO</w:t>
            </w:r>
            <w:r>
              <w:rPr>
                <w:sz w:val="21"/>
                <w:szCs w:val="21"/>
                <w:vertAlign w:val="subscript"/>
              </w:rPr>
              <w:t>2</w:t>
            </w:r>
          </w:p>
        </w:tc>
        <w:tc>
          <w:tcPr>
            <w:tcW w:w="259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有组织</w:t>
            </w:r>
          </w:p>
        </w:tc>
        <w:tc>
          <w:tcPr>
            <w:tcW w:w="336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vMerge w:val="continue"/>
            <w:tcBorders>
              <w:tl2br w:val="nil"/>
              <w:tr2bl w:val="nil"/>
            </w:tcBorders>
            <w:vAlign w:val="center"/>
          </w:tcPr>
          <w:p>
            <w:pPr>
              <w:pStyle w:val="30"/>
              <w:widowControl w:val="0"/>
              <w:jc w:val="center"/>
              <w:rPr>
                <w:rFonts w:hint="eastAsia"/>
                <w:vertAlign w:val="baseline"/>
              </w:rPr>
            </w:pPr>
          </w:p>
        </w:tc>
        <w:tc>
          <w:tcPr>
            <w:tcW w:w="2115" w:type="dxa"/>
            <w:tcBorders>
              <w:tl2br w:val="nil"/>
              <w:tr2bl w:val="nil"/>
            </w:tcBorders>
            <w:vAlign w:val="center"/>
          </w:tcPr>
          <w:p>
            <w:pPr>
              <w:widowControl w:val="0"/>
              <w:adjustRightInd w:val="0"/>
              <w:snapToGrid w:val="0"/>
              <w:spacing w:line="240" w:lineRule="auto"/>
              <w:ind w:firstLine="0" w:firstLineChars="0"/>
              <w:jc w:val="center"/>
              <w:rPr>
                <w:rFonts w:hint="default"/>
                <w:vertAlign w:val="baseline"/>
                <w:lang w:val="en-US" w:eastAsia="zh-CN"/>
              </w:rPr>
            </w:pPr>
            <w:r>
              <w:rPr>
                <w:sz w:val="21"/>
                <w:szCs w:val="21"/>
              </w:rPr>
              <w:t>NOx</w:t>
            </w:r>
          </w:p>
        </w:tc>
        <w:tc>
          <w:tcPr>
            <w:tcW w:w="259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有组织</w:t>
            </w:r>
          </w:p>
        </w:tc>
        <w:tc>
          <w:tcPr>
            <w:tcW w:w="336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8" w:type="dxa"/>
            <w:vMerge w:val="continue"/>
            <w:tcBorders>
              <w:tl2br w:val="nil"/>
              <w:tr2bl w:val="nil"/>
            </w:tcBorders>
            <w:vAlign w:val="center"/>
          </w:tcPr>
          <w:p>
            <w:pPr>
              <w:pStyle w:val="30"/>
              <w:widowControl w:val="0"/>
              <w:jc w:val="center"/>
              <w:rPr>
                <w:rFonts w:hint="eastAsia"/>
                <w:vertAlign w:val="baseline"/>
              </w:rPr>
            </w:pPr>
          </w:p>
        </w:tc>
        <w:tc>
          <w:tcPr>
            <w:tcW w:w="2115" w:type="dxa"/>
            <w:tcBorders>
              <w:tl2br w:val="nil"/>
              <w:tr2bl w:val="nil"/>
            </w:tcBorders>
            <w:vAlign w:val="center"/>
          </w:tcPr>
          <w:p>
            <w:pPr>
              <w:widowControl w:val="0"/>
              <w:adjustRightInd w:val="0"/>
              <w:snapToGrid w:val="0"/>
              <w:spacing w:line="240" w:lineRule="auto"/>
              <w:ind w:firstLine="0" w:firstLineChars="0"/>
              <w:jc w:val="center"/>
              <w:rPr>
                <w:rFonts w:hint="default"/>
                <w:vertAlign w:val="baseline"/>
                <w:lang w:val="en-US" w:eastAsia="zh-CN"/>
              </w:rPr>
            </w:pPr>
            <w:r>
              <w:rPr>
                <w:sz w:val="21"/>
                <w:szCs w:val="21"/>
              </w:rPr>
              <w:t>颗粒物</w:t>
            </w:r>
          </w:p>
        </w:tc>
        <w:tc>
          <w:tcPr>
            <w:tcW w:w="259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有组织</w:t>
            </w:r>
          </w:p>
        </w:tc>
        <w:tc>
          <w:tcPr>
            <w:tcW w:w="336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0.029</w:t>
            </w:r>
          </w:p>
        </w:tc>
      </w:tr>
    </w:tbl>
    <w:p>
      <w:pPr>
        <w:pStyle w:val="30"/>
        <w:rPr>
          <w:rFonts w:hint="eastAsia"/>
        </w:rPr>
      </w:pPr>
    </w:p>
    <w:p>
      <w:pPr>
        <w:rPr>
          <w:rFonts w:hint="eastAsia" w:ascii="宋体" w:hAnsi="宋体" w:eastAsia="宋体"/>
          <w:sz w:val="24"/>
        </w:rPr>
      </w:pPr>
      <w:r>
        <w:rPr>
          <w:rFonts w:hint="eastAsia" w:ascii="宋体" w:hAnsi="宋体" w:eastAsia="宋体"/>
          <w:sz w:val="24"/>
        </w:rPr>
        <w:br w:type="page"/>
      </w:r>
    </w:p>
    <w:p>
      <w:pPr>
        <w:pStyle w:val="3"/>
        <w:bidi w:val="0"/>
        <w:rPr>
          <w:rFonts w:hint="default"/>
          <w:lang w:val="en-US" w:eastAsia="zh-CN"/>
        </w:rPr>
      </w:pPr>
      <w:bookmarkStart w:id="49" w:name="_Toc2829"/>
      <w:r>
        <w:rPr>
          <w:rFonts w:hint="eastAsia"/>
          <w:lang w:val="en-US" w:eastAsia="zh-CN"/>
        </w:rPr>
        <w:t>环境现状调查与评价</w:t>
      </w:r>
      <w:bookmarkEnd w:id="49"/>
    </w:p>
    <w:p>
      <w:pPr>
        <w:pStyle w:val="4"/>
        <w:bidi w:val="0"/>
        <w:rPr>
          <w:rFonts w:hint="default"/>
          <w:lang w:val="en-US" w:eastAsia="zh-CN"/>
        </w:rPr>
      </w:pPr>
      <w:bookmarkStart w:id="50" w:name="_Toc30200"/>
      <w:r>
        <w:rPr>
          <w:rFonts w:hint="eastAsia"/>
          <w:lang w:val="en-US" w:eastAsia="zh-CN"/>
        </w:rPr>
        <w:t>自然环境概况</w:t>
      </w:r>
      <w:bookmarkEnd w:id="50"/>
    </w:p>
    <w:p>
      <w:pPr>
        <w:pStyle w:val="5"/>
        <w:bidi w:val="0"/>
        <w:rPr>
          <w:rFonts w:hint="default"/>
          <w:lang w:val="en-US" w:eastAsia="zh-CN"/>
        </w:rPr>
      </w:pPr>
      <w:r>
        <w:rPr>
          <w:rFonts w:hint="eastAsia"/>
          <w:lang w:val="en-US" w:eastAsia="zh-CN"/>
        </w:rPr>
        <w:t>地理位置</w:t>
      </w:r>
    </w:p>
    <w:p>
      <w:pPr>
        <w:bidi w:val="0"/>
        <w:rPr>
          <w:rFonts w:hint="eastAsia"/>
          <w:lang w:val="en-US" w:eastAsia="zh-CN"/>
        </w:rPr>
      </w:pPr>
      <w:r>
        <w:rPr>
          <w:rFonts w:hint="eastAsia"/>
          <w:lang w:val="en-US" w:eastAsia="zh-CN"/>
        </w:rPr>
        <w:t>本项目位于四川省巴中市平昌县响滩镇石泉村，隶属四川省巴中市，平昌县位于四川省东北部，米仓山南麓，北纬</w:t>
      </w:r>
      <w:r>
        <w:rPr>
          <w:rFonts w:hint="default" w:ascii="Times New Roman" w:hAnsi="Times New Roman" w:cs="Times New Roman"/>
          <w:lang w:val="en-US" w:eastAsia="zh-CN"/>
        </w:rPr>
        <w:t>31°16′~31°52′</w:t>
      </w:r>
      <w:r>
        <w:rPr>
          <w:rFonts w:hint="eastAsia"/>
          <w:lang w:val="en-US" w:eastAsia="zh-CN"/>
        </w:rPr>
        <w:t>，东经</w:t>
      </w:r>
      <w:r>
        <w:rPr>
          <w:rFonts w:hint="default" w:ascii="Times New Roman" w:hAnsi="Times New Roman" w:cs="Times New Roman"/>
          <w:lang w:val="en-US" w:eastAsia="zh-CN"/>
        </w:rPr>
        <w:t>106°15′~107°34′</w:t>
      </w:r>
      <w:r>
        <w:rPr>
          <w:rFonts w:hint="eastAsia"/>
          <w:lang w:val="en-US" w:eastAsia="zh-CN"/>
        </w:rPr>
        <w:t>。平昌县自古以来就是达县通往通江、南江、巴州三区县的咽喉，地处两江之口的江口镇，素有“川北重镇”之称。平昌县东接达州市万源市、宣汉县，南抵达州市达川区、渠县，西邻南充市仪陇县、营山县，北连通江县、巴州区，与达州火车站相距100km，与达州河市机场相距110km。</w:t>
      </w:r>
    </w:p>
    <w:p>
      <w:pPr>
        <w:bidi w:val="0"/>
        <w:rPr>
          <w:rFonts w:hint="eastAsia"/>
          <w:lang w:val="en-US" w:eastAsia="zh-CN"/>
        </w:rPr>
      </w:pPr>
      <w:r>
        <w:rPr>
          <w:rFonts w:hint="eastAsia"/>
          <w:lang w:val="en-US" w:eastAsia="zh-CN"/>
        </w:rPr>
        <w:t>本项目位于四川省巴中市平昌县响滩镇石泉村（东经106.96658134，北纬31.47962323），项目地理位置图见附图1。</w:t>
      </w:r>
    </w:p>
    <w:p>
      <w:pPr>
        <w:pStyle w:val="5"/>
        <w:bidi w:val="0"/>
        <w:rPr>
          <w:rFonts w:hint="default"/>
          <w:lang w:val="en-US" w:eastAsia="zh-CN"/>
        </w:rPr>
      </w:pPr>
      <w:r>
        <w:rPr>
          <w:rFonts w:hint="eastAsia"/>
          <w:lang w:val="en-US" w:eastAsia="zh-CN"/>
        </w:rPr>
        <w:t>地形地貌及地质</w:t>
      </w:r>
    </w:p>
    <w:p>
      <w:pPr>
        <w:bidi w:val="0"/>
        <w:rPr>
          <w:rFonts w:hint="eastAsia"/>
          <w:lang w:val="en-US" w:eastAsia="zh-CN"/>
        </w:rPr>
      </w:pPr>
      <w:r>
        <w:rPr>
          <w:rFonts w:hint="eastAsia"/>
          <w:lang w:val="en-US" w:eastAsia="zh-CN"/>
        </w:rPr>
        <w:t>巴中属典型的盆周山区，地势北高南低，由北向南倾斜。北部为深切割中山，中切割中山，中部为中切割低山、浅切割低山；南部为丘陵，沿河两岸及台状山顶有平坝。丘陵、平坝面积约为1243km</w:t>
      </w:r>
      <w:r>
        <w:rPr>
          <w:rFonts w:hint="eastAsia"/>
          <w:vertAlign w:val="superscript"/>
          <w:lang w:val="en-US" w:eastAsia="zh-CN"/>
        </w:rPr>
        <w:t>2</w:t>
      </w:r>
      <w:r>
        <w:rPr>
          <w:rFonts w:hint="eastAsia"/>
          <w:lang w:val="en-US" w:eastAsia="zh-CN"/>
        </w:rPr>
        <w:t>，占幅员面积的10%，山地占90%。最高海拔在北西部的南江县光雾山，为2507.0m，最低海拔在南部的平昌县黄梅溪，为268.3m，高差2238.7m。中北部山地，低、中山界线明显。中切割中山一般700~900m，多窄谷；深切割中山切割高达1200m以上，多峡谷，中切割低山切割一般600m，多“V”形谷、平底谷，称山区平坝。三级阶梯状构造，从北到南逐渐降低。北部深切割中山海拔1500~2000m，中切割中山海拔1300~1500m，中部中切割低山海拔800~1000m。中部低山，大多海拔400~800m，南部丘陵分布在海拔350~600m之间，平坝分布在海拔268.3~400m之间。另外，境内还有流水侵蚀、沉积、扇形地貌和重力堆积、残积地貌及喀斯特地貌。境内地质构造跨及米仓山台穹、大巴山弧形、川北台（坳）陷及川东新华夏四个二级构造单元。构造形迹以褶皱为主，断裂不发育，褶皱曲线呈弧形，岩层倾角变化频繁且有扭曲现象。境内西北为龙门山北东向褶皱带，北部是米仓山东西向褶皱带，东北与大巴山西向褶皱带相连，东南部邻华盏山北东向褶皱带，南西是川中北西西向褶皱带。由于地处上述结构之中，并受其控制和影响，故越近中心，构造力愈微弱，褶皱呈环状排列，形成莲花状。褶皱由北向南形成30多个向（背）斜褶皱带。</w:t>
      </w:r>
    </w:p>
    <w:p>
      <w:pPr>
        <w:bidi w:val="0"/>
        <w:rPr>
          <w:rFonts w:hint="eastAsia"/>
          <w:lang w:val="en-US" w:eastAsia="zh-CN"/>
        </w:rPr>
      </w:pPr>
      <w:r>
        <w:rPr>
          <w:rFonts w:hint="eastAsia"/>
          <w:lang w:val="en-US" w:eastAsia="zh-CN"/>
        </w:rPr>
        <w:t>平昌县全境地质属四川东部地台区，县境内地质构造介于大巴山弧形构造、川东新华夏系构造和仪陇、巴中、平昌莲花状构造复合交接部位。构造形迹以褶皱为主，断裂不发育，褶皱轴线为弧形，岩层倾角变化频繁且有扭曲现象。</w:t>
      </w:r>
    </w:p>
    <w:p>
      <w:pPr>
        <w:bidi w:val="0"/>
        <w:rPr>
          <w:rFonts w:hint="eastAsia"/>
          <w:lang w:val="en-US" w:eastAsia="zh-CN"/>
        </w:rPr>
      </w:pPr>
      <w:r>
        <w:rPr>
          <w:rFonts w:hint="eastAsia"/>
          <w:lang w:val="en-US" w:eastAsia="zh-CN"/>
        </w:rPr>
        <w:t>县境地貌属四川盆地外围山地区，大巴山山地。山脉呈西北至东南走向，略呈向西南方向凸出的弧形，山顶有平坦顶面，最高海拔1338.8m，最低海拔350m，相对高差500m，大多数山高700~1000m，农耕地一般在海拔700m左右；县境丘陵分布在海拔380~480m之间的白衣、岳家、高峰、金龙、元沱等地，面积30万亩，占总面积的9%。地表形态为高丘地貌长条形。</w:t>
      </w:r>
    </w:p>
    <w:p>
      <w:pPr>
        <w:bidi w:val="0"/>
        <w:rPr>
          <w:rFonts w:hint="eastAsia"/>
          <w:lang w:val="en-US" w:eastAsia="zh-CN"/>
        </w:rPr>
      </w:pPr>
      <w:r>
        <w:rPr>
          <w:rFonts w:hint="eastAsia"/>
          <w:lang w:val="en-US" w:eastAsia="zh-CN"/>
        </w:rPr>
        <w:t>本项目场地内地层主要为第四系全新统人工填土层（Q</w:t>
      </w:r>
      <w:r>
        <w:rPr>
          <w:rFonts w:hint="eastAsia"/>
          <w:vertAlign w:val="subscript"/>
          <w:lang w:val="en-US" w:eastAsia="zh-CN"/>
        </w:rPr>
        <w:t>4</w:t>
      </w:r>
      <w:r>
        <w:rPr>
          <w:rFonts w:hint="eastAsia"/>
          <w:lang w:val="en-US" w:eastAsia="zh-CN"/>
        </w:rPr>
        <w:t>me）、第四系全新统残坡积粉质粘土层（Q</w:t>
      </w:r>
      <w:r>
        <w:rPr>
          <w:rFonts w:hint="eastAsia"/>
          <w:vertAlign w:val="subscript"/>
          <w:lang w:val="en-US" w:eastAsia="zh-CN"/>
        </w:rPr>
        <w:t>4</w:t>
      </w:r>
      <w:r>
        <w:rPr>
          <w:rFonts w:hint="eastAsia"/>
          <w:vertAlign w:val="superscript"/>
          <w:lang w:val="en-US" w:eastAsia="zh-CN"/>
        </w:rPr>
        <w:t>el+d1</w:t>
      </w:r>
      <w:r>
        <w:rPr>
          <w:rFonts w:hint="eastAsia"/>
          <w:lang w:val="en-US" w:eastAsia="zh-CN"/>
        </w:rPr>
        <w:t>）、侏罗系蓬莱组下段（J</w:t>
      </w:r>
      <w:r>
        <w:rPr>
          <w:rFonts w:hint="eastAsia"/>
          <w:vertAlign w:val="subscript"/>
          <w:lang w:val="en-US" w:eastAsia="zh-CN"/>
        </w:rPr>
        <w:t>3</w:t>
      </w:r>
      <w:r>
        <w:rPr>
          <w:rFonts w:hint="eastAsia"/>
          <w:vertAlign w:val="superscript"/>
          <w:lang w:val="en-US" w:eastAsia="zh-CN"/>
        </w:rPr>
        <w:t>p1</w:t>
      </w:r>
      <w:r>
        <w:rPr>
          <w:rFonts w:hint="eastAsia"/>
          <w:lang w:val="en-US" w:eastAsia="zh-CN"/>
        </w:rPr>
        <w:t>）基岩组成。其中：</w:t>
      </w:r>
    </w:p>
    <w:p>
      <w:pPr>
        <w:bidi w:val="0"/>
        <w:rPr>
          <w:rFonts w:hint="eastAsia"/>
          <w:lang w:val="en-US" w:eastAsia="zh-CN"/>
        </w:rPr>
      </w:pPr>
      <w:r>
        <w:rPr>
          <w:rFonts w:hint="eastAsia"/>
          <w:lang w:val="en-US" w:eastAsia="zh-CN"/>
        </w:rPr>
        <w:t>素填土（Q</w:t>
      </w:r>
      <w:r>
        <w:rPr>
          <w:rFonts w:hint="eastAsia"/>
          <w:vertAlign w:val="subscript"/>
          <w:lang w:val="en-US" w:eastAsia="zh-CN"/>
        </w:rPr>
        <w:t>4</w:t>
      </w:r>
      <w:r>
        <w:rPr>
          <w:rFonts w:hint="eastAsia"/>
          <w:vertAlign w:val="superscript"/>
          <w:lang w:val="en-US" w:eastAsia="zh-CN"/>
        </w:rPr>
        <w:t>m1</w:t>
      </w:r>
      <w:r>
        <w:rPr>
          <w:rFonts w:hint="eastAsia"/>
          <w:lang w:val="en-US" w:eastAsia="zh-CN"/>
        </w:rPr>
        <w:t>）：杂色，松散～稍密，稍湿，成分主要为粘性土、风化岩块，混大量泥岩、砂岩碎块及碎石土，主要分布于场地内中部，该层厚度、软硬不均匀，为近期人工填土，层厚0.90~9.40m。</w:t>
      </w:r>
    </w:p>
    <w:p>
      <w:pPr>
        <w:bidi w:val="0"/>
        <w:rPr>
          <w:rFonts w:hint="eastAsia"/>
          <w:lang w:val="en-US" w:eastAsia="zh-CN"/>
        </w:rPr>
      </w:pPr>
      <w:r>
        <w:rPr>
          <w:rFonts w:hint="eastAsia"/>
          <w:lang w:val="en-US" w:eastAsia="zh-CN"/>
        </w:rPr>
        <w:t>粉质粘土（Q</w:t>
      </w:r>
      <w:r>
        <w:rPr>
          <w:rFonts w:hint="eastAsia"/>
          <w:vertAlign w:val="subscript"/>
          <w:lang w:val="en-US" w:eastAsia="zh-CN"/>
        </w:rPr>
        <w:t>4</w:t>
      </w:r>
      <w:r>
        <w:rPr>
          <w:rFonts w:hint="eastAsia"/>
          <w:vertAlign w:val="superscript"/>
          <w:lang w:val="en-US" w:eastAsia="zh-CN"/>
        </w:rPr>
        <w:t>el+dl</w:t>
      </w:r>
      <w:r>
        <w:rPr>
          <w:rFonts w:hint="eastAsia"/>
          <w:lang w:val="en-US" w:eastAsia="zh-CN"/>
        </w:rPr>
        <w:t>）：褐黄色、红褐色，稍湿，可塑状态，切面光滑，韧性中等，干强度较高，无摇震反应，含少量铁锰质氧化物，主要分布于场地内西南侧，层厚1.0~6.10m。</w:t>
      </w:r>
    </w:p>
    <w:p>
      <w:pPr>
        <w:bidi w:val="0"/>
        <w:rPr>
          <w:rFonts w:hint="eastAsia" w:eastAsia="宋体"/>
          <w:lang w:val="en-US" w:eastAsia="zh-CN"/>
        </w:rPr>
      </w:pPr>
      <w:r>
        <w:t>侏罗系蓬莱组下段（J</w:t>
      </w:r>
      <w:r>
        <w:rPr>
          <w:vertAlign w:val="subscript"/>
        </w:rPr>
        <w:t>3</w:t>
      </w:r>
      <w:r>
        <w:rPr>
          <w:vertAlign w:val="superscript"/>
        </w:rPr>
        <w:t>p1</w:t>
      </w:r>
      <w:r>
        <w:t>）基岩：泥岩</w:t>
      </w:r>
      <w:r>
        <w:rPr>
          <w:rFonts w:hint="eastAsia"/>
          <w:lang w:eastAsia="zh-CN"/>
        </w:rPr>
        <w:t>——</w:t>
      </w:r>
      <w:r>
        <w:t>紫红色，泥质结构，薄厚层状构造，产状平缓，矿物成分以粘土矿物为主，节理裂隙较发育，强风化岩层岩芯破碎，呈薄饼状；中风化岩层较完整</w:t>
      </w:r>
      <w:r>
        <w:rPr>
          <w:rFonts w:hint="eastAsia"/>
          <w:lang w:eastAsia="zh-CN"/>
        </w:rPr>
        <w:t>，</w:t>
      </w:r>
      <w:r>
        <w:t>天然单轴抗压强度介于4.60~7.20Mpa之间，其平均值为5.94Mpa；饱和单轴抗压强度介于2.20~3.50Mpa之间，其平均值为2.81Mpa，属于极软岩，岩石质量指标RQD值（60~75）为较差的，岩体基本质量等级为V类。砂岩</w:t>
      </w:r>
      <w:r>
        <w:rPr>
          <w:rFonts w:hint="eastAsia"/>
          <w:lang w:eastAsia="zh-CN"/>
        </w:rPr>
        <w:t>——</w:t>
      </w:r>
      <w:r>
        <w:t>灰褐色，砂质结构，产状平缓，巨厚层状构造，</w:t>
      </w:r>
      <w:r>
        <w:rPr>
          <w:rFonts w:hint="eastAsia"/>
          <w:lang w:eastAsia="zh-CN"/>
        </w:rPr>
        <w:t>主要成分</w:t>
      </w:r>
      <w:r>
        <w:t>为长石、石英和岩屑等，钙质胶结，结构致密，抗风化能力较强。岩层产状231~240°∠5~8°，强风化厚度小于1.0m；中风化层呈巨厚层状，较完整，根据所取岩样测试成果，中风化砂岩其天然单轴抗压强度介于18.0~26.60Mpa之间，其平均值为22.7Mpa，饱和抗压强度介于13.3~18.7Mpa之间，其平均值为16.3Mpa，为较软岩，岩石质量指标RQD值（65~80）为较差的</w:t>
      </w:r>
      <w:r>
        <w:rPr>
          <w:rFonts w:hint="eastAsia"/>
          <w:lang w:eastAsia="zh-CN"/>
        </w:rPr>
        <w:t>～</w:t>
      </w:r>
      <w:r>
        <w:t>较好的，质量等级为IV类</w:t>
      </w:r>
      <w:r>
        <w:rPr>
          <w:rFonts w:hint="eastAsia"/>
          <w:lang w:eastAsia="zh-CN"/>
        </w:rPr>
        <w:t>。</w:t>
      </w:r>
    </w:p>
    <w:p>
      <w:pPr>
        <w:pStyle w:val="5"/>
        <w:bidi w:val="0"/>
        <w:rPr>
          <w:rFonts w:hint="default"/>
          <w:lang w:val="en-US" w:eastAsia="zh-CN"/>
        </w:rPr>
      </w:pPr>
      <w:r>
        <w:rPr>
          <w:rFonts w:hint="eastAsia"/>
          <w:lang w:val="en-US" w:eastAsia="zh-CN"/>
        </w:rPr>
        <w:t>气候特征与气象统计</w:t>
      </w:r>
    </w:p>
    <w:p>
      <w:pPr>
        <w:bidi w:val="0"/>
        <w:rPr>
          <w:rFonts w:hint="eastAsia"/>
          <w:lang w:val="en-US" w:eastAsia="zh-CN"/>
        </w:rPr>
      </w:pPr>
      <w:r>
        <w:rPr>
          <w:rFonts w:hint="eastAsia"/>
          <w:lang w:val="en-US" w:eastAsia="zh-CN"/>
        </w:rPr>
        <w:t>巴中市全市年平均气温正常偏高（16.9~17.4</w:t>
      </w:r>
      <w:r>
        <w:rPr>
          <w:rFonts w:hint="default"/>
          <w:lang w:val="en-US" w:eastAsia="zh-CN"/>
        </w:rPr>
        <w:t>℃</w:t>
      </w:r>
      <w:r>
        <w:rPr>
          <w:rFonts w:hint="eastAsia"/>
          <w:lang w:val="en-US" w:eastAsia="zh-CN"/>
        </w:rPr>
        <w:t>），比常年偏高0.2~0.5</w:t>
      </w:r>
      <w:r>
        <w:rPr>
          <w:rFonts w:hint="default"/>
          <w:lang w:val="en-US" w:eastAsia="zh-CN"/>
        </w:rPr>
        <w:t>℃</w:t>
      </w:r>
      <w:r>
        <w:rPr>
          <w:rFonts w:hint="eastAsia"/>
          <w:lang w:val="en-US" w:eastAsia="zh-CN"/>
        </w:rPr>
        <w:t>。冬季平均气温6.1~6.8</w:t>
      </w:r>
      <w:r>
        <w:rPr>
          <w:rFonts w:hint="default"/>
          <w:lang w:val="en-US" w:eastAsia="zh-CN"/>
        </w:rPr>
        <w:t>℃</w:t>
      </w:r>
      <w:r>
        <w:rPr>
          <w:rFonts w:hint="eastAsia"/>
          <w:lang w:val="en-US" w:eastAsia="zh-CN"/>
        </w:rPr>
        <w:t>，比常年偏高1.4~1.5</w:t>
      </w:r>
      <w:r>
        <w:rPr>
          <w:rFonts w:hint="default"/>
          <w:lang w:val="en-US" w:eastAsia="zh-CN"/>
        </w:rPr>
        <w:t>℃</w:t>
      </w:r>
      <w:r>
        <w:rPr>
          <w:rFonts w:hint="eastAsia"/>
          <w:lang w:val="en-US" w:eastAsia="zh-CN"/>
        </w:rPr>
        <w:t>；春季平均气温17.0~17.7</w:t>
      </w:r>
      <w:r>
        <w:rPr>
          <w:rFonts w:hint="default"/>
          <w:lang w:val="en-US" w:eastAsia="zh-CN"/>
        </w:rPr>
        <w:t>℃</w:t>
      </w:r>
      <w:r>
        <w:rPr>
          <w:rFonts w:hint="eastAsia"/>
          <w:lang w:val="en-US" w:eastAsia="zh-CN"/>
        </w:rPr>
        <w:t>，比常年偏高0.8℃；夏季平均气温25.4~26.2</w:t>
      </w:r>
      <w:r>
        <w:rPr>
          <w:rFonts w:hint="default"/>
          <w:lang w:val="en-US" w:eastAsia="zh-CN"/>
        </w:rPr>
        <w:t>℃</w:t>
      </w:r>
      <w:r>
        <w:rPr>
          <w:rFonts w:hint="eastAsia"/>
          <w:lang w:val="en-US" w:eastAsia="zh-CN"/>
        </w:rPr>
        <w:t>；秋季平均气温16.1~17.6</w:t>
      </w:r>
      <w:r>
        <w:rPr>
          <w:rFonts w:hint="default"/>
          <w:lang w:val="en-US" w:eastAsia="zh-CN"/>
        </w:rPr>
        <w:t>℃</w:t>
      </w:r>
      <w:r>
        <w:rPr>
          <w:rFonts w:hint="eastAsia"/>
          <w:lang w:val="en-US" w:eastAsia="zh-CN"/>
        </w:rPr>
        <w:t>，属亚热带湿润季风气候，四季分明，雨量充沛，光照适宜，年降水分布不均，旱涝交替，年总雨量正常；日照正常略偏少，春旱、夏旱、伏旱相继出现，暴雨、大风、冰雹时有发生。</w:t>
      </w:r>
    </w:p>
    <w:p>
      <w:pPr>
        <w:bidi w:val="0"/>
        <w:rPr>
          <w:rFonts w:hint="eastAsia"/>
          <w:lang w:val="en-US" w:eastAsia="zh-CN"/>
        </w:rPr>
      </w:pPr>
      <w:r>
        <w:rPr>
          <w:rFonts w:hint="eastAsia"/>
          <w:lang w:val="en-US" w:eastAsia="zh-CN"/>
        </w:rPr>
        <w:t>全市主要气象参数条件：</w:t>
      </w:r>
    </w:p>
    <w:p>
      <w:pPr>
        <w:bidi w:val="0"/>
        <w:rPr>
          <w:rFonts w:hint="eastAsia"/>
          <w:lang w:val="en-US" w:eastAsia="zh-CN"/>
        </w:rPr>
      </w:pPr>
      <w:r>
        <w:rPr>
          <w:rFonts w:hint="eastAsia"/>
          <w:lang w:val="en-US" w:eastAsia="zh-CN"/>
        </w:rPr>
        <w:t>多年平均气温：16.9~17.4</w:t>
      </w:r>
      <w:r>
        <w:rPr>
          <w:rFonts w:hint="default" w:ascii="Times New Roman" w:hAnsi="Times New Roman" w:cs="Times New Roman"/>
          <w:lang w:val="en-US" w:eastAsia="zh-CN"/>
        </w:rPr>
        <w:t>℃</w:t>
      </w:r>
    </w:p>
    <w:p>
      <w:pPr>
        <w:bidi w:val="0"/>
        <w:rPr>
          <w:rFonts w:hint="eastAsia"/>
          <w:lang w:val="en-US" w:eastAsia="zh-CN"/>
        </w:rPr>
      </w:pPr>
      <w:r>
        <w:rPr>
          <w:rFonts w:hint="eastAsia"/>
          <w:lang w:val="en-US" w:eastAsia="zh-CN"/>
        </w:rPr>
        <w:t>多年极端最高气温：40.3</w:t>
      </w:r>
      <w:r>
        <w:rPr>
          <w:rFonts w:hint="default" w:ascii="Times New Roman" w:hAnsi="Times New Roman" w:cs="Times New Roman"/>
          <w:lang w:val="en-US" w:eastAsia="zh-CN"/>
        </w:rPr>
        <w:t>℃</w:t>
      </w:r>
    </w:p>
    <w:p>
      <w:pPr>
        <w:bidi w:val="0"/>
        <w:rPr>
          <w:rFonts w:hint="eastAsia"/>
          <w:lang w:val="en-US" w:eastAsia="zh-CN"/>
        </w:rPr>
      </w:pPr>
      <w:r>
        <w:rPr>
          <w:rFonts w:hint="eastAsia"/>
          <w:lang w:val="en-US" w:eastAsia="zh-CN"/>
        </w:rPr>
        <w:t>多年极端最低气温：-5.3</w:t>
      </w:r>
      <w:r>
        <w:rPr>
          <w:rFonts w:hint="default" w:ascii="Times New Roman" w:hAnsi="Times New Roman" w:cs="Times New Roman"/>
          <w:lang w:val="en-US" w:eastAsia="zh-CN"/>
        </w:rPr>
        <w:t>℃</w:t>
      </w:r>
    </w:p>
    <w:p>
      <w:pPr>
        <w:bidi w:val="0"/>
        <w:rPr>
          <w:rFonts w:hint="eastAsia"/>
          <w:lang w:val="en-US" w:eastAsia="zh-CN"/>
        </w:rPr>
      </w:pPr>
      <w:r>
        <w:rPr>
          <w:rFonts w:hint="eastAsia"/>
          <w:lang w:val="en-US" w:eastAsia="zh-CN"/>
        </w:rPr>
        <w:t>平均降水量为：1104mm</w:t>
      </w:r>
    </w:p>
    <w:p>
      <w:pPr>
        <w:bidi w:val="0"/>
        <w:rPr>
          <w:rFonts w:hint="eastAsia"/>
          <w:lang w:val="en-US" w:eastAsia="zh-CN"/>
        </w:rPr>
      </w:pPr>
      <w:r>
        <w:rPr>
          <w:rFonts w:hint="eastAsia"/>
          <w:lang w:val="en-US" w:eastAsia="zh-CN"/>
        </w:rPr>
        <w:t>降雨日数（年平均）：139天无霜期：281天。</w:t>
      </w:r>
    </w:p>
    <w:p>
      <w:pPr>
        <w:bidi w:val="0"/>
        <w:rPr>
          <w:rFonts w:hint="eastAsia"/>
          <w:lang w:val="en-US" w:eastAsia="zh-CN"/>
        </w:rPr>
      </w:pPr>
      <w:r>
        <w:rPr>
          <w:rFonts w:hint="eastAsia"/>
          <w:lang w:val="en-US" w:eastAsia="zh-CN"/>
        </w:rPr>
        <w:t>年均雷暴日：56</w:t>
      </w:r>
    </w:p>
    <w:p>
      <w:pPr>
        <w:bidi w:val="0"/>
        <w:rPr>
          <w:rFonts w:hint="eastAsia"/>
          <w:lang w:val="en-US" w:eastAsia="zh-CN"/>
        </w:rPr>
      </w:pPr>
      <w:r>
        <w:rPr>
          <w:rFonts w:hint="eastAsia"/>
          <w:lang w:val="en-US" w:eastAsia="zh-CN"/>
        </w:rPr>
        <w:t>天陆地蒸发量：77.284.7mm</w:t>
      </w:r>
    </w:p>
    <w:p>
      <w:pPr>
        <w:bidi w:val="0"/>
        <w:rPr>
          <w:rFonts w:hint="eastAsia"/>
          <w:lang w:val="en-US" w:eastAsia="zh-CN"/>
        </w:rPr>
      </w:pPr>
      <w:r>
        <w:rPr>
          <w:rFonts w:hint="eastAsia"/>
          <w:lang w:val="en-US" w:eastAsia="zh-CN"/>
        </w:rPr>
        <w:t>日平均相对湿度：80%</w:t>
      </w:r>
    </w:p>
    <w:p>
      <w:pPr>
        <w:bidi w:val="0"/>
        <w:rPr>
          <w:rFonts w:hint="eastAsia"/>
          <w:lang w:val="en-US" w:eastAsia="zh-CN"/>
        </w:rPr>
      </w:pPr>
      <w:r>
        <w:rPr>
          <w:rFonts w:hint="eastAsia"/>
          <w:lang w:val="en-US" w:eastAsia="zh-CN"/>
        </w:rPr>
        <w:t>全年平均相对湿度：77%</w:t>
      </w:r>
    </w:p>
    <w:p>
      <w:pPr>
        <w:bidi w:val="0"/>
        <w:rPr>
          <w:rFonts w:hint="eastAsia"/>
          <w:lang w:val="en-US" w:eastAsia="zh-CN"/>
        </w:rPr>
      </w:pPr>
      <w:r>
        <w:rPr>
          <w:rFonts w:hint="eastAsia"/>
          <w:lang w:val="en-US" w:eastAsia="zh-CN"/>
        </w:rPr>
        <w:t>主导风向：常年冬季西北风常年夏季西北、东南风春秋季风向不定，但阵风偏西北风，亦有南风，年平均风速1.27m/s。</w:t>
      </w:r>
    </w:p>
    <w:p>
      <w:pPr>
        <w:pStyle w:val="5"/>
        <w:bidi w:val="0"/>
        <w:rPr>
          <w:rFonts w:hint="default"/>
          <w:lang w:val="en-US" w:eastAsia="zh-CN"/>
        </w:rPr>
      </w:pPr>
      <w:r>
        <w:rPr>
          <w:rFonts w:hint="eastAsia"/>
          <w:lang w:val="en-US" w:eastAsia="zh-CN"/>
        </w:rPr>
        <w:t>水文地质条件</w:t>
      </w:r>
    </w:p>
    <w:p>
      <w:pPr>
        <w:rPr>
          <w:rFonts w:hint="default"/>
          <w:lang w:val="en-US" w:eastAsia="zh-CN"/>
        </w:rPr>
      </w:pPr>
      <w:r>
        <w:rPr>
          <w:rFonts w:hint="eastAsia"/>
          <w:lang w:val="en-US" w:eastAsia="zh-CN"/>
        </w:rPr>
        <w:t>（1）地表水</w:t>
      </w:r>
    </w:p>
    <w:p>
      <w:pPr>
        <w:bidi w:val="0"/>
        <w:rPr>
          <w:rFonts w:hint="eastAsia" w:eastAsia="宋体"/>
          <w:lang w:eastAsia="zh-CN"/>
        </w:rPr>
      </w:pPr>
      <w:r>
        <w:t>巴中市大小河流共有1100多条，流域面积在1000km</w:t>
      </w:r>
      <w:r>
        <w:rPr>
          <w:vertAlign w:val="superscript"/>
        </w:rPr>
        <w:t>2</w:t>
      </w:r>
      <w:r>
        <w:t>以上的主要河流有巴河、南江河、恩阳河和通江河等7条，100km</w:t>
      </w:r>
      <w:r>
        <w:rPr>
          <w:vertAlign w:val="superscript"/>
        </w:rPr>
        <w:t>2</w:t>
      </w:r>
      <w:r>
        <w:t>以上的有45条，50km</w:t>
      </w:r>
      <w:r>
        <w:rPr>
          <w:vertAlign w:val="superscript"/>
        </w:rPr>
        <w:t>2</w:t>
      </w:r>
      <w:r>
        <w:t>以上的有138条，河流总长4342km，河网密度达0.33km/km</w:t>
      </w:r>
      <w:r>
        <w:rPr>
          <w:vertAlign w:val="superscript"/>
        </w:rPr>
        <w:t>2</w:t>
      </w:r>
      <w:r>
        <w:t>。河流均呈南北流向，树枝状分布，水位洪枯变幅大，部分溪河在枯水期有断流的现象。除南江县北部的焦家河属嘉陵江一级支流外，其余均属渠江水系巴河流域。巴河流域属山溪性河流，调蓄能力较小，暴雨洪水特征明显，流程短，汇流快，易形成大洪水或特大洪水，峰高量大，陡涨陡落。水位流量关系比较稳定，水位变幅大部份都在10~23m，一次洪水历时一般6~24h，峰顶历时0.1~1.5h。</w:t>
      </w:r>
    </w:p>
    <w:p>
      <w:pPr>
        <w:bidi w:val="0"/>
        <w:rPr>
          <w:rFonts w:hint="eastAsia"/>
          <w:lang w:val="en-US" w:eastAsia="zh-CN"/>
        </w:rPr>
      </w:pPr>
      <w:r>
        <w:t>巴中市河流主要属渠江水系，呈树枝状分布。主要有：①南江，发源于铁船山，纵贯南江县中部接纳神潭河，南至巴州区接纳恩阳河后改称巴河，折向东南再接双墩子河流入平昌县。②通江，由大通江与小通江汇合后得名，上源有于家河、肖口河等，在澌滩接澌滩河（上源为喜神河），至平昌注入巴河。</w:t>
      </w:r>
    </w:p>
    <w:p>
      <w:pPr>
        <w:bidi w:val="0"/>
      </w:pPr>
      <w:r>
        <w:t>①巴河</w:t>
      </w:r>
    </w:p>
    <w:p>
      <w:pPr>
        <w:bidi w:val="0"/>
        <w:rPr>
          <w:rFonts w:hint="eastAsia"/>
          <w:lang w:val="en-US" w:eastAsia="zh-CN"/>
        </w:rPr>
      </w:pPr>
      <w:r>
        <w:t>巴河是四川省巴中市、达州市的主要河流之一，流经南江县、巴中市、平昌县、达川区、渠县境，至渠县三汇镇，注入渠江。巴河上游段在巴州区三江以上为南江河，发源于南江县玉泉乡平溪村的铁船山，横切于米仓山至大巴山的中山区海拔高程1800m，在南江县境内由东北向西南流，经玉泉、南江县城、沙河、下两、至元潭出南江县，进入巴州区境内继续南流，经枣林、在大佛寺有巴中水文站控制流域面积2732km</w:t>
      </w:r>
      <w:r>
        <w:rPr>
          <w:vertAlign w:val="superscript"/>
        </w:rPr>
        <w:t>2</w:t>
      </w:r>
      <w:r>
        <w:t>，多年平均流量61.1m</w:t>
      </w:r>
      <w:r>
        <w:rPr>
          <w:vertAlign w:val="superscript"/>
        </w:rPr>
        <w:t>3</w:t>
      </w:r>
      <w:r>
        <w:t>/s，最大实测洪峰流量10700m</w:t>
      </w:r>
      <w:r>
        <w:rPr>
          <w:vertAlign w:val="superscript"/>
        </w:rPr>
        <w:t>3</w:t>
      </w:r>
      <w:r>
        <w:t>/s，折东过巴中市城区北，曲折南至三江口水文站，以上流域面积2880km</w:t>
      </w:r>
      <w:r>
        <w:rPr>
          <w:vertAlign w:val="superscript"/>
        </w:rPr>
        <w:t>2</w:t>
      </w:r>
      <w:r>
        <w:t>。巴州镇至三江镇，右纳恩阳河后，南过福星乡，有苏家潭水文站控制流域面积1216km</w:t>
      </w:r>
      <w:r>
        <w:rPr>
          <w:vertAlign w:val="superscript"/>
        </w:rPr>
        <w:t>2</w:t>
      </w:r>
      <w:r>
        <w:t>，多年平均流量2701m</w:t>
      </w:r>
      <w:r>
        <w:rPr>
          <w:vertAlign w:val="superscript"/>
        </w:rPr>
        <w:t>3</w:t>
      </w:r>
      <w:r>
        <w:t>/s，最大实测洪峰流量6780m</w:t>
      </w:r>
      <w:r>
        <w:rPr>
          <w:vertAlign w:val="superscript"/>
        </w:rPr>
        <w:t>3</w:t>
      </w:r>
      <w:r>
        <w:t>/s，河长137km，流域面积3404km</w:t>
      </w:r>
      <w:r>
        <w:rPr>
          <w:vertAlign w:val="superscript"/>
        </w:rPr>
        <w:t>2</w:t>
      </w:r>
      <w:r>
        <w:t>。河口流量43.2m</w:t>
      </w:r>
      <w:r>
        <w:rPr>
          <w:vertAlign w:val="superscript"/>
        </w:rPr>
        <w:t>3</w:t>
      </w:r>
      <w:r>
        <w:t>/s。曲折东南过石城至三江镇汇入巴河，东南流到梁永，折向北东流，至曾口镇复折向东南流，过金碑乡而入平昌县境，过澌岸乡而至群英。七里沱水文站控制流域面积6382km</w:t>
      </w:r>
      <w:r>
        <w:rPr>
          <w:vertAlign w:val="superscript"/>
        </w:rPr>
        <w:t>2</w:t>
      </w:r>
      <w:r>
        <w:t>，多年平均流量108m</w:t>
      </w:r>
      <w:r>
        <w:rPr>
          <w:vertAlign w:val="superscript"/>
        </w:rPr>
        <w:t>3</w:t>
      </w:r>
      <w:r>
        <w:t>/s，查得1770年7月洪峰流量19200m</w:t>
      </w:r>
      <w:r>
        <w:rPr>
          <w:vertAlign w:val="superscript"/>
        </w:rPr>
        <w:t>3</w:t>
      </w:r>
      <w:r>
        <w:t>/s，过站南偏东流；七里沱水文站多年平均流量为108m</w:t>
      </w:r>
      <w:r>
        <w:rPr>
          <w:vertAlign w:val="superscript"/>
        </w:rPr>
        <w:t>3</w:t>
      </w:r>
      <w:r>
        <w:t>/s，径流量34.1亿m</w:t>
      </w:r>
      <w:r>
        <w:rPr>
          <w:vertAlign w:val="superscript"/>
        </w:rPr>
        <w:t>3</w:t>
      </w:r>
      <w:r>
        <w:t>，径流深534.3mm；河道平均坡降2.02‰，近十年枯水期平均流量22.4m</w:t>
      </w:r>
      <w:r>
        <w:rPr>
          <w:vertAlign w:val="superscript"/>
        </w:rPr>
        <w:t>3</w:t>
      </w:r>
      <w:r>
        <w:t>/s。巴河流域属山溪性河流，调蓄能力较小，暴雨洪水特征明显，流程短，汇流快，易形成大洪水或特大洪水，峰高量大，陡涨陡落。水位流量关系比较稳定，水位变幅大部份都在10～23m，一次洪水历时一般6～24h，峰顶历时0.1～1.5h。</w:t>
      </w:r>
    </w:p>
    <w:p>
      <w:pPr>
        <w:rPr>
          <w:rFonts w:ascii="宋体" w:hAnsi="宋体" w:eastAsia="宋体" w:cs="宋体"/>
          <w:sz w:val="24"/>
          <w:szCs w:val="24"/>
        </w:rPr>
      </w:pPr>
      <w:r>
        <w:rPr>
          <w:rFonts w:ascii="宋体" w:hAnsi="宋体" w:eastAsia="宋体" w:cs="宋体"/>
          <w:sz w:val="24"/>
          <w:szCs w:val="24"/>
        </w:rPr>
        <w:t>②通河</w:t>
      </w:r>
    </w:p>
    <w:p>
      <w:pPr>
        <w:bidi w:val="0"/>
        <w:rPr>
          <w:rFonts w:hint="eastAsia" w:eastAsia="宋体"/>
          <w:lang w:eastAsia="zh-CN"/>
        </w:rPr>
      </w:pPr>
      <w:r>
        <w:t>通河，源于陕西省汉中市广家店乡长梁，从通江县爱国乡入境，进入澌滩乡，经云台、元山、江口镇等汇入巴河，境内河道长43.8km，流域面积8958km</w:t>
      </w:r>
      <w:r>
        <w:rPr>
          <w:vertAlign w:val="superscript"/>
        </w:rPr>
        <w:t>2</w:t>
      </w:r>
      <w:r>
        <w:t>。</w:t>
      </w:r>
    </w:p>
    <w:p>
      <w:pPr>
        <w:bidi w:val="0"/>
        <w:rPr>
          <w:rFonts w:hint="eastAsia" w:eastAsia="宋体"/>
          <w:lang w:eastAsia="zh-CN"/>
        </w:rPr>
      </w:pPr>
      <w:r>
        <w:t>③</w:t>
      </w:r>
      <w:r>
        <w:rPr>
          <w:rFonts w:hint="eastAsia"/>
          <w:lang w:eastAsia="zh-CN"/>
        </w:rPr>
        <w:t>磴子河</w:t>
      </w:r>
    </w:p>
    <w:p>
      <w:pPr>
        <w:bidi w:val="0"/>
      </w:pPr>
      <w:r>
        <w:t>渠江</w:t>
      </w:r>
      <w:r>
        <w:rPr>
          <w:rFonts w:hint="eastAsia"/>
          <w:lang w:eastAsia="zh-CN"/>
        </w:rPr>
        <w:t>（</w:t>
      </w:r>
      <w:r>
        <w:t>巴河</w:t>
      </w:r>
      <w:r>
        <w:rPr>
          <w:rFonts w:hint="eastAsia"/>
          <w:lang w:eastAsia="zh-CN"/>
        </w:rPr>
        <w:t>）</w:t>
      </w:r>
      <w:r>
        <w:t>一级支流，发源于巴中县夙溪乡龙神殿，在巴中县东南角曲折而流，经夙溪乡，于侯家岭花果山出巴中县境入平昌县境继续东南流，至南夙县的玉峰村左纳龙洞沟，至响滩镇右纳板桥河，至高峰主纳岳家寺河，至夙凰村右纳涵水溪，于白衣乡大河咀注入巴河。干流河长68.5km，其中巴中县境内河段长20.9km，被该县水利电力志称为夙溪河，平昌县境内河段长47.6km，被该县水利电力志称为</w:t>
      </w:r>
      <w:r>
        <w:rPr>
          <w:rFonts w:hint="eastAsia"/>
          <w:lang w:val="en-US" w:eastAsia="zh-CN"/>
        </w:rPr>
        <w:t>磴</w:t>
      </w:r>
      <w:r>
        <w:t>子河，在《四川省地图集》上标为响滩河。河道平均比降1.2%，全流域面积941km。</w:t>
      </w:r>
    </w:p>
    <w:p>
      <w:pPr>
        <w:bidi w:val="0"/>
        <w:rPr>
          <w:rFonts w:hint="eastAsia"/>
          <w:lang w:val="en-US" w:eastAsia="zh-CN"/>
        </w:rPr>
      </w:pPr>
      <w:r>
        <w:t>地下水：本项目所在区域地下水类型按储存方式分为基岩裂隙水和松散层孔隙潜水。松散层孔隙潜水主要赋存于上部素填土、残坡积粉质粘土岩层中，其富水性弱，对工程的影响甚微。</w:t>
      </w:r>
    </w:p>
    <w:p>
      <w:pPr>
        <w:bidi w:val="0"/>
      </w:pPr>
      <w:r>
        <w:rPr>
          <w:rFonts w:hint="eastAsia"/>
          <w:lang w:val="en-US" w:eastAsia="zh-CN"/>
        </w:rPr>
        <w:t>④</w:t>
      </w:r>
      <w:r>
        <w:t>平昌河</w:t>
      </w:r>
    </w:p>
    <w:p>
      <w:pPr>
        <w:bidi w:val="0"/>
        <w:rPr>
          <w:rFonts w:hint="eastAsia"/>
          <w:lang w:val="en-US" w:eastAsia="zh-CN"/>
        </w:rPr>
      </w:pPr>
      <w:r>
        <w:t>平昌河为区内主要河流，纵贯县境中部，发源于玉泉乡九根树，流经关坝、上两、沙滩、桥亭、碾盘、平昌镇、小河、石矿、沙河、赤溪、下两、凉水、元潭等乡入巴河。县内流域面积2347.4km</w:t>
      </w:r>
      <w:r>
        <w:rPr>
          <w:vertAlign w:val="superscript"/>
        </w:rPr>
        <w:t>2</w:t>
      </w:r>
      <w:r>
        <w:t>，县内河道长121.7km，在平昌县出口处多。年平均径流量为17.1×108m</w:t>
      </w:r>
      <w:r>
        <w:rPr>
          <w:vertAlign w:val="superscript"/>
        </w:rPr>
        <w:t>3</w:t>
      </w:r>
      <w:r>
        <w:t>，天然落差134600m，河道比降11.0‰。平昌河最大支流赶场河（明月江），发源于铁船山南麓木竹垭，经沙坝、西清、新立、旭光、赶场、关路、兴马、大河、石滩、高桥、在下两河口，注入平昌河。正直河（木门河）：正直河位于县境西部，从东凡入县境，经和平、九顶、正直、凤仪流入巴中三汇（三江口）。县内流域面积416.8km</w:t>
      </w:r>
      <w:r>
        <w:rPr>
          <w:vertAlign w:val="superscript"/>
        </w:rPr>
        <w:t>2</w:t>
      </w:r>
      <w:r>
        <w:t>，境内河道长38.3km。多年年平均径流量7.2×108m</w:t>
      </w:r>
      <w:r>
        <w:rPr>
          <w:vertAlign w:val="superscript"/>
        </w:rPr>
        <w:t>3</w:t>
      </w:r>
      <w:r>
        <w:t>。天然落差47.60m。河道比降1.2‰。焦家河：焦家河位于县境北部，发源子米仓山南的戴家河。由东向西，流经大坝、桃园，在槐树乡出县境。县境内流域面积402.2km</w:t>
      </w:r>
      <w:r>
        <w:rPr>
          <w:vertAlign w:val="superscript"/>
        </w:rPr>
        <w:t>2</w:t>
      </w:r>
      <w:r>
        <w:t>，河道长53.2km，多年年平均径流量3.9×108m</w:t>
      </w:r>
      <w:r>
        <w:rPr>
          <w:vertAlign w:val="superscript"/>
        </w:rPr>
        <w:t>3</w:t>
      </w:r>
      <w:r>
        <w:t>，天然落差960m，河道比降18.1‰境内河流谷地较狭窄，曲流、沙滩、阶地较发育。河流发育常诱发地质灾害产生，水系活动一方面改造平昌县地形地貌，一方面改变地下水赋存状态，导致斜坡岩土体失稳破坏。县域内沟谷普遍深狭而紧窄，依据流向由北向南或南西向，河谷具有深、窄、陡至浅、宽、缓，河网密度由密至疏，河流岸坡较陡峭，河间地狭长单薄的变化趋势.主干河流沿岸为人口分布相对集中区域，由于沟谷侵蚀、人类工程活动的影响等</w:t>
      </w:r>
      <w:r>
        <w:rPr>
          <w:rFonts w:hint="eastAsia"/>
          <w:lang w:eastAsia="zh-CN"/>
        </w:rPr>
        <w:t>因素</w:t>
      </w:r>
      <w:r>
        <w:t>，是崩塌、滑坡等地质天善的易发区。</w:t>
      </w:r>
    </w:p>
    <w:p>
      <w:pPr>
        <w:bidi w:val="0"/>
      </w:pPr>
      <w:r>
        <w:rPr>
          <w:rFonts w:hint="eastAsia"/>
          <w:lang w:eastAsia="zh-CN"/>
        </w:rPr>
        <w:t>（</w:t>
      </w:r>
      <w:r>
        <w:rPr>
          <w:rFonts w:hint="eastAsia"/>
          <w:lang w:val="en-US" w:eastAsia="zh-CN"/>
        </w:rPr>
        <w:t>2</w:t>
      </w:r>
      <w:r>
        <w:rPr>
          <w:rFonts w:hint="eastAsia"/>
          <w:lang w:eastAsia="zh-CN"/>
        </w:rPr>
        <w:t>）</w:t>
      </w:r>
      <w:r>
        <w:t>地下水</w:t>
      </w:r>
    </w:p>
    <w:p>
      <w:pPr>
        <w:bidi w:val="0"/>
      </w:pPr>
      <w:r>
        <w:t>巴中市处于川北红层，构造平缓，岩层倾角大都在5度以下。地貌为低山—丘陵地形。由于大气环流的改变和人为因素的影响，年降雨总量逐渐下降，而蒸发量却在不断地增加。上述种种自然条件，不利于地下水的形成和富集。巴中市分布有松散层孔隙水、碎屑岩孔隙裂隙水（层间水）和基岩裂隙水（包括构造裂隙水和风化网状裂隙水）三大类型，以基岩裂隙水为主。70%的泉点出露在砂岩或泥质粉砂岩的底部或泥岩的顶面，钻孔也多是砂岩顶部（面）发现水位上升或涌水，可见砂岩是主要的含水层。以此为基础，在裂隙较多的低端，地形低洼，有利于降雨渗入补给、汇集时，将促进地下水的进一步富集。</w:t>
      </w:r>
    </w:p>
    <w:p>
      <w:pPr>
        <w:bidi w:val="0"/>
        <w:rPr>
          <w:rFonts w:hint="eastAsia"/>
          <w:lang w:val="en-US" w:eastAsia="zh-CN"/>
        </w:rPr>
      </w:pPr>
      <w:r>
        <w:t>1）松散层孔隙水（Q）分布在河谷两岸各阶地，由全新统和更新统冲积层组成。岩性由三层组成，自上向下为亚粘土（7~9米）、砂（2~7米）及砂砾卵石层（10~15米）。地下水赋存于砂、砂砾卵石层的孔隙中，水位埋深在中段（转弯处）为4.5~6.9米，两端1~3米。在沟边有泉水出露，以潜水为主。中段水位超过砂层顶板，使局部具有承压性。巴河一级阶地面积更小，冲积层（Q</w:t>
      </w:r>
      <w:r>
        <w:rPr>
          <w:vertAlign w:val="baseline"/>
        </w:rPr>
        <w:t>4</w:t>
      </w:r>
      <w:r>
        <w:t>）厚度薄，为含泥质砂砾石层，地下水赋存条件较差。更新统冲积层一般不具备双层结构，上部粘土和亚粘土透水性很差，影响地下水的补给和赋存。全新统冲积砂砾卵石层（Q</w:t>
      </w:r>
      <w:r>
        <w:rPr>
          <w:vertAlign w:val="baseline"/>
        </w:rPr>
        <w:t>4</w:t>
      </w:r>
      <w:r>
        <w:rPr>
          <w:vertAlign w:val="superscript"/>
        </w:rPr>
        <w:t>al</w:t>
      </w:r>
      <w:r>
        <w:t>），构成一级阶地及河漫滩，富水量中等，单井涌水量100~500吨/日；在各河流更新世堆积的粘土、亚粘土及砂砾卵石层（Q</w:t>
      </w:r>
      <w:r>
        <w:rPr>
          <w:vertAlign w:val="baseline"/>
        </w:rPr>
        <w:t>3</w:t>
      </w:r>
      <w:r>
        <w:rPr>
          <w:vertAlign w:val="superscript"/>
        </w:rPr>
        <w:t>al</w:t>
      </w:r>
      <w:r>
        <w:t>），构成二、三级阶地，以及巴河一级阶地全新统砂砾卵石层（Q</w:t>
      </w:r>
      <w:r>
        <w:rPr>
          <w:vertAlign w:val="baseline"/>
        </w:rPr>
        <w:t>4</w:t>
      </w:r>
      <w:r>
        <w:rPr>
          <w:vertAlign w:val="superscript"/>
        </w:rPr>
        <w:t>al</w:t>
      </w:r>
      <w:r>
        <w:t>）含泥质重，富水性差，只在堆积层底部近基座面上有泉水出露，单井涌水量10~100吨/日。中心城区的巴州城、曾口、恩阳均位于巴河流域两侧，地下水具有松散层孔隙水的特征。</w:t>
      </w:r>
    </w:p>
    <w:p>
      <w:pPr>
        <w:bidi w:val="0"/>
      </w:pPr>
      <w:r>
        <w:t>2）碎屑层孔隙裂隙水（K</w:t>
      </w:r>
      <w:r>
        <w:rPr>
          <w:vertAlign w:val="baseline"/>
        </w:rPr>
        <w:t>1b</w:t>
      </w:r>
      <w:r>
        <w:t>、K</w:t>
      </w:r>
      <w:r>
        <w:rPr>
          <w:vertAlign w:val="baseline"/>
        </w:rPr>
        <w:t>1c</w:t>
      </w:r>
      <w:r>
        <w:t>、J</w:t>
      </w:r>
      <w:r>
        <w:rPr>
          <w:vertAlign w:val="baseline"/>
        </w:rPr>
        <w:t>3P</w:t>
      </w:r>
      <w:r>
        <w:rPr>
          <w:vertAlign w:val="superscript"/>
        </w:rPr>
        <w:t>2</w:t>
      </w:r>
      <w:r>
        <w:t>、J</w:t>
      </w:r>
      <w:r>
        <w:rPr>
          <w:vertAlign w:val="baseline"/>
        </w:rPr>
        <w:t>3P</w:t>
      </w:r>
      <w:r>
        <w:rPr>
          <w:vertAlign w:val="superscript"/>
        </w:rPr>
        <w:t>1</w:t>
      </w:r>
      <w:r>
        <w:t>）地下水赋存部位可分为全层储水和层间储水。前者高角度构造裂隙发育，连通性好；后者则主要是平缓的层面裂隙。</w:t>
      </w:r>
    </w:p>
    <w:p>
      <w:pPr>
        <w:bidi w:val="0"/>
      </w:pPr>
      <w:r>
        <w:t>①化成—兴文一带为南阳背斜的南翼及巴中向斜构造区，翼部倾角10~30度，含水层为蓬莱镇组上段（J</w:t>
      </w:r>
      <w:r>
        <w:rPr>
          <w:vertAlign w:val="baseline"/>
        </w:rPr>
        <w:t>3P</w:t>
      </w:r>
      <w:r>
        <w:rPr>
          <w:vertAlign w:val="superscript"/>
        </w:rPr>
        <w:t>2</w:t>
      </w:r>
      <w:r>
        <w:t>）和苍溪组（K</w:t>
      </w:r>
      <w:r>
        <w:rPr>
          <w:vertAlign w:val="baseline"/>
        </w:rPr>
        <w:t>1c</w:t>
      </w:r>
      <w:r>
        <w:t>）、白龙组（K</w:t>
      </w:r>
      <w:r>
        <w:rPr>
          <w:vertAlign w:val="baseline"/>
        </w:rPr>
        <w:t>1b</w:t>
      </w:r>
      <w:r>
        <w:t>）的砂岩层。砂岩层厚20~40米，裂隙率1~5%。地下水赋存于砂岩、泥质粉砂岩中，含水层顶板埋深20~80米，水位埋深1~5米。化成</w:t>
      </w:r>
      <w:r>
        <w:rPr>
          <w:rFonts w:hint="eastAsia"/>
          <w:lang w:eastAsia="zh-CN"/>
        </w:rPr>
        <w:t>－</w:t>
      </w:r>
      <w:r>
        <w:t>梓潼庙一带，此区上层构造裂隙水比较丰富，泉流量大于0.1升/秒，钻孔涌水量186~485吨/天；巴中</w:t>
      </w:r>
      <w:r>
        <w:rPr>
          <w:rFonts w:hint="eastAsia"/>
          <w:lang w:eastAsia="zh-CN"/>
        </w:rPr>
        <w:t>－</w:t>
      </w:r>
      <w:r>
        <w:t>兴文一带，单孔涌水量在10~100吨/日。</w:t>
      </w:r>
    </w:p>
    <w:p>
      <w:pPr>
        <w:bidi w:val="0"/>
        <w:rPr>
          <w:rFonts w:hint="eastAsia"/>
          <w:lang w:val="en-US" w:eastAsia="zh-CN"/>
        </w:rPr>
      </w:pPr>
      <w:r>
        <w:t>②仪陇—观音井一带受仪陇背斜和恩阳向斜西段控制，倾角2~10度。地层为蓬莱镇组（J</w:t>
      </w:r>
      <w:r>
        <w:rPr>
          <w:vertAlign w:val="baseline"/>
        </w:rPr>
        <w:t>3P</w:t>
      </w:r>
      <w:r>
        <w:t>）和苍溪组（K</w:t>
      </w:r>
      <w:r>
        <w:rPr>
          <w:vertAlign w:val="baseline"/>
        </w:rPr>
        <w:t>3c</w:t>
      </w:r>
      <w:r>
        <w:t>）。砂岩含水厚10~50米，裂隙率0.5~4%。地下水赋存于砂岩、泥质粉砂岩的孔隙裂隙中，含水层顶板埋深5~40米，水位埋深5米以上，个别孔自流。水头高出地面1~3米，承压高度5~40米。在该区带，20~30米以下，常常可以遇到承压水，在50米</w:t>
      </w:r>
      <w:r>
        <w:rPr>
          <w:rFonts w:hint="eastAsia"/>
          <w:lang w:eastAsia="zh-CN"/>
        </w:rPr>
        <w:t>～</w:t>
      </w:r>
      <w:r>
        <w:t>60米以下，几乎具有普遍性，但水量很小。</w:t>
      </w:r>
    </w:p>
    <w:p>
      <w:pPr>
        <w:bidi w:val="0"/>
        <w:rPr>
          <w:rFonts w:hint="eastAsia"/>
          <w:lang w:val="en-US" w:eastAsia="zh-CN"/>
        </w:rPr>
      </w:pPr>
      <w:r>
        <w:t>3）基岩裂隙水—构造裂隙水（K</w:t>
      </w:r>
      <w:r>
        <w:rPr>
          <w:vertAlign w:val="baseline"/>
        </w:rPr>
        <w:t>1q</w:t>
      </w:r>
      <w:r>
        <w:t>、K</w:t>
      </w:r>
      <w:r>
        <w:rPr>
          <w:vertAlign w:val="baseline"/>
        </w:rPr>
        <w:t>1b</w:t>
      </w:r>
      <w:r>
        <w:t>、K</w:t>
      </w:r>
      <w:r>
        <w:rPr>
          <w:vertAlign w:val="baseline"/>
        </w:rPr>
        <w:t>1c</w:t>
      </w:r>
      <w:r>
        <w:t>、J</w:t>
      </w:r>
      <w:r>
        <w:rPr>
          <w:vertAlign w:val="baseline"/>
        </w:rPr>
        <w:t>3P</w:t>
      </w:r>
      <w:r>
        <w:rPr>
          <w:vertAlign w:val="superscript"/>
        </w:rPr>
        <w:t>2</w:t>
      </w:r>
      <w:r>
        <w:t>、J</w:t>
      </w:r>
      <w:r>
        <w:rPr>
          <w:vertAlign w:val="baseline"/>
        </w:rPr>
        <w:t>3P</w:t>
      </w:r>
      <w:r>
        <w:rPr>
          <w:vertAlign w:val="superscript"/>
        </w:rPr>
        <w:t>1</w:t>
      </w:r>
      <w:r>
        <w:t>）</w:t>
      </w:r>
    </w:p>
    <w:p>
      <w:pPr>
        <w:bidi w:val="0"/>
        <w:rPr>
          <w:rFonts w:hint="eastAsia" w:eastAsia="宋体"/>
          <w:lang w:eastAsia="zh-CN"/>
        </w:rPr>
      </w:pPr>
      <w:r>
        <w:t>包括除遂宁组以外的侏罗系和白垩系各个层组。都以砂岩作为主要含水层，砂岩中出露的泉水最多，流量最大；泥岩中的水点只占11~21%，而且大部分水点流量在0.05升/秒以下。</w:t>
      </w:r>
    </w:p>
    <w:p>
      <w:pPr>
        <w:bidi w:val="0"/>
        <w:rPr>
          <w:rFonts w:hint="eastAsia"/>
          <w:lang w:val="en-US" w:eastAsia="zh-CN"/>
        </w:rPr>
      </w:pPr>
      <w:r>
        <w:t>构造裂隙水属于浅层地下水，依附于砂岩层的分布与埋藏条件。在侵蚀基准面以上的泉水，大都是在各个含水砂岩层的底部出露，一般与上、下砂岩层之间没有水力联系，可把每层砂岩视为一个独立的含水岩体。偶尔当层间泥岩层薄时，上一层砂岩中的水穿过泥岩风化层，在下一层砂岩中出露。故地下水的埋藏深度受各层砂岩的厚度及地形微地貌控制，一般5~15米。谷底水位一般都很浅，潜水水位埋深多在1~5米以内，与附近河水有一定关系。</w:t>
      </w:r>
    </w:p>
    <w:p>
      <w:pPr>
        <w:bidi w:val="0"/>
        <w:rPr>
          <w:rFonts w:hint="eastAsia" w:eastAsia="宋体"/>
          <w:lang w:eastAsia="zh-CN"/>
        </w:rPr>
      </w:pPr>
      <w:r>
        <w:rPr>
          <w:rFonts w:hint="eastAsia"/>
          <w:lang w:val="en-US" w:eastAsia="zh-CN"/>
        </w:rPr>
        <w:t>3）</w:t>
      </w:r>
      <w:r>
        <w:t>基岩裂隙水—风化网状裂隙水（J3P</w:t>
      </w:r>
      <w:r>
        <w:rPr>
          <w:vertAlign w:val="superscript"/>
        </w:rPr>
        <w:t>2</w:t>
      </w:r>
      <w:r>
        <w:t>、J3P</w:t>
      </w:r>
      <w:r>
        <w:rPr>
          <w:vertAlign w:val="superscript"/>
        </w:rPr>
        <w:t>1</w:t>
      </w:r>
      <w:r>
        <w:t>、J3s）</w:t>
      </w:r>
    </w:p>
    <w:p>
      <w:pPr>
        <w:bidi w:val="0"/>
      </w:pPr>
      <w:r>
        <w:t>主要分布蓬莱镇组上段（J3P</w:t>
      </w:r>
      <w:r>
        <w:rPr>
          <w:vertAlign w:val="superscript"/>
        </w:rPr>
        <w:t>2</w:t>
      </w:r>
      <w:r>
        <w:t>）和少部分下段（J3P</w:t>
      </w:r>
      <w:r>
        <w:rPr>
          <w:vertAlign w:val="superscript"/>
        </w:rPr>
        <w:t>1</w:t>
      </w:r>
      <w:r>
        <w:t>）及遂宁组（J3s）地层，以泥岩为主，砂岩层次少而薄，总共有14~17层，厚度5~20米，地下水赋存在风化网状裂隙中，风化裂隙均较细小，强风化带厚只有2~3米，一般不超过10米，地下水赋存有限，埋藏很浅，天旱井（泉）干，井深一般2~4米，水深大部分不超过1米。赋存于砂岩中者，水量稍大，在坡麓以下降泉的形式排泄。泥岩中的地下水多分布在沟谷底部，或井或泉。总的来看，风化网状裂隙水分布不连续，主要汇集在谷（沟）底，埋藏浅，地下水动态受气候因素影响很大。总体来说，巴中市处于北川红层，本项目所在区域地下水主要为基岩裂隙水—构造裂隙水。</w:t>
      </w:r>
    </w:p>
    <w:p>
      <w:pPr>
        <w:bidi w:val="0"/>
      </w:pPr>
      <w:r>
        <w:rPr>
          <w:rFonts w:hint="eastAsia"/>
          <w:lang w:eastAsia="zh-CN"/>
        </w:rPr>
        <w:t>（</w:t>
      </w:r>
      <w:r>
        <w:rPr>
          <w:rFonts w:hint="eastAsia"/>
          <w:lang w:val="en-US" w:eastAsia="zh-CN"/>
        </w:rPr>
        <w:t>3</w:t>
      </w:r>
      <w:r>
        <w:rPr>
          <w:rFonts w:hint="eastAsia"/>
          <w:lang w:eastAsia="zh-CN"/>
        </w:rPr>
        <w:t>）</w:t>
      </w:r>
      <w:r>
        <w:t>饮用水源</w:t>
      </w:r>
    </w:p>
    <w:p>
      <w:pPr>
        <w:bidi w:val="0"/>
      </w:pPr>
      <w:r>
        <w:t>平昌县是嘉陵江流域渠江重要支流巴河的源头，境内河流水系发育，大小不一的冲沟河流遍布在平昌县内，河道蜿蜒，水系发达。其中规模较大的河流有4条，分别是平昌河、正直河（木门河）、焦家河与赶场河。据统计，县域内河流流域面积1000km</w:t>
      </w:r>
      <w:r>
        <w:rPr>
          <w:vertAlign w:val="superscript"/>
        </w:rPr>
        <w:t>2</w:t>
      </w:r>
      <w:r>
        <w:t>以上的河流有3条，100~1000km</w:t>
      </w:r>
      <w:r>
        <w:rPr>
          <w:vertAlign w:val="superscript"/>
        </w:rPr>
        <w:t>2</w:t>
      </w:r>
      <w:r>
        <w:t>的河流有10条，50~100km</w:t>
      </w:r>
      <w:r>
        <w:rPr>
          <w:vertAlign w:val="superscript"/>
        </w:rPr>
        <w:t>2</w:t>
      </w:r>
      <w:r>
        <w:t>的河流有12条，50km</w:t>
      </w:r>
      <w:r>
        <w:rPr>
          <w:vertAlign w:val="superscript"/>
        </w:rPr>
        <w:t>2</w:t>
      </w:r>
      <w:r>
        <w:t>以下的小溪流有89条，河流均以降水补给为主，各河流在县境内多年平均径流总量为23.6亿m</w:t>
      </w:r>
      <w:r>
        <w:rPr>
          <w:vertAlign w:val="superscript"/>
        </w:rPr>
        <w:t>3</w:t>
      </w:r>
      <w:r>
        <w:t>，过境河流径流总量6.3亿m</w:t>
      </w:r>
      <w:r>
        <w:rPr>
          <w:vertAlign w:val="superscript"/>
        </w:rPr>
        <w:t>3</w:t>
      </w:r>
      <w:r>
        <w:t>，合计29.9亿m</w:t>
      </w:r>
      <w:r>
        <w:rPr>
          <w:vertAlign w:val="superscript"/>
        </w:rPr>
        <w:t>3</w:t>
      </w:r>
      <w:r>
        <w:t>。</w:t>
      </w:r>
    </w:p>
    <w:p>
      <w:pPr>
        <w:rPr>
          <w:rFonts w:hint="eastAsia"/>
          <w:lang w:val="en-US" w:eastAsia="zh-CN"/>
        </w:rPr>
      </w:pPr>
      <w:r>
        <w:t>因此，本项目不涉及饮用水源保护区。</w:t>
      </w:r>
    </w:p>
    <w:p>
      <w:pPr>
        <w:pStyle w:val="5"/>
        <w:bidi w:val="0"/>
        <w:rPr>
          <w:rFonts w:hint="default"/>
          <w:lang w:val="en-US" w:eastAsia="zh-CN"/>
        </w:rPr>
      </w:pPr>
      <w:r>
        <w:rPr>
          <w:rFonts w:hint="eastAsia"/>
          <w:lang w:val="en-US" w:eastAsia="zh-CN"/>
        </w:rPr>
        <w:t>自然资源</w:t>
      </w:r>
    </w:p>
    <w:p>
      <w:pPr>
        <w:pStyle w:val="6"/>
        <w:bidi w:val="0"/>
        <w:rPr>
          <w:rFonts w:hint="eastAsia"/>
          <w:lang w:val="en-US" w:eastAsia="zh-CN"/>
        </w:rPr>
      </w:pPr>
      <w:r>
        <w:rPr>
          <w:rFonts w:hint="eastAsia"/>
          <w:lang w:val="en-US" w:eastAsia="zh-CN"/>
        </w:rPr>
        <w:t>动植物资源</w:t>
      </w:r>
    </w:p>
    <w:p>
      <w:pPr>
        <w:bidi w:val="0"/>
        <w:rPr>
          <w:rFonts w:hint="eastAsia"/>
          <w:lang w:val="en-US" w:eastAsia="zh-CN"/>
        </w:rPr>
      </w:pPr>
      <w:r>
        <w:rPr>
          <w:rFonts w:hint="eastAsia"/>
          <w:lang w:val="en-US" w:eastAsia="zh-CN"/>
        </w:rPr>
        <w:t>植物资源：境域植物资源丰富，尤以北部为最，计有乔、灌木308种，草、藤本421种，源于植物的中草药（含家种、野生，根、茎、叶、花、果）1386种。乔、灌木林区多分布在北部山地，中部、南部亦零星分布。中药材资源最多的是通江、南江两县；牧草资源遍及境域。境域中部和南部森林层次结构不明显，林相单纯，林下伴生马桑、黄荆、沙棘藤蔓、杜鹃等植物；北部森林成片的较多，但因砍伐过度，曾使森林面积锐减，后经“停耕还林、还草”等政策的落实，现正处于恢复阶段。</w:t>
      </w:r>
    </w:p>
    <w:p>
      <w:pPr>
        <w:bidi w:val="0"/>
        <w:rPr>
          <w:rFonts w:hint="eastAsia"/>
          <w:lang w:val="en-US" w:eastAsia="zh-CN"/>
        </w:rPr>
      </w:pPr>
      <w:r>
        <w:rPr>
          <w:rFonts w:hint="eastAsia"/>
          <w:lang w:val="en-US" w:eastAsia="zh-CN"/>
        </w:rPr>
        <w:t>森林植被主要为常绿落叶阔叶混交林、针叶林、竹林和灌丛林，植物种类繁多，种子植物近3000种，乔灌木有300多种，其中包括一些珍稀树木，如：银杏、三尖杉、红豆、巴山松、巴山水青杠。</w:t>
      </w:r>
    </w:p>
    <w:p>
      <w:pPr>
        <w:bidi w:val="0"/>
        <w:rPr>
          <w:rFonts w:hint="eastAsia"/>
          <w:lang w:val="en-US" w:eastAsia="zh-CN"/>
        </w:rPr>
      </w:pPr>
      <w:r>
        <w:rPr>
          <w:rFonts w:hint="eastAsia"/>
          <w:lang w:val="en-US" w:eastAsia="zh-CN"/>
        </w:rPr>
        <w:t>动物资源：全市家养动物有生猪、黄牛、水牛、火羊、南江黄羊、各类鸡、各类鸭、鹅、马、驴、蜂、蚕、犬、猫、各类兔等。野生动物多分布在森林密布的北部，中、南部很少。近代，在森林面积逐年减少、猎杀频繁、酷捞滥捕的情况下，境内动物资源遭到破坏。虎、豹濒于绝迹，珍稀动物遗留不多，其它动物逐年减少。经20世纪80年代调查，境内北部共有野生动物670种，其中鱼类4目、11科、44属、47种；两栖类2目、7科、9属、20种；爬行类3目、7科、14属、21种；鸟类16目、41科、120属、176种；兽类7目、21科、52属、67种；昆虫类50科、170种；其它类169种。中南部地区尚存野生动物290余种，其中兽类22种，禽类49种，水族及两栖爬行类43种，昆虫类170余种。稀树灌丛草坡和乔灌木林等次生林及水稻、甘蔗、玉米等经济作物。</w:t>
      </w:r>
    </w:p>
    <w:p>
      <w:pPr>
        <w:bidi w:val="0"/>
        <w:rPr>
          <w:rFonts w:hint="eastAsia"/>
          <w:lang w:val="en-US" w:eastAsia="zh-CN"/>
        </w:rPr>
      </w:pPr>
      <w:r>
        <w:rPr>
          <w:rFonts w:hint="eastAsia"/>
          <w:lang w:val="en-US" w:eastAsia="zh-CN"/>
        </w:rPr>
        <w:t>平昌县属亚热带常绿阔叶、针叶林带，因受人类活动长期影响，原生植被已被人工植被取代。景观生态体系主要由疏幼林生态系统、人工植被生态系统（包括农田植被和人工林），城镇、村庄生态系统，人工灌溉生态系统和河流生态系统组成。主要乔木有柏树、松树、恺木等，区内常见的野生动物以麻雀、家燕、白头鸭、棕背伯劳等居多，次为雏鸡、猫头鹰、野兔、田鼠等，未发现国家保护的珍稀野生动物资源。森林覆盖率49.5%，活立木总蓄积319.74万立方米。盛产川明参、山药等道地药材。</w:t>
      </w:r>
    </w:p>
    <w:p>
      <w:pPr>
        <w:bidi w:val="0"/>
        <w:rPr>
          <w:rFonts w:hint="eastAsia"/>
          <w:b/>
          <w:bCs/>
          <w:lang w:val="en-US" w:eastAsia="zh-CN"/>
        </w:rPr>
      </w:pPr>
      <w:r>
        <w:rPr>
          <w:rFonts w:hint="eastAsia"/>
          <w:b/>
          <w:bCs/>
          <w:lang w:val="en-US" w:eastAsia="zh-CN"/>
        </w:rPr>
        <w:t>经现场踏勘及查阅资料，本项目评价区域内未发现古大珍奇树木分布，无列入国家及地方保护名录的珍稀濒危动植物分布。</w:t>
      </w:r>
    </w:p>
    <w:p>
      <w:pPr>
        <w:pStyle w:val="6"/>
        <w:bidi w:val="0"/>
        <w:rPr>
          <w:rFonts w:hint="eastAsia"/>
          <w:lang w:val="en-US" w:eastAsia="zh-CN"/>
        </w:rPr>
      </w:pPr>
      <w:r>
        <w:rPr>
          <w:rFonts w:hint="eastAsia"/>
          <w:lang w:val="en-US" w:eastAsia="zh-CN"/>
        </w:rPr>
        <w:t>矿产资源</w:t>
      </w:r>
    </w:p>
    <w:p>
      <w:pPr>
        <w:bidi w:val="0"/>
        <w:rPr>
          <w:rFonts w:hint="eastAsia"/>
          <w:lang w:val="en-US" w:eastAsia="zh-CN"/>
        </w:rPr>
      </w:pPr>
      <w:r>
        <w:rPr>
          <w:rFonts w:hint="eastAsia"/>
          <w:lang w:val="en-US" w:eastAsia="zh-CN"/>
        </w:rPr>
        <w:t>巴中市矿产资源较为丰富，其分布趋势是北富南贫，南江县最多，被誉为“地下百宝箱”，通江县次之，巴州区、平昌县有少量发现。已探明的矿藏种类有铁、铝、钒、钛、钻、铜、铅、锌、钼、锡、金、银等金属矿，有煤、石油、天然气、铀等能源矿，有硫、钾、长石、滑石、石墨、白云石、石棉、水晶、大理石、石灰石、花岗石、石英等非金属矿。</w:t>
      </w:r>
    </w:p>
    <w:p>
      <w:pPr>
        <w:bidi w:val="0"/>
        <w:rPr>
          <w:rFonts w:hint="eastAsia"/>
          <w:b/>
          <w:bCs/>
          <w:lang w:val="en-US" w:eastAsia="zh-CN"/>
        </w:rPr>
      </w:pPr>
      <w:r>
        <w:rPr>
          <w:rFonts w:hint="eastAsia"/>
          <w:b/>
          <w:bCs/>
          <w:lang w:val="en-US" w:eastAsia="zh-CN"/>
        </w:rPr>
        <w:t>经向相关部门核实，本项目评价区域内不涉及压覆矿产的情况。</w:t>
      </w:r>
    </w:p>
    <w:p>
      <w:pPr>
        <w:pStyle w:val="6"/>
        <w:bidi w:val="0"/>
        <w:rPr>
          <w:rFonts w:hint="eastAsia"/>
          <w:lang w:val="en-US" w:eastAsia="zh-CN"/>
        </w:rPr>
      </w:pPr>
      <w:r>
        <w:rPr>
          <w:rFonts w:hint="eastAsia"/>
          <w:lang w:val="en-US" w:eastAsia="zh-CN"/>
        </w:rPr>
        <w:t>旅游资源</w:t>
      </w:r>
    </w:p>
    <w:p>
      <w:pPr>
        <w:bidi w:val="0"/>
        <w:rPr>
          <w:rFonts w:hint="eastAsia"/>
          <w:lang w:val="en-US" w:eastAsia="zh-CN"/>
        </w:rPr>
      </w:pPr>
      <w:r>
        <w:rPr>
          <w:rFonts w:hint="eastAsia"/>
          <w:lang w:val="en-US" w:eastAsia="zh-CN"/>
        </w:rPr>
        <w:t>全市旅游资源面积占全市幅员面积10%以上，涵盖了国家颁布的《旅游资源评价标准》所列8大主类31亚类中的26个亚类。一是以“川陕苏区首府”为代表的红色旅游；二是以光雾山－诺水河国家重点风景名胜区为代表的特色旅游；三是以米仓山国家森林公园为代表的生态旅游。目前，全市已有光雾山－诺水河国家重点风景名胜区；有米仓山、镇龙山、空山、天马山4个国家森林公园；有大小兰沟省级自然保护区；有南龛摩崖造像、红四方面军总指挥部、总政治部旧址纪念馆、通江千佛岩石窟、通江红军石刻标语群等4处17点全国重点文物保护单位；有红四方面军总指挥部旧址纪念馆、川陕革命根据地红军烈士陵园、川陕苏区将帅碑林3个全国爱国主义教育示范基地等系列品牌。“川陕苏区”被列入全国12个重点红色旅游区，刘伯坚烈士纪念馆、红四方面军总指挥部旧址纪念馆、川陕革命根据地红军烈士陵园、巴山游击队纪念馆列入了全国100个红色旅游经典景区，“重庆－广安－仪陇－巴中”旅游线被列入全国30条红色旅游精品线。“巴山背二歌”、“翻山饺子”被列入全国非物质文化遗产名录。</w:t>
      </w:r>
    </w:p>
    <w:p>
      <w:pPr>
        <w:bidi w:val="0"/>
        <w:rPr>
          <w:rFonts w:hint="eastAsia"/>
          <w:b/>
          <w:bCs/>
          <w:lang w:val="en-US" w:eastAsia="zh-CN"/>
        </w:rPr>
      </w:pPr>
      <w:r>
        <w:rPr>
          <w:rFonts w:hint="eastAsia"/>
          <w:b/>
          <w:bCs/>
          <w:lang w:val="en-US" w:eastAsia="zh-CN"/>
        </w:rPr>
        <w:t>经现场踏勘，项目评价区域内均不涉及上述各风景名胜区、国家森林公园、自然保护区、旅游景点等需要特殊保护的区域。</w:t>
      </w:r>
    </w:p>
    <w:p>
      <w:pPr>
        <w:pStyle w:val="5"/>
        <w:bidi w:val="0"/>
        <w:rPr>
          <w:rFonts w:hint="default"/>
          <w:lang w:val="en-US" w:eastAsia="zh-CN"/>
        </w:rPr>
      </w:pPr>
      <w:r>
        <w:rPr>
          <w:rFonts w:hint="eastAsia"/>
          <w:lang w:val="en-US" w:eastAsia="zh-CN"/>
        </w:rPr>
        <w:t>土壤类型</w:t>
      </w:r>
    </w:p>
    <w:p>
      <w:pPr>
        <w:bidi w:val="0"/>
        <w:rPr>
          <w:rFonts w:hint="eastAsia"/>
          <w:lang w:val="en-US" w:eastAsia="zh-CN"/>
        </w:rPr>
      </w:pPr>
      <w:r>
        <w:rPr>
          <w:rFonts w:hint="eastAsia"/>
          <w:lang w:val="en-US" w:eastAsia="zh-CN"/>
        </w:rPr>
        <w:t>巴中市各县土壤普查中共划分和归并出6个土类、10个亚类、22个土属、61个土种。由于山区成土条件复杂，各县土属、土种不尽一致。其中，巴中分4个土类、7个亚类、8个土属、42个土种、66个变种；通江县划分为6个土类、10个亚类、16个土属、38个土种；南江县划分为6个土类、10个亚类、20个土属、61个土种；平昌县划分为4个土类、7个亚类、22个土属、45个土种、68个变种。6个土类面积23.403万公顷，其中水稻土面积13.18万公顷，占总耕地56.32%；紫色土78968公顷，占33.74%；黄壤14914公顷，占6.37%；黄棕壤5561公顷，占2.38%；冲积土995公顷，占0.43%；石灰岩土1795公顷，占0.76%。水稻土、紫色土、黄壤、冲积土，各县均有分布，其中水稻土、紫色土最多的是平昌县，分别为43105公顷、28035公顷，分别占总土壤的18.42%和11.98%；黄壤最多的是南江县，为10920公顷，占总土类的4.67%；黄棕壤最多的是通江县，为5255公顷，占总土类的2.25%；其次是南江；平昌、巴中无黄棕壤。石灰岩土亦分布在通江、南江两县，面积为1496公顷，占总土类的0.77%。</w:t>
      </w:r>
    </w:p>
    <w:p>
      <w:pPr>
        <w:pStyle w:val="4"/>
        <w:bidi w:val="0"/>
        <w:rPr>
          <w:rFonts w:hint="default"/>
          <w:lang w:val="en-US" w:eastAsia="zh-CN"/>
        </w:rPr>
      </w:pPr>
      <w:bookmarkStart w:id="51" w:name="_Toc17842"/>
      <w:r>
        <w:rPr>
          <w:rFonts w:hint="eastAsia"/>
          <w:lang w:val="en-US" w:eastAsia="zh-CN"/>
        </w:rPr>
        <w:t>环境质量现状监测与评价</w:t>
      </w:r>
      <w:bookmarkEnd w:id="51"/>
    </w:p>
    <w:p>
      <w:pPr>
        <w:pStyle w:val="5"/>
        <w:bidi w:val="0"/>
        <w:rPr>
          <w:rFonts w:hint="default"/>
          <w:lang w:val="en-US" w:eastAsia="zh-CN"/>
        </w:rPr>
      </w:pPr>
      <w:r>
        <w:rPr>
          <w:rFonts w:hint="eastAsia"/>
          <w:lang w:val="en-US" w:eastAsia="zh-CN"/>
        </w:rPr>
        <w:t>环境空气质量现状监测及评价</w:t>
      </w:r>
    </w:p>
    <w:p>
      <w:pPr>
        <w:bidi w:val="0"/>
        <w:rPr>
          <w:rFonts w:hint="eastAsia"/>
          <w:lang w:val="en-US" w:eastAsia="zh-CN"/>
        </w:rPr>
      </w:pPr>
      <w:r>
        <w:rPr>
          <w:rFonts w:hint="eastAsia"/>
          <w:lang w:val="en-US" w:eastAsia="zh-CN"/>
        </w:rPr>
        <w:t>根据《环境影响评价技术导则大气环境》（HJ2.2-2018）中6.2.11规定：项目所在区域达标判定，优先采用国家或地方生态环境主管部门公开发布的评价基准年环境质量公告或环境质量报告中的数据或结论。</w:t>
      </w:r>
    </w:p>
    <w:p>
      <w:pPr>
        <w:bidi w:val="0"/>
        <w:rPr>
          <w:rFonts w:hint="eastAsia"/>
          <w:lang w:val="en-US" w:eastAsia="zh-CN"/>
        </w:rPr>
      </w:pPr>
      <w:r>
        <w:rPr>
          <w:rFonts w:ascii="Times New Roman" w:hAnsi="Times New Roman" w:eastAsia="宋体" w:cs="宋体"/>
          <w:sz w:val="24"/>
          <w:szCs w:val="24"/>
        </w:rPr>
        <w:t>本次环境空气质量引用本项目引用巴中市平昌生态环境局公布的《平昌县环境质量状况公报（</w:t>
      </w:r>
      <w:r>
        <w:rPr>
          <w:rFonts w:ascii="Times New Roman" w:hAnsi="Times New Roman" w:eastAsia="宋体" w:cs="Times New Roman"/>
          <w:sz w:val="24"/>
          <w:szCs w:val="24"/>
        </w:rPr>
        <w:t>2020</w:t>
      </w:r>
      <w:r>
        <w:rPr>
          <w:rFonts w:ascii="Times New Roman" w:hAnsi="Times New Roman" w:eastAsia="宋体" w:cs="宋体"/>
          <w:sz w:val="24"/>
          <w:szCs w:val="24"/>
        </w:rPr>
        <w:t>年度）》</w:t>
      </w:r>
      <w:r>
        <w:rPr>
          <w:rFonts w:hint="eastAsia"/>
          <w:lang w:val="en-US" w:eastAsia="zh-CN"/>
        </w:rPr>
        <w:t>。</w:t>
      </w:r>
    </w:p>
    <w:p>
      <w:pPr>
        <w:bidi w:val="0"/>
        <w:ind w:firstLine="0" w:firstLineChars="0"/>
        <w:rPr>
          <w:rFonts w:hint="default"/>
          <w:lang w:val="en-US" w:eastAsia="zh-CN"/>
        </w:rPr>
      </w:pPr>
      <w:r>
        <w:rPr>
          <w:rFonts w:ascii="Times New Roman" w:hAnsi="Times New Roman" w:eastAsia="宋体" w:cs="宋体"/>
          <w:sz w:val="24"/>
          <w:szCs w:val="24"/>
        </w:rPr>
        <w:t>根据《平昌县环境质量状况公报（2020年度）》结论，</w:t>
      </w:r>
      <w:r>
        <w:rPr>
          <w:rFonts w:hint="eastAsia" w:cs="宋体"/>
          <w:sz w:val="24"/>
          <w:szCs w:val="24"/>
          <w:lang w:eastAsia="zh-CN"/>
        </w:rPr>
        <w:t>“</w:t>
      </w:r>
      <w:r>
        <w:rPr>
          <w:rFonts w:ascii="Times New Roman" w:hAnsi="Times New Roman" w:eastAsia="宋体" w:cs="宋体"/>
          <w:sz w:val="24"/>
          <w:szCs w:val="24"/>
        </w:rPr>
        <w:t>2019年度（共365天），平昌县环境空气有效监测天数为365天，优良天数362天（其中空气质量</w:t>
      </w:r>
      <w:r>
        <w:rPr>
          <w:rFonts w:hint="eastAsia" w:cs="宋体"/>
          <w:sz w:val="24"/>
          <w:szCs w:val="24"/>
          <w:lang w:eastAsia="zh-CN"/>
        </w:rPr>
        <w:t>“</w:t>
      </w:r>
      <w:r>
        <w:rPr>
          <w:rFonts w:ascii="Times New Roman" w:hAnsi="Times New Roman" w:eastAsia="宋体" w:cs="宋体"/>
          <w:sz w:val="24"/>
          <w:szCs w:val="24"/>
        </w:rPr>
        <w:t>优</w:t>
      </w:r>
      <w:r>
        <w:rPr>
          <w:rFonts w:hint="eastAsia" w:cs="宋体"/>
          <w:sz w:val="24"/>
          <w:szCs w:val="24"/>
          <w:lang w:eastAsia="zh-CN"/>
        </w:rPr>
        <w:t>”</w:t>
      </w:r>
      <w:r>
        <w:rPr>
          <w:rFonts w:ascii="Times New Roman" w:hAnsi="Times New Roman" w:eastAsia="宋体" w:cs="宋体"/>
          <w:sz w:val="24"/>
          <w:szCs w:val="24"/>
        </w:rPr>
        <w:t>223天、</w:t>
      </w:r>
      <w:r>
        <w:rPr>
          <w:rFonts w:hint="eastAsia" w:cs="宋体"/>
          <w:sz w:val="24"/>
          <w:szCs w:val="24"/>
          <w:lang w:eastAsia="zh-CN"/>
        </w:rPr>
        <w:t>“</w:t>
      </w:r>
      <w:r>
        <w:rPr>
          <w:rFonts w:ascii="Times New Roman" w:hAnsi="Times New Roman" w:eastAsia="宋体" w:cs="宋体"/>
          <w:sz w:val="24"/>
          <w:szCs w:val="24"/>
        </w:rPr>
        <w:t>良</w:t>
      </w:r>
      <w:r>
        <w:rPr>
          <w:rFonts w:hint="eastAsia" w:cs="宋体"/>
          <w:sz w:val="24"/>
          <w:szCs w:val="24"/>
          <w:lang w:eastAsia="zh-CN"/>
        </w:rPr>
        <w:t>”</w:t>
      </w:r>
      <w:r>
        <w:rPr>
          <w:rFonts w:ascii="Times New Roman" w:hAnsi="Times New Roman" w:eastAsia="宋体" w:cs="宋体"/>
          <w:sz w:val="24"/>
          <w:szCs w:val="24"/>
        </w:rPr>
        <w:t>139天），</w:t>
      </w:r>
      <w:r>
        <w:rPr>
          <w:rFonts w:hint="eastAsia" w:cs="宋体"/>
          <w:sz w:val="24"/>
          <w:szCs w:val="24"/>
          <w:lang w:eastAsia="zh-CN"/>
        </w:rPr>
        <w:t>“</w:t>
      </w:r>
      <w:r>
        <w:rPr>
          <w:rFonts w:ascii="Times New Roman" w:hAnsi="Times New Roman" w:eastAsia="宋体" w:cs="宋体"/>
          <w:sz w:val="24"/>
          <w:szCs w:val="24"/>
        </w:rPr>
        <w:t>轻度污染</w:t>
      </w:r>
      <w:r>
        <w:rPr>
          <w:rFonts w:hint="eastAsia" w:cs="宋体"/>
          <w:sz w:val="24"/>
          <w:szCs w:val="24"/>
          <w:lang w:eastAsia="zh-CN"/>
        </w:rPr>
        <w:t>”</w:t>
      </w:r>
      <w:r>
        <w:rPr>
          <w:rFonts w:ascii="Times New Roman" w:hAnsi="Times New Roman" w:eastAsia="宋体" w:cs="宋体"/>
          <w:sz w:val="24"/>
          <w:szCs w:val="24"/>
        </w:rPr>
        <w:t>4天，优良率为98.9%，同比上升1.1%，其中可吸入颗粒物（PM10）年平均浓度37.9微克/立方米；细颗粒物（PM</w:t>
      </w:r>
      <w:r>
        <w:rPr>
          <w:rFonts w:ascii="Times New Roman" w:hAnsi="Times New Roman" w:eastAsia="宋体" w:cs="宋体"/>
          <w:sz w:val="24"/>
          <w:szCs w:val="24"/>
          <w:vertAlign w:val="subscript"/>
        </w:rPr>
        <w:t>2.5</w:t>
      </w:r>
      <w:r>
        <w:rPr>
          <w:rFonts w:ascii="Times New Roman" w:hAnsi="Times New Roman" w:eastAsia="宋体" w:cs="宋体"/>
          <w:sz w:val="24"/>
          <w:szCs w:val="24"/>
        </w:rPr>
        <w:t>）年平均浓度24.5微克/立方米。</w:t>
      </w:r>
      <w:r>
        <w:rPr>
          <w:rFonts w:hint="eastAsia" w:cs="宋体"/>
          <w:sz w:val="24"/>
          <w:szCs w:val="24"/>
          <w:lang w:eastAsia="zh-CN"/>
        </w:rPr>
        <w:t>”</w:t>
      </w:r>
      <w:r>
        <w:rPr>
          <w:rFonts w:ascii="Times New Roman" w:hAnsi="Times New Roman" w:eastAsia="宋体" w:cs="宋体"/>
          <w:sz w:val="24"/>
          <w:szCs w:val="24"/>
        </w:rPr>
        <w:t>故本项目所在区域的环境空气监测项目中SO</w:t>
      </w:r>
      <w:r>
        <w:rPr>
          <w:rFonts w:ascii="Times New Roman" w:hAnsi="Times New Roman" w:eastAsia="宋体" w:cs="宋体"/>
          <w:sz w:val="24"/>
          <w:szCs w:val="24"/>
          <w:vertAlign w:val="subscript"/>
        </w:rPr>
        <w:t>2</w:t>
      </w:r>
      <w:r>
        <w:rPr>
          <w:rFonts w:ascii="Times New Roman" w:hAnsi="Times New Roman" w:eastAsia="宋体" w:cs="宋体"/>
          <w:sz w:val="24"/>
          <w:szCs w:val="24"/>
        </w:rPr>
        <w:t>、NO</w:t>
      </w:r>
      <w:r>
        <w:rPr>
          <w:rFonts w:ascii="Times New Roman" w:hAnsi="Times New Roman" w:eastAsia="宋体" w:cs="宋体"/>
          <w:sz w:val="24"/>
          <w:szCs w:val="24"/>
          <w:vertAlign w:val="subscript"/>
        </w:rPr>
        <w:t>2</w:t>
      </w:r>
      <w:r>
        <w:rPr>
          <w:rFonts w:ascii="Times New Roman" w:hAnsi="Times New Roman" w:eastAsia="宋体" w:cs="宋体"/>
          <w:sz w:val="24"/>
          <w:szCs w:val="24"/>
        </w:rPr>
        <w:t>、PM</w:t>
      </w:r>
      <w:r>
        <w:rPr>
          <w:rFonts w:ascii="Times New Roman" w:hAnsi="Times New Roman" w:eastAsia="宋体" w:cs="宋体"/>
          <w:sz w:val="24"/>
          <w:szCs w:val="24"/>
          <w:vertAlign w:val="subscript"/>
        </w:rPr>
        <w:t>10</w:t>
      </w:r>
      <w:r>
        <w:rPr>
          <w:rFonts w:ascii="Times New Roman" w:hAnsi="Times New Roman" w:eastAsia="宋体" w:cs="宋体"/>
          <w:sz w:val="24"/>
          <w:szCs w:val="24"/>
        </w:rPr>
        <w:t>、PM</w:t>
      </w:r>
      <w:r>
        <w:rPr>
          <w:rFonts w:ascii="Times New Roman" w:hAnsi="Times New Roman" w:eastAsia="宋体" w:cs="宋体"/>
          <w:sz w:val="24"/>
          <w:szCs w:val="24"/>
          <w:vertAlign w:val="subscript"/>
        </w:rPr>
        <w:t>2</w:t>
      </w:r>
      <w:r>
        <w:rPr>
          <w:rFonts w:hint="eastAsia" w:cs="宋体"/>
          <w:sz w:val="24"/>
          <w:szCs w:val="24"/>
          <w:lang w:val="en-US" w:eastAsia="zh-CN"/>
        </w:rPr>
        <w:t>.</w:t>
      </w:r>
      <w:r>
        <w:rPr>
          <w:rFonts w:ascii="Times New Roman" w:hAnsi="Times New Roman" w:eastAsia="宋体" w:cs="宋体"/>
          <w:sz w:val="24"/>
          <w:szCs w:val="24"/>
          <w:vertAlign w:val="subscript"/>
        </w:rPr>
        <w:t>5</w:t>
      </w:r>
      <w:r>
        <w:rPr>
          <w:rFonts w:ascii="Times New Roman" w:hAnsi="Times New Roman" w:eastAsia="宋体" w:cs="宋体"/>
          <w:sz w:val="24"/>
          <w:szCs w:val="24"/>
        </w:rPr>
        <w:t>、CO、</w:t>
      </w:r>
      <w:r>
        <w:rPr>
          <w:rFonts w:hint="eastAsia" w:cs="宋体"/>
          <w:sz w:val="24"/>
          <w:szCs w:val="24"/>
          <w:lang w:val="en-US" w:eastAsia="zh-CN"/>
        </w:rPr>
        <w:t>O</w:t>
      </w:r>
      <w:r>
        <w:rPr>
          <w:rFonts w:hint="eastAsia" w:cs="宋体"/>
          <w:sz w:val="24"/>
          <w:szCs w:val="24"/>
          <w:vertAlign w:val="subscript"/>
          <w:lang w:val="en-US" w:eastAsia="zh-CN"/>
        </w:rPr>
        <w:t>3</w:t>
      </w:r>
      <w:r>
        <w:rPr>
          <w:rFonts w:ascii="Times New Roman" w:hAnsi="Times New Roman" w:eastAsia="宋体" w:cs="宋体"/>
          <w:sz w:val="24"/>
          <w:szCs w:val="24"/>
        </w:rPr>
        <w:t>年平均浓度均能达到《环境空气质量标准》（GB3095-2012）及修改清单中的二级标准，项目所在区域环境空气质量达标。综上，根据项目所在地《平昌县环境质量状况公报（2020年度）》结论，平昌县环境空气质量指标SO</w:t>
      </w:r>
      <w:r>
        <w:rPr>
          <w:rFonts w:ascii="Times New Roman" w:hAnsi="Times New Roman" w:eastAsia="宋体" w:cs="宋体"/>
          <w:sz w:val="24"/>
          <w:szCs w:val="24"/>
          <w:vertAlign w:val="subscript"/>
        </w:rPr>
        <w:t>2</w:t>
      </w:r>
      <w:r>
        <w:rPr>
          <w:rFonts w:ascii="Times New Roman" w:hAnsi="Times New Roman" w:eastAsia="宋体" w:cs="宋体"/>
          <w:sz w:val="24"/>
          <w:szCs w:val="24"/>
        </w:rPr>
        <w:t>、NO</w:t>
      </w:r>
      <w:r>
        <w:rPr>
          <w:rFonts w:ascii="Times New Roman" w:hAnsi="Times New Roman" w:eastAsia="宋体" w:cs="宋体"/>
          <w:sz w:val="24"/>
          <w:szCs w:val="24"/>
          <w:vertAlign w:val="subscript"/>
        </w:rPr>
        <w:t>2</w:t>
      </w:r>
      <w:r>
        <w:rPr>
          <w:rFonts w:ascii="Times New Roman" w:hAnsi="Times New Roman" w:eastAsia="宋体" w:cs="宋体"/>
          <w:sz w:val="24"/>
          <w:szCs w:val="24"/>
        </w:rPr>
        <w:t>、PM</w:t>
      </w:r>
      <w:r>
        <w:rPr>
          <w:rFonts w:ascii="Times New Roman" w:hAnsi="Times New Roman" w:eastAsia="宋体" w:cs="宋体"/>
          <w:sz w:val="24"/>
          <w:szCs w:val="24"/>
          <w:vertAlign w:val="subscript"/>
        </w:rPr>
        <w:t>10</w:t>
      </w:r>
      <w:r>
        <w:rPr>
          <w:rFonts w:ascii="Times New Roman" w:hAnsi="Times New Roman" w:eastAsia="宋体" w:cs="宋体"/>
          <w:sz w:val="24"/>
          <w:szCs w:val="24"/>
        </w:rPr>
        <w:t>、PM</w:t>
      </w:r>
      <w:r>
        <w:rPr>
          <w:rFonts w:ascii="Times New Roman" w:hAnsi="Times New Roman" w:eastAsia="宋体" w:cs="宋体"/>
          <w:sz w:val="24"/>
          <w:szCs w:val="24"/>
          <w:vertAlign w:val="subscript"/>
        </w:rPr>
        <w:t>2</w:t>
      </w:r>
      <w:r>
        <w:rPr>
          <w:rFonts w:hint="eastAsia" w:cs="宋体"/>
          <w:sz w:val="24"/>
          <w:szCs w:val="24"/>
          <w:lang w:val="en-US" w:eastAsia="zh-CN"/>
        </w:rPr>
        <w:t>.</w:t>
      </w:r>
      <w:r>
        <w:rPr>
          <w:rFonts w:ascii="Times New Roman" w:hAnsi="Times New Roman" w:eastAsia="宋体" w:cs="宋体"/>
          <w:sz w:val="24"/>
          <w:szCs w:val="24"/>
          <w:vertAlign w:val="subscript"/>
        </w:rPr>
        <w:t>5</w:t>
      </w:r>
      <w:r>
        <w:rPr>
          <w:rFonts w:ascii="Times New Roman" w:hAnsi="Times New Roman" w:eastAsia="宋体" w:cs="宋体"/>
          <w:sz w:val="24"/>
          <w:szCs w:val="24"/>
        </w:rPr>
        <w:t>、CO、</w:t>
      </w:r>
      <w:r>
        <w:rPr>
          <w:rFonts w:hint="eastAsia" w:cs="宋体"/>
          <w:sz w:val="24"/>
          <w:szCs w:val="24"/>
          <w:lang w:val="en-US" w:eastAsia="zh-CN"/>
        </w:rPr>
        <w:t>O</w:t>
      </w:r>
      <w:r>
        <w:rPr>
          <w:rFonts w:hint="eastAsia" w:cs="宋体"/>
          <w:sz w:val="24"/>
          <w:szCs w:val="24"/>
          <w:vertAlign w:val="subscript"/>
          <w:lang w:val="en-US" w:eastAsia="zh-CN"/>
        </w:rPr>
        <w:t>3</w:t>
      </w:r>
      <w:r>
        <w:rPr>
          <w:rFonts w:ascii="Times New Roman" w:hAnsi="Times New Roman" w:eastAsia="宋体" w:cs="宋体"/>
          <w:sz w:val="24"/>
          <w:szCs w:val="24"/>
        </w:rPr>
        <w:t>的年平均浓度均能满足《环境空气质量标准》（GB3095-2012）及修改清单中的二级标准，因此项目所在评价区域为达标区。</w:t>
      </w:r>
    </w:p>
    <w:p>
      <w:pPr>
        <w:pStyle w:val="6"/>
        <w:bidi w:val="0"/>
        <w:rPr>
          <w:rFonts w:hint="default"/>
          <w:lang w:val="en-US" w:eastAsia="zh-CN"/>
        </w:rPr>
      </w:pPr>
      <w:r>
        <w:rPr>
          <w:rFonts w:hint="eastAsia"/>
          <w:lang w:val="en-US" w:eastAsia="zh-CN"/>
        </w:rPr>
        <w:t>其他污染物环境质量现状</w:t>
      </w:r>
    </w:p>
    <w:p>
      <w:pPr>
        <w:rPr>
          <w:rFonts w:hint="default"/>
          <w:lang w:val="en-US" w:eastAsia="zh-CN"/>
        </w:rPr>
      </w:pPr>
      <w:r>
        <w:rPr>
          <w:rFonts w:hint="eastAsia"/>
          <w:lang w:val="en-US" w:eastAsia="zh-CN"/>
        </w:rPr>
        <w:t>为了解本项目所在地区环境空气质量及厂区排放现状，本次评价委托四川锡水金山环保科技有限公司于2021年1月26日～2021年2月1日对项目所在地进行监测。</w:t>
      </w:r>
    </w:p>
    <w:p>
      <w:pPr>
        <w:bidi w:val="0"/>
        <w:rPr>
          <w:rFonts w:hint="default"/>
          <w:lang w:val="en-US" w:eastAsia="zh-CN"/>
        </w:rPr>
      </w:pPr>
      <w:r>
        <w:rPr>
          <w:rFonts w:hint="eastAsia"/>
          <w:lang w:val="en-US" w:eastAsia="zh-CN"/>
        </w:rPr>
        <w:t>（1）监测内容及频次</w:t>
      </w:r>
    </w:p>
    <w:p>
      <w:pPr>
        <w:pStyle w:val="29"/>
        <w:bidi w:val="0"/>
        <w:rPr>
          <w:rFonts w:hint="eastAsia"/>
          <w:lang w:val="en-US" w:eastAsia="zh-CN"/>
        </w:rPr>
      </w:pPr>
      <w:r>
        <w:rPr>
          <w:rFonts w:hint="eastAsia"/>
          <w:lang w:val="en-US" w:eastAsia="zh-CN"/>
        </w:rPr>
        <w:t>表4.2-3  本项目环境空气质量监测内容及频次一览表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2655"/>
        <w:gridCol w:w="900"/>
        <w:gridCol w:w="2565"/>
        <w:gridCol w:w="990"/>
        <w:gridCol w:w="10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9"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类别</w:t>
            </w:r>
          </w:p>
        </w:tc>
        <w:tc>
          <w:tcPr>
            <w:tcW w:w="2655"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监测点位</w:t>
            </w:r>
          </w:p>
        </w:tc>
        <w:tc>
          <w:tcPr>
            <w:tcW w:w="900"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点位数</w:t>
            </w:r>
          </w:p>
        </w:tc>
        <w:tc>
          <w:tcPr>
            <w:tcW w:w="2565"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监测项目</w:t>
            </w:r>
          </w:p>
        </w:tc>
        <w:tc>
          <w:tcPr>
            <w:tcW w:w="2013" w:type="dxa"/>
            <w:gridSpan w:val="2"/>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9"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2655"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900"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2565"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99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天</w:t>
            </w:r>
          </w:p>
        </w:tc>
        <w:tc>
          <w:tcPr>
            <w:tcW w:w="1023"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环境空气</w:t>
            </w:r>
          </w:p>
        </w:tc>
        <w:tc>
          <w:tcPr>
            <w:tcW w:w="265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1#项目地外西南侧</w:t>
            </w:r>
          </w:p>
        </w:tc>
        <w:tc>
          <w:tcPr>
            <w:tcW w:w="90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w:t>
            </w:r>
          </w:p>
        </w:tc>
        <w:tc>
          <w:tcPr>
            <w:tcW w:w="256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氨、硫化氢</w:t>
            </w:r>
          </w:p>
        </w:tc>
        <w:tc>
          <w:tcPr>
            <w:tcW w:w="9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w:t>
            </w:r>
          </w:p>
        </w:tc>
        <w:tc>
          <w:tcPr>
            <w:tcW w:w="102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w:t>
            </w:r>
          </w:p>
        </w:tc>
      </w:tr>
    </w:tbl>
    <w:p>
      <w:pPr>
        <w:bidi w:val="0"/>
        <w:rPr>
          <w:rFonts w:hint="default"/>
          <w:lang w:val="en-US" w:eastAsia="zh-CN"/>
        </w:rPr>
      </w:pPr>
      <w:r>
        <w:rPr>
          <w:rFonts w:hint="eastAsia"/>
          <w:lang w:val="en-US" w:eastAsia="zh-CN"/>
        </w:rPr>
        <w:t>（2）监测方法及仪器</w:t>
      </w:r>
    </w:p>
    <w:p>
      <w:pPr>
        <w:pStyle w:val="29"/>
        <w:bidi w:val="0"/>
        <w:rPr>
          <w:rFonts w:hint="eastAsia"/>
          <w:lang w:val="en-US" w:eastAsia="zh-CN"/>
        </w:rPr>
      </w:pPr>
      <w:r>
        <w:rPr>
          <w:rFonts w:hint="eastAsia"/>
          <w:lang w:val="en-US" w:eastAsia="zh-CN"/>
        </w:rPr>
        <w:t>表4.2-4  本项目环境空气质量监测方法及仪器一览表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125"/>
        <w:gridCol w:w="3396"/>
        <w:gridCol w:w="1770"/>
        <w:gridCol w:w="1350"/>
        <w:gridCol w:w="12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类别</w:t>
            </w:r>
          </w:p>
        </w:tc>
        <w:tc>
          <w:tcPr>
            <w:tcW w:w="112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监测项目</w:t>
            </w:r>
          </w:p>
        </w:tc>
        <w:tc>
          <w:tcPr>
            <w:tcW w:w="3396"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监测方法及依据</w:t>
            </w:r>
          </w:p>
        </w:tc>
        <w:tc>
          <w:tcPr>
            <w:tcW w:w="177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所用仪器</w:t>
            </w:r>
          </w:p>
        </w:tc>
        <w:tc>
          <w:tcPr>
            <w:tcW w:w="135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仪器编号</w:t>
            </w:r>
          </w:p>
        </w:tc>
        <w:tc>
          <w:tcPr>
            <w:tcW w:w="1278"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环境空气</w:t>
            </w:r>
          </w:p>
        </w:tc>
        <w:tc>
          <w:tcPr>
            <w:tcW w:w="11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氨</w:t>
            </w:r>
          </w:p>
        </w:tc>
        <w:tc>
          <w:tcPr>
            <w:tcW w:w="339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环境空气和废气 氨的测定 纳氏试剂 分光光度法 HJ 533-2009</w:t>
            </w:r>
          </w:p>
        </w:tc>
        <w:tc>
          <w:tcPr>
            <w:tcW w:w="1770"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UV-1600型紫外可见分光光度计</w:t>
            </w:r>
          </w:p>
        </w:tc>
        <w:tc>
          <w:tcPr>
            <w:tcW w:w="1350"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XSJS-018-02</w:t>
            </w:r>
          </w:p>
        </w:tc>
        <w:tc>
          <w:tcPr>
            <w:tcW w:w="1278" w:type="dxa"/>
            <w:tcBorders>
              <w:tl2br w:val="nil"/>
              <w:tr2bl w:val="nil"/>
            </w:tcBorders>
            <w:vAlign w:val="center"/>
          </w:tcPr>
          <w:p>
            <w:pPr>
              <w:pStyle w:val="30"/>
              <w:widowControl w:val="0"/>
              <w:jc w:val="center"/>
              <w:rPr>
                <w:rFonts w:hint="default"/>
                <w:vertAlign w:val="superscript"/>
                <w:lang w:val="en-US" w:eastAsia="zh-CN"/>
              </w:rPr>
            </w:pPr>
            <w:r>
              <w:rPr>
                <w:rFonts w:hint="eastAsia"/>
                <w:vertAlign w:val="baseline"/>
                <w:lang w:val="en-US" w:eastAsia="zh-CN"/>
              </w:rPr>
              <w:t>0.01mg/m</w:t>
            </w:r>
            <w:r>
              <w:rPr>
                <w:rFonts w:hint="eastAsia"/>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硫化氢</w:t>
            </w:r>
          </w:p>
        </w:tc>
        <w:tc>
          <w:tcPr>
            <w:tcW w:w="339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空气质量监测 亚甲基蓝分光光度法《空气和废气监测分析方法》第四版 国家环境保护总局（2003年）</w:t>
            </w:r>
          </w:p>
        </w:tc>
        <w:tc>
          <w:tcPr>
            <w:tcW w:w="17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35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7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0.001mg/m</w:t>
            </w:r>
            <w:r>
              <w:rPr>
                <w:rFonts w:hint="eastAsia"/>
                <w:vertAlign w:val="superscript"/>
                <w:lang w:val="en-US" w:eastAsia="zh-CN"/>
              </w:rPr>
              <w:t>3</w:t>
            </w:r>
          </w:p>
        </w:tc>
      </w:tr>
    </w:tbl>
    <w:p>
      <w:pPr>
        <w:bidi w:val="0"/>
        <w:rPr>
          <w:rFonts w:hint="default"/>
          <w:lang w:val="en-US" w:eastAsia="zh-CN"/>
        </w:rPr>
      </w:pPr>
      <w:r>
        <w:rPr>
          <w:rFonts w:hint="eastAsia"/>
          <w:lang w:val="en-US" w:eastAsia="zh-CN"/>
        </w:rPr>
        <w:t>（3）环境空气现状评价</w:t>
      </w:r>
    </w:p>
    <w:p>
      <w:pPr>
        <w:pStyle w:val="29"/>
        <w:bidi w:val="0"/>
        <w:rPr>
          <w:rFonts w:hint="eastAsia"/>
          <w:lang w:val="en-US" w:eastAsia="zh-CN"/>
        </w:rPr>
      </w:pPr>
      <w:r>
        <w:rPr>
          <w:rFonts w:hint="eastAsia"/>
          <w:lang w:val="en-US" w:eastAsia="zh-CN"/>
        </w:rPr>
        <w:t>表4.2-5  环境空气质量标准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405"/>
        <w:gridCol w:w="2406"/>
        <w:gridCol w:w="2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标准</w:t>
            </w:r>
          </w:p>
        </w:tc>
        <w:tc>
          <w:tcPr>
            <w:tcW w:w="240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污染物名称</w:t>
            </w:r>
          </w:p>
        </w:tc>
        <w:tc>
          <w:tcPr>
            <w:tcW w:w="2406"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H</w:t>
            </w:r>
            <w:r>
              <w:rPr>
                <w:rFonts w:hint="eastAsia"/>
                <w:b/>
                <w:bCs/>
                <w:vertAlign w:val="subscript"/>
                <w:lang w:val="en-US" w:eastAsia="zh-CN"/>
              </w:rPr>
              <w:t>2</w:t>
            </w:r>
            <w:r>
              <w:rPr>
                <w:rFonts w:hint="eastAsia"/>
                <w:b/>
                <w:bCs/>
                <w:vertAlign w:val="baseline"/>
                <w:lang w:val="en-US" w:eastAsia="zh-CN"/>
              </w:rPr>
              <w:t>S</w:t>
            </w:r>
          </w:p>
        </w:tc>
        <w:tc>
          <w:tcPr>
            <w:tcW w:w="2406"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NH</w:t>
            </w:r>
            <w:r>
              <w:rPr>
                <w:rFonts w:hint="eastAsia"/>
                <w:b/>
                <w:bCs/>
                <w:vertAlign w:val="sub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HJ2.2-2018</w:t>
            </w:r>
          </w:p>
        </w:tc>
        <w:tc>
          <w:tcPr>
            <w:tcW w:w="240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1h平均</w:t>
            </w:r>
          </w:p>
        </w:tc>
        <w:tc>
          <w:tcPr>
            <w:tcW w:w="240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w:t>
            </w:r>
          </w:p>
        </w:tc>
        <w:tc>
          <w:tcPr>
            <w:tcW w:w="240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4"/>
            <w:tcBorders>
              <w:tl2br w:val="nil"/>
              <w:tr2bl w:val="nil"/>
            </w:tcBorders>
            <w:vAlign w:val="center"/>
          </w:tcPr>
          <w:p>
            <w:pPr>
              <w:pStyle w:val="30"/>
              <w:widowControl w:val="0"/>
              <w:bidi w:val="0"/>
              <w:rPr>
                <w:rFonts w:hint="default"/>
                <w:lang w:val="en-US" w:eastAsia="zh-CN"/>
              </w:rPr>
            </w:pPr>
            <w:r>
              <w:rPr>
                <w:rFonts w:hint="eastAsia"/>
              </w:rPr>
              <w:t>《环境影响评价技术导则大气环境》（HJ2.2-2018）中附录D1h平均浓度参考限值</w:t>
            </w:r>
          </w:p>
        </w:tc>
      </w:tr>
    </w:tbl>
    <w:p>
      <w:pPr>
        <w:bidi w:val="0"/>
        <w:rPr>
          <w:rFonts w:hint="default"/>
          <w:lang w:val="en-US" w:eastAsia="zh-CN"/>
        </w:rPr>
      </w:pPr>
      <w:r>
        <w:rPr>
          <w:rFonts w:hint="eastAsia"/>
          <w:lang w:val="en-US" w:eastAsia="zh-CN"/>
        </w:rPr>
        <w:t>（4）评价方法</w:t>
      </w:r>
    </w:p>
    <w:p>
      <w:pPr>
        <w:bidi w:val="0"/>
        <w:rPr>
          <w:rFonts w:hint="eastAsia"/>
          <w:lang w:val="en-US" w:eastAsia="zh-CN"/>
        </w:rPr>
      </w:pPr>
      <w:r>
        <w:rPr>
          <w:rFonts w:hint="eastAsia"/>
        </w:rPr>
        <w:t>本次环境空气质量现状评价采用单项标准指数法。依据各污染物占标准限值的百分比来判断该种污染物对环境的污染贡献大小，评价其环境质量好坏程度。单项标准指数Pi计算表达式：</w:t>
      </w:r>
    </w:p>
    <w:p>
      <w:pPr>
        <w:ind w:left="0" w:leftChars="0" w:firstLine="0" w:firstLineChars="0"/>
        <w:jc w:val="center"/>
        <w:rPr>
          <w:rFonts w:hint="eastAsia"/>
          <w:lang w:val="en-US" w:eastAsia="zh-CN"/>
        </w:rPr>
      </w:pPr>
      <w:r>
        <w:rPr>
          <w:rFonts w:hint="eastAsia"/>
          <w:position w:val="-12"/>
          <w:lang w:val="en-US" w:eastAsia="zh-CN"/>
        </w:rPr>
        <w:object>
          <v:shape id="_x0000_i1028" o:spt="75" type="#_x0000_t75" style="height:18pt;width:57pt;" o:ole="t" filled="f" o:preferrelative="t" stroked="f" coordsize="21600,21600">
            <v:path/>
            <v:fill on="f" focussize="0,0"/>
            <v:stroke on="f"/>
            <v:imagedata r:id="rId28" o:title=""/>
            <o:lock v:ext="edit" aspectratio="t"/>
            <w10:wrap type="none"/>
            <w10:anchorlock/>
          </v:shape>
          <o:OLEObject Type="Embed" ProgID="Equation.KSEE3" ShapeID="_x0000_i1028" DrawAspect="Content" ObjectID="_1468075729" r:id="rId27">
            <o:LockedField>false</o:LockedField>
          </o:OLEObject>
        </w:object>
      </w:r>
    </w:p>
    <w:p>
      <w:pPr>
        <w:rPr>
          <w:rFonts w:hint="default"/>
          <w:vertAlign w:val="baseline"/>
          <w:lang w:val="en-US" w:eastAsia="zh-CN"/>
        </w:rPr>
      </w:pPr>
      <w:r>
        <w:rPr>
          <w:rFonts w:hint="eastAsia"/>
          <w:lang w:val="en-US" w:eastAsia="zh-CN"/>
        </w:rPr>
        <w:t>式中：P</w:t>
      </w:r>
      <w:r>
        <w:rPr>
          <w:rFonts w:hint="eastAsia"/>
          <w:vertAlign w:val="subscript"/>
          <w:lang w:val="en-US" w:eastAsia="zh-CN"/>
        </w:rPr>
        <w:t>i</w:t>
      </w:r>
      <w:r>
        <w:rPr>
          <w:rFonts w:hint="eastAsia"/>
          <w:vertAlign w:val="baseline"/>
          <w:lang w:val="en-US" w:eastAsia="zh-CN"/>
        </w:rPr>
        <w:t>——i中</w:t>
      </w:r>
      <w:r>
        <w:rPr>
          <w:rFonts w:hint="eastAsia" w:ascii="宋体" w:hAnsi="宋体" w:eastAsia="宋体"/>
          <w:sz w:val="24"/>
        </w:rPr>
        <w:t>种污染物标准数值；</w:t>
      </w:r>
    </w:p>
    <w:p>
      <w:pPr>
        <w:bidi w:val="0"/>
        <w:ind w:firstLine="1200" w:firstLineChars="500"/>
        <w:rPr>
          <w:rFonts w:hint="eastAsia"/>
        </w:rPr>
      </w:pPr>
      <w:r>
        <w:rPr>
          <w:rFonts w:hint="eastAsia"/>
        </w:rPr>
        <w:t>C</w:t>
      </w:r>
      <w:r>
        <w:rPr>
          <w:rFonts w:hint="eastAsia"/>
          <w:vertAlign w:val="subscript"/>
        </w:rPr>
        <w:t>i</w:t>
      </w:r>
      <w:r>
        <w:rPr>
          <w:rFonts w:hint="eastAsia"/>
          <w:lang w:eastAsia="zh-CN"/>
        </w:rPr>
        <w:t>——</w:t>
      </w:r>
      <w:r>
        <w:rPr>
          <w:rFonts w:hint="eastAsia"/>
        </w:rPr>
        <w:t>i种污染物实测日均浓度值，mg/m</w:t>
      </w:r>
      <w:r>
        <w:rPr>
          <w:rFonts w:hint="eastAsia"/>
          <w:vertAlign w:val="superscript"/>
        </w:rPr>
        <w:t>3</w:t>
      </w:r>
      <w:r>
        <w:rPr>
          <w:rFonts w:hint="eastAsia"/>
        </w:rPr>
        <w:t>；</w:t>
      </w:r>
    </w:p>
    <w:p>
      <w:pPr>
        <w:bidi w:val="0"/>
        <w:ind w:firstLine="1200" w:firstLineChars="500"/>
        <w:rPr>
          <w:rFonts w:hint="eastAsia"/>
        </w:rPr>
      </w:pPr>
      <w:r>
        <w:rPr>
          <w:rFonts w:hint="eastAsia"/>
        </w:rPr>
        <w:t>C</w:t>
      </w:r>
      <w:r>
        <w:rPr>
          <w:rFonts w:hint="eastAsia"/>
          <w:vertAlign w:val="subscript"/>
        </w:rPr>
        <w:t>oi</w:t>
      </w:r>
      <w:r>
        <w:rPr>
          <w:rFonts w:hint="eastAsia"/>
          <w:lang w:eastAsia="zh-CN"/>
        </w:rPr>
        <w:t>——</w:t>
      </w:r>
      <w:r>
        <w:rPr>
          <w:rFonts w:hint="eastAsia"/>
        </w:rPr>
        <w:t>i种污染物日均浓度标准值，mg/m</w:t>
      </w:r>
      <w:r>
        <w:rPr>
          <w:rFonts w:hint="eastAsia"/>
          <w:vertAlign w:val="superscript"/>
        </w:rPr>
        <w:t>3</w:t>
      </w:r>
      <w:r>
        <w:rPr>
          <w:rFonts w:hint="eastAsia"/>
        </w:rPr>
        <w:t>。</w:t>
      </w:r>
    </w:p>
    <w:p>
      <w:pPr>
        <w:bidi w:val="0"/>
        <w:rPr>
          <w:rFonts w:hint="eastAsia"/>
          <w:lang w:val="en-US" w:eastAsia="zh-CN"/>
        </w:rPr>
      </w:pPr>
      <w:r>
        <w:rPr>
          <w:rFonts w:hint="eastAsia"/>
        </w:rPr>
        <w:t>Pi值的大小反映污染物的污染程度，质量指数Pi&lt;1说明i污染物不超标，反之超标</w:t>
      </w:r>
      <w:r>
        <w:rPr>
          <w:rFonts w:hint="eastAsia" w:ascii="宋体" w:hAnsi="宋体" w:eastAsia="宋体"/>
        </w:rPr>
        <w:t>。</w:t>
      </w:r>
    </w:p>
    <w:p>
      <w:pPr>
        <w:rPr>
          <w:rFonts w:hint="default"/>
          <w:lang w:val="en-US" w:eastAsia="zh-CN"/>
        </w:rPr>
      </w:pPr>
      <w:r>
        <w:rPr>
          <w:rFonts w:hint="eastAsia"/>
          <w:lang w:val="en-US" w:eastAsia="zh-CN"/>
        </w:rPr>
        <w:t>（5）监测结果</w:t>
      </w:r>
    </w:p>
    <w:p>
      <w:pPr>
        <w:pStyle w:val="29"/>
        <w:bidi w:val="0"/>
        <w:rPr>
          <w:rFonts w:hint="eastAsia"/>
          <w:lang w:val="en-US" w:eastAsia="zh-CN"/>
        </w:rPr>
      </w:pPr>
      <w:r>
        <w:rPr>
          <w:rFonts w:hint="eastAsia"/>
          <w:lang w:val="en-US" w:eastAsia="zh-CN"/>
        </w:rPr>
        <w:t>表4.2-6  环境空气监测结果表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1170"/>
        <w:gridCol w:w="1110"/>
        <w:gridCol w:w="907"/>
        <w:gridCol w:w="907"/>
        <w:gridCol w:w="907"/>
        <w:gridCol w:w="909"/>
        <w:gridCol w:w="1080"/>
        <w:gridCol w:w="6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监测点位</w:t>
            </w:r>
          </w:p>
        </w:tc>
        <w:tc>
          <w:tcPr>
            <w:tcW w:w="1170"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采样日期</w:t>
            </w:r>
          </w:p>
        </w:tc>
        <w:tc>
          <w:tcPr>
            <w:tcW w:w="1110"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监测项目</w:t>
            </w:r>
          </w:p>
        </w:tc>
        <w:tc>
          <w:tcPr>
            <w:tcW w:w="3630" w:type="dxa"/>
            <w:gridSpan w:val="4"/>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检测结果（mg/m</w:t>
            </w:r>
            <w:r>
              <w:rPr>
                <w:rFonts w:hint="eastAsia"/>
                <w:b/>
                <w:bCs/>
                <w:vertAlign w:val="superscript"/>
                <w:lang w:val="en-US" w:eastAsia="zh-CN"/>
              </w:rPr>
              <w:t>3</w:t>
            </w:r>
            <w:r>
              <w:rPr>
                <w:rFonts w:hint="eastAsia"/>
                <w:b/>
                <w:bCs/>
                <w:vertAlign w:val="baseline"/>
                <w:lang w:val="en-US" w:eastAsia="zh-CN"/>
              </w:rPr>
              <w:t>）</w:t>
            </w:r>
          </w:p>
        </w:tc>
        <w:tc>
          <w:tcPr>
            <w:tcW w:w="1080" w:type="dxa"/>
            <w:vMerge w:val="restart"/>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标准限值</w:t>
            </w:r>
          </w:p>
          <w:p>
            <w:pPr>
              <w:pStyle w:val="30"/>
              <w:widowControl w:val="0"/>
              <w:jc w:val="center"/>
              <w:rPr>
                <w:rFonts w:hint="default"/>
                <w:b/>
                <w:bCs/>
                <w:vertAlign w:val="baseline"/>
                <w:lang w:val="en-US" w:eastAsia="zh-CN"/>
              </w:rPr>
            </w:pPr>
            <w:r>
              <w:rPr>
                <w:rFonts w:hint="eastAsia"/>
                <w:b/>
                <w:bCs/>
                <w:vertAlign w:val="baseline"/>
                <w:lang w:val="en-US" w:eastAsia="zh-CN"/>
              </w:rPr>
              <w:t>（</w:t>
            </w:r>
            <w:r>
              <w:rPr>
                <w:rFonts w:hint="default" w:ascii="Times New Roman" w:hAnsi="Times New Roman" w:cs="Times New Roman"/>
                <w:b/>
                <w:bCs/>
                <w:vertAlign w:val="baseline"/>
                <w:lang w:val="en-US" w:eastAsia="zh-CN"/>
              </w:rPr>
              <w:t>μg/m</w:t>
            </w:r>
            <w:r>
              <w:rPr>
                <w:rFonts w:hint="default" w:ascii="Times New Roman" w:hAnsi="Times New Roman" w:cs="Times New Roman"/>
                <w:b/>
                <w:bCs/>
                <w:vertAlign w:val="superscript"/>
                <w:lang w:val="en-US" w:eastAsia="zh-CN"/>
              </w:rPr>
              <w:t>3</w:t>
            </w:r>
            <w:r>
              <w:rPr>
                <w:rFonts w:hint="eastAsia"/>
                <w:b/>
                <w:bCs/>
                <w:vertAlign w:val="baseline"/>
                <w:lang w:val="en-US" w:eastAsia="zh-CN"/>
              </w:rPr>
              <w:t>）</w:t>
            </w:r>
          </w:p>
        </w:tc>
        <w:tc>
          <w:tcPr>
            <w:tcW w:w="690"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1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07"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第一次</w:t>
            </w:r>
          </w:p>
        </w:tc>
        <w:tc>
          <w:tcPr>
            <w:tcW w:w="907"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第二次</w:t>
            </w:r>
          </w:p>
        </w:tc>
        <w:tc>
          <w:tcPr>
            <w:tcW w:w="907"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第三次</w:t>
            </w:r>
          </w:p>
        </w:tc>
        <w:tc>
          <w:tcPr>
            <w:tcW w:w="909"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第四次</w:t>
            </w:r>
          </w:p>
        </w:tc>
        <w:tc>
          <w:tcPr>
            <w:tcW w:w="108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690"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1#项目地外西南侧</w:t>
            </w:r>
          </w:p>
        </w:tc>
        <w:tc>
          <w:tcPr>
            <w:tcW w:w="11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1月26日</w:t>
            </w:r>
          </w:p>
        </w:tc>
        <w:tc>
          <w:tcPr>
            <w:tcW w:w="1110"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氨</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0.03</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w:t>
            </w:r>
          </w:p>
        </w:tc>
        <w:tc>
          <w:tcPr>
            <w:tcW w:w="90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w:t>
            </w:r>
          </w:p>
        </w:tc>
        <w:tc>
          <w:tcPr>
            <w:tcW w:w="1080"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200</w:t>
            </w:r>
          </w:p>
        </w:tc>
        <w:tc>
          <w:tcPr>
            <w:tcW w:w="690"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1月27日</w:t>
            </w:r>
          </w:p>
        </w:tc>
        <w:tc>
          <w:tcPr>
            <w:tcW w:w="111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0.04</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0.04</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0.05</w:t>
            </w:r>
          </w:p>
        </w:tc>
        <w:tc>
          <w:tcPr>
            <w:tcW w:w="90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0.06</w:t>
            </w:r>
          </w:p>
        </w:tc>
        <w:tc>
          <w:tcPr>
            <w:tcW w:w="108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690"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1月28日</w:t>
            </w:r>
          </w:p>
        </w:tc>
        <w:tc>
          <w:tcPr>
            <w:tcW w:w="111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w:t>
            </w:r>
          </w:p>
        </w:tc>
        <w:tc>
          <w:tcPr>
            <w:tcW w:w="90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0.04</w:t>
            </w:r>
          </w:p>
        </w:tc>
        <w:tc>
          <w:tcPr>
            <w:tcW w:w="108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690"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1月29日</w:t>
            </w:r>
          </w:p>
        </w:tc>
        <w:tc>
          <w:tcPr>
            <w:tcW w:w="111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0.03</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0.05</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w:t>
            </w:r>
          </w:p>
        </w:tc>
        <w:tc>
          <w:tcPr>
            <w:tcW w:w="90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w:t>
            </w:r>
          </w:p>
        </w:tc>
        <w:tc>
          <w:tcPr>
            <w:tcW w:w="108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690"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1月30日</w:t>
            </w:r>
          </w:p>
        </w:tc>
        <w:tc>
          <w:tcPr>
            <w:tcW w:w="111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0.06</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0.04</w:t>
            </w:r>
          </w:p>
        </w:tc>
        <w:tc>
          <w:tcPr>
            <w:tcW w:w="90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w:t>
            </w:r>
          </w:p>
        </w:tc>
        <w:tc>
          <w:tcPr>
            <w:tcW w:w="108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690"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9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1月31日</w:t>
            </w:r>
          </w:p>
        </w:tc>
        <w:tc>
          <w:tcPr>
            <w:tcW w:w="111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0.03</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0.03</w:t>
            </w:r>
          </w:p>
        </w:tc>
        <w:tc>
          <w:tcPr>
            <w:tcW w:w="90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0.05</w:t>
            </w:r>
          </w:p>
        </w:tc>
        <w:tc>
          <w:tcPr>
            <w:tcW w:w="108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690"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2月1日</w:t>
            </w:r>
          </w:p>
        </w:tc>
        <w:tc>
          <w:tcPr>
            <w:tcW w:w="111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0.05</w:t>
            </w:r>
          </w:p>
        </w:tc>
        <w:tc>
          <w:tcPr>
            <w:tcW w:w="90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0.06</w:t>
            </w:r>
          </w:p>
        </w:tc>
        <w:tc>
          <w:tcPr>
            <w:tcW w:w="108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690"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1#项目地外西南侧</w:t>
            </w:r>
          </w:p>
        </w:tc>
        <w:tc>
          <w:tcPr>
            <w:tcW w:w="117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1月26日</w:t>
            </w:r>
          </w:p>
        </w:tc>
        <w:tc>
          <w:tcPr>
            <w:tcW w:w="1110"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硫化氢</w:t>
            </w: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未检出</w:t>
            </w: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90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0.001</w:t>
            </w:r>
          </w:p>
        </w:tc>
        <w:tc>
          <w:tcPr>
            <w:tcW w:w="909"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0.001</w:t>
            </w:r>
          </w:p>
        </w:tc>
        <w:tc>
          <w:tcPr>
            <w:tcW w:w="1080" w:type="dxa"/>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10</w:t>
            </w:r>
          </w:p>
        </w:tc>
        <w:tc>
          <w:tcPr>
            <w:tcW w:w="690" w:type="dxa"/>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1月27日</w:t>
            </w:r>
          </w:p>
        </w:tc>
        <w:tc>
          <w:tcPr>
            <w:tcW w:w="111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0.001</w:t>
            </w:r>
          </w:p>
        </w:tc>
        <w:tc>
          <w:tcPr>
            <w:tcW w:w="90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0.001</w:t>
            </w: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909"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0.002</w:t>
            </w:r>
          </w:p>
        </w:tc>
        <w:tc>
          <w:tcPr>
            <w:tcW w:w="1080" w:type="dxa"/>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c>
          <w:tcPr>
            <w:tcW w:w="690" w:type="dxa"/>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1月28日</w:t>
            </w:r>
          </w:p>
        </w:tc>
        <w:tc>
          <w:tcPr>
            <w:tcW w:w="111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kern w:val="2"/>
                <w:sz w:val="21"/>
                <w:vertAlign w:val="baseline"/>
                <w:lang w:val="en-US" w:eastAsia="zh-CN"/>
              </w:rPr>
              <w:t>0.002</w:t>
            </w: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909"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0.001</w:t>
            </w:r>
          </w:p>
        </w:tc>
        <w:tc>
          <w:tcPr>
            <w:tcW w:w="1080" w:type="dxa"/>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c>
          <w:tcPr>
            <w:tcW w:w="690" w:type="dxa"/>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1月29日</w:t>
            </w:r>
          </w:p>
        </w:tc>
        <w:tc>
          <w:tcPr>
            <w:tcW w:w="111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0.002</w:t>
            </w: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kern w:val="2"/>
                <w:sz w:val="21"/>
                <w:vertAlign w:val="baseline"/>
                <w:lang w:val="en-US" w:eastAsia="zh-CN"/>
              </w:rPr>
              <w:t>0.002</w:t>
            </w:r>
          </w:p>
        </w:tc>
        <w:tc>
          <w:tcPr>
            <w:tcW w:w="90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1080" w:type="dxa"/>
            <w:vMerge w:val="continue"/>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p>
        </w:tc>
        <w:tc>
          <w:tcPr>
            <w:tcW w:w="690" w:type="dxa"/>
            <w:vMerge w:val="continue"/>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1月30日</w:t>
            </w:r>
          </w:p>
        </w:tc>
        <w:tc>
          <w:tcPr>
            <w:tcW w:w="111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90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kern w:val="2"/>
                <w:sz w:val="21"/>
                <w:vertAlign w:val="baseline"/>
                <w:lang w:val="en-US" w:eastAsia="zh-CN"/>
              </w:rPr>
              <w:t>0.001</w:t>
            </w:r>
          </w:p>
        </w:tc>
        <w:tc>
          <w:tcPr>
            <w:tcW w:w="1080" w:type="dxa"/>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c>
          <w:tcPr>
            <w:tcW w:w="690" w:type="dxa"/>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1月31日</w:t>
            </w:r>
          </w:p>
        </w:tc>
        <w:tc>
          <w:tcPr>
            <w:tcW w:w="111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90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0.001</w:t>
            </w: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90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1080" w:type="dxa"/>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c>
          <w:tcPr>
            <w:tcW w:w="690" w:type="dxa"/>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2月1日</w:t>
            </w:r>
          </w:p>
        </w:tc>
        <w:tc>
          <w:tcPr>
            <w:tcW w:w="111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0.002</w:t>
            </w: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90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未检出</w:t>
            </w:r>
          </w:p>
        </w:tc>
        <w:tc>
          <w:tcPr>
            <w:tcW w:w="90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0.001</w:t>
            </w:r>
          </w:p>
        </w:tc>
        <w:tc>
          <w:tcPr>
            <w:tcW w:w="108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690" w:type="dxa"/>
            <w:vMerge w:val="continue"/>
            <w:tcBorders>
              <w:tl2br w:val="nil"/>
              <w:tr2bl w:val="nil"/>
            </w:tcBorders>
            <w:vAlign w:val="center"/>
          </w:tcPr>
          <w:p>
            <w:pPr>
              <w:pStyle w:val="30"/>
              <w:widowControl w:val="0"/>
              <w:jc w:val="center"/>
              <w:rPr>
                <w:rFonts w:hint="default"/>
                <w:vertAlign w:val="baseline"/>
                <w:lang w:val="en-US" w:eastAsia="zh-CN"/>
              </w:rPr>
            </w:pPr>
          </w:p>
        </w:tc>
      </w:tr>
    </w:tbl>
    <w:p>
      <w:pPr>
        <w:bidi w:val="0"/>
        <w:rPr>
          <w:rFonts w:hint="default"/>
          <w:lang w:val="en-US" w:eastAsia="zh-CN"/>
        </w:rPr>
      </w:pPr>
      <w:r>
        <w:rPr>
          <w:rFonts w:hint="eastAsia"/>
          <w:lang w:val="en-US" w:eastAsia="zh-CN"/>
        </w:rPr>
        <w:t>（6）评价结果</w:t>
      </w:r>
    </w:p>
    <w:p>
      <w:pPr>
        <w:bidi w:val="0"/>
        <w:rPr>
          <w:rFonts w:hint="eastAsia"/>
          <w:lang w:val="en-US" w:eastAsia="zh-CN"/>
        </w:rPr>
      </w:pPr>
      <w:r>
        <w:rPr>
          <w:rFonts w:hint="eastAsia"/>
        </w:rPr>
        <w:t>由上表可见，项目所在区域硫化氢、氨监测值均无超标现象，满足《环境影响评价技术导则大气环境》（HJ2.2—2018）附录D中标准要求，项目评价区域内空气环境质量良好。</w:t>
      </w:r>
    </w:p>
    <w:p>
      <w:pPr>
        <w:pStyle w:val="5"/>
        <w:bidi w:val="0"/>
        <w:rPr>
          <w:rFonts w:hint="default"/>
          <w:lang w:val="en-US" w:eastAsia="zh-CN"/>
        </w:rPr>
      </w:pPr>
      <w:r>
        <w:rPr>
          <w:rFonts w:hint="eastAsia"/>
          <w:lang w:val="en-US" w:eastAsia="zh-CN"/>
        </w:rPr>
        <w:t>地表水环境质量现状监测及评价</w:t>
      </w:r>
    </w:p>
    <w:p>
      <w:pPr>
        <w:pStyle w:val="6"/>
        <w:bidi w:val="0"/>
        <w:rPr>
          <w:rFonts w:hint="eastAsia" w:eastAsia="宋体"/>
          <w:lang w:val="en-US" w:eastAsia="zh-CN"/>
        </w:rPr>
      </w:pPr>
      <w:r>
        <w:rPr>
          <w:rFonts w:hint="eastAsia"/>
          <w:lang w:val="en-US" w:eastAsia="zh-CN"/>
        </w:rPr>
        <w:t>根据</w:t>
      </w:r>
      <w:r>
        <w:t>平昌县环境质量状况公报</w:t>
      </w:r>
      <w:r>
        <w:rPr>
          <w:rFonts w:hint="eastAsia"/>
          <w:lang w:val="en-US" w:eastAsia="zh-CN"/>
        </w:rPr>
        <w:t>分析</w:t>
      </w:r>
    </w:p>
    <w:p>
      <w:pPr>
        <w:rPr>
          <w:rFonts w:hint="eastAsia"/>
          <w:lang w:val="en-US" w:eastAsia="zh-CN"/>
        </w:rPr>
      </w:pPr>
      <w:r>
        <w:rPr>
          <w:rFonts w:hint="eastAsia"/>
        </w:rPr>
        <w:t>本项目位于</w:t>
      </w:r>
      <w:r>
        <w:rPr>
          <w:rFonts w:hint="eastAsia"/>
          <w:lang w:val="en-US" w:eastAsia="zh-CN"/>
        </w:rPr>
        <w:t>平昌县响滩镇石泉村</w:t>
      </w:r>
      <w:r>
        <w:rPr>
          <w:rFonts w:hint="eastAsia"/>
        </w:rPr>
        <w:t>，</w:t>
      </w:r>
      <w:r>
        <w:rPr>
          <w:rFonts w:hint="eastAsia"/>
          <w:lang w:val="en-US" w:eastAsia="zh-CN"/>
        </w:rPr>
        <w:t>附近地表水体是濛溪河，</w:t>
      </w:r>
      <w:r>
        <w:rPr>
          <w:rFonts w:hint="eastAsia"/>
        </w:rPr>
        <w:t>项目营运期产生的生产废水</w:t>
      </w:r>
      <w:r>
        <w:rPr>
          <w:rFonts w:hint="eastAsia"/>
          <w:lang w:val="en-US" w:eastAsia="zh-CN"/>
        </w:rPr>
        <w:t>经厂内自建污水处理站处理后一部分回用于进出车辆冲洗、地面冲洗、待宰圈冲洗和洗涤塔补水等，剩余部分用于农田灌溉，不外排</w:t>
      </w:r>
      <w:r>
        <w:rPr>
          <w:rFonts w:hint="eastAsia"/>
        </w:rPr>
        <w:t>。</w:t>
      </w:r>
      <w:r>
        <w:t>根据《建设项目环境影响报告表编制技术指南（污染影响类）（试行）》中有关地下水环境质量现状调查的规定，应引用与建设项目距离近的有效数据，包括近3年的规划环境影响评价的监测数据，所在流域控制单元内国家、地方控制断面监测数据，生态环境主管部门发布的水环境质量数据或地表水达标情况的结论。因此，本次评价选用巴中市平昌生态环境局公布的《平昌县环境质量状况公报（2020年度）》结论进行评价。</w:t>
      </w:r>
    </w:p>
    <w:p>
      <w:pPr>
        <w:ind w:firstLine="0"/>
      </w:pPr>
      <w:r>
        <w:t>根据《平昌县环境质量状况公报（2020年度）》，平昌县域5个地表水断面水质总体评价均为Ⅱ类，达标率100%；全县布设的25条（河长制）重要河流监测断面水质除四季度曾家沟水质为Ⅴ类、洗脚溪桥水质为Ⅳ类，其余断面各季度水质均达到或优于Ⅲ类标准；9个重要水功能区断面中除鸭子滩二季度水质为Ⅲ类（水质目标为Ⅱ类）外，其余功能区各季度水质均达到相应水质目标。因此，平昌县区域地表水环境质量状况较好</w:t>
      </w:r>
      <w:r>
        <w:rPr>
          <w:rFonts w:hint="default"/>
          <w:lang w:val="en-US" w:eastAsia="zh-CN"/>
        </w:rPr>
        <w:t>。</w:t>
      </w:r>
    </w:p>
    <w:p>
      <w:pPr>
        <w:pStyle w:val="6"/>
        <w:bidi w:val="0"/>
        <w:rPr>
          <w:rFonts w:hint="default"/>
          <w:lang w:val="en-US" w:eastAsia="zh-CN"/>
        </w:rPr>
      </w:pPr>
      <w:r>
        <w:rPr>
          <w:rFonts w:hint="eastAsia"/>
          <w:lang w:val="en-US" w:eastAsia="zh-CN"/>
        </w:rPr>
        <w:t>现状监测分析</w:t>
      </w:r>
    </w:p>
    <w:p>
      <w:pPr>
        <w:rPr>
          <w:rFonts w:hint="eastAsia"/>
          <w:lang w:val="en-US" w:eastAsia="zh-CN"/>
        </w:rPr>
      </w:pPr>
      <w:r>
        <w:rPr>
          <w:rFonts w:hint="eastAsia"/>
        </w:rPr>
        <w:t>本项目位于</w:t>
      </w:r>
      <w:r>
        <w:rPr>
          <w:rFonts w:hint="eastAsia"/>
          <w:lang w:val="en-US" w:eastAsia="zh-CN"/>
        </w:rPr>
        <w:t>平昌县响滩镇石泉村</w:t>
      </w:r>
      <w:r>
        <w:rPr>
          <w:rFonts w:hint="eastAsia"/>
        </w:rPr>
        <w:t>，</w:t>
      </w:r>
      <w:r>
        <w:rPr>
          <w:rFonts w:hint="eastAsia"/>
          <w:lang w:val="en-US" w:eastAsia="zh-CN"/>
        </w:rPr>
        <w:t>附近地表水体是磴子河，</w:t>
      </w:r>
      <w:r>
        <w:rPr>
          <w:rFonts w:hint="eastAsia"/>
        </w:rPr>
        <w:t>项目营运期产生的生产废水</w:t>
      </w:r>
      <w:r>
        <w:rPr>
          <w:rFonts w:hint="eastAsia"/>
          <w:lang w:val="en-US" w:eastAsia="zh-CN"/>
        </w:rPr>
        <w:t>与生活污水经内自建污水处理站处理后一部分回用于进出车辆冲洗、地面冲洗、待宰圈冲洗和洗涤塔补水等，剩余部分用于农田灌溉，不外排</w:t>
      </w:r>
      <w:r>
        <w:rPr>
          <w:rFonts w:hint="eastAsia"/>
        </w:rPr>
        <w:t>。</w:t>
      </w:r>
      <w:r>
        <w:rPr>
          <w:rFonts w:hint="eastAsia"/>
          <w:lang w:val="en-US" w:eastAsia="zh-CN"/>
        </w:rPr>
        <w:t>本次评价委托四川锡水金山环保科技有限公司</w:t>
      </w:r>
      <w:r>
        <w:rPr>
          <w:rFonts w:hint="eastAsia"/>
        </w:rPr>
        <w:t>于</w:t>
      </w:r>
      <w:r>
        <w:rPr>
          <w:rFonts w:hint="eastAsia"/>
          <w:lang w:val="en-US" w:eastAsia="zh-CN"/>
        </w:rPr>
        <w:t>2021年10月20日-10月22日对</w:t>
      </w:r>
      <w:r>
        <w:rPr>
          <w:rFonts w:hint="eastAsia"/>
        </w:rPr>
        <w:t>本项目评价区内的地</w:t>
      </w:r>
      <w:r>
        <w:rPr>
          <w:rFonts w:hint="eastAsia"/>
          <w:lang w:val="en-US" w:eastAsia="zh-CN"/>
        </w:rPr>
        <w:t>表水</w:t>
      </w:r>
      <w:r>
        <w:rPr>
          <w:rFonts w:hint="eastAsia"/>
        </w:rPr>
        <w:t>环境质量现状进行了监测。</w:t>
      </w:r>
    </w:p>
    <w:p>
      <w:pPr>
        <w:ind w:firstLine="0"/>
        <w:rPr>
          <w:rFonts w:hint="default"/>
          <w:lang w:val="en-US" w:eastAsia="zh-CN"/>
        </w:rPr>
      </w:pPr>
      <w:r>
        <w:rPr>
          <w:rFonts w:hint="eastAsia"/>
          <w:lang w:val="en-US" w:eastAsia="zh-CN"/>
        </w:rPr>
        <w:t>（1）监测内容及频次</w:t>
      </w:r>
    </w:p>
    <w:p>
      <w:pPr>
        <w:pStyle w:val="29"/>
        <w:bidi w:val="0"/>
        <w:rPr>
          <w:rFonts w:hint="eastAsia"/>
          <w:lang w:val="en-US" w:eastAsia="zh-CN"/>
        </w:rPr>
      </w:pPr>
      <w:r>
        <w:rPr>
          <w:rFonts w:hint="eastAsia"/>
          <w:lang w:val="en-US" w:eastAsia="zh-CN"/>
        </w:rPr>
        <w:t>表4.2-8  地表水监测内容及频次</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2684"/>
        <w:gridCol w:w="900"/>
        <w:gridCol w:w="3766"/>
        <w:gridCol w:w="630"/>
        <w:gridCol w:w="7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9"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类别</w:t>
            </w:r>
          </w:p>
        </w:tc>
        <w:tc>
          <w:tcPr>
            <w:tcW w:w="2684"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监测点位</w:t>
            </w:r>
          </w:p>
        </w:tc>
        <w:tc>
          <w:tcPr>
            <w:tcW w:w="900"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点位数</w:t>
            </w:r>
          </w:p>
        </w:tc>
        <w:tc>
          <w:tcPr>
            <w:tcW w:w="3766"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监测项目</w:t>
            </w:r>
          </w:p>
        </w:tc>
        <w:tc>
          <w:tcPr>
            <w:tcW w:w="1413" w:type="dxa"/>
            <w:gridSpan w:val="2"/>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9"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2684"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900"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3766"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63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天</w:t>
            </w:r>
          </w:p>
        </w:tc>
        <w:tc>
          <w:tcPr>
            <w:tcW w:w="783"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地表水</w:t>
            </w:r>
          </w:p>
        </w:tc>
        <w:tc>
          <w:tcPr>
            <w:tcW w:w="2684" w:type="dxa"/>
            <w:tcBorders>
              <w:tl2br w:val="nil"/>
              <w:tr2bl w:val="nil"/>
            </w:tcBorders>
            <w:vAlign w:val="center"/>
          </w:tcPr>
          <w:p>
            <w:pPr>
              <w:pStyle w:val="30"/>
              <w:widowControl w:val="0"/>
              <w:jc w:val="center"/>
              <w:rPr>
                <w:rFonts w:hint="eastAsia"/>
                <w:lang w:val="en-US" w:eastAsia="zh-CN"/>
              </w:rPr>
            </w:pPr>
            <w:r>
              <w:rPr>
                <w:rFonts w:hint="eastAsia"/>
                <w:lang w:val="en-US" w:eastAsia="zh-CN"/>
              </w:rPr>
              <w:t>1#拟建项目上游500m</w:t>
            </w:r>
          </w:p>
          <w:p>
            <w:pPr>
              <w:pStyle w:val="30"/>
              <w:widowControl w:val="0"/>
              <w:jc w:val="center"/>
              <w:rPr>
                <w:rFonts w:hint="eastAsia"/>
                <w:lang w:val="en-US" w:eastAsia="zh-CN"/>
              </w:rPr>
            </w:pPr>
            <w:r>
              <w:rPr>
                <w:rFonts w:hint="eastAsia"/>
                <w:lang w:val="en-US" w:eastAsia="zh-CN"/>
              </w:rPr>
              <w:t>2#拟建项目下游1000m</w:t>
            </w:r>
          </w:p>
          <w:p>
            <w:pPr>
              <w:pStyle w:val="30"/>
              <w:widowControl w:val="0"/>
              <w:jc w:val="center"/>
              <w:rPr>
                <w:rFonts w:hint="default"/>
                <w:lang w:val="en-US" w:eastAsia="zh-CN"/>
              </w:rPr>
            </w:pPr>
            <w:r>
              <w:rPr>
                <w:rFonts w:hint="eastAsia"/>
                <w:lang w:val="en-US" w:eastAsia="zh-CN"/>
              </w:rPr>
              <w:t>3#拟建项目下游3000m</w:t>
            </w:r>
          </w:p>
        </w:tc>
        <w:tc>
          <w:tcPr>
            <w:tcW w:w="90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w:t>
            </w:r>
          </w:p>
        </w:tc>
        <w:tc>
          <w:tcPr>
            <w:tcW w:w="3766"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pH、水温、溶解氧、悬浮物、化学需氧量、五日生化需氧量、氨氮、总磷、总氮、粪大肠菌群、挥发酚</w:t>
            </w:r>
          </w:p>
        </w:tc>
        <w:tc>
          <w:tcPr>
            <w:tcW w:w="63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w:t>
            </w:r>
          </w:p>
        </w:tc>
        <w:tc>
          <w:tcPr>
            <w:tcW w:w="78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r>
    </w:tbl>
    <w:p>
      <w:pPr>
        <w:bidi w:val="0"/>
        <w:rPr>
          <w:rFonts w:hint="default"/>
          <w:lang w:val="en-US" w:eastAsia="zh-CN"/>
        </w:rPr>
      </w:pPr>
      <w:r>
        <w:rPr>
          <w:rFonts w:hint="eastAsia"/>
          <w:lang w:val="en-US" w:eastAsia="zh-CN"/>
        </w:rPr>
        <w:t>（2）采样方法及仪器</w:t>
      </w:r>
    </w:p>
    <w:p>
      <w:pPr>
        <w:pStyle w:val="29"/>
        <w:bidi w:val="0"/>
        <w:rPr>
          <w:rFonts w:hint="eastAsia"/>
          <w:lang w:val="en-US" w:eastAsia="zh-CN"/>
        </w:rPr>
      </w:pPr>
      <w:r>
        <w:rPr>
          <w:rFonts w:hint="eastAsia"/>
          <w:lang w:val="en-US" w:eastAsia="zh-CN"/>
        </w:rPr>
        <w:t>表4.2-9  地表水采样方法依据及仪器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4440"/>
        <w:gridCol w:w="1857"/>
        <w:gridCol w:w="2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类别</w:t>
            </w:r>
          </w:p>
        </w:tc>
        <w:tc>
          <w:tcPr>
            <w:tcW w:w="444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采样方法及依据</w:t>
            </w:r>
          </w:p>
        </w:tc>
        <w:tc>
          <w:tcPr>
            <w:tcW w:w="1857"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所用仪器</w:t>
            </w:r>
          </w:p>
        </w:tc>
        <w:tc>
          <w:tcPr>
            <w:tcW w:w="2406"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仪器编号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地表水</w:t>
            </w:r>
          </w:p>
        </w:tc>
        <w:tc>
          <w:tcPr>
            <w:tcW w:w="444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地表水和污水监测技术规范 HJ/T 91-2002</w:t>
            </w:r>
          </w:p>
        </w:tc>
        <w:tc>
          <w:tcPr>
            <w:tcW w:w="185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取水器</w:t>
            </w:r>
          </w:p>
        </w:tc>
        <w:tc>
          <w:tcPr>
            <w:tcW w:w="240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bidi w:val="0"/>
        <w:rPr>
          <w:rFonts w:hint="default"/>
          <w:lang w:val="en-US" w:eastAsia="zh-CN"/>
        </w:rPr>
      </w:pPr>
      <w:r>
        <w:rPr>
          <w:rFonts w:hint="eastAsia"/>
          <w:lang w:val="en-US" w:eastAsia="zh-CN"/>
        </w:rPr>
        <w:t>（3）监测方法及仪器</w:t>
      </w:r>
    </w:p>
    <w:p>
      <w:pPr>
        <w:pStyle w:val="29"/>
        <w:bidi w:val="0"/>
        <w:rPr>
          <w:rFonts w:hint="default"/>
        </w:rPr>
      </w:pPr>
      <w:r>
        <w:rPr>
          <w:rFonts w:hint="eastAsia"/>
          <w:lang w:val="en-US" w:eastAsia="zh-CN"/>
        </w:rPr>
        <w:t>表4.2-10  监测项目、方法依据、仪器及检测限</w:t>
      </w:r>
    </w:p>
    <w:tbl>
      <w:tblPr>
        <w:tblStyle w:val="22"/>
        <w:tblW w:w="97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970"/>
        <w:gridCol w:w="1620"/>
        <w:gridCol w:w="3150"/>
        <w:gridCol w:w="1410"/>
        <w:gridCol w:w="1260"/>
        <w:gridCol w:w="13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90" w:hRule="atLeast"/>
          <w:tblHeader/>
          <w:jc w:val="center"/>
        </w:trPr>
        <w:tc>
          <w:tcPr>
            <w:tcW w:w="970" w:type="dxa"/>
            <w:noWrap w:val="0"/>
            <w:vAlign w:val="center"/>
          </w:tcPr>
          <w:p>
            <w:pPr>
              <w:pStyle w:val="30"/>
              <w:bidi w:val="0"/>
              <w:rPr>
                <w:rFonts w:hint="default"/>
                <w:b/>
                <w:bCs/>
              </w:rPr>
            </w:pPr>
            <w:r>
              <w:rPr>
                <w:rFonts w:hint="default"/>
                <w:b/>
                <w:bCs/>
              </w:rPr>
              <w:t>类别</w:t>
            </w:r>
          </w:p>
        </w:tc>
        <w:tc>
          <w:tcPr>
            <w:tcW w:w="1620" w:type="dxa"/>
            <w:noWrap w:val="0"/>
            <w:vAlign w:val="center"/>
          </w:tcPr>
          <w:p>
            <w:pPr>
              <w:pStyle w:val="30"/>
              <w:bidi w:val="0"/>
              <w:rPr>
                <w:rFonts w:hint="default"/>
                <w:b/>
                <w:bCs/>
              </w:rPr>
            </w:pPr>
            <w:r>
              <w:rPr>
                <w:rFonts w:hint="eastAsia"/>
                <w:b/>
                <w:bCs/>
                <w:lang w:eastAsia="zh-CN"/>
              </w:rPr>
              <w:t>监测</w:t>
            </w:r>
            <w:r>
              <w:rPr>
                <w:rFonts w:hint="default"/>
                <w:b/>
                <w:bCs/>
              </w:rPr>
              <w:t>项目</w:t>
            </w:r>
          </w:p>
        </w:tc>
        <w:tc>
          <w:tcPr>
            <w:tcW w:w="3150" w:type="dxa"/>
            <w:noWrap w:val="0"/>
            <w:vAlign w:val="center"/>
          </w:tcPr>
          <w:p>
            <w:pPr>
              <w:pStyle w:val="30"/>
              <w:bidi w:val="0"/>
              <w:rPr>
                <w:rFonts w:hint="default"/>
                <w:b/>
                <w:bCs/>
              </w:rPr>
            </w:pPr>
            <w:r>
              <w:rPr>
                <w:rFonts w:hint="eastAsia"/>
                <w:b/>
                <w:bCs/>
                <w:lang w:eastAsia="zh-CN"/>
              </w:rPr>
              <w:t>监测</w:t>
            </w:r>
            <w:r>
              <w:rPr>
                <w:rFonts w:hint="default"/>
                <w:b/>
                <w:bCs/>
              </w:rPr>
              <w:t>方法及依据</w:t>
            </w:r>
          </w:p>
        </w:tc>
        <w:tc>
          <w:tcPr>
            <w:tcW w:w="1410" w:type="dxa"/>
            <w:noWrap w:val="0"/>
            <w:vAlign w:val="center"/>
          </w:tcPr>
          <w:p>
            <w:pPr>
              <w:pStyle w:val="30"/>
              <w:bidi w:val="0"/>
              <w:rPr>
                <w:rFonts w:hint="default"/>
                <w:b/>
                <w:bCs/>
              </w:rPr>
            </w:pPr>
            <w:r>
              <w:rPr>
                <w:rFonts w:hint="default"/>
                <w:b/>
                <w:bCs/>
              </w:rPr>
              <w:t>所用仪器</w:t>
            </w:r>
          </w:p>
        </w:tc>
        <w:tc>
          <w:tcPr>
            <w:tcW w:w="1260" w:type="dxa"/>
            <w:noWrap w:val="0"/>
            <w:vAlign w:val="center"/>
          </w:tcPr>
          <w:p>
            <w:pPr>
              <w:pStyle w:val="30"/>
              <w:bidi w:val="0"/>
              <w:rPr>
                <w:rFonts w:hint="default"/>
                <w:b/>
                <w:bCs/>
              </w:rPr>
            </w:pPr>
            <w:r>
              <w:rPr>
                <w:rFonts w:hint="default"/>
                <w:b/>
                <w:bCs/>
              </w:rPr>
              <w:t>仪器编号</w:t>
            </w:r>
          </w:p>
        </w:tc>
        <w:tc>
          <w:tcPr>
            <w:tcW w:w="1341" w:type="dxa"/>
            <w:noWrap w:val="0"/>
            <w:vAlign w:val="center"/>
          </w:tcPr>
          <w:p>
            <w:pPr>
              <w:pStyle w:val="30"/>
              <w:bidi w:val="0"/>
              <w:rPr>
                <w:rFonts w:hint="default"/>
                <w:b/>
                <w:bCs/>
              </w:rPr>
            </w:pPr>
            <w:r>
              <w:rPr>
                <w:rFonts w:hint="default"/>
                <w:b/>
                <w:bCs/>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restart"/>
            <w:noWrap w:val="0"/>
            <w:vAlign w:val="center"/>
          </w:tcPr>
          <w:p>
            <w:pPr>
              <w:pStyle w:val="30"/>
              <w:bidi w:val="0"/>
              <w:rPr>
                <w:rFonts w:hint="default"/>
                <w:lang w:eastAsia="zh-CN"/>
              </w:rPr>
            </w:pPr>
            <w:r>
              <w:rPr>
                <w:rFonts w:hint="default"/>
                <w:lang w:eastAsia="zh-CN"/>
              </w:rPr>
              <w:t>地表水</w:t>
            </w:r>
            <w:r>
              <w:rPr>
                <w:rFonts w:hint="default"/>
              </w:rPr>
              <w:br w:type="page"/>
            </w:r>
            <w:r>
              <w:rPr>
                <w:rFonts w:hint="default"/>
                <w:lang w:eastAsia="zh-CN"/>
              </w:rPr>
              <w:br w:type="page"/>
            </w:r>
          </w:p>
        </w:tc>
        <w:tc>
          <w:tcPr>
            <w:tcW w:w="1620" w:type="dxa"/>
            <w:noWrap w:val="0"/>
            <w:vAlign w:val="center"/>
          </w:tcPr>
          <w:p>
            <w:pPr>
              <w:pStyle w:val="30"/>
              <w:bidi w:val="0"/>
              <w:rPr>
                <w:rFonts w:hint="default"/>
                <w:lang w:val="en-US" w:eastAsia="zh-CN"/>
              </w:rPr>
            </w:pPr>
            <w:r>
              <w:rPr>
                <w:rFonts w:hint="default"/>
              </w:rPr>
              <w:t>pH</w:t>
            </w:r>
          </w:p>
        </w:tc>
        <w:tc>
          <w:tcPr>
            <w:tcW w:w="3150" w:type="dxa"/>
            <w:noWrap w:val="0"/>
            <w:vAlign w:val="center"/>
          </w:tcPr>
          <w:p>
            <w:pPr>
              <w:pStyle w:val="30"/>
              <w:bidi w:val="0"/>
              <w:rPr>
                <w:rFonts w:hint="default"/>
                <w:lang w:val="en-US" w:eastAsia="zh-CN"/>
              </w:rPr>
            </w:pPr>
            <w:r>
              <w:rPr>
                <w:rFonts w:hint="default"/>
              </w:rPr>
              <w:t>便携式pH计法《水和废水监测分析方法》（第四版）国家环境保护总局（2002年）</w:t>
            </w:r>
          </w:p>
        </w:tc>
        <w:tc>
          <w:tcPr>
            <w:tcW w:w="1410" w:type="dxa"/>
            <w:vMerge w:val="restart"/>
            <w:noWrap w:val="0"/>
            <w:vAlign w:val="center"/>
          </w:tcPr>
          <w:p>
            <w:pPr>
              <w:pStyle w:val="30"/>
              <w:bidi w:val="0"/>
              <w:rPr>
                <w:rFonts w:hint="default"/>
                <w:lang w:val="en-US" w:eastAsia="zh-CN"/>
              </w:rPr>
            </w:pPr>
            <w:r>
              <w:rPr>
                <w:rFonts w:hint="default"/>
                <w:lang w:val="en-US" w:eastAsia="zh-CN"/>
              </w:rPr>
              <w:t>86031多参数测试仪</w:t>
            </w:r>
          </w:p>
        </w:tc>
        <w:tc>
          <w:tcPr>
            <w:tcW w:w="1260" w:type="dxa"/>
            <w:vMerge w:val="restart"/>
            <w:noWrap w:val="0"/>
            <w:vAlign w:val="center"/>
          </w:tcPr>
          <w:p>
            <w:pPr>
              <w:pStyle w:val="30"/>
              <w:bidi w:val="0"/>
              <w:rPr>
                <w:rFonts w:hint="default"/>
                <w:lang w:val="en-US" w:eastAsia="zh-CN"/>
              </w:rPr>
            </w:pPr>
            <w:r>
              <w:rPr>
                <w:rFonts w:hint="default"/>
                <w:lang w:val="en-US" w:eastAsia="zh-CN"/>
              </w:rPr>
              <w:t>XSJS-100-02</w:t>
            </w:r>
          </w:p>
        </w:tc>
        <w:tc>
          <w:tcPr>
            <w:tcW w:w="1341" w:type="dxa"/>
            <w:noWrap w:val="0"/>
            <w:vAlign w:val="center"/>
          </w:tcPr>
          <w:p>
            <w:pPr>
              <w:pStyle w:val="30"/>
              <w:bidi w:val="0"/>
              <w:rPr>
                <w:rFonts w:hint="default"/>
                <w:lang w:val="en-US" w:eastAsia="zh-CN"/>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noWrap w:val="0"/>
            <w:vAlign w:val="center"/>
          </w:tcPr>
          <w:p>
            <w:pPr>
              <w:pStyle w:val="30"/>
              <w:bidi w:val="0"/>
              <w:rPr>
                <w:rFonts w:hint="default"/>
                <w:lang w:val="en-US" w:eastAsia="zh-CN"/>
              </w:rPr>
            </w:pPr>
          </w:p>
        </w:tc>
        <w:tc>
          <w:tcPr>
            <w:tcW w:w="1620" w:type="dxa"/>
            <w:noWrap w:val="0"/>
            <w:vAlign w:val="center"/>
          </w:tcPr>
          <w:p>
            <w:pPr>
              <w:pStyle w:val="30"/>
              <w:bidi w:val="0"/>
              <w:rPr>
                <w:rFonts w:hint="default"/>
              </w:rPr>
            </w:pPr>
            <w:r>
              <w:rPr>
                <w:rFonts w:hint="default"/>
                <w:lang w:val="en-US" w:eastAsia="zh-CN"/>
              </w:rPr>
              <w:t>水温</w:t>
            </w:r>
          </w:p>
        </w:tc>
        <w:tc>
          <w:tcPr>
            <w:tcW w:w="3150" w:type="dxa"/>
            <w:noWrap w:val="0"/>
            <w:vAlign w:val="center"/>
          </w:tcPr>
          <w:p>
            <w:pPr>
              <w:pStyle w:val="30"/>
              <w:bidi w:val="0"/>
              <w:rPr>
                <w:rFonts w:hint="default"/>
              </w:rPr>
            </w:pPr>
            <w:r>
              <w:rPr>
                <w:rFonts w:hint="default"/>
                <w:lang w:val="en-US" w:eastAsia="zh-CN"/>
              </w:rPr>
              <w:t>水质 水温的测定 温度计或颠倒温度计测定法 GB 13195-1991</w:t>
            </w:r>
          </w:p>
        </w:tc>
        <w:tc>
          <w:tcPr>
            <w:tcW w:w="1410" w:type="dxa"/>
            <w:vMerge w:val="continue"/>
            <w:noWrap w:val="0"/>
            <w:vAlign w:val="center"/>
          </w:tcPr>
          <w:p>
            <w:pPr>
              <w:pStyle w:val="30"/>
              <w:bidi w:val="0"/>
              <w:rPr>
                <w:rFonts w:hint="default"/>
                <w:lang w:val="en-US" w:eastAsia="zh-CN"/>
              </w:rPr>
            </w:pPr>
          </w:p>
        </w:tc>
        <w:tc>
          <w:tcPr>
            <w:tcW w:w="1260" w:type="dxa"/>
            <w:vMerge w:val="continue"/>
            <w:noWrap w:val="0"/>
            <w:vAlign w:val="center"/>
          </w:tcPr>
          <w:p>
            <w:pPr>
              <w:pStyle w:val="30"/>
              <w:bidi w:val="0"/>
              <w:rPr>
                <w:rFonts w:hint="default"/>
                <w:lang w:val="en-US" w:eastAsia="zh-CN"/>
              </w:rPr>
            </w:pPr>
          </w:p>
        </w:tc>
        <w:tc>
          <w:tcPr>
            <w:tcW w:w="1341" w:type="dxa"/>
            <w:noWrap w:val="0"/>
            <w:vAlign w:val="center"/>
          </w:tcPr>
          <w:p>
            <w:pPr>
              <w:pStyle w:val="30"/>
              <w:bidi w:val="0"/>
              <w:rPr>
                <w:rFonts w:hint="default"/>
              </w:rPr>
            </w:pPr>
            <w:r>
              <w:rPr>
                <w:rFonts w:hint="default"/>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noWrap w:val="0"/>
            <w:vAlign w:val="center"/>
          </w:tcPr>
          <w:p>
            <w:pPr>
              <w:pStyle w:val="30"/>
              <w:bidi w:val="0"/>
              <w:rPr>
                <w:rFonts w:hint="default"/>
                <w:lang w:eastAsia="zh-CN"/>
              </w:rPr>
            </w:pPr>
          </w:p>
        </w:tc>
        <w:tc>
          <w:tcPr>
            <w:tcW w:w="1620" w:type="dxa"/>
            <w:noWrap w:val="0"/>
            <w:vAlign w:val="center"/>
          </w:tcPr>
          <w:p>
            <w:pPr>
              <w:pStyle w:val="30"/>
              <w:bidi w:val="0"/>
              <w:rPr>
                <w:rFonts w:hint="default"/>
              </w:rPr>
            </w:pPr>
            <w:r>
              <w:rPr>
                <w:rFonts w:hint="default"/>
                <w:lang w:val="en-US" w:eastAsia="zh-CN"/>
              </w:rPr>
              <w:t>溶解氧</w:t>
            </w:r>
          </w:p>
        </w:tc>
        <w:tc>
          <w:tcPr>
            <w:tcW w:w="3150" w:type="dxa"/>
            <w:noWrap w:val="0"/>
            <w:vAlign w:val="center"/>
          </w:tcPr>
          <w:p>
            <w:pPr>
              <w:pStyle w:val="30"/>
              <w:bidi w:val="0"/>
              <w:rPr>
                <w:rFonts w:hint="default"/>
              </w:rPr>
            </w:pPr>
            <w:r>
              <w:rPr>
                <w:rFonts w:hint="default"/>
                <w:lang w:val="en-US" w:eastAsia="zh-CN"/>
              </w:rPr>
              <w:t>水质 溶解氧的测定 电化学探头法 HJ 506-2009</w:t>
            </w:r>
          </w:p>
        </w:tc>
        <w:tc>
          <w:tcPr>
            <w:tcW w:w="1410" w:type="dxa"/>
            <w:vMerge w:val="continue"/>
            <w:noWrap w:val="0"/>
            <w:vAlign w:val="center"/>
          </w:tcPr>
          <w:p>
            <w:pPr>
              <w:pStyle w:val="30"/>
              <w:bidi w:val="0"/>
              <w:rPr>
                <w:rFonts w:hint="default"/>
                <w:lang w:val="en-US" w:eastAsia="zh-CN"/>
              </w:rPr>
            </w:pPr>
          </w:p>
        </w:tc>
        <w:tc>
          <w:tcPr>
            <w:tcW w:w="1260" w:type="dxa"/>
            <w:vMerge w:val="continue"/>
            <w:noWrap w:val="0"/>
            <w:vAlign w:val="center"/>
          </w:tcPr>
          <w:p>
            <w:pPr>
              <w:pStyle w:val="30"/>
              <w:bidi w:val="0"/>
              <w:rPr>
                <w:rFonts w:hint="default"/>
                <w:lang w:val="en-US" w:eastAsia="zh-CN"/>
              </w:rPr>
            </w:pPr>
          </w:p>
        </w:tc>
        <w:tc>
          <w:tcPr>
            <w:tcW w:w="1341" w:type="dxa"/>
            <w:noWrap w:val="0"/>
            <w:vAlign w:val="center"/>
          </w:tcPr>
          <w:p>
            <w:pPr>
              <w:pStyle w:val="30"/>
              <w:bidi w:val="0"/>
              <w:rPr>
                <w:rFonts w:hint="default"/>
              </w:rPr>
            </w:pPr>
            <w:r>
              <w:rPr>
                <w:rFonts w:hint="default"/>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noWrap w:val="0"/>
            <w:vAlign w:val="center"/>
          </w:tcPr>
          <w:p>
            <w:pPr>
              <w:pStyle w:val="30"/>
              <w:bidi w:val="0"/>
              <w:rPr>
                <w:rFonts w:hint="default"/>
                <w:lang w:eastAsia="zh-CN"/>
              </w:rPr>
            </w:pPr>
          </w:p>
        </w:tc>
        <w:tc>
          <w:tcPr>
            <w:tcW w:w="1620" w:type="dxa"/>
            <w:noWrap w:val="0"/>
            <w:vAlign w:val="center"/>
          </w:tcPr>
          <w:p>
            <w:pPr>
              <w:pStyle w:val="30"/>
              <w:bidi w:val="0"/>
              <w:rPr>
                <w:rFonts w:hint="default"/>
                <w:lang w:val="en-US" w:eastAsia="zh-CN"/>
              </w:rPr>
            </w:pPr>
            <w:r>
              <w:rPr>
                <w:rFonts w:hint="default"/>
                <w:lang w:val="en-US" w:eastAsia="zh-CN"/>
              </w:rPr>
              <w:t>悬浮物</w:t>
            </w:r>
          </w:p>
        </w:tc>
        <w:tc>
          <w:tcPr>
            <w:tcW w:w="3150" w:type="dxa"/>
            <w:noWrap w:val="0"/>
            <w:vAlign w:val="center"/>
          </w:tcPr>
          <w:p>
            <w:pPr>
              <w:pStyle w:val="30"/>
              <w:bidi w:val="0"/>
              <w:rPr>
                <w:rFonts w:hint="default"/>
                <w:lang w:val="en-US" w:eastAsia="zh-CN"/>
              </w:rPr>
            </w:pPr>
            <w:r>
              <w:rPr>
                <w:rFonts w:hint="default"/>
                <w:lang w:val="en-US" w:eastAsia="zh-CN"/>
              </w:rPr>
              <w:t>水质 悬浮物的测定 重量法</w:t>
            </w:r>
          </w:p>
          <w:p>
            <w:pPr>
              <w:pStyle w:val="30"/>
              <w:bidi w:val="0"/>
              <w:rPr>
                <w:rFonts w:hint="default"/>
                <w:lang w:val="en-US" w:eastAsia="zh-CN"/>
              </w:rPr>
            </w:pPr>
            <w:r>
              <w:rPr>
                <w:rFonts w:hint="default"/>
                <w:lang w:val="en-US" w:eastAsia="zh-CN"/>
              </w:rPr>
              <w:t>GB 11901-89</w:t>
            </w:r>
          </w:p>
        </w:tc>
        <w:tc>
          <w:tcPr>
            <w:tcW w:w="1410" w:type="dxa"/>
            <w:noWrap w:val="0"/>
            <w:vAlign w:val="center"/>
          </w:tcPr>
          <w:p>
            <w:pPr>
              <w:pStyle w:val="30"/>
              <w:bidi w:val="0"/>
              <w:rPr>
                <w:rFonts w:hint="default"/>
                <w:lang w:val="en-US" w:eastAsia="zh-CN"/>
              </w:rPr>
            </w:pPr>
            <w:r>
              <w:rPr>
                <w:rFonts w:hint="default"/>
                <w:lang w:val="en-US" w:eastAsia="zh-CN"/>
              </w:rPr>
              <w:t>FA2004N型万分之一天平</w:t>
            </w:r>
          </w:p>
        </w:tc>
        <w:tc>
          <w:tcPr>
            <w:tcW w:w="1260" w:type="dxa"/>
            <w:noWrap w:val="0"/>
            <w:vAlign w:val="center"/>
          </w:tcPr>
          <w:p>
            <w:pPr>
              <w:pStyle w:val="30"/>
              <w:bidi w:val="0"/>
              <w:rPr>
                <w:rFonts w:hint="default"/>
                <w:lang w:val="en-US" w:eastAsia="zh-CN"/>
              </w:rPr>
            </w:pPr>
            <w:r>
              <w:rPr>
                <w:rFonts w:hint="default"/>
                <w:lang w:val="en-US" w:eastAsia="zh-CN"/>
              </w:rPr>
              <w:t>XSJS-024</w:t>
            </w:r>
          </w:p>
        </w:tc>
        <w:tc>
          <w:tcPr>
            <w:tcW w:w="1341" w:type="dxa"/>
            <w:noWrap w:val="0"/>
            <w:vAlign w:val="center"/>
          </w:tcPr>
          <w:p>
            <w:pPr>
              <w:pStyle w:val="30"/>
              <w:bidi w:val="0"/>
              <w:rPr>
                <w:rFonts w:hint="default"/>
                <w:lang w:val="en-US" w:eastAsia="zh-CN"/>
              </w:rPr>
            </w:pPr>
            <w:r>
              <w:rPr>
                <w:rFonts w:hint="default"/>
                <w:lang w:val="en-US" w:eastAsia="zh-CN"/>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noWrap w:val="0"/>
            <w:vAlign w:val="center"/>
          </w:tcPr>
          <w:p>
            <w:pPr>
              <w:pStyle w:val="30"/>
              <w:bidi w:val="0"/>
              <w:rPr>
                <w:rFonts w:hint="default"/>
                <w:lang w:eastAsia="zh-CN"/>
              </w:rPr>
            </w:pPr>
          </w:p>
        </w:tc>
        <w:tc>
          <w:tcPr>
            <w:tcW w:w="1620" w:type="dxa"/>
            <w:noWrap w:val="0"/>
            <w:vAlign w:val="center"/>
          </w:tcPr>
          <w:p>
            <w:pPr>
              <w:pStyle w:val="30"/>
              <w:bidi w:val="0"/>
              <w:rPr>
                <w:rFonts w:hint="default"/>
                <w:lang w:val="en-US" w:eastAsia="zh-CN"/>
              </w:rPr>
            </w:pPr>
            <w:r>
              <w:rPr>
                <w:rFonts w:hint="eastAsia"/>
                <w:lang w:val="en-US" w:eastAsia="zh-CN"/>
              </w:rPr>
              <w:t>粪</w:t>
            </w:r>
            <w:r>
              <w:rPr>
                <w:rFonts w:hint="default"/>
                <w:lang w:val="en-US" w:eastAsia="zh-CN"/>
              </w:rPr>
              <w:t>大肠菌群</w:t>
            </w:r>
          </w:p>
        </w:tc>
        <w:tc>
          <w:tcPr>
            <w:tcW w:w="3150" w:type="dxa"/>
            <w:noWrap w:val="0"/>
            <w:vAlign w:val="center"/>
          </w:tcPr>
          <w:p>
            <w:pPr>
              <w:pStyle w:val="30"/>
              <w:bidi w:val="0"/>
              <w:rPr>
                <w:rFonts w:hint="default"/>
                <w:lang w:val="en-US" w:eastAsia="zh-CN"/>
              </w:rPr>
            </w:pPr>
            <w:r>
              <w:rPr>
                <w:rFonts w:hint="default"/>
                <w:lang w:val="en-US" w:eastAsia="zh-CN"/>
              </w:rPr>
              <w:t>水质 总大肠菌群和粪大肠菌群的测定 纸片快速法 HJ 755-2015</w:t>
            </w:r>
          </w:p>
        </w:tc>
        <w:tc>
          <w:tcPr>
            <w:tcW w:w="1410" w:type="dxa"/>
            <w:noWrap w:val="0"/>
            <w:vAlign w:val="center"/>
          </w:tcPr>
          <w:p>
            <w:pPr>
              <w:pStyle w:val="30"/>
              <w:bidi w:val="0"/>
              <w:rPr>
                <w:rFonts w:hint="default"/>
                <w:lang w:val="en-US" w:eastAsia="zh-CN"/>
              </w:rPr>
            </w:pPr>
            <w:r>
              <w:rPr>
                <w:rFonts w:hint="default"/>
                <w:lang w:val="en-US" w:eastAsia="zh-CN"/>
              </w:rPr>
              <w:t>HPX-9082MBE电热恒温培养箱</w:t>
            </w:r>
          </w:p>
        </w:tc>
        <w:tc>
          <w:tcPr>
            <w:tcW w:w="1260" w:type="dxa"/>
            <w:noWrap w:val="0"/>
            <w:vAlign w:val="center"/>
          </w:tcPr>
          <w:p>
            <w:pPr>
              <w:pStyle w:val="30"/>
              <w:bidi w:val="0"/>
              <w:rPr>
                <w:rFonts w:hint="default"/>
                <w:lang w:val="en-US" w:eastAsia="zh-CN"/>
              </w:rPr>
            </w:pPr>
            <w:r>
              <w:rPr>
                <w:rFonts w:hint="default"/>
                <w:lang w:val="en-US" w:eastAsia="zh-CN"/>
              </w:rPr>
              <w:t>XSJS-082-01</w:t>
            </w:r>
          </w:p>
        </w:tc>
        <w:tc>
          <w:tcPr>
            <w:tcW w:w="1341" w:type="dxa"/>
            <w:noWrap w:val="0"/>
            <w:vAlign w:val="center"/>
          </w:tcPr>
          <w:p>
            <w:pPr>
              <w:pStyle w:val="30"/>
              <w:bidi w:val="0"/>
              <w:rPr>
                <w:rFonts w:hint="default"/>
                <w:lang w:val="en-US" w:eastAsia="zh-CN"/>
              </w:rPr>
            </w:pPr>
            <w:r>
              <w:rPr>
                <w:rFonts w:hint="default"/>
                <w:lang w:val="en-US" w:eastAsia="zh-CN"/>
              </w:rPr>
              <w:t>20MPN/L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noWrap w:val="0"/>
            <w:vAlign w:val="center"/>
          </w:tcPr>
          <w:p>
            <w:pPr>
              <w:pStyle w:val="30"/>
              <w:bidi w:val="0"/>
              <w:rPr>
                <w:rFonts w:hint="default"/>
              </w:rPr>
            </w:pPr>
          </w:p>
        </w:tc>
        <w:tc>
          <w:tcPr>
            <w:tcW w:w="1620" w:type="dxa"/>
            <w:noWrap w:val="0"/>
            <w:vAlign w:val="center"/>
          </w:tcPr>
          <w:p>
            <w:pPr>
              <w:pStyle w:val="30"/>
              <w:bidi w:val="0"/>
              <w:rPr>
                <w:rFonts w:hint="default"/>
                <w:lang w:val="en-US" w:eastAsia="zh-CN"/>
              </w:rPr>
            </w:pPr>
            <w:r>
              <w:rPr>
                <w:rFonts w:hint="default"/>
              </w:rPr>
              <w:t>化学需氧量</w:t>
            </w:r>
          </w:p>
        </w:tc>
        <w:tc>
          <w:tcPr>
            <w:tcW w:w="3150" w:type="dxa"/>
            <w:noWrap w:val="0"/>
            <w:vAlign w:val="center"/>
          </w:tcPr>
          <w:p>
            <w:pPr>
              <w:pStyle w:val="30"/>
              <w:bidi w:val="0"/>
              <w:rPr>
                <w:rFonts w:hint="default"/>
                <w:lang w:val="en-US" w:eastAsia="zh-CN"/>
              </w:rPr>
            </w:pPr>
            <w:r>
              <w:rPr>
                <w:rFonts w:hint="default"/>
              </w:rPr>
              <w:t>水质 化学需氧量的测定 重铬酸盐法 HJ 828-2017</w:t>
            </w:r>
          </w:p>
        </w:tc>
        <w:tc>
          <w:tcPr>
            <w:tcW w:w="1410" w:type="dxa"/>
            <w:noWrap w:val="0"/>
            <w:vAlign w:val="center"/>
          </w:tcPr>
          <w:p>
            <w:pPr>
              <w:pStyle w:val="30"/>
              <w:bidi w:val="0"/>
              <w:rPr>
                <w:rFonts w:hint="default"/>
                <w:lang w:val="en-US" w:eastAsia="zh-CN"/>
              </w:rPr>
            </w:pPr>
            <w:r>
              <w:rPr>
                <w:rFonts w:hint="default"/>
              </w:rPr>
              <w:t>/</w:t>
            </w:r>
          </w:p>
        </w:tc>
        <w:tc>
          <w:tcPr>
            <w:tcW w:w="1260" w:type="dxa"/>
            <w:noWrap w:val="0"/>
            <w:vAlign w:val="center"/>
          </w:tcPr>
          <w:p>
            <w:pPr>
              <w:pStyle w:val="30"/>
              <w:bidi w:val="0"/>
              <w:rPr>
                <w:rFonts w:hint="default"/>
                <w:lang w:val="en-US" w:eastAsia="zh-CN"/>
              </w:rPr>
            </w:pPr>
            <w:r>
              <w:rPr>
                <w:rFonts w:hint="default"/>
              </w:rPr>
              <w:t>/</w:t>
            </w:r>
          </w:p>
        </w:tc>
        <w:tc>
          <w:tcPr>
            <w:tcW w:w="1341" w:type="dxa"/>
            <w:noWrap w:val="0"/>
            <w:vAlign w:val="center"/>
          </w:tcPr>
          <w:p>
            <w:pPr>
              <w:pStyle w:val="30"/>
              <w:bidi w:val="0"/>
              <w:rPr>
                <w:rFonts w:hint="default"/>
                <w:lang w:val="en-US" w:eastAsia="zh-CN"/>
              </w:rPr>
            </w:pPr>
            <w:r>
              <w:rPr>
                <w:rFonts w:hint="default"/>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noWrap w:val="0"/>
            <w:vAlign w:val="center"/>
          </w:tcPr>
          <w:p>
            <w:pPr>
              <w:pStyle w:val="30"/>
              <w:bidi w:val="0"/>
              <w:rPr>
                <w:rFonts w:hint="default"/>
              </w:rPr>
            </w:pPr>
          </w:p>
        </w:tc>
        <w:tc>
          <w:tcPr>
            <w:tcW w:w="1620" w:type="dxa"/>
            <w:noWrap w:val="0"/>
            <w:vAlign w:val="center"/>
          </w:tcPr>
          <w:p>
            <w:pPr>
              <w:pStyle w:val="30"/>
              <w:bidi w:val="0"/>
              <w:rPr>
                <w:rFonts w:hint="default"/>
              </w:rPr>
            </w:pPr>
            <w:r>
              <w:rPr>
                <w:rFonts w:hint="default"/>
                <w:lang w:val="en-US" w:eastAsia="zh-CN"/>
              </w:rPr>
              <w:t>五日生化需氧量</w:t>
            </w:r>
          </w:p>
        </w:tc>
        <w:tc>
          <w:tcPr>
            <w:tcW w:w="3150" w:type="dxa"/>
            <w:noWrap w:val="0"/>
            <w:vAlign w:val="center"/>
          </w:tcPr>
          <w:p>
            <w:pPr>
              <w:pStyle w:val="30"/>
              <w:bidi w:val="0"/>
              <w:rPr>
                <w:rFonts w:hint="default"/>
              </w:rPr>
            </w:pPr>
            <w:r>
              <w:rPr>
                <w:rFonts w:hint="default"/>
                <w:lang w:val="en-US" w:eastAsia="zh-CN"/>
              </w:rPr>
              <w:t>水质 五日生化需氧量（BOD5）的测定 稀释与接种法 HJ 505-2009</w:t>
            </w:r>
          </w:p>
        </w:tc>
        <w:tc>
          <w:tcPr>
            <w:tcW w:w="1410" w:type="dxa"/>
            <w:noWrap w:val="0"/>
            <w:vAlign w:val="center"/>
          </w:tcPr>
          <w:p>
            <w:pPr>
              <w:pStyle w:val="30"/>
              <w:bidi w:val="0"/>
              <w:rPr>
                <w:rFonts w:hint="default"/>
              </w:rPr>
            </w:pPr>
            <w:r>
              <w:rPr>
                <w:rFonts w:hint="default"/>
                <w:lang w:val="en-US" w:eastAsia="zh-CN"/>
              </w:rPr>
              <w:t>SPX-80型生化培养箱</w:t>
            </w:r>
          </w:p>
        </w:tc>
        <w:tc>
          <w:tcPr>
            <w:tcW w:w="1260" w:type="dxa"/>
            <w:noWrap w:val="0"/>
            <w:vAlign w:val="center"/>
          </w:tcPr>
          <w:p>
            <w:pPr>
              <w:pStyle w:val="30"/>
              <w:bidi w:val="0"/>
              <w:rPr>
                <w:rFonts w:hint="default"/>
              </w:rPr>
            </w:pPr>
            <w:r>
              <w:rPr>
                <w:rFonts w:hint="default"/>
                <w:lang w:val="en-US" w:eastAsia="zh-CN"/>
              </w:rPr>
              <w:t>XSJS-062</w:t>
            </w:r>
          </w:p>
        </w:tc>
        <w:tc>
          <w:tcPr>
            <w:tcW w:w="1341" w:type="dxa"/>
            <w:noWrap w:val="0"/>
            <w:vAlign w:val="center"/>
          </w:tcPr>
          <w:p>
            <w:pPr>
              <w:pStyle w:val="30"/>
              <w:bidi w:val="0"/>
              <w:rPr>
                <w:rFonts w:hint="default"/>
              </w:rPr>
            </w:pPr>
            <w:r>
              <w:rPr>
                <w:rFonts w:hint="default"/>
                <w:lang w:val="en-US" w:eastAsia="zh-CN"/>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noWrap w:val="0"/>
            <w:vAlign w:val="center"/>
          </w:tcPr>
          <w:p>
            <w:pPr>
              <w:pStyle w:val="30"/>
              <w:bidi w:val="0"/>
              <w:rPr>
                <w:rFonts w:hint="default"/>
              </w:rPr>
            </w:pPr>
          </w:p>
        </w:tc>
        <w:tc>
          <w:tcPr>
            <w:tcW w:w="1620" w:type="dxa"/>
            <w:noWrap w:val="0"/>
            <w:vAlign w:val="center"/>
          </w:tcPr>
          <w:p>
            <w:pPr>
              <w:pStyle w:val="30"/>
              <w:bidi w:val="0"/>
              <w:rPr>
                <w:rFonts w:hint="default"/>
                <w:lang w:val="en-US" w:eastAsia="zh-CN"/>
              </w:rPr>
            </w:pPr>
            <w:r>
              <w:rPr>
                <w:rFonts w:hint="default"/>
              </w:rPr>
              <w:t>氨氮</w:t>
            </w:r>
          </w:p>
        </w:tc>
        <w:tc>
          <w:tcPr>
            <w:tcW w:w="3150" w:type="dxa"/>
            <w:noWrap w:val="0"/>
            <w:vAlign w:val="center"/>
          </w:tcPr>
          <w:p>
            <w:pPr>
              <w:pStyle w:val="30"/>
              <w:bidi w:val="0"/>
              <w:rPr>
                <w:rFonts w:hint="default"/>
                <w:lang w:val="en-US" w:eastAsia="zh-CN"/>
              </w:rPr>
            </w:pPr>
            <w:r>
              <w:rPr>
                <w:rFonts w:hint="default"/>
              </w:rPr>
              <w:t>水质 氨氮的测定 纳氏试剂分光光度法 HJ 535-2009</w:t>
            </w:r>
          </w:p>
        </w:tc>
        <w:tc>
          <w:tcPr>
            <w:tcW w:w="1410" w:type="dxa"/>
            <w:vMerge w:val="restart"/>
            <w:noWrap w:val="0"/>
            <w:vAlign w:val="center"/>
          </w:tcPr>
          <w:p>
            <w:pPr>
              <w:pStyle w:val="30"/>
              <w:bidi w:val="0"/>
              <w:rPr>
                <w:rFonts w:hint="default"/>
                <w:lang w:val="en-US" w:eastAsia="zh-CN"/>
              </w:rPr>
            </w:pPr>
            <w:r>
              <w:rPr>
                <w:rFonts w:hint="default"/>
              </w:rPr>
              <w:t>UV-1600型紫外可见分光光度计</w:t>
            </w:r>
          </w:p>
        </w:tc>
        <w:tc>
          <w:tcPr>
            <w:tcW w:w="1260" w:type="dxa"/>
            <w:vMerge w:val="restart"/>
            <w:noWrap w:val="0"/>
            <w:vAlign w:val="center"/>
          </w:tcPr>
          <w:p>
            <w:pPr>
              <w:pStyle w:val="30"/>
              <w:bidi w:val="0"/>
              <w:rPr>
                <w:rFonts w:hint="default"/>
                <w:lang w:val="en-US" w:eastAsia="zh-CN"/>
              </w:rPr>
            </w:pPr>
            <w:r>
              <w:rPr>
                <w:rFonts w:hint="default"/>
              </w:rPr>
              <w:t>XSJS-018-02</w:t>
            </w:r>
          </w:p>
        </w:tc>
        <w:tc>
          <w:tcPr>
            <w:tcW w:w="1341" w:type="dxa"/>
            <w:noWrap w:val="0"/>
            <w:vAlign w:val="center"/>
          </w:tcPr>
          <w:p>
            <w:pPr>
              <w:pStyle w:val="30"/>
              <w:bidi w:val="0"/>
              <w:rPr>
                <w:rFonts w:hint="default"/>
                <w:lang w:val="en-US" w:eastAsia="zh-CN"/>
              </w:rPr>
            </w:pPr>
            <w:r>
              <w:rPr>
                <w:rFonts w:hint="default"/>
              </w:rPr>
              <w:t>0.025mg/L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noWrap w:val="0"/>
            <w:vAlign w:val="center"/>
          </w:tcPr>
          <w:p>
            <w:pPr>
              <w:pStyle w:val="30"/>
              <w:bidi w:val="0"/>
              <w:rPr>
                <w:rFonts w:hint="default"/>
              </w:rPr>
            </w:pPr>
          </w:p>
        </w:tc>
        <w:tc>
          <w:tcPr>
            <w:tcW w:w="1620" w:type="dxa"/>
            <w:noWrap w:val="0"/>
            <w:vAlign w:val="center"/>
          </w:tcPr>
          <w:p>
            <w:pPr>
              <w:pStyle w:val="30"/>
              <w:bidi w:val="0"/>
              <w:rPr>
                <w:rFonts w:hint="default"/>
                <w:lang w:val="en-US" w:eastAsia="zh-CN"/>
              </w:rPr>
            </w:pPr>
            <w:r>
              <w:rPr>
                <w:rFonts w:hint="default"/>
                <w:lang w:val="en-US" w:eastAsia="zh-CN"/>
              </w:rPr>
              <w:t>总磷</w:t>
            </w:r>
          </w:p>
        </w:tc>
        <w:tc>
          <w:tcPr>
            <w:tcW w:w="3150" w:type="dxa"/>
            <w:noWrap w:val="0"/>
            <w:vAlign w:val="center"/>
          </w:tcPr>
          <w:p>
            <w:pPr>
              <w:pStyle w:val="30"/>
              <w:bidi w:val="0"/>
              <w:rPr>
                <w:rFonts w:hint="default"/>
                <w:lang w:val="en-US" w:eastAsia="zh-CN"/>
              </w:rPr>
            </w:pPr>
            <w:r>
              <w:rPr>
                <w:rFonts w:hint="default"/>
                <w:lang w:val="en-US" w:eastAsia="zh-CN"/>
              </w:rPr>
              <w:t>水质 总磷的测定 钼酸铵分光光度法 GB 11893-89</w:t>
            </w:r>
          </w:p>
        </w:tc>
        <w:tc>
          <w:tcPr>
            <w:tcW w:w="1410" w:type="dxa"/>
            <w:vMerge w:val="continue"/>
            <w:noWrap w:val="0"/>
            <w:vAlign w:val="center"/>
          </w:tcPr>
          <w:p>
            <w:pPr>
              <w:pStyle w:val="30"/>
              <w:bidi w:val="0"/>
              <w:rPr>
                <w:rFonts w:hint="default"/>
              </w:rPr>
            </w:pPr>
          </w:p>
        </w:tc>
        <w:tc>
          <w:tcPr>
            <w:tcW w:w="1260" w:type="dxa"/>
            <w:vMerge w:val="continue"/>
            <w:noWrap w:val="0"/>
            <w:vAlign w:val="center"/>
          </w:tcPr>
          <w:p>
            <w:pPr>
              <w:pStyle w:val="30"/>
              <w:bidi w:val="0"/>
              <w:rPr>
                <w:rFonts w:hint="default"/>
              </w:rPr>
            </w:pPr>
          </w:p>
        </w:tc>
        <w:tc>
          <w:tcPr>
            <w:tcW w:w="1341" w:type="dxa"/>
            <w:noWrap w:val="0"/>
            <w:vAlign w:val="center"/>
          </w:tcPr>
          <w:p>
            <w:pPr>
              <w:pStyle w:val="30"/>
              <w:bidi w:val="0"/>
              <w:rPr>
                <w:rFonts w:hint="default"/>
                <w:lang w:val="en-US" w:eastAsia="zh-CN"/>
              </w:rPr>
            </w:pPr>
            <w:r>
              <w:rPr>
                <w:rFonts w:hint="default"/>
                <w:lang w:val="en-US" w:eastAsia="zh-CN"/>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noWrap w:val="0"/>
            <w:vAlign w:val="center"/>
          </w:tcPr>
          <w:p>
            <w:pPr>
              <w:pStyle w:val="30"/>
              <w:bidi w:val="0"/>
              <w:rPr>
                <w:rFonts w:hint="default"/>
              </w:rPr>
            </w:pPr>
          </w:p>
        </w:tc>
        <w:tc>
          <w:tcPr>
            <w:tcW w:w="1620" w:type="dxa"/>
            <w:noWrap w:val="0"/>
            <w:vAlign w:val="center"/>
          </w:tcPr>
          <w:p>
            <w:pPr>
              <w:pStyle w:val="30"/>
              <w:bidi w:val="0"/>
              <w:rPr>
                <w:rFonts w:hint="default"/>
                <w:lang w:val="en-US" w:eastAsia="zh-CN"/>
              </w:rPr>
            </w:pPr>
            <w:r>
              <w:rPr>
                <w:rFonts w:hint="default"/>
                <w:lang w:val="en-US" w:eastAsia="zh-CN"/>
              </w:rPr>
              <w:t>总氮</w:t>
            </w:r>
          </w:p>
        </w:tc>
        <w:tc>
          <w:tcPr>
            <w:tcW w:w="3150" w:type="dxa"/>
            <w:noWrap w:val="0"/>
            <w:vAlign w:val="center"/>
          </w:tcPr>
          <w:p>
            <w:pPr>
              <w:pStyle w:val="30"/>
              <w:bidi w:val="0"/>
              <w:rPr>
                <w:rFonts w:hint="default"/>
                <w:lang w:val="en-US" w:eastAsia="zh-CN"/>
              </w:rPr>
            </w:pPr>
            <w:r>
              <w:rPr>
                <w:rFonts w:hint="default"/>
                <w:lang w:val="en-US" w:eastAsia="zh-CN"/>
              </w:rPr>
              <w:t>水质 总氮的测定 碱性过硫酸钾消解紫外分光光度法HJ 636-2012</w:t>
            </w:r>
          </w:p>
        </w:tc>
        <w:tc>
          <w:tcPr>
            <w:tcW w:w="1410" w:type="dxa"/>
            <w:vMerge w:val="continue"/>
            <w:noWrap w:val="0"/>
            <w:vAlign w:val="center"/>
          </w:tcPr>
          <w:p>
            <w:pPr>
              <w:pStyle w:val="30"/>
              <w:bidi w:val="0"/>
              <w:rPr>
                <w:rFonts w:hint="default"/>
              </w:rPr>
            </w:pPr>
          </w:p>
        </w:tc>
        <w:tc>
          <w:tcPr>
            <w:tcW w:w="1260" w:type="dxa"/>
            <w:vMerge w:val="continue"/>
            <w:noWrap w:val="0"/>
            <w:vAlign w:val="center"/>
          </w:tcPr>
          <w:p>
            <w:pPr>
              <w:pStyle w:val="30"/>
              <w:bidi w:val="0"/>
              <w:rPr>
                <w:rFonts w:hint="default"/>
              </w:rPr>
            </w:pPr>
          </w:p>
        </w:tc>
        <w:tc>
          <w:tcPr>
            <w:tcW w:w="1341" w:type="dxa"/>
            <w:noWrap w:val="0"/>
            <w:vAlign w:val="center"/>
          </w:tcPr>
          <w:p>
            <w:pPr>
              <w:pStyle w:val="30"/>
              <w:bidi w:val="0"/>
              <w:rPr>
                <w:rFonts w:hint="default"/>
                <w:lang w:val="en-US" w:eastAsia="zh-CN"/>
              </w:rPr>
            </w:pPr>
            <w:r>
              <w:rPr>
                <w:rFonts w:hint="default"/>
                <w:lang w:val="en-US" w:eastAsia="zh-CN"/>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noWrap w:val="0"/>
            <w:vAlign w:val="center"/>
          </w:tcPr>
          <w:p>
            <w:pPr>
              <w:pStyle w:val="30"/>
              <w:bidi w:val="0"/>
              <w:rPr>
                <w:rFonts w:hint="default"/>
              </w:rPr>
            </w:pPr>
          </w:p>
        </w:tc>
        <w:tc>
          <w:tcPr>
            <w:tcW w:w="1620" w:type="dxa"/>
            <w:noWrap w:val="0"/>
            <w:vAlign w:val="center"/>
          </w:tcPr>
          <w:p>
            <w:pPr>
              <w:pStyle w:val="30"/>
              <w:bidi w:val="0"/>
              <w:rPr>
                <w:rFonts w:hint="default"/>
                <w:lang w:val="en-US" w:eastAsia="zh-CN"/>
              </w:rPr>
            </w:pPr>
            <w:r>
              <w:rPr>
                <w:rFonts w:hint="default"/>
                <w:lang w:val="en-US" w:eastAsia="zh-CN"/>
              </w:rPr>
              <w:t>挥发酚</w:t>
            </w:r>
          </w:p>
        </w:tc>
        <w:tc>
          <w:tcPr>
            <w:tcW w:w="3150" w:type="dxa"/>
            <w:noWrap w:val="0"/>
            <w:vAlign w:val="center"/>
          </w:tcPr>
          <w:p>
            <w:pPr>
              <w:pStyle w:val="30"/>
              <w:bidi w:val="0"/>
              <w:rPr>
                <w:rFonts w:hint="default"/>
                <w:lang w:val="en-US" w:eastAsia="zh-CN"/>
              </w:rPr>
            </w:pPr>
            <w:r>
              <w:rPr>
                <w:rFonts w:hint="default"/>
                <w:lang w:val="en-US" w:eastAsia="zh-CN"/>
              </w:rPr>
              <w:t>水质 挥发酚的测定 4-氨基安替比林分光光度法HJ 503-2009</w:t>
            </w:r>
          </w:p>
        </w:tc>
        <w:tc>
          <w:tcPr>
            <w:tcW w:w="1410" w:type="dxa"/>
            <w:vMerge w:val="continue"/>
            <w:noWrap w:val="0"/>
            <w:vAlign w:val="center"/>
          </w:tcPr>
          <w:p>
            <w:pPr>
              <w:pStyle w:val="30"/>
              <w:bidi w:val="0"/>
              <w:rPr>
                <w:rFonts w:hint="default"/>
              </w:rPr>
            </w:pPr>
          </w:p>
        </w:tc>
        <w:tc>
          <w:tcPr>
            <w:tcW w:w="1260" w:type="dxa"/>
            <w:vMerge w:val="continue"/>
            <w:noWrap w:val="0"/>
            <w:vAlign w:val="center"/>
          </w:tcPr>
          <w:p>
            <w:pPr>
              <w:pStyle w:val="30"/>
              <w:bidi w:val="0"/>
              <w:rPr>
                <w:rFonts w:hint="default"/>
              </w:rPr>
            </w:pPr>
          </w:p>
        </w:tc>
        <w:tc>
          <w:tcPr>
            <w:tcW w:w="1341" w:type="dxa"/>
            <w:noWrap w:val="0"/>
            <w:vAlign w:val="center"/>
          </w:tcPr>
          <w:p>
            <w:pPr>
              <w:pStyle w:val="30"/>
              <w:bidi w:val="0"/>
              <w:rPr>
                <w:rFonts w:hint="default"/>
                <w:lang w:val="en-US" w:eastAsia="zh-CN"/>
              </w:rPr>
            </w:pPr>
            <w:r>
              <w:rPr>
                <w:rFonts w:hint="default"/>
                <w:lang w:val="en-US" w:eastAsia="zh-CN"/>
              </w:rPr>
              <w:t>0.0003mg/L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4" w:hRule="atLeast"/>
          <w:jc w:val="center"/>
        </w:trPr>
        <w:tc>
          <w:tcPr>
            <w:tcW w:w="970" w:type="dxa"/>
            <w:vMerge w:val="continue"/>
            <w:noWrap w:val="0"/>
            <w:vAlign w:val="center"/>
          </w:tcPr>
          <w:p>
            <w:pPr>
              <w:pStyle w:val="30"/>
              <w:bidi w:val="0"/>
              <w:rPr>
                <w:rFonts w:hint="default"/>
              </w:rPr>
            </w:pPr>
          </w:p>
        </w:tc>
        <w:tc>
          <w:tcPr>
            <w:tcW w:w="1620" w:type="dxa"/>
            <w:noWrap w:val="0"/>
            <w:vAlign w:val="center"/>
          </w:tcPr>
          <w:p>
            <w:pPr>
              <w:pStyle w:val="30"/>
              <w:bidi w:val="0"/>
              <w:rPr>
                <w:rFonts w:hint="default"/>
                <w:lang w:val="en-US" w:eastAsia="zh-CN"/>
              </w:rPr>
            </w:pPr>
            <w:r>
              <w:rPr>
                <w:rFonts w:hint="default"/>
                <w:lang w:val="en-US" w:eastAsia="zh-CN"/>
              </w:rPr>
              <w:t>石油类</w:t>
            </w:r>
          </w:p>
        </w:tc>
        <w:tc>
          <w:tcPr>
            <w:tcW w:w="3150" w:type="dxa"/>
            <w:noWrap w:val="0"/>
            <w:vAlign w:val="center"/>
          </w:tcPr>
          <w:p>
            <w:pPr>
              <w:pStyle w:val="30"/>
              <w:bidi w:val="0"/>
              <w:rPr>
                <w:rFonts w:hint="default"/>
                <w:lang w:val="en-US" w:eastAsia="zh-CN"/>
              </w:rPr>
            </w:pPr>
            <w:r>
              <w:rPr>
                <w:rFonts w:hint="default"/>
                <w:lang w:val="en-US" w:eastAsia="zh-CN"/>
              </w:rPr>
              <w:t>水质 石油类的测定 紫外分光光度法（试行） HJ 970-2018</w:t>
            </w:r>
          </w:p>
        </w:tc>
        <w:tc>
          <w:tcPr>
            <w:tcW w:w="1410" w:type="dxa"/>
            <w:vMerge w:val="continue"/>
            <w:noWrap w:val="0"/>
            <w:vAlign w:val="center"/>
          </w:tcPr>
          <w:p>
            <w:pPr>
              <w:pStyle w:val="30"/>
              <w:bidi w:val="0"/>
              <w:rPr>
                <w:rFonts w:hint="default"/>
              </w:rPr>
            </w:pPr>
          </w:p>
        </w:tc>
        <w:tc>
          <w:tcPr>
            <w:tcW w:w="1260" w:type="dxa"/>
            <w:vMerge w:val="continue"/>
            <w:noWrap w:val="0"/>
            <w:vAlign w:val="center"/>
          </w:tcPr>
          <w:p>
            <w:pPr>
              <w:pStyle w:val="30"/>
              <w:bidi w:val="0"/>
              <w:rPr>
                <w:rFonts w:hint="default"/>
              </w:rPr>
            </w:pPr>
          </w:p>
        </w:tc>
        <w:tc>
          <w:tcPr>
            <w:tcW w:w="1341" w:type="dxa"/>
            <w:noWrap w:val="0"/>
            <w:vAlign w:val="center"/>
          </w:tcPr>
          <w:p>
            <w:pPr>
              <w:pStyle w:val="30"/>
              <w:bidi w:val="0"/>
              <w:rPr>
                <w:rFonts w:hint="default"/>
                <w:lang w:val="en-US" w:eastAsia="zh-CN"/>
              </w:rPr>
            </w:pPr>
            <w:r>
              <w:rPr>
                <w:rFonts w:hint="default"/>
                <w:lang w:val="en-US" w:eastAsia="zh-CN"/>
              </w:rPr>
              <w:t>0.01mg/L</w:t>
            </w:r>
          </w:p>
        </w:tc>
      </w:tr>
    </w:tbl>
    <w:p>
      <w:pPr>
        <w:bidi w:val="0"/>
        <w:rPr>
          <w:rFonts w:hint="default"/>
          <w:lang w:val="en-US" w:eastAsia="zh-CN"/>
        </w:rPr>
      </w:pPr>
      <w:r>
        <w:rPr>
          <w:rFonts w:hint="eastAsia"/>
          <w:lang w:val="en-US" w:eastAsia="zh-CN"/>
        </w:rPr>
        <w:t>（4）监测结果</w:t>
      </w:r>
    </w:p>
    <w:p>
      <w:pPr>
        <w:pStyle w:val="29"/>
        <w:bidi w:val="0"/>
        <w:rPr>
          <w:rFonts w:hint="eastAsia"/>
          <w:lang w:val="en-US" w:eastAsia="zh-CN"/>
        </w:rPr>
      </w:pPr>
    </w:p>
    <w:p>
      <w:pPr>
        <w:pStyle w:val="29"/>
        <w:bidi w:val="0"/>
        <w:rPr>
          <w:rFonts w:hint="eastAsia"/>
          <w:lang w:val="en-US" w:eastAsia="zh-CN"/>
        </w:rPr>
      </w:pPr>
      <w:r>
        <w:rPr>
          <w:rFonts w:hint="eastAsia"/>
          <w:lang w:val="en-US" w:eastAsia="zh-CN"/>
        </w:rPr>
        <w:t>表4.2-11  地表水监测结果</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046"/>
        <w:gridCol w:w="1566"/>
        <w:gridCol w:w="858"/>
        <w:gridCol w:w="1255"/>
        <w:gridCol w:w="1255"/>
        <w:gridCol w:w="1255"/>
        <w:gridCol w:w="1095"/>
        <w:gridCol w:w="11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tblHeader/>
          <w:jc w:val="center"/>
        </w:trPr>
        <w:tc>
          <w:tcPr>
            <w:tcW w:w="553" w:type="pct"/>
            <w:vMerge w:val="restart"/>
            <w:noWrap w:val="0"/>
            <w:vAlign w:val="center"/>
          </w:tcPr>
          <w:p>
            <w:pPr>
              <w:pStyle w:val="30"/>
              <w:bidi w:val="0"/>
              <w:rPr>
                <w:rFonts w:hint="default"/>
                <w:b/>
                <w:bCs/>
                <w:lang w:eastAsia="zh-CN"/>
              </w:rPr>
            </w:pPr>
            <w:r>
              <w:rPr>
                <w:rFonts w:hint="default"/>
                <w:b/>
                <w:bCs/>
                <w:lang w:eastAsia="zh-CN"/>
              </w:rPr>
              <w:t>检测点位</w:t>
            </w:r>
          </w:p>
        </w:tc>
        <w:tc>
          <w:tcPr>
            <w:tcW w:w="829" w:type="pct"/>
            <w:vMerge w:val="restart"/>
            <w:noWrap w:val="0"/>
            <w:vAlign w:val="center"/>
          </w:tcPr>
          <w:p>
            <w:pPr>
              <w:pStyle w:val="30"/>
              <w:bidi w:val="0"/>
              <w:rPr>
                <w:rFonts w:hint="default"/>
                <w:b/>
                <w:bCs/>
              </w:rPr>
            </w:pPr>
            <w:r>
              <w:rPr>
                <w:rFonts w:hint="default"/>
                <w:b/>
                <w:bCs/>
              </w:rPr>
              <w:t>检测项目</w:t>
            </w:r>
          </w:p>
        </w:tc>
        <w:tc>
          <w:tcPr>
            <w:tcW w:w="454" w:type="pct"/>
            <w:vMerge w:val="restart"/>
            <w:noWrap w:val="0"/>
            <w:vAlign w:val="center"/>
          </w:tcPr>
          <w:p>
            <w:pPr>
              <w:pStyle w:val="30"/>
              <w:bidi w:val="0"/>
              <w:rPr>
                <w:rFonts w:hint="default"/>
                <w:b/>
                <w:bCs/>
              </w:rPr>
            </w:pPr>
            <w:r>
              <w:rPr>
                <w:rFonts w:hint="default"/>
                <w:b/>
                <w:bCs/>
              </w:rPr>
              <w:t>单位</w:t>
            </w:r>
          </w:p>
        </w:tc>
        <w:tc>
          <w:tcPr>
            <w:tcW w:w="1993" w:type="pct"/>
            <w:gridSpan w:val="3"/>
            <w:noWrap w:val="0"/>
            <w:vAlign w:val="center"/>
          </w:tcPr>
          <w:p>
            <w:pPr>
              <w:pStyle w:val="30"/>
              <w:bidi w:val="0"/>
              <w:rPr>
                <w:rFonts w:hint="default"/>
                <w:b/>
                <w:bCs/>
              </w:rPr>
            </w:pPr>
            <w:r>
              <w:rPr>
                <w:rFonts w:hint="default"/>
                <w:b/>
                <w:bCs/>
              </w:rPr>
              <w:t>检测结果</w:t>
            </w:r>
          </w:p>
        </w:tc>
        <w:tc>
          <w:tcPr>
            <w:tcW w:w="579" w:type="pct"/>
            <w:vMerge w:val="restart"/>
            <w:noWrap w:val="0"/>
            <w:vAlign w:val="center"/>
          </w:tcPr>
          <w:p>
            <w:pPr>
              <w:pStyle w:val="30"/>
              <w:bidi w:val="0"/>
              <w:rPr>
                <w:rFonts w:hint="default" w:eastAsia="宋体"/>
                <w:b/>
                <w:bCs/>
                <w:lang w:val="en-US" w:eastAsia="zh-CN"/>
              </w:rPr>
            </w:pPr>
            <w:r>
              <w:rPr>
                <w:rFonts w:hint="eastAsia"/>
                <w:b/>
                <w:bCs/>
                <w:lang w:val="en-US" w:eastAsia="zh-CN"/>
              </w:rPr>
              <w:t>标准限值</w:t>
            </w:r>
          </w:p>
        </w:tc>
        <w:tc>
          <w:tcPr>
            <w:tcW w:w="589" w:type="pct"/>
            <w:vMerge w:val="restart"/>
            <w:noWrap w:val="0"/>
            <w:vAlign w:val="center"/>
          </w:tcPr>
          <w:p>
            <w:pPr>
              <w:pStyle w:val="30"/>
              <w:bidi w:val="0"/>
              <w:rPr>
                <w:rFonts w:hint="eastAsia" w:eastAsia="宋体"/>
                <w:b/>
                <w:bCs/>
                <w:lang w:val="en-US" w:eastAsia="zh-CN"/>
              </w:rPr>
            </w:pPr>
            <w:r>
              <w:rPr>
                <w:rFonts w:hint="eastAsia"/>
                <w:b/>
                <w:bCs/>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tblHeader/>
          <w:jc w:val="center"/>
        </w:trPr>
        <w:tc>
          <w:tcPr>
            <w:tcW w:w="553" w:type="pct"/>
            <w:vMerge w:val="continue"/>
            <w:noWrap w:val="0"/>
            <w:vAlign w:val="center"/>
          </w:tcPr>
          <w:p>
            <w:pPr>
              <w:pStyle w:val="30"/>
              <w:bidi w:val="0"/>
              <w:rPr>
                <w:rFonts w:hint="default"/>
              </w:rPr>
            </w:pPr>
          </w:p>
        </w:tc>
        <w:tc>
          <w:tcPr>
            <w:tcW w:w="829" w:type="pct"/>
            <w:vMerge w:val="continue"/>
            <w:noWrap w:val="0"/>
            <w:vAlign w:val="center"/>
          </w:tcPr>
          <w:p>
            <w:pPr>
              <w:pStyle w:val="30"/>
              <w:bidi w:val="0"/>
              <w:rPr>
                <w:rFonts w:hint="default"/>
              </w:rPr>
            </w:pPr>
          </w:p>
        </w:tc>
        <w:tc>
          <w:tcPr>
            <w:tcW w:w="454" w:type="pct"/>
            <w:vMerge w:val="continue"/>
            <w:noWrap w:val="0"/>
            <w:vAlign w:val="center"/>
          </w:tcPr>
          <w:p>
            <w:pPr>
              <w:pStyle w:val="30"/>
              <w:bidi w:val="0"/>
              <w:rPr>
                <w:rFonts w:hint="default"/>
              </w:rPr>
            </w:pPr>
          </w:p>
        </w:tc>
        <w:tc>
          <w:tcPr>
            <w:tcW w:w="664" w:type="pct"/>
            <w:noWrap w:val="0"/>
            <w:vAlign w:val="center"/>
          </w:tcPr>
          <w:p>
            <w:pPr>
              <w:pStyle w:val="30"/>
              <w:bidi w:val="0"/>
              <w:rPr>
                <w:rFonts w:hint="default"/>
                <w:b/>
                <w:bCs/>
                <w:lang w:val="en-US" w:eastAsia="zh-CN"/>
              </w:rPr>
            </w:pPr>
            <w:r>
              <w:rPr>
                <w:rFonts w:hint="default"/>
                <w:b/>
                <w:bCs/>
                <w:lang w:val="en-US" w:eastAsia="zh-CN"/>
              </w:rPr>
              <w:t>10月20日</w:t>
            </w:r>
          </w:p>
        </w:tc>
        <w:tc>
          <w:tcPr>
            <w:tcW w:w="664" w:type="pct"/>
            <w:noWrap w:val="0"/>
            <w:vAlign w:val="center"/>
          </w:tcPr>
          <w:p>
            <w:pPr>
              <w:pStyle w:val="30"/>
              <w:bidi w:val="0"/>
              <w:rPr>
                <w:rFonts w:hint="default"/>
                <w:b/>
                <w:bCs/>
              </w:rPr>
            </w:pPr>
            <w:r>
              <w:rPr>
                <w:rFonts w:hint="default"/>
                <w:b/>
                <w:bCs/>
                <w:lang w:val="en-US" w:eastAsia="zh-CN"/>
              </w:rPr>
              <w:t>10月21日</w:t>
            </w:r>
          </w:p>
        </w:tc>
        <w:tc>
          <w:tcPr>
            <w:tcW w:w="664" w:type="pct"/>
            <w:noWrap w:val="0"/>
            <w:vAlign w:val="center"/>
          </w:tcPr>
          <w:p>
            <w:pPr>
              <w:pStyle w:val="30"/>
              <w:bidi w:val="0"/>
              <w:rPr>
                <w:rFonts w:hint="default"/>
                <w:b/>
                <w:bCs/>
              </w:rPr>
            </w:pPr>
            <w:r>
              <w:rPr>
                <w:rFonts w:hint="default"/>
                <w:b/>
                <w:bCs/>
                <w:lang w:val="en-US" w:eastAsia="zh-CN"/>
              </w:rPr>
              <w:t>10月22日</w:t>
            </w:r>
          </w:p>
        </w:tc>
        <w:tc>
          <w:tcPr>
            <w:tcW w:w="579" w:type="pct"/>
            <w:vMerge w:val="continue"/>
            <w:noWrap w:val="0"/>
            <w:vAlign w:val="center"/>
          </w:tcPr>
          <w:p>
            <w:pPr>
              <w:pStyle w:val="30"/>
              <w:bidi w:val="0"/>
              <w:rPr>
                <w:rFonts w:hint="default"/>
                <w:lang w:val="en-US" w:eastAsia="zh-CN"/>
              </w:rPr>
            </w:pPr>
          </w:p>
        </w:tc>
        <w:tc>
          <w:tcPr>
            <w:tcW w:w="589" w:type="pct"/>
            <w:vMerge w:val="continue"/>
            <w:noWrap w:val="0"/>
            <w:vAlign w:val="center"/>
          </w:tcPr>
          <w:p>
            <w:pPr>
              <w:pStyle w:val="30"/>
              <w:bidi w:val="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restart"/>
            <w:noWrap w:val="0"/>
            <w:vAlign w:val="center"/>
          </w:tcPr>
          <w:p>
            <w:pPr>
              <w:pStyle w:val="30"/>
              <w:bidi w:val="0"/>
              <w:rPr>
                <w:rFonts w:hint="default"/>
              </w:rPr>
            </w:pPr>
            <w:r>
              <w:rPr>
                <w:rFonts w:hint="default"/>
              </w:rPr>
              <w:fldChar w:fldCharType="begin"/>
            </w:r>
            <w:r>
              <w:rPr>
                <w:rFonts w:hint="default"/>
              </w:rPr>
              <w:instrText xml:space="preserve"> REF </w:instrText>
            </w:r>
            <w:r>
              <w:rPr>
                <w:rFonts w:hint="default"/>
                <w:lang w:val="en-US" w:eastAsia="zh-CN"/>
              </w:rPr>
              <w:instrText xml:space="preserve">地表水1</w:instrText>
            </w:r>
            <w:r>
              <w:rPr>
                <w:rFonts w:hint="default"/>
              </w:rPr>
              <w:instrText xml:space="preserve">\h \* MERGEFORMAT</w:instrText>
            </w:r>
            <w:r>
              <w:rPr>
                <w:rFonts w:hint="default"/>
              </w:rPr>
              <w:fldChar w:fldCharType="separate"/>
            </w:r>
            <w:r>
              <w:rPr>
                <w:rFonts w:hint="default"/>
                <w:lang w:val="en-US" w:eastAsia="zh-CN"/>
              </w:rPr>
              <w:t>1#拟建</w:t>
            </w:r>
            <w:r>
              <w:rPr>
                <w:rFonts w:hint="eastAsia"/>
                <w:lang w:val="en-US" w:eastAsia="zh-CN"/>
              </w:rPr>
              <w:t>项目</w:t>
            </w:r>
            <w:r>
              <w:rPr>
                <w:rFonts w:hint="default"/>
                <w:lang w:val="en-US" w:eastAsia="zh-CN"/>
              </w:rPr>
              <w:t>上游500m</w:t>
            </w:r>
            <w:r>
              <w:rPr>
                <w:rFonts w:hint="default"/>
              </w:rPr>
              <w:fldChar w:fldCharType="end"/>
            </w:r>
            <w:r>
              <w:rPr>
                <w:rFonts w:hint="default"/>
              </w:rPr>
              <w:br w:type="page"/>
            </w:r>
          </w:p>
        </w:tc>
        <w:tc>
          <w:tcPr>
            <w:tcW w:w="829" w:type="pct"/>
            <w:noWrap w:val="0"/>
            <w:vAlign w:val="center"/>
          </w:tcPr>
          <w:p>
            <w:pPr>
              <w:pStyle w:val="30"/>
              <w:bidi w:val="0"/>
              <w:rPr>
                <w:rFonts w:hint="default"/>
                <w:lang w:val="en-US" w:eastAsia="zh-CN"/>
              </w:rPr>
            </w:pPr>
            <w:r>
              <w:rPr>
                <w:rFonts w:hint="default"/>
              </w:rPr>
              <w:t>pH</w:t>
            </w:r>
          </w:p>
        </w:tc>
        <w:tc>
          <w:tcPr>
            <w:tcW w:w="454" w:type="pct"/>
            <w:noWrap w:val="0"/>
            <w:vAlign w:val="center"/>
          </w:tcPr>
          <w:p>
            <w:pPr>
              <w:pStyle w:val="30"/>
              <w:bidi w:val="0"/>
              <w:rPr>
                <w:rFonts w:hint="default"/>
                <w:lang w:eastAsia="zh-CN"/>
              </w:rPr>
            </w:pPr>
            <w:r>
              <w:rPr>
                <w:rFonts w:hint="default"/>
                <w:lang w:eastAsia="zh-CN"/>
              </w:rPr>
              <w:t>无量纲</w:t>
            </w:r>
          </w:p>
        </w:tc>
        <w:tc>
          <w:tcPr>
            <w:tcW w:w="664" w:type="pct"/>
            <w:noWrap w:val="0"/>
            <w:vAlign w:val="center"/>
          </w:tcPr>
          <w:p>
            <w:pPr>
              <w:pStyle w:val="30"/>
              <w:bidi w:val="0"/>
              <w:rPr>
                <w:rFonts w:hint="default"/>
                <w:lang w:val="en-US" w:eastAsia="zh-CN"/>
              </w:rPr>
            </w:pPr>
            <w:r>
              <w:rPr>
                <w:rFonts w:hint="default"/>
                <w:lang w:val="en-US" w:eastAsia="zh-CN"/>
              </w:rPr>
              <w:t>7.5</w:t>
            </w:r>
          </w:p>
        </w:tc>
        <w:tc>
          <w:tcPr>
            <w:tcW w:w="664" w:type="pct"/>
            <w:noWrap w:val="0"/>
            <w:vAlign w:val="center"/>
          </w:tcPr>
          <w:p>
            <w:pPr>
              <w:pStyle w:val="30"/>
              <w:bidi w:val="0"/>
              <w:rPr>
                <w:rFonts w:hint="default"/>
                <w:lang w:val="en-US" w:eastAsia="zh-CN"/>
              </w:rPr>
            </w:pPr>
            <w:r>
              <w:rPr>
                <w:rFonts w:hint="default"/>
                <w:lang w:val="en-US" w:eastAsia="zh-CN"/>
              </w:rPr>
              <w:t>7.7</w:t>
            </w:r>
          </w:p>
        </w:tc>
        <w:tc>
          <w:tcPr>
            <w:tcW w:w="664" w:type="pct"/>
            <w:noWrap w:val="0"/>
            <w:vAlign w:val="center"/>
          </w:tcPr>
          <w:p>
            <w:pPr>
              <w:pStyle w:val="30"/>
              <w:bidi w:val="0"/>
              <w:rPr>
                <w:rFonts w:hint="default"/>
                <w:lang w:val="en-US" w:eastAsia="zh-CN"/>
              </w:rPr>
            </w:pPr>
            <w:r>
              <w:rPr>
                <w:rFonts w:hint="default"/>
                <w:lang w:val="en-US" w:eastAsia="zh-CN"/>
              </w:rPr>
              <w:t>7.4</w:t>
            </w:r>
          </w:p>
        </w:tc>
        <w:tc>
          <w:tcPr>
            <w:tcW w:w="579" w:type="pct"/>
            <w:noWrap w:val="0"/>
            <w:vAlign w:val="center"/>
          </w:tcPr>
          <w:p>
            <w:pPr>
              <w:pStyle w:val="30"/>
              <w:bidi w:val="0"/>
              <w:ind w:firstLine="0" w:firstLineChars="0"/>
              <w:rPr>
                <w:rFonts w:hint="default"/>
                <w:lang w:val="en-US" w:eastAsia="zh-CN"/>
              </w:rPr>
            </w:pPr>
            <w:r>
              <w:rPr>
                <w:rFonts w:hint="eastAsia"/>
                <w:lang w:val="en-US" w:eastAsia="zh-CN"/>
              </w:rPr>
              <w:t>6-9</w:t>
            </w:r>
          </w:p>
        </w:tc>
        <w:tc>
          <w:tcPr>
            <w:tcW w:w="589" w:type="pct"/>
            <w:noWrap w:val="0"/>
            <w:vAlign w:val="center"/>
          </w:tcPr>
          <w:p>
            <w:pPr>
              <w:pStyle w:val="30"/>
              <w:bidi w:val="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rPr>
            </w:pPr>
            <w:r>
              <w:rPr>
                <w:rFonts w:hint="default"/>
                <w:lang w:val="en-US" w:eastAsia="zh-CN"/>
              </w:rPr>
              <w:t>水温</w:t>
            </w:r>
          </w:p>
        </w:tc>
        <w:tc>
          <w:tcPr>
            <w:tcW w:w="454" w:type="pct"/>
            <w:noWrap w:val="0"/>
            <w:vAlign w:val="center"/>
          </w:tcPr>
          <w:p>
            <w:pPr>
              <w:pStyle w:val="30"/>
              <w:bidi w:val="0"/>
              <w:rPr>
                <w:rFonts w:hint="default"/>
                <w:lang w:eastAsia="zh-CN"/>
              </w:rPr>
            </w:pPr>
            <w:r>
              <w:rPr>
                <w:rFonts w:hint="default"/>
                <w:lang w:val="en-US" w:eastAsia="zh-CN"/>
              </w:rPr>
              <w:t>℃</w:t>
            </w:r>
          </w:p>
        </w:tc>
        <w:tc>
          <w:tcPr>
            <w:tcW w:w="664" w:type="pct"/>
            <w:noWrap w:val="0"/>
            <w:vAlign w:val="center"/>
          </w:tcPr>
          <w:p>
            <w:pPr>
              <w:pStyle w:val="30"/>
              <w:bidi w:val="0"/>
              <w:rPr>
                <w:rFonts w:hint="default"/>
                <w:lang w:val="en-US" w:eastAsia="zh-CN"/>
              </w:rPr>
            </w:pPr>
            <w:r>
              <w:rPr>
                <w:rFonts w:hint="default"/>
                <w:lang w:val="en-US" w:eastAsia="zh-CN"/>
              </w:rPr>
              <w:t>15.7</w:t>
            </w:r>
          </w:p>
        </w:tc>
        <w:tc>
          <w:tcPr>
            <w:tcW w:w="664" w:type="pct"/>
            <w:noWrap w:val="0"/>
            <w:vAlign w:val="center"/>
          </w:tcPr>
          <w:p>
            <w:pPr>
              <w:pStyle w:val="30"/>
              <w:bidi w:val="0"/>
              <w:rPr>
                <w:rFonts w:hint="default"/>
                <w:lang w:val="en-US" w:eastAsia="zh-CN"/>
              </w:rPr>
            </w:pPr>
            <w:r>
              <w:rPr>
                <w:rFonts w:hint="default"/>
                <w:lang w:val="en-US" w:eastAsia="zh-CN"/>
              </w:rPr>
              <w:t>15.2</w:t>
            </w:r>
          </w:p>
        </w:tc>
        <w:tc>
          <w:tcPr>
            <w:tcW w:w="664" w:type="pct"/>
            <w:noWrap w:val="0"/>
            <w:vAlign w:val="center"/>
          </w:tcPr>
          <w:p>
            <w:pPr>
              <w:pStyle w:val="30"/>
              <w:bidi w:val="0"/>
              <w:rPr>
                <w:rFonts w:hint="default"/>
                <w:lang w:val="en-US" w:eastAsia="zh-CN"/>
              </w:rPr>
            </w:pPr>
            <w:r>
              <w:rPr>
                <w:rFonts w:hint="default"/>
                <w:lang w:val="en-US" w:eastAsia="zh-CN"/>
              </w:rPr>
              <w:t>14.9</w:t>
            </w:r>
          </w:p>
        </w:tc>
        <w:tc>
          <w:tcPr>
            <w:tcW w:w="579" w:type="pct"/>
            <w:noWrap w:val="0"/>
            <w:vAlign w:val="center"/>
          </w:tcPr>
          <w:p>
            <w:pPr>
              <w:pStyle w:val="30"/>
              <w:bidi w:val="0"/>
              <w:ind w:firstLine="0" w:firstLineChars="0"/>
              <w:rPr>
                <w:rFonts w:hint="default"/>
                <w:lang w:val="en-US" w:eastAsia="zh-CN"/>
              </w:rPr>
            </w:pPr>
            <w:r>
              <w:rPr>
                <w:rFonts w:hint="eastAsia"/>
                <w:lang w:val="en-US" w:eastAsia="zh-CN"/>
              </w:rPr>
              <w:t>/</w:t>
            </w:r>
          </w:p>
        </w:tc>
        <w:tc>
          <w:tcPr>
            <w:tcW w:w="589" w:type="pct"/>
            <w:noWrap w:val="0"/>
            <w:vAlign w:val="center"/>
          </w:tcPr>
          <w:p>
            <w:pPr>
              <w:pStyle w:val="30"/>
              <w:bidi w:val="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溶解氧</w:t>
            </w:r>
          </w:p>
        </w:tc>
        <w:tc>
          <w:tcPr>
            <w:tcW w:w="454" w:type="pct"/>
            <w:noWrap w:val="0"/>
            <w:vAlign w:val="center"/>
          </w:tcPr>
          <w:p>
            <w:pPr>
              <w:pStyle w:val="30"/>
              <w:bidi w:val="0"/>
              <w:rPr>
                <w:rFonts w:hint="default"/>
                <w:lang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7.1</w:t>
            </w:r>
          </w:p>
        </w:tc>
        <w:tc>
          <w:tcPr>
            <w:tcW w:w="664" w:type="pct"/>
            <w:noWrap w:val="0"/>
            <w:vAlign w:val="center"/>
          </w:tcPr>
          <w:p>
            <w:pPr>
              <w:pStyle w:val="30"/>
              <w:bidi w:val="0"/>
              <w:rPr>
                <w:rFonts w:hint="default"/>
                <w:lang w:val="en-US" w:eastAsia="zh-CN"/>
              </w:rPr>
            </w:pPr>
            <w:r>
              <w:rPr>
                <w:rFonts w:hint="default"/>
                <w:lang w:val="en-US" w:eastAsia="zh-CN"/>
              </w:rPr>
              <w:t>7.2</w:t>
            </w:r>
          </w:p>
        </w:tc>
        <w:tc>
          <w:tcPr>
            <w:tcW w:w="664" w:type="pct"/>
            <w:noWrap w:val="0"/>
            <w:vAlign w:val="center"/>
          </w:tcPr>
          <w:p>
            <w:pPr>
              <w:pStyle w:val="30"/>
              <w:bidi w:val="0"/>
              <w:rPr>
                <w:rFonts w:hint="default"/>
                <w:lang w:val="en-US" w:eastAsia="zh-CN"/>
              </w:rPr>
            </w:pPr>
            <w:r>
              <w:rPr>
                <w:rFonts w:hint="default"/>
                <w:lang w:val="en-US" w:eastAsia="zh-CN"/>
              </w:rPr>
              <w:t>7.1</w:t>
            </w:r>
          </w:p>
        </w:tc>
        <w:tc>
          <w:tcPr>
            <w:tcW w:w="579" w:type="pct"/>
            <w:noWrap w:val="0"/>
            <w:vAlign w:val="center"/>
          </w:tcPr>
          <w:p>
            <w:pPr>
              <w:pStyle w:val="30"/>
              <w:bidi w:val="0"/>
              <w:ind w:firstLine="0" w:firstLineChars="0"/>
              <w:rPr>
                <w:rFonts w:hint="default"/>
                <w:lang w:val="en-US" w:eastAsia="zh-CN"/>
              </w:rPr>
            </w:pPr>
            <w:r>
              <w:rPr>
                <w:rFonts w:hint="eastAsia"/>
                <w:lang w:val="en-US" w:eastAsia="zh-CN"/>
              </w:rPr>
              <w:t>≥5</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悬浮物</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10</w:t>
            </w:r>
          </w:p>
        </w:tc>
        <w:tc>
          <w:tcPr>
            <w:tcW w:w="664" w:type="pct"/>
            <w:noWrap w:val="0"/>
            <w:vAlign w:val="center"/>
          </w:tcPr>
          <w:p>
            <w:pPr>
              <w:pStyle w:val="30"/>
              <w:bidi w:val="0"/>
              <w:rPr>
                <w:rFonts w:hint="default"/>
                <w:lang w:val="en-US" w:eastAsia="zh-CN"/>
              </w:rPr>
            </w:pPr>
            <w:r>
              <w:rPr>
                <w:rFonts w:hint="default"/>
                <w:lang w:val="en-US" w:eastAsia="zh-CN"/>
              </w:rPr>
              <w:t>9</w:t>
            </w:r>
          </w:p>
        </w:tc>
        <w:tc>
          <w:tcPr>
            <w:tcW w:w="664" w:type="pct"/>
            <w:noWrap w:val="0"/>
            <w:vAlign w:val="center"/>
          </w:tcPr>
          <w:p>
            <w:pPr>
              <w:pStyle w:val="30"/>
              <w:bidi w:val="0"/>
              <w:rPr>
                <w:rFonts w:hint="default"/>
                <w:lang w:val="en-US" w:eastAsia="zh-CN"/>
              </w:rPr>
            </w:pPr>
            <w:r>
              <w:rPr>
                <w:rFonts w:hint="default"/>
                <w:lang w:val="en-US" w:eastAsia="zh-CN"/>
              </w:rPr>
              <w:t>9</w:t>
            </w:r>
          </w:p>
        </w:tc>
        <w:tc>
          <w:tcPr>
            <w:tcW w:w="579" w:type="pct"/>
            <w:noWrap w:val="0"/>
            <w:vAlign w:val="center"/>
          </w:tcPr>
          <w:p>
            <w:pPr>
              <w:pStyle w:val="30"/>
              <w:bidi w:val="0"/>
              <w:ind w:firstLine="0" w:firstLineChars="0"/>
              <w:rPr>
                <w:rFonts w:hint="default"/>
                <w:lang w:val="en-US" w:eastAsia="zh-CN"/>
              </w:rPr>
            </w:pPr>
            <w:r>
              <w:rPr>
                <w:rFonts w:hint="eastAsia"/>
                <w:lang w:val="en-US" w:eastAsia="zh-CN"/>
              </w:rPr>
              <w:t>/</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rPr>
              <w:t>化学需氧量</w:t>
            </w:r>
          </w:p>
        </w:tc>
        <w:tc>
          <w:tcPr>
            <w:tcW w:w="454" w:type="pct"/>
            <w:noWrap w:val="0"/>
            <w:vAlign w:val="center"/>
          </w:tcPr>
          <w:p>
            <w:pPr>
              <w:pStyle w:val="30"/>
              <w:bidi w:val="0"/>
              <w:rPr>
                <w:rFonts w:hint="default"/>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10</w:t>
            </w:r>
          </w:p>
        </w:tc>
        <w:tc>
          <w:tcPr>
            <w:tcW w:w="664" w:type="pct"/>
            <w:noWrap w:val="0"/>
            <w:vAlign w:val="center"/>
          </w:tcPr>
          <w:p>
            <w:pPr>
              <w:pStyle w:val="30"/>
              <w:bidi w:val="0"/>
              <w:rPr>
                <w:rFonts w:hint="default"/>
                <w:lang w:val="en-US" w:eastAsia="zh-CN"/>
              </w:rPr>
            </w:pPr>
            <w:r>
              <w:rPr>
                <w:rFonts w:hint="default"/>
                <w:lang w:val="en-US" w:eastAsia="zh-CN"/>
              </w:rPr>
              <w:t>9</w:t>
            </w:r>
          </w:p>
        </w:tc>
        <w:tc>
          <w:tcPr>
            <w:tcW w:w="664" w:type="pct"/>
            <w:noWrap w:val="0"/>
            <w:vAlign w:val="center"/>
          </w:tcPr>
          <w:p>
            <w:pPr>
              <w:pStyle w:val="30"/>
              <w:bidi w:val="0"/>
              <w:rPr>
                <w:rFonts w:hint="default"/>
                <w:lang w:val="en-US" w:eastAsia="zh-CN"/>
              </w:rPr>
            </w:pPr>
            <w:r>
              <w:rPr>
                <w:rFonts w:hint="default"/>
                <w:lang w:val="en-US" w:eastAsia="zh-CN"/>
              </w:rPr>
              <w:t>10</w:t>
            </w:r>
          </w:p>
        </w:tc>
        <w:tc>
          <w:tcPr>
            <w:tcW w:w="579" w:type="pct"/>
            <w:noWrap w:val="0"/>
            <w:vAlign w:val="center"/>
          </w:tcPr>
          <w:p>
            <w:pPr>
              <w:pStyle w:val="30"/>
              <w:bidi w:val="0"/>
              <w:ind w:firstLine="0" w:firstLineChars="0"/>
              <w:rPr>
                <w:rFonts w:hint="default"/>
                <w:lang w:val="en-US" w:eastAsia="zh-CN"/>
              </w:rPr>
            </w:pPr>
            <w:r>
              <w:rPr>
                <w:rFonts w:hint="eastAsia"/>
                <w:lang w:val="en-US" w:eastAsia="zh-CN"/>
              </w:rPr>
              <w:t>20</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五日生化需氧量</w:t>
            </w:r>
          </w:p>
        </w:tc>
        <w:tc>
          <w:tcPr>
            <w:tcW w:w="454" w:type="pct"/>
            <w:noWrap w:val="0"/>
            <w:vAlign w:val="center"/>
          </w:tcPr>
          <w:p>
            <w:pPr>
              <w:pStyle w:val="30"/>
              <w:bidi w:val="0"/>
              <w:rPr>
                <w:rFonts w:hint="default"/>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2.0</w:t>
            </w:r>
          </w:p>
        </w:tc>
        <w:tc>
          <w:tcPr>
            <w:tcW w:w="664" w:type="pct"/>
            <w:noWrap w:val="0"/>
            <w:vAlign w:val="center"/>
          </w:tcPr>
          <w:p>
            <w:pPr>
              <w:pStyle w:val="30"/>
              <w:bidi w:val="0"/>
              <w:rPr>
                <w:rFonts w:hint="default"/>
                <w:lang w:val="en-US" w:eastAsia="zh-CN"/>
              </w:rPr>
            </w:pPr>
            <w:r>
              <w:rPr>
                <w:rFonts w:hint="default"/>
                <w:lang w:val="en-US" w:eastAsia="zh-CN"/>
              </w:rPr>
              <w:t>1.8</w:t>
            </w:r>
          </w:p>
        </w:tc>
        <w:tc>
          <w:tcPr>
            <w:tcW w:w="664" w:type="pct"/>
            <w:noWrap w:val="0"/>
            <w:vAlign w:val="center"/>
          </w:tcPr>
          <w:p>
            <w:pPr>
              <w:pStyle w:val="30"/>
              <w:bidi w:val="0"/>
              <w:rPr>
                <w:rFonts w:hint="default"/>
                <w:lang w:val="en-US" w:eastAsia="zh-CN"/>
              </w:rPr>
            </w:pPr>
            <w:r>
              <w:rPr>
                <w:rFonts w:hint="default"/>
                <w:lang w:val="en-US" w:eastAsia="zh-CN"/>
              </w:rPr>
              <w:t>1.8</w:t>
            </w:r>
          </w:p>
        </w:tc>
        <w:tc>
          <w:tcPr>
            <w:tcW w:w="579" w:type="pct"/>
            <w:noWrap w:val="0"/>
            <w:vAlign w:val="center"/>
          </w:tcPr>
          <w:p>
            <w:pPr>
              <w:pStyle w:val="30"/>
              <w:bidi w:val="0"/>
              <w:ind w:firstLine="0" w:firstLineChars="0"/>
              <w:rPr>
                <w:rFonts w:hint="default"/>
                <w:lang w:val="en-US" w:eastAsia="zh-CN"/>
              </w:rPr>
            </w:pPr>
            <w:r>
              <w:rPr>
                <w:rFonts w:hint="eastAsia"/>
                <w:lang w:val="en-US" w:eastAsia="zh-CN"/>
              </w:rPr>
              <w:t>4</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石油类</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0.03</w:t>
            </w:r>
          </w:p>
        </w:tc>
        <w:tc>
          <w:tcPr>
            <w:tcW w:w="664" w:type="pct"/>
            <w:noWrap w:val="0"/>
            <w:vAlign w:val="center"/>
          </w:tcPr>
          <w:p>
            <w:pPr>
              <w:pStyle w:val="30"/>
              <w:bidi w:val="0"/>
              <w:rPr>
                <w:rFonts w:hint="default"/>
                <w:lang w:val="en-US" w:eastAsia="zh-CN"/>
              </w:rPr>
            </w:pPr>
            <w:r>
              <w:rPr>
                <w:rFonts w:hint="default"/>
                <w:lang w:val="en-US" w:eastAsia="zh-CN"/>
              </w:rPr>
              <w:t>0.02</w:t>
            </w:r>
          </w:p>
        </w:tc>
        <w:tc>
          <w:tcPr>
            <w:tcW w:w="664" w:type="pct"/>
            <w:noWrap w:val="0"/>
            <w:vAlign w:val="center"/>
          </w:tcPr>
          <w:p>
            <w:pPr>
              <w:pStyle w:val="30"/>
              <w:bidi w:val="0"/>
              <w:rPr>
                <w:rFonts w:hint="default"/>
                <w:lang w:val="en-US" w:eastAsia="zh-CN"/>
              </w:rPr>
            </w:pPr>
            <w:r>
              <w:rPr>
                <w:rFonts w:hint="default"/>
                <w:lang w:val="en-US" w:eastAsia="zh-CN"/>
              </w:rPr>
              <w:t>0.02</w:t>
            </w:r>
          </w:p>
        </w:tc>
        <w:tc>
          <w:tcPr>
            <w:tcW w:w="579" w:type="pct"/>
            <w:noWrap w:val="0"/>
            <w:vAlign w:val="center"/>
          </w:tcPr>
          <w:p>
            <w:pPr>
              <w:pStyle w:val="30"/>
              <w:bidi w:val="0"/>
              <w:ind w:firstLine="0" w:firstLineChars="0"/>
              <w:rPr>
                <w:rFonts w:hint="default"/>
                <w:lang w:val="en-US" w:eastAsia="zh-CN"/>
              </w:rPr>
            </w:pPr>
            <w:r>
              <w:rPr>
                <w:rFonts w:hint="eastAsia"/>
                <w:lang w:val="en-US" w:eastAsia="zh-CN"/>
              </w:rPr>
              <w:t>0.05</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rPr>
            </w:pPr>
            <w:r>
              <w:rPr>
                <w:rFonts w:hint="default"/>
              </w:rPr>
              <w:t>氨氮</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eastAsia"/>
                <w:lang w:val="en-US" w:eastAsia="zh-CN"/>
              </w:rPr>
              <w:t>0.216</w:t>
            </w:r>
          </w:p>
        </w:tc>
        <w:tc>
          <w:tcPr>
            <w:tcW w:w="664" w:type="pct"/>
            <w:noWrap w:val="0"/>
            <w:vAlign w:val="center"/>
          </w:tcPr>
          <w:p>
            <w:pPr>
              <w:pStyle w:val="30"/>
              <w:bidi w:val="0"/>
              <w:rPr>
                <w:rFonts w:hint="default"/>
                <w:lang w:val="en-US" w:eastAsia="zh-CN"/>
              </w:rPr>
            </w:pPr>
            <w:r>
              <w:rPr>
                <w:rFonts w:hint="eastAsia"/>
                <w:lang w:val="en-US" w:eastAsia="zh-CN"/>
              </w:rPr>
              <w:t>0.201</w:t>
            </w:r>
          </w:p>
        </w:tc>
        <w:tc>
          <w:tcPr>
            <w:tcW w:w="664" w:type="pct"/>
            <w:noWrap w:val="0"/>
            <w:vAlign w:val="center"/>
          </w:tcPr>
          <w:p>
            <w:pPr>
              <w:pStyle w:val="30"/>
              <w:bidi w:val="0"/>
              <w:rPr>
                <w:rFonts w:hint="default"/>
                <w:lang w:val="en-US" w:eastAsia="zh-CN"/>
              </w:rPr>
            </w:pPr>
            <w:r>
              <w:rPr>
                <w:rFonts w:hint="eastAsia"/>
                <w:lang w:val="en-US" w:eastAsia="zh-CN"/>
              </w:rPr>
              <w:t>0.217</w:t>
            </w:r>
          </w:p>
        </w:tc>
        <w:tc>
          <w:tcPr>
            <w:tcW w:w="579" w:type="pct"/>
            <w:noWrap w:val="0"/>
            <w:vAlign w:val="center"/>
          </w:tcPr>
          <w:p>
            <w:pPr>
              <w:pStyle w:val="30"/>
              <w:bidi w:val="0"/>
              <w:ind w:firstLine="0" w:firstLineChars="0"/>
              <w:rPr>
                <w:rFonts w:hint="default"/>
                <w:lang w:val="en-US" w:eastAsia="zh-CN"/>
              </w:rPr>
            </w:pPr>
            <w:r>
              <w:rPr>
                <w:rFonts w:hint="eastAsia"/>
                <w:lang w:val="en-US" w:eastAsia="zh-CN"/>
              </w:rPr>
              <w:t>1.0</w:t>
            </w:r>
          </w:p>
        </w:tc>
        <w:tc>
          <w:tcPr>
            <w:tcW w:w="589" w:type="pct"/>
            <w:noWrap w:val="0"/>
            <w:vAlign w:val="center"/>
          </w:tcPr>
          <w:p>
            <w:pPr>
              <w:pStyle w:val="30"/>
              <w:bidi w:val="0"/>
              <w:ind w:firstLine="0" w:firstLineChars="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rPr>
            </w:pPr>
            <w:r>
              <w:rPr>
                <w:rFonts w:hint="default"/>
                <w:lang w:val="en-US" w:eastAsia="zh-CN"/>
              </w:rPr>
              <w:t>总氮</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eastAsia"/>
                <w:lang w:val="en-US" w:eastAsia="zh-CN"/>
              </w:rPr>
              <w:t>0.66</w:t>
            </w:r>
          </w:p>
        </w:tc>
        <w:tc>
          <w:tcPr>
            <w:tcW w:w="664" w:type="pct"/>
            <w:noWrap w:val="0"/>
            <w:vAlign w:val="center"/>
          </w:tcPr>
          <w:p>
            <w:pPr>
              <w:pStyle w:val="30"/>
              <w:bidi w:val="0"/>
              <w:rPr>
                <w:rFonts w:hint="default"/>
                <w:lang w:val="en-US" w:eastAsia="zh-CN"/>
              </w:rPr>
            </w:pPr>
            <w:r>
              <w:rPr>
                <w:rFonts w:hint="eastAsia"/>
                <w:lang w:val="en-US" w:eastAsia="zh-CN"/>
              </w:rPr>
              <w:t>0.71</w:t>
            </w:r>
          </w:p>
        </w:tc>
        <w:tc>
          <w:tcPr>
            <w:tcW w:w="664" w:type="pct"/>
            <w:noWrap w:val="0"/>
            <w:vAlign w:val="center"/>
          </w:tcPr>
          <w:p>
            <w:pPr>
              <w:pStyle w:val="30"/>
              <w:bidi w:val="0"/>
              <w:rPr>
                <w:rFonts w:hint="default"/>
                <w:lang w:val="en-US" w:eastAsia="zh-CN"/>
              </w:rPr>
            </w:pPr>
            <w:r>
              <w:rPr>
                <w:rFonts w:hint="eastAsia"/>
                <w:lang w:val="en-US" w:eastAsia="zh-CN"/>
              </w:rPr>
              <w:t>0.71</w:t>
            </w:r>
          </w:p>
        </w:tc>
        <w:tc>
          <w:tcPr>
            <w:tcW w:w="579" w:type="pct"/>
            <w:noWrap w:val="0"/>
            <w:vAlign w:val="center"/>
          </w:tcPr>
          <w:p>
            <w:pPr>
              <w:pStyle w:val="30"/>
              <w:bidi w:val="0"/>
              <w:ind w:firstLine="0" w:firstLineChars="0"/>
              <w:rPr>
                <w:rFonts w:hint="default"/>
                <w:lang w:val="en-US" w:eastAsia="zh-CN"/>
              </w:rPr>
            </w:pPr>
            <w:r>
              <w:rPr>
                <w:rFonts w:hint="eastAsia"/>
                <w:lang w:val="en-US" w:eastAsia="zh-CN"/>
              </w:rPr>
              <w:t>1.0</w:t>
            </w:r>
          </w:p>
        </w:tc>
        <w:tc>
          <w:tcPr>
            <w:tcW w:w="589" w:type="pct"/>
            <w:noWrap w:val="0"/>
            <w:vAlign w:val="center"/>
          </w:tcPr>
          <w:p>
            <w:pPr>
              <w:pStyle w:val="30"/>
              <w:bidi w:val="0"/>
              <w:ind w:firstLine="0" w:firstLineChars="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rPr>
            </w:pPr>
            <w:r>
              <w:rPr>
                <w:rFonts w:hint="default"/>
                <w:lang w:val="en-US" w:eastAsia="zh-CN"/>
              </w:rPr>
              <w:t>总磷</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0.06</w:t>
            </w:r>
          </w:p>
        </w:tc>
        <w:tc>
          <w:tcPr>
            <w:tcW w:w="664" w:type="pct"/>
            <w:noWrap w:val="0"/>
            <w:vAlign w:val="center"/>
          </w:tcPr>
          <w:p>
            <w:pPr>
              <w:pStyle w:val="30"/>
              <w:bidi w:val="0"/>
              <w:rPr>
                <w:rFonts w:hint="default"/>
                <w:lang w:val="en-US" w:eastAsia="zh-CN"/>
              </w:rPr>
            </w:pPr>
            <w:r>
              <w:rPr>
                <w:rFonts w:hint="default"/>
                <w:lang w:val="en-US" w:eastAsia="zh-CN"/>
              </w:rPr>
              <w:t>0.08</w:t>
            </w:r>
          </w:p>
        </w:tc>
        <w:tc>
          <w:tcPr>
            <w:tcW w:w="664" w:type="pct"/>
            <w:noWrap w:val="0"/>
            <w:vAlign w:val="center"/>
          </w:tcPr>
          <w:p>
            <w:pPr>
              <w:pStyle w:val="30"/>
              <w:bidi w:val="0"/>
              <w:rPr>
                <w:rFonts w:hint="default"/>
                <w:lang w:val="en-US" w:eastAsia="zh-CN"/>
              </w:rPr>
            </w:pPr>
            <w:r>
              <w:rPr>
                <w:rFonts w:hint="default"/>
                <w:lang w:val="en-US" w:eastAsia="zh-CN"/>
              </w:rPr>
              <w:t>0.08</w:t>
            </w:r>
          </w:p>
        </w:tc>
        <w:tc>
          <w:tcPr>
            <w:tcW w:w="579" w:type="pct"/>
            <w:noWrap w:val="0"/>
            <w:vAlign w:val="center"/>
          </w:tcPr>
          <w:p>
            <w:pPr>
              <w:pStyle w:val="30"/>
              <w:bidi w:val="0"/>
              <w:ind w:firstLine="0" w:firstLineChars="0"/>
              <w:rPr>
                <w:rFonts w:hint="default"/>
                <w:lang w:val="en-US" w:eastAsia="zh-CN"/>
              </w:rPr>
            </w:pPr>
            <w:r>
              <w:rPr>
                <w:rFonts w:hint="eastAsia"/>
                <w:lang w:val="en-US" w:eastAsia="zh-CN"/>
              </w:rPr>
              <w:t>0.2</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挥发酚</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未检出</w:t>
            </w:r>
          </w:p>
        </w:tc>
        <w:tc>
          <w:tcPr>
            <w:tcW w:w="664" w:type="pct"/>
            <w:noWrap w:val="0"/>
            <w:vAlign w:val="center"/>
          </w:tcPr>
          <w:p>
            <w:pPr>
              <w:pStyle w:val="30"/>
              <w:bidi w:val="0"/>
              <w:rPr>
                <w:rFonts w:hint="default"/>
                <w:lang w:val="en-US" w:eastAsia="zh-CN"/>
              </w:rPr>
            </w:pPr>
            <w:r>
              <w:rPr>
                <w:rFonts w:hint="default"/>
                <w:lang w:val="en-US" w:eastAsia="zh-CN"/>
              </w:rPr>
              <w:t>未检出</w:t>
            </w:r>
          </w:p>
        </w:tc>
        <w:tc>
          <w:tcPr>
            <w:tcW w:w="664" w:type="pct"/>
            <w:noWrap w:val="0"/>
            <w:vAlign w:val="center"/>
          </w:tcPr>
          <w:p>
            <w:pPr>
              <w:pStyle w:val="30"/>
              <w:bidi w:val="0"/>
              <w:rPr>
                <w:rFonts w:hint="default"/>
                <w:lang w:val="en-US" w:eastAsia="zh-CN"/>
              </w:rPr>
            </w:pPr>
            <w:r>
              <w:rPr>
                <w:rFonts w:hint="default"/>
                <w:lang w:val="en-US" w:eastAsia="zh-CN"/>
              </w:rPr>
              <w:t>未检出</w:t>
            </w:r>
          </w:p>
        </w:tc>
        <w:tc>
          <w:tcPr>
            <w:tcW w:w="579" w:type="pct"/>
            <w:noWrap w:val="0"/>
            <w:vAlign w:val="center"/>
          </w:tcPr>
          <w:p>
            <w:pPr>
              <w:pStyle w:val="30"/>
              <w:bidi w:val="0"/>
              <w:ind w:firstLine="0" w:firstLineChars="0"/>
              <w:rPr>
                <w:rFonts w:hint="default"/>
                <w:lang w:val="en-US" w:eastAsia="zh-CN"/>
              </w:rPr>
            </w:pPr>
            <w:r>
              <w:rPr>
                <w:rFonts w:hint="eastAsia"/>
                <w:lang w:val="en-US" w:eastAsia="zh-CN"/>
              </w:rPr>
              <w:t>0.005</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粪大肠菌群</w:t>
            </w:r>
          </w:p>
        </w:tc>
        <w:tc>
          <w:tcPr>
            <w:tcW w:w="454" w:type="pct"/>
            <w:noWrap w:val="0"/>
            <w:vAlign w:val="center"/>
          </w:tcPr>
          <w:p>
            <w:pPr>
              <w:pStyle w:val="30"/>
              <w:bidi w:val="0"/>
              <w:rPr>
                <w:rFonts w:hint="default"/>
                <w:lang w:val="en-US" w:eastAsia="zh-CN"/>
              </w:rPr>
            </w:pPr>
            <w:r>
              <w:rPr>
                <w:rFonts w:hint="default"/>
                <w:lang w:val="en-US" w:eastAsia="zh-CN"/>
              </w:rPr>
              <w:t>MPN/L</w:t>
            </w:r>
          </w:p>
        </w:tc>
        <w:tc>
          <w:tcPr>
            <w:tcW w:w="664" w:type="pct"/>
            <w:noWrap w:val="0"/>
            <w:vAlign w:val="center"/>
          </w:tcPr>
          <w:p>
            <w:pPr>
              <w:pStyle w:val="30"/>
              <w:bidi w:val="0"/>
              <w:rPr>
                <w:rFonts w:hint="default"/>
                <w:lang w:val="en-US" w:eastAsia="zh-CN"/>
              </w:rPr>
            </w:pPr>
            <w:r>
              <w:rPr>
                <w:rFonts w:hint="default"/>
                <w:lang w:val="en-US" w:eastAsia="zh-CN"/>
              </w:rPr>
              <w:t>7.0×10</w:t>
            </w:r>
            <w:r>
              <w:rPr>
                <w:rFonts w:hint="default"/>
                <w:vertAlign w:val="superscript"/>
                <w:lang w:val="en-US" w:eastAsia="zh-CN"/>
              </w:rPr>
              <w:t>2</w:t>
            </w:r>
          </w:p>
        </w:tc>
        <w:tc>
          <w:tcPr>
            <w:tcW w:w="664" w:type="pct"/>
            <w:noWrap w:val="0"/>
            <w:vAlign w:val="center"/>
          </w:tcPr>
          <w:p>
            <w:pPr>
              <w:pStyle w:val="30"/>
              <w:bidi w:val="0"/>
              <w:rPr>
                <w:rFonts w:hint="default"/>
                <w:lang w:val="en-US" w:eastAsia="zh-CN"/>
              </w:rPr>
            </w:pPr>
            <w:r>
              <w:rPr>
                <w:rFonts w:hint="default"/>
                <w:lang w:val="en-US" w:eastAsia="zh-CN"/>
              </w:rPr>
              <w:t>8.0×10</w:t>
            </w:r>
            <w:r>
              <w:rPr>
                <w:rFonts w:hint="default"/>
                <w:vertAlign w:val="superscript"/>
                <w:lang w:val="en-US" w:eastAsia="zh-CN"/>
              </w:rPr>
              <w:t>2</w:t>
            </w:r>
          </w:p>
        </w:tc>
        <w:tc>
          <w:tcPr>
            <w:tcW w:w="664" w:type="pct"/>
            <w:noWrap w:val="0"/>
            <w:vAlign w:val="center"/>
          </w:tcPr>
          <w:p>
            <w:pPr>
              <w:pStyle w:val="30"/>
              <w:bidi w:val="0"/>
              <w:rPr>
                <w:rFonts w:hint="default"/>
                <w:lang w:val="en-US" w:eastAsia="zh-CN"/>
              </w:rPr>
            </w:pPr>
            <w:r>
              <w:rPr>
                <w:rFonts w:hint="default"/>
                <w:lang w:val="en-US" w:eastAsia="zh-CN"/>
              </w:rPr>
              <w:t>7.0×10</w:t>
            </w:r>
            <w:r>
              <w:rPr>
                <w:rFonts w:hint="default"/>
                <w:vertAlign w:val="superscript"/>
                <w:lang w:val="en-US" w:eastAsia="zh-CN"/>
              </w:rPr>
              <w:t>2</w:t>
            </w:r>
          </w:p>
        </w:tc>
        <w:tc>
          <w:tcPr>
            <w:tcW w:w="579" w:type="pct"/>
            <w:noWrap w:val="0"/>
            <w:vAlign w:val="center"/>
          </w:tcPr>
          <w:p>
            <w:pPr>
              <w:pStyle w:val="30"/>
              <w:bidi w:val="0"/>
              <w:ind w:firstLine="0" w:firstLineChars="0"/>
              <w:rPr>
                <w:rFonts w:hint="default"/>
                <w:vertAlign w:val="superscript"/>
                <w:lang w:val="en-US" w:eastAsia="zh-CN"/>
              </w:rPr>
            </w:pPr>
            <w:r>
              <w:rPr>
                <w:rFonts w:hint="eastAsia"/>
                <w:lang w:val="en-US" w:eastAsia="zh-CN"/>
              </w:rPr>
              <w:t>1</w:t>
            </w:r>
            <w:r>
              <w:rPr>
                <w:rFonts w:hint="default"/>
                <w:lang w:val="en-US" w:eastAsia="zh-CN"/>
              </w:rPr>
              <w:t>×10</w:t>
            </w:r>
            <w:r>
              <w:rPr>
                <w:rFonts w:hint="eastAsia"/>
                <w:vertAlign w:val="superscript"/>
                <w:lang w:val="en-US" w:eastAsia="zh-CN"/>
              </w:rPr>
              <w:t>4</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restart"/>
            <w:noWrap w:val="0"/>
            <w:vAlign w:val="center"/>
          </w:tcPr>
          <w:p>
            <w:pPr>
              <w:pStyle w:val="30"/>
              <w:bidi w:val="0"/>
              <w:rPr>
                <w:rFonts w:hint="default"/>
              </w:rPr>
            </w:pPr>
            <w:r>
              <w:rPr>
                <w:rFonts w:hint="default"/>
              </w:rPr>
              <w:fldChar w:fldCharType="begin"/>
            </w:r>
            <w:r>
              <w:rPr>
                <w:rFonts w:hint="default"/>
              </w:rPr>
              <w:instrText xml:space="preserve"> REF </w:instrText>
            </w:r>
            <w:r>
              <w:rPr>
                <w:rFonts w:hint="default"/>
                <w:lang w:val="en-US" w:eastAsia="zh-CN"/>
              </w:rPr>
              <w:instrText xml:space="preserve">地表水2</w:instrText>
            </w:r>
            <w:r>
              <w:rPr>
                <w:rFonts w:hint="default"/>
              </w:rPr>
              <w:instrText xml:space="preserve">\h \* MERGEFORMAT</w:instrText>
            </w:r>
            <w:r>
              <w:rPr>
                <w:rFonts w:hint="default"/>
              </w:rPr>
              <w:fldChar w:fldCharType="separate"/>
            </w:r>
            <w:r>
              <w:rPr>
                <w:rFonts w:hint="default"/>
                <w:lang w:val="en-US" w:eastAsia="zh-CN"/>
              </w:rPr>
              <w:t>2#拟建</w:t>
            </w:r>
            <w:r>
              <w:rPr>
                <w:rFonts w:hint="eastAsia"/>
                <w:lang w:val="en-US" w:eastAsia="zh-CN"/>
              </w:rPr>
              <w:t>项目</w:t>
            </w:r>
            <w:r>
              <w:rPr>
                <w:rFonts w:hint="default"/>
                <w:lang w:val="en-US" w:eastAsia="zh-CN"/>
              </w:rPr>
              <w:t>下游1000m</w:t>
            </w:r>
            <w:r>
              <w:rPr>
                <w:rFonts w:hint="default"/>
              </w:rPr>
              <w:fldChar w:fldCharType="end"/>
            </w:r>
            <w:r>
              <w:rPr>
                <w:rFonts w:hint="default"/>
              </w:rPr>
              <w:br w:type="page"/>
            </w:r>
          </w:p>
        </w:tc>
        <w:tc>
          <w:tcPr>
            <w:tcW w:w="829" w:type="pct"/>
            <w:noWrap w:val="0"/>
            <w:vAlign w:val="center"/>
          </w:tcPr>
          <w:p>
            <w:pPr>
              <w:pStyle w:val="30"/>
              <w:bidi w:val="0"/>
              <w:rPr>
                <w:rFonts w:hint="default"/>
                <w:lang w:val="en-US" w:eastAsia="zh-CN"/>
              </w:rPr>
            </w:pPr>
            <w:r>
              <w:rPr>
                <w:rFonts w:hint="default"/>
              </w:rPr>
              <w:t>pH</w:t>
            </w:r>
          </w:p>
        </w:tc>
        <w:tc>
          <w:tcPr>
            <w:tcW w:w="454" w:type="pct"/>
            <w:noWrap w:val="0"/>
            <w:vAlign w:val="center"/>
          </w:tcPr>
          <w:p>
            <w:pPr>
              <w:pStyle w:val="30"/>
              <w:bidi w:val="0"/>
              <w:rPr>
                <w:rFonts w:hint="default"/>
                <w:lang w:val="en-US" w:eastAsia="zh-CN"/>
              </w:rPr>
            </w:pPr>
            <w:r>
              <w:rPr>
                <w:rFonts w:hint="default"/>
                <w:lang w:eastAsia="zh-CN"/>
              </w:rPr>
              <w:t>无量纲</w:t>
            </w:r>
          </w:p>
        </w:tc>
        <w:tc>
          <w:tcPr>
            <w:tcW w:w="664" w:type="pct"/>
            <w:noWrap w:val="0"/>
            <w:vAlign w:val="center"/>
          </w:tcPr>
          <w:p>
            <w:pPr>
              <w:pStyle w:val="30"/>
              <w:bidi w:val="0"/>
              <w:rPr>
                <w:rFonts w:hint="default"/>
                <w:lang w:val="en-US" w:eastAsia="zh-CN"/>
              </w:rPr>
            </w:pPr>
            <w:r>
              <w:rPr>
                <w:rFonts w:hint="default"/>
                <w:lang w:val="en-US" w:eastAsia="zh-CN"/>
              </w:rPr>
              <w:t>7.4</w:t>
            </w:r>
          </w:p>
        </w:tc>
        <w:tc>
          <w:tcPr>
            <w:tcW w:w="664" w:type="pct"/>
            <w:noWrap w:val="0"/>
            <w:vAlign w:val="center"/>
          </w:tcPr>
          <w:p>
            <w:pPr>
              <w:pStyle w:val="30"/>
              <w:bidi w:val="0"/>
              <w:rPr>
                <w:rFonts w:hint="default"/>
                <w:lang w:val="en-US" w:eastAsia="zh-CN"/>
              </w:rPr>
            </w:pPr>
            <w:r>
              <w:rPr>
                <w:rFonts w:hint="default"/>
                <w:lang w:val="en-US" w:eastAsia="zh-CN"/>
              </w:rPr>
              <w:t>7.5</w:t>
            </w:r>
          </w:p>
        </w:tc>
        <w:tc>
          <w:tcPr>
            <w:tcW w:w="664" w:type="pct"/>
            <w:noWrap w:val="0"/>
            <w:vAlign w:val="center"/>
          </w:tcPr>
          <w:p>
            <w:pPr>
              <w:pStyle w:val="30"/>
              <w:bidi w:val="0"/>
              <w:rPr>
                <w:rFonts w:hint="default"/>
                <w:lang w:val="en-US" w:eastAsia="zh-CN"/>
              </w:rPr>
            </w:pPr>
            <w:r>
              <w:rPr>
                <w:rFonts w:hint="default"/>
                <w:lang w:val="en-US" w:eastAsia="zh-CN"/>
              </w:rPr>
              <w:t>7.5</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6-9</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水温</w:t>
            </w:r>
          </w:p>
        </w:tc>
        <w:tc>
          <w:tcPr>
            <w:tcW w:w="454" w:type="pct"/>
            <w:noWrap w:val="0"/>
            <w:vAlign w:val="center"/>
          </w:tcPr>
          <w:p>
            <w:pPr>
              <w:pStyle w:val="30"/>
              <w:bidi w:val="0"/>
              <w:rPr>
                <w:rFonts w:hint="default"/>
                <w:lang w:val="en-US" w:eastAsia="zh-CN"/>
              </w:rPr>
            </w:pPr>
            <w:r>
              <w:rPr>
                <w:rFonts w:hint="default"/>
                <w:lang w:val="en-US" w:eastAsia="zh-CN"/>
              </w:rPr>
              <w:t>℃</w:t>
            </w:r>
          </w:p>
        </w:tc>
        <w:tc>
          <w:tcPr>
            <w:tcW w:w="664" w:type="pct"/>
            <w:noWrap w:val="0"/>
            <w:vAlign w:val="center"/>
          </w:tcPr>
          <w:p>
            <w:pPr>
              <w:pStyle w:val="30"/>
              <w:bidi w:val="0"/>
              <w:rPr>
                <w:rFonts w:hint="default"/>
                <w:lang w:val="en-US" w:eastAsia="zh-CN"/>
              </w:rPr>
            </w:pPr>
            <w:r>
              <w:rPr>
                <w:rFonts w:hint="default"/>
                <w:lang w:val="en-US" w:eastAsia="zh-CN"/>
              </w:rPr>
              <w:t>15.9</w:t>
            </w:r>
          </w:p>
        </w:tc>
        <w:tc>
          <w:tcPr>
            <w:tcW w:w="664" w:type="pct"/>
            <w:noWrap w:val="0"/>
            <w:vAlign w:val="center"/>
          </w:tcPr>
          <w:p>
            <w:pPr>
              <w:pStyle w:val="30"/>
              <w:bidi w:val="0"/>
              <w:rPr>
                <w:rFonts w:hint="default"/>
                <w:lang w:val="en-US" w:eastAsia="zh-CN"/>
              </w:rPr>
            </w:pPr>
            <w:r>
              <w:rPr>
                <w:rFonts w:hint="default"/>
                <w:lang w:val="en-US" w:eastAsia="zh-CN"/>
              </w:rPr>
              <w:t>15.8</w:t>
            </w:r>
          </w:p>
        </w:tc>
        <w:tc>
          <w:tcPr>
            <w:tcW w:w="664" w:type="pct"/>
            <w:noWrap w:val="0"/>
            <w:vAlign w:val="center"/>
          </w:tcPr>
          <w:p>
            <w:pPr>
              <w:pStyle w:val="30"/>
              <w:bidi w:val="0"/>
              <w:rPr>
                <w:rFonts w:hint="default"/>
                <w:lang w:val="en-US" w:eastAsia="zh-CN"/>
              </w:rPr>
            </w:pPr>
            <w:r>
              <w:rPr>
                <w:rFonts w:hint="default"/>
                <w:lang w:val="en-US" w:eastAsia="zh-CN"/>
              </w:rPr>
              <w:t>15.3</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溶解氧</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6.9</w:t>
            </w:r>
          </w:p>
        </w:tc>
        <w:tc>
          <w:tcPr>
            <w:tcW w:w="664" w:type="pct"/>
            <w:noWrap w:val="0"/>
            <w:vAlign w:val="center"/>
          </w:tcPr>
          <w:p>
            <w:pPr>
              <w:pStyle w:val="30"/>
              <w:bidi w:val="0"/>
              <w:rPr>
                <w:rFonts w:hint="default"/>
                <w:lang w:val="en-US" w:eastAsia="zh-CN"/>
              </w:rPr>
            </w:pPr>
            <w:r>
              <w:rPr>
                <w:rFonts w:hint="default"/>
                <w:lang w:val="en-US" w:eastAsia="zh-CN"/>
              </w:rPr>
              <w:t>7.0</w:t>
            </w:r>
          </w:p>
        </w:tc>
        <w:tc>
          <w:tcPr>
            <w:tcW w:w="664" w:type="pct"/>
            <w:noWrap w:val="0"/>
            <w:vAlign w:val="center"/>
          </w:tcPr>
          <w:p>
            <w:pPr>
              <w:pStyle w:val="30"/>
              <w:bidi w:val="0"/>
              <w:rPr>
                <w:rFonts w:hint="default"/>
                <w:lang w:val="en-US" w:eastAsia="zh-CN"/>
              </w:rPr>
            </w:pPr>
            <w:r>
              <w:rPr>
                <w:rFonts w:hint="default"/>
                <w:lang w:val="en-US" w:eastAsia="zh-CN"/>
              </w:rPr>
              <w:t>7.2</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≥5</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悬浮物</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9</w:t>
            </w:r>
          </w:p>
        </w:tc>
        <w:tc>
          <w:tcPr>
            <w:tcW w:w="664" w:type="pct"/>
            <w:noWrap w:val="0"/>
            <w:vAlign w:val="center"/>
          </w:tcPr>
          <w:p>
            <w:pPr>
              <w:pStyle w:val="30"/>
              <w:bidi w:val="0"/>
              <w:rPr>
                <w:rFonts w:hint="default"/>
                <w:lang w:val="en-US" w:eastAsia="zh-CN"/>
              </w:rPr>
            </w:pPr>
            <w:r>
              <w:rPr>
                <w:rFonts w:hint="default"/>
                <w:lang w:val="en-US" w:eastAsia="zh-CN"/>
              </w:rPr>
              <w:t>10</w:t>
            </w:r>
          </w:p>
        </w:tc>
        <w:tc>
          <w:tcPr>
            <w:tcW w:w="664" w:type="pct"/>
            <w:noWrap w:val="0"/>
            <w:vAlign w:val="center"/>
          </w:tcPr>
          <w:p>
            <w:pPr>
              <w:pStyle w:val="30"/>
              <w:bidi w:val="0"/>
              <w:rPr>
                <w:rFonts w:hint="default"/>
                <w:lang w:val="en-US" w:eastAsia="zh-CN"/>
              </w:rPr>
            </w:pPr>
            <w:r>
              <w:rPr>
                <w:rFonts w:hint="default"/>
                <w:lang w:val="en-US" w:eastAsia="zh-CN"/>
              </w:rPr>
              <w:t>11</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rPr>
              <w:t>化学需氧量</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12</w:t>
            </w:r>
          </w:p>
        </w:tc>
        <w:tc>
          <w:tcPr>
            <w:tcW w:w="664" w:type="pct"/>
            <w:noWrap w:val="0"/>
            <w:vAlign w:val="center"/>
          </w:tcPr>
          <w:p>
            <w:pPr>
              <w:pStyle w:val="30"/>
              <w:bidi w:val="0"/>
              <w:rPr>
                <w:rFonts w:hint="default"/>
                <w:lang w:val="en-US" w:eastAsia="zh-CN"/>
              </w:rPr>
            </w:pPr>
            <w:r>
              <w:rPr>
                <w:rFonts w:hint="default"/>
                <w:lang w:val="en-US" w:eastAsia="zh-CN"/>
              </w:rPr>
              <w:t>11</w:t>
            </w:r>
          </w:p>
        </w:tc>
        <w:tc>
          <w:tcPr>
            <w:tcW w:w="664" w:type="pct"/>
            <w:noWrap w:val="0"/>
            <w:vAlign w:val="center"/>
          </w:tcPr>
          <w:p>
            <w:pPr>
              <w:pStyle w:val="30"/>
              <w:bidi w:val="0"/>
              <w:rPr>
                <w:rFonts w:hint="default"/>
                <w:lang w:val="en-US" w:eastAsia="zh-CN"/>
              </w:rPr>
            </w:pPr>
            <w:r>
              <w:rPr>
                <w:rFonts w:hint="default"/>
                <w:lang w:val="en-US" w:eastAsia="zh-CN"/>
              </w:rPr>
              <w:t>11</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20</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五日生化需氧量</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2.2</w:t>
            </w:r>
          </w:p>
        </w:tc>
        <w:tc>
          <w:tcPr>
            <w:tcW w:w="664" w:type="pct"/>
            <w:noWrap w:val="0"/>
            <w:vAlign w:val="center"/>
          </w:tcPr>
          <w:p>
            <w:pPr>
              <w:pStyle w:val="30"/>
              <w:bidi w:val="0"/>
              <w:rPr>
                <w:rFonts w:hint="default"/>
                <w:lang w:val="en-US" w:eastAsia="zh-CN"/>
              </w:rPr>
            </w:pPr>
            <w:r>
              <w:rPr>
                <w:rFonts w:hint="default"/>
                <w:lang w:val="en-US" w:eastAsia="zh-CN"/>
              </w:rPr>
              <w:t>2.1</w:t>
            </w:r>
          </w:p>
        </w:tc>
        <w:tc>
          <w:tcPr>
            <w:tcW w:w="664" w:type="pct"/>
            <w:noWrap w:val="0"/>
            <w:vAlign w:val="center"/>
          </w:tcPr>
          <w:p>
            <w:pPr>
              <w:pStyle w:val="30"/>
              <w:bidi w:val="0"/>
              <w:rPr>
                <w:rFonts w:hint="default"/>
                <w:lang w:val="en-US" w:eastAsia="zh-CN"/>
              </w:rPr>
            </w:pPr>
            <w:r>
              <w:rPr>
                <w:rFonts w:hint="default"/>
                <w:lang w:val="en-US" w:eastAsia="zh-CN"/>
              </w:rPr>
              <w:t>2.0</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4</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石油类</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0.01</w:t>
            </w:r>
          </w:p>
        </w:tc>
        <w:tc>
          <w:tcPr>
            <w:tcW w:w="664" w:type="pct"/>
            <w:noWrap w:val="0"/>
            <w:vAlign w:val="center"/>
          </w:tcPr>
          <w:p>
            <w:pPr>
              <w:pStyle w:val="30"/>
              <w:bidi w:val="0"/>
              <w:rPr>
                <w:rFonts w:hint="default"/>
                <w:lang w:val="en-US" w:eastAsia="zh-CN"/>
              </w:rPr>
            </w:pPr>
            <w:r>
              <w:rPr>
                <w:rFonts w:hint="default"/>
                <w:lang w:val="en-US" w:eastAsia="zh-CN"/>
              </w:rPr>
              <w:t>0.02</w:t>
            </w:r>
          </w:p>
        </w:tc>
        <w:tc>
          <w:tcPr>
            <w:tcW w:w="664" w:type="pct"/>
            <w:noWrap w:val="0"/>
            <w:vAlign w:val="center"/>
          </w:tcPr>
          <w:p>
            <w:pPr>
              <w:pStyle w:val="30"/>
              <w:bidi w:val="0"/>
              <w:rPr>
                <w:rFonts w:hint="default"/>
                <w:lang w:val="en-US" w:eastAsia="zh-CN"/>
              </w:rPr>
            </w:pPr>
            <w:r>
              <w:rPr>
                <w:rFonts w:hint="default"/>
                <w:lang w:val="en-US" w:eastAsia="zh-CN"/>
              </w:rPr>
              <w:t>0.01</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0.05</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rPr>
              <w:t>氨氮</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eastAsia"/>
                <w:lang w:val="en-US" w:eastAsia="zh-CN"/>
              </w:rPr>
              <w:t>0.474</w:t>
            </w:r>
          </w:p>
        </w:tc>
        <w:tc>
          <w:tcPr>
            <w:tcW w:w="664" w:type="pct"/>
            <w:noWrap w:val="0"/>
            <w:vAlign w:val="center"/>
          </w:tcPr>
          <w:p>
            <w:pPr>
              <w:pStyle w:val="30"/>
              <w:bidi w:val="0"/>
              <w:rPr>
                <w:rFonts w:hint="default"/>
                <w:lang w:val="en-US" w:eastAsia="zh-CN"/>
              </w:rPr>
            </w:pPr>
            <w:r>
              <w:rPr>
                <w:rFonts w:hint="eastAsia"/>
                <w:lang w:val="en-US" w:eastAsia="zh-CN"/>
              </w:rPr>
              <w:t>0.465</w:t>
            </w:r>
          </w:p>
        </w:tc>
        <w:tc>
          <w:tcPr>
            <w:tcW w:w="664" w:type="pct"/>
            <w:noWrap w:val="0"/>
            <w:vAlign w:val="center"/>
          </w:tcPr>
          <w:p>
            <w:pPr>
              <w:pStyle w:val="30"/>
              <w:bidi w:val="0"/>
              <w:rPr>
                <w:rFonts w:hint="default"/>
                <w:lang w:val="en-US" w:eastAsia="zh-CN"/>
              </w:rPr>
            </w:pPr>
            <w:r>
              <w:rPr>
                <w:rFonts w:hint="eastAsia"/>
                <w:lang w:val="en-US" w:eastAsia="zh-CN"/>
              </w:rPr>
              <w:t>0.460</w:t>
            </w:r>
          </w:p>
        </w:tc>
        <w:tc>
          <w:tcPr>
            <w:tcW w:w="579" w:type="pct"/>
            <w:noWrap w:val="0"/>
            <w:vAlign w:val="center"/>
          </w:tcPr>
          <w:p>
            <w:pPr>
              <w:pStyle w:val="3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1.0</w:t>
            </w:r>
          </w:p>
        </w:tc>
        <w:tc>
          <w:tcPr>
            <w:tcW w:w="589" w:type="pct"/>
            <w:noWrap w:val="0"/>
            <w:vAlign w:val="center"/>
          </w:tcPr>
          <w:p>
            <w:pPr>
              <w:pStyle w:val="30"/>
              <w:bidi w:val="0"/>
              <w:ind w:firstLine="0" w:firstLineChars="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总氮</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eastAsia"/>
                <w:lang w:val="en-US" w:eastAsia="zh-CN"/>
              </w:rPr>
              <w:t>0.95</w:t>
            </w:r>
          </w:p>
        </w:tc>
        <w:tc>
          <w:tcPr>
            <w:tcW w:w="664" w:type="pct"/>
            <w:noWrap w:val="0"/>
            <w:vAlign w:val="center"/>
          </w:tcPr>
          <w:p>
            <w:pPr>
              <w:pStyle w:val="30"/>
              <w:bidi w:val="0"/>
              <w:rPr>
                <w:rFonts w:hint="default"/>
                <w:lang w:val="en-US" w:eastAsia="zh-CN"/>
              </w:rPr>
            </w:pPr>
            <w:r>
              <w:rPr>
                <w:rFonts w:hint="eastAsia"/>
                <w:lang w:val="en-US" w:eastAsia="zh-CN"/>
              </w:rPr>
              <w:t>1.02</w:t>
            </w:r>
          </w:p>
        </w:tc>
        <w:tc>
          <w:tcPr>
            <w:tcW w:w="664" w:type="pct"/>
            <w:noWrap w:val="0"/>
            <w:vAlign w:val="center"/>
          </w:tcPr>
          <w:p>
            <w:pPr>
              <w:pStyle w:val="30"/>
              <w:bidi w:val="0"/>
              <w:rPr>
                <w:rFonts w:hint="default"/>
                <w:lang w:val="en-US" w:eastAsia="zh-CN"/>
              </w:rPr>
            </w:pPr>
            <w:r>
              <w:rPr>
                <w:rFonts w:hint="eastAsia"/>
                <w:lang w:val="en-US" w:eastAsia="zh-CN"/>
              </w:rPr>
              <w:t>0.99</w:t>
            </w:r>
          </w:p>
        </w:tc>
        <w:tc>
          <w:tcPr>
            <w:tcW w:w="579" w:type="pct"/>
            <w:noWrap w:val="0"/>
            <w:vAlign w:val="center"/>
          </w:tcPr>
          <w:p>
            <w:pPr>
              <w:pStyle w:val="3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1.0</w:t>
            </w:r>
          </w:p>
        </w:tc>
        <w:tc>
          <w:tcPr>
            <w:tcW w:w="589" w:type="pct"/>
            <w:noWrap w:val="0"/>
            <w:vAlign w:val="center"/>
          </w:tcPr>
          <w:p>
            <w:pPr>
              <w:pStyle w:val="30"/>
              <w:bidi w:val="0"/>
              <w:ind w:firstLine="0" w:firstLineChars="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总磷</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0.05</w:t>
            </w:r>
          </w:p>
        </w:tc>
        <w:tc>
          <w:tcPr>
            <w:tcW w:w="664" w:type="pct"/>
            <w:noWrap w:val="0"/>
            <w:vAlign w:val="center"/>
          </w:tcPr>
          <w:p>
            <w:pPr>
              <w:pStyle w:val="30"/>
              <w:bidi w:val="0"/>
              <w:rPr>
                <w:rFonts w:hint="default"/>
                <w:lang w:val="en-US" w:eastAsia="zh-CN"/>
              </w:rPr>
            </w:pPr>
            <w:r>
              <w:rPr>
                <w:rFonts w:hint="default"/>
                <w:lang w:val="en-US" w:eastAsia="zh-CN"/>
              </w:rPr>
              <w:t>0.04</w:t>
            </w:r>
          </w:p>
        </w:tc>
        <w:tc>
          <w:tcPr>
            <w:tcW w:w="664" w:type="pct"/>
            <w:noWrap w:val="0"/>
            <w:vAlign w:val="center"/>
          </w:tcPr>
          <w:p>
            <w:pPr>
              <w:pStyle w:val="30"/>
              <w:bidi w:val="0"/>
              <w:rPr>
                <w:rFonts w:hint="default"/>
                <w:lang w:val="en-US" w:eastAsia="zh-CN"/>
              </w:rPr>
            </w:pPr>
            <w:r>
              <w:rPr>
                <w:rFonts w:hint="default"/>
                <w:lang w:val="en-US" w:eastAsia="zh-CN"/>
              </w:rPr>
              <w:t>0.07</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0.2</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挥发酚</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未检出</w:t>
            </w:r>
          </w:p>
        </w:tc>
        <w:tc>
          <w:tcPr>
            <w:tcW w:w="664" w:type="pct"/>
            <w:noWrap w:val="0"/>
            <w:vAlign w:val="center"/>
          </w:tcPr>
          <w:p>
            <w:pPr>
              <w:pStyle w:val="30"/>
              <w:bidi w:val="0"/>
              <w:rPr>
                <w:rFonts w:hint="default"/>
                <w:lang w:val="en-US" w:eastAsia="zh-CN"/>
              </w:rPr>
            </w:pPr>
            <w:r>
              <w:rPr>
                <w:rFonts w:hint="default"/>
                <w:lang w:val="en-US" w:eastAsia="zh-CN"/>
              </w:rPr>
              <w:t>未检出</w:t>
            </w:r>
          </w:p>
        </w:tc>
        <w:tc>
          <w:tcPr>
            <w:tcW w:w="664" w:type="pct"/>
            <w:noWrap w:val="0"/>
            <w:vAlign w:val="center"/>
          </w:tcPr>
          <w:p>
            <w:pPr>
              <w:pStyle w:val="30"/>
              <w:bidi w:val="0"/>
              <w:rPr>
                <w:rFonts w:hint="default"/>
                <w:lang w:val="en-US" w:eastAsia="zh-CN"/>
              </w:rPr>
            </w:pPr>
            <w:r>
              <w:rPr>
                <w:rFonts w:hint="default"/>
                <w:lang w:val="en-US" w:eastAsia="zh-CN"/>
              </w:rPr>
              <w:t>未检出</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0.005</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粪大肠菌群</w:t>
            </w:r>
          </w:p>
        </w:tc>
        <w:tc>
          <w:tcPr>
            <w:tcW w:w="454" w:type="pct"/>
            <w:noWrap w:val="0"/>
            <w:vAlign w:val="center"/>
          </w:tcPr>
          <w:p>
            <w:pPr>
              <w:pStyle w:val="30"/>
              <w:bidi w:val="0"/>
              <w:rPr>
                <w:rFonts w:hint="default"/>
                <w:lang w:val="en-US" w:eastAsia="zh-CN"/>
              </w:rPr>
            </w:pPr>
            <w:r>
              <w:rPr>
                <w:rFonts w:hint="default"/>
                <w:lang w:val="en-US" w:eastAsia="zh-CN"/>
              </w:rPr>
              <w:t>MPN/L</w:t>
            </w:r>
          </w:p>
        </w:tc>
        <w:tc>
          <w:tcPr>
            <w:tcW w:w="664" w:type="pct"/>
            <w:noWrap w:val="0"/>
            <w:vAlign w:val="center"/>
          </w:tcPr>
          <w:p>
            <w:pPr>
              <w:pStyle w:val="30"/>
              <w:bidi w:val="0"/>
              <w:rPr>
                <w:rFonts w:hint="default"/>
                <w:lang w:val="en-US" w:eastAsia="zh-CN"/>
              </w:rPr>
            </w:pPr>
            <w:r>
              <w:rPr>
                <w:rFonts w:hint="default"/>
                <w:lang w:val="en-US" w:eastAsia="zh-CN"/>
              </w:rPr>
              <w:t>1.2×10</w:t>
            </w:r>
            <w:r>
              <w:rPr>
                <w:rFonts w:hint="default"/>
                <w:vertAlign w:val="superscript"/>
                <w:lang w:val="en-US" w:eastAsia="zh-CN"/>
              </w:rPr>
              <w:t>3</w:t>
            </w:r>
          </w:p>
        </w:tc>
        <w:tc>
          <w:tcPr>
            <w:tcW w:w="664" w:type="pct"/>
            <w:noWrap w:val="0"/>
            <w:vAlign w:val="center"/>
          </w:tcPr>
          <w:p>
            <w:pPr>
              <w:pStyle w:val="30"/>
              <w:bidi w:val="0"/>
              <w:rPr>
                <w:rFonts w:hint="default"/>
                <w:lang w:val="en-US" w:eastAsia="zh-CN"/>
              </w:rPr>
            </w:pPr>
            <w:r>
              <w:rPr>
                <w:rFonts w:hint="default"/>
                <w:lang w:val="en-US" w:eastAsia="zh-CN"/>
              </w:rPr>
              <w:t>1.4×10</w:t>
            </w:r>
            <w:r>
              <w:rPr>
                <w:rFonts w:hint="default"/>
                <w:vertAlign w:val="superscript"/>
                <w:lang w:val="en-US" w:eastAsia="zh-CN"/>
              </w:rPr>
              <w:t>3</w:t>
            </w:r>
          </w:p>
        </w:tc>
        <w:tc>
          <w:tcPr>
            <w:tcW w:w="664" w:type="pct"/>
            <w:noWrap w:val="0"/>
            <w:vAlign w:val="center"/>
          </w:tcPr>
          <w:p>
            <w:pPr>
              <w:pStyle w:val="30"/>
              <w:bidi w:val="0"/>
              <w:rPr>
                <w:rFonts w:hint="default"/>
                <w:lang w:val="en-US" w:eastAsia="zh-CN"/>
              </w:rPr>
            </w:pPr>
            <w:r>
              <w:rPr>
                <w:rFonts w:hint="default"/>
                <w:lang w:val="en-US" w:eastAsia="zh-CN"/>
              </w:rPr>
              <w:t>1.2×10</w:t>
            </w:r>
            <w:r>
              <w:rPr>
                <w:rFonts w:hint="default"/>
                <w:vertAlign w:val="superscript"/>
                <w:lang w:val="en-US" w:eastAsia="zh-CN"/>
              </w:rPr>
              <w:t>3</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vertAlign w:val="superscript"/>
                <w:lang w:val="en-US" w:eastAsia="zh-CN"/>
              </w:rPr>
            </w:pPr>
            <w:r>
              <w:rPr>
                <w:rFonts w:hint="eastAsia"/>
                <w:lang w:val="en-US" w:eastAsia="zh-CN"/>
              </w:rPr>
              <w:t>1</w:t>
            </w:r>
            <w:r>
              <w:rPr>
                <w:rFonts w:hint="default"/>
                <w:lang w:val="en-US" w:eastAsia="zh-CN"/>
              </w:rPr>
              <w:t>×10</w:t>
            </w:r>
            <w:r>
              <w:rPr>
                <w:rFonts w:hint="eastAsia"/>
                <w:vertAlign w:val="superscript"/>
                <w:lang w:val="en-US" w:eastAsia="zh-CN"/>
              </w:rPr>
              <w:t>4</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restart"/>
            <w:noWrap w:val="0"/>
            <w:vAlign w:val="center"/>
          </w:tcPr>
          <w:p>
            <w:pPr>
              <w:pStyle w:val="30"/>
              <w:bidi w:val="0"/>
              <w:rPr>
                <w:rFonts w:hint="default"/>
              </w:rPr>
            </w:pPr>
            <w:r>
              <w:rPr>
                <w:rFonts w:hint="default"/>
              </w:rPr>
              <w:fldChar w:fldCharType="begin"/>
            </w:r>
            <w:r>
              <w:rPr>
                <w:rFonts w:hint="default"/>
              </w:rPr>
              <w:instrText xml:space="preserve"> REF </w:instrText>
            </w:r>
            <w:r>
              <w:rPr>
                <w:rFonts w:hint="default"/>
                <w:lang w:val="en-US" w:eastAsia="zh-CN"/>
              </w:rPr>
              <w:instrText xml:space="preserve">地表水3</w:instrText>
            </w:r>
            <w:r>
              <w:rPr>
                <w:rFonts w:hint="default"/>
              </w:rPr>
              <w:instrText xml:space="preserve">\h \* MERGEFORMAT</w:instrText>
            </w:r>
            <w:r>
              <w:rPr>
                <w:rFonts w:hint="default"/>
              </w:rPr>
              <w:fldChar w:fldCharType="separate"/>
            </w:r>
            <w:r>
              <w:rPr>
                <w:rFonts w:hint="default"/>
                <w:lang w:val="en-US" w:eastAsia="zh-CN"/>
              </w:rPr>
              <w:t>3#拟建</w:t>
            </w:r>
            <w:r>
              <w:rPr>
                <w:rFonts w:hint="eastAsia"/>
                <w:lang w:val="en-US" w:eastAsia="zh-CN"/>
              </w:rPr>
              <w:t>项目</w:t>
            </w:r>
            <w:r>
              <w:rPr>
                <w:rFonts w:hint="default"/>
                <w:lang w:val="en-US" w:eastAsia="zh-CN"/>
              </w:rPr>
              <w:t>下游3000m</w:t>
            </w:r>
            <w:r>
              <w:rPr>
                <w:rFonts w:hint="default"/>
              </w:rPr>
              <w:fldChar w:fldCharType="end"/>
            </w:r>
          </w:p>
        </w:tc>
        <w:tc>
          <w:tcPr>
            <w:tcW w:w="829" w:type="pct"/>
            <w:noWrap w:val="0"/>
            <w:vAlign w:val="center"/>
          </w:tcPr>
          <w:p>
            <w:pPr>
              <w:pStyle w:val="30"/>
              <w:bidi w:val="0"/>
              <w:rPr>
                <w:rFonts w:hint="default"/>
                <w:lang w:val="en-US" w:eastAsia="zh-CN"/>
              </w:rPr>
            </w:pPr>
            <w:r>
              <w:rPr>
                <w:rFonts w:hint="default"/>
              </w:rPr>
              <w:t>pH</w:t>
            </w:r>
          </w:p>
        </w:tc>
        <w:tc>
          <w:tcPr>
            <w:tcW w:w="454" w:type="pct"/>
            <w:noWrap w:val="0"/>
            <w:vAlign w:val="center"/>
          </w:tcPr>
          <w:p>
            <w:pPr>
              <w:pStyle w:val="30"/>
              <w:bidi w:val="0"/>
              <w:rPr>
                <w:rFonts w:hint="default"/>
                <w:lang w:val="en-US" w:eastAsia="zh-CN"/>
              </w:rPr>
            </w:pPr>
            <w:r>
              <w:rPr>
                <w:rFonts w:hint="default"/>
                <w:lang w:eastAsia="zh-CN"/>
              </w:rPr>
              <w:t>无量纲</w:t>
            </w:r>
          </w:p>
        </w:tc>
        <w:tc>
          <w:tcPr>
            <w:tcW w:w="664" w:type="pct"/>
            <w:noWrap w:val="0"/>
            <w:vAlign w:val="center"/>
          </w:tcPr>
          <w:p>
            <w:pPr>
              <w:pStyle w:val="30"/>
              <w:bidi w:val="0"/>
              <w:rPr>
                <w:rFonts w:hint="default"/>
                <w:lang w:val="en-US" w:eastAsia="zh-CN"/>
              </w:rPr>
            </w:pPr>
            <w:r>
              <w:rPr>
                <w:rFonts w:hint="default"/>
                <w:lang w:val="en-US" w:eastAsia="zh-CN"/>
              </w:rPr>
              <w:t>7.6</w:t>
            </w:r>
          </w:p>
        </w:tc>
        <w:tc>
          <w:tcPr>
            <w:tcW w:w="664" w:type="pct"/>
            <w:noWrap w:val="0"/>
            <w:vAlign w:val="center"/>
          </w:tcPr>
          <w:p>
            <w:pPr>
              <w:pStyle w:val="30"/>
              <w:bidi w:val="0"/>
              <w:rPr>
                <w:rFonts w:hint="default"/>
                <w:lang w:val="en-US" w:eastAsia="zh-CN"/>
              </w:rPr>
            </w:pPr>
            <w:r>
              <w:rPr>
                <w:rFonts w:hint="default"/>
                <w:lang w:val="en-US" w:eastAsia="zh-CN"/>
              </w:rPr>
              <w:t>7.8</w:t>
            </w:r>
          </w:p>
        </w:tc>
        <w:tc>
          <w:tcPr>
            <w:tcW w:w="664" w:type="pct"/>
            <w:noWrap w:val="0"/>
            <w:vAlign w:val="center"/>
          </w:tcPr>
          <w:p>
            <w:pPr>
              <w:pStyle w:val="30"/>
              <w:bidi w:val="0"/>
              <w:rPr>
                <w:rFonts w:hint="default"/>
                <w:lang w:val="en-US" w:eastAsia="zh-CN"/>
              </w:rPr>
            </w:pPr>
            <w:r>
              <w:rPr>
                <w:rFonts w:hint="default"/>
                <w:lang w:val="en-US" w:eastAsia="zh-CN"/>
              </w:rPr>
              <w:t>7.6</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6-9</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水温</w:t>
            </w:r>
          </w:p>
        </w:tc>
        <w:tc>
          <w:tcPr>
            <w:tcW w:w="454" w:type="pct"/>
            <w:noWrap w:val="0"/>
            <w:vAlign w:val="center"/>
          </w:tcPr>
          <w:p>
            <w:pPr>
              <w:pStyle w:val="30"/>
              <w:bidi w:val="0"/>
              <w:rPr>
                <w:rFonts w:hint="default"/>
                <w:lang w:val="en-US" w:eastAsia="zh-CN"/>
              </w:rPr>
            </w:pPr>
            <w:r>
              <w:rPr>
                <w:rFonts w:hint="default"/>
                <w:lang w:val="en-US" w:eastAsia="zh-CN"/>
              </w:rPr>
              <w:t>℃</w:t>
            </w:r>
          </w:p>
        </w:tc>
        <w:tc>
          <w:tcPr>
            <w:tcW w:w="664" w:type="pct"/>
            <w:noWrap w:val="0"/>
            <w:vAlign w:val="center"/>
          </w:tcPr>
          <w:p>
            <w:pPr>
              <w:pStyle w:val="30"/>
              <w:bidi w:val="0"/>
              <w:rPr>
                <w:rFonts w:hint="default"/>
                <w:lang w:val="en-US" w:eastAsia="zh-CN"/>
              </w:rPr>
            </w:pPr>
            <w:r>
              <w:rPr>
                <w:rFonts w:hint="default"/>
                <w:lang w:val="en-US" w:eastAsia="zh-CN"/>
              </w:rPr>
              <w:t>15.4</w:t>
            </w:r>
          </w:p>
        </w:tc>
        <w:tc>
          <w:tcPr>
            <w:tcW w:w="664" w:type="pct"/>
            <w:noWrap w:val="0"/>
            <w:vAlign w:val="center"/>
          </w:tcPr>
          <w:p>
            <w:pPr>
              <w:pStyle w:val="30"/>
              <w:bidi w:val="0"/>
              <w:rPr>
                <w:rFonts w:hint="default"/>
                <w:lang w:val="en-US" w:eastAsia="zh-CN"/>
              </w:rPr>
            </w:pPr>
            <w:r>
              <w:rPr>
                <w:rFonts w:hint="default"/>
                <w:lang w:val="en-US" w:eastAsia="zh-CN"/>
              </w:rPr>
              <w:t>16.1</w:t>
            </w:r>
          </w:p>
        </w:tc>
        <w:tc>
          <w:tcPr>
            <w:tcW w:w="664" w:type="pct"/>
            <w:noWrap w:val="0"/>
            <w:vAlign w:val="center"/>
          </w:tcPr>
          <w:p>
            <w:pPr>
              <w:pStyle w:val="30"/>
              <w:bidi w:val="0"/>
              <w:rPr>
                <w:rFonts w:hint="default"/>
                <w:lang w:val="en-US" w:eastAsia="zh-CN"/>
              </w:rPr>
            </w:pPr>
            <w:r>
              <w:rPr>
                <w:rFonts w:hint="default"/>
                <w:lang w:val="en-US" w:eastAsia="zh-CN"/>
              </w:rPr>
              <w:t>15.7</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溶解氧</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7.0</w:t>
            </w:r>
          </w:p>
        </w:tc>
        <w:tc>
          <w:tcPr>
            <w:tcW w:w="664" w:type="pct"/>
            <w:noWrap w:val="0"/>
            <w:vAlign w:val="center"/>
          </w:tcPr>
          <w:p>
            <w:pPr>
              <w:pStyle w:val="30"/>
              <w:bidi w:val="0"/>
              <w:rPr>
                <w:rFonts w:hint="default"/>
                <w:lang w:val="en-US" w:eastAsia="zh-CN"/>
              </w:rPr>
            </w:pPr>
            <w:r>
              <w:rPr>
                <w:rFonts w:hint="default"/>
                <w:lang w:val="en-US" w:eastAsia="zh-CN"/>
              </w:rPr>
              <w:t>6.8</w:t>
            </w:r>
          </w:p>
        </w:tc>
        <w:tc>
          <w:tcPr>
            <w:tcW w:w="664" w:type="pct"/>
            <w:noWrap w:val="0"/>
            <w:vAlign w:val="center"/>
          </w:tcPr>
          <w:p>
            <w:pPr>
              <w:pStyle w:val="30"/>
              <w:bidi w:val="0"/>
              <w:rPr>
                <w:rFonts w:hint="default"/>
                <w:lang w:val="en-US" w:eastAsia="zh-CN"/>
              </w:rPr>
            </w:pPr>
            <w:r>
              <w:rPr>
                <w:rFonts w:hint="default"/>
                <w:lang w:val="en-US" w:eastAsia="zh-CN"/>
              </w:rPr>
              <w:t>7.1</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≥5</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悬浮物</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9</w:t>
            </w:r>
          </w:p>
        </w:tc>
        <w:tc>
          <w:tcPr>
            <w:tcW w:w="664" w:type="pct"/>
            <w:noWrap w:val="0"/>
            <w:vAlign w:val="center"/>
          </w:tcPr>
          <w:p>
            <w:pPr>
              <w:pStyle w:val="30"/>
              <w:bidi w:val="0"/>
              <w:rPr>
                <w:rFonts w:hint="default"/>
                <w:lang w:val="en-US" w:eastAsia="zh-CN"/>
              </w:rPr>
            </w:pPr>
            <w:r>
              <w:rPr>
                <w:rFonts w:hint="default"/>
                <w:lang w:val="en-US" w:eastAsia="zh-CN"/>
              </w:rPr>
              <w:t>10</w:t>
            </w:r>
          </w:p>
        </w:tc>
        <w:tc>
          <w:tcPr>
            <w:tcW w:w="664" w:type="pct"/>
            <w:noWrap w:val="0"/>
            <w:vAlign w:val="center"/>
          </w:tcPr>
          <w:p>
            <w:pPr>
              <w:pStyle w:val="30"/>
              <w:bidi w:val="0"/>
              <w:rPr>
                <w:rFonts w:hint="default"/>
                <w:lang w:val="en-US" w:eastAsia="zh-CN"/>
              </w:rPr>
            </w:pPr>
            <w:r>
              <w:rPr>
                <w:rFonts w:hint="default"/>
                <w:lang w:val="en-US" w:eastAsia="zh-CN"/>
              </w:rPr>
              <w:t>10</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rPr>
              <w:t>化学需氧量</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9</w:t>
            </w:r>
          </w:p>
        </w:tc>
        <w:tc>
          <w:tcPr>
            <w:tcW w:w="664" w:type="pct"/>
            <w:noWrap w:val="0"/>
            <w:vAlign w:val="center"/>
          </w:tcPr>
          <w:p>
            <w:pPr>
              <w:pStyle w:val="30"/>
              <w:bidi w:val="0"/>
              <w:rPr>
                <w:rFonts w:hint="default"/>
                <w:lang w:val="en-US" w:eastAsia="zh-CN"/>
              </w:rPr>
            </w:pPr>
            <w:r>
              <w:rPr>
                <w:rFonts w:hint="default"/>
                <w:lang w:val="en-US" w:eastAsia="zh-CN"/>
              </w:rPr>
              <w:t>7</w:t>
            </w:r>
          </w:p>
        </w:tc>
        <w:tc>
          <w:tcPr>
            <w:tcW w:w="664" w:type="pct"/>
            <w:noWrap w:val="0"/>
            <w:vAlign w:val="center"/>
          </w:tcPr>
          <w:p>
            <w:pPr>
              <w:pStyle w:val="30"/>
              <w:bidi w:val="0"/>
              <w:rPr>
                <w:rFonts w:hint="default"/>
                <w:lang w:val="en-US" w:eastAsia="zh-CN"/>
              </w:rPr>
            </w:pPr>
            <w:r>
              <w:rPr>
                <w:rFonts w:hint="default"/>
                <w:lang w:val="en-US" w:eastAsia="zh-CN"/>
              </w:rPr>
              <w:t>9</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20</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五日生化需氧量</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1.7</w:t>
            </w:r>
          </w:p>
        </w:tc>
        <w:tc>
          <w:tcPr>
            <w:tcW w:w="664" w:type="pct"/>
            <w:noWrap w:val="0"/>
            <w:vAlign w:val="center"/>
          </w:tcPr>
          <w:p>
            <w:pPr>
              <w:pStyle w:val="30"/>
              <w:bidi w:val="0"/>
              <w:rPr>
                <w:rFonts w:hint="default"/>
                <w:lang w:val="en-US" w:eastAsia="zh-CN"/>
              </w:rPr>
            </w:pPr>
            <w:r>
              <w:rPr>
                <w:rFonts w:hint="default"/>
                <w:lang w:val="en-US" w:eastAsia="zh-CN"/>
              </w:rPr>
              <w:t>1.7</w:t>
            </w:r>
          </w:p>
        </w:tc>
        <w:tc>
          <w:tcPr>
            <w:tcW w:w="664" w:type="pct"/>
            <w:noWrap w:val="0"/>
            <w:vAlign w:val="center"/>
          </w:tcPr>
          <w:p>
            <w:pPr>
              <w:pStyle w:val="30"/>
              <w:bidi w:val="0"/>
              <w:rPr>
                <w:rFonts w:hint="default"/>
                <w:lang w:val="en-US" w:eastAsia="zh-CN"/>
              </w:rPr>
            </w:pPr>
            <w:r>
              <w:rPr>
                <w:rFonts w:hint="default"/>
                <w:lang w:val="en-US" w:eastAsia="zh-CN"/>
              </w:rPr>
              <w:t>1.6</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4</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石油类</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0.02</w:t>
            </w:r>
          </w:p>
        </w:tc>
        <w:tc>
          <w:tcPr>
            <w:tcW w:w="664" w:type="pct"/>
            <w:noWrap w:val="0"/>
            <w:vAlign w:val="center"/>
          </w:tcPr>
          <w:p>
            <w:pPr>
              <w:pStyle w:val="30"/>
              <w:bidi w:val="0"/>
              <w:rPr>
                <w:rFonts w:hint="default"/>
                <w:lang w:val="en-US" w:eastAsia="zh-CN"/>
              </w:rPr>
            </w:pPr>
            <w:r>
              <w:rPr>
                <w:rFonts w:hint="default"/>
                <w:lang w:val="en-US" w:eastAsia="zh-CN"/>
              </w:rPr>
              <w:t>0.02</w:t>
            </w:r>
          </w:p>
        </w:tc>
        <w:tc>
          <w:tcPr>
            <w:tcW w:w="664" w:type="pct"/>
            <w:noWrap w:val="0"/>
            <w:vAlign w:val="center"/>
          </w:tcPr>
          <w:p>
            <w:pPr>
              <w:pStyle w:val="30"/>
              <w:bidi w:val="0"/>
              <w:rPr>
                <w:rFonts w:hint="default"/>
                <w:lang w:val="en-US" w:eastAsia="zh-CN"/>
              </w:rPr>
            </w:pPr>
            <w:r>
              <w:rPr>
                <w:rFonts w:hint="default"/>
                <w:lang w:val="en-US" w:eastAsia="zh-CN"/>
              </w:rPr>
              <w:t>0.02</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0.05</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rPr>
              <w:t>氨氮</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0.149</w:t>
            </w:r>
          </w:p>
        </w:tc>
        <w:tc>
          <w:tcPr>
            <w:tcW w:w="664" w:type="pct"/>
            <w:noWrap w:val="0"/>
            <w:vAlign w:val="center"/>
          </w:tcPr>
          <w:p>
            <w:pPr>
              <w:pStyle w:val="30"/>
              <w:bidi w:val="0"/>
              <w:rPr>
                <w:rFonts w:hint="default"/>
                <w:lang w:val="en-US" w:eastAsia="zh-CN"/>
              </w:rPr>
            </w:pPr>
            <w:r>
              <w:rPr>
                <w:rFonts w:hint="default"/>
                <w:lang w:val="en-US" w:eastAsia="zh-CN"/>
              </w:rPr>
              <w:t>0.141</w:t>
            </w:r>
          </w:p>
        </w:tc>
        <w:tc>
          <w:tcPr>
            <w:tcW w:w="664" w:type="pct"/>
            <w:noWrap w:val="0"/>
            <w:vAlign w:val="center"/>
          </w:tcPr>
          <w:p>
            <w:pPr>
              <w:pStyle w:val="30"/>
              <w:bidi w:val="0"/>
              <w:rPr>
                <w:rFonts w:hint="default"/>
                <w:lang w:val="en-US" w:eastAsia="zh-CN"/>
              </w:rPr>
            </w:pPr>
            <w:r>
              <w:rPr>
                <w:rFonts w:hint="default"/>
                <w:lang w:val="en-US" w:eastAsia="zh-CN"/>
              </w:rPr>
              <w:t>0.144</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1.0</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总氮</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0.87</w:t>
            </w:r>
          </w:p>
        </w:tc>
        <w:tc>
          <w:tcPr>
            <w:tcW w:w="664" w:type="pct"/>
            <w:noWrap w:val="0"/>
            <w:vAlign w:val="center"/>
          </w:tcPr>
          <w:p>
            <w:pPr>
              <w:pStyle w:val="30"/>
              <w:bidi w:val="0"/>
              <w:rPr>
                <w:rFonts w:hint="default"/>
                <w:lang w:val="en-US" w:eastAsia="zh-CN"/>
              </w:rPr>
            </w:pPr>
            <w:r>
              <w:rPr>
                <w:rFonts w:hint="default"/>
                <w:lang w:val="en-US" w:eastAsia="zh-CN"/>
              </w:rPr>
              <w:t>0.84</w:t>
            </w:r>
          </w:p>
        </w:tc>
        <w:tc>
          <w:tcPr>
            <w:tcW w:w="664" w:type="pct"/>
            <w:noWrap w:val="0"/>
            <w:vAlign w:val="center"/>
          </w:tcPr>
          <w:p>
            <w:pPr>
              <w:pStyle w:val="30"/>
              <w:bidi w:val="0"/>
              <w:rPr>
                <w:rFonts w:hint="default"/>
                <w:lang w:val="en-US" w:eastAsia="zh-CN"/>
              </w:rPr>
            </w:pPr>
            <w:r>
              <w:rPr>
                <w:rFonts w:hint="default"/>
                <w:lang w:val="en-US" w:eastAsia="zh-CN"/>
              </w:rPr>
              <w:t>0.88</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1.0</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总磷</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0.05</w:t>
            </w:r>
          </w:p>
        </w:tc>
        <w:tc>
          <w:tcPr>
            <w:tcW w:w="664" w:type="pct"/>
            <w:noWrap w:val="0"/>
            <w:vAlign w:val="center"/>
          </w:tcPr>
          <w:p>
            <w:pPr>
              <w:pStyle w:val="30"/>
              <w:bidi w:val="0"/>
              <w:rPr>
                <w:rFonts w:hint="default"/>
                <w:lang w:val="en-US" w:eastAsia="zh-CN"/>
              </w:rPr>
            </w:pPr>
            <w:r>
              <w:rPr>
                <w:rFonts w:hint="default"/>
                <w:lang w:val="en-US" w:eastAsia="zh-CN"/>
              </w:rPr>
              <w:t>0.05</w:t>
            </w:r>
          </w:p>
        </w:tc>
        <w:tc>
          <w:tcPr>
            <w:tcW w:w="664" w:type="pct"/>
            <w:noWrap w:val="0"/>
            <w:vAlign w:val="center"/>
          </w:tcPr>
          <w:p>
            <w:pPr>
              <w:pStyle w:val="30"/>
              <w:bidi w:val="0"/>
              <w:rPr>
                <w:rFonts w:hint="default"/>
                <w:lang w:val="en-US" w:eastAsia="zh-CN"/>
              </w:rPr>
            </w:pPr>
            <w:r>
              <w:rPr>
                <w:rFonts w:hint="default"/>
                <w:lang w:val="en-US" w:eastAsia="zh-CN"/>
              </w:rPr>
              <w:t>0.06</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0.2</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挥发酚</w:t>
            </w:r>
          </w:p>
        </w:tc>
        <w:tc>
          <w:tcPr>
            <w:tcW w:w="454" w:type="pct"/>
            <w:noWrap w:val="0"/>
            <w:vAlign w:val="center"/>
          </w:tcPr>
          <w:p>
            <w:pPr>
              <w:pStyle w:val="30"/>
              <w:bidi w:val="0"/>
              <w:rPr>
                <w:rFonts w:hint="default"/>
                <w:lang w:val="en-US" w:eastAsia="zh-CN"/>
              </w:rPr>
            </w:pPr>
            <w:r>
              <w:rPr>
                <w:rFonts w:hint="default"/>
                <w:lang w:val="en-US" w:eastAsia="zh-CN"/>
              </w:rPr>
              <w:t>mg/L</w:t>
            </w:r>
          </w:p>
        </w:tc>
        <w:tc>
          <w:tcPr>
            <w:tcW w:w="664" w:type="pct"/>
            <w:noWrap w:val="0"/>
            <w:vAlign w:val="center"/>
          </w:tcPr>
          <w:p>
            <w:pPr>
              <w:pStyle w:val="30"/>
              <w:bidi w:val="0"/>
              <w:rPr>
                <w:rFonts w:hint="default"/>
                <w:lang w:val="en-US" w:eastAsia="zh-CN"/>
              </w:rPr>
            </w:pPr>
            <w:r>
              <w:rPr>
                <w:rFonts w:hint="default"/>
                <w:lang w:val="en-US" w:eastAsia="zh-CN"/>
              </w:rPr>
              <w:t>未检出</w:t>
            </w:r>
          </w:p>
        </w:tc>
        <w:tc>
          <w:tcPr>
            <w:tcW w:w="664" w:type="pct"/>
            <w:noWrap w:val="0"/>
            <w:vAlign w:val="center"/>
          </w:tcPr>
          <w:p>
            <w:pPr>
              <w:pStyle w:val="30"/>
              <w:bidi w:val="0"/>
              <w:rPr>
                <w:rFonts w:hint="default"/>
                <w:lang w:val="en-US" w:eastAsia="zh-CN"/>
              </w:rPr>
            </w:pPr>
            <w:r>
              <w:rPr>
                <w:rFonts w:hint="default"/>
                <w:lang w:val="en-US" w:eastAsia="zh-CN"/>
              </w:rPr>
              <w:t>未检出</w:t>
            </w:r>
          </w:p>
        </w:tc>
        <w:tc>
          <w:tcPr>
            <w:tcW w:w="664" w:type="pct"/>
            <w:noWrap w:val="0"/>
            <w:vAlign w:val="center"/>
          </w:tcPr>
          <w:p>
            <w:pPr>
              <w:pStyle w:val="30"/>
              <w:bidi w:val="0"/>
              <w:rPr>
                <w:rFonts w:hint="default"/>
                <w:lang w:val="en-US" w:eastAsia="zh-CN"/>
              </w:rPr>
            </w:pPr>
            <w:r>
              <w:rPr>
                <w:rFonts w:hint="default"/>
                <w:lang w:val="en-US" w:eastAsia="zh-CN"/>
              </w:rPr>
              <w:t>未检出</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lang w:val="en-US" w:eastAsia="zh-CN"/>
              </w:rPr>
            </w:pPr>
            <w:r>
              <w:rPr>
                <w:rFonts w:hint="eastAsia"/>
                <w:lang w:val="en-US" w:eastAsia="zh-CN"/>
              </w:rPr>
              <w:t>0.005</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53" w:type="pct"/>
            <w:vMerge w:val="continue"/>
            <w:noWrap w:val="0"/>
            <w:vAlign w:val="center"/>
          </w:tcPr>
          <w:p>
            <w:pPr>
              <w:pStyle w:val="30"/>
              <w:bidi w:val="0"/>
              <w:rPr>
                <w:rFonts w:hint="default"/>
              </w:rPr>
            </w:pPr>
          </w:p>
        </w:tc>
        <w:tc>
          <w:tcPr>
            <w:tcW w:w="829" w:type="pct"/>
            <w:noWrap w:val="0"/>
            <w:vAlign w:val="center"/>
          </w:tcPr>
          <w:p>
            <w:pPr>
              <w:pStyle w:val="30"/>
              <w:bidi w:val="0"/>
              <w:rPr>
                <w:rFonts w:hint="default"/>
                <w:lang w:val="en-US" w:eastAsia="zh-CN"/>
              </w:rPr>
            </w:pPr>
            <w:r>
              <w:rPr>
                <w:rFonts w:hint="default"/>
                <w:lang w:val="en-US" w:eastAsia="zh-CN"/>
              </w:rPr>
              <w:t>粪大肠菌群</w:t>
            </w:r>
          </w:p>
        </w:tc>
        <w:tc>
          <w:tcPr>
            <w:tcW w:w="454" w:type="pct"/>
            <w:noWrap w:val="0"/>
            <w:vAlign w:val="center"/>
          </w:tcPr>
          <w:p>
            <w:pPr>
              <w:pStyle w:val="30"/>
              <w:bidi w:val="0"/>
              <w:rPr>
                <w:rFonts w:hint="default"/>
                <w:lang w:val="en-US" w:eastAsia="zh-CN"/>
              </w:rPr>
            </w:pPr>
            <w:r>
              <w:rPr>
                <w:rFonts w:hint="default"/>
                <w:lang w:val="en-US" w:eastAsia="zh-CN"/>
              </w:rPr>
              <w:t>MPN/L</w:t>
            </w:r>
          </w:p>
        </w:tc>
        <w:tc>
          <w:tcPr>
            <w:tcW w:w="664" w:type="pct"/>
            <w:noWrap w:val="0"/>
            <w:vAlign w:val="center"/>
          </w:tcPr>
          <w:p>
            <w:pPr>
              <w:pStyle w:val="30"/>
              <w:bidi w:val="0"/>
              <w:rPr>
                <w:rFonts w:hint="default"/>
                <w:lang w:val="en-US" w:eastAsia="zh-CN"/>
              </w:rPr>
            </w:pPr>
            <w:r>
              <w:rPr>
                <w:rFonts w:hint="default"/>
                <w:lang w:val="en-US" w:eastAsia="zh-CN"/>
              </w:rPr>
              <w:t>1.4×103</w:t>
            </w:r>
          </w:p>
        </w:tc>
        <w:tc>
          <w:tcPr>
            <w:tcW w:w="664" w:type="pct"/>
            <w:noWrap w:val="0"/>
            <w:vAlign w:val="center"/>
          </w:tcPr>
          <w:p>
            <w:pPr>
              <w:pStyle w:val="30"/>
              <w:bidi w:val="0"/>
              <w:rPr>
                <w:rFonts w:hint="default"/>
                <w:lang w:val="en-US" w:eastAsia="zh-CN"/>
              </w:rPr>
            </w:pPr>
            <w:r>
              <w:rPr>
                <w:rFonts w:hint="default"/>
                <w:lang w:val="en-US" w:eastAsia="zh-CN"/>
              </w:rPr>
              <w:t>1.7×103</w:t>
            </w:r>
          </w:p>
        </w:tc>
        <w:tc>
          <w:tcPr>
            <w:tcW w:w="664" w:type="pct"/>
            <w:noWrap w:val="0"/>
            <w:vAlign w:val="center"/>
          </w:tcPr>
          <w:p>
            <w:pPr>
              <w:pStyle w:val="30"/>
              <w:bidi w:val="0"/>
              <w:rPr>
                <w:rFonts w:hint="default"/>
                <w:lang w:val="en-US" w:eastAsia="zh-CN"/>
              </w:rPr>
            </w:pPr>
            <w:r>
              <w:rPr>
                <w:rFonts w:hint="default"/>
                <w:lang w:val="en-US" w:eastAsia="zh-CN"/>
              </w:rPr>
              <w:t>1.4×103</w:t>
            </w:r>
          </w:p>
        </w:tc>
        <w:tc>
          <w:tcPr>
            <w:tcW w:w="579" w:type="pct"/>
            <w:noWrap w:val="0"/>
            <w:vAlign w:val="center"/>
          </w:tcPr>
          <w:p>
            <w:pPr>
              <w:pStyle w:val="30"/>
              <w:bidi w:val="0"/>
              <w:ind w:firstLine="0" w:firstLineChars="0"/>
              <w:rPr>
                <w:rFonts w:hint="default" w:ascii="Times New Roman" w:hAnsi="Times New Roman" w:eastAsia="宋体" w:cs="Times New Roman"/>
                <w:kern w:val="2"/>
                <w:sz w:val="21"/>
                <w:vertAlign w:val="superscript"/>
                <w:lang w:val="en-US" w:eastAsia="zh-CN"/>
              </w:rPr>
            </w:pPr>
            <w:r>
              <w:rPr>
                <w:rFonts w:hint="eastAsia"/>
                <w:lang w:val="en-US" w:eastAsia="zh-CN"/>
              </w:rPr>
              <w:t>1</w:t>
            </w:r>
            <w:r>
              <w:rPr>
                <w:rFonts w:hint="default"/>
                <w:lang w:val="en-US" w:eastAsia="zh-CN"/>
              </w:rPr>
              <w:t>×10</w:t>
            </w:r>
            <w:r>
              <w:rPr>
                <w:rFonts w:hint="eastAsia"/>
                <w:vertAlign w:val="superscript"/>
                <w:lang w:val="en-US" w:eastAsia="zh-CN"/>
              </w:rPr>
              <w:t>4</w:t>
            </w:r>
          </w:p>
        </w:tc>
        <w:tc>
          <w:tcPr>
            <w:tcW w:w="589" w:type="pct"/>
            <w:noWrap w:val="0"/>
            <w:vAlign w:val="center"/>
          </w:tcPr>
          <w:p>
            <w:pPr>
              <w:pStyle w:val="30"/>
              <w:bidi w:val="0"/>
              <w:ind w:firstLine="0" w:firstLineChars="0"/>
              <w:rPr>
                <w:rFonts w:hint="default"/>
                <w:lang w:val="en-US" w:eastAsia="zh-CN"/>
              </w:rPr>
            </w:pPr>
            <w:r>
              <w:rPr>
                <w:rFonts w:hint="eastAsia"/>
                <w:lang w:val="en-US" w:eastAsia="zh-CN"/>
              </w:rPr>
              <w:t>达标</w:t>
            </w:r>
          </w:p>
        </w:tc>
      </w:tr>
    </w:tbl>
    <w:p>
      <w:pPr>
        <w:bidi w:val="0"/>
        <w:rPr>
          <w:rFonts w:hint="eastAsia"/>
        </w:rPr>
      </w:pPr>
      <w:r>
        <w:rPr>
          <w:rFonts w:hint="eastAsia"/>
        </w:rPr>
        <w:t>根据上表可知，项目所在区域</w:t>
      </w:r>
      <w:r>
        <w:rPr>
          <w:rFonts w:hint="eastAsia"/>
          <w:lang w:val="en-US" w:eastAsia="zh-CN"/>
        </w:rPr>
        <w:t>地表水</w:t>
      </w:r>
      <w:r>
        <w:rPr>
          <w:rFonts w:hint="eastAsia"/>
        </w:rPr>
        <w:t>监测因子浓度均</w:t>
      </w:r>
      <w:r>
        <w:rPr>
          <w:rFonts w:hint="eastAsia"/>
          <w:lang w:val="en-US" w:eastAsia="zh-CN"/>
        </w:rPr>
        <w:t>满足</w:t>
      </w:r>
      <w:r>
        <w:rPr>
          <w:rFonts w:hint="eastAsia"/>
        </w:rPr>
        <w:t>《</w:t>
      </w:r>
      <w:r>
        <w:rPr>
          <w:rFonts w:hint="eastAsia"/>
          <w:lang w:val="en-US" w:eastAsia="zh-CN"/>
        </w:rPr>
        <w:t>地表水环境质量标准</w:t>
      </w:r>
      <w:r>
        <w:rPr>
          <w:rFonts w:hint="eastAsia"/>
        </w:rPr>
        <w:t>》（</w:t>
      </w:r>
      <w:r>
        <w:rPr>
          <w:rFonts w:hint="eastAsia"/>
          <w:lang w:val="en-US" w:eastAsia="zh-CN"/>
        </w:rPr>
        <w:t>GB3838-2002</w:t>
      </w:r>
      <w:r>
        <w:rPr>
          <w:rFonts w:hint="eastAsia"/>
        </w:rPr>
        <w:t>）Ⅲ类标准限值，项目所在区域地</w:t>
      </w:r>
      <w:r>
        <w:rPr>
          <w:rFonts w:hint="eastAsia"/>
          <w:lang w:val="en-US" w:eastAsia="zh-CN"/>
        </w:rPr>
        <w:t>表</w:t>
      </w:r>
      <w:r>
        <w:rPr>
          <w:rFonts w:hint="eastAsia"/>
        </w:rPr>
        <w:t>水环境质量现状较好。</w:t>
      </w:r>
    </w:p>
    <w:p>
      <w:pPr>
        <w:pStyle w:val="5"/>
        <w:bidi w:val="0"/>
        <w:rPr>
          <w:rFonts w:hint="default"/>
          <w:lang w:val="en-US" w:eastAsia="zh-CN"/>
        </w:rPr>
      </w:pPr>
      <w:r>
        <w:rPr>
          <w:rFonts w:hint="eastAsia"/>
          <w:lang w:val="en-US" w:eastAsia="zh-CN"/>
        </w:rPr>
        <w:t>地下水环境质量现状监测及评价</w:t>
      </w:r>
    </w:p>
    <w:p>
      <w:pPr>
        <w:bidi w:val="0"/>
        <w:rPr>
          <w:rFonts w:hint="default"/>
          <w:lang w:val="en-US" w:eastAsia="zh-CN"/>
        </w:rPr>
      </w:pPr>
      <w:r>
        <w:rPr>
          <w:rFonts w:hint="eastAsia"/>
        </w:rPr>
        <w:t>为了解项目地下水环境质量现状，本次评价委托</w:t>
      </w:r>
      <w:r>
        <w:rPr>
          <w:rFonts w:hint="eastAsia"/>
          <w:lang w:val="en-US" w:eastAsia="zh-CN"/>
        </w:rPr>
        <w:t>四川锡水金山环保科技有限公司</w:t>
      </w:r>
      <w:r>
        <w:rPr>
          <w:rFonts w:hint="eastAsia"/>
        </w:rPr>
        <w:t>于</w:t>
      </w:r>
      <w:r>
        <w:rPr>
          <w:rFonts w:hint="eastAsia"/>
          <w:lang w:val="en-US" w:eastAsia="zh-CN"/>
        </w:rPr>
        <w:t>2021年1月27日对</w:t>
      </w:r>
      <w:r>
        <w:rPr>
          <w:rFonts w:hint="eastAsia"/>
        </w:rPr>
        <w:t>本项目评价区内的地下水环境质量现状进行了监测。同时，本次环评对地下水水位补充调查</w:t>
      </w:r>
      <w:r>
        <w:rPr>
          <w:rFonts w:hint="default"/>
        </w:rPr>
        <w:t>3</w:t>
      </w:r>
      <w:r>
        <w:rPr>
          <w:rFonts w:hint="eastAsia"/>
        </w:rPr>
        <w:t>处点位。</w:t>
      </w:r>
    </w:p>
    <w:p>
      <w:pPr>
        <w:bidi w:val="0"/>
        <w:rPr>
          <w:rFonts w:hint="default"/>
          <w:lang w:val="en-US" w:eastAsia="zh-CN"/>
        </w:rPr>
      </w:pPr>
      <w:r>
        <w:rPr>
          <w:rFonts w:hint="eastAsia"/>
          <w:lang w:val="en-US" w:eastAsia="zh-CN"/>
        </w:rPr>
        <w:t>根据调查，本项目区域西北方地势较高，东南方地势较低，地下水流由项目西北侧向东北流向，由于本项目三面均为河流，因此本项目地下水布设的点位位于项目北侧的上游、中部及下游，地下水水位点数为水质点数的2倍，符合</w:t>
      </w:r>
      <w:r>
        <w:rPr>
          <w:rFonts w:hint="eastAsia"/>
        </w:rPr>
        <w:t>《环境影响评价技术导则 地下水环境》</w:t>
      </w:r>
      <w:r>
        <w:rPr>
          <w:rFonts w:hint="eastAsia"/>
          <w:lang w:eastAsia="zh-CN"/>
        </w:rPr>
        <w:t>（</w:t>
      </w:r>
      <w:r>
        <w:rPr>
          <w:rFonts w:hint="eastAsia"/>
          <w:lang w:val="en-US" w:eastAsia="zh-CN"/>
        </w:rPr>
        <w:t>HJ610-2015</w:t>
      </w:r>
      <w:r>
        <w:rPr>
          <w:rFonts w:hint="eastAsia"/>
          <w:lang w:eastAsia="zh-CN"/>
        </w:rPr>
        <w:t>）</w:t>
      </w:r>
      <w:r>
        <w:rPr>
          <w:rFonts w:hint="eastAsia"/>
          <w:lang w:val="en-US" w:eastAsia="zh-CN"/>
        </w:rPr>
        <w:t>中的布点原则。</w:t>
      </w:r>
    </w:p>
    <w:p>
      <w:pPr>
        <w:rPr>
          <w:rFonts w:hint="eastAsia"/>
          <w:lang w:val="en-US" w:eastAsia="zh-CN"/>
        </w:rPr>
      </w:pPr>
      <w:r>
        <w:rPr>
          <w:rFonts w:hint="eastAsia"/>
          <w:lang w:val="en-US" w:eastAsia="zh-CN"/>
        </w:rPr>
        <w:t>（1）监测内容及频次</w:t>
      </w:r>
    </w:p>
    <w:p>
      <w:pPr>
        <w:pStyle w:val="29"/>
        <w:bidi w:val="0"/>
        <w:rPr>
          <w:rFonts w:hint="eastAsia"/>
          <w:lang w:val="en-US" w:eastAsia="zh-CN"/>
        </w:rPr>
      </w:pPr>
      <w:r>
        <w:rPr>
          <w:rFonts w:hint="eastAsia"/>
          <w:lang w:val="en-US" w:eastAsia="zh-CN"/>
        </w:rPr>
        <w:t>表4.2-12  本项目地下水环境质量监测内容及频次一览表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3030"/>
        <w:gridCol w:w="917"/>
        <w:gridCol w:w="3478"/>
        <w:gridCol w:w="525"/>
        <w:gridCol w:w="8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类别</w:t>
            </w:r>
          </w:p>
        </w:tc>
        <w:tc>
          <w:tcPr>
            <w:tcW w:w="3030"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监测点位</w:t>
            </w:r>
          </w:p>
        </w:tc>
        <w:tc>
          <w:tcPr>
            <w:tcW w:w="917"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点位数</w:t>
            </w:r>
          </w:p>
        </w:tc>
        <w:tc>
          <w:tcPr>
            <w:tcW w:w="3478"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监测项目</w:t>
            </w:r>
          </w:p>
        </w:tc>
        <w:tc>
          <w:tcPr>
            <w:tcW w:w="1334" w:type="dxa"/>
            <w:gridSpan w:val="2"/>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3030"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917"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3478"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52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天</w:t>
            </w:r>
          </w:p>
        </w:tc>
        <w:tc>
          <w:tcPr>
            <w:tcW w:w="809"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63" w:type="dxa"/>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地下水</w:t>
            </w:r>
          </w:p>
        </w:tc>
        <w:tc>
          <w:tcPr>
            <w:tcW w:w="3030" w:type="dxa"/>
            <w:tcBorders>
              <w:tl2br w:val="nil"/>
              <w:tr2bl w:val="nil"/>
            </w:tcBorders>
            <w:vAlign w:val="center"/>
          </w:tcPr>
          <w:p>
            <w:pPr>
              <w:pStyle w:val="30"/>
              <w:widowControl w:val="0"/>
              <w:bidi w:val="0"/>
              <w:jc w:val="center"/>
              <w:rPr>
                <w:rFonts w:hint="default"/>
                <w:lang w:val="en-US" w:eastAsia="zh-CN"/>
              </w:rPr>
            </w:pPr>
            <w:r>
              <w:rPr>
                <w:rFonts w:hint="eastAsia"/>
              </w:rPr>
              <w:t>1#项目场地外西北侧农户水井</w:t>
            </w:r>
          </w:p>
        </w:tc>
        <w:tc>
          <w:tcPr>
            <w:tcW w:w="917" w:type="dxa"/>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w:t>
            </w:r>
          </w:p>
        </w:tc>
        <w:tc>
          <w:tcPr>
            <w:tcW w:w="3478" w:type="dxa"/>
            <w:vMerge w:val="restart"/>
            <w:tcBorders>
              <w:tl2br w:val="nil"/>
              <w:tr2bl w:val="nil"/>
            </w:tcBorders>
            <w:vAlign w:val="center"/>
          </w:tcPr>
          <w:p>
            <w:pPr>
              <w:pStyle w:val="30"/>
              <w:widowControl w:val="0"/>
              <w:bidi w:val="0"/>
              <w:jc w:val="center"/>
              <w:rPr>
                <w:rFonts w:hint="default"/>
                <w:lang w:val="en-US" w:eastAsia="zh-CN"/>
              </w:rPr>
            </w:pPr>
            <w:r>
              <w:rPr>
                <w:rFonts w:hint="eastAsia"/>
              </w:rPr>
              <w:t>pH、耗氧量、溶解性总固体、总硬度、碳酸根、重碳酸根、氨氮、铬（六价）、挥发酚、氰化物、氟化物（氟离子）、氯化物（氯离子）、亚硝酸盐氮（亚硝酸根）、硝酸根（硝酸盐氮）、硫酸盐（硫酸根）、钾、钠、钙、镁、铁、锰、铅、镉、汞、砷、总大肠菌群、细菌总数</w:t>
            </w:r>
          </w:p>
        </w:tc>
        <w:tc>
          <w:tcPr>
            <w:tcW w:w="525" w:type="dxa"/>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809" w:type="dxa"/>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86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3030" w:type="dxa"/>
            <w:tcBorders>
              <w:tl2br w:val="nil"/>
              <w:tr2bl w:val="nil"/>
            </w:tcBorders>
            <w:vAlign w:val="center"/>
          </w:tcPr>
          <w:p>
            <w:pPr>
              <w:pStyle w:val="30"/>
              <w:widowControl w:val="0"/>
              <w:bidi w:val="0"/>
              <w:jc w:val="center"/>
              <w:rPr>
                <w:rFonts w:hint="default"/>
                <w:vertAlign w:val="baseline"/>
                <w:lang w:val="en-US" w:eastAsia="zh-CN"/>
              </w:rPr>
            </w:pPr>
            <w:r>
              <w:rPr>
                <w:rFonts w:hint="eastAsia"/>
              </w:rPr>
              <w:t>2#项目场地外北侧农户水井</w:t>
            </w:r>
          </w:p>
        </w:tc>
        <w:tc>
          <w:tcPr>
            <w:tcW w:w="917" w:type="dxa"/>
            <w:vMerge w:val="continue"/>
            <w:tcBorders>
              <w:tl2br w:val="nil"/>
              <w:tr2bl w:val="nil"/>
            </w:tcBorders>
            <w:vAlign w:val="center"/>
          </w:tcPr>
          <w:p>
            <w:pPr>
              <w:pStyle w:val="30"/>
              <w:widowControl w:val="0"/>
              <w:jc w:val="center"/>
              <w:rPr>
                <w:rFonts w:hint="default"/>
                <w:vertAlign w:val="baseline"/>
                <w:lang w:val="en-US" w:eastAsia="zh-CN"/>
              </w:rPr>
            </w:pPr>
          </w:p>
        </w:tc>
        <w:tc>
          <w:tcPr>
            <w:tcW w:w="347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5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09"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6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3030" w:type="dxa"/>
            <w:tcBorders>
              <w:tl2br w:val="nil"/>
              <w:tr2bl w:val="nil"/>
            </w:tcBorders>
            <w:vAlign w:val="center"/>
          </w:tcPr>
          <w:p>
            <w:pPr>
              <w:pStyle w:val="30"/>
              <w:widowControl w:val="0"/>
              <w:jc w:val="center"/>
              <w:rPr>
                <w:rFonts w:hint="default"/>
                <w:vertAlign w:val="baseline"/>
                <w:lang w:val="en-US" w:eastAsia="zh-CN"/>
              </w:rPr>
            </w:pPr>
            <w:r>
              <w:rPr>
                <w:rFonts w:hint="eastAsia"/>
              </w:rPr>
              <w:t>3#项目场地外东北侧农户水井</w:t>
            </w:r>
          </w:p>
        </w:tc>
        <w:tc>
          <w:tcPr>
            <w:tcW w:w="917" w:type="dxa"/>
            <w:vMerge w:val="continue"/>
            <w:tcBorders>
              <w:tl2br w:val="nil"/>
              <w:tr2bl w:val="nil"/>
            </w:tcBorders>
            <w:vAlign w:val="center"/>
          </w:tcPr>
          <w:p>
            <w:pPr>
              <w:pStyle w:val="30"/>
              <w:widowControl w:val="0"/>
              <w:jc w:val="center"/>
              <w:rPr>
                <w:rFonts w:hint="default"/>
                <w:vertAlign w:val="baseline"/>
                <w:lang w:val="en-US" w:eastAsia="zh-CN"/>
              </w:rPr>
            </w:pPr>
          </w:p>
        </w:tc>
        <w:tc>
          <w:tcPr>
            <w:tcW w:w="347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5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09" w:type="dxa"/>
            <w:vMerge w:val="continue"/>
            <w:tcBorders>
              <w:tl2br w:val="nil"/>
              <w:tr2bl w:val="nil"/>
            </w:tcBorders>
            <w:vAlign w:val="center"/>
          </w:tcPr>
          <w:p>
            <w:pPr>
              <w:pStyle w:val="30"/>
              <w:widowControl w:val="0"/>
              <w:jc w:val="center"/>
              <w:rPr>
                <w:rFonts w:hint="default"/>
                <w:vertAlign w:val="baseline"/>
                <w:lang w:val="en-US" w:eastAsia="zh-CN"/>
              </w:rPr>
            </w:pPr>
          </w:p>
        </w:tc>
      </w:tr>
    </w:tbl>
    <w:p>
      <w:pPr>
        <w:bidi w:val="0"/>
        <w:rPr>
          <w:rFonts w:hint="default"/>
          <w:lang w:val="en-US" w:eastAsia="zh-CN"/>
        </w:rPr>
      </w:pPr>
      <w:r>
        <w:rPr>
          <w:rFonts w:hint="eastAsia"/>
          <w:lang w:val="en-US" w:eastAsia="zh-CN"/>
        </w:rPr>
        <w:t>（2）监测方法及仪器</w:t>
      </w:r>
    </w:p>
    <w:p>
      <w:pPr>
        <w:pStyle w:val="29"/>
        <w:bidi w:val="0"/>
        <w:rPr>
          <w:rFonts w:hint="eastAsia"/>
          <w:lang w:val="en-US" w:eastAsia="zh-CN"/>
        </w:rPr>
      </w:pPr>
      <w:r>
        <w:rPr>
          <w:rFonts w:hint="eastAsia"/>
          <w:lang w:val="en-US" w:eastAsia="zh-CN"/>
        </w:rPr>
        <w:t>表4.2-13  本项目地下水环境质量监测方法及仪器一览表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745"/>
        <w:gridCol w:w="2970"/>
        <w:gridCol w:w="1380"/>
        <w:gridCol w:w="1425"/>
        <w:gridCol w:w="12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类别</w:t>
            </w:r>
          </w:p>
        </w:tc>
        <w:tc>
          <w:tcPr>
            <w:tcW w:w="174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监测项目</w:t>
            </w:r>
          </w:p>
        </w:tc>
        <w:tc>
          <w:tcPr>
            <w:tcW w:w="297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监测方法及依据</w:t>
            </w:r>
          </w:p>
        </w:tc>
        <w:tc>
          <w:tcPr>
            <w:tcW w:w="138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所用仪器</w:t>
            </w:r>
          </w:p>
        </w:tc>
        <w:tc>
          <w:tcPr>
            <w:tcW w:w="142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仪器编号</w:t>
            </w:r>
          </w:p>
        </w:tc>
        <w:tc>
          <w:tcPr>
            <w:tcW w:w="1289"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813"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地下水</w:t>
            </w:r>
          </w:p>
        </w:tc>
        <w:tc>
          <w:tcPr>
            <w:tcW w:w="1745" w:type="dxa"/>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pH</w:t>
            </w:r>
          </w:p>
        </w:tc>
        <w:tc>
          <w:tcPr>
            <w:tcW w:w="2970" w:type="dxa"/>
            <w:tcBorders>
              <w:tl2br w:val="nil"/>
              <w:tr2bl w:val="nil"/>
            </w:tcBorders>
            <w:vAlign w:val="center"/>
          </w:tcPr>
          <w:p>
            <w:pPr>
              <w:pStyle w:val="30"/>
              <w:widowControl w:val="0"/>
              <w:bidi w:val="0"/>
              <w:jc w:val="center"/>
              <w:rPr>
                <w:rFonts w:hint="default"/>
                <w:lang w:val="en-US" w:eastAsia="zh-CN"/>
              </w:rPr>
            </w:pPr>
            <w:r>
              <w:rPr>
                <w:rFonts w:hint="eastAsia"/>
              </w:rPr>
              <w:t>便携式pH计法《水和废水监测分析方法》（第四版增补版）国家环境保护总局（2002年）</w:t>
            </w:r>
          </w:p>
        </w:tc>
        <w:tc>
          <w:tcPr>
            <w:tcW w:w="1380" w:type="dxa"/>
            <w:tcBorders>
              <w:tl2br w:val="nil"/>
              <w:tr2bl w:val="nil"/>
            </w:tcBorders>
            <w:vAlign w:val="center"/>
          </w:tcPr>
          <w:p>
            <w:pPr>
              <w:pStyle w:val="30"/>
              <w:widowControl w:val="0"/>
              <w:bidi w:val="0"/>
              <w:jc w:val="center"/>
              <w:rPr>
                <w:rFonts w:hint="default"/>
                <w:lang w:val="en-US" w:eastAsia="zh-CN"/>
              </w:rPr>
            </w:pPr>
            <w:r>
              <w:rPr>
                <w:rFonts w:hint="eastAsia"/>
              </w:rPr>
              <w:t>PHB-4便携式PH测定仪</w:t>
            </w:r>
          </w:p>
        </w:tc>
        <w:tc>
          <w:tcPr>
            <w:tcW w:w="1425" w:type="dxa"/>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XSJS-043-04</w:t>
            </w: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1"/>
              </w:rPr>
              <w:t>耗氧量</w:t>
            </w:r>
          </w:p>
        </w:tc>
        <w:tc>
          <w:tcPr>
            <w:tcW w:w="2970" w:type="dxa"/>
            <w:tcBorders>
              <w:tl2br w:val="nil"/>
              <w:tr2bl w:val="nil"/>
            </w:tcBorders>
            <w:vAlign w:val="center"/>
          </w:tcPr>
          <w:p>
            <w:pPr>
              <w:pStyle w:val="30"/>
              <w:widowControl w:val="0"/>
              <w:bidi w:val="0"/>
              <w:jc w:val="center"/>
              <w:rPr>
                <w:rFonts w:hint="default"/>
                <w:lang w:val="en-US" w:eastAsia="zh-CN"/>
              </w:rPr>
            </w:pPr>
            <w:r>
              <w:rPr>
                <w:rFonts w:hint="eastAsia"/>
              </w:rPr>
              <w:t>酸性高锰酸钾滴定法生活饮用水标准检验方法有机物综合指标GB/T 5750.7-2006</w:t>
            </w:r>
          </w:p>
        </w:tc>
        <w:tc>
          <w:tcPr>
            <w:tcW w:w="1380"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w:t>
            </w:r>
          </w:p>
        </w:tc>
        <w:tc>
          <w:tcPr>
            <w:tcW w:w="14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0.05m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1"/>
              </w:rPr>
              <w:t>溶解性总固体</w:t>
            </w:r>
          </w:p>
        </w:tc>
        <w:tc>
          <w:tcPr>
            <w:tcW w:w="2970" w:type="dxa"/>
            <w:tcBorders>
              <w:tl2br w:val="nil"/>
              <w:tr2bl w:val="nil"/>
            </w:tcBorders>
            <w:vAlign w:val="center"/>
          </w:tcPr>
          <w:p>
            <w:pPr>
              <w:pStyle w:val="30"/>
              <w:widowControl w:val="0"/>
              <w:bidi w:val="0"/>
              <w:jc w:val="center"/>
              <w:rPr>
                <w:rFonts w:hint="default"/>
                <w:lang w:val="en-US" w:eastAsia="zh-CN"/>
              </w:rPr>
            </w:pPr>
            <w:r>
              <w:rPr>
                <w:rFonts w:hint="eastAsia"/>
              </w:rPr>
              <w:t>称重法生活饮用水标准检验方法感官性状和物理指标GB/T5750.4-2006</w:t>
            </w:r>
          </w:p>
        </w:tc>
        <w:tc>
          <w:tcPr>
            <w:tcW w:w="1380" w:type="dxa"/>
            <w:tcBorders>
              <w:tl2br w:val="nil"/>
              <w:tr2bl w:val="nil"/>
            </w:tcBorders>
            <w:vAlign w:val="center"/>
          </w:tcPr>
          <w:p>
            <w:pPr>
              <w:pStyle w:val="30"/>
              <w:widowControl w:val="0"/>
              <w:bidi w:val="0"/>
              <w:jc w:val="center"/>
              <w:rPr>
                <w:rFonts w:hint="default"/>
                <w:lang w:val="en-US" w:eastAsia="zh-CN"/>
              </w:rPr>
            </w:pPr>
            <w:r>
              <w:rPr>
                <w:rFonts w:hint="eastAsia"/>
              </w:rPr>
              <w:t>FA2004N万分之一天平</w:t>
            </w:r>
          </w:p>
        </w:tc>
        <w:tc>
          <w:tcPr>
            <w:tcW w:w="1425" w:type="dxa"/>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XSJS-024</w:t>
            </w: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1"/>
              </w:rPr>
              <w:t>总硬度</w:t>
            </w:r>
          </w:p>
        </w:tc>
        <w:tc>
          <w:tcPr>
            <w:tcW w:w="2970" w:type="dxa"/>
            <w:tcBorders>
              <w:tl2br w:val="nil"/>
              <w:tr2bl w:val="nil"/>
            </w:tcBorders>
            <w:vAlign w:val="center"/>
          </w:tcPr>
          <w:p>
            <w:pPr>
              <w:pStyle w:val="30"/>
              <w:widowControl w:val="0"/>
              <w:bidi w:val="0"/>
              <w:jc w:val="center"/>
              <w:rPr>
                <w:rFonts w:hint="default"/>
                <w:lang w:val="en-US" w:eastAsia="zh-CN"/>
              </w:rPr>
            </w:pPr>
            <w:r>
              <w:rPr>
                <w:rFonts w:hint="eastAsia"/>
              </w:rPr>
              <w:t>水质钙和镁总量的测定EDTA滴定法GB 7477-87</w:t>
            </w:r>
          </w:p>
        </w:tc>
        <w:tc>
          <w:tcPr>
            <w:tcW w:w="1380"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w:t>
            </w:r>
          </w:p>
        </w:tc>
        <w:tc>
          <w:tcPr>
            <w:tcW w:w="14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1"/>
              </w:rPr>
              <w:t>碳酸根</w:t>
            </w:r>
          </w:p>
        </w:tc>
        <w:tc>
          <w:tcPr>
            <w:tcW w:w="2970" w:type="dxa"/>
            <w:vMerge w:val="restart"/>
            <w:tcBorders>
              <w:tl2br w:val="nil"/>
              <w:tr2bl w:val="nil"/>
            </w:tcBorders>
            <w:vAlign w:val="center"/>
          </w:tcPr>
          <w:p>
            <w:pPr>
              <w:pStyle w:val="30"/>
              <w:widowControl w:val="0"/>
              <w:bidi w:val="0"/>
              <w:jc w:val="center"/>
              <w:rPr>
                <w:rFonts w:hint="default"/>
                <w:lang w:val="en-US" w:eastAsia="zh-CN"/>
              </w:rPr>
            </w:pPr>
            <w:r>
              <w:rPr>
                <w:rFonts w:hint="eastAsia"/>
              </w:rPr>
              <w:t>地下水</w:t>
            </w:r>
            <w:r>
              <w:rPr>
                <w:rFonts w:hint="eastAsia"/>
                <w:lang w:eastAsia="zh-CN"/>
              </w:rPr>
              <w:t>水质</w:t>
            </w:r>
            <w:r>
              <w:rPr>
                <w:rFonts w:hint="eastAsia"/>
              </w:rPr>
              <w:t>检验方法滴定法测定碳酸根、重碳酸根和氢氧根DZ/T 0064.49-1993</w:t>
            </w:r>
          </w:p>
        </w:tc>
        <w:tc>
          <w:tcPr>
            <w:tcW w:w="1380" w:type="dxa"/>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w:t>
            </w:r>
          </w:p>
        </w:tc>
        <w:tc>
          <w:tcPr>
            <w:tcW w:w="142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1"/>
              </w:rPr>
              <w:t>重碳酸根</w:t>
            </w:r>
          </w:p>
        </w:tc>
        <w:tc>
          <w:tcPr>
            <w:tcW w:w="2970" w:type="dxa"/>
            <w:vMerge w:val="continue"/>
            <w:tcBorders>
              <w:tl2br w:val="nil"/>
              <w:tr2bl w:val="nil"/>
            </w:tcBorders>
            <w:vAlign w:val="center"/>
          </w:tcPr>
          <w:p>
            <w:pPr>
              <w:pStyle w:val="30"/>
              <w:widowControl w:val="0"/>
              <w:bidi w:val="0"/>
              <w:jc w:val="center"/>
              <w:rPr>
                <w:rFonts w:hint="default"/>
                <w:lang w:val="en-US" w:eastAsia="zh-CN"/>
              </w:rPr>
            </w:pP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1"/>
              </w:rPr>
              <w:t>氨氮</w:t>
            </w:r>
          </w:p>
        </w:tc>
        <w:tc>
          <w:tcPr>
            <w:tcW w:w="2970" w:type="dxa"/>
            <w:tcBorders>
              <w:tl2br w:val="nil"/>
              <w:tr2bl w:val="nil"/>
            </w:tcBorders>
            <w:vAlign w:val="center"/>
          </w:tcPr>
          <w:p>
            <w:pPr>
              <w:pStyle w:val="30"/>
              <w:widowControl w:val="0"/>
              <w:bidi w:val="0"/>
              <w:jc w:val="center"/>
              <w:rPr>
                <w:rFonts w:hint="default"/>
                <w:lang w:val="en-US" w:eastAsia="zh-CN"/>
              </w:rPr>
            </w:pPr>
            <w:r>
              <w:rPr>
                <w:rFonts w:hint="eastAsia"/>
              </w:rPr>
              <w:t>水质氨氮的测定纳氏试剂分光光度法HJ 535-2009</w:t>
            </w:r>
          </w:p>
        </w:tc>
        <w:tc>
          <w:tcPr>
            <w:tcW w:w="1380" w:type="dxa"/>
            <w:vMerge w:val="restart"/>
            <w:tcBorders>
              <w:tl2br w:val="nil"/>
              <w:tr2bl w:val="nil"/>
            </w:tcBorders>
            <w:vAlign w:val="center"/>
          </w:tcPr>
          <w:p>
            <w:pPr>
              <w:pStyle w:val="30"/>
              <w:widowControl w:val="0"/>
              <w:bidi w:val="0"/>
              <w:jc w:val="center"/>
              <w:rPr>
                <w:rFonts w:hint="default"/>
                <w:lang w:val="en-US" w:eastAsia="zh-CN"/>
              </w:rPr>
            </w:pPr>
            <w:r>
              <w:rPr>
                <w:rFonts w:hint="eastAsia"/>
              </w:rPr>
              <w:t>UV-1600型紫外可见分光光度计</w:t>
            </w:r>
          </w:p>
        </w:tc>
        <w:tc>
          <w:tcPr>
            <w:tcW w:w="142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XSJS-018-02</w:t>
            </w: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0.025m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rPr>
            </w:pPr>
            <w:r>
              <w:rPr>
                <w:rFonts w:hint="eastAsia" w:ascii="宋体" w:hAnsi="宋体" w:eastAsia="宋体"/>
                <w:sz w:val="21"/>
              </w:rPr>
              <w:t>铬（六价）</w:t>
            </w:r>
          </w:p>
        </w:tc>
        <w:tc>
          <w:tcPr>
            <w:tcW w:w="2970" w:type="dxa"/>
            <w:tcBorders>
              <w:tl2br w:val="nil"/>
              <w:tr2bl w:val="nil"/>
            </w:tcBorders>
            <w:vAlign w:val="center"/>
          </w:tcPr>
          <w:p>
            <w:pPr>
              <w:pStyle w:val="30"/>
              <w:widowControl w:val="0"/>
              <w:bidi w:val="0"/>
              <w:jc w:val="center"/>
              <w:rPr>
                <w:rFonts w:hint="default"/>
                <w:lang w:val="en-US" w:eastAsia="zh-CN"/>
              </w:rPr>
            </w:pPr>
            <w:r>
              <w:rPr>
                <w:rFonts w:hint="eastAsia"/>
              </w:rPr>
              <w:t>二苯碳酰二肼分光光度法生活饮用水标准检验方法金属指标GB/T 5750.6-2006</w:t>
            </w: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0.004m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rPr>
            </w:pPr>
            <w:r>
              <w:rPr>
                <w:rFonts w:hint="eastAsia" w:ascii="宋体" w:hAnsi="宋体" w:eastAsia="宋体"/>
                <w:sz w:val="21"/>
              </w:rPr>
              <w:t>挥发酚</w:t>
            </w:r>
          </w:p>
        </w:tc>
        <w:tc>
          <w:tcPr>
            <w:tcW w:w="2970" w:type="dxa"/>
            <w:tcBorders>
              <w:tl2br w:val="nil"/>
              <w:tr2bl w:val="nil"/>
            </w:tcBorders>
            <w:vAlign w:val="center"/>
          </w:tcPr>
          <w:p>
            <w:pPr>
              <w:pStyle w:val="30"/>
              <w:widowControl w:val="0"/>
              <w:bidi w:val="0"/>
              <w:jc w:val="center"/>
              <w:rPr>
                <w:rFonts w:hint="default"/>
                <w:lang w:val="en-US" w:eastAsia="zh-CN"/>
              </w:rPr>
            </w:pPr>
            <w:r>
              <w:rPr>
                <w:rFonts w:hint="eastAsia"/>
              </w:rPr>
              <w:t>水质挥发酚的测定4</w:t>
            </w:r>
            <w:r>
              <w:rPr>
                <w:rFonts w:hint="eastAsia"/>
                <w:lang w:eastAsia="zh-CN"/>
              </w:rPr>
              <w:t>－</w:t>
            </w:r>
            <w:r>
              <w:rPr>
                <w:rFonts w:hint="eastAsia"/>
              </w:rPr>
              <w:t>氨基安替比林分光光度法HJ 503-2009</w:t>
            </w: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0.0003m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rPr>
            </w:pPr>
            <w:r>
              <w:rPr>
                <w:rFonts w:hint="eastAsia" w:ascii="宋体" w:hAnsi="宋体" w:eastAsia="宋体"/>
                <w:sz w:val="21"/>
              </w:rPr>
              <w:t>氰化物</w:t>
            </w:r>
          </w:p>
        </w:tc>
        <w:tc>
          <w:tcPr>
            <w:tcW w:w="2970" w:type="dxa"/>
            <w:tcBorders>
              <w:tl2br w:val="nil"/>
              <w:tr2bl w:val="nil"/>
            </w:tcBorders>
            <w:vAlign w:val="center"/>
          </w:tcPr>
          <w:p>
            <w:pPr>
              <w:pStyle w:val="30"/>
              <w:widowControl w:val="0"/>
              <w:bidi w:val="0"/>
              <w:jc w:val="center"/>
              <w:rPr>
                <w:rFonts w:hint="default"/>
                <w:lang w:val="en-US" w:eastAsia="zh-CN"/>
              </w:rPr>
            </w:pPr>
            <w:r>
              <w:rPr>
                <w:rFonts w:hint="eastAsia"/>
              </w:rPr>
              <w:t>异烟酸</w:t>
            </w:r>
            <w:r>
              <w:rPr>
                <w:rFonts w:hint="eastAsia"/>
                <w:lang w:eastAsia="zh-CN"/>
              </w:rPr>
              <w:t>－</w:t>
            </w:r>
            <w:r>
              <w:rPr>
                <w:rFonts w:hint="eastAsia"/>
              </w:rPr>
              <w:t>吡唑酮分光光度法生活饮用水标准检验方法无机非金属指标GB/T 5750.5-2006</w:t>
            </w: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0.002m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rPr>
            </w:pPr>
            <w:r>
              <w:rPr>
                <w:rFonts w:hint="eastAsia" w:ascii="宋体" w:hAnsi="宋体" w:eastAsia="宋体"/>
                <w:sz w:val="21"/>
              </w:rPr>
              <w:t>氟化物（氟离子）</w:t>
            </w:r>
          </w:p>
        </w:tc>
        <w:tc>
          <w:tcPr>
            <w:tcW w:w="2970" w:type="dxa"/>
            <w:vMerge w:val="restart"/>
            <w:tcBorders>
              <w:tl2br w:val="nil"/>
              <w:tr2bl w:val="nil"/>
            </w:tcBorders>
            <w:vAlign w:val="center"/>
          </w:tcPr>
          <w:p>
            <w:pPr>
              <w:pStyle w:val="30"/>
              <w:widowControl w:val="0"/>
              <w:bidi w:val="0"/>
              <w:jc w:val="center"/>
              <w:rPr>
                <w:rFonts w:hint="default"/>
                <w:lang w:val="en-US" w:eastAsia="zh-CN"/>
              </w:rPr>
            </w:pPr>
            <w:r>
              <w:rPr>
                <w:rFonts w:hint="eastAsia"/>
              </w:rPr>
              <w:t>水质无机阴离子（F</w:t>
            </w:r>
            <w:r>
              <w:rPr>
                <w:rFonts w:hint="eastAsia"/>
                <w:vertAlign w:val="superscript"/>
              </w:rPr>
              <w:t>-</w:t>
            </w:r>
            <w:r>
              <w:rPr>
                <w:rFonts w:hint="eastAsia"/>
              </w:rPr>
              <w:t>、Cl</w:t>
            </w:r>
            <w:r>
              <w:rPr>
                <w:rFonts w:hint="eastAsia"/>
                <w:vertAlign w:val="superscript"/>
              </w:rPr>
              <w:t>-</w:t>
            </w:r>
            <w:r>
              <w:rPr>
                <w:rFonts w:hint="eastAsia"/>
              </w:rPr>
              <w:t>、NO</w:t>
            </w:r>
            <w:r>
              <w:rPr>
                <w:rFonts w:hint="eastAsia"/>
                <w:vertAlign w:val="subscript"/>
              </w:rPr>
              <w:t>2</w:t>
            </w:r>
            <w:r>
              <w:rPr>
                <w:rFonts w:hint="eastAsia"/>
                <w:vertAlign w:val="superscript"/>
              </w:rPr>
              <w:t>-</w:t>
            </w:r>
            <w:r>
              <w:rPr>
                <w:rFonts w:hint="eastAsia"/>
              </w:rPr>
              <w:t>、Br</w:t>
            </w:r>
            <w:r>
              <w:rPr>
                <w:rFonts w:hint="eastAsia"/>
                <w:vertAlign w:val="superscript"/>
              </w:rPr>
              <w:t>-</w:t>
            </w:r>
            <w:r>
              <w:rPr>
                <w:rFonts w:hint="eastAsia"/>
              </w:rPr>
              <w:t>、NO</w:t>
            </w:r>
            <w:r>
              <w:rPr>
                <w:rFonts w:hint="eastAsia"/>
                <w:vertAlign w:val="superscript"/>
              </w:rPr>
              <w:t>3-</w:t>
            </w:r>
            <w:r>
              <w:rPr>
                <w:rFonts w:hint="eastAsia"/>
              </w:rPr>
              <w:t>、PO</w:t>
            </w:r>
            <w:r>
              <w:rPr>
                <w:rFonts w:hint="eastAsia"/>
                <w:vertAlign w:val="subscript"/>
              </w:rPr>
              <w:t>4</w:t>
            </w:r>
            <w:r>
              <w:rPr>
                <w:rFonts w:hint="eastAsia"/>
                <w:vertAlign w:val="superscript"/>
              </w:rPr>
              <w:t>3-</w:t>
            </w:r>
            <w:r>
              <w:rPr>
                <w:rFonts w:hint="eastAsia"/>
              </w:rPr>
              <w:t>、SO</w:t>
            </w:r>
            <w:r>
              <w:rPr>
                <w:rFonts w:hint="eastAsia"/>
                <w:vertAlign w:val="subscript"/>
              </w:rPr>
              <w:t>3</w:t>
            </w:r>
            <w:r>
              <w:rPr>
                <w:rFonts w:hint="eastAsia"/>
                <w:vertAlign w:val="superscript"/>
              </w:rPr>
              <w:t>2-</w:t>
            </w:r>
            <w:r>
              <w:rPr>
                <w:rFonts w:hint="eastAsia"/>
              </w:rPr>
              <w:t>、SO</w:t>
            </w:r>
            <w:r>
              <w:rPr>
                <w:rFonts w:hint="eastAsia"/>
                <w:vertAlign w:val="subscript"/>
              </w:rPr>
              <w:t>4</w:t>
            </w:r>
            <w:r>
              <w:rPr>
                <w:rFonts w:hint="eastAsia"/>
                <w:vertAlign w:val="superscript"/>
              </w:rPr>
              <w:t>2-</w:t>
            </w:r>
            <w:r>
              <w:rPr>
                <w:rFonts w:hint="eastAsia"/>
              </w:rPr>
              <w:t>）的测定离子色谱法HJ 84-2016</w:t>
            </w:r>
          </w:p>
        </w:tc>
        <w:tc>
          <w:tcPr>
            <w:tcW w:w="1380" w:type="dxa"/>
            <w:vMerge w:val="restart"/>
            <w:tcBorders>
              <w:tl2br w:val="nil"/>
              <w:tr2bl w:val="nil"/>
            </w:tcBorders>
            <w:vAlign w:val="center"/>
          </w:tcPr>
          <w:p>
            <w:pPr>
              <w:pStyle w:val="30"/>
              <w:widowControl w:val="0"/>
              <w:bidi w:val="0"/>
              <w:jc w:val="center"/>
              <w:rPr>
                <w:rFonts w:hint="default"/>
                <w:lang w:val="en-US" w:eastAsia="zh-CN"/>
              </w:rPr>
            </w:pPr>
            <w:r>
              <w:rPr>
                <w:rFonts w:hint="eastAsia"/>
              </w:rPr>
              <w:t>离子色谱仪YC3000</w:t>
            </w:r>
          </w:p>
        </w:tc>
        <w:tc>
          <w:tcPr>
            <w:tcW w:w="142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XSJS-058-01</w:t>
            </w: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0.006m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bidi w:val="0"/>
              <w:jc w:val="center"/>
              <w:rPr>
                <w:rFonts w:hint="eastAsia"/>
              </w:rPr>
            </w:pPr>
            <w:r>
              <w:rPr>
                <w:rFonts w:hint="eastAsia"/>
              </w:rPr>
              <w:t>亚硝酸盐氮</w:t>
            </w:r>
          </w:p>
          <w:p>
            <w:pPr>
              <w:pStyle w:val="30"/>
              <w:widowControl w:val="0"/>
              <w:bidi w:val="0"/>
              <w:jc w:val="center"/>
              <w:rPr>
                <w:rFonts w:hint="eastAsia"/>
              </w:rPr>
            </w:pPr>
            <w:r>
              <w:rPr>
                <w:rFonts w:hint="eastAsia"/>
              </w:rPr>
              <w:t>（亚硝酸根）</w:t>
            </w:r>
          </w:p>
        </w:tc>
        <w:tc>
          <w:tcPr>
            <w:tcW w:w="2970" w:type="dxa"/>
            <w:vMerge w:val="continue"/>
            <w:tcBorders>
              <w:tl2br w:val="nil"/>
              <w:tr2bl w:val="nil"/>
            </w:tcBorders>
            <w:vAlign w:val="center"/>
          </w:tcPr>
          <w:p>
            <w:pPr>
              <w:pStyle w:val="30"/>
              <w:widowControl w:val="0"/>
              <w:bidi w:val="0"/>
              <w:jc w:val="center"/>
              <w:rPr>
                <w:rFonts w:hint="default"/>
                <w:lang w:val="en-US" w:eastAsia="zh-CN"/>
              </w:rPr>
            </w:pP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0.016m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bidi w:val="0"/>
              <w:jc w:val="center"/>
              <w:rPr>
                <w:rFonts w:hint="eastAsia"/>
              </w:rPr>
            </w:pPr>
            <w:r>
              <w:rPr>
                <w:rFonts w:hint="eastAsia"/>
              </w:rPr>
              <w:t>硝酸根</w:t>
            </w:r>
          </w:p>
          <w:p>
            <w:pPr>
              <w:pStyle w:val="30"/>
              <w:widowControl w:val="0"/>
              <w:bidi w:val="0"/>
              <w:jc w:val="center"/>
              <w:rPr>
                <w:rFonts w:hint="eastAsia"/>
              </w:rPr>
            </w:pPr>
            <w:r>
              <w:rPr>
                <w:rFonts w:hint="eastAsia"/>
              </w:rPr>
              <w:t>（硝酸盐氮）</w:t>
            </w:r>
          </w:p>
        </w:tc>
        <w:tc>
          <w:tcPr>
            <w:tcW w:w="2970" w:type="dxa"/>
            <w:vMerge w:val="continue"/>
            <w:tcBorders>
              <w:tl2br w:val="nil"/>
              <w:tr2bl w:val="nil"/>
            </w:tcBorders>
            <w:vAlign w:val="center"/>
          </w:tcPr>
          <w:p>
            <w:pPr>
              <w:pStyle w:val="30"/>
              <w:widowControl w:val="0"/>
              <w:bidi w:val="0"/>
              <w:jc w:val="center"/>
              <w:rPr>
                <w:rFonts w:hint="default"/>
                <w:lang w:val="en-US" w:eastAsia="zh-CN"/>
              </w:rPr>
            </w:pP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0.016m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rPr>
            </w:pPr>
            <w:r>
              <w:rPr>
                <w:rFonts w:hint="eastAsia" w:ascii="宋体" w:hAnsi="宋体" w:eastAsia="宋体"/>
                <w:sz w:val="21"/>
              </w:rPr>
              <w:t>氯化物（氯离子）</w:t>
            </w:r>
          </w:p>
        </w:tc>
        <w:tc>
          <w:tcPr>
            <w:tcW w:w="2970" w:type="dxa"/>
            <w:vMerge w:val="continue"/>
            <w:tcBorders>
              <w:tl2br w:val="nil"/>
              <w:tr2bl w:val="nil"/>
            </w:tcBorders>
            <w:vAlign w:val="center"/>
          </w:tcPr>
          <w:p>
            <w:pPr>
              <w:pStyle w:val="30"/>
              <w:widowControl w:val="0"/>
              <w:bidi w:val="0"/>
              <w:jc w:val="center"/>
              <w:rPr>
                <w:rFonts w:hint="default"/>
                <w:lang w:val="en-US" w:eastAsia="zh-CN"/>
              </w:rPr>
            </w:pP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0.007m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rPr>
            </w:pPr>
            <w:r>
              <w:rPr>
                <w:rFonts w:hint="eastAsia" w:ascii="宋体" w:hAnsi="宋体" w:eastAsia="宋体"/>
                <w:sz w:val="21"/>
              </w:rPr>
              <w:t>硫酸盐（硫酸根）</w:t>
            </w:r>
          </w:p>
        </w:tc>
        <w:tc>
          <w:tcPr>
            <w:tcW w:w="2970" w:type="dxa"/>
            <w:vMerge w:val="continue"/>
            <w:tcBorders>
              <w:tl2br w:val="nil"/>
              <w:tr2bl w:val="nil"/>
            </w:tcBorders>
            <w:vAlign w:val="center"/>
          </w:tcPr>
          <w:p>
            <w:pPr>
              <w:pStyle w:val="30"/>
              <w:widowControl w:val="0"/>
              <w:bidi w:val="0"/>
              <w:jc w:val="center"/>
              <w:rPr>
                <w:rFonts w:hint="default"/>
                <w:lang w:val="en-US" w:eastAsia="zh-CN"/>
              </w:rPr>
            </w:pP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0.018m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lang w:val="en-US" w:eastAsia="zh-CN"/>
              </w:rPr>
            </w:pPr>
            <w:r>
              <w:rPr>
                <w:rFonts w:hint="eastAsia" w:ascii="宋体" w:hAnsi="宋体" w:eastAsia="宋体"/>
                <w:sz w:val="21"/>
                <w:lang w:val="en-US" w:eastAsia="zh-CN"/>
              </w:rPr>
              <w:t>钾</w:t>
            </w:r>
          </w:p>
        </w:tc>
        <w:tc>
          <w:tcPr>
            <w:tcW w:w="2970" w:type="dxa"/>
            <w:vMerge w:val="restart"/>
            <w:tcBorders>
              <w:tl2br w:val="nil"/>
              <w:tr2bl w:val="nil"/>
            </w:tcBorders>
            <w:vAlign w:val="center"/>
          </w:tcPr>
          <w:p>
            <w:pPr>
              <w:pStyle w:val="30"/>
              <w:widowControl w:val="0"/>
              <w:bidi w:val="0"/>
              <w:jc w:val="center"/>
              <w:rPr>
                <w:rFonts w:hint="default"/>
                <w:lang w:val="en-US" w:eastAsia="zh-CN"/>
              </w:rPr>
            </w:pPr>
            <w:r>
              <w:rPr>
                <w:rFonts w:hint="eastAsia"/>
              </w:rPr>
              <w:t>水质钾和钠的测定火焰原子吸收分光光度法GB 11904-89</w:t>
            </w:r>
          </w:p>
        </w:tc>
        <w:tc>
          <w:tcPr>
            <w:tcW w:w="1380" w:type="dxa"/>
            <w:vMerge w:val="restart"/>
            <w:tcBorders>
              <w:tl2br w:val="nil"/>
              <w:tr2bl w:val="nil"/>
            </w:tcBorders>
            <w:vAlign w:val="center"/>
          </w:tcPr>
          <w:p>
            <w:pPr>
              <w:pStyle w:val="30"/>
              <w:widowControl w:val="0"/>
              <w:bidi w:val="0"/>
              <w:jc w:val="center"/>
              <w:rPr>
                <w:rFonts w:hint="default"/>
                <w:lang w:val="en-US" w:eastAsia="zh-CN"/>
              </w:rPr>
            </w:pPr>
            <w:r>
              <w:rPr>
                <w:rFonts w:hint="eastAsia"/>
              </w:rPr>
              <w:t>GGX-830石墨炉/火焰原子吸收分光光度计</w:t>
            </w:r>
          </w:p>
        </w:tc>
        <w:tc>
          <w:tcPr>
            <w:tcW w:w="142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XSJS-004</w:t>
            </w: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0.05m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default" w:ascii="宋体" w:hAnsi="宋体" w:eastAsia="宋体"/>
                <w:sz w:val="21"/>
                <w:lang w:val="en-US" w:eastAsia="zh-CN"/>
              </w:rPr>
            </w:pPr>
            <w:r>
              <w:rPr>
                <w:rFonts w:hint="eastAsia" w:ascii="宋体" w:hAnsi="宋体" w:eastAsia="宋体"/>
                <w:sz w:val="21"/>
                <w:lang w:val="en-US" w:eastAsia="zh-CN"/>
              </w:rPr>
              <w:t>钠</w:t>
            </w:r>
          </w:p>
        </w:tc>
        <w:tc>
          <w:tcPr>
            <w:tcW w:w="2970" w:type="dxa"/>
            <w:vMerge w:val="continue"/>
            <w:tcBorders>
              <w:tl2br w:val="nil"/>
              <w:tr2bl w:val="nil"/>
            </w:tcBorders>
            <w:vAlign w:val="center"/>
          </w:tcPr>
          <w:p>
            <w:pPr>
              <w:pStyle w:val="30"/>
              <w:widowControl w:val="0"/>
              <w:bidi w:val="0"/>
              <w:jc w:val="center"/>
              <w:rPr>
                <w:rFonts w:hint="default"/>
                <w:lang w:val="en-US" w:eastAsia="zh-CN"/>
              </w:rPr>
            </w:pP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lang w:val="en-US" w:eastAsia="zh-CN"/>
              </w:rPr>
            </w:pPr>
            <w:r>
              <w:rPr>
                <w:rFonts w:hint="eastAsia" w:ascii="宋体" w:hAnsi="宋体" w:eastAsia="宋体"/>
                <w:sz w:val="21"/>
                <w:lang w:val="en-US" w:eastAsia="zh-CN"/>
              </w:rPr>
              <w:t>钙</w:t>
            </w:r>
          </w:p>
        </w:tc>
        <w:tc>
          <w:tcPr>
            <w:tcW w:w="2970" w:type="dxa"/>
            <w:vMerge w:val="restart"/>
            <w:tcBorders>
              <w:tl2br w:val="nil"/>
              <w:tr2bl w:val="nil"/>
            </w:tcBorders>
            <w:vAlign w:val="center"/>
          </w:tcPr>
          <w:p>
            <w:pPr>
              <w:pStyle w:val="30"/>
              <w:widowControl w:val="0"/>
              <w:bidi w:val="0"/>
              <w:jc w:val="center"/>
              <w:rPr>
                <w:rFonts w:hint="default"/>
                <w:lang w:val="en-US" w:eastAsia="zh-CN"/>
              </w:rPr>
            </w:pPr>
            <w:r>
              <w:rPr>
                <w:rFonts w:hint="eastAsia"/>
              </w:rPr>
              <w:t>水质钙和镁的测定原子吸收分光光度法GB 11905-89</w:t>
            </w: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lang w:val="en-US" w:eastAsia="zh-CN"/>
              </w:rPr>
            </w:pPr>
            <w:r>
              <w:rPr>
                <w:rFonts w:hint="eastAsia" w:ascii="宋体" w:hAnsi="宋体" w:eastAsia="宋体"/>
                <w:sz w:val="21"/>
                <w:lang w:val="en-US" w:eastAsia="zh-CN"/>
              </w:rPr>
              <w:t>镁</w:t>
            </w:r>
          </w:p>
        </w:tc>
        <w:tc>
          <w:tcPr>
            <w:tcW w:w="2970" w:type="dxa"/>
            <w:vMerge w:val="continue"/>
            <w:tcBorders>
              <w:tl2br w:val="nil"/>
              <w:tr2bl w:val="nil"/>
            </w:tcBorders>
            <w:vAlign w:val="center"/>
          </w:tcPr>
          <w:p>
            <w:pPr>
              <w:pStyle w:val="30"/>
              <w:widowControl w:val="0"/>
              <w:bidi w:val="0"/>
              <w:jc w:val="center"/>
              <w:rPr>
                <w:rFonts w:hint="default"/>
                <w:lang w:val="en-US" w:eastAsia="zh-CN"/>
              </w:rPr>
            </w:pP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0.002m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lang w:val="en-US" w:eastAsia="zh-CN"/>
              </w:rPr>
            </w:pPr>
            <w:r>
              <w:rPr>
                <w:rFonts w:hint="eastAsia" w:ascii="宋体" w:hAnsi="宋体" w:eastAsia="宋体"/>
                <w:sz w:val="21"/>
                <w:lang w:val="en-US" w:eastAsia="zh-CN"/>
              </w:rPr>
              <w:t>铁</w:t>
            </w:r>
          </w:p>
        </w:tc>
        <w:tc>
          <w:tcPr>
            <w:tcW w:w="2970" w:type="dxa"/>
            <w:vMerge w:val="restart"/>
            <w:tcBorders>
              <w:tl2br w:val="nil"/>
              <w:tr2bl w:val="nil"/>
            </w:tcBorders>
            <w:vAlign w:val="center"/>
          </w:tcPr>
          <w:p>
            <w:pPr>
              <w:pStyle w:val="30"/>
              <w:widowControl w:val="0"/>
              <w:bidi w:val="0"/>
              <w:jc w:val="center"/>
              <w:rPr>
                <w:rFonts w:hint="default"/>
                <w:lang w:val="en-US" w:eastAsia="zh-CN"/>
              </w:rPr>
            </w:pPr>
            <w:r>
              <w:rPr>
                <w:rFonts w:hint="eastAsia"/>
              </w:rPr>
              <w:t>水质铁、锰的测定火焰原子吸收分光光度法GB 11911-89</w:t>
            </w: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0.03m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lang w:val="en-US" w:eastAsia="zh-CN"/>
              </w:rPr>
            </w:pPr>
            <w:r>
              <w:rPr>
                <w:rFonts w:hint="eastAsia" w:ascii="宋体" w:hAnsi="宋体" w:eastAsia="宋体"/>
                <w:sz w:val="21"/>
                <w:lang w:val="en-US" w:eastAsia="zh-CN"/>
              </w:rPr>
              <w:t>锰</w:t>
            </w:r>
          </w:p>
        </w:tc>
        <w:tc>
          <w:tcPr>
            <w:tcW w:w="2970" w:type="dxa"/>
            <w:vMerge w:val="continue"/>
            <w:tcBorders>
              <w:tl2br w:val="nil"/>
              <w:tr2bl w:val="nil"/>
            </w:tcBorders>
            <w:vAlign w:val="center"/>
          </w:tcPr>
          <w:p>
            <w:pPr>
              <w:pStyle w:val="30"/>
              <w:widowControl w:val="0"/>
              <w:bidi w:val="0"/>
              <w:jc w:val="center"/>
              <w:rPr>
                <w:rFonts w:hint="default"/>
                <w:lang w:val="en-US" w:eastAsia="zh-CN"/>
              </w:rPr>
            </w:pP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0.01m</w:t>
            </w:r>
            <w:r>
              <w:rPr>
                <w:rFonts w:hint="default" w:ascii="Times New Roman" w:hAnsi="Times New Roman" w:cs="Times New Roman"/>
                <w:vertAlign w:val="baseline"/>
                <w:lang w:val="en-US" w:eastAsia="zh-CN"/>
              </w:rPr>
              <w:t>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lang w:val="en-US" w:eastAsia="zh-CN"/>
              </w:rPr>
            </w:pPr>
            <w:r>
              <w:rPr>
                <w:rFonts w:hint="eastAsia" w:ascii="宋体" w:hAnsi="宋体" w:eastAsia="宋体"/>
                <w:sz w:val="21"/>
                <w:lang w:val="en-US" w:eastAsia="zh-CN"/>
              </w:rPr>
              <w:t>铅</w:t>
            </w:r>
          </w:p>
        </w:tc>
        <w:tc>
          <w:tcPr>
            <w:tcW w:w="2970" w:type="dxa"/>
            <w:vMerge w:val="restart"/>
            <w:tcBorders>
              <w:tl2br w:val="nil"/>
              <w:tr2bl w:val="nil"/>
            </w:tcBorders>
            <w:vAlign w:val="center"/>
          </w:tcPr>
          <w:p>
            <w:pPr>
              <w:pStyle w:val="30"/>
              <w:widowControl w:val="0"/>
              <w:bidi w:val="0"/>
              <w:jc w:val="center"/>
              <w:rPr>
                <w:rFonts w:hint="default"/>
                <w:lang w:val="en-US" w:eastAsia="zh-CN"/>
              </w:rPr>
            </w:pPr>
            <w:r>
              <w:rPr>
                <w:rFonts w:hint="eastAsia"/>
              </w:rPr>
              <w:t>无火焰原子吸收分光光度法生活饮用水标准检验方法金属指标GB/T 5750.6-2006</w:t>
            </w:r>
          </w:p>
        </w:tc>
        <w:tc>
          <w:tcPr>
            <w:tcW w:w="1380" w:type="dxa"/>
            <w:vMerge w:val="restart"/>
            <w:tcBorders>
              <w:tl2br w:val="nil"/>
              <w:tr2bl w:val="nil"/>
            </w:tcBorders>
            <w:vAlign w:val="center"/>
          </w:tcPr>
          <w:p>
            <w:pPr>
              <w:pStyle w:val="30"/>
              <w:widowControl w:val="0"/>
              <w:bidi w:val="0"/>
              <w:jc w:val="center"/>
              <w:rPr>
                <w:rFonts w:hint="default"/>
                <w:lang w:val="en-US" w:eastAsia="zh-CN"/>
              </w:rPr>
            </w:pPr>
            <w:r>
              <w:rPr>
                <w:rFonts w:hint="eastAsia"/>
              </w:rPr>
              <w:t>GGX-830石墨炉/火焰原子吸收分光光度计</w:t>
            </w:r>
          </w:p>
        </w:tc>
        <w:tc>
          <w:tcPr>
            <w:tcW w:w="142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XSJS-097</w:t>
            </w:r>
          </w:p>
        </w:tc>
        <w:tc>
          <w:tcPr>
            <w:tcW w:w="128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2.5</w:t>
            </w:r>
            <w:r>
              <w:rPr>
                <w:rFonts w:hint="default" w:ascii="Times New Roman" w:hAnsi="Times New Roman" w:cs="Times New Roman"/>
                <w:vertAlign w:val="baseline"/>
                <w:lang w:val="en-US" w:eastAsia="zh-CN"/>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lang w:val="en-US" w:eastAsia="zh-CN"/>
              </w:rPr>
            </w:pPr>
            <w:r>
              <w:rPr>
                <w:rFonts w:hint="eastAsia" w:ascii="宋体" w:hAnsi="宋体" w:eastAsia="宋体"/>
                <w:sz w:val="21"/>
                <w:lang w:val="en-US" w:eastAsia="zh-CN"/>
              </w:rPr>
              <w:t>镉</w:t>
            </w:r>
          </w:p>
        </w:tc>
        <w:tc>
          <w:tcPr>
            <w:tcW w:w="2970" w:type="dxa"/>
            <w:vMerge w:val="continue"/>
            <w:tcBorders>
              <w:tl2br w:val="nil"/>
              <w:tr2bl w:val="nil"/>
            </w:tcBorders>
            <w:vAlign w:val="center"/>
          </w:tcPr>
          <w:p>
            <w:pPr>
              <w:pStyle w:val="30"/>
              <w:widowControl w:val="0"/>
              <w:bidi w:val="0"/>
              <w:jc w:val="center"/>
              <w:rPr>
                <w:rFonts w:hint="default"/>
                <w:lang w:val="en-US" w:eastAsia="zh-CN"/>
              </w:rPr>
            </w:pP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0.5</w:t>
            </w:r>
            <w:r>
              <w:rPr>
                <w:rFonts w:hint="default" w:ascii="Times New Roman" w:hAnsi="Times New Roman" w:cs="Times New Roman"/>
                <w:vertAlign w:val="baseline"/>
                <w:lang w:val="en-US" w:eastAsia="zh-CN"/>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lang w:val="en-US" w:eastAsia="zh-CN"/>
              </w:rPr>
            </w:pPr>
            <w:r>
              <w:rPr>
                <w:rFonts w:hint="eastAsia" w:ascii="宋体" w:hAnsi="宋体" w:eastAsia="宋体"/>
                <w:sz w:val="21"/>
                <w:lang w:val="en-US" w:eastAsia="zh-CN"/>
              </w:rPr>
              <w:t>汞</w:t>
            </w:r>
          </w:p>
        </w:tc>
        <w:tc>
          <w:tcPr>
            <w:tcW w:w="2970" w:type="dxa"/>
            <w:vMerge w:val="restart"/>
            <w:tcBorders>
              <w:tl2br w:val="nil"/>
              <w:tr2bl w:val="nil"/>
            </w:tcBorders>
            <w:vAlign w:val="center"/>
          </w:tcPr>
          <w:p>
            <w:pPr>
              <w:pStyle w:val="30"/>
              <w:widowControl w:val="0"/>
              <w:bidi w:val="0"/>
              <w:jc w:val="center"/>
              <w:rPr>
                <w:rFonts w:hint="default"/>
                <w:lang w:val="en-US" w:eastAsia="zh-CN"/>
              </w:rPr>
            </w:pPr>
            <w:r>
              <w:rPr>
                <w:rFonts w:hint="eastAsia"/>
              </w:rPr>
              <w:t>水质汞、砷、硒、铋、锑的测定原子荧光法HJ 694-2014</w:t>
            </w:r>
          </w:p>
        </w:tc>
        <w:tc>
          <w:tcPr>
            <w:tcW w:w="1380" w:type="dxa"/>
            <w:vMerge w:val="restart"/>
            <w:tcBorders>
              <w:tl2br w:val="nil"/>
              <w:tr2bl w:val="nil"/>
            </w:tcBorders>
            <w:vAlign w:val="center"/>
          </w:tcPr>
          <w:p>
            <w:pPr>
              <w:pStyle w:val="30"/>
              <w:widowControl w:val="0"/>
              <w:bidi w:val="0"/>
              <w:jc w:val="center"/>
              <w:rPr>
                <w:rFonts w:hint="default"/>
                <w:lang w:val="en-US" w:eastAsia="zh-CN"/>
              </w:rPr>
            </w:pPr>
            <w:r>
              <w:rPr>
                <w:rFonts w:hint="eastAsia"/>
              </w:rPr>
              <w:t>AFS-230E原子荧光分光光度计AFS-230E原子荧光分光光度计</w:t>
            </w:r>
          </w:p>
        </w:tc>
        <w:tc>
          <w:tcPr>
            <w:tcW w:w="142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XSJS-001</w:t>
            </w:r>
          </w:p>
        </w:tc>
        <w:tc>
          <w:tcPr>
            <w:tcW w:w="128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0.04</w:t>
            </w:r>
            <w:r>
              <w:rPr>
                <w:rFonts w:hint="default" w:ascii="Times New Roman" w:hAnsi="Times New Roman" w:cs="Times New Roman"/>
                <w:vertAlign w:val="baseline"/>
                <w:lang w:val="en-US" w:eastAsia="zh-CN"/>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eastAsia" w:ascii="宋体" w:hAnsi="宋体" w:eastAsia="宋体"/>
                <w:sz w:val="21"/>
                <w:lang w:val="en-US" w:eastAsia="zh-CN"/>
              </w:rPr>
            </w:pPr>
            <w:r>
              <w:rPr>
                <w:rFonts w:hint="eastAsia" w:ascii="宋体" w:hAnsi="宋体" w:eastAsia="宋体"/>
                <w:sz w:val="21"/>
                <w:lang w:val="en-US" w:eastAsia="zh-CN"/>
              </w:rPr>
              <w:t>砷</w:t>
            </w:r>
          </w:p>
        </w:tc>
        <w:tc>
          <w:tcPr>
            <w:tcW w:w="2970" w:type="dxa"/>
            <w:vMerge w:val="continue"/>
            <w:tcBorders>
              <w:tl2br w:val="nil"/>
              <w:tr2bl w:val="nil"/>
            </w:tcBorders>
            <w:vAlign w:val="center"/>
          </w:tcPr>
          <w:p>
            <w:pPr>
              <w:pStyle w:val="30"/>
              <w:widowControl w:val="0"/>
              <w:bidi w:val="0"/>
              <w:jc w:val="center"/>
              <w:rPr>
                <w:rFonts w:hint="default"/>
                <w:lang w:val="en-US" w:eastAsia="zh-CN"/>
              </w:rPr>
            </w:pPr>
          </w:p>
        </w:tc>
        <w:tc>
          <w:tcPr>
            <w:tcW w:w="1380" w:type="dxa"/>
            <w:vMerge w:val="continue"/>
            <w:tcBorders>
              <w:tl2br w:val="nil"/>
              <w:tr2bl w:val="nil"/>
            </w:tcBorders>
            <w:vAlign w:val="center"/>
          </w:tcPr>
          <w:p>
            <w:pPr>
              <w:pStyle w:val="30"/>
              <w:widowControl w:val="0"/>
              <w:bidi w:val="0"/>
              <w:jc w:val="center"/>
              <w:rPr>
                <w:rFonts w:hint="default"/>
                <w:lang w:val="en-US" w:eastAsia="zh-CN"/>
              </w:rPr>
            </w:pPr>
          </w:p>
        </w:tc>
        <w:tc>
          <w:tcPr>
            <w:tcW w:w="142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8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0.3</w:t>
            </w:r>
            <w:r>
              <w:rPr>
                <w:rFonts w:hint="default" w:ascii="Times New Roman" w:hAnsi="Times New Roman" w:cs="Times New Roman"/>
                <w:vertAlign w:val="baseline"/>
                <w:lang w:val="en-US" w:eastAsia="zh-CN"/>
              </w:rPr>
              <w:t>μg/L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default" w:ascii="宋体" w:hAnsi="宋体" w:eastAsia="宋体"/>
                <w:sz w:val="21"/>
                <w:lang w:val="en-US" w:eastAsia="zh-CN"/>
              </w:rPr>
            </w:pPr>
            <w:r>
              <w:rPr>
                <w:rFonts w:hint="eastAsia" w:ascii="宋体" w:hAnsi="宋体" w:eastAsia="宋体"/>
                <w:sz w:val="21"/>
                <w:lang w:val="en-US" w:eastAsia="zh-CN"/>
              </w:rPr>
              <w:t>总大肠菌群</w:t>
            </w:r>
          </w:p>
        </w:tc>
        <w:tc>
          <w:tcPr>
            <w:tcW w:w="2970" w:type="dxa"/>
            <w:tcBorders>
              <w:tl2br w:val="nil"/>
              <w:tr2bl w:val="nil"/>
            </w:tcBorders>
            <w:vAlign w:val="center"/>
          </w:tcPr>
          <w:p>
            <w:pPr>
              <w:pStyle w:val="30"/>
              <w:widowControl w:val="0"/>
              <w:bidi w:val="0"/>
              <w:jc w:val="center"/>
              <w:rPr>
                <w:rFonts w:hint="eastAsia"/>
                <w:lang w:val="en-US" w:eastAsia="zh-CN"/>
              </w:rPr>
            </w:pPr>
            <w:r>
              <w:rPr>
                <w:rFonts w:hint="eastAsia"/>
              </w:rPr>
              <w:t>水中总大肠菌群的测定多管发酵法《水和废水监测分析方法》</w:t>
            </w:r>
            <w:r>
              <w:rPr>
                <w:rFonts w:hint="eastAsia"/>
                <w:lang w:eastAsia="zh-CN"/>
              </w:rPr>
              <w:t>（</w:t>
            </w:r>
            <w:r>
              <w:rPr>
                <w:rFonts w:hint="eastAsia"/>
              </w:rPr>
              <w:t>第四版</w:t>
            </w:r>
            <w:r>
              <w:rPr>
                <w:rFonts w:hint="eastAsia"/>
                <w:lang w:eastAsia="zh-CN"/>
              </w:rPr>
              <w:t>）</w:t>
            </w:r>
            <w:r>
              <w:rPr>
                <w:rFonts w:hint="eastAsia"/>
              </w:rPr>
              <w:t>国家环境保护总局，2002</w:t>
            </w:r>
            <w:r>
              <w:rPr>
                <w:rFonts w:hint="eastAsia"/>
                <w:lang w:val="en-US" w:eastAsia="zh-CN"/>
              </w:rPr>
              <w:t>年</w:t>
            </w:r>
          </w:p>
        </w:tc>
        <w:tc>
          <w:tcPr>
            <w:tcW w:w="1380" w:type="dxa"/>
            <w:vMerge w:val="restart"/>
            <w:tcBorders>
              <w:tl2br w:val="nil"/>
              <w:tr2bl w:val="nil"/>
            </w:tcBorders>
            <w:vAlign w:val="center"/>
          </w:tcPr>
          <w:p>
            <w:pPr>
              <w:pStyle w:val="30"/>
              <w:widowControl w:val="0"/>
              <w:bidi w:val="0"/>
              <w:jc w:val="center"/>
              <w:rPr>
                <w:rFonts w:hint="default"/>
                <w:lang w:val="en-US" w:eastAsia="zh-CN"/>
              </w:rPr>
            </w:pPr>
            <w:r>
              <w:rPr>
                <w:rFonts w:hint="eastAsia"/>
              </w:rPr>
              <w:t>HPX-9083MBE电热恒温培养箱</w:t>
            </w:r>
          </w:p>
        </w:tc>
        <w:tc>
          <w:tcPr>
            <w:tcW w:w="1425" w:type="dxa"/>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XSJS-082-02</w:t>
            </w: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745" w:type="dxa"/>
            <w:tcBorders>
              <w:tl2br w:val="nil"/>
              <w:tr2bl w:val="nil"/>
            </w:tcBorders>
            <w:vAlign w:val="center"/>
          </w:tcPr>
          <w:p>
            <w:pPr>
              <w:pStyle w:val="30"/>
              <w:widowControl w:val="0"/>
              <w:jc w:val="center"/>
              <w:rPr>
                <w:rFonts w:hint="default" w:ascii="宋体" w:hAnsi="宋体" w:eastAsia="宋体"/>
                <w:sz w:val="21"/>
                <w:lang w:val="en-US" w:eastAsia="zh-CN"/>
              </w:rPr>
            </w:pPr>
            <w:r>
              <w:rPr>
                <w:rFonts w:hint="eastAsia" w:ascii="宋体" w:hAnsi="宋体" w:eastAsia="宋体"/>
                <w:sz w:val="21"/>
                <w:lang w:val="en-US" w:eastAsia="zh-CN"/>
              </w:rPr>
              <w:t>细菌总数</w:t>
            </w:r>
          </w:p>
        </w:tc>
        <w:tc>
          <w:tcPr>
            <w:tcW w:w="2970" w:type="dxa"/>
            <w:tcBorders>
              <w:tl2br w:val="nil"/>
              <w:tr2bl w:val="nil"/>
            </w:tcBorders>
            <w:vAlign w:val="center"/>
          </w:tcPr>
          <w:p>
            <w:pPr>
              <w:pStyle w:val="30"/>
              <w:widowControl w:val="0"/>
              <w:bidi w:val="0"/>
              <w:jc w:val="center"/>
              <w:rPr>
                <w:rFonts w:hint="default"/>
                <w:lang w:val="en-US" w:eastAsia="zh-CN"/>
              </w:rPr>
            </w:pPr>
            <w:r>
              <w:rPr>
                <w:rFonts w:hint="eastAsia"/>
              </w:rPr>
              <w:t>水中细菌总数的测定《水和废水监测分析方法》</w:t>
            </w:r>
            <w:r>
              <w:rPr>
                <w:rFonts w:hint="eastAsia"/>
                <w:lang w:eastAsia="zh-CN"/>
              </w:rPr>
              <w:t>（</w:t>
            </w:r>
            <w:r>
              <w:rPr>
                <w:rFonts w:hint="eastAsia"/>
              </w:rPr>
              <w:t>第四版</w:t>
            </w:r>
            <w:r>
              <w:rPr>
                <w:rFonts w:hint="eastAsia"/>
                <w:lang w:eastAsia="zh-CN"/>
              </w:rPr>
              <w:t>）</w:t>
            </w:r>
            <w:r>
              <w:rPr>
                <w:rFonts w:hint="eastAsia"/>
              </w:rPr>
              <w:t>国家环境保护总局，2002年</w:t>
            </w:r>
          </w:p>
        </w:tc>
        <w:tc>
          <w:tcPr>
            <w:tcW w:w="138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425" w:type="dxa"/>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XSJS-063-08</w:t>
            </w:r>
          </w:p>
        </w:tc>
        <w:tc>
          <w:tcPr>
            <w:tcW w:w="128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bidi w:val="0"/>
        <w:rPr>
          <w:rFonts w:hint="default"/>
          <w:lang w:val="en-US" w:eastAsia="zh-CN"/>
        </w:rPr>
      </w:pPr>
      <w:r>
        <w:rPr>
          <w:rFonts w:hint="eastAsia"/>
          <w:lang w:val="en-US" w:eastAsia="zh-CN"/>
        </w:rPr>
        <w:t>（3）评价方法</w:t>
      </w:r>
    </w:p>
    <w:p>
      <w:pPr>
        <w:bidi w:val="0"/>
        <w:rPr>
          <w:rFonts w:hint="eastAsia"/>
        </w:rPr>
      </w:pPr>
      <w:r>
        <w:rPr>
          <w:rFonts w:hint="eastAsia"/>
        </w:rPr>
        <w:t>采用标准指数法进行评价。标准指数</w:t>
      </w:r>
      <w:r>
        <w:rPr>
          <w:rFonts w:hint="default"/>
        </w:rPr>
        <w:t>&gt;1</w:t>
      </w:r>
      <w:r>
        <w:rPr>
          <w:rFonts w:hint="eastAsia"/>
        </w:rPr>
        <w:t>，表明该水质因子已超标，标准指数越大，超标越严重。</w:t>
      </w:r>
    </w:p>
    <w:p>
      <w:pPr>
        <w:bidi w:val="0"/>
        <w:rPr>
          <w:rFonts w:hint="eastAsia"/>
        </w:rPr>
      </w:pPr>
      <w:r>
        <w:rPr>
          <w:rFonts w:hint="eastAsia"/>
        </w:rPr>
        <w:t>（</w:t>
      </w:r>
      <w:r>
        <w:rPr>
          <w:rFonts w:hint="default"/>
        </w:rPr>
        <w:t>1</w:t>
      </w:r>
      <w:r>
        <w:rPr>
          <w:rFonts w:hint="eastAsia"/>
        </w:rPr>
        <w:t>）对于评价标准为定值的水质因子，其公式如下：</w:t>
      </w:r>
    </w:p>
    <w:p>
      <w:pPr>
        <w:bidi w:val="0"/>
        <w:ind w:left="0" w:leftChars="0" w:firstLine="0" w:firstLineChars="0"/>
        <w:jc w:val="center"/>
        <w:rPr>
          <w:rFonts w:hint="eastAsia" w:eastAsia="宋体"/>
          <w:lang w:eastAsia="zh-CN"/>
        </w:rPr>
      </w:pPr>
      <w:r>
        <w:rPr>
          <w:rFonts w:hint="eastAsia" w:eastAsia="宋体"/>
          <w:position w:val="-12"/>
          <w:lang w:eastAsia="zh-CN"/>
        </w:rPr>
        <w:object>
          <v:shape id="_x0000_i1029" o:spt="75" type="#_x0000_t75" style="height:18pt;width:56pt;" o:ole="t" filled="f" o:preferrelative="t" stroked="f" coordsize="21600,21600">
            <v:path/>
            <v:fill on="f" focussize="0,0"/>
            <v:stroke on="f"/>
            <v:imagedata r:id="rId30" o:title=""/>
            <o:lock v:ext="edit" aspectratio="t"/>
            <w10:wrap type="none"/>
            <w10:anchorlock/>
          </v:shape>
          <o:OLEObject Type="Embed" ProgID="Equation.KSEE3" ShapeID="_x0000_i1029" DrawAspect="Content" ObjectID="_1468075730" r:id="rId29">
            <o:LockedField>false</o:LockedField>
          </o:OLEObject>
        </w:object>
      </w:r>
    </w:p>
    <w:p>
      <w:pPr>
        <w:bidi w:val="0"/>
        <w:rPr>
          <w:rFonts w:hint="eastAsia"/>
        </w:rPr>
      </w:pPr>
      <w:r>
        <w:rPr>
          <w:rFonts w:hint="eastAsia"/>
        </w:rPr>
        <w:t>式中：</w:t>
      </w:r>
    </w:p>
    <w:p>
      <w:pPr>
        <w:bidi w:val="0"/>
        <w:ind w:firstLine="1200" w:firstLineChars="500"/>
        <w:rPr>
          <w:rFonts w:hint="eastAsia"/>
        </w:rPr>
      </w:pPr>
      <w:r>
        <w:rPr>
          <w:rFonts w:hint="default"/>
        </w:rPr>
        <w:t>P</w:t>
      </w:r>
      <w:r>
        <w:rPr>
          <w:rFonts w:hint="default"/>
          <w:vertAlign w:val="subscript"/>
        </w:rPr>
        <w:t>i</w:t>
      </w:r>
      <w:r>
        <w:rPr>
          <w:rFonts w:hint="eastAsia"/>
          <w:lang w:eastAsia="zh-CN"/>
        </w:rPr>
        <w:t>——</w:t>
      </w:r>
      <w:r>
        <w:rPr>
          <w:rFonts w:hint="eastAsia"/>
        </w:rPr>
        <w:t>第</w:t>
      </w:r>
      <w:r>
        <w:rPr>
          <w:rFonts w:hint="default"/>
        </w:rPr>
        <w:t>i</w:t>
      </w:r>
      <w:r>
        <w:rPr>
          <w:rFonts w:hint="eastAsia"/>
        </w:rPr>
        <w:t>个水质因子的标准指数，无量纲；</w:t>
      </w:r>
    </w:p>
    <w:p>
      <w:pPr>
        <w:bidi w:val="0"/>
        <w:ind w:firstLine="1200" w:firstLineChars="500"/>
        <w:rPr>
          <w:rFonts w:hint="eastAsia"/>
        </w:rPr>
      </w:pPr>
      <w:r>
        <w:rPr>
          <w:rFonts w:hint="default"/>
        </w:rPr>
        <w:t>C</w:t>
      </w:r>
      <w:r>
        <w:rPr>
          <w:rFonts w:hint="default"/>
          <w:vertAlign w:val="subscript"/>
        </w:rPr>
        <w:t>i</w:t>
      </w:r>
      <w:r>
        <w:rPr>
          <w:rFonts w:hint="eastAsia"/>
          <w:lang w:eastAsia="zh-CN"/>
        </w:rPr>
        <w:t>——</w:t>
      </w:r>
      <w:r>
        <w:rPr>
          <w:rFonts w:hint="eastAsia"/>
        </w:rPr>
        <w:t>第</w:t>
      </w:r>
      <w:r>
        <w:rPr>
          <w:rFonts w:hint="default"/>
        </w:rPr>
        <w:t>i</w:t>
      </w:r>
      <w:r>
        <w:rPr>
          <w:rFonts w:hint="eastAsia"/>
        </w:rPr>
        <w:t>个水质因子的监测浓度值，</w:t>
      </w:r>
      <w:r>
        <w:rPr>
          <w:rFonts w:hint="default"/>
        </w:rPr>
        <w:t>mg/L</w:t>
      </w:r>
      <w:r>
        <w:rPr>
          <w:rFonts w:hint="eastAsia"/>
        </w:rPr>
        <w:t>；</w:t>
      </w:r>
    </w:p>
    <w:p>
      <w:pPr>
        <w:bidi w:val="0"/>
        <w:ind w:firstLine="1200" w:firstLineChars="500"/>
        <w:rPr>
          <w:rFonts w:hint="eastAsia"/>
        </w:rPr>
      </w:pPr>
      <w:r>
        <w:rPr>
          <w:rFonts w:hint="default"/>
        </w:rPr>
        <w:t>C</w:t>
      </w:r>
      <w:r>
        <w:rPr>
          <w:rFonts w:hint="default"/>
          <w:vertAlign w:val="subscript"/>
        </w:rPr>
        <w:t>si</w:t>
      </w:r>
      <w:r>
        <w:rPr>
          <w:rFonts w:hint="eastAsia"/>
          <w:lang w:eastAsia="zh-CN"/>
        </w:rPr>
        <w:t>——</w:t>
      </w:r>
      <w:r>
        <w:rPr>
          <w:rFonts w:hint="eastAsia"/>
        </w:rPr>
        <w:t>第</w:t>
      </w:r>
      <w:r>
        <w:rPr>
          <w:rFonts w:hint="default"/>
        </w:rPr>
        <w:t>i</w:t>
      </w:r>
      <w:r>
        <w:rPr>
          <w:rFonts w:hint="eastAsia"/>
        </w:rPr>
        <w:t>个水质因子的标准浓度值，</w:t>
      </w:r>
      <w:r>
        <w:rPr>
          <w:rFonts w:hint="default"/>
        </w:rPr>
        <w:t>mg/L</w:t>
      </w:r>
      <w:r>
        <w:rPr>
          <w:rFonts w:hint="eastAsia"/>
        </w:rPr>
        <w:t>；</w:t>
      </w:r>
    </w:p>
    <w:p>
      <w:pPr>
        <w:bidi w:val="0"/>
        <w:rPr>
          <w:rFonts w:hint="eastAsia"/>
        </w:rPr>
      </w:pPr>
      <w:r>
        <w:rPr>
          <w:rFonts w:hint="eastAsia"/>
        </w:rPr>
        <w:t>（</w:t>
      </w:r>
      <w:r>
        <w:rPr>
          <w:rFonts w:hint="default"/>
        </w:rPr>
        <w:t>2</w:t>
      </w:r>
      <w:r>
        <w:rPr>
          <w:rFonts w:hint="eastAsia"/>
        </w:rPr>
        <w:t>）对于评价标准为区间值的水质因子（如</w:t>
      </w:r>
      <w:r>
        <w:rPr>
          <w:rFonts w:hint="default"/>
        </w:rPr>
        <w:t>pH</w:t>
      </w:r>
      <w:r>
        <w:rPr>
          <w:rFonts w:hint="eastAsia"/>
        </w:rPr>
        <w:t>值），其公式如下：</w:t>
      </w:r>
    </w:p>
    <w:p>
      <w:pPr>
        <w:bidi w:val="0"/>
        <w:ind w:left="0" w:leftChars="0" w:firstLine="0" w:firstLineChars="0"/>
        <w:jc w:val="center"/>
        <w:rPr>
          <w:rFonts w:hint="eastAsia"/>
        </w:rPr>
      </w:pPr>
      <w:r>
        <w:rPr>
          <w:rFonts w:hint="eastAsia"/>
          <w:position w:val="-30"/>
        </w:rPr>
        <w:object>
          <v:shape id="_x0000_i1030" o:spt="75" type="#_x0000_t75" style="height:34pt;width:85.95pt;" o:ole="t" filled="f" o:preferrelative="t" stroked="f" coordsize="21600,21600">
            <v:path/>
            <v:fill on="f" focussize="0,0"/>
            <v:stroke on="f"/>
            <v:imagedata r:id="rId32" o:title=""/>
            <o:lock v:ext="edit" aspectratio="t"/>
            <w10:wrap type="none"/>
            <w10:anchorlock/>
          </v:shape>
          <o:OLEObject Type="Embed" ProgID="Equation.KSEE3" ShapeID="_x0000_i1030" DrawAspect="Content" ObjectID="_1468075731" r:id="rId31">
            <o:LockedField>false</o:LockedField>
          </o:OLEObject>
        </w:object>
      </w:r>
      <w:r>
        <w:rPr>
          <w:rFonts w:hint="eastAsia"/>
        </w:rPr>
        <w:t>，当</w:t>
      </w:r>
      <w:r>
        <w:rPr>
          <w:rFonts w:hint="default"/>
        </w:rPr>
        <w:t>pH</w:t>
      </w:r>
      <w:r>
        <w:rPr>
          <w:rFonts w:hint="eastAsia"/>
        </w:rPr>
        <w:t>≤7</w:t>
      </w:r>
      <w:r>
        <w:rPr>
          <w:rFonts w:hint="default"/>
        </w:rPr>
        <w:t>.0</w:t>
      </w:r>
      <w:r>
        <w:rPr>
          <w:rFonts w:hint="eastAsia"/>
        </w:rPr>
        <w:t>时</w:t>
      </w:r>
    </w:p>
    <w:p>
      <w:pPr>
        <w:bidi w:val="0"/>
        <w:ind w:left="0" w:leftChars="0" w:firstLine="0" w:firstLineChars="0"/>
        <w:jc w:val="center"/>
        <w:rPr>
          <w:rFonts w:hint="eastAsia"/>
        </w:rPr>
      </w:pPr>
      <w:r>
        <w:rPr>
          <w:rFonts w:hint="eastAsia"/>
          <w:position w:val="-30"/>
        </w:rPr>
        <w:object>
          <v:shape id="_x0000_i1031" o:spt="75" type="#_x0000_t75" style="height:34pt;width:87pt;" o:ole="t" filled="f" o:preferrelative="t" stroked="f" coordsize="21600,21600">
            <v:path/>
            <v:fill on="f" focussize="0,0"/>
            <v:stroke on="f"/>
            <v:imagedata r:id="rId34" o:title=""/>
            <o:lock v:ext="edit" aspectratio="t"/>
            <w10:wrap type="none"/>
            <w10:anchorlock/>
          </v:shape>
          <o:OLEObject Type="Embed" ProgID="Equation.KSEE3" ShapeID="_x0000_i1031" DrawAspect="Content" ObjectID="_1468075732" r:id="rId33">
            <o:LockedField>false</o:LockedField>
          </o:OLEObject>
        </w:object>
      </w:r>
      <w:r>
        <w:rPr>
          <w:rFonts w:hint="eastAsia"/>
        </w:rPr>
        <w:t>，当</w:t>
      </w:r>
      <w:r>
        <w:rPr>
          <w:rFonts w:hint="default"/>
        </w:rPr>
        <w:t>pH</w:t>
      </w:r>
      <w:r>
        <w:rPr>
          <w:rFonts w:hint="eastAsia"/>
        </w:rPr>
        <w:t>＞</w:t>
      </w:r>
      <w:r>
        <w:rPr>
          <w:rFonts w:hint="default"/>
        </w:rPr>
        <w:t>7.0</w:t>
      </w:r>
      <w:r>
        <w:rPr>
          <w:rFonts w:hint="eastAsia"/>
        </w:rPr>
        <w:t>时</w:t>
      </w:r>
    </w:p>
    <w:p>
      <w:pPr>
        <w:bidi w:val="0"/>
        <w:rPr>
          <w:rFonts w:hint="eastAsia"/>
        </w:rPr>
      </w:pPr>
      <w:r>
        <w:rPr>
          <w:rFonts w:hint="eastAsia"/>
        </w:rPr>
        <w:t>式中：</w:t>
      </w:r>
    </w:p>
    <w:p>
      <w:pPr>
        <w:bidi w:val="0"/>
        <w:ind w:firstLine="1200" w:firstLineChars="500"/>
        <w:rPr>
          <w:rFonts w:hint="eastAsia"/>
        </w:rPr>
      </w:pPr>
      <w:r>
        <w:rPr>
          <w:rFonts w:hint="default"/>
        </w:rPr>
        <w:t>P</w:t>
      </w:r>
      <w:r>
        <w:rPr>
          <w:rFonts w:hint="default"/>
          <w:vertAlign w:val="subscript"/>
        </w:rPr>
        <w:t>pH</w:t>
      </w:r>
      <w:r>
        <w:rPr>
          <w:rFonts w:hint="eastAsia"/>
          <w:lang w:eastAsia="zh-CN"/>
        </w:rPr>
        <w:t>——</w:t>
      </w:r>
      <w:r>
        <w:rPr>
          <w:rFonts w:hint="default"/>
        </w:rPr>
        <w:t>pH</w:t>
      </w:r>
      <w:r>
        <w:rPr>
          <w:rFonts w:hint="eastAsia"/>
        </w:rPr>
        <w:t>的标准指数，无量纲；</w:t>
      </w:r>
    </w:p>
    <w:p>
      <w:pPr>
        <w:bidi w:val="0"/>
        <w:ind w:firstLine="1200" w:firstLineChars="500"/>
        <w:rPr>
          <w:rFonts w:hint="eastAsia"/>
        </w:rPr>
      </w:pPr>
      <w:r>
        <w:rPr>
          <w:rFonts w:hint="default"/>
        </w:rPr>
        <w:t>pH</w:t>
      </w:r>
      <w:r>
        <w:rPr>
          <w:rFonts w:hint="eastAsia"/>
          <w:lang w:eastAsia="zh-CN"/>
        </w:rPr>
        <w:t>——</w:t>
      </w:r>
      <w:r>
        <w:rPr>
          <w:rFonts w:hint="default"/>
        </w:rPr>
        <w:t>pH</w:t>
      </w:r>
      <w:r>
        <w:rPr>
          <w:rFonts w:hint="eastAsia"/>
        </w:rPr>
        <w:t>的监测值；</w:t>
      </w:r>
    </w:p>
    <w:p>
      <w:pPr>
        <w:bidi w:val="0"/>
        <w:ind w:firstLine="1200" w:firstLineChars="500"/>
        <w:rPr>
          <w:rFonts w:hint="eastAsia"/>
        </w:rPr>
      </w:pPr>
      <w:r>
        <w:rPr>
          <w:rFonts w:hint="default"/>
        </w:rPr>
        <w:t>pH</w:t>
      </w:r>
      <w:r>
        <w:rPr>
          <w:rFonts w:hint="default"/>
          <w:vertAlign w:val="subscript"/>
        </w:rPr>
        <w:t>sm</w:t>
      </w:r>
      <w:r>
        <w:rPr>
          <w:rFonts w:hint="eastAsia"/>
          <w:lang w:eastAsia="zh-CN"/>
        </w:rPr>
        <w:t>——</w:t>
      </w:r>
      <w:r>
        <w:rPr>
          <w:rFonts w:hint="eastAsia"/>
        </w:rPr>
        <w:t>标准中</w:t>
      </w:r>
      <w:r>
        <w:rPr>
          <w:rFonts w:hint="default"/>
        </w:rPr>
        <w:t>pH</w:t>
      </w:r>
      <w:r>
        <w:rPr>
          <w:rFonts w:hint="eastAsia"/>
        </w:rPr>
        <w:t>的上限值；</w:t>
      </w:r>
    </w:p>
    <w:p>
      <w:pPr>
        <w:bidi w:val="0"/>
        <w:ind w:firstLine="1200" w:firstLineChars="500"/>
        <w:rPr>
          <w:rFonts w:hint="eastAsia"/>
          <w:lang w:val="en-US" w:eastAsia="zh-CN"/>
        </w:rPr>
      </w:pPr>
      <w:r>
        <w:rPr>
          <w:rFonts w:hint="default"/>
        </w:rPr>
        <w:t>pH</w:t>
      </w:r>
      <w:r>
        <w:rPr>
          <w:rFonts w:hint="default"/>
          <w:vertAlign w:val="subscript"/>
        </w:rPr>
        <w:t>sd</w:t>
      </w:r>
      <w:r>
        <w:rPr>
          <w:rFonts w:hint="eastAsia"/>
          <w:lang w:eastAsia="zh-CN"/>
        </w:rPr>
        <w:t>——</w:t>
      </w:r>
      <w:r>
        <w:rPr>
          <w:rFonts w:hint="eastAsia"/>
        </w:rPr>
        <w:t>标准中</w:t>
      </w:r>
      <w:r>
        <w:rPr>
          <w:rFonts w:hint="default"/>
        </w:rPr>
        <w:t>pH</w:t>
      </w:r>
      <w:r>
        <w:rPr>
          <w:rFonts w:hint="eastAsia"/>
        </w:rPr>
        <w:t>的下限值。</w:t>
      </w:r>
    </w:p>
    <w:p>
      <w:pPr>
        <w:bidi w:val="0"/>
        <w:rPr>
          <w:rFonts w:hint="default"/>
          <w:lang w:val="en-US" w:eastAsia="zh-CN"/>
        </w:rPr>
      </w:pPr>
      <w:r>
        <w:rPr>
          <w:rFonts w:hint="eastAsia"/>
          <w:lang w:val="en-US" w:eastAsia="zh-CN"/>
        </w:rPr>
        <w:t>（4）监测结果及评价</w:t>
      </w:r>
    </w:p>
    <w:p>
      <w:pPr>
        <w:pStyle w:val="29"/>
        <w:bidi w:val="0"/>
        <w:rPr>
          <w:rFonts w:hint="eastAsia"/>
          <w:lang w:val="en-US" w:eastAsia="zh-CN"/>
        </w:rPr>
      </w:pPr>
      <w:r>
        <w:rPr>
          <w:rFonts w:hint="eastAsia"/>
          <w:lang w:val="en-US" w:eastAsia="zh-CN"/>
        </w:rPr>
        <w:t>表4.2-14  本项目地下水环境质量监测结果表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389"/>
        <w:gridCol w:w="1015"/>
        <w:gridCol w:w="1466"/>
        <w:gridCol w:w="1431"/>
        <w:gridCol w:w="1433"/>
        <w:gridCol w:w="1167"/>
        <w:gridCol w:w="6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采样日期</w:t>
            </w:r>
          </w:p>
        </w:tc>
        <w:tc>
          <w:tcPr>
            <w:tcW w:w="1389"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监测项目</w:t>
            </w:r>
          </w:p>
        </w:tc>
        <w:tc>
          <w:tcPr>
            <w:tcW w:w="1015"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单位</w:t>
            </w:r>
          </w:p>
        </w:tc>
        <w:tc>
          <w:tcPr>
            <w:tcW w:w="4330" w:type="dxa"/>
            <w:gridSpan w:val="3"/>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监测结果</w:t>
            </w:r>
          </w:p>
        </w:tc>
        <w:tc>
          <w:tcPr>
            <w:tcW w:w="1167"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标准限值</w:t>
            </w:r>
          </w:p>
        </w:tc>
        <w:tc>
          <w:tcPr>
            <w:tcW w:w="657"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38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01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466" w:type="dxa"/>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b/>
                <w:bCs/>
                <w:kern w:val="2"/>
                <w:sz w:val="21"/>
                <w:lang w:val="en-US" w:eastAsia="zh-CN"/>
              </w:rPr>
            </w:pPr>
            <w:r>
              <w:rPr>
                <w:rFonts w:hint="eastAsia"/>
                <w:b/>
                <w:bCs/>
              </w:rPr>
              <w:t>1#项目场地外西北侧农户水井</w:t>
            </w:r>
          </w:p>
        </w:tc>
        <w:tc>
          <w:tcPr>
            <w:tcW w:w="1431"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rPr>
              <w:t>2#项目场地外北侧农户水井</w:t>
            </w:r>
          </w:p>
        </w:tc>
        <w:tc>
          <w:tcPr>
            <w:tcW w:w="1433"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rPr>
              <w:t>3#项目场地外东北侧农户水井</w:t>
            </w:r>
          </w:p>
        </w:tc>
        <w:tc>
          <w:tcPr>
            <w:tcW w:w="1167" w:type="dxa"/>
            <w:vMerge w:val="continue"/>
            <w:tcBorders>
              <w:tl2br w:val="nil"/>
              <w:tr2bl w:val="nil"/>
            </w:tcBorders>
            <w:vAlign w:val="center"/>
          </w:tcPr>
          <w:p>
            <w:pPr>
              <w:pStyle w:val="30"/>
              <w:widowControl w:val="0"/>
              <w:jc w:val="center"/>
              <w:rPr>
                <w:rFonts w:hint="default"/>
                <w:vertAlign w:val="baseline"/>
                <w:lang w:val="en-US" w:eastAsia="zh-CN"/>
              </w:rPr>
            </w:pPr>
          </w:p>
        </w:tc>
        <w:tc>
          <w:tcPr>
            <w:tcW w:w="657"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1月27日</w:t>
            </w:r>
          </w:p>
        </w:tc>
        <w:tc>
          <w:tcPr>
            <w:tcW w:w="138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TimesNewRomanPSMT" w:hAnsi="TimesNewRomanPSMT" w:eastAsia="TimesNewRomanPSMT"/>
                <w:sz w:val="21"/>
              </w:rPr>
              <w:t>pH</w:t>
            </w:r>
          </w:p>
        </w:tc>
        <w:tc>
          <w:tcPr>
            <w:tcW w:w="101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无量纲</w:t>
            </w:r>
          </w:p>
        </w:tc>
        <w:tc>
          <w:tcPr>
            <w:tcW w:w="1466" w:type="dxa"/>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kern w:val="2"/>
                <w:sz w:val="21"/>
                <w:vertAlign w:val="baseline"/>
                <w:lang w:val="en-US" w:eastAsia="zh-CN"/>
              </w:rPr>
              <w:t>7.2</w:t>
            </w:r>
          </w:p>
        </w:tc>
        <w:tc>
          <w:tcPr>
            <w:tcW w:w="143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7.1</w:t>
            </w:r>
          </w:p>
        </w:tc>
        <w:tc>
          <w:tcPr>
            <w:tcW w:w="143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7.4</w:t>
            </w:r>
          </w:p>
        </w:tc>
        <w:tc>
          <w:tcPr>
            <w:tcW w:w="116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6.5~8.5</w:t>
            </w:r>
          </w:p>
        </w:tc>
        <w:tc>
          <w:tcPr>
            <w:tcW w:w="65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4"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38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宋体" w:hAnsi="宋体" w:eastAsia="宋体"/>
                <w:sz w:val="21"/>
              </w:rPr>
              <w:t>耗氧量</w:t>
            </w:r>
          </w:p>
        </w:tc>
        <w:tc>
          <w:tcPr>
            <w:tcW w:w="101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mg/L</w:t>
            </w:r>
          </w:p>
        </w:tc>
        <w:tc>
          <w:tcPr>
            <w:tcW w:w="1466"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kern w:val="2"/>
                <w:sz w:val="21"/>
                <w:vertAlign w:val="baseline"/>
                <w:lang w:val="en-US" w:eastAsia="zh-CN"/>
              </w:rPr>
              <w:t>0.80</w:t>
            </w:r>
          </w:p>
        </w:tc>
        <w:tc>
          <w:tcPr>
            <w:tcW w:w="143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0.83</w:t>
            </w:r>
          </w:p>
        </w:tc>
        <w:tc>
          <w:tcPr>
            <w:tcW w:w="143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1.12</w:t>
            </w:r>
          </w:p>
        </w:tc>
        <w:tc>
          <w:tcPr>
            <w:tcW w:w="116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≤3.0</w:t>
            </w:r>
          </w:p>
        </w:tc>
        <w:tc>
          <w:tcPr>
            <w:tcW w:w="65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389" w:type="dxa"/>
            <w:tcBorders>
              <w:tl2br w:val="nil"/>
              <w:tr2bl w:val="nil"/>
            </w:tcBorders>
            <w:vAlign w:val="center"/>
          </w:tcPr>
          <w:p>
            <w:pPr>
              <w:pStyle w:val="30"/>
              <w:widowControl w:val="0"/>
              <w:ind w:firstLine="0" w:firstLineChars="0"/>
              <w:jc w:val="center"/>
              <w:rPr>
                <w:rFonts w:hint="eastAsia" w:ascii="宋体" w:hAnsi="宋体" w:eastAsia="宋体"/>
                <w:sz w:val="21"/>
              </w:rPr>
            </w:pPr>
            <w:r>
              <w:rPr>
                <w:rFonts w:hint="eastAsia" w:ascii="宋体" w:hAnsi="宋体" w:eastAsia="宋体"/>
                <w:sz w:val="21"/>
              </w:rPr>
              <w:t>溶解性总</w:t>
            </w:r>
          </w:p>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宋体" w:hAnsi="宋体" w:eastAsia="宋体"/>
                <w:sz w:val="21"/>
              </w:rPr>
              <w:t>固体</w:t>
            </w:r>
          </w:p>
        </w:tc>
        <w:tc>
          <w:tcPr>
            <w:tcW w:w="1015"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374</w:t>
            </w:r>
          </w:p>
        </w:tc>
        <w:tc>
          <w:tcPr>
            <w:tcW w:w="143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305</w:t>
            </w:r>
          </w:p>
        </w:tc>
        <w:tc>
          <w:tcPr>
            <w:tcW w:w="143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321</w:t>
            </w:r>
          </w:p>
        </w:tc>
        <w:tc>
          <w:tcPr>
            <w:tcW w:w="116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≤1000</w:t>
            </w:r>
          </w:p>
        </w:tc>
        <w:tc>
          <w:tcPr>
            <w:tcW w:w="65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38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宋体" w:hAnsi="宋体" w:eastAsia="宋体"/>
                <w:sz w:val="21"/>
              </w:rPr>
              <w:t>总硬度</w:t>
            </w:r>
          </w:p>
        </w:tc>
        <w:tc>
          <w:tcPr>
            <w:tcW w:w="1015"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300</w:t>
            </w:r>
          </w:p>
        </w:tc>
        <w:tc>
          <w:tcPr>
            <w:tcW w:w="143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238</w:t>
            </w:r>
          </w:p>
        </w:tc>
        <w:tc>
          <w:tcPr>
            <w:tcW w:w="143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229</w:t>
            </w:r>
          </w:p>
        </w:tc>
        <w:tc>
          <w:tcPr>
            <w:tcW w:w="1167"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≤450</w:t>
            </w:r>
          </w:p>
        </w:tc>
        <w:tc>
          <w:tcPr>
            <w:tcW w:w="65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38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宋体" w:hAnsi="宋体" w:eastAsia="宋体"/>
                <w:sz w:val="21"/>
              </w:rPr>
              <w:t>碳酸根</w:t>
            </w:r>
          </w:p>
        </w:tc>
        <w:tc>
          <w:tcPr>
            <w:tcW w:w="1015"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未检出</w:t>
            </w:r>
          </w:p>
        </w:tc>
        <w:tc>
          <w:tcPr>
            <w:tcW w:w="143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未检出</w:t>
            </w:r>
          </w:p>
        </w:tc>
        <w:tc>
          <w:tcPr>
            <w:tcW w:w="143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未检出</w:t>
            </w:r>
          </w:p>
        </w:tc>
        <w:tc>
          <w:tcPr>
            <w:tcW w:w="116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65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389"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宋体" w:hAnsi="宋体" w:eastAsia="宋体"/>
                <w:sz w:val="21"/>
              </w:rPr>
              <w:t>重碳酸根</w:t>
            </w:r>
          </w:p>
        </w:tc>
        <w:tc>
          <w:tcPr>
            <w:tcW w:w="1015"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349</w:t>
            </w:r>
          </w:p>
        </w:tc>
        <w:tc>
          <w:tcPr>
            <w:tcW w:w="1431"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319</w:t>
            </w:r>
          </w:p>
        </w:tc>
        <w:tc>
          <w:tcPr>
            <w:tcW w:w="143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321</w:t>
            </w:r>
          </w:p>
        </w:tc>
        <w:tc>
          <w:tcPr>
            <w:tcW w:w="116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657"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宋体" w:hAnsi="宋体" w:eastAsia="宋体"/>
                <w:sz w:val="21"/>
              </w:rPr>
              <w:t>氨氮</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jc w:val="center"/>
              <w:rPr>
                <w:rFonts w:hint="default"/>
                <w:vertAlign w:val="baseline"/>
                <w:lang w:val="en-US" w:eastAsia="zh-CN"/>
              </w:rPr>
            </w:pPr>
            <w:r>
              <w:rPr>
                <w:rFonts w:hint="eastAsia"/>
                <w:vertAlign w:val="baseline"/>
                <w:lang w:val="en-US" w:eastAsia="zh-CN"/>
              </w:rPr>
              <w:t>0.198</w:t>
            </w:r>
          </w:p>
        </w:tc>
        <w:tc>
          <w:tcPr>
            <w:tcW w:w="1431" w:type="dxa"/>
            <w:vAlign w:val="center"/>
          </w:tcPr>
          <w:p>
            <w:pPr>
              <w:pStyle w:val="30"/>
              <w:widowControl w:val="0"/>
              <w:jc w:val="center"/>
              <w:rPr>
                <w:rFonts w:hint="default"/>
                <w:vertAlign w:val="baseline"/>
                <w:lang w:val="en-US" w:eastAsia="zh-CN"/>
              </w:rPr>
            </w:pPr>
            <w:r>
              <w:rPr>
                <w:rFonts w:hint="eastAsia"/>
                <w:vertAlign w:val="baseline"/>
                <w:lang w:val="en-US" w:eastAsia="zh-CN"/>
              </w:rPr>
              <w:t>0.111</w:t>
            </w:r>
          </w:p>
        </w:tc>
        <w:tc>
          <w:tcPr>
            <w:tcW w:w="1433" w:type="dxa"/>
            <w:vAlign w:val="center"/>
          </w:tcPr>
          <w:p>
            <w:pPr>
              <w:pStyle w:val="30"/>
              <w:widowControl w:val="0"/>
              <w:jc w:val="center"/>
              <w:rPr>
                <w:rFonts w:hint="default"/>
                <w:vertAlign w:val="baseline"/>
                <w:lang w:val="en-US" w:eastAsia="zh-CN"/>
              </w:rPr>
            </w:pPr>
            <w:r>
              <w:rPr>
                <w:rFonts w:hint="eastAsia"/>
                <w:vertAlign w:val="baseline"/>
                <w:lang w:val="en-US" w:eastAsia="zh-CN"/>
              </w:rPr>
              <w:t>0.140</w:t>
            </w:r>
          </w:p>
        </w:tc>
        <w:tc>
          <w:tcPr>
            <w:tcW w:w="1167" w:type="dxa"/>
            <w:vAlign w:val="center"/>
          </w:tcPr>
          <w:p>
            <w:pPr>
              <w:pStyle w:val="30"/>
              <w:widowControl w:val="0"/>
              <w:bidi w:val="0"/>
              <w:jc w:val="center"/>
              <w:rPr>
                <w:rFonts w:hint="default"/>
                <w:lang w:val="en-US" w:eastAsia="zh-CN"/>
              </w:rPr>
            </w:pPr>
            <w:r>
              <w:rPr>
                <w:rFonts w:hint="eastAsia"/>
                <w:lang w:val="en-US" w:eastAsia="zh-CN"/>
              </w:rPr>
              <w:t>≤0.5</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rPr>
              <w:t>铬（六价）</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1"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3"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167" w:type="dxa"/>
            <w:vAlign w:val="center"/>
          </w:tcPr>
          <w:p>
            <w:pPr>
              <w:pStyle w:val="30"/>
              <w:widowControl w:val="0"/>
              <w:bidi w:val="0"/>
              <w:jc w:val="center"/>
              <w:rPr>
                <w:rFonts w:hint="default"/>
                <w:lang w:val="en-US" w:eastAsia="zh-CN"/>
              </w:rPr>
            </w:pPr>
            <w:r>
              <w:rPr>
                <w:rFonts w:hint="eastAsia"/>
                <w:lang w:val="en-US" w:eastAsia="zh-CN"/>
              </w:rPr>
              <w:t>≤0.05</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rPr>
              <w:t>挥发酚</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1"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3"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167" w:type="dxa"/>
            <w:vAlign w:val="center"/>
          </w:tcPr>
          <w:p>
            <w:pPr>
              <w:pStyle w:val="30"/>
              <w:widowControl w:val="0"/>
              <w:bidi w:val="0"/>
              <w:jc w:val="center"/>
              <w:rPr>
                <w:rFonts w:hint="default"/>
                <w:lang w:val="en-US" w:eastAsia="zh-CN"/>
              </w:rPr>
            </w:pPr>
            <w:r>
              <w:rPr>
                <w:rFonts w:hint="eastAsia"/>
                <w:lang w:val="en-US" w:eastAsia="zh-CN"/>
              </w:rPr>
              <w:t>≤1.00</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rPr>
              <w:t>氰化物</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1"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3"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167" w:type="dxa"/>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≤0.05</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eastAsia" w:ascii="宋体" w:hAnsi="宋体" w:eastAsia="宋体"/>
                <w:sz w:val="21"/>
              </w:rPr>
            </w:pPr>
            <w:r>
              <w:rPr>
                <w:rFonts w:hint="eastAsia" w:ascii="宋体" w:hAnsi="宋体" w:eastAsia="宋体"/>
                <w:sz w:val="21"/>
              </w:rPr>
              <w:t>氟化物</w:t>
            </w:r>
          </w:p>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rPr>
              <w:t>（氟离子）</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jc w:val="center"/>
              <w:rPr>
                <w:rFonts w:hint="default"/>
                <w:vertAlign w:val="baseline"/>
                <w:lang w:val="en-US" w:eastAsia="zh-CN"/>
              </w:rPr>
            </w:pPr>
            <w:r>
              <w:rPr>
                <w:rFonts w:hint="eastAsia"/>
                <w:vertAlign w:val="baseline"/>
                <w:lang w:val="en-US" w:eastAsia="zh-CN"/>
              </w:rPr>
              <w:t>0.376</w:t>
            </w:r>
          </w:p>
        </w:tc>
        <w:tc>
          <w:tcPr>
            <w:tcW w:w="1431" w:type="dxa"/>
            <w:vAlign w:val="center"/>
          </w:tcPr>
          <w:p>
            <w:pPr>
              <w:pStyle w:val="30"/>
              <w:widowControl w:val="0"/>
              <w:jc w:val="center"/>
              <w:rPr>
                <w:rFonts w:hint="default"/>
                <w:vertAlign w:val="baseline"/>
                <w:lang w:val="en-US" w:eastAsia="zh-CN"/>
              </w:rPr>
            </w:pPr>
            <w:r>
              <w:rPr>
                <w:rFonts w:hint="eastAsia"/>
                <w:vertAlign w:val="baseline"/>
                <w:lang w:val="en-US" w:eastAsia="zh-CN"/>
              </w:rPr>
              <w:t>0.424</w:t>
            </w:r>
          </w:p>
        </w:tc>
        <w:tc>
          <w:tcPr>
            <w:tcW w:w="1433" w:type="dxa"/>
            <w:vAlign w:val="center"/>
          </w:tcPr>
          <w:p>
            <w:pPr>
              <w:pStyle w:val="30"/>
              <w:widowControl w:val="0"/>
              <w:jc w:val="center"/>
              <w:rPr>
                <w:rFonts w:hint="default"/>
                <w:vertAlign w:val="baseline"/>
                <w:lang w:val="en-US" w:eastAsia="zh-CN"/>
              </w:rPr>
            </w:pPr>
            <w:r>
              <w:rPr>
                <w:rFonts w:hint="eastAsia"/>
                <w:vertAlign w:val="baseline"/>
                <w:lang w:val="en-US" w:eastAsia="zh-CN"/>
              </w:rPr>
              <w:t>0.258</w:t>
            </w:r>
          </w:p>
        </w:tc>
        <w:tc>
          <w:tcPr>
            <w:tcW w:w="1167" w:type="dxa"/>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≤1.0</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bidi w:val="0"/>
              <w:jc w:val="center"/>
              <w:rPr>
                <w:rFonts w:hint="eastAsia"/>
              </w:rPr>
            </w:pPr>
            <w:r>
              <w:rPr>
                <w:rFonts w:hint="eastAsia"/>
              </w:rPr>
              <w:t>亚硝酸盐氮</w:t>
            </w:r>
          </w:p>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rPr>
              <w:t>（亚硝酸根）</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1"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3"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167" w:type="dxa"/>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≤1.00</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bidi w:val="0"/>
              <w:jc w:val="center"/>
              <w:rPr>
                <w:rFonts w:hint="eastAsia"/>
              </w:rPr>
            </w:pPr>
            <w:r>
              <w:rPr>
                <w:rFonts w:hint="eastAsia"/>
              </w:rPr>
              <w:t>硝酸根</w:t>
            </w:r>
          </w:p>
          <w:p>
            <w:pPr>
              <w:pStyle w:val="30"/>
              <w:widowControl w:val="0"/>
              <w:bidi w:val="0"/>
              <w:jc w:val="center"/>
              <w:rPr>
                <w:rFonts w:hint="default"/>
                <w:lang w:val="en-US" w:eastAsia="zh-CN"/>
              </w:rPr>
            </w:pPr>
            <w:r>
              <w:rPr>
                <w:rFonts w:hint="eastAsia"/>
              </w:rPr>
              <w:t>（硝酸盐氮）</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jc w:val="center"/>
              <w:rPr>
                <w:rFonts w:hint="default"/>
                <w:vertAlign w:val="baseline"/>
                <w:lang w:val="en-US" w:eastAsia="zh-CN"/>
              </w:rPr>
            </w:pPr>
            <w:r>
              <w:rPr>
                <w:rFonts w:hint="eastAsia"/>
                <w:vertAlign w:val="baseline"/>
                <w:lang w:val="en-US" w:eastAsia="zh-CN"/>
              </w:rPr>
              <w:t>0.567</w:t>
            </w:r>
          </w:p>
        </w:tc>
        <w:tc>
          <w:tcPr>
            <w:tcW w:w="1431" w:type="dxa"/>
            <w:vAlign w:val="center"/>
          </w:tcPr>
          <w:p>
            <w:pPr>
              <w:pStyle w:val="30"/>
              <w:widowControl w:val="0"/>
              <w:jc w:val="center"/>
              <w:rPr>
                <w:rFonts w:hint="default"/>
                <w:vertAlign w:val="baseline"/>
                <w:lang w:val="en-US" w:eastAsia="zh-CN"/>
              </w:rPr>
            </w:pPr>
            <w:r>
              <w:rPr>
                <w:rFonts w:hint="eastAsia"/>
                <w:vertAlign w:val="baseline"/>
                <w:lang w:val="en-US" w:eastAsia="zh-CN"/>
              </w:rPr>
              <w:t>0.346</w:t>
            </w:r>
          </w:p>
        </w:tc>
        <w:tc>
          <w:tcPr>
            <w:tcW w:w="1433" w:type="dxa"/>
            <w:vAlign w:val="center"/>
          </w:tcPr>
          <w:p>
            <w:pPr>
              <w:pStyle w:val="30"/>
              <w:widowControl w:val="0"/>
              <w:jc w:val="center"/>
              <w:rPr>
                <w:rFonts w:hint="default"/>
                <w:vertAlign w:val="baseline"/>
                <w:lang w:val="en-US" w:eastAsia="zh-CN"/>
              </w:rPr>
            </w:pPr>
            <w:r>
              <w:rPr>
                <w:rFonts w:hint="eastAsia"/>
                <w:vertAlign w:val="baseline"/>
                <w:lang w:val="en-US" w:eastAsia="zh-CN"/>
              </w:rPr>
              <w:t>0.876</w:t>
            </w:r>
          </w:p>
        </w:tc>
        <w:tc>
          <w:tcPr>
            <w:tcW w:w="1167" w:type="dxa"/>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≤20.0</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eastAsia" w:ascii="宋体" w:hAnsi="宋体" w:eastAsia="宋体"/>
                <w:sz w:val="21"/>
              </w:rPr>
            </w:pPr>
            <w:r>
              <w:rPr>
                <w:rFonts w:hint="eastAsia" w:ascii="宋体" w:hAnsi="宋体" w:eastAsia="宋体"/>
                <w:sz w:val="21"/>
              </w:rPr>
              <w:t>氯化物</w:t>
            </w:r>
          </w:p>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rPr>
              <w:t>（氯离子）</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jc w:val="center"/>
              <w:rPr>
                <w:rFonts w:hint="default"/>
                <w:vertAlign w:val="baseline"/>
                <w:lang w:val="en-US" w:eastAsia="zh-CN"/>
              </w:rPr>
            </w:pPr>
            <w:r>
              <w:rPr>
                <w:rFonts w:hint="eastAsia"/>
                <w:vertAlign w:val="baseline"/>
                <w:lang w:val="en-US" w:eastAsia="zh-CN"/>
              </w:rPr>
              <w:t>37.4</w:t>
            </w:r>
          </w:p>
        </w:tc>
        <w:tc>
          <w:tcPr>
            <w:tcW w:w="1431" w:type="dxa"/>
            <w:vAlign w:val="center"/>
          </w:tcPr>
          <w:p>
            <w:pPr>
              <w:pStyle w:val="30"/>
              <w:widowControl w:val="0"/>
              <w:jc w:val="center"/>
              <w:rPr>
                <w:rFonts w:hint="default"/>
                <w:vertAlign w:val="baseline"/>
                <w:lang w:val="en-US" w:eastAsia="zh-CN"/>
              </w:rPr>
            </w:pPr>
            <w:r>
              <w:rPr>
                <w:rFonts w:hint="eastAsia"/>
                <w:vertAlign w:val="baseline"/>
                <w:lang w:val="en-US" w:eastAsia="zh-CN"/>
              </w:rPr>
              <w:t>6.41</w:t>
            </w:r>
          </w:p>
        </w:tc>
        <w:tc>
          <w:tcPr>
            <w:tcW w:w="1433" w:type="dxa"/>
            <w:vAlign w:val="center"/>
          </w:tcPr>
          <w:p>
            <w:pPr>
              <w:pStyle w:val="30"/>
              <w:widowControl w:val="0"/>
              <w:jc w:val="center"/>
              <w:rPr>
                <w:rFonts w:hint="default"/>
                <w:vertAlign w:val="baseline"/>
                <w:lang w:val="en-US" w:eastAsia="zh-CN"/>
              </w:rPr>
            </w:pPr>
            <w:r>
              <w:rPr>
                <w:rFonts w:hint="eastAsia"/>
                <w:vertAlign w:val="baseline"/>
                <w:lang w:val="en-US" w:eastAsia="zh-CN"/>
              </w:rPr>
              <w:t>20.9</w:t>
            </w:r>
          </w:p>
        </w:tc>
        <w:tc>
          <w:tcPr>
            <w:tcW w:w="1167" w:type="dxa"/>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≤250</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eastAsia" w:ascii="宋体" w:hAnsi="宋体" w:eastAsia="宋体"/>
                <w:sz w:val="21"/>
              </w:rPr>
            </w:pPr>
            <w:r>
              <w:rPr>
                <w:rFonts w:hint="eastAsia" w:ascii="宋体" w:hAnsi="宋体" w:eastAsia="宋体"/>
                <w:sz w:val="21"/>
              </w:rPr>
              <w:t>硫酸盐</w:t>
            </w:r>
          </w:p>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rPr>
              <w:t>（硫酸根）</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jc w:val="center"/>
              <w:rPr>
                <w:rFonts w:hint="default"/>
                <w:vertAlign w:val="baseline"/>
                <w:lang w:val="en-US" w:eastAsia="zh-CN"/>
              </w:rPr>
            </w:pPr>
            <w:r>
              <w:rPr>
                <w:rFonts w:hint="eastAsia"/>
                <w:vertAlign w:val="baseline"/>
                <w:lang w:val="en-US" w:eastAsia="zh-CN"/>
              </w:rPr>
              <w:t>6.70</w:t>
            </w:r>
          </w:p>
        </w:tc>
        <w:tc>
          <w:tcPr>
            <w:tcW w:w="1431" w:type="dxa"/>
            <w:vAlign w:val="center"/>
          </w:tcPr>
          <w:p>
            <w:pPr>
              <w:pStyle w:val="30"/>
              <w:widowControl w:val="0"/>
              <w:jc w:val="center"/>
              <w:rPr>
                <w:rFonts w:hint="default"/>
                <w:vertAlign w:val="baseline"/>
                <w:lang w:val="en-US" w:eastAsia="zh-CN"/>
              </w:rPr>
            </w:pPr>
            <w:r>
              <w:rPr>
                <w:rFonts w:hint="eastAsia"/>
                <w:vertAlign w:val="baseline"/>
                <w:lang w:val="en-US" w:eastAsia="zh-CN"/>
              </w:rPr>
              <w:t>6.05</w:t>
            </w:r>
          </w:p>
        </w:tc>
        <w:tc>
          <w:tcPr>
            <w:tcW w:w="1433" w:type="dxa"/>
            <w:vAlign w:val="center"/>
          </w:tcPr>
          <w:p>
            <w:pPr>
              <w:pStyle w:val="30"/>
              <w:widowControl w:val="0"/>
              <w:jc w:val="center"/>
              <w:rPr>
                <w:rFonts w:hint="default"/>
                <w:vertAlign w:val="baseline"/>
                <w:lang w:val="en-US" w:eastAsia="zh-CN"/>
              </w:rPr>
            </w:pPr>
            <w:r>
              <w:rPr>
                <w:rFonts w:hint="eastAsia"/>
                <w:vertAlign w:val="baseline"/>
                <w:lang w:val="en-US" w:eastAsia="zh-CN"/>
              </w:rPr>
              <w:t>6.89</w:t>
            </w:r>
          </w:p>
        </w:tc>
        <w:tc>
          <w:tcPr>
            <w:tcW w:w="1167" w:type="dxa"/>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≤250</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钾</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jc w:val="center"/>
              <w:rPr>
                <w:rFonts w:hint="default"/>
                <w:vertAlign w:val="baseline"/>
                <w:lang w:val="en-US" w:eastAsia="zh-CN"/>
              </w:rPr>
            </w:pPr>
            <w:r>
              <w:rPr>
                <w:rFonts w:hint="eastAsia"/>
                <w:vertAlign w:val="baseline"/>
                <w:lang w:val="en-US" w:eastAsia="zh-CN"/>
              </w:rPr>
              <w:t>1.96</w:t>
            </w:r>
          </w:p>
        </w:tc>
        <w:tc>
          <w:tcPr>
            <w:tcW w:w="1431" w:type="dxa"/>
            <w:vAlign w:val="center"/>
          </w:tcPr>
          <w:p>
            <w:pPr>
              <w:pStyle w:val="30"/>
              <w:widowControl w:val="0"/>
              <w:jc w:val="center"/>
              <w:rPr>
                <w:rFonts w:hint="default"/>
                <w:vertAlign w:val="baseline"/>
                <w:lang w:val="en-US" w:eastAsia="zh-CN"/>
              </w:rPr>
            </w:pPr>
            <w:r>
              <w:rPr>
                <w:rFonts w:hint="eastAsia"/>
                <w:vertAlign w:val="baseline"/>
                <w:lang w:val="en-US" w:eastAsia="zh-CN"/>
              </w:rPr>
              <w:t>1.82</w:t>
            </w:r>
          </w:p>
        </w:tc>
        <w:tc>
          <w:tcPr>
            <w:tcW w:w="1433" w:type="dxa"/>
            <w:vAlign w:val="center"/>
          </w:tcPr>
          <w:p>
            <w:pPr>
              <w:pStyle w:val="30"/>
              <w:widowControl w:val="0"/>
              <w:jc w:val="center"/>
              <w:rPr>
                <w:rFonts w:hint="default"/>
                <w:vertAlign w:val="baseline"/>
                <w:lang w:val="en-US" w:eastAsia="zh-CN"/>
              </w:rPr>
            </w:pPr>
            <w:r>
              <w:rPr>
                <w:rFonts w:hint="eastAsia"/>
                <w:vertAlign w:val="baseline"/>
                <w:lang w:val="en-US" w:eastAsia="zh-CN"/>
              </w:rPr>
              <w:t>2.31</w:t>
            </w:r>
          </w:p>
        </w:tc>
        <w:tc>
          <w:tcPr>
            <w:tcW w:w="1167" w:type="dxa"/>
            <w:vAlign w:val="top"/>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kern w:val="2"/>
                <w:sz w:val="21"/>
                <w:vertAlign w:val="baseline"/>
                <w:lang w:val="en-US" w:eastAsia="zh-CN"/>
              </w:rPr>
              <w:t>/</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钠</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jc w:val="center"/>
              <w:rPr>
                <w:rFonts w:hint="default"/>
                <w:vertAlign w:val="baseline"/>
                <w:lang w:val="en-US" w:eastAsia="zh-CN"/>
              </w:rPr>
            </w:pPr>
            <w:r>
              <w:rPr>
                <w:rFonts w:hint="eastAsia"/>
                <w:vertAlign w:val="baseline"/>
                <w:lang w:val="en-US" w:eastAsia="zh-CN"/>
              </w:rPr>
              <w:t>17.5</w:t>
            </w:r>
          </w:p>
        </w:tc>
        <w:tc>
          <w:tcPr>
            <w:tcW w:w="1431" w:type="dxa"/>
            <w:vAlign w:val="center"/>
          </w:tcPr>
          <w:p>
            <w:pPr>
              <w:pStyle w:val="30"/>
              <w:widowControl w:val="0"/>
              <w:jc w:val="center"/>
              <w:rPr>
                <w:rFonts w:hint="default"/>
                <w:vertAlign w:val="baseline"/>
                <w:lang w:val="en-US" w:eastAsia="zh-CN"/>
              </w:rPr>
            </w:pPr>
            <w:r>
              <w:rPr>
                <w:rFonts w:hint="eastAsia"/>
                <w:vertAlign w:val="baseline"/>
                <w:lang w:val="en-US" w:eastAsia="zh-CN"/>
              </w:rPr>
              <w:t>14.5</w:t>
            </w:r>
          </w:p>
        </w:tc>
        <w:tc>
          <w:tcPr>
            <w:tcW w:w="1433" w:type="dxa"/>
            <w:vAlign w:val="center"/>
          </w:tcPr>
          <w:p>
            <w:pPr>
              <w:pStyle w:val="30"/>
              <w:widowControl w:val="0"/>
              <w:jc w:val="center"/>
              <w:rPr>
                <w:rFonts w:hint="default"/>
                <w:vertAlign w:val="baseline"/>
                <w:lang w:val="en-US" w:eastAsia="zh-CN"/>
              </w:rPr>
            </w:pPr>
            <w:r>
              <w:rPr>
                <w:rFonts w:hint="eastAsia"/>
                <w:vertAlign w:val="baseline"/>
                <w:lang w:val="en-US" w:eastAsia="zh-CN"/>
              </w:rPr>
              <w:t>25.6</w:t>
            </w:r>
          </w:p>
        </w:tc>
        <w:tc>
          <w:tcPr>
            <w:tcW w:w="1167" w:type="dxa"/>
            <w:vAlign w:val="center"/>
          </w:tcPr>
          <w:p>
            <w:pPr>
              <w:pStyle w:val="30"/>
              <w:widowControl w:val="0"/>
              <w:jc w:val="center"/>
              <w:rPr>
                <w:rFonts w:hint="default"/>
                <w:vertAlign w:val="baseline"/>
                <w:lang w:val="en-US" w:eastAsia="zh-CN"/>
              </w:rPr>
            </w:pPr>
            <w:r>
              <w:rPr>
                <w:rFonts w:hint="eastAsia"/>
                <w:vertAlign w:val="baseline"/>
                <w:lang w:val="en-US" w:eastAsia="zh-CN"/>
              </w:rPr>
              <w:t>≤200</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钙</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jc w:val="center"/>
              <w:rPr>
                <w:rFonts w:hint="default"/>
                <w:vertAlign w:val="baseline"/>
                <w:lang w:val="en-US" w:eastAsia="zh-CN"/>
              </w:rPr>
            </w:pPr>
            <w:r>
              <w:rPr>
                <w:rFonts w:hint="eastAsia"/>
                <w:vertAlign w:val="baseline"/>
                <w:lang w:val="en-US" w:eastAsia="zh-CN"/>
              </w:rPr>
              <w:t>111</w:t>
            </w:r>
          </w:p>
        </w:tc>
        <w:tc>
          <w:tcPr>
            <w:tcW w:w="1431" w:type="dxa"/>
            <w:vAlign w:val="center"/>
          </w:tcPr>
          <w:p>
            <w:pPr>
              <w:pStyle w:val="30"/>
              <w:widowControl w:val="0"/>
              <w:jc w:val="center"/>
              <w:rPr>
                <w:rFonts w:hint="default"/>
                <w:vertAlign w:val="baseline"/>
                <w:lang w:val="en-US" w:eastAsia="zh-CN"/>
              </w:rPr>
            </w:pPr>
            <w:r>
              <w:rPr>
                <w:rFonts w:hint="eastAsia"/>
                <w:vertAlign w:val="baseline"/>
                <w:lang w:val="en-US" w:eastAsia="zh-CN"/>
              </w:rPr>
              <w:t>77.1</w:t>
            </w:r>
          </w:p>
        </w:tc>
        <w:tc>
          <w:tcPr>
            <w:tcW w:w="1433" w:type="dxa"/>
            <w:vAlign w:val="center"/>
          </w:tcPr>
          <w:p>
            <w:pPr>
              <w:pStyle w:val="30"/>
              <w:widowControl w:val="0"/>
              <w:jc w:val="center"/>
              <w:rPr>
                <w:rFonts w:hint="default"/>
                <w:vertAlign w:val="baseline"/>
                <w:lang w:val="en-US" w:eastAsia="zh-CN"/>
              </w:rPr>
            </w:pPr>
            <w:r>
              <w:rPr>
                <w:rFonts w:hint="eastAsia"/>
                <w:vertAlign w:val="baseline"/>
                <w:lang w:val="en-US" w:eastAsia="zh-CN"/>
              </w:rPr>
              <w:t>72.0</w:t>
            </w:r>
          </w:p>
        </w:tc>
        <w:tc>
          <w:tcPr>
            <w:tcW w:w="1167" w:type="dxa"/>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镁</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jc w:val="center"/>
              <w:rPr>
                <w:rFonts w:hint="default"/>
                <w:vertAlign w:val="baseline"/>
                <w:lang w:val="en-US" w:eastAsia="zh-CN"/>
              </w:rPr>
            </w:pPr>
            <w:r>
              <w:rPr>
                <w:rFonts w:hint="eastAsia"/>
                <w:vertAlign w:val="baseline"/>
                <w:lang w:val="en-US" w:eastAsia="zh-CN"/>
              </w:rPr>
              <w:t>14.6</w:t>
            </w:r>
          </w:p>
        </w:tc>
        <w:tc>
          <w:tcPr>
            <w:tcW w:w="1431" w:type="dxa"/>
            <w:vAlign w:val="center"/>
          </w:tcPr>
          <w:p>
            <w:pPr>
              <w:pStyle w:val="30"/>
              <w:widowControl w:val="0"/>
              <w:jc w:val="center"/>
              <w:rPr>
                <w:rFonts w:hint="default"/>
                <w:vertAlign w:val="baseline"/>
                <w:lang w:val="en-US" w:eastAsia="zh-CN"/>
              </w:rPr>
            </w:pPr>
            <w:r>
              <w:rPr>
                <w:rFonts w:hint="eastAsia"/>
                <w:vertAlign w:val="baseline"/>
                <w:lang w:val="en-US" w:eastAsia="zh-CN"/>
              </w:rPr>
              <w:t>14.7</w:t>
            </w:r>
          </w:p>
        </w:tc>
        <w:tc>
          <w:tcPr>
            <w:tcW w:w="1433" w:type="dxa"/>
            <w:vAlign w:val="center"/>
          </w:tcPr>
          <w:p>
            <w:pPr>
              <w:pStyle w:val="30"/>
              <w:widowControl w:val="0"/>
              <w:jc w:val="center"/>
              <w:rPr>
                <w:rFonts w:hint="default"/>
                <w:vertAlign w:val="baseline"/>
                <w:lang w:val="en-US" w:eastAsia="zh-CN"/>
              </w:rPr>
            </w:pPr>
            <w:r>
              <w:rPr>
                <w:rFonts w:hint="eastAsia"/>
                <w:vertAlign w:val="baseline"/>
                <w:lang w:val="en-US" w:eastAsia="zh-CN"/>
              </w:rPr>
              <w:t>16.6</w:t>
            </w:r>
          </w:p>
        </w:tc>
        <w:tc>
          <w:tcPr>
            <w:tcW w:w="1167" w:type="dxa"/>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铁</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1"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3"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167" w:type="dxa"/>
            <w:vAlign w:val="center"/>
          </w:tcPr>
          <w:p>
            <w:pPr>
              <w:pStyle w:val="30"/>
              <w:widowControl w:val="0"/>
              <w:jc w:val="center"/>
              <w:rPr>
                <w:rFonts w:hint="default"/>
                <w:vertAlign w:val="baseline"/>
                <w:lang w:val="en-US" w:eastAsia="zh-CN"/>
              </w:rPr>
            </w:pPr>
            <w:r>
              <w:rPr>
                <w:rFonts w:hint="eastAsia"/>
                <w:vertAlign w:val="baseline"/>
                <w:lang w:val="en-US" w:eastAsia="zh-CN"/>
              </w:rPr>
              <w:t>≤0.3</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锰</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mg/L</w:t>
            </w:r>
          </w:p>
        </w:tc>
        <w:tc>
          <w:tcPr>
            <w:tcW w:w="1466"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1"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3"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167" w:type="dxa"/>
            <w:vAlign w:val="center"/>
          </w:tcPr>
          <w:p>
            <w:pPr>
              <w:pStyle w:val="30"/>
              <w:widowControl w:val="0"/>
              <w:jc w:val="center"/>
              <w:rPr>
                <w:rFonts w:hint="default"/>
                <w:vertAlign w:val="baseline"/>
                <w:lang w:val="en-US" w:eastAsia="zh-CN"/>
              </w:rPr>
            </w:pPr>
            <w:r>
              <w:rPr>
                <w:rFonts w:hint="eastAsia"/>
                <w:vertAlign w:val="baseline"/>
                <w:lang w:val="en-US" w:eastAsia="zh-CN"/>
              </w:rPr>
              <w:t>≤0.10</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铅</w:t>
            </w:r>
          </w:p>
        </w:tc>
        <w:tc>
          <w:tcPr>
            <w:tcW w:w="1015" w:type="dxa"/>
            <w:vAlign w:val="center"/>
          </w:tcPr>
          <w:p>
            <w:pPr>
              <w:pStyle w:val="30"/>
              <w:widowControl w:val="0"/>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μg/L</w:t>
            </w:r>
          </w:p>
        </w:tc>
        <w:tc>
          <w:tcPr>
            <w:tcW w:w="1466" w:type="dxa"/>
            <w:vAlign w:val="center"/>
          </w:tcPr>
          <w:p>
            <w:pPr>
              <w:pStyle w:val="30"/>
              <w:widowControl w:val="0"/>
              <w:jc w:val="center"/>
              <w:rPr>
                <w:rFonts w:hint="default"/>
                <w:vertAlign w:val="baseline"/>
                <w:lang w:val="en-US" w:eastAsia="zh-CN"/>
              </w:rPr>
            </w:pPr>
            <w:r>
              <w:rPr>
                <w:rFonts w:hint="eastAsia"/>
                <w:vertAlign w:val="baseline"/>
                <w:lang w:val="en-US" w:eastAsia="zh-CN"/>
              </w:rPr>
              <w:t>6.2</w:t>
            </w:r>
          </w:p>
        </w:tc>
        <w:tc>
          <w:tcPr>
            <w:tcW w:w="1431"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3" w:type="dxa"/>
            <w:vAlign w:val="center"/>
          </w:tcPr>
          <w:p>
            <w:pPr>
              <w:pStyle w:val="30"/>
              <w:widowControl w:val="0"/>
              <w:jc w:val="center"/>
              <w:rPr>
                <w:rFonts w:hint="default"/>
                <w:vertAlign w:val="baseline"/>
                <w:lang w:val="en-US" w:eastAsia="zh-CN"/>
              </w:rPr>
            </w:pPr>
            <w:r>
              <w:rPr>
                <w:rFonts w:hint="eastAsia"/>
                <w:vertAlign w:val="baseline"/>
                <w:lang w:val="en-US" w:eastAsia="zh-CN"/>
              </w:rPr>
              <w:t>6.8</w:t>
            </w:r>
          </w:p>
        </w:tc>
        <w:tc>
          <w:tcPr>
            <w:tcW w:w="1167" w:type="dxa"/>
            <w:vAlign w:val="center"/>
          </w:tcPr>
          <w:p>
            <w:pPr>
              <w:pStyle w:val="30"/>
              <w:widowControl w:val="0"/>
              <w:jc w:val="center"/>
              <w:rPr>
                <w:rFonts w:hint="default"/>
                <w:vertAlign w:val="baseline"/>
                <w:lang w:val="en-US" w:eastAsia="zh-CN"/>
              </w:rPr>
            </w:pPr>
            <w:r>
              <w:rPr>
                <w:rFonts w:hint="eastAsia"/>
                <w:vertAlign w:val="baseline"/>
                <w:lang w:val="en-US" w:eastAsia="zh-CN"/>
              </w:rPr>
              <w:t>≤0.01</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镉</w:t>
            </w:r>
          </w:p>
        </w:tc>
        <w:tc>
          <w:tcPr>
            <w:tcW w:w="1015" w:type="dxa"/>
            <w:vAlign w:val="center"/>
          </w:tcPr>
          <w:p>
            <w:pPr>
              <w:pStyle w:val="30"/>
              <w:widowControl w:val="0"/>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μg/L</w:t>
            </w:r>
          </w:p>
        </w:tc>
        <w:tc>
          <w:tcPr>
            <w:tcW w:w="1466" w:type="dxa"/>
            <w:vAlign w:val="center"/>
          </w:tcPr>
          <w:p>
            <w:pPr>
              <w:pStyle w:val="30"/>
              <w:widowControl w:val="0"/>
              <w:jc w:val="center"/>
              <w:rPr>
                <w:rFonts w:hint="default"/>
                <w:vertAlign w:val="baseline"/>
                <w:lang w:val="en-US" w:eastAsia="zh-CN"/>
              </w:rPr>
            </w:pPr>
            <w:r>
              <w:rPr>
                <w:rFonts w:hint="eastAsia"/>
                <w:vertAlign w:val="baseline"/>
                <w:lang w:val="en-US" w:eastAsia="zh-CN"/>
              </w:rPr>
              <w:t>0.6</w:t>
            </w:r>
          </w:p>
        </w:tc>
        <w:tc>
          <w:tcPr>
            <w:tcW w:w="1431"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3"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167" w:type="dxa"/>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≤0.005</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汞</w:t>
            </w:r>
          </w:p>
        </w:tc>
        <w:tc>
          <w:tcPr>
            <w:tcW w:w="1015" w:type="dxa"/>
            <w:vAlign w:val="center"/>
          </w:tcPr>
          <w:p>
            <w:pPr>
              <w:pStyle w:val="30"/>
              <w:widowControl w:val="0"/>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μg/L</w:t>
            </w:r>
          </w:p>
        </w:tc>
        <w:tc>
          <w:tcPr>
            <w:tcW w:w="1466"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1"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3"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167" w:type="dxa"/>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≤0.001</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砷</w:t>
            </w:r>
          </w:p>
        </w:tc>
        <w:tc>
          <w:tcPr>
            <w:tcW w:w="1015" w:type="dxa"/>
            <w:vAlign w:val="center"/>
          </w:tcPr>
          <w:p>
            <w:pPr>
              <w:pStyle w:val="30"/>
              <w:widowControl w:val="0"/>
              <w:ind w:firstLine="0" w:firstLineChars="0"/>
              <w:jc w:val="center"/>
              <w:rPr>
                <w:rFonts w:hint="default"/>
                <w:vertAlign w:val="baseline"/>
                <w:lang w:val="en-US" w:eastAsia="zh-CN"/>
              </w:rPr>
            </w:pPr>
            <w:r>
              <w:rPr>
                <w:rFonts w:hint="default" w:ascii="Times New Roman" w:hAnsi="Times New Roman" w:cs="Times New Roman"/>
                <w:vertAlign w:val="baseline"/>
                <w:lang w:val="en-US" w:eastAsia="zh-CN"/>
              </w:rPr>
              <w:t>μg/L</w:t>
            </w:r>
          </w:p>
        </w:tc>
        <w:tc>
          <w:tcPr>
            <w:tcW w:w="1466"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1"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433"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未检出</w:t>
            </w:r>
          </w:p>
        </w:tc>
        <w:tc>
          <w:tcPr>
            <w:tcW w:w="1167" w:type="dxa"/>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≤0.01</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总大肠菌群</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MPN/L</w:t>
            </w:r>
          </w:p>
        </w:tc>
        <w:tc>
          <w:tcPr>
            <w:tcW w:w="1466" w:type="dxa"/>
            <w:vAlign w:val="center"/>
          </w:tcPr>
          <w:p>
            <w:pPr>
              <w:pStyle w:val="30"/>
              <w:widowControl w:val="0"/>
              <w:jc w:val="center"/>
              <w:rPr>
                <w:rFonts w:hint="default"/>
                <w:vertAlign w:val="baseline"/>
                <w:lang w:val="en-US" w:eastAsia="zh-CN"/>
              </w:rPr>
            </w:pPr>
            <w:r>
              <w:rPr>
                <w:rFonts w:hint="eastAsia"/>
                <w:vertAlign w:val="baseline"/>
                <w:lang w:val="en-US" w:eastAsia="zh-CN"/>
              </w:rPr>
              <w:t>20</w:t>
            </w:r>
          </w:p>
        </w:tc>
        <w:tc>
          <w:tcPr>
            <w:tcW w:w="1431" w:type="dxa"/>
            <w:vAlign w:val="center"/>
          </w:tcPr>
          <w:p>
            <w:pPr>
              <w:pStyle w:val="30"/>
              <w:widowControl w:val="0"/>
              <w:jc w:val="center"/>
              <w:rPr>
                <w:rFonts w:hint="default"/>
                <w:vertAlign w:val="baseline"/>
                <w:lang w:val="en-US" w:eastAsia="zh-CN"/>
              </w:rPr>
            </w:pPr>
            <w:r>
              <w:rPr>
                <w:rFonts w:hint="eastAsia"/>
                <w:vertAlign w:val="baseline"/>
                <w:lang w:val="en-US" w:eastAsia="zh-CN"/>
              </w:rPr>
              <w:t>&lt;20</w:t>
            </w:r>
          </w:p>
        </w:tc>
        <w:tc>
          <w:tcPr>
            <w:tcW w:w="1433" w:type="dxa"/>
            <w:vAlign w:val="center"/>
          </w:tcPr>
          <w:p>
            <w:pPr>
              <w:pStyle w:val="30"/>
              <w:widowControl w:val="0"/>
              <w:jc w:val="center"/>
              <w:rPr>
                <w:rFonts w:hint="default"/>
                <w:vertAlign w:val="baseline"/>
                <w:lang w:val="en-US" w:eastAsia="zh-CN"/>
              </w:rPr>
            </w:pPr>
            <w:r>
              <w:rPr>
                <w:rFonts w:hint="eastAsia"/>
                <w:vertAlign w:val="baseline"/>
                <w:lang w:val="en-US" w:eastAsia="zh-CN"/>
              </w:rPr>
              <w:t>20</w:t>
            </w:r>
          </w:p>
        </w:tc>
        <w:tc>
          <w:tcPr>
            <w:tcW w:w="1167" w:type="dxa"/>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≤3.0</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tcPr>
          <w:p>
            <w:pPr>
              <w:pStyle w:val="30"/>
              <w:widowControl w:val="0"/>
              <w:jc w:val="center"/>
              <w:rPr>
                <w:rFonts w:hint="default"/>
                <w:vertAlign w:val="baseline"/>
                <w:lang w:val="en-US" w:eastAsia="zh-CN"/>
              </w:rPr>
            </w:pPr>
          </w:p>
        </w:tc>
        <w:tc>
          <w:tcPr>
            <w:tcW w:w="1389" w:type="dxa"/>
            <w:vAlign w:val="center"/>
          </w:tcPr>
          <w:p>
            <w:pPr>
              <w:pStyle w:val="30"/>
              <w:widowControl w:val="0"/>
              <w:ind w:firstLine="0" w:firstLineChars="0"/>
              <w:jc w:val="center"/>
              <w:rPr>
                <w:rFonts w:hint="default" w:ascii="宋体" w:hAnsi="宋体" w:eastAsia="宋体" w:cs="Times New Roman"/>
                <w:kern w:val="2"/>
                <w:sz w:val="21"/>
                <w:lang w:val="en-US" w:eastAsia="zh-CN"/>
              </w:rPr>
            </w:pPr>
            <w:r>
              <w:rPr>
                <w:rFonts w:hint="eastAsia" w:ascii="宋体" w:hAnsi="宋体" w:eastAsia="宋体"/>
                <w:sz w:val="21"/>
                <w:lang w:val="en-US" w:eastAsia="zh-CN"/>
              </w:rPr>
              <w:t>细菌总数</w:t>
            </w:r>
          </w:p>
        </w:tc>
        <w:tc>
          <w:tcPr>
            <w:tcW w:w="1015"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CFU/mL</w:t>
            </w:r>
          </w:p>
        </w:tc>
        <w:tc>
          <w:tcPr>
            <w:tcW w:w="1466" w:type="dxa"/>
            <w:vAlign w:val="center"/>
          </w:tcPr>
          <w:p>
            <w:pPr>
              <w:pStyle w:val="30"/>
              <w:widowControl w:val="0"/>
              <w:jc w:val="center"/>
              <w:rPr>
                <w:rFonts w:hint="default"/>
                <w:vertAlign w:val="baseline"/>
                <w:lang w:val="en-US" w:eastAsia="zh-CN"/>
              </w:rPr>
            </w:pPr>
            <w:r>
              <w:rPr>
                <w:rFonts w:hint="eastAsia"/>
                <w:vertAlign w:val="baseline"/>
                <w:lang w:val="en-US" w:eastAsia="zh-CN"/>
              </w:rPr>
              <w:t>90</w:t>
            </w:r>
          </w:p>
        </w:tc>
        <w:tc>
          <w:tcPr>
            <w:tcW w:w="1431" w:type="dxa"/>
            <w:vAlign w:val="center"/>
          </w:tcPr>
          <w:p>
            <w:pPr>
              <w:pStyle w:val="30"/>
              <w:widowControl w:val="0"/>
              <w:jc w:val="center"/>
              <w:rPr>
                <w:rFonts w:hint="default"/>
                <w:vertAlign w:val="baseline"/>
                <w:lang w:val="en-US" w:eastAsia="zh-CN"/>
              </w:rPr>
            </w:pPr>
            <w:r>
              <w:rPr>
                <w:rFonts w:hint="eastAsia"/>
                <w:vertAlign w:val="baseline"/>
                <w:lang w:val="en-US" w:eastAsia="zh-CN"/>
              </w:rPr>
              <w:t>70</w:t>
            </w:r>
          </w:p>
        </w:tc>
        <w:tc>
          <w:tcPr>
            <w:tcW w:w="1433" w:type="dxa"/>
            <w:vAlign w:val="center"/>
          </w:tcPr>
          <w:p>
            <w:pPr>
              <w:pStyle w:val="30"/>
              <w:widowControl w:val="0"/>
              <w:jc w:val="center"/>
              <w:rPr>
                <w:rFonts w:hint="default"/>
                <w:vertAlign w:val="baseline"/>
                <w:lang w:val="en-US" w:eastAsia="zh-CN"/>
              </w:rPr>
            </w:pPr>
            <w:r>
              <w:rPr>
                <w:rFonts w:hint="eastAsia"/>
                <w:vertAlign w:val="baseline"/>
                <w:lang w:val="en-US" w:eastAsia="zh-CN"/>
              </w:rPr>
              <w:t>50</w:t>
            </w:r>
          </w:p>
        </w:tc>
        <w:tc>
          <w:tcPr>
            <w:tcW w:w="1167" w:type="dxa"/>
            <w:vAlign w:val="center"/>
          </w:tcPr>
          <w:p>
            <w:pPr>
              <w:pStyle w:val="30"/>
              <w:widowControl w:val="0"/>
              <w:jc w:val="center"/>
              <w:rPr>
                <w:rFonts w:hint="default"/>
                <w:vertAlign w:val="baseline"/>
                <w:lang w:val="en-US" w:eastAsia="zh-CN"/>
              </w:rPr>
            </w:pPr>
            <w:r>
              <w:rPr>
                <w:rFonts w:hint="eastAsia"/>
                <w:vertAlign w:val="baseline"/>
                <w:lang w:val="en-US" w:eastAsia="zh-CN"/>
              </w:rPr>
              <w:t>≤100</w:t>
            </w:r>
          </w:p>
        </w:tc>
        <w:tc>
          <w:tcPr>
            <w:tcW w:w="657"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bl>
    <w:p>
      <w:pPr>
        <w:bidi w:val="0"/>
        <w:rPr>
          <w:rFonts w:hint="eastAsia"/>
        </w:rPr>
      </w:pPr>
      <w:r>
        <w:rPr>
          <w:rFonts w:hint="eastAsia"/>
        </w:rPr>
        <w:t>根据上表可知，项目所在区域地下水监测因子浓度均低于《地下水质量标准》（</w:t>
      </w:r>
      <w:r>
        <w:rPr>
          <w:rFonts w:hint="default"/>
        </w:rPr>
        <w:t>GB/T14848-2017</w:t>
      </w:r>
      <w:r>
        <w:rPr>
          <w:rFonts w:hint="eastAsia"/>
        </w:rPr>
        <w:t>）Ⅲ类标准限值，项目所在区域地下水环境质量现状较好。</w:t>
      </w:r>
    </w:p>
    <w:p>
      <w:pPr>
        <w:ind w:firstLine="480"/>
        <w:rPr>
          <w:rFonts w:hint="eastAsia"/>
        </w:rPr>
      </w:pPr>
      <w:r>
        <w:rPr>
          <w:rFonts w:hint="eastAsia"/>
        </w:rPr>
        <w:t>（</w:t>
      </w:r>
      <w:r>
        <w:rPr>
          <w:rFonts w:hint="eastAsia"/>
          <w:lang w:val="en-US" w:eastAsia="zh-CN"/>
        </w:rPr>
        <w:t>5</w:t>
      </w:r>
      <w:r>
        <w:rPr>
          <w:rFonts w:hint="eastAsia"/>
        </w:rPr>
        <w:t>）地</w:t>
      </w:r>
      <w:r>
        <w:t>下水水位调查。</w:t>
      </w:r>
    </w:p>
    <w:p>
      <w:pPr>
        <w:ind w:firstLine="480"/>
      </w:pPr>
      <w:r>
        <w:rPr>
          <w:rFonts w:hint="eastAsia"/>
        </w:rPr>
        <w:t>项目在</w:t>
      </w:r>
      <w:r>
        <w:rPr>
          <w:rFonts w:hint="eastAsia"/>
          <w:lang w:val="en-US" w:eastAsia="zh-CN"/>
        </w:rPr>
        <w:t>屠宰场</w:t>
      </w:r>
      <w:r>
        <w:rPr>
          <w:rFonts w:hint="eastAsia"/>
        </w:rPr>
        <w:t>附近设置6个水位调查点，水位调查统计结果见下表。</w:t>
      </w:r>
    </w:p>
    <w:p>
      <w:pPr>
        <w:pStyle w:val="29"/>
        <w:bidi w:val="0"/>
        <w:rPr>
          <w:rFonts w:hint="eastAsia"/>
          <w:highlight w:val="none"/>
        </w:rPr>
      </w:pPr>
      <w:r>
        <w:rPr>
          <w:rFonts w:hint="eastAsia"/>
          <w:highlight w:val="none"/>
          <w:lang w:val="en-US" w:eastAsia="zh-CN"/>
        </w:rPr>
        <w:t xml:space="preserve">4.2-15  </w:t>
      </w:r>
      <w:r>
        <w:rPr>
          <w:rFonts w:hint="eastAsia"/>
          <w:highlight w:val="none"/>
        </w:rPr>
        <w:t>地下水水位调查统计结果</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13"/>
        <w:gridCol w:w="3089"/>
        <w:gridCol w:w="1921"/>
        <w:gridCol w:w="12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点位名称</w:t>
            </w:r>
          </w:p>
        </w:tc>
        <w:tc>
          <w:tcPr>
            <w:tcW w:w="1605" w:type="pc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经纬度</w:t>
            </w:r>
          </w:p>
        </w:tc>
        <w:tc>
          <w:tcPr>
            <w:tcW w:w="998" w:type="pc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海拔（m）</w:t>
            </w:r>
          </w:p>
        </w:tc>
        <w:tc>
          <w:tcPr>
            <w:tcW w:w="675" w:type="pct"/>
            <w:tcBorders>
              <w:tl2br w:val="nil"/>
              <w:tr2bl w:val="nil"/>
            </w:tcBorders>
            <w:vAlign w:val="center"/>
          </w:tcPr>
          <w:p>
            <w:pPr>
              <w:pStyle w:val="30"/>
              <w:widowControl w:val="0"/>
              <w:jc w:val="center"/>
              <w:rPr>
                <w:rFonts w:hint="default"/>
                <w:b/>
                <w:bCs/>
                <w:highlight w:val="none"/>
                <w:vertAlign w:val="baseline"/>
                <w:lang w:val="en-US" w:eastAsia="zh-CN"/>
              </w:rPr>
            </w:pPr>
            <w:r>
              <w:rPr>
                <w:rFonts w:hint="eastAsia"/>
                <w:b/>
                <w:bCs/>
                <w:highlight w:val="none"/>
                <w:vertAlign w:val="baseline"/>
                <w:lang w:val="en-US" w:eastAsia="zh-CN"/>
              </w:rPr>
              <w:t>水位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1#项目场地外西北侧农户水井A</w:t>
            </w:r>
          </w:p>
        </w:tc>
        <w:tc>
          <w:tcPr>
            <w:tcW w:w="1605"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E106.9618，N31.4866</w:t>
            </w:r>
          </w:p>
        </w:tc>
        <w:tc>
          <w:tcPr>
            <w:tcW w:w="998"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340</w:t>
            </w:r>
          </w:p>
        </w:tc>
        <w:tc>
          <w:tcPr>
            <w:tcW w:w="675"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30"/>
              <w:widowControl w:val="0"/>
              <w:bidi w:val="0"/>
              <w:jc w:val="center"/>
              <w:rPr>
                <w:rFonts w:hint="eastAsia"/>
                <w:highlight w:val="none"/>
                <w:lang w:val="en-US" w:eastAsia="zh-CN"/>
              </w:rPr>
            </w:pPr>
            <w:r>
              <w:rPr>
                <w:rFonts w:hint="eastAsia"/>
                <w:highlight w:val="none"/>
                <w:lang w:val="en-US" w:eastAsia="zh-CN"/>
              </w:rPr>
              <w:t>2#项目场地外北侧农户水井</w:t>
            </w:r>
          </w:p>
        </w:tc>
        <w:tc>
          <w:tcPr>
            <w:tcW w:w="1605"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E106.9626，N31.4848</w:t>
            </w:r>
          </w:p>
        </w:tc>
        <w:tc>
          <w:tcPr>
            <w:tcW w:w="998"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353</w:t>
            </w:r>
          </w:p>
        </w:tc>
        <w:tc>
          <w:tcPr>
            <w:tcW w:w="675" w:type="pct"/>
            <w:tcBorders>
              <w:tl2br w:val="nil"/>
              <w:tr2bl w:val="nil"/>
            </w:tcBorders>
            <w:vAlign w:val="center"/>
          </w:tcPr>
          <w:p>
            <w:pPr>
              <w:pStyle w:val="30"/>
              <w:widowControl w:val="0"/>
              <w:jc w:val="center"/>
              <w:rPr>
                <w:rFonts w:hint="default"/>
                <w:highlight w:val="none"/>
                <w:vertAlign w:val="baseline"/>
                <w:lang w:val="en-US" w:eastAsia="zh-CN"/>
              </w:rPr>
            </w:pPr>
            <w:r>
              <w:rPr>
                <w:rFonts w:hint="eastAsia"/>
                <w:highlight w:val="none"/>
                <w:vertAlign w:val="baseline"/>
                <w:lang w:val="en-US" w:eastAsia="zh-CN"/>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3#项目场地外东北侧农户水井</w:t>
            </w:r>
          </w:p>
        </w:tc>
        <w:tc>
          <w:tcPr>
            <w:tcW w:w="160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E106.9659，N31.4837</w:t>
            </w:r>
          </w:p>
        </w:tc>
        <w:tc>
          <w:tcPr>
            <w:tcW w:w="99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342</w:t>
            </w:r>
          </w:p>
        </w:tc>
        <w:tc>
          <w:tcPr>
            <w:tcW w:w="67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4#项目场地外西侧农户水井</w:t>
            </w:r>
          </w:p>
        </w:tc>
        <w:tc>
          <w:tcPr>
            <w:tcW w:w="160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E106.9557，N31.4862</w:t>
            </w:r>
          </w:p>
        </w:tc>
        <w:tc>
          <w:tcPr>
            <w:tcW w:w="99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356</w:t>
            </w:r>
          </w:p>
        </w:tc>
        <w:tc>
          <w:tcPr>
            <w:tcW w:w="67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5#项目场地外西南侧农户水井</w:t>
            </w:r>
          </w:p>
        </w:tc>
        <w:tc>
          <w:tcPr>
            <w:tcW w:w="160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E106.9566，N31.4845</w:t>
            </w:r>
          </w:p>
        </w:tc>
        <w:tc>
          <w:tcPr>
            <w:tcW w:w="99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366</w:t>
            </w:r>
          </w:p>
        </w:tc>
        <w:tc>
          <w:tcPr>
            <w:tcW w:w="67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21" w:type="pc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6#项目场地外西北侧农户水井A</w:t>
            </w:r>
          </w:p>
        </w:tc>
        <w:tc>
          <w:tcPr>
            <w:tcW w:w="160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E106.9524，N31.4931</w:t>
            </w:r>
          </w:p>
        </w:tc>
        <w:tc>
          <w:tcPr>
            <w:tcW w:w="99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359</w:t>
            </w:r>
          </w:p>
        </w:tc>
        <w:tc>
          <w:tcPr>
            <w:tcW w:w="675"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0.2</w:t>
            </w:r>
          </w:p>
        </w:tc>
      </w:tr>
    </w:tbl>
    <w:p>
      <w:pPr>
        <w:pStyle w:val="5"/>
        <w:bidi w:val="0"/>
        <w:rPr>
          <w:rFonts w:hint="default"/>
          <w:lang w:val="en-US" w:eastAsia="zh-CN"/>
        </w:rPr>
      </w:pPr>
      <w:r>
        <w:rPr>
          <w:rFonts w:hint="eastAsia"/>
          <w:lang w:val="en-US" w:eastAsia="zh-CN"/>
        </w:rPr>
        <w:t>声环境质量现状监测及评价</w:t>
      </w:r>
    </w:p>
    <w:p>
      <w:pPr>
        <w:bidi w:val="0"/>
        <w:rPr>
          <w:rFonts w:hint="eastAsia"/>
          <w:lang w:val="en-US" w:eastAsia="zh-CN"/>
        </w:rPr>
      </w:pPr>
      <w:r>
        <w:rPr>
          <w:rFonts w:hint="eastAsia"/>
        </w:rPr>
        <w:t>为了解项目声环境质量现状，本次环评单位委托</w:t>
      </w:r>
      <w:r>
        <w:rPr>
          <w:rFonts w:hint="eastAsia"/>
          <w:lang w:val="en-US" w:eastAsia="zh-CN"/>
        </w:rPr>
        <w:t>四川锡水金山环保科技有限公司</w:t>
      </w:r>
      <w:r>
        <w:rPr>
          <w:rFonts w:hint="eastAsia"/>
        </w:rPr>
        <w:t>于</w:t>
      </w:r>
      <w:r>
        <w:rPr>
          <w:rFonts w:hint="eastAsia"/>
          <w:lang w:val="en-US" w:eastAsia="zh-CN"/>
        </w:rPr>
        <w:t>2021</w:t>
      </w:r>
      <w:r>
        <w:rPr>
          <w:rFonts w:hint="eastAsia"/>
        </w:rPr>
        <w:t>年</w:t>
      </w:r>
      <w:r>
        <w:rPr>
          <w:rFonts w:hint="eastAsia"/>
          <w:lang w:val="en-US" w:eastAsia="zh-CN"/>
        </w:rPr>
        <w:t>1</w:t>
      </w:r>
      <w:r>
        <w:rPr>
          <w:rFonts w:hint="eastAsia"/>
        </w:rPr>
        <w:t>月</w:t>
      </w:r>
      <w:r>
        <w:rPr>
          <w:rFonts w:hint="default"/>
        </w:rPr>
        <w:t>2</w:t>
      </w:r>
      <w:r>
        <w:rPr>
          <w:rFonts w:hint="eastAsia"/>
          <w:lang w:val="en-US" w:eastAsia="zh-CN"/>
        </w:rPr>
        <w:t>8</w:t>
      </w:r>
      <w:r>
        <w:rPr>
          <w:rFonts w:hint="eastAsia"/>
        </w:rPr>
        <w:t>日</w:t>
      </w:r>
      <w:r>
        <w:rPr>
          <w:rFonts w:hint="default"/>
        </w:rPr>
        <w:t>~</w:t>
      </w:r>
      <w:r>
        <w:rPr>
          <w:rFonts w:hint="eastAsia"/>
          <w:lang w:val="en-US" w:eastAsia="zh-CN"/>
        </w:rPr>
        <w:t>1</w:t>
      </w:r>
      <w:r>
        <w:rPr>
          <w:rFonts w:hint="eastAsia"/>
        </w:rPr>
        <w:t>月</w:t>
      </w:r>
      <w:r>
        <w:rPr>
          <w:rFonts w:hint="eastAsia"/>
          <w:lang w:val="en-US" w:eastAsia="zh-CN"/>
        </w:rPr>
        <w:t>29</w:t>
      </w:r>
      <w:r>
        <w:rPr>
          <w:rFonts w:hint="eastAsia"/>
        </w:rPr>
        <w:t>日对本项目评价区内的声环境质量现状进行了监测。</w:t>
      </w:r>
    </w:p>
    <w:p>
      <w:pPr>
        <w:rPr>
          <w:rFonts w:hint="eastAsia"/>
          <w:lang w:val="en-US" w:eastAsia="zh-CN"/>
        </w:rPr>
      </w:pPr>
      <w:r>
        <w:rPr>
          <w:rFonts w:hint="eastAsia"/>
          <w:lang w:val="en-US" w:eastAsia="zh-CN"/>
        </w:rPr>
        <w:t>（1）监测内容及频次</w:t>
      </w:r>
    </w:p>
    <w:p>
      <w:pPr>
        <w:pStyle w:val="29"/>
        <w:bidi w:val="0"/>
        <w:rPr>
          <w:rFonts w:hint="eastAsia"/>
          <w:lang w:val="en-US" w:eastAsia="zh-CN"/>
        </w:rPr>
      </w:pPr>
      <w:r>
        <w:rPr>
          <w:rFonts w:hint="eastAsia"/>
          <w:lang w:val="en-US" w:eastAsia="zh-CN"/>
        </w:rPr>
        <w:t>表4.2-16  本项目声环境质量监测内容及频次一览表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3"/>
        <w:gridCol w:w="3030"/>
        <w:gridCol w:w="917"/>
        <w:gridCol w:w="2813"/>
        <w:gridCol w:w="660"/>
        <w:gridCol w:w="1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类别</w:t>
            </w:r>
          </w:p>
        </w:tc>
        <w:tc>
          <w:tcPr>
            <w:tcW w:w="3030"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监测点位</w:t>
            </w:r>
          </w:p>
        </w:tc>
        <w:tc>
          <w:tcPr>
            <w:tcW w:w="917"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点位数</w:t>
            </w:r>
          </w:p>
        </w:tc>
        <w:tc>
          <w:tcPr>
            <w:tcW w:w="2813"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监测项目</w:t>
            </w:r>
          </w:p>
        </w:tc>
        <w:tc>
          <w:tcPr>
            <w:tcW w:w="1999" w:type="dxa"/>
            <w:gridSpan w:val="2"/>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3030"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917"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2813"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66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天</w:t>
            </w:r>
          </w:p>
        </w:tc>
        <w:tc>
          <w:tcPr>
            <w:tcW w:w="1339"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restart"/>
            <w:tcBorders>
              <w:tl2br w:val="nil"/>
              <w:tr2bl w:val="nil"/>
            </w:tcBorders>
            <w:vAlign w:val="center"/>
          </w:tcPr>
          <w:p>
            <w:pPr>
              <w:pStyle w:val="30"/>
              <w:widowControl w:val="0"/>
              <w:jc w:val="center"/>
              <w:rPr>
                <w:rFonts w:hint="default"/>
                <w:b w:val="0"/>
                <w:bCs w:val="0"/>
                <w:vertAlign w:val="baseline"/>
                <w:lang w:val="en-US" w:eastAsia="zh-CN"/>
              </w:rPr>
            </w:pPr>
            <w:r>
              <w:rPr>
                <w:rFonts w:hint="eastAsia"/>
                <w:b w:val="0"/>
                <w:bCs w:val="0"/>
                <w:vertAlign w:val="baseline"/>
                <w:lang w:val="en-US" w:eastAsia="zh-CN"/>
              </w:rPr>
              <w:t>噪声</w:t>
            </w:r>
          </w:p>
        </w:tc>
        <w:tc>
          <w:tcPr>
            <w:tcW w:w="3030" w:type="dxa"/>
            <w:tcBorders>
              <w:tl2br w:val="nil"/>
              <w:tr2bl w:val="nil"/>
            </w:tcBorders>
            <w:vAlign w:val="center"/>
          </w:tcPr>
          <w:p>
            <w:pPr>
              <w:pStyle w:val="30"/>
              <w:widowControl w:val="0"/>
              <w:jc w:val="center"/>
              <w:rPr>
                <w:rFonts w:hint="default"/>
                <w:b w:val="0"/>
                <w:bCs w:val="0"/>
                <w:vertAlign w:val="baseline"/>
                <w:lang w:val="en-US" w:eastAsia="zh-CN"/>
              </w:rPr>
            </w:pPr>
            <w:r>
              <w:rPr>
                <w:rFonts w:hint="eastAsia" w:ascii="TimesNewRomanPSMT" w:hAnsi="TimesNewRomanPSMT" w:eastAsia="TimesNewRomanPSMT"/>
                <w:sz w:val="21"/>
              </w:rPr>
              <w:t>1#</w:t>
            </w:r>
            <w:r>
              <w:rPr>
                <w:rFonts w:hint="eastAsia" w:ascii="宋体" w:hAnsi="宋体" w:eastAsia="宋体"/>
                <w:sz w:val="21"/>
              </w:rPr>
              <w:t>项目外东侧居民敏感点</w:t>
            </w:r>
          </w:p>
        </w:tc>
        <w:tc>
          <w:tcPr>
            <w:tcW w:w="917" w:type="dxa"/>
            <w:vMerge w:val="restart"/>
            <w:tcBorders>
              <w:tl2br w:val="nil"/>
              <w:tr2bl w:val="nil"/>
            </w:tcBorders>
            <w:vAlign w:val="center"/>
          </w:tcPr>
          <w:p>
            <w:pPr>
              <w:pStyle w:val="30"/>
              <w:widowControl w:val="0"/>
              <w:jc w:val="center"/>
              <w:rPr>
                <w:rFonts w:hint="default"/>
                <w:b w:val="0"/>
                <w:bCs w:val="0"/>
                <w:vertAlign w:val="baseline"/>
                <w:lang w:val="en-US" w:eastAsia="zh-CN"/>
              </w:rPr>
            </w:pPr>
            <w:r>
              <w:rPr>
                <w:rFonts w:hint="eastAsia"/>
                <w:b w:val="0"/>
                <w:bCs w:val="0"/>
                <w:vertAlign w:val="baseline"/>
                <w:lang w:val="en-US" w:eastAsia="zh-CN"/>
              </w:rPr>
              <w:t>5</w:t>
            </w:r>
          </w:p>
        </w:tc>
        <w:tc>
          <w:tcPr>
            <w:tcW w:w="2813" w:type="dxa"/>
            <w:vMerge w:val="restart"/>
            <w:tcBorders>
              <w:tl2br w:val="nil"/>
              <w:tr2bl w:val="nil"/>
            </w:tcBorders>
            <w:vAlign w:val="center"/>
          </w:tcPr>
          <w:p>
            <w:pPr>
              <w:pStyle w:val="30"/>
              <w:widowControl w:val="0"/>
              <w:jc w:val="center"/>
              <w:rPr>
                <w:rFonts w:hint="default"/>
                <w:b w:val="0"/>
                <w:bCs w:val="0"/>
                <w:vertAlign w:val="baseline"/>
                <w:lang w:val="en-US" w:eastAsia="zh-CN"/>
              </w:rPr>
            </w:pPr>
            <w:r>
              <w:rPr>
                <w:rFonts w:hint="eastAsia"/>
                <w:b w:val="0"/>
                <w:bCs w:val="0"/>
                <w:vertAlign w:val="baseline"/>
                <w:lang w:val="en-US" w:eastAsia="zh-CN"/>
              </w:rPr>
              <w:t>环境噪声</w:t>
            </w:r>
          </w:p>
        </w:tc>
        <w:tc>
          <w:tcPr>
            <w:tcW w:w="660" w:type="dxa"/>
            <w:vMerge w:val="restart"/>
            <w:tcBorders>
              <w:tl2br w:val="nil"/>
              <w:tr2bl w:val="nil"/>
            </w:tcBorders>
            <w:vAlign w:val="center"/>
          </w:tcPr>
          <w:p>
            <w:pPr>
              <w:pStyle w:val="30"/>
              <w:widowControl w:val="0"/>
              <w:jc w:val="center"/>
              <w:rPr>
                <w:rFonts w:hint="default"/>
                <w:b w:val="0"/>
                <w:bCs w:val="0"/>
                <w:vertAlign w:val="baseline"/>
                <w:lang w:val="en-US" w:eastAsia="zh-CN"/>
              </w:rPr>
            </w:pPr>
            <w:r>
              <w:rPr>
                <w:rFonts w:hint="eastAsia"/>
                <w:b w:val="0"/>
                <w:bCs w:val="0"/>
                <w:vertAlign w:val="baseline"/>
                <w:lang w:val="en-US" w:eastAsia="zh-CN"/>
              </w:rPr>
              <w:t>2</w:t>
            </w:r>
          </w:p>
        </w:tc>
        <w:tc>
          <w:tcPr>
            <w:tcW w:w="1339" w:type="dxa"/>
            <w:vMerge w:val="restart"/>
            <w:tcBorders>
              <w:tl2br w:val="nil"/>
              <w:tr2bl w:val="nil"/>
            </w:tcBorders>
            <w:vAlign w:val="center"/>
          </w:tcPr>
          <w:p>
            <w:pPr>
              <w:pStyle w:val="30"/>
              <w:widowControl w:val="0"/>
              <w:jc w:val="center"/>
              <w:rPr>
                <w:rFonts w:hint="default"/>
                <w:b w:val="0"/>
                <w:bCs w:val="0"/>
                <w:vertAlign w:val="baseline"/>
                <w:lang w:val="en-US" w:eastAsia="zh-CN"/>
              </w:rPr>
            </w:pPr>
            <w:r>
              <w:rPr>
                <w:rFonts w:hint="eastAsia"/>
                <w:b w:val="0"/>
                <w:bCs w:val="0"/>
                <w:vertAlign w:val="baseline"/>
                <w:lang w:val="en-US" w:eastAsia="zh-CN"/>
              </w:rPr>
              <w:t>昼夜各一次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continue"/>
            <w:tcBorders>
              <w:tl2br w:val="nil"/>
              <w:tr2bl w:val="nil"/>
            </w:tcBorders>
            <w:vAlign w:val="center"/>
          </w:tcPr>
          <w:p>
            <w:pPr>
              <w:pStyle w:val="30"/>
              <w:widowControl w:val="0"/>
              <w:jc w:val="center"/>
              <w:rPr>
                <w:rFonts w:hint="default"/>
                <w:b w:val="0"/>
                <w:bCs w:val="0"/>
                <w:vertAlign w:val="baseline"/>
                <w:lang w:val="en-US" w:eastAsia="zh-CN"/>
              </w:rPr>
            </w:pPr>
          </w:p>
        </w:tc>
        <w:tc>
          <w:tcPr>
            <w:tcW w:w="3030" w:type="dxa"/>
            <w:tcBorders>
              <w:tl2br w:val="nil"/>
              <w:tr2bl w:val="nil"/>
            </w:tcBorders>
            <w:vAlign w:val="center"/>
          </w:tcPr>
          <w:p>
            <w:pPr>
              <w:pStyle w:val="30"/>
              <w:widowControl w:val="0"/>
              <w:jc w:val="center"/>
              <w:rPr>
                <w:rFonts w:hint="default"/>
                <w:b w:val="0"/>
                <w:bCs w:val="0"/>
                <w:vertAlign w:val="baseline"/>
                <w:lang w:val="en-US" w:eastAsia="zh-CN"/>
              </w:rPr>
            </w:pPr>
            <w:r>
              <w:rPr>
                <w:rFonts w:hint="eastAsia" w:ascii="TimesNewRomanPSMT" w:hAnsi="TimesNewRomanPSMT" w:eastAsia="TimesNewRomanPSMT"/>
                <w:sz w:val="21"/>
              </w:rPr>
              <w:t>2#</w:t>
            </w:r>
            <w:r>
              <w:rPr>
                <w:rFonts w:hint="eastAsia" w:ascii="宋体" w:hAnsi="宋体" w:eastAsia="宋体"/>
                <w:sz w:val="21"/>
              </w:rPr>
              <w:t>项目场地北侧外</w:t>
            </w:r>
          </w:p>
        </w:tc>
        <w:tc>
          <w:tcPr>
            <w:tcW w:w="917" w:type="dxa"/>
            <w:vMerge w:val="continue"/>
            <w:tcBorders>
              <w:tl2br w:val="nil"/>
              <w:tr2bl w:val="nil"/>
            </w:tcBorders>
            <w:vAlign w:val="center"/>
          </w:tcPr>
          <w:p>
            <w:pPr>
              <w:pStyle w:val="30"/>
              <w:widowControl w:val="0"/>
              <w:jc w:val="center"/>
              <w:rPr>
                <w:rFonts w:hint="default"/>
                <w:b w:val="0"/>
                <w:bCs w:val="0"/>
                <w:vertAlign w:val="baseline"/>
                <w:lang w:val="en-US" w:eastAsia="zh-CN"/>
              </w:rPr>
            </w:pPr>
          </w:p>
        </w:tc>
        <w:tc>
          <w:tcPr>
            <w:tcW w:w="2813" w:type="dxa"/>
            <w:vMerge w:val="continue"/>
            <w:tcBorders>
              <w:tl2br w:val="nil"/>
              <w:tr2bl w:val="nil"/>
            </w:tcBorders>
            <w:vAlign w:val="center"/>
          </w:tcPr>
          <w:p>
            <w:pPr>
              <w:pStyle w:val="30"/>
              <w:widowControl w:val="0"/>
              <w:jc w:val="center"/>
              <w:rPr>
                <w:rFonts w:hint="default"/>
                <w:b w:val="0"/>
                <w:bCs w:val="0"/>
                <w:vertAlign w:val="baseline"/>
                <w:lang w:val="en-US" w:eastAsia="zh-CN"/>
              </w:rPr>
            </w:pPr>
          </w:p>
        </w:tc>
        <w:tc>
          <w:tcPr>
            <w:tcW w:w="660" w:type="dxa"/>
            <w:vMerge w:val="continue"/>
            <w:tcBorders>
              <w:tl2br w:val="nil"/>
              <w:tr2bl w:val="nil"/>
            </w:tcBorders>
            <w:vAlign w:val="center"/>
          </w:tcPr>
          <w:p>
            <w:pPr>
              <w:pStyle w:val="30"/>
              <w:widowControl w:val="0"/>
              <w:jc w:val="center"/>
              <w:rPr>
                <w:rFonts w:hint="eastAsia"/>
                <w:b w:val="0"/>
                <w:bCs w:val="0"/>
                <w:vertAlign w:val="baseline"/>
                <w:lang w:val="en-US" w:eastAsia="zh-CN"/>
              </w:rPr>
            </w:pPr>
          </w:p>
        </w:tc>
        <w:tc>
          <w:tcPr>
            <w:tcW w:w="1339" w:type="dxa"/>
            <w:vMerge w:val="continue"/>
            <w:tcBorders>
              <w:tl2br w:val="nil"/>
              <w:tr2bl w:val="nil"/>
            </w:tcBorders>
            <w:vAlign w:val="center"/>
          </w:tcPr>
          <w:p>
            <w:pPr>
              <w:pStyle w:val="30"/>
              <w:widowControl w:val="0"/>
              <w:jc w:val="center"/>
              <w:rPr>
                <w:rFonts w:hint="eastAsia"/>
                <w:b w:val="0"/>
                <w:bCs w:val="0"/>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continue"/>
            <w:tcBorders>
              <w:tl2br w:val="nil"/>
              <w:tr2bl w:val="nil"/>
            </w:tcBorders>
            <w:vAlign w:val="center"/>
          </w:tcPr>
          <w:p>
            <w:pPr>
              <w:pStyle w:val="30"/>
              <w:widowControl w:val="0"/>
              <w:jc w:val="center"/>
              <w:rPr>
                <w:rFonts w:hint="default"/>
                <w:b w:val="0"/>
                <w:bCs w:val="0"/>
                <w:vertAlign w:val="baseline"/>
                <w:lang w:val="en-US" w:eastAsia="zh-CN"/>
              </w:rPr>
            </w:pPr>
          </w:p>
        </w:tc>
        <w:tc>
          <w:tcPr>
            <w:tcW w:w="3030" w:type="dxa"/>
            <w:tcBorders>
              <w:tl2br w:val="nil"/>
              <w:tr2bl w:val="nil"/>
            </w:tcBorders>
            <w:vAlign w:val="center"/>
          </w:tcPr>
          <w:p>
            <w:pPr>
              <w:pStyle w:val="30"/>
              <w:widowControl w:val="0"/>
              <w:jc w:val="center"/>
              <w:rPr>
                <w:rFonts w:hint="default"/>
                <w:b w:val="0"/>
                <w:bCs w:val="0"/>
                <w:vertAlign w:val="baseline"/>
                <w:lang w:val="en-US" w:eastAsia="zh-CN"/>
              </w:rPr>
            </w:pPr>
            <w:r>
              <w:rPr>
                <w:rFonts w:hint="eastAsia" w:ascii="TimesNewRomanPSMT" w:hAnsi="TimesNewRomanPSMT" w:eastAsia="TimesNewRomanPSMT"/>
                <w:sz w:val="21"/>
              </w:rPr>
              <w:t>3#</w:t>
            </w:r>
            <w:r>
              <w:rPr>
                <w:rFonts w:hint="eastAsia" w:ascii="宋体" w:hAnsi="宋体" w:eastAsia="宋体"/>
                <w:sz w:val="21"/>
              </w:rPr>
              <w:t>项目场地西侧外</w:t>
            </w:r>
          </w:p>
        </w:tc>
        <w:tc>
          <w:tcPr>
            <w:tcW w:w="917" w:type="dxa"/>
            <w:vMerge w:val="continue"/>
            <w:tcBorders>
              <w:tl2br w:val="nil"/>
              <w:tr2bl w:val="nil"/>
            </w:tcBorders>
            <w:vAlign w:val="center"/>
          </w:tcPr>
          <w:p>
            <w:pPr>
              <w:pStyle w:val="30"/>
              <w:widowControl w:val="0"/>
              <w:jc w:val="center"/>
              <w:rPr>
                <w:rFonts w:hint="default"/>
                <w:b w:val="0"/>
                <w:bCs w:val="0"/>
                <w:vertAlign w:val="baseline"/>
                <w:lang w:val="en-US" w:eastAsia="zh-CN"/>
              </w:rPr>
            </w:pPr>
          </w:p>
        </w:tc>
        <w:tc>
          <w:tcPr>
            <w:tcW w:w="2813" w:type="dxa"/>
            <w:vMerge w:val="continue"/>
            <w:tcBorders>
              <w:tl2br w:val="nil"/>
              <w:tr2bl w:val="nil"/>
            </w:tcBorders>
            <w:vAlign w:val="center"/>
          </w:tcPr>
          <w:p>
            <w:pPr>
              <w:pStyle w:val="30"/>
              <w:widowControl w:val="0"/>
              <w:jc w:val="center"/>
              <w:rPr>
                <w:rFonts w:hint="default"/>
                <w:b w:val="0"/>
                <w:bCs w:val="0"/>
                <w:vertAlign w:val="baseline"/>
                <w:lang w:val="en-US" w:eastAsia="zh-CN"/>
              </w:rPr>
            </w:pPr>
          </w:p>
        </w:tc>
        <w:tc>
          <w:tcPr>
            <w:tcW w:w="660" w:type="dxa"/>
            <w:vMerge w:val="continue"/>
            <w:tcBorders>
              <w:tl2br w:val="nil"/>
              <w:tr2bl w:val="nil"/>
            </w:tcBorders>
            <w:vAlign w:val="center"/>
          </w:tcPr>
          <w:p>
            <w:pPr>
              <w:pStyle w:val="30"/>
              <w:widowControl w:val="0"/>
              <w:jc w:val="center"/>
              <w:rPr>
                <w:rFonts w:hint="eastAsia"/>
                <w:b w:val="0"/>
                <w:bCs w:val="0"/>
                <w:vertAlign w:val="baseline"/>
                <w:lang w:val="en-US" w:eastAsia="zh-CN"/>
              </w:rPr>
            </w:pPr>
          </w:p>
        </w:tc>
        <w:tc>
          <w:tcPr>
            <w:tcW w:w="1339" w:type="dxa"/>
            <w:vMerge w:val="continue"/>
            <w:tcBorders>
              <w:tl2br w:val="nil"/>
              <w:tr2bl w:val="nil"/>
            </w:tcBorders>
            <w:vAlign w:val="center"/>
          </w:tcPr>
          <w:p>
            <w:pPr>
              <w:pStyle w:val="30"/>
              <w:widowControl w:val="0"/>
              <w:jc w:val="center"/>
              <w:rPr>
                <w:rFonts w:hint="eastAsia"/>
                <w:b w:val="0"/>
                <w:bCs w:val="0"/>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continue"/>
            <w:tcBorders>
              <w:tl2br w:val="nil"/>
              <w:tr2bl w:val="nil"/>
            </w:tcBorders>
            <w:vAlign w:val="center"/>
          </w:tcPr>
          <w:p>
            <w:pPr>
              <w:pStyle w:val="30"/>
              <w:widowControl w:val="0"/>
              <w:jc w:val="center"/>
              <w:rPr>
                <w:rFonts w:hint="default"/>
                <w:b w:val="0"/>
                <w:bCs w:val="0"/>
                <w:vertAlign w:val="baseline"/>
                <w:lang w:val="en-US" w:eastAsia="zh-CN"/>
              </w:rPr>
            </w:pPr>
          </w:p>
        </w:tc>
        <w:tc>
          <w:tcPr>
            <w:tcW w:w="3030" w:type="dxa"/>
            <w:tcBorders>
              <w:tl2br w:val="nil"/>
              <w:tr2bl w:val="nil"/>
            </w:tcBorders>
            <w:vAlign w:val="center"/>
          </w:tcPr>
          <w:p>
            <w:pPr>
              <w:pStyle w:val="30"/>
              <w:widowControl w:val="0"/>
              <w:jc w:val="center"/>
              <w:rPr>
                <w:rFonts w:hint="default"/>
                <w:b w:val="0"/>
                <w:bCs w:val="0"/>
                <w:vertAlign w:val="baseline"/>
                <w:lang w:val="en-US" w:eastAsia="zh-CN"/>
              </w:rPr>
            </w:pPr>
            <w:r>
              <w:rPr>
                <w:rFonts w:hint="eastAsia" w:ascii="TimesNewRomanPSMT" w:hAnsi="TimesNewRomanPSMT" w:eastAsia="TimesNewRomanPSMT"/>
                <w:sz w:val="21"/>
              </w:rPr>
              <w:t>4#</w:t>
            </w:r>
            <w:r>
              <w:rPr>
                <w:rFonts w:hint="eastAsia" w:ascii="宋体" w:hAnsi="宋体" w:eastAsia="宋体"/>
                <w:sz w:val="21"/>
              </w:rPr>
              <w:t>项目场地东侧外</w:t>
            </w:r>
          </w:p>
        </w:tc>
        <w:tc>
          <w:tcPr>
            <w:tcW w:w="917" w:type="dxa"/>
            <w:vMerge w:val="continue"/>
            <w:tcBorders>
              <w:tl2br w:val="nil"/>
              <w:tr2bl w:val="nil"/>
            </w:tcBorders>
            <w:vAlign w:val="center"/>
          </w:tcPr>
          <w:p>
            <w:pPr>
              <w:pStyle w:val="30"/>
              <w:widowControl w:val="0"/>
              <w:jc w:val="center"/>
              <w:rPr>
                <w:rFonts w:hint="default"/>
                <w:b w:val="0"/>
                <w:bCs w:val="0"/>
                <w:vertAlign w:val="baseline"/>
                <w:lang w:val="en-US" w:eastAsia="zh-CN"/>
              </w:rPr>
            </w:pPr>
          </w:p>
        </w:tc>
        <w:tc>
          <w:tcPr>
            <w:tcW w:w="2813" w:type="dxa"/>
            <w:vMerge w:val="continue"/>
            <w:tcBorders>
              <w:tl2br w:val="nil"/>
              <w:tr2bl w:val="nil"/>
            </w:tcBorders>
            <w:vAlign w:val="center"/>
          </w:tcPr>
          <w:p>
            <w:pPr>
              <w:pStyle w:val="30"/>
              <w:widowControl w:val="0"/>
              <w:jc w:val="center"/>
              <w:rPr>
                <w:rFonts w:hint="default"/>
                <w:b w:val="0"/>
                <w:bCs w:val="0"/>
                <w:vertAlign w:val="baseline"/>
                <w:lang w:val="en-US" w:eastAsia="zh-CN"/>
              </w:rPr>
            </w:pPr>
          </w:p>
        </w:tc>
        <w:tc>
          <w:tcPr>
            <w:tcW w:w="660" w:type="dxa"/>
            <w:vMerge w:val="continue"/>
            <w:tcBorders>
              <w:tl2br w:val="nil"/>
              <w:tr2bl w:val="nil"/>
            </w:tcBorders>
            <w:vAlign w:val="center"/>
          </w:tcPr>
          <w:p>
            <w:pPr>
              <w:pStyle w:val="30"/>
              <w:widowControl w:val="0"/>
              <w:jc w:val="center"/>
              <w:rPr>
                <w:rFonts w:hint="eastAsia"/>
                <w:b w:val="0"/>
                <w:bCs w:val="0"/>
                <w:vertAlign w:val="baseline"/>
                <w:lang w:val="en-US" w:eastAsia="zh-CN"/>
              </w:rPr>
            </w:pPr>
          </w:p>
        </w:tc>
        <w:tc>
          <w:tcPr>
            <w:tcW w:w="1339" w:type="dxa"/>
            <w:vMerge w:val="continue"/>
            <w:tcBorders>
              <w:tl2br w:val="nil"/>
              <w:tr2bl w:val="nil"/>
            </w:tcBorders>
            <w:vAlign w:val="center"/>
          </w:tcPr>
          <w:p>
            <w:pPr>
              <w:pStyle w:val="30"/>
              <w:widowControl w:val="0"/>
              <w:jc w:val="center"/>
              <w:rPr>
                <w:rFonts w:hint="eastAsia"/>
                <w:b w:val="0"/>
                <w:bCs w:val="0"/>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Merge w:val="continue"/>
            <w:tcBorders>
              <w:tl2br w:val="nil"/>
              <w:tr2bl w:val="nil"/>
            </w:tcBorders>
            <w:vAlign w:val="center"/>
          </w:tcPr>
          <w:p>
            <w:pPr>
              <w:pStyle w:val="30"/>
              <w:widowControl w:val="0"/>
              <w:jc w:val="center"/>
              <w:rPr>
                <w:rFonts w:hint="default"/>
                <w:b w:val="0"/>
                <w:bCs w:val="0"/>
                <w:vertAlign w:val="baseline"/>
                <w:lang w:val="en-US" w:eastAsia="zh-CN"/>
              </w:rPr>
            </w:pPr>
          </w:p>
        </w:tc>
        <w:tc>
          <w:tcPr>
            <w:tcW w:w="3030" w:type="dxa"/>
            <w:tcBorders>
              <w:tl2br w:val="nil"/>
              <w:tr2bl w:val="nil"/>
            </w:tcBorders>
            <w:vAlign w:val="center"/>
          </w:tcPr>
          <w:p>
            <w:pPr>
              <w:pStyle w:val="30"/>
              <w:widowControl w:val="0"/>
              <w:jc w:val="center"/>
              <w:rPr>
                <w:rFonts w:hint="default"/>
                <w:b w:val="0"/>
                <w:bCs w:val="0"/>
                <w:vertAlign w:val="baseline"/>
                <w:lang w:val="en-US" w:eastAsia="zh-CN"/>
              </w:rPr>
            </w:pPr>
            <w:r>
              <w:rPr>
                <w:rFonts w:hint="eastAsia" w:ascii="TimesNewRomanPSMT" w:hAnsi="TimesNewRomanPSMT" w:eastAsia="TimesNewRomanPSMT"/>
                <w:sz w:val="21"/>
              </w:rPr>
              <w:t>5#</w:t>
            </w:r>
            <w:r>
              <w:rPr>
                <w:rFonts w:hint="eastAsia" w:ascii="宋体" w:hAnsi="宋体" w:eastAsia="宋体"/>
                <w:sz w:val="21"/>
              </w:rPr>
              <w:t>项目场地东南侧外</w:t>
            </w:r>
          </w:p>
        </w:tc>
        <w:tc>
          <w:tcPr>
            <w:tcW w:w="917" w:type="dxa"/>
            <w:vMerge w:val="continue"/>
            <w:tcBorders>
              <w:tl2br w:val="nil"/>
              <w:tr2bl w:val="nil"/>
            </w:tcBorders>
            <w:vAlign w:val="center"/>
          </w:tcPr>
          <w:p>
            <w:pPr>
              <w:pStyle w:val="30"/>
              <w:widowControl w:val="0"/>
              <w:jc w:val="center"/>
              <w:rPr>
                <w:rFonts w:hint="default"/>
                <w:b w:val="0"/>
                <w:bCs w:val="0"/>
                <w:vertAlign w:val="baseline"/>
                <w:lang w:val="en-US" w:eastAsia="zh-CN"/>
              </w:rPr>
            </w:pPr>
          </w:p>
        </w:tc>
        <w:tc>
          <w:tcPr>
            <w:tcW w:w="2813" w:type="dxa"/>
            <w:vMerge w:val="continue"/>
            <w:tcBorders>
              <w:tl2br w:val="nil"/>
              <w:tr2bl w:val="nil"/>
            </w:tcBorders>
            <w:vAlign w:val="center"/>
          </w:tcPr>
          <w:p>
            <w:pPr>
              <w:pStyle w:val="30"/>
              <w:widowControl w:val="0"/>
              <w:jc w:val="center"/>
              <w:rPr>
                <w:rFonts w:hint="default"/>
                <w:b w:val="0"/>
                <w:bCs w:val="0"/>
                <w:vertAlign w:val="baseline"/>
                <w:lang w:val="en-US" w:eastAsia="zh-CN"/>
              </w:rPr>
            </w:pPr>
          </w:p>
        </w:tc>
        <w:tc>
          <w:tcPr>
            <w:tcW w:w="660" w:type="dxa"/>
            <w:vMerge w:val="continue"/>
            <w:tcBorders>
              <w:tl2br w:val="nil"/>
              <w:tr2bl w:val="nil"/>
            </w:tcBorders>
            <w:vAlign w:val="center"/>
          </w:tcPr>
          <w:p>
            <w:pPr>
              <w:pStyle w:val="30"/>
              <w:widowControl w:val="0"/>
              <w:jc w:val="center"/>
              <w:rPr>
                <w:rFonts w:hint="eastAsia"/>
                <w:b w:val="0"/>
                <w:bCs w:val="0"/>
                <w:vertAlign w:val="baseline"/>
                <w:lang w:val="en-US" w:eastAsia="zh-CN"/>
              </w:rPr>
            </w:pPr>
          </w:p>
        </w:tc>
        <w:tc>
          <w:tcPr>
            <w:tcW w:w="1339" w:type="dxa"/>
            <w:vMerge w:val="continue"/>
            <w:tcBorders>
              <w:tl2br w:val="nil"/>
              <w:tr2bl w:val="nil"/>
            </w:tcBorders>
            <w:vAlign w:val="center"/>
          </w:tcPr>
          <w:p>
            <w:pPr>
              <w:pStyle w:val="30"/>
              <w:widowControl w:val="0"/>
              <w:jc w:val="center"/>
              <w:rPr>
                <w:rFonts w:hint="eastAsia"/>
                <w:b w:val="0"/>
                <w:bCs w:val="0"/>
                <w:vertAlign w:val="baseline"/>
                <w:lang w:val="en-US" w:eastAsia="zh-CN"/>
              </w:rPr>
            </w:pPr>
          </w:p>
        </w:tc>
      </w:tr>
    </w:tbl>
    <w:p>
      <w:pPr>
        <w:bidi w:val="0"/>
        <w:rPr>
          <w:rFonts w:hint="default"/>
          <w:lang w:val="en-US" w:eastAsia="zh-CN"/>
        </w:rPr>
      </w:pPr>
      <w:r>
        <w:rPr>
          <w:rFonts w:hint="eastAsia"/>
          <w:lang w:val="en-US" w:eastAsia="zh-CN"/>
        </w:rPr>
        <w:t>（2）监测方法及仪器</w:t>
      </w:r>
    </w:p>
    <w:p>
      <w:pPr>
        <w:pStyle w:val="29"/>
        <w:bidi w:val="0"/>
        <w:rPr>
          <w:rFonts w:hint="eastAsia"/>
          <w:lang w:val="en-US" w:eastAsia="zh-CN"/>
        </w:rPr>
      </w:pPr>
      <w:r>
        <w:rPr>
          <w:rFonts w:hint="eastAsia"/>
          <w:lang w:val="en-US" w:eastAsia="zh-CN"/>
        </w:rPr>
        <w:t>表4.2-17  本项目声环境质量监测方法及仪器一览表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230"/>
        <w:gridCol w:w="3150"/>
        <w:gridCol w:w="1965"/>
        <w:gridCol w:w="1515"/>
        <w:gridCol w:w="9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类别</w:t>
            </w:r>
          </w:p>
        </w:tc>
        <w:tc>
          <w:tcPr>
            <w:tcW w:w="123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监测项目</w:t>
            </w:r>
          </w:p>
        </w:tc>
        <w:tc>
          <w:tcPr>
            <w:tcW w:w="315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监测方法及依据</w:t>
            </w:r>
          </w:p>
        </w:tc>
        <w:tc>
          <w:tcPr>
            <w:tcW w:w="196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所用仪器</w:t>
            </w:r>
          </w:p>
        </w:tc>
        <w:tc>
          <w:tcPr>
            <w:tcW w:w="151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仪器编号</w:t>
            </w:r>
          </w:p>
        </w:tc>
        <w:tc>
          <w:tcPr>
            <w:tcW w:w="994"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噪声</w:t>
            </w:r>
          </w:p>
        </w:tc>
        <w:tc>
          <w:tcPr>
            <w:tcW w:w="123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环境噪声</w:t>
            </w:r>
          </w:p>
        </w:tc>
        <w:tc>
          <w:tcPr>
            <w:tcW w:w="315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声环境质量标准 GB 3096-2008</w:t>
            </w:r>
          </w:p>
        </w:tc>
        <w:tc>
          <w:tcPr>
            <w:tcW w:w="1965" w:type="dxa"/>
            <w:tcBorders>
              <w:tl2br w:val="nil"/>
              <w:tr2bl w:val="nil"/>
            </w:tcBorders>
            <w:vAlign w:val="center"/>
          </w:tcPr>
          <w:p>
            <w:pPr>
              <w:pStyle w:val="30"/>
              <w:widowControl w:val="0"/>
              <w:bidi w:val="0"/>
              <w:jc w:val="center"/>
              <w:rPr>
                <w:rFonts w:hint="default"/>
                <w:vertAlign w:val="baseline"/>
                <w:lang w:val="en-US" w:eastAsia="zh-CN"/>
              </w:rPr>
            </w:pPr>
            <w:r>
              <w:rPr>
                <w:rFonts w:hint="eastAsia"/>
              </w:rPr>
              <w:t>AWA568</w:t>
            </w:r>
            <w:r>
              <w:rPr>
                <w:rFonts w:hint="eastAsia"/>
                <w:lang w:val="en-US" w:eastAsia="zh-CN"/>
              </w:rPr>
              <w:t xml:space="preserve">  </w:t>
            </w:r>
            <w:r>
              <w:rPr>
                <w:rFonts w:hint="eastAsia"/>
              </w:rPr>
              <w:t>声级计</w:t>
            </w:r>
          </w:p>
        </w:tc>
        <w:tc>
          <w:tcPr>
            <w:tcW w:w="1515" w:type="dxa"/>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XSJS-063-08</w:t>
            </w:r>
          </w:p>
        </w:tc>
        <w:tc>
          <w:tcPr>
            <w:tcW w:w="99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bidi w:val="0"/>
        <w:rPr>
          <w:rFonts w:hint="default"/>
          <w:lang w:val="en-US" w:eastAsia="zh-CN"/>
        </w:rPr>
      </w:pPr>
      <w:r>
        <w:rPr>
          <w:rFonts w:hint="eastAsia"/>
          <w:lang w:val="en-US" w:eastAsia="zh-CN"/>
        </w:rPr>
        <w:t>（3）监测结果及评价</w:t>
      </w:r>
    </w:p>
    <w:p>
      <w:pPr>
        <w:pStyle w:val="29"/>
        <w:bidi w:val="0"/>
        <w:rPr>
          <w:rFonts w:hint="eastAsia"/>
          <w:lang w:val="en-US" w:eastAsia="zh-CN"/>
        </w:rPr>
      </w:pPr>
      <w:r>
        <w:rPr>
          <w:rFonts w:hint="eastAsia"/>
          <w:lang w:val="en-US" w:eastAsia="zh-CN"/>
        </w:rPr>
        <w:t>表4.2-18  本项目环境噪声质量监测结果表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1193"/>
        <w:gridCol w:w="1870"/>
        <w:gridCol w:w="1662"/>
        <w:gridCol w:w="1905"/>
        <w:gridCol w:w="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监测点位</w:t>
            </w:r>
          </w:p>
        </w:tc>
        <w:tc>
          <w:tcPr>
            <w:tcW w:w="1193"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监测日期</w:t>
            </w:r>
          </w:p>
        </w:tc>
        <w:tc>
          <w:tcPr>
            <w:tcW w:w="0" w:type="auto"/>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监测时间</w:t>
            </w:r>
          </w:p>
        </w:tc>
        <w:tc>
          <w:tcPr>
            <w:tcW w:w="0" w:type="auto"/>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监测结果dB（A）</w:t>
            </w:r>
          </w:p>
        </w:tc>
        <w:tc>
          <w:tcPr>
            <w:tcW w:w="190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标准限值dB（A）</w:t>
            </w:r>
          </w:p>
        </w:tc>
        <w:tc>
          <w:tcPr>
            <w:tcW w:w="814"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1#</w:t>
            </w:r>
            <w:r>
              <w:rPr>
                <w:rFonts w:hint="eastAsia" w:ascii="宋体" w:hAnsi="宋体" w:eastAsia="宋体"/>
                <w:sz w:val="21"/>
              </w:rPr>
              <w:t>项目外东侧居民敏感点</w:t>
            </w:r>
          </w:p>
        </w:tc>
        <w:tc>
          <w:tcPr>
            <w:tcW w:w="1193"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1月28日</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09</w:t>
            </w:r>
            <w:r>
              <w:rPr>
                <w:rFonts w:hint="eastAsia" w:ascii="TimesNewRomanPSMT" w:hAnsi="TimesNewRomanPSMT" w:eastAsia="宋体"/>
                <w:sz w:val="21"/>
                <w:lang w:eastAsia="zh-CN"/>
              </w:rPr>
              <w:t>：</w:t>
            </w:r>
            <w:r>
              <w:rPr>
                <w:rFonts w:hint="eastAsia" w:ascii="TimesNewRomanPSMT" w:hAnsi="TimesNewRomanPSMT" w:eastAsia="TimesNewRomanPSMT"/>
                <w:sz w:val="21"/>
              </w:rPr>
              <w:t>35-09</w:t>
            </w:r>
            <w:r>
              <w:rPr>
                <w:rFonts w:hint="eastAsia" w:ascii="TimesNewRomanPSMT" w:hAnsi="TimesNewRomanPSMT" w:eastAsia="宋体"/>
                <w:sz w:val="21"/>
                <w:lang w:eastAsia="zh-CN"/>
              </w:rPr>
              <w:t>：</w:t>
            </w:r>
            <w:r>
              <w:rPr>
                <w:rFonts w:hint="eastAsia" w:ascii="TimesNewRomanPSMT" w:hAnsi="TimesNewRomanPSMT" w:eastAsia="TimesNewRomanPSMT"/>
                <w:sz w:val="21"/>
              </w:rPr>
              <w:t>45</w:t>
            </w:r>
            <w:r>
              <w:rPr>
                <w:rFonts w:hint="eastAsia" w:ascii="宋体" w:hAnsi="宋体" w:eastAsia="宋体"/>
                <w:sz w:val="21"/>
              </w:rPr>
              <w:t>（昼）</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52</w:t>
            </w:r>
          </w:p>
        </w:tc>
        <w:tc>
          <w:tcPr>
            <w:tcW w:w="1905" w:type="dxa"/>
            <w:vMerge w:val="restar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昼间≤60</w:t>
            </w:r>
          </w:p>
          <w:p>
            <w:pPr>
              <w:pStyle w:val="30"/>
              <w:widowControl w:val="0"/>
              <w:jc w:val="center"/>
              <w:rPr>
                <w:rFonts w:hint="default"/>
                <w:vertAlign w:val="baseline"/>
                <w:lang w:val="en-US" w:eastAsia="zh-CN"/>
              </w:rPr>
            </w:pPr>
            <w:r>
              <w:rPr>
                <w:rFonts w:hint="eastAsia"/>
                <w:vertAlign w:val="baseline"/>
                <w:lang w:val="en-US" w:eastAsia="zh-CN"/>
              </w:rPr>
              <w:t>夜间≤50</w:t>
            </w: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9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22</w:t>
            </w:r>
            <w:r>
              <w:rPr>
                <w:rFonts w:hint="eastAsia" w:ascii="TimesNewRomanPSMT" w:hAnsi="TimesNewRomanPSMT" w:eastAsia="宋体"/>
                <w:sz w:val="21"/>
                <w:lang w:eastAsia="zh-CN"/>
              </w:rPr>
              <w:t>：</w:t>
            </w:r>
            <w:r>
              <w:rPr>
                <w:rFonts w:hint="eastAsia" w:ascii="TimesNewRomanPSMT" w:hAnsi="TimesNewRomanPSMT" w:eastAsia="TimesNewRomanPSMT"/>
                <w:sz w:val="21"/>
              </w:rPr>
              <w:t>10-22</w:t>
            </w:r>
            <w:r>
              <w:rPr>
                <w:rFonts w:hint="eastAsia" w:ascii="TimesNewRomanPSMT" w:hAnsi="TimesNewRomanPSMT" w:eastAsia="宋体"/>
                <w:sz w:val="21"/>
                <w:lang w:eastAsia="zh-CN"/>
              </w:rPr>
              <w:t>：</w:t>
            </w:r>
            <w:r>
              <w:rPr>
                <w:rFonts w:hint="eastAsia" w:ascii="TimesNewRomanPSMT" w:hAnsi="TimesNewRomanPSMT" w:eastAsia="TimesNewRomanPSMT"/>
                <w:sz w:val="21"/>
              </w:rPr>
              <w:t>20</w:t>
            </w:r>
            <w:r>
              <w:rPr>
                <w:rFonts w:hint="eastAsia" w:ascii="宋体" w:hAnsi="宋体" w:eastAsia="宋体"/>
                <w:sz w:val="21"/>
              </w:rPr>
              <w:t>（夜）</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43</w:t>
            </w:r>
          </w:p>
        </w:tc>
        <w:tc>
          <w:tcPr>
            <w:tcW w:w="190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2#</w:t>
            </w:r>
            <w:r>
              <w:rPr>
                <w:rFonts w:hint="eastAsia" w:ascii="宋体" w:hAnsi="宋体" w:eastAsia="宋体"/>
                <w:sz w:val="21"/>
              </w:rPr>
              <w:t>项目场地北侧外</w:t>
            </w:r>
          </w:p>
        </w:tc>
        <w:tc>
          <w:tcPr>
            <w:tcW w:w="119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09</w:t>
            </w:r>
            <w:r>
              <w:rPr>
                <w:rFonts w:hint="eastAsia" w:ascii="TimesNewRomanPSMT" w:hAnsi="TimesNewRomanPSMT" w:eastAsia="宋体"/>
                <w:sz w:val="21"/>
                <w:lang w:eastAsia="zh-CN"/>
              </w:rPr>
              <w:t>：</w:t>
            </w:r>
            <w:r>
              <w:rPr>
                <w:rFonts w:hint="eastAsia" w:ascii="TimesNewRomanPSMT" w:hAnsi="TimesNewRomanPSMT" w:eastAsia="TimesNewRomanPSMT"/>
                <w:sz w:val="21"/>
              </w:rPr>
              <w:t>51-10</w:t>
            </w:r>
            <w:r>
              <w:rPr>
                <w:rFonts w:hint="eastAsia" w:ascii="TimesNewRomanPSMT" w:hAnsi="TimesNewRomanPSMT" w:eastAsia="宋体"/>
                <w:sz w:val="21"/>
                <w:lang w:eastAsia="zh-CN"/>
              </w:rPr>
              <w:t>：</w:t>
            </w:r>
            <w:r>
              <w:rPr>
                <w:rFonts w:hint="eastAsia" w:ascii="TimesNewRomanPSMT" w:hAnsi="TimesNewRomanPSMT" w:eastAsia="TimesNewRomanPSMT"/>
                <w:sz w:val="21"/>
              </w:rPr>
              <w:t>01</w:t>
            </w:r>
            <w:r>
              <w:rPr>
                <w:rFonts w:hint="eastAsia" w:ascii="宋体" w:hAnsi="宋体" w:eastAsia="宋体"/>
                <w:sz w:val="21"/>
              </w:rPr>
              <w:t>（昼）</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55</w:t>
            </w:r>
          </w:p>
        </w:tc>
        <w:tc>
          <w:tcPr>
            <w:tcW w:w="190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9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22</w:t>
            </w:r>
            <w:r>
              <w:rPr>
                <w:rFonts w:hint="eastAsia" w:ascii="TimesNewRomanPSMT" w:hAnsi="TimesNewRomanPSMT" w:eastAsia="宋体"/>
                <w:sz w:val="21"/>
                <w:lang w:eastAsia="zh-CN"/>
              </w:rPr>
              <w:t>：</w:t>
            </w:r>
            <w:r>
              <w:rPr>
                <w:rFonts w:hint="eastAsia" w:ascii="TimesNewRomanPSMT" w:hAnsi="TimesNewRomanPSMT" w:eastAsia="TimesNewRomanPSMT"/>
                <w:sz w:val="21"/>
              </w:rPr>
              <w:t>24-22</w:t>
            </w:r>
            <w:r>
              <w:rPr>
                <w:rFonts w:hint="eastAsia" w:ascii="TimesNewRomanPSMT" w:hAnsi="TimesNewRomanPSMT" w:eastAsia="宋体"/>
                <w:sz w:val="21"/>
                <w:lang w:eastAsia="zh-CN"/>
              </w:rPr>
              <w:t>：</w:t>
            </w:r>
            <w:r>
              <w:rPr>
                <w:rFonts w:hint="eastAsia" w:ascii="TimesNewRomanPSMT" w:hAnsi="TimesNewRomanPSMT" w:eastAsia="TimesNewRomanPSMT"/>
                <w:sz w:val="21"/>
              </w:rPr>
              <w:t>34</w:t>
            </w:r>
            <w:r>
              <w:rPr>
                <w:rFonts w:hint="eastAsia" w:ascii="宋体" w:hAnsi="宋体" w:eastAsia="宋体"/>
                <w:sz w:val="21"/>
              </w:rPr>
              <w:t>（夜）</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42</w:t>
            </w:r>
          </w:p>
        </w:tc>
        <w:tc>
          <w:tcPr>
            <w:tcW w:w="190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3#</w:t>
            </w:r>
            <w:r>
              <w:rPr>
                <w:rFonts w:hint="eastAsia" w:ascii="宋体" w:hAnsi="宋体" w:eastAsia="宋体"/>
                <w:sz w:val="21"/>
              </w:rPr>
              <w:t>项目场地西侧外</w:t>
            </w:r>
          </w:p>
        </w:tc>
        <w:tc>
          <w:tcPr>
            <w:tcW w:w="119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10</w:t>
            </w:r>
            <w:r>
              <w:rPr>
                <w:rFonts w:hint="eastAsia" w:ascii="TimesNewRomanPSMT" w:hAnsi="TimesNewRomanPSMT" w:eastAsia="宋体"/>
                <w:sz w:val="21"/>
                <w:lang w:eastAsia="zh-CN"/>
              </w:rPr>
              <w:t>：</w:t>
            </w:r>
            <w:r>
              <w:rPr>
                <w:rFonts w:hint="eastAsia" w:ascii="TimesNewRomanPSMT" w:hAnsi="TimesNewRomanPSMT" w:eastAsia="TimesNewRomanPSMT"/>
                <w:sz w:val="21"/>
              </w:rPr>
              <w:t>07-10</w:t>
            </w:r>
            <w:r>
              <w:rPr>
                <w:rFonts w:hint="eastAsia" w:ascii="TimesNewRomanPSMT" w:hAnsi="TimesNewRomanPSMT" w:eastAsia="宋体"/>
                <w:sz w:val="21"/>
                <w:lang w:eastAsia="zh-CN"/>
              </w:rPr>
              <w:t>：</w:t>
            </w:r>
            <w:r>
              <w:rPr>
                <w:rFonts w:hint="eastAsia" w:ascii="TimesNewRomanPSMT" w:hAnsi="TimesNewRomanPSMT" w:eastAsia="TimesNewRomanPSMT"/>
                <w:sz w:val="21"/>
              </w:rPr>
              <w:t>17</w:t>
            </w:r>
            <w:r>
              <w:rPr>
                <w:rFonts w:hint="eastAsia" w:ascii="宋体" w:hAnsi="宋体" w:eastAsia="宋体"/>
                <w:sz w:val="21"/>
              </w:rPr>
              <w:t>（昼）</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54</w:t>
            </w:r>
          </w:p>
        </w:tc>
        <w:tc>
          <w:tcPr>
            <w:tcW w:w="190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9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22</w:t>
            </w:r>
            <w:r>
              <w:rPr>
                <w:rFonts w:hint="eastAsia" w:ascii="TimesNewRomanPSMT" w:hAnsi="TimesNewRomanPSMT" w:eastAsia="宋体"/>
                <w:sz w:val="21"/>
                <w:lang w:eastAsia="zh-CN"/>
              </w:rPr>
              <w:t>：</w:t>
            </w:r>
            <w:r>
              <w:rPr>
                <w:rFonts w:hint="eastAsia" w:ascii="TimesNewRomanPSMT" w:hAnsi="TimesNewRomanPSMT" w:eastAsia="TimesNewRomanPSMT"/>
                <w:sz w:val="21"/>
              </w:rPr>
              <w:t>39-22</w:t>
            </w:r>
            <w:r>
              <w:rPr>
                <w:rFonts w:hint="eastAsia" w:ascii="TimesNewRomanPSMT" w:hAnsi="TimesNewRomanPSMT" w:eastAsia="宋体"/>
                <w:sz w:val="21"/>
                <w:lang w:eastAsia="zh-CN"/>
              </w:rPr>
              <w:t>：</w:t>
            </w:r>
            <w:r>
              <w:rPr>
                <w:rFonts w:hint="eastAsia" w:ascii="TimesNewRomanPSMT" w:hAnsi="TimesNewRomanPSMT" w:eastAsia="TimesNewRomanPSMT"/>
                <w:sz w:val="21"/>
              </w:rPr>
              <w:t>49</w:t>
            </w:r>
            <w:r>
              <w:rPr>
                <w:rFonts w:hint="eastAsia" w:ascii="宋体" w:hAnsi="宋体" w:eastAsia="宋体"/>
                <w:sz w:val="21"/>
              </w:rPr>
              <w:t>（夜）</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40</w:t>
            </w:r>
          </w:p>
        </w:tc>
        <w:tc>
          <w:tcPr>
            <w:tcW w:w="190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4#</w:t>
            </w:r>
            <w:r>
              <w:rPr>
                <w:rFonts w:hint="eastAsia" w:ascii="宋体" w:hAnsi="宋体" w:eastAsia="宋体"/>
                <w:sz w:val="21"/>
              </w:rPr>
              <w:t>项目场地东侧外</w:t>
            </w:r>
          </w:p>
        </w:tc>
        <w:tc>
          <w:tcPr>
            <w:tcW w:w="119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10</w:t>
            </w:r>
            <w:r>
              <w:rPr>
                <w:rFonts w:hint="eastAsia" w:ascii="TimesNewRomanPSMT" w:hAnsi="TimesNewRomanPSMT" w:eastAsia="宋体"/>
                <w:sz w:val="21"/>
                <w:lang w:eastAsia="zh-CN"/>
              </w:rPr>
              <w:t>：</w:t>
            </w:r>
            <w:r>
              <w:rPr>
                <w:rFonts w:hint="eastAsia" w:ascii="TimesNewRomanPSMT" w:hAnsi="TimesNewRomanPSMT" w:eastAsia="TimesNewRomanPSMT"/>
                <w:sz w:val="21"/>
              </w:rPr>
              <w:t>23-10</w:t>
            </w:r>
            <w:r>
              <w:rPr>
                <w:rFonts w:hint="eastAsia" w:ascii="TimesNewRomanPSMT" w:hAnsi="TimesNewRomanPSMT" w:eastAsia="宋体"/>
                <w:sz w:val="21"/>
                <w:lang w:eastAsia="zh-CN"/>
              </w:rPr>
              <w:t>：</w:t>
            </w:r>
            <w:r>
              <w:rPr>
                <w:rFonts w:hint="eastAsia" w:ascii="TimesNewRomanPSMT" w:hAnsi="TimesNewRomanPSMT" w:eastAsia="TimesNewRomanPSMT"/>
                <w:sz w:val="21"/>
              </w:rPr>
              <w:t>33</w:t>
            </w:r>
            <w:r>
              <w:rPr>
                <w:rFonts w:hint="eastAsia" w:ascii="宋体" w:hAnsi="宋体" w:eastAsia="宋体"/>
                <w:sz w:val="21"/>
              </w:rPr>
              <w:t>（昼）</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55</w:t>
            </w:r>
          </w:p>
        </w:tc>
        <w:tc>
          <w:tcPr>
            <w:tcW w:w="190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9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22</w:t>
            </w:r>
            <w:r>
              <w:rPr>
                <w:rFonts w:hint="eastAsia" w:ascii="TimesNewRomanPSMT" w:hAnsi="TimesNewRomanPSMT" w:eastAsia="宋体"/>
                <w:sz w:val="21"/>
                <w:lang w:eastAsia="zh-CN"/>
              </w:rPr>
              <w:t>：</w:t>
            </w:r>
            <w:r>
              <w:rPr>
                <w:rFonts w:hint="eastAsia" w:ascii="TimesNewRomanPSMT" w:hAnsi="TimesNewRomanPSMT" w:eastAsia="TimesNewRomanPSMT"/>
                <w:sz w:val="21"/>
              </w:rPr>
              <w:t>53-23</w:t>
            </w:r>
            <w:r>
              <w:rPr>
                <w:rFonts w:hint="eastAsia" w:ascii="TimesNewRomanPSMT" w:hAnsi="TimesNewRomanPSMT" w:eastAsia="宋体"/>
                <w:sz w:val="21"/>
                <w:lang w:eastAsia="zh-CN"/>
              </w:rPr>
              <w:t>：</w:t>
            </w:r>
            <w:r>
              <w:rPr>
                <w:rFonts w:hint="eastAsia" w:ascii="TimesNewRomanPSMT" w:hAnsi="TimesNewRomanPSMT" w:eastAsia="TimesNewRomanPSMT"/>
                <w:sz w:val="21"/>
              </w:rPr>
              <w:t>03</w:t>
            </w:r>
            <w:r>
              <w:rPr>
                <w:rFonts w:hint="eastAsia" w:ascii="宋体" w:hAnsi="宋体" w:eastAsia="宋体"/>
                <w:sz w:val="21"/>
              </w:rPr>
              <w:t>（夜）</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41</w:t>
            </w:r>
          </w:p>
        </w:tc>
        <w:tc>
          <w:tcPr>
            <w:tcW w:w="190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5#</w:t>
            </w:r>
            <w:r>
              <w:rPr>
                <w:rFonts w:hint="eastAsia" w:ascii="宋体" w:hAnsi="宋体" w:eastAsia="宋体"/>
                <w:sz w:val="21"/>
              </w:rPr>
              <w:t>项目场地东南侧外</w:t>
            </w:r>
          </w:p>
        </w:tc>
        <w:tc>
          <w:tcPr>
            <w:tcW w:w="119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10</w:t>
            </w:r>
            <w:r>
              <w:rPr>
                <w:rFonts w:hint="eastAsia" w:ascii="TimesNewRomanPSMT" w:hAnsi="TimesNewRomanPSMT" w:eastAsia="宋体"/>
                <w:sz w:val="21"/>
                <w:lang w:eastAsia="zh-CN"/>
              </w:rPr>
              <w:t>：</w:t>
            </w:r>
            <w:r>
              <w:rPr>
                <w:rFonts w:hint="eastAsia" w:ascii="TimesNewRomanPSMT" w:hAnsi="TimesNewRomanPSMT" w:eastAsia="TimesNewRomanPSMT"/>
                <w:sz w:val="21"/>
              </w:rPr>
              <w:t>38-10</w:t>
            </w:r>
            <w:r>
              <w:rPr>
                <w:rFonts w:hint="eastAsia" w:ascii="TimesNewRomanPSMT" w:hAnsi="TimesNewRomanPSMT" w:eastAsia="宋体"/>
                <w:sz w:val="21"/>
                <w:lang w:eastAsia="zh-CN"/>
              </w:rPr>
              <w:t>：</w:t>
            </w:r>
            <w:r>
              <w:rPr>
                <w:rFonts w:hint="eastAsia" w:ascii="TimesNewRomanPSMT" w:hAnsi="TimesNewRomanPSMT" w:eastAsia="TimesNewRomanPSMT"/>
                <w:sz w:val="21"/>
              </w:rPr>
              <w:t>48</w:t>
            </w:r>
            <w:r>
              <w:rPr>
                <w:rFonts w:hint="eastAsia" w:ascii="宋体" w:hAnsi="宋体" w:eastAsia="宋体"/>
                <w:sz w:val="21"/>
              </w:rPr>
              <w:t>（昼）</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51</w:t>
            </w:r>
          </w:p>
        </w:tc>
        <w:tc>
          <w:tcPr>
            <w:tcW w:w="190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9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23</w:t>
            </w:r>
            <w:r>
              <w:rPr>
                <w:rFonts w:hint="eastAsia" w:ascii="TimesNewRomanPSMT" w:hAnsi="TimesNewRomanPSMT" w:eastAsia="宋体"/>
                <w:sz w:val="21"/>
                <w:lang w:eastAsia="zh-CN"/>
              </w:rPr>
              <w:t>：</w:t>
            </w:r>
            <w:r>
              <w:rPr>
                <w:rFonts w:hint="eastAsia" w:ascii="TimesNewRomanPSMT" w:hAnsi="TimesNewRomanPSMT" w:eastAsia="TimesNewRomanPSMT"/>
                <w:sz w:val="21"/>
              </w:rPr>
              <w:t>10-23</w:t>
            </w:r>
            <w:r>
              <w:rPr>
                <w:rFonts w:hint="eastAsia" w:ascii="TimesNewRomanPSMT" w:hAnsi="TimesNewRomanPSMT" w:eastAsia="宋体"/>
                <w:sz w:val="21"/>
                <w:lang w:eastAsia="zh-CN"/>
              </w:rPr>
              <w:t>：</w:t>
            </w:r>
            <w:r>
              <w:rPr>
                <w:rFonts w:hint="eastAsia" w:ascii="TimesNewRomanPSMT" w:hAnsi="TimesNewRomanPSMT" w:eastAsia="TimesNewRomanPSMT"/>
                <w:sz w:val="21"/>
              </w:rPr>
              <w:t>20</w:t>
            </w:r>
            <w:r>
              <w:rPr>
                <w:rFonts w:hint="eastAsia" w:ascii="宋体" w:hAnsi="宋体" w:eastAsia="宋体"/>
                <w:sz w:val="21"/>
              </w:rPr>
              <w:t>（夜）</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40</w:t>
            </w:r>
          </w:p>
        </w:tc>
        <w:tc>
          <w:tcPr>
            <w:tcW w:w="190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ascii="TimesNewRomanPSMT" w:hAnsi="TimesNewRomanPSMT" w:eastAsia="TimesNewRomanPSMT"/>
                <w:sz w:val="21"/>
              </w:rPr>
              <w:t>1#</w:t>
            </w:r>
            <w:r>
              <w:rPr>
                <w:rFonts w:hint="eastAsia" w:ascii="宋体" w:hAnsi="宋体" w:eastAsia="宋体"/>
                <w:sz w:val="21"/>
              </w:rPr>
              <w:t>项目外东侧居民敏感点</w:t>
            </w:r>
          </w:p>
        </w:tc>
        <w:tc>
          <w:tcPr>
            <w:tcW w:w="1193"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1月29日</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13</w:t>
            </w:r>
            <w:r>
              <w:rPr>
                <w:rFonts w:hint="eastAsia" w:ascii="TimesNewRomanPSMT" w:hAnsi="TimesNewRomanPSMT" w:eastAsia="宋体"/>
                <w:sz w:val="21"/>
                <w:lang w:eastAsia="zh-CN"/>
              </w:rPr>
              <w:t>：</w:t>
            </w:r>
            <w:r>
              <w:rPr>
                <w:rFonts w:hint="eastAsia" w:ascii="TimesNewRomanPSMT" w:hAnsi="TimesNewRomanPSMT" w:eastAsia="TimesNewRomanPSMT"/>
                <w:sz w:val="21"/>
              </w:rPr>
              <w:t>49-13</w:t>
            </w:r>
            <w:r>
              <w:rPr>
                <w:rFonts w:hint="eastAsia" w:ascii="TimesNewRomanPSMT" w:hAnsi="TimesNewRomanPSMT" w:eastAsia="宋体"/>
                <w:sz w:val="21"/>
                <w:lang w:eastAsia="zh-CN"/>
              </w:rPr>
              <w:t>：</w:t>
            </w:r>
            <w:r>
              <w:rPr>
                <w:rFonts w:hint="eastAsia" w:ascii="TimesNewRomanPSMT" w:hAnsi="TimesNewRomanPSMT" w:eastAsia="TimesNewRomanPSMT"/>
                <w:sz w:val="21"/>
              </w:rPr>
              <w:t>59</w:t>
            </w:r>
            <w:r>
              <w:rPr>
                <w:rFonts w:hint="eastAsia" w:ascii="宋体" w:hAnsi="宋体" w:eastAsia="宋体"/>
                <w:sz w:val="21"/>
              </w:rPr>
              <w:t>（昼）</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54</w:t>
            </w:r>
          </w:p>
        </w:tc>
        <w:tc>
          <w:tcPr>
            <w:tcW w:w="1905" w:type="dxa"/>
            <w:vMerge w:val="restart"/>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昼间≤60</w:t>
            </w:r>
          </w:p>
          <w:p>
            <w:pPr>
              <w:pStyle w:val="30"/>
              <w:widowControl w:val="0"/>
              <w:jc w:val="center"/>
              <w:rPr>
                <w:rFonts w:hint="default"/>
                <w:vertAlign w:val="baseline"/>
                <w:lang w:val="en-US" w:eastAsia="zh-CN"/>
              </w:rPr>
            </w:pPr>
            <w:r>
              <w:rPr>
                <w:rFonts w:hint="eastAsia"/>
                <w:vertAlign w:val="baseline"/>
                <w:lang w:val="en-US" w:eastAsia="zh-CN"/>
              </w:rPr>
              <w:t>夜间≤50</w:t>
            </w: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9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22</w:t>
            </w:r>
            <w:r>
              <w:rPr>
                <w:rFonts w:hint="eastAsia" w:ascii="TimesNewRomanPSMT" w:hAnsi="TimesNewRomanPSMT" w:eastAsia="宋体"/>
                <w:sz w:val="21"/>
                <w:lang w:eastAsia="zh-CN"/>
              </w:rPr>
              <w:t>：</w:t>
            </w:r>
            <w:r>
              <w:rPr>
                <w:rFonts w:hint="eastAsia" w:ascii="TimesNewRomanPSMT" w:hAnsi="TimesNewRomanPSMT" w:eastAsia="TimesNewRomanPSMT"/>
                <w:sz w:val="21"/>
              </w:rPr>
              <w:t>11-22</w:t>
            </w:r>
            <w:r>
              <w:rPr>
                <w:rFonts w:hint="eastAsia" w:ascii="TimesNewRomanPSMT" w:hAnsi="TimesNewRomanPSMT" w:eastAsia="宋体"/>
                <w:sz w:val="21"/>
                <w:lang w:eastAsia="zh-CN"/>
              </w:rPr>
              <w:t>：</w:t>
            </w:r>
            <w:r>
              <w:rPr>
                <w:rFonts w:hint="eastAsia" w:ascii="TimesNewRomanPSMT" w:hAnsi="TimesNewRomanPSMT" w:eastAsia="TimesNewRomanPSMT"/>
                <w:sz w:val="21"/>
              </w:rPr>
              <w:t>21</w:t>
            </w:r>
            <w:r>
              <w:rPr>
                <w:rFonts w:hint="eastAsia" w:ascii="宋体" w:hAnsi="宋体" w:eastAsia="宋体"/>
                <w:sz w:val="21"/>
              </w:rPr>
              <w:t>（夜）</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42</w:t>
            </w:r>
          </w:p>
        </w:tc>
        <w:tc>
          <w:tcPr>
            <w:tcW w:w="190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ascii="TimesNewRomanPSMT" w:hAnsi="TimesNewRomanPSMT" w:eastAsia="TimesNewRomanPSMT"/>
                <w:sz w:val="21"/>
              </w:rPr>
              <w:t>2#</w:t>
            </w:r>
            <w:r>
              <w:rPr>
                <w:rFonts w:hint="eastAsia" w:ascii="宋体" w:hAnsi="宋体" w:eastAsia="宋体"/>
                <w:sz w:val="21"/>
              </w:rPr>
              <w:t>项目场地北侧外</w:t>
            </w:r>
          </w:p>
        </w:tc>
        <w:tc>
          <w:tcPr>
            <w:tcW w:w="119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14</w:t>
            </w:r>
            <w:r>
              <w:rPr>
                <w:rFonts w:hint="eastAsia" w:ascii="TimesNewRomanPSMT" w:hAnsi="TimesNewRomanPSMT" w:eastAsia="宋体"/>
                <w:sz w:val="21"/>
                <w:lang w:eastAsia="zh-CN"/>
              </w:rPr>
              <w:t>：</w:t>
            </w:r>
            <w:r>
              <w:rPr>
                <w:rFonts w:hint="eastAsia" w:ascii="TimesNewRomanPSMT" w:hAnsi="TimesNewRomanPSMT" w:eastAsia="TimesNewRomanPSMT"/>
                <w:sz w:val="21"/>
              </w:rPr>
              <w:t>05-14</w:t>
            </w:r>
            <w:r>
              <w:rPr>
                <w:rFonts w:hint="eastAsia" w:ascii="TimesNewRomanPSMT" w:hAnsi="TimesNewRomanPSMT" w:eastAsia="宋体"/>
                <w:sz w:val="21"/>
                <w:lang w:eastAsia="zh-CN"/>
              </w:rPr>
              <w:t>：</w:t>
            </w:r>
            <w:r>
              <w:rPr>
                <w:rFonts w:hint="eastAsia" w:ascii="TimesNewRomanPSMT" w:hAnsi="TimesNewRomanPSMT" w:eastAsia="TimesNewRomanPSMT"/>
                <w:sz w:val="21"/>
              </w:rPr>
              <w:t>15</w:t>
            </w:r>
            <w:r>
              <w:rPr>
                <w:rFonts w:hint="eastAsia" w:ascii="宋体" w:hAnsi="宋体" w:eastAsia="宋体"/>
                <w:sz w:val="21"/>
              </w:rPr>
              <w:t>（昼）</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53</w:t>
            </w:r>
          </w:p>
        </w:tc>
        <w:tc>
          <w:tcPr>
            <w:tcW w:w="190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9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22</w:t>
            </w:r>
            <w:r>
              <w:rPr>
                <w:rFonts w:hint="eastAsia" w:ascii="TimesNewRomanPSMT" w:hAnsi="TimesNewRomanPSMT" w:eastAsia="宋体"/>
                <w:sz w:val="21"/>
                <w:lang w:eastAsia="zh-CN"/>
              </w:rPr>
              <w:t>：</w:t>
            </w:r>
            <w:r>
              <w:rPr>
                <w:rFonts w:hint="eastAsia" w:ascii="TimesNewRomanPSMT" w:hAnsi="TimesNewRomanPSMT" w:eastAsia="TimesNewRomanPSMT"/>
                <w:sz w:val="21"/>
              </w:rPr>
              <w:t>26-22</w:t>
            </w:r>
            <w:r>
              <w:rPr>
                <w:rFonts w:hint="eastAsia" w:ascii="TimesNewRomanPSMT" w:hAnsi="TimesNewRomanPSMT" w:eastAsia="宋体"/>
                <w:sz w:val="21"/>
                <w:lang w:eastAsia="zh-CN"/>
              </w:rPr>
              <w:t>：</w:t>
            </w:r>
            <w:r>
              <w:rPr>
                <w:rFonts w:hint="eastAsia" w:ascii="TimesNewRomanPSMT" w:hAnsi="TimesNewRomanPSMT" w:eastAsia="TimesNewRomanPSMT"/>
                <w:sz w:val="21"/>
              </w:rPr>
              <w:t>36</w:t>
            </w:r>
            <w:r>
              <w:rPr>
                <w:rFonts w:hint="eastAsia" w:ascii="宋体" w:hAnsi="宋体" w:eastAsia="宋体"/>
                <w:sz w:val="21"/>
              </w:rPr>
              <w:t>（夜）</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39</w:t>
            </w:r>
          </w:p>
        </w:tc>
        <w:tc>
          <w:tcPr>
            <w:tcW w:w="190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TimesNewRomanPSMT" w:hAnsi="TimesNewRomanPSMT" w:eastAsia="TimesNewRomanPSMT"/>
                <w:sz w:val="21"/>
              </w:rPr>
              <w:t>3#</w:t>
            </w:r>
            <w:r>
              <w:rPr>
                <w:rFonts w:hint="eastAsia" w:ascii="宋体" w:hAnsi="宋体" w:eastAsia="宋体"/>
                <w:sz w:val="21"/>
              </w:rPr>
              <w:t>项目场地西侧外</w:t>
            </w:r>
          </w:p>
        </w:tc>
        <w:tc>
          <w:tcPr>
            <w:tcW w:w="1193" w:type="dxa"/>
            <w:vMerge w:val="continue"/>
            <w:tcBorders>
              <w:tl2br w:val="nil"/>
              <w:tr2bl w:val="nil"/>
            </w:tcBorders>
            <w:vAlign w:val="center"/>
          </w:tcPr>
          <w:p>
            <w:pPr>
              <w:pStyle w:val="30"/>
              <w:widowControl w:val="0"/>
              <w:jc w:val="center"/>
              <w:rPr>
                <w:rFonts w:hint="default"/>
                <w:vertAlign w:val="baseline"/>
                <w:lang w:val="en-US" w:eastAsia="zh-CN"/>
              </w:rPr>
            </w:pP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ascii="TimesNewRomanPSMT" w:hAnsi="TimesNewRomanPSMT" w:eastAsia="TimesNewRomanPSMT"/>
                <w:sz w:val="21"/>
              </w:rPr>
              <w:t>14</w:t>
            </w:r>
            <w:r>
              <w:rPr>
                <w:rFonts w:hint="eastAsia" w:ascii="TimesNewRomanPSMT" w:hAnsi="TimesNewRomanPSMT" w:eastAsia="宋体"/>
                <w:sz w:val="21"/>
                <w:lang w:eastAsia="zh-CN"/>
              </w:rPr>
              <w:t>：</w:t>
            </w:r>
            <w:r>
              <w:rPr>
                <w:rFonts w:hint="eastAsia" w:ascii="TimesNewRomanPSMT" w:hAnsi="TimesNewRomanPSMT" w:eastAsia="TimesNewRomanPSMT"/>
                <w:sz w:val="21"/>
              </w:rPr>
              <w:t>21-14</w:t>
            </w:r>
            <w:r>
              <w:rPr>
                <w:rFonts w:hint="eastAsia" w:ascii="TimesNewRomanPSMT" w:hAnsi="TimesNewRomanPSMT" w:eastAsia="宋体"/>
                <w:sz w:val="21"/>
                <w:lang w:eastAsia="zh-CN"/>
              </w:rPr>
              <w:t>：</w:t>
            </w:r>
            <w:r>
              <w:rPr>
                <w:rFonts w:hint="eastAsia" w:ascii="TimesNewRomanPSMT" w:hAnsi="TimesNewRomanPSMT" w:eastAsia="TimesNewRomanPSMT"/>
                <w:sz w:val="21"/>
              </w:rPr>
              <w:t>31</w:t>
            </w:r>
            <w:r>
              <w:rPr>
                <w:rFonts w:hint="eastAsia" w:ascii="宋体" w:hAnsi="宋体" w:eastAsia="宋体"/>
                <w:sz w:val="21"/>
              </w:rPr>
              <w:t>（昼）</w:t>
            </w:r>
          </w:p>
        </w:tc>
        <w:tc>
          <w:tcPr>
            <w:tcW w:w="0" w:type="auto"/>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52</w:t>
            </w:r>
          </w:p>
        </w:tc>
        <w:tc>
          <w:tcPr>
            <w:tcW w:w="190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814"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Pr>
          <w:p>
            <w:pPr>
              <w:pStyle w:val="30"/>
              <w:widowControl w:val="0"/>
              <w:jc w:val="center"/>
              <w:rPr>
                <w:rFonts w:hint="default"/>
                <w:vertAlign w:val="baseline"/>
                <w:lang w:val="en-US" w:eastAsia="zh-CN"/>
              </w:rPr>
            </w:pPr>
          </w:p>
        </w:tc>
        <w:tc>
          <w:tcPr>
            <w:tcW w:w="1193" w:type="dxa"/>
            <w:vMerge w:val="continue"/>
          </w:tcPr>
          <w:p>
            <w:pPr>
              <w:pStyle w:val="30"/>
              <w:widowControl w:val="0"/>
              <w:jc w:val="center"/>
              <w:rPr>
                <w:rFonts w:hint="default"/>
                <w:vertAlign w:val="baseline"/>
                <w:lang w:val="en-US" w:eastAsia="zh-CN"/>
              </w:rPr>
            </w:pPr>
          </w:p>
        </w:tc>
        <w:tc>
          <w:tcPr>
            <w:tcW w:w="0" w:type="auto"/>
          </w:tcPr>
          <w:p>
            <w:pPr>
              <w:pStyle w:val="30"/>
              <w:widowControl w:val="0"/>
              <w:jc w:val="center"/>
              <w:rPr>
                <w:rFonts w:hint="default"/>
                <w:vertAlign w:val="baseline"/>
                <w:lang w:val="en-US" w:eastAsia="zh-CN"/>
              </w:rPr>
            </w:pPr>
            <w:r>
              <w:rPr>
                <w:rFonts w:hint="eastAsia" w:ascii="TimesNewRomanPSMT" w:hAnsi="TimesNewRomanPSMT" w:eastAsia="TimesNewRomanPSMT"/>
                <w:sz w:val="21"/>
              </w:rPr>
              <w:t>22</w:t>
            </w:r>
            <w:r>
              <w:rPr>
                <w:rFonts w:hint="eastAsia" w:ascii="TimesNewRomanPSMT" w:hAnsi="TimesNewRomanPSMT" w:eastAsia="宋体"/>
                <w:sz w:val="21"/>
                <w:lang w:eastAsia="zh-CN"/>
              </w:rPr>
              <w:t>：</w:t>
            </w:r>
            <w:r>
              <w:rPr>
                <w:rFonts w:hint="eastAsia" w:ascii="TimesNewRomanPSMT" w:hAnsi="TimesNewRomanPSMT" w:eastAsia="TimesNewRomanPSMT"/>
                <w:sz w:val="21"/>
              </w:rPr>
              <w:t>41-22</w:t>
            </w:r>
            <w:r>
              <w:rPr>
                <w:rFonts w:hint="eastAsia" w:ascii="TimesNewRomanPSMT" w:hAnsi="TimesNewRomanPSMT" w:eastAsia="宋体"/>
                <w:sz w:val="21"/>
                <w:lang w:eastAsia="zh-CN"/>
              </w:rPr>
              <w:t>：</w:t>
            </w:r>
            <w:r>
              <w:rPr>
                <w:rFonts w:hint="eastAsia" w:ascii="TimesNewRomanPSMT" w:hAnsi="TimesNewRomanPSMT" w:eastAsia="TimesNewRomanPSMT"/>
                <w:sz w:val="21"/>
              </w:rPr>
              <w:t>51</w:t>
            </w:r>
            <w:r>
              <w:rPr>
                <w:rFonts w:hint="eastAsia" w:ascii="宋体" w:hAnsi="宋体" w:eastAsia="宋体"/>
                <w:sz w:val="21"/>
              </w:rPr>
              <w:t>（夜）</w:t>
            </w:r>
          </w:p>
        </w:tc>
        <w:tc>
          <w:tcPr>
            <w:tcW w:w="0" w:type="auto"/>
          </w:tcPr>
          <w:p>
            <w:pPr>
              <w:pStyle w:val="30"/>
              <w:widowControl w:val="0"/>
              <w:jc w:val="center"/>
              <w:rPr>
                <w:rFonts w:hint="default"/>
                <w:vertAlign w:val="baseline"/>
                <w:lang w:val="en-US" w:eastAsia="zh-CN"/>
              </w:rPr>
            </w:pPr>
            <w:r>
              <w:rPr>
                <w:rFonts w:hint="eastAsia"/>
                <w:vertAlign w:val="baseline"/>
                <w:lang w:val="en-US" w:eastAsia="zh-CN"/>
              </w:rPr>
              <w:t>41</w:t>
            </w:r>
          </w:p>
        </w:tc>
        <w:tc>
          <w:tcPr>
            <w:tcW w:w="1905" w:type="dxa"/>
            <w:vMerge w:val="continue"/>
          </w:tcPr>
          <w:p>
            <w:pPr>
              <w:pStyle w:val="30"/>
              <w:widowControl w:val="0"/>
              <w:jc w:val="center"/>
              <w:rPr>
                <w:rFonts w:hint="default"/>
                <w:vertAlign w:val="baseline"/>
                <w:lang w:val="en-US" w:eastAsia="zh-CN"/>
              </w:rPr>
            </w:pPr>
          </w:p>
        </w:tc>
        <w:tc>
          <w:tcPr>
            <w:tcW w:w="814"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TimesNewRomanPSMT" w:hAnsi="TimesNewRomanPSMT" w:eastAsia="TimesNewRomanPSMT"/>
                <w:sz w:val="21"/>
              </w:rPr>
              <w:t>4#</w:t>
            </w:r>
            <w:r>
              <w:rPr>
                <w:rFonts w:hint="eastAsia" w:ascii="宋体" w:hAnsi="宋体" w:eastAsia="宋体"/>
                <w:sz w:val="21"/>
              </w:rPr>
              <w:t>项目场地东侧外</w:t>
            </w:r>
          </w:p>
        </w:tc>
        <w:tc>
          <w:tcPr>
            <w:tcW w:w="1193" w:type="dxa"/>
            <w:vMerge w:val="continue"/>
          </w:tcPr>
          <w:p>
            <w:pPr>
              <w:pStyle w:val="30"/>
              <w:widowControl w:val="0"/>
              <w:jc w:val="center"/>
              <w:rPr>
                <w:rFonts w:hint="default"/>
                <w:vertAlign w:val="baseline"/>
                <w:lang w:val="en-US" w:eastAsia="zh-CN"/>
              </w:rPr>
            </w:pPr>
          </w:p>
        </w:tc>
        <w:tc>
          <w:tcPr>
            <w:tcW w:w="0" w:type="auto"/>
          </w:tcPr>
          <w:p>
            <w:pPr>
              <w:pStyle w:val="30"/>
              <w:widowControl w:val="0"/>
              <w:jc w:val="center"/>
              <w:rPr>
                <w:rFonts w:hint="default"/>
                <w:vertAlign w:val="baseline"/>
                <w:lang w:val="en-US" w:eastAsia="zh-CN"/>
              </w:rPr>
            </w:pPr>
            <w:r>
              <w:rPr>
                <w:rFonts w:hint="eastAsia" w:ascii="TimesNewRomanPSMT" w:hAnsi="TimesNewRomanPSMT" w:eastAsia="TimesNewRomanPSMT"/>
                <w:sz w:val="21"/>
              </w:rPr>
              <w:t>14</w:t>
            </w:r>
            <w:r>
              <w:rPr>
                <w:rFonts w:hint="eastAsia" w:ascii="TimesNewRomanPSMT" w:hAnsi="TimesNewRomanPSMT" w:eastAsia="宋体"/>
                <w:sz w:val="21"/>
                <w:lang w:eastAsia="zh-CN"/>
              </w:rPr>
              <w:t>：</w:t>
            </w:r>
            <w:r>
              <w:rPr>
                <w:rFonts w:hint="eastAsia" w:ascii="TimesNewRomanPSMT" w:hAnsi="TimesNewRomanPSMT" w:eastAsia="TimesNewRomanPSMT"/>
                <w:sz w:val="21"/>
              </w:rPr>
              <w:t>48-14</w:t>
            </w:r>
            <w:r>
              <w:rPr>
                <w:rFonts w:hint="eastAsia" w:ascii="TimesNewRomanPSMT" w:hAnsi="TimesNewRomanPSMT" w:eastAsia="宋体"/>
                <w:sz w:val="21"/>
                <w:lang w:eastAsia="zh-CN"/>
              </w:rPr>
              <w:t>：</w:t>
            </w:r>
            <w:r>
              <w:rPr>
                <w:rFonts w:hint="eastAsia" w:ascii="TimesNewRomanPSMT" w:hAnsi="TimesNewRomanPSMT" w:eastAsia="TimesNewRomanPSMT"/>
                <w:sz w:val="21"/>
              </w:rPr>
              <w:t>58</w:t>
            </w:r>
            <w:r>
              <w:rPr>
                <w:rFonts w:hint="eastAsia" w:ascii="宋体" w:hAnsi="宋体" w:eastAsia="宋体"/>
                <w:sz w:val="21"/>
              </w:rPr>
              <w:t>（昼）</w:t>
            </w:r>
          </w:p>
        </w:tc>
        <w:tc>
          <w:tcPr>
            <w:tcW w:w="0" w:type="auto"/>
          </w:tcPr>
          <w:p>
            <w:pPr>
              <w:pStyle w:val="30"/>
              <w:widowControl w:val="0"/>
              <w:jc w:val="center"/>
              <w:rPr>
                <w:rFonts w:hint="default"/>
                <w:vertAlign w:val="baseline"/>
                <w:lang w:val="en-US" w:eastAsia="zh-CN"/>
              </w:rPr>
            </w:pPr>
            <w:r>
              <w:rPr>
                <w:rFonts w:hint="eastAsia"/>
                <w:vertAlign w:val="baseline"/>
                <w:lang w:val="en-US" w:eastAsia="zh-CN"/>
              </w:rPr>
              <w:t>53</w:t>
            </w:r>
          </w:p>
        </w:tc>
        <w:tc>
          <w:tcPr>
            <w:tcW w:w="1905" w:type="dxa"/>
            <w:vMerge w:val="continue"/>
          </w:tcPr>
          <w:p>
            <w:pPr>
              <w:pStyle w:val="30"/>
              <w:widowControl w:val="0"/>
              <w:jc w:val="center"/>
              <w:rPr>
                <w:rFonts w:hint="default"/>
                <w:vertAlign w:val="baseline"/>
                <w:lang w:val="en-US" w:eastAsia="zh-CN"/>
              </w:rPr>
            </w:pPr>
          </w:p>
        </w:tc>
        <w:tc>
          <w:tcPr>
            <w:tcW w:w="814"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tcPr>
          <w:p>
            <w:pPr>
              <w:pStyle w:val="30"/>
              <w:widowControl w:val="0"/>
              <w:jc w:val="center"/>
              <w:rPr>
                <w:rFonts w:hint="default"/>
                <w:vertAlign w:val="baseline"/>
                <w:lang w:val="en-US" w:eastAsia="zh-CN"/>
              </w:rPr>
            </w:pPr>
          </w:p>
        </w:tc>
        <w:tc>
          <w:tcPr>
            <w:tcW w:w="1193" w:type="dxa"/>
            <w:vMerge w:val="continue"/>
          </w:tcPr>
          <w:p>
            <w:pPr>
              <w:pStyle w:val="30"/>
              <w:widowControl w:val="0"/>
              <w:jc w:val="center"/>
              <w:rPr>
                <w:rFonts w:hint="default"/>
                <w:vertAlign w:val="baseline"/>
                <w:lang w:val="en-US" w:eastAsia="zh-CN"/>
              </w:rPr>
            </w:pPr>
          </w:p>
        </w:tc>
        <w:tc>
          <w:tcPr>
            <w:tcW w:w="0" w:type="auto"/>
          </w:tcPr>
          <w:p>
            <w:pPr>
              <w:pStyle w:val="30"/>
              <w:widowControl w:val="0"/>
              <w:jc w:val="center"/>
              <w:rPr>
                <w:rFonts w:hint="default"/>
                <w:vertAlign w:val="baseline"/>
                <w:lang w:val="en-US" w:eastAsia="zh-CN"/>
              </w:rPr>
            </w:pPr>
            <w:r>
              <w:rPr>
                <w:rFonts w:hint="eastAsia" w:ascii="TimesNewRomanPSMT" w:hAnsi="TimesNewRomanPSMT" w:eastAsia="TimesNewRomanPSMT"/>
                <w:sz w:val="21"/>
              </w:rPr>
              <w:t>22</w:t>
            </w:r>
            <w:r>
              <w:rPr>
                <w:rFonts w:hint="eastAsia" w:ascii="TimesNewRomanPSMT" w:hAnsi="TimesNewRomanPSMT" w:eastAsia="宋体"/>
                <w:sz w:val="21"/>
                <w:lang w:eastAsia="zh-CN"/>
              </w:rPr>
              <w:t>：</w:t>
            </w:r>
            <w:r>
              <w:rPr>
                <w:rFonts w:hint="eastAsia" w:ascii="TimesNewRomanPSMT" w:hAnsi="TimesNewRomanPSMT" w:eastAsia="TimesNewRomanPSMT"/>
                <w:sz w:val="21"/>
              </w:rPr>
              <w:t>55-23</w:t>
            </w:r>
            <w:r>
              <w:rPr>
                <w:rFonts w:hint="eastAsia" w:ascii="TimesNewRomanPSMT" w:hAnsi="TimesNewRomanPSMT" w:eastAsia="宋体"/>
                <w:sz w:val="21"/>
                <w:lang w:eastAsia="zh-CN"/>
              </w:rPr>
              <w:t>：</w:t>
            </w:r>
            <w:r>
              <w:rPr>
                <w:rFonts w:hint="eastAsia" w:ascii="TimesNewRomanPSMT" w:hAnsi="TimesNewRomanPSMT" w:eastAsia="TimesNewRomanPSMT"/>
                <w:sz w:val="21"/>
              </w:rPr>
              <w:t>05</w:t>
            </w:r>
            <w:r>
              <w:rPr>
                <w:rFonts w:hint="eastAsia" w:ascii="宋体" w:hAnsi="宋体" w:eastAsia="宋体"/>
                <w:sz w:val="21"/>
              </w:rPr>
              <w:t>（夜）</w:t>
            </w:r>
          </w:p>
        </w:tc>
        <w:tc>
          <w:tcPr>
            <w:tcW w:w="0" w:type="auto"/>
          </w:tcPr>
          <w:p>
            <w:pPr>
              <w:pStyle w:val="30"/>
              <w:widowControl w:val="0"/>
              <w:jc w:val="center"/>
              <w:rPr>
                <w:rFonts w:hint="default"/>
                <w:vertAlign w:val="baseline"/>
                <w:lang w:val="en-US" w:eastAsia="zh-CN"/>
              </w:rPr>
            </w:pPr>
            <w:r>
              <w:rPr>
                <w:rFonts w:hint="eastAsia"/>
                <w:vertAlign w:val="baseline"/>
                <w:lang w:val="en-US" w:eastAsia="zh-CN"/>
              </w:rPr>
              <w:t>43</w:t>
            </w:r>
          </w:p>
        </w:tc>
        <w:tc>
          <w:tcPr>
            <w:tcW w:w="1905" w:type="dxa"/>
            <w:vMerge w:val="continue"/>
          </w:tcPr>
          <w:p>
            <w:pPr>
              <w:pStyle w:val="30"/>
              <w:widowControl w:val="0"/>
              <w:jc w:val="center"/>
              <w:rPr>
                <w:rFonts w:hint="default"/>
                <w:vertAlign w:val="baseline"/>
                <w:lang w:val="en-US" w:eastAsia="zh-CN"/>
              </w:rPr>
            </w:pPr>
          </w:p>
        </w:tc>
        <w:tc>
          <w:tcPr>
            <w:tcW w:w="814"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restart"/>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ascii="TimesNewRomanPSMT" w:hAnsi="TimesNewRomanPSMT" w:eastAsia="TimesNewRomanPSMT"/>
                <w:sz w:val="21"/>
              </w:rPr>
              <w:t>5#</w:t>
            </w:r>
            <w:r>
              <w:rPr>
                <w:rFonts w:hint="eastAsia" w:ascii="宋体" w:hAnsi="宋体" w:eastAsia="宋体"/>
                <w:sz w:val="21"/>
              </w:rPr>
              <w:t>项目场地东南侧外</w:t>
            </w:r>
          </w:p>
        </w:tc>
        <w:tc>
          <w:tcPr>
            <w:tcW w:w="1193" w:type="dxa"/>
            <w:vMerge w:val="continue"/>
          </w:tcPr>
          <w:p>
            <w:pPr>
              <w:pStyle w:val="30"/>
              <w:widowControl w:val="0"/>
              <w:jc w:val="center"/>
              <w:rPr>
                <w:rFonts w:hint="default"/>
                <w:vertAlign w:val="baseline"/>
                <w:lang w:val="en-US" w:eastAsia="zh-CN"/>
              </w:rPr>
            </w:pPr>
          </w:p>
        </w:tc>
        <w:tc>
          <w:tcPr>
            <w:tcW w:w="0" w:type="auto"/>
          </w:tcPr>
          <w:p>
            <w:pPr>
              <w:pStyle w:val="30"/>
              <w:widowControl w:val="0"/>
              <w:jc w:val="center"/>
              <w:rPr>
                <w:rFonts w:hint="default"/>
                <w:vertAlign w:val="baseline"/>
                <w:lang w:val="en-US" w:eastAsia="zh-CN"/>
              </w:rPr>
            </w:pPr>
            <w:r>
              <w:rPr>
                <w:rFonts w:hint="eastAsia" w:ascii="TimesNewRomanPSMT" w:hAnsi="TimesNewRomanPSMT" w:eastAsia="TimesNewRomanPSMT"/>
                <w:sz w:val="21"/>
              </w:rPr>
              <w:t>15</w:t>
            </w:r>
            <w:r>
              <w:rPr>
                <w:rFonts w:hint="eastAsia" w:ascii="TimesNewRomanPSMT" w:hAnsi="TimesNewRomanPSMT" w:eastAsia="宋体"/>
                <w:sz w:val="21"/>
                <w:lang w:eastAsia="zh-CN"/>
              </w:rPr>
              <w:t>：</w:t>
            </w:r>
            <w:r>
              <w:rPr>
                <w:rFonts w:hint="eastAsia" w:ascii="TimesNewRomanPSMT" w:hAnsi="TimesNewRomanPSMT" w:eastAsia="TimesNewRomanPSMT"/>
                <w:sz w:val="21"/>
              </w:rPr>
              <w:t>06-15</w:t>
            </w:r>
            <w:r>
              <w:rPr>
                <w:rFonts w:hint="eastAsia" w:ascii="TimesNewRomanPSMT" w:hAnsi="TimesNewRomanPSMT" w:eastAsia="宋体"/>
                <w:sz w:val="21"/>
                <w:lang w:eastAsia="zh-CN"/>
              </w:rPr>
              <w:t>：</w:t>
            </w:r>
            <w:r>
              <w:rPr>
                <w:rFonts w:hint="eastAsia" w:ascii="TimesNewRomanPSMT" w:hAnsi="TimesNewRomanPSMT" w:eastAsia="TimesNewRomanPSMT"/>
                <w:sz w:val="21"/>
              </w:rPr>
              <w:t>16</w:t>
            </w:r>
            <w:r>
              <w:rPr>
                <w:rFonts w:hint="eastAsia" w:ascii="宋体" w:hAnsi="宋体" w:eastAsia="宋体"/>
                <w:sz w:val="21"/>
              </w:rPr>
              <w:t>（昼）</w:t>
            </w:r>
          </w:p>
        </w:tc>
        <w:tc>
          <w:tcPr>
            <w:tcW w:w="0" w:type="auto"/>
          </w:tcPr>
          <w:p>
            <w:pPr>
              <w:pStyle w:val="30"/>
              <w:widowControl w:val="0"/>
              <w:jc w:val="center"/>
              <w:rPr>
                <w:rFonts w:hint="default"/>
                <w:vertAlign w:val="baseline"/>
                <w:lang w:val="en-US" w:eastAsia="zh-CN"/>
              </w:rPr>
            </w:pPr>
            <w:r>
              <w:rPr>
                <w:rFonts w:hint="eastAsia"/>
                <w:vertAlign w:val="baseline"/>
                <w:lang w:val="en-US" w:eastAsia="zh-CN"/>
              </w:rPr>
              <w:t>54</w:t>
            </w:r>
          </w:p>
        </w:tc>
        <w:tc>
          <w:tcPr>
            <w:tcW w:w="1905" w:type="dxa"/>
            <w:vMerge w:val="continue"/>
          </w:tcPr>
          <w:p>
            <w:pPr>
              <w:pStyle w:val="30"/>
              <w:widowControl w:val="0"/>
              <w:jc w:val="center"/>
              <w:rPr>
                <w:rFonts w:hint="default"/>
                <w:vertAlign w:val="baseline"/>
                <w:lang w:val="en-US" w:eastAsia="zh-CN"/>
              </w:rPr>
            </w:pPr>
          </w:p>
        </w:tc>
        <w:tc>
          <w:tcPr>
            <w:tcW w:w="814"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8" w:type="dxa"/>
            <w:vMerge w:val="continue"/>
            <w:vAlign w:val="center"/>
          </w:tcPr>
          <w:p>
            <w:pPr>
              <w:pStyle w:val="30"/>
              <w:widowControl w:val="0"/>
              <w:ind w:firstLine="0" w:firstLineChars="0"/>
              <w:jc w:val="center"/>
              <w:rPr>
                <w:rFonts w:hint="eastAsia" w:ascii="TimesNewRomanPSMT" w:hAnsi="TimesNewRomanPSMT" w:eastAsia="TimesNewRomanPSMT"/>
                <w:sz w:val="21"/>
              </w:rPr>
            </w:pPr>
          </w:p>
        </w:tc>
        <w:tc>
          <w:tcPr>
            <w:tcW w:w="1193" w:type="dxa"/>
            <w:vMerge w:val="continue"/>
          </w:tcPr>
          <w:p>
            <w:pPr>
              <w:pStyle w:val="30"/>
              <w:widowControl w:val="0"/>
              <w:jc w:val="center"/>
              <w:rPr>
                <w:rFonts w:hint="default"/>
                <w:vertAlign w:val="baseline"/>
                <w:lang w:val="en-US" w:eastAsia="zh-CN"/>
              </w:rPr>
            </w:pPr>
          </w:p>
        </w:tc>
        <w:tc>
          <w:tcPr>
            <w:tcW w:w="0" w:type="auto"/>
          </w:tcPr>
          <w:p>
            <w:pPr>
              <w:pStyle w:val="30"/>
              <w:widowControl w:val="0"/>
              <w:jc w:val="center"/>
              <w:rPr>
                <w:rFonts w:hint="default"/>
                <w:vertAlign w:val="baseline"/>
                <w:lang w:val="en-US" w:eastAsia="zh-CN"/>
              </w:rPr>
            </w:pPr>
            <w:r>
              <w:rPr>
                <w:rFonts w:hint="eastAsia" w:ascii="TimesNewRomanPSMT" w:hAnsi="TimesNewRomanPSMT" w:eastAsia="TimesNewRomanPSMT"/>
                <w:sz w:val="21"/>
              </w:rPr>
              <w:t>23</w:t>
            </w:r>
            <w:r>
              <w:rPr>
                <w:rFonts w:hint="eastAsia" w:ascii="TimesNewRomanPSMT" w:hAnsi="TimesNewRomanPSMT" w:eastAsia="宋体"/>
                <w:sz w:val="21"/>
                <w:lang w:eastAsia="zh-CN"/>
              </w:rPr>
              <w:t>：</w:t>
            </w:r>
            <w:r>
              <w:rPr>
                <w:rFonts w:hint="eastAsia" w:ascii="TimesNewRomanPSMT" w:hAnsi="TimesNewRomanPSMT" w:eastAsia="TimesNewRomanPSMT"/>
                <w:sz w:val="21"/>
              </w:rPr>
              <w:t>11-23</w:t>
            </w:r>
            <w:r>
              <w:rPr>
                <w:rFonts w:hint="eastAsia" w:ascii="TimesNewRomanPSMT" w:hAnsi="TimesNewRomanPSMT" w:eastAsia="宋体"/>
                <w:sz w:val="21"/>
                <w:lang w:eastAsia="zh-CN"/>
              </w:rPr>
              <w:t>：</w:t>
            </w:r>
            <w:r>
              <w:rPr>
                <w:rFonts w:hint="eastAsia" w:ascii="TimesNewRomanPSMT" w:hAnsi="TimesNewRomanPSMT" w:eastAsia="TimesNewRomanPSMT"/>
                <w:sz w:val="21"/>
              </w:rPr>
              <w:t>21</w:t>
            </w:r>
            <w:r>
              <w:rPr>
                <w:rFonts w:hint="eastAsia" w:ascii="宋体" w:hAnsi="宋体" w:eastAsia="宋体"/>
                <w:sz w:val="21"/>
              </w:rPr>
              <w:t>（夜）</w:t>
            </w:r>
          </w:p>
        </w:tc>
        <w:tc>
          <w:tcPr>
            <w:tcW w:w="0" w:type="auto"/>
          </w:tcPr>
          <w:p>
            <w:pPr>
              <w:pStyle w:val="30"/>
              <w:widowControl w:val="0"/>
              <w:jc w:val="center"/>
              <w:rPr>
                <w:rFonts w:hint="default"/>
                <w:vertAlign w:val="baseline"/>
                <w:lang w:val="en-US" w:eastAsia="zh-CN"/>
              </w:rPr>
            </w:pPr>
            <w:r>
              <w:rPr>
                <w:rFonts w:hint="eastAsia"/>
                <w:vertAlign w:val="baseline"/>
                <w:lang w:val="en-US" w:eastAsia="zh-CN"/>
              </w:rPr>
              <w:t>39</w:t>
            </w:r>
          </w:p>
        </w:tc>
        <w:tc>
          <w:tcPr>
            <w:tcW w:w="1905" w:type="dxa"/>
            <w:vMerge w:val="continue"/>
          </w:tcPr>
          <w:p>
            <w:pPr>
              <w:pStyle w:val="30"/>
              <w:widowControl w:val="0"/>
              <w:jc w:val="center"/>
              <w:rPr>
                <w:rFonts w:hint="default"/>
                <w:vertAlign w:val="baseline"/>
                <w:lang w:val="en-US" w:eastAsia="zh-CN"/>
              </w:rPr>
            </w:pPr>
          </w:p>
        </w:tc>
        <w:tc>
          <w:tcPr>
            <w:tcW w:w="814" w:type="dxa"/>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达标</w:t>
            </w:r>
          </w:p>
        </w:tc>
      </w:tr>
    </w:tbl>
    <w:p>
      <w:pPr>
        <w:spacing w:beforeLines="0" w:afterLines="0"/>
        <w:jc w:val="left"/>
        <w:rPr>
          <w:rFonts w:hint="eastAsia" w:ascii="宋体" w:hAnsi="宋体" w:eastAsia="宋体"/>
          <w:sz w:val="24"/>
        </w:rPr>
      </w:pPr>
      <w:r>
        <w:rPr>
          <w:rFonts w:hint="eastAsia"/>
          <w:lang w:val="en-US" w:eastAsia="zh-CN"/>
        </w:rPr>
        <w:t>由上表可见，</w:t>
      </w:r>
      <w:r>
        <w:rPr>
          <w:rFonts w:hint="eastAsia" w:ascii="宋体" w:hAnsi="宋体" w:eastAsia="宋体"/>
          <w:sz w:val="24"/>
        </w:rPr>
        <w:t>本项目评价区域声学环境</w:t>
      </w:r>
      <w:r>
        <w:rPr>
          <w:rFonts w:hint="default" w:ascii="Times New Roman" w:hAnsi="Times New Roman" w:eastAsia="Times New Roman"/>
          <w:sz w:val="24"/>
        </w:rPr>
        <w:t>5</w:t>
      </w:r>
      <w:r>
        <w:rPr>
          <w:rFonts w:hint="eastAsia" w:ascii="宋体" w:hAnsi="宋体" w:eastAsia="宋体"/>
          <w:sz w:val="24"/>
        </w:rPr>
        <w:t>个监测点昼、夜间噪声均能满足《声环境质量标准》</w:t>
      </w:r>
      <w:r>
        <w:rPr>
          <w:rFonts w:hint="default" w:ascii="Times New Roman" w:hAnsi="Times New Roman" w:eastAsia="Times New Roman"/>
          <w:sz w:val="24"/>
        </w:rPr>
        <w:t>GB3096-2008</w:t>
      </w:r>
      <w:r>
        <w:rPr>
          <w:rFonts w:hint="eastAsia" w:ascii="宋体" w:hAnsi="宋体" w:eastAsia="宋体"/>
          <w:sz w:val="24"/>
        </w:rPr>
        <w:t>中的</w:t>
      </w:r>
      <w:r>
        <w:rPr>
          <w:rFonts w:hint="default" w:ascii="Times New Roman" w:hAnsi="Times New Roman" w:eastAsia="Times New Roman"/>
          <w:sz w:val="24"/>
        </w:rPr>
        <w:t>2</w:t>
      </w:r>
      <w:r>
        <w:rPr>
          <w:rFonts w:hint="eastAsia" w:ascii="宋体" w:hAnsi="宋体" w:eastAsia="宋体"/>
          <w:sz w:val="24"/>
        </w:rPr>
        <w:t>类区标准要求，项目区域声环境现状良好。</w:t>
      </w:r>
    </w:p>
    <w:p>
      <w:pPr>
        <w:pStyle w:val="5"/>
        <w:bidi w:val="0"/>
        <w:rPr>
          <w:rFonts w:hint="default"/>
          <w:lang w:val="en-US" w:eastAsia="zh-CN"/>
        </w:rPr>
      </w:pPr>
      <w:r>
        <w:rPr>
          <w:rFonts w:hint="eastAsia"/>
          <w:lang w:val="en-US" w:eastAsia="zh-CN"/>
        </w:rPr>
        <w:t>生态环境现状及评价</w:t>
      </w:r>
    </w:p>
    <w:p>
      <w:pPr>
        <w:bidi w:val="0"/>
        <w:rPr>
          <w:rFonts w:hint="default"/>
          <w:lang w:val="en-US" w:eastAsia="zh-CN"/>
        </w:rPr>
      </w:pPr>
      <w:r>
        <w:rPr>
          <w:rFonts w:hint="eastAsia"/>
          <w:lang w:val="en-US" w:eastAsia="zh-CN"/>
        </w:rPr>
        <w:t>项目选址于平昌县响滩镇石泉村，项目所占地为二类工业用地，根据现场踏勘，现场主要为杂草与灌木丛，无珍稀植物，无古树名木等；区域内动物主要为各类鸡、各类鸭、鹅、马、驴、蜂、蚕、犬、猫、各类兔等，无珍稀野生动物，无保护单位，生态环境质量良好。</w:t>
      </w:r>
    </w:p>
    <w:p>
      <w:pPr>
        <w:pStyle w:val="5"/>
        <w:bidi w:val="0"/>
        <w:rPr>
          <w:rFonts w:hint="default"/>
          <w:lang w:val="en-US" w:eastAsia="zh-CN"/>
        </w:rPr>
      </w:pPr>
      <w:r>
        <w:rPr>
          <w:rFonts w:hint="eastAsia"/>
          <w:lang w:val="en-US" w:eastAsia="zh-CN"/>
        </w:rPr>
        <w:br w:type="page"/>
      </w:r>
    </w:p>
    <w:p>
      <w:pPr>
        <w:pStyle w:val="3"/>
        <w:bidi w:val="0"/>
        <w:rPr>
          <w:rFonts w:hint="default"/>
          <w:lang w:val="en-US" w:eastAsia="zh-CN"/>
        </w:rPr>
      </w:pPr>
      <w:bookmarkStart w:id="52" w:name="_Toc6023"/>
      <w:r>
        <w:rPr>
          <w:rFonts w:hint="eastAsia"/>
          <w:lang w:val="en-US" w:eastAsia="zh-CN"/>
        </w:rPr>
        <w:t>环境影响预测与评价</w:t>
      </w:r>
      <w:bookmarkEnd w:id="52"/>
    </w:p>
    <w:p>
      <w:pPr>
        <w:pStyle w:val="4"/>
        <w:bidi w:val="0"/>
        <w:rPr>
          <w:rFonts w:hint="default"/>
          <w:lang w:val="en-US" w:eastAsia="zh-CN"/>
        </w:rPr>
      </w:pPr>
      <w:bookmarkStart w:id="53" w:name="_Toc18351"/>
      <w:r>
        <w:rPr>
          <w:rFonts w:hint="eastAsia"/>
          <w:lang w:val="en-US" w:eastAsia="zh-CN"/>
        </w:rPr>
        <w:t>施工期环境影响预测与评价</w:t>
      </w:r>
      <w:bookmarkEnd w:id="53"/>
    </w:p>
    <w:p>
      <w:pPr>
        <w:rPr>
          <w:rFonts w:hint="default"/>
          <w:lang w:val="en-US" w:eastAsia="zh-CN"/>
        </w:rPr>
      </w:pPr>
      <w:r>
        <w:rPr>
          <w:rFonts w:hint="eastAsia"/>
          <w:lang w:val="en-US" w:eastAsia="zh-CN"/>
        </w:rPr>
        <w:t>项目主要构筑物建设已结束，设备设施未进场安装，因此，本项目施工期仅对后续设备进场安装进行预测与评价。</w:t>
      </w:r>
    </w:p>
    <w:p>
      <w:pPr>
        <w:pStyle w:val="5"/>
        <w:bidi w:val="0"/>
        <w:rPr>
          <w:rFonts w:hint="default"/>
          <w:lang w:val="en-US" w:eastAsia="zh-CN"/>
        </w:rPr>
      </w:pPr>
      <w:r>
        <w:rPr>
          <w:rFonts w:hint="eastAsia"/>
          <w:lang w:val="en-US" w:eastAsia="zh-CN"/>
        </w:rPr>
        <w:t>大气环境影响评价</w:t>
      </w:r>
    </w:p>
    <w:p>
      <w:pPr>
        <w:pStyle w:val="6"/>
        <w:bidi w:val="0"/>
        <w:rPr>
          <w:rFonts w:hint="eastAsia"/>
        </w:rPr>
      </w:pPr>
      <w:r>
        <w:rPr>
          <w:rFonts w:hint="eastAsia"/>
        </w:rPr>
        <w:t>施工机械燃油废气的环境影响分析</w:t>
      </w:r>
    </w:p>
    <w:p>
      <w:pPr>
        <w:bidi w:val="0"/>
        <w:rPr>
          <w:rFonts w:hint="eastAsia"/>
        </w:rPr>
      </w:pPr>
      <w:r>
        <w:rPr>
          <w:rFonts w:hint="eastAsia"/>
        </w:rPr>
        <w:t>施工期间，使用机动车运送原材料、设备和建筑机械等设备的运转，均会排放一定量的</w:t>
      </w:r>
      <w:r>
        <w:rPr>
          <w:rFonts w:hint="default"/>
        </w:rPr>
        <w:t>CO</w:t>
      </w:r>
      <w:r>
        <w:rPr>
          <w:rFonts w:hint="eastAsia"/>
        </w:rPr>
        <w:t>、</w:t>
      </w:r>
      <w:r>
        <w:rPr>
          <w:rFonts w:hint="default"/>
        </w:rPr>
        <w:t>NOx</w:t>
      </w:r>
      <w:r>
        <w:rPr>
          <w:rFonts w:hint="eastAsia"/>
        </w:rPr>
        <w:t>、</w:t>
      </w:r>
      <w:r>
        <w:rPr>
          <w:rFonts w:hint="default"/>
        </w:rPr>
        <w:t>THC</w:t>
      </w:r>
      <w:r>
        <w:rPr>
          <w:rFonts w:hint="eastAsia"/>
        </w:rPr>
        <w:t>等污染物，其特点是排放量小，属间断性排放，在采取了加强设备养护、使用合格油品等措施的基础上，燃油废气对环境的影响较小，随着施工期结束而消失。</w:t>
      </w:r>
    </w:p>
    <w:p>
      <w:pPr>
        <w:pStyle w:val="6"/>
        <w:bidi w:val="0"/>
        <w:rPr>
          <w:rFonts w:hint="eastAsia"/>
        </w:rPr>
      </w:pPr>
      <w:r>
        <w:rPr>
          <w:rFonts w:hint="eastAsia"/>
        </w:rPr>
        <w:t>装修废气的环境影响分析</w:t>
      </w:r>
    </w:p>
    <w:p>
      <w:pPr>
        <w:bidi w:val="0"/>
        <w:rPr>
          <w:rFonts w:hint="eastAsia"/>
        </w:rPr>
      </w:pPr>
      <w:r>
        <w:rPr>
          <w:rFonts w:hint="eastAsia"/>
        </w:rPr>
        <w:t>装修废气主要产生于装修阶段，其主要污染物为苯、甲苯、甲醛等有机废气，属间断性排放，排放源分散，其产生、排放量很小。该部分废气的挥发是较为缓慢的过程，且使用量较小，在采取使用符合国家现行有关标准规定的环保型装修材料等措施的基础上，装修废气对项目所在区域的环境空气质量影响较小。</w:t>
      </w:r>
    </w:p>
    <w:p>
      <w:pPr>
        <w:bidi w:val="0"/>
        <w:rPr>
          <w:rFonts w:hint="default"/>
          <w:lang w:val="en-US" w:eastAsia="zh-CN"/>
        </w:rPr>
      </w:pPr>
      <w:r>
        <w:rPr>
          <w:rFonts w:hint="eastAsia"/>
        </w:rPr>
        <w:t>综上所述，本项目施工期产生的大气污染为暂时的，其随施工期的结束而结束，对大气环境影响较小</w:t>
      </w:r>
      <w:r>
        <w:rPr>
          <w:rFonts w:hint="eastAsia" w:ascii="宋体" w:hAnsi="宋体" w:eastAsia="宋体"/>
        </w:rPr>
        <w:t>。</w:t>
      </w:r>
    </w:p>
    <w:p>
      <w:pPr>
        <w:pStyle w:val="5"/>
        <w:bidi w:val="0"/>
        <w:rPr>
          <w:rFonts w:hint="default"/>
          <w:lang w:val="en-US" w:eastAsia="zh-CN"/>
        </w:rPr>
      </w:pPr>
      <w:r>
        <w:rPr>
          <w:rFonts w:hint="eastAsia"/>
          <w:lang w:val="en-US" w:eastAsia="zh-CN"/>
        </w:rPr>
        <w:t>地表水环境影响评价</w:t>
      </w:r>
    </w:p>
    <w:p>
      <w:pPr>
        <w:bidi w:val="0"/>
        <w:rPr>
          <w:rFonts w:hint="eastAsia"/>
        </w:rPr>
      </w:pPr>
      <w:r>
        <w:rPr>
          <w:rFonts w:hint="eastAsia"/>
        </w:rPr>
        <w:t>施工期产生的废水主要包括生活污水。</w:t>
      </w:r>
    </w:p>
    <w:p>
      <w:pPr>
        <w:bidi w:val="0"/>
        <w:rPr>
          <w:rFonts w:hint="eastAsia"/>
        </w:rPr>
      </w:pPr>
      <w:r>
        <w:rPr>
          <w:rFonts w:hint="eastAsia"/>
          <w:b/>
          <w:bCs/>
        </w:rPr>
        <w:t>生活污水：</w:t>
      </w:r>
      <w:r>
        <w:rPr>
          <w:rFonts w:hint="eastAsia"/>
        </w:rPr>
        <w:t>施工人员就近租用附近民宅居住，不在施工现场食宿，产生的生活污水依托周边农户已有卫生设施进行处理。</w:t>
      </w:r>
    </w:p>
    <w:p>
      <w:pPr>
        <w:pStyle w:val="5"/>
        <w:bidi w:val="0"/>
        <w:rPr>
          <w:rFonts w:hint="default"/>
          <w:lang w:val="en-US" w:eastAsia="zh-CN"/>
        </w:rPr>
      </w:pPr>
      <w:r>
        <w:rPr>
          <w:rFonts w:hint="eastAsia"/>
          <w:lang w:val="en-US" w:eastAsia="zh-CN"/>
        </w:rPr>
        <w:t>噪声影响预测及评价</w:t>
      </w:r>
    </w:p>
    <w:p>
      <w:pPr>
        <w:bidi w:val="0"/>
        <w:rPr>
          <w:rFonts w:hint="eastAsia"/>
        </w:rPr>
      </w:pPr>
      <w:r>
        <w:rPr>
          <w:rFonts w:hint="eastAsia"/>
        </w:rPr>
        <w:t>本项目施工期主要噪声源为各类施工机械，如电锤及运输车辆等，噪声源强为</w:t>
      </w:r>
      <w:r>
        <w:rPr>
          <w:rFonts w:hint="default"/>
        </w:rPr>
        <w:t>75~</w:t>
      </w:r>
      <w:r>
        <w:rPr>
          <w:rFonts w:hint="eastAsia"/>
          <w:lang w:val="en-US" w:eastAsia="zh-CN"/>
        </w:rPr>
        <w:t>90</w:t>
      </w:r>
      <w:r>
        <w:rPr>
          <w:rFonts w:hint="default"/>
        </w:rPr>
        <w:t>dB</w:t>
      </w:r>
      <w:r>
        <w:rPr>
          <w:rFonts w:hint="eastAsia"/>
        </w:rPr>
        <w:t>（</w:t>
      </w:r>
      <w:r>
        <w:rPr>
          <w:rFonts w:hint="default"/>
        </w:rPr>
        <w:t>A</w:t>
      </w:r>
      <w:r>
        <w:rPr>
          <w:rFonts w:hint="eastAsia"/>
        </w:rPr>
        <w:t>），其强度详见表</w:t>
      </w:r>
      <w:r>
        <w:rPr>
          <w:rFonts w:hint="default"/>
        </w:rPr>
        <w:t>3.1-1</w:t>
      </w:r>
      <w:r>
        <w:rPr>
          <w:rFonts w:hint="eastAsia"/>
        </w:rPr>
        <w:t>，这些噪声将对作业人员和场址周围环境造成一定影响。因此现针对施工噪声进行声学环境影响预测分析。</w:t>
      </w:r>
    </w:p>
    <w:p>
      <w:pPr>
        <w:bidi w:val="0"/>
        <w:rPr>
          <w:rFonts w:hint="eastAsia"/>
        </w:rPr>
      </w:pPr>
      <w:r>
        <w:rPr>
          <w:rFonts w:hint="eastAsia"/>
        </w:rPr>
        <w:t>本项目施工机械噪声主要是低频噪声，因此只考虑扩散衰减，本预测采用点声源衰减模式，预测模式如下：</w:t>
      </w:r>
    </w:p>
    <w:p>
      <w:pPr>
        <w:bidi w:val="0"/>
        <w:ind w:left="0" w:leftChars="0" w:firstLine="0" w:firstLineChars="0"/>
        <w:jc w:val="center"/>
        <w:rPr>
          <w:rFonts w:hint="eastAsia" w:ascii="宋体" w:hAnsi="宋体" w:eastAsia="宋体"/>
          <w:sz w:val="24"/>
          <w:lang w:eastAsia="zh-CN"/>
        </w:rPr>
      </w:pPr>
      <w:r>
        <w:rPr>
          <w:rFonts w:hint="eastAsia" w:ascii="宋体" w:hAnsi="宋体" w:eastAsia="宋体"/>
          <w:position w:val="-10"/>
          <w:sz w:val="24"/>
          <w:lang w:eastAsia="zh-CN"/>
        </w:rPr>
        <w:object>
          <v:shape id="_x0000_i1032" o:spt="75" type="#_x0000_t75" style="height:17pt;width:94pt;" o:ole="t" filled="f" o:preferrelative="t" stroked="f" coordsize="21600,21600">
            <v:path/>
            <v:fill on="f" focussize="0,0"/>
            <v:stroke on="f"/>
            <v:imagedata r:id="rId36" o:title=""/>
            <o:lock v:ext="edit" aspectratio="t"/>
            <w10:wrap type="none"/>
            <w10:anchorlock/>
          </v:shape>
          <o:OLEObject Type="Embed" ProgID="Equation.KSEE3" ShapeID="_x0000_i1032" DrawAspect="Content" ObjectID="_1468075733" r:id="rId35">
            <o:LockedField>false</o:LockedField>
          </o:OLEObject>
        </w:object>
      </w:r>
    </w:p>
    <w:p>
      <w:pPr>
        <w:bidi w:val="0"/>
        <w:rPr>
          <w:rFonts w:hint="eastAsia"/>
          <w:lang w:val="en-US" w:eastAsia="zh-CN"/>
        </w:rPr>
      </w:pPr>
      <w:r>
        <w:rPr>
          <w:rFonts w:hint="eastAsia"/>
          <w:lang w:val="en-US" w:eastAsia="zh-CN"/>
        </w:rPr>
        <w:t>式中：</w:t>
      </w:r>
    </w:p>
    <w:p>
      <w:pPr>
        <w:bidi w:val="0"/>
        <w:rPr>
          <w:rFonts w:hint="default"/>
          <w:vertAlign w:val="baseline"/>
          <w:lang w:val="en-US" w:eastAsia="zh-CN"/>
        </w:rPr>
      </w:pPr>
      <w:r>
        <w:rPr>
          <w:rFonts w:hint="eastAsia"/>
          <w:lang w:val="en-US" w:eastAsia="zh-CN"/>
        </w:rPr>
        <w:t xml:space="preserve">      L</w:t>
      </w:r>
      <w:r>
        <w:rPr>
          <w:rFonts w:hint="eastAsia"/>
          <w:vertAlign w:val="subscript"/>
          <w:lang w:val="en-US" w:eastAsia="zh-CN"/>
        </w:rPr>
        <w:t>2</w:t>
      </w:r>
      <w:r>
        <w:rPr>
          <w:rFonts w:hint="eastAsia"/>
          <w:vertAlign w:val="baseline"/>
          <w:lang w:val="en-US" w:eastAsia="zh-CN"/>
        </w:rPr>
        <w:t>——距声源r</w:t>
      </w:r>
      <w:r>
        <w:rPr>
          <w:rFonts w:hint="eastAsia"/>
          <w:vertAlign w:val="subscript"/>
          <w:lang w:val="en-US" w:eastAsia="zh-CN"/>
        </w:rPr>
        <w:t>2</w:t>
      </w:r>
      <w:r>
        <w:rPr>
          <w:rFonts w:hint="eastAsia"/>
          <w:vertAlign w:val="baseline"/>
          <w:lang w:val="en-US" w:eastAsia="zh-CN"/>
        </w:rPr>
        <w:t>处声源值[dB（A）]；</w:t>
      </w:r>
    </w:p>
    <w:p>
      <w:pPr>
        <w:bidi w:val="0"/>
        <w:rPr>
          <w:rFonts w:hint="eastAsia"/>
          <w:vertAlign w:val="baseline"/>
          <w:lang w:val="en-US" w:eastAsia="zh-CN"/>
        </w:rPr>
      </w:pPr>
      <w:r>
        <w:rPr>
          <w:rFonts w:hint="eastAsia" w:ascii="宋体" w:hAnsi="宋体"/>
          <w:sz w:val="24"/>
          <w:lang w:val="en-US" w:eastAsia="zh-CN"/>
        </w:rPr>
        <w:t xml:space="preserve">      </w:t>
      </w:r>
      <w:r>
        <w:rPr>
          <w:rFonts w:hint="default" w:ascii="Times New Roman" w:hAnsi="Times New Roman" w:cs="Times New Roman"/>
          <w:sz w:val="24"/>
          <w:lang w:val="en-US" w:eastAsia="zh-CN"/>
        </w:rPr>
        <w:t>L</w:t>
      </w:r>
      <w:r>
        <w:rPr>
          <w:rFonts w:hint="default" w:ascii="Times New Roman" w:hAnsi="Times New Roman" w:cs="Times New Roman"/>
          <w:sz w:val="24"/>
          <w:vertAlign w:val="subscript"/>
          <w:lang w:val="en-US" w:eastAsia="zh-CN"/>
        </w:rPr>
        <w:t>1</w:t>
      </w:r>
      <w:r>
        <w:rPr>
          <w:rFonts w:hint="eastAsia" w:ascii="宋体" w:hAnsi="宋体"/>
          <w:sz w:val="24"/>
          <w:vertAlign w:val="baseline"/>
          <w:lang w:val="en-US" w:eastAsia="zh-CN"/>
        </w:rPr>
        <w:t>——</w:t>
      </w:r>
      <w:r>
        <w:rPr>
          <w:rFonts w:hint="eastAsia"/>
          <w:vertAlign w:val="baseline"/>
          <w:lang w:val="en-US" w:eastAsia="zh-CN"/>
        </w:rPr>
        <w:t>距声源r</w:t>
      </w:r>
      <w:r>
        <w:rPr>
          <w:rFonts w:hint="eastAsia"/>
          <w:vertAlign w:val="subscript"/>
          <w:lang w:val="en-US" w:eastAsia="zh-CN"/>
        </w:rPr>
        <w:t>1</w:t>
      </w:r>
      <w:r>
        <w:rPr>
          <w:rFonts w:hint="eastAsia"/>
          <w:vertAlign w:val="baseline"/>
          <w:lang w:val="en-US" w:eastAsia="zh-CN"/>
        </w:rPr>
        <w:t>处声源值[dB（A）]；</w:t>
      </w:r>
    </w:p>
    <w:p>
      <w:pPr>
        <w:bidi w:val="0"/>
        <w:ind w:left="0" w:leftChars="0" w:firstLine="0" w:firstLineChars="0"/>
        <w:rPr>
          <w:rFonts w:hint="eastAsia"/>
          <w:vertAlign w:val="baseline"/>
          <w:lang w:val="en-US" w:eastAsia="zh-CN"/>
        </w:rPr>
      </w:pPr>
      <w:r>
        <w:rPr>
          <w:rFonts w:hint="eastAsia"/>
          <w:vertAlign w:val="baseline"/>
          <w:lang w:val="en-US" w:eastAsia="zh-CN"/>
        </w:rPr>
        <w:t xml:space="preserve">          r</w:t>
      </w:r>
      <w:r>
        <w:rPr>
          <w:rFonts w:hint="eastAsia"/>
          <w:vertAlign w:val="subscript"/>
          <w:lang w:val="en-US" w:eastAsia="zh-CN"/>
        </w:rPr>
        <w:t>1</w:t>
      </w:r>
      <w:r>
        <w:rPr>
          <w:rFonts w:hint="eastAsia"/>
          <w:vertAlign w:val="baseline"/>
          <w:lang w:val="en-US" w:eastAsia="zh-CN"/>
        </w:rPr>
        <w:t>、r</w:t>
      </w:r>
      <w:r>
        <w:rPr>
          <w:rFonts w:hint="eastAsia"/>
          <w:vertAlign w:val="subscript"/>
          <w:lang w:val="en-US" w:eastAsia="zh-CN"/>
        </w:rPr>
        <w:t>2</w:t>
      </w:r>
      <w:r>
        <w:rPr>
          <w:rFonts w:hint="eastAsia"/>
          <w:vertAlign w:val="baseline"/>
          <w:lang w:val="en-US" w:eastAsia="zh-CN"/>
        </w:rPr>
        <w:t>——距声源的距离（m）。</w:t>
      </w:r>
    </w:p>
    <w:p>
      <w:pPr>
        <w:spacing w:beforeLines="0" w:afterLines="0"/>
        <w:jc w:val="left"/>
        <w:rPr>
          <w:rFonts w:hint="default"/>
          <w:lang w:val="en-US" w:eastAsia="zh-CN"/>
        </w:rPr>
      </w:pPr>
      <w:r>
        <w:rPr>
          <w:rFonts w:hint="eastAsia" w:ascii="宋体" w:hAnsi="宋体" w:eastAsia="宋体"/>
          <w:sz w:val="24"/>
        </w:rPr>
        <w:t>由上式预测单个噪声源在评价点的贡献值，再将不同声源在该点的贡献值用对数法叠加，得出多个噪声源对该点噪声的贡献值，采用的模式如下：</w:t>
      </w:r>
    </w:p>
    <w:p>
      <w:pPr>
        <w:bidi w:val="0"/>
        <w:ind w:left="0" w:leftChars="0" w:firstLine="0" w:firstLineChars="0"/>
        <w:jc w:val="center"/>
        <w:rPr>
          <w:rFonts w:hint="eastAsia" w:ascii="宋体" w:hAnsi="宋体" w:eastAsia="宋体"/>
          <w:sz w:val="24"/>
          <w:lang w:eastAsia="zh-CN"/>
        </w:rPr>
      </w:pPr>
      <w:r>
        <w:rPr>
          <w:rFonts w:hint="eastAsia" w:ascii="宋体" w:hAnsi="宋体" w:eastAsia="宋体"/>
          <w:position w:val="-28"/>
          <w:sz w:val="24"/>
          <w:lang w:eastAsia="zh-CN"/>
        </w:rPr>
        <w:object>
          <v:shape id="_x0000_i1033" o:spt="75" type="#_x0000_t75" style="height:34pt;width:94pt;" o:ole="t" filled="f" o:preferrelative="t" stroked="f" coordsize="21600,21600">
            <v:path/>
            <v:fill on="f" focussize="0,0"/>
            <v:stroke on="f"/>
            <v:imagedata r:id="rId38" o:title=""/>
            <o:lock v:ext="edit" aspectratio="t"/>
            <w10:wrap type="none"/>
            <w10:anchorlock/>
          </v:shape>
          <o:OLEObject Type="Embed" ProgID="Equation.KSEE3" ShapeID="_x0000_i1033" DrawAspect="Content" ObjectID="_1468075734" r:id="rId37">
            <o:LockedField>false</o:LockedField>
          </o:OLEObject>
        </w:object>
      </w:r>
    </w:p>
    <w:p>
      <w:pPr>
        <w:bidi w:val="0"/>
        <w:rPr>
          <w:rFonts w:hint="eastAsia"/>
          <w:lang w:val="en-US" w:eastAsia="zh-CN"/>
        </w:rPr>
      </w:pPr>
      <w:r>
        <w:rPr>
          <w:rFonts w:hint="eastAsia"/>
          <w:lang w:val="en-US" w:eastAsia="zh-CN"/>
        </w:rPr>
        <w:t>式中：</w:t>
      </w:r>
    </w:p>
    <w:p>
      <w:pPr>
        <w:bidi w:val="0"/>
        <w:rPr>
          <w:rFonts w:hint="eastAsia" w:ascii="Times New Roman" w:hAnsi="Times New Roman"/>
          <w:sz w:val="24"/>
          <w:lang w:eastAsia="zh-CN"/>
        </w:rPr>
      </w:pPr>
      <w:r>
        <w:rPr>
          <w:rFonts w:hint="eastAsia"/>
          <w:lang w:val="en-US" w:eastAsia="zh-CN"/>
        </w:rPr>
        <w:t xml:space="preserve">      L——</w:t>
      </w:r>
      <w:r>
        <w:rPr>
          <w:rFonts w:hint="eastAsia" w:ascii="宋体" w:hAnsi="宋体" w:eastAsia="宋体"/>
          <w:sz w:val="24"/>
        </w:rPr>
        <w:t>叠加后总声压级</w:t>
      </w:r>
      <w:r>
        <w:rPr>
          <w:rFonts w:hint="default" w:ascii="Times New Roman" w:hAnsi="Times New Roman" w:eastAsia="Times New Roman"/>
          <w:sz w:val="24"/>
        </w:rPr>
        <w:t>[dB</w:t>
      </w:r>
      <w:r>
        <w:rPr>
          <w:rFonts w:hint="eastAsia" w:eastAsia="宋体"/>
          <w:sz w:val="24"/>
          <w:lang w:eastAsia="zh-CN"/>
        </w:rPr>
        <w:t>（</w:t>
      </w:r>
      <w:r>
        <w:rPr>
          <w:rFonts w:hint="default" w:ascii="Times New Roman" w:hAnsi="Times New Roman" w:eastAsia="Times New Roman"/>
          <w:sz w:val="24"/>
        </w:rPr>
        <w:t>A</w:t>
      </w:r>
      <w:r>
        <w:rPr>
          <w:rFonts w:hint="eastAsia" w:eastAsia="宋体"/>
          <w:sz w:val="24"/>
          <w:lang w:eastAsia="zh-CN"/>
        </w:rPr>
        <w:t>）</w:t>
      </w:r>
      <w:r>
        <w:rPr>
          <w:rFonts w:hint="default" w:ascii="Times New Roman" w:hAnsi="Times New Roman" w:eastAsia="Times New Roman"/>
          <w:sz w:val="24"/>
        </w:rPr>
        <w:t>]</w:t>
      </w:r>
      <w:r>
        <w:rPr>
          <w:rFonts w:hint="eastAsia" w:ascii="Times New Roman" w:hAnsi="Times New Roman"/>
          <w:sz w:val="24"/>
          <w:lang w:eastAsia="zh-CN"/>
        </w:rPr>
        <w:t>；</w:t>
      </w:r>
    </w:p>
    <w:p>
      <w:pPr>
        <w:bidi w:val="0"/>
        <w:rPr>
          <w:rFonts w:hint="default" w:ascii="Times New Roman" w:hAnsi="Times New Roman"/>
          <w:sz w:val="24"/>
          <w:vertAlign w:val="baseline"/>
          <w:lang w:val="en-US" w:eastAsia="zh-CN"/>
        </w:rPr>
      </w:pPr>
      <w:r>
        <w:rPr>
          <w:rFonts w:hint="eastAsia" w:ascii="Times New Roman" w:hAnsi="Times New Roman"/>
          <w:sz w:val="24"/>
          <w:lang w:val="en-US" w:eastAsia="zh-CN"/>
        </w:rPr>
        <w:t xml:space="preserve">      L</w:t>
      </w:r>
      <w:r>
        <w:rPr>
          <w:rFonts w:hint="eastAsia" w:ascii="Times New Roman" w:hAnsi="Times New Roman"/>
          <w:sz w:val="24"/>
          <w:vertAlign w:val="subscript"/>
          <w:lang w:val="en-US" w:eastAsia="zh-CN"/>
        </w:rPr>
        <w:t>i</w:t>
      </w:r>
      <w:r>
        <w:rPr>
          <w:rFonts w:hint="eastAsia"/>
          <w:sz w:val="24"/>
          <w:vertAlign w:val="baseline"/>
          <w:lang w:val="en-US" w:eastAsia="zh-CN"/>
        </w:rPr>
        <w:t>——</w:t>
      </w:r>
      <w:r>
        <w:rPr>
          <w:rFonts w:hint="eastAsia" w:ascii="宋体" w:hAnsi="宋体" w:eastAsia="宋体"/>
          <w:sz w:val="24"/>
        </w:rPr>
        <w:t>各声源的噪声值</w:t>
      </w:r>
      <w:r>
        <w:rPr>
          <w:rFonts w:hint="default" w:ascii="Times New Roman" w:hAnsi="Times New Roman" w:eastAsia="Times New Roman"/>
          <w:sz w:val="24"/>
        </w:rPr>
        <w:t>[dB</w:t>
      </w:r>
      <w:r>
        <w:rPr>
          <w:rFonts w:hint="eastAsia" w:eastAsia="宋体"/>
          <w:sz w:val="24"/>
          <w:lang w:eastAsia="zh-CN"/>
        </w:rPr>
        <w:t>（</w:t>
      </w:r>
      <w:r>
        <w:rPr>
          <w:rFonts w:hint="default" w:ascii="Times New Roman" w:hAnsi="Times New Roman" w:eastAsia="Times New Roman"/>
          <w:sz w:val="24"/>
        </w:rPr>
        <w:t>A</w:t>
      </w:r>
      <w:r>
        <w:rPr>
          <w:rFonts w:hint="eastAsia" w:eastAsia="宋体"/>
          <w:sz w:val="24"/>
          <w:lang w:eastAsia="zh-CN"/>
        </w:rPr>
        <w:t>）</w:t>
      </w:r>
      <w:r>
        <w:rPr>
          <w:rFonts w:hint="default" w:ascii="Times New Roman" w:hAnsi="Times New Roman" w:eastAsia="Times New Roman"/>
          <w:sz w:val="24"/>
        </w:rPr>
        <w:t>]</w:t>
      </w:r>
      <w:r>
        <w:rPr>
          <w:rFonts w:hint="eastAsia" w:ascii="宋体" w:hAnsi="宋体" w:eastAsia="宋体"/>
          <w:sz w:val="24"/>
        </w:rPr>
        <w:t>；</w:t>
      </w:r>
    </w:p>
    <w:p>
      <w:pPr>
        <w:spacing w:beforeLines="0" w:afterLines="0"/>
        <w:jc w:val="left"/>
        <w:rPr>
          <w:rFonts w:hint="eastAsia" w:ascii="宋体" w:hAnsi="宋体" w:eastAsia="宋体"/>
          <w:sz w:val="24"/>
        </w:rPr>
      </w:pPr>
      <w:r>
        <w:rPr>
          <w:rFonts w:hint="eastAsia" w:ascii="宋体" w:hAnsi="宋体" w:eastAsia="宋体"/>
          <w:sz w:val="24"/>
        </w:rPr>
        <w:t>类比各类建筑施工工地的噪声监测值，施工工地的噪声声级峰值约</w:t>
      </w:r>
      <w:r>
        <w:rPr>
          <w:rFonts w:hint="eastAsia" w:eastAsia="宋体"/>
          <w:sz w:val="24"/>
          <w:lang w:val="en-US" w:eastAsia="zh-CN"/>
        </w:rPr>
        <w:t>83</w:t>
      </w:r>
      <w:r>
        <w:rPr>
          <w:rFonts w:hint="default" w:ascii="Times New Roman" w:hAnsi="Times New Roman" w:eastAsia="Times New Roman"/>
          <w:sz w:val="24"/>
        </w:rPr>
        <w:t>dB</w:t>
      </w:r>
      <w:r>
        <w:rPr>
          <w:rFonts w:hint="eastAsia" w:ascii="宋体" w:hAnsi="宋体" w:eastAsia="宋体"/>
          <w:sz w:val="24"/>
        </w:rPr>
        <w:t>，一般情况声级为</w:t>
      </w:r>
      <w:r>
        <w:rPr>
          <w:rFonts w:hint="default" w:ascii="Times New Roman" w:hAnsi="Times New Roman" w:eastAsia="Times New Roman"/>
          <w:sz w:val="24"/>
        </w:rPr>
        <w:t>7</w:t>
      </w:r>
      <w:r>
        <w:rPr>
          <w:rFonts w:hint="eastAsia" w:eastAsia="宋体"/>
          <w:sz w:val="24"/>
          <w:lang w:val="en-US" w:eastAsia="zh-CN"/>
        </w:rPr>
        <w:t>5</w:t>
      </w:r>
      <w:r>
        <w:rPr>
          <w:rFonts w:hint="default" w:ascii="Times New Roman" w:hAnsi="Times New Roman" w:eastAsia="Times New Roman"/>
          <w:sz w:val="24"/>
        </w:rPr>
        <w:t>dB</w:t>
      </w:r>
      <w:r>
        <w:rPr>
          <w:rFonts w:hint="eastAsia" w:ascii="宋体" w:hAnsi="宋体" w:eastAsia="宋体"/>
          <w:sz w:val="24"/>
        </w:rPr>
        <w:t>。施工噪声随距离的衰减情况见表</w:t>
      </w:r>
      <w:r>
        <w:rPr>
          <w:rFonts w:hint="default" w:ascii="Times New Roman" w:hAnsi="Times New Roman" w:eastAsia="Times New Roman"/>
          <w:sz w:val="24"/>
        </w:rPr>
        <w:t>5.1-3</w:t>
      </w:r>
      <w:r>
        <w:rPr>
          <w:rFonts w:hint="eastAsia" w:ascii="宋体" w:hAnsi="宋体" w:eastAsia="宋体"/>
          <w:sz w:val="24"/>
        </w:rPr>
        <w:t>。</w:t>
      </w:r>
    </w:p>
    <w:p>
      <w:pPr>
        <w:pStyle w:val="29"/>
        <w:bidi w:val="0"/>
        <w:rPr>
          <w:rFonts w:hint="eastAsia" w:eastAsia="宋体"/>
          <w:lang w:eastAsia="zh-CN"/>
        </w:rPr>
      </w:pPr>
      <w:r>
        <w:rPr>
          <w:rFonts w:hint="eastAsia"/>
        </w:rPr>
        <w:t>表</w:t>
      </w:r>
      <w:r>
        <w:rPr>
          <w:rFonts w:hint="default"/>
        </w:rPr>
        <w:t>5.1-3</w:t>
      </w:r>
      <w:r>
        <w:rPr>
          <w:rFonts w:hint="eastAsia"/>
          <w:lang w:val="en-US" w:eastAsia="zh-CN"/>
        </w:rPr>
        <w:t xml:space="preserve"> </w:t>
      </w:r>
      <w:r>
        <w:rPr>
          <w:rFonts w:hint="default"/>
        </w:rPr>
        <w:t xml:space="preserve"> </w:t>
      </w:r>
      <w:r>
        <w:rPr>
          <w:rFonts w:hint="eastAsia"/>
        </w:rPr>
        <w:t>施工设备噪声随距离衰减后的声级值</w:t>
      </w:r>
      <w:r>
        <w:rPr>
          <w:rFonts w:hint="eastAsia"/>
          <w:lang w:val="en-US" w:eastAsia="zh-CN"/>
        </w:rPr>
        <w:t xml:space="preserve">    </w:t>
      </w:r>
      <w:r>
        <w:rPr>
          <w:rFonts w:hint="eastAsia"/>
        </w:rPr>
        <w:t>单位：</w:t>
      </w:r>
      <w:r>
        <w:rPr>
          <w:rFonts w:hint="default"/>
        </w:rPr>
        <w:t>dB</w:t>
      </w:r>
      <w:r>
        <w:rPr>
          <w:rFonts w:hint="eastAsia"/>
          <w:lang w:eastAsia="zh-CN"/>
        </w:rPr>
        <w:t>（</w:t>
      </w:r>
      <w:r>
        <w:rPr>
          <w:rFonts w:hint="default"/>
        </w:rPr>
        <w:t>A</w:t>
      </w:r>
      <w:r>
        <w:rPr>
          <w:rFonts w:hint="eastAsia"/>
          <w:lang w:eastAsia="zh-CN"/>
        </w:rPr>
        <w:t>）</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650"/>
        <w:gridCol w:w="650"/>
        <w:gridCol w:w="650"/>
        <w:gridCol w:w="650"/>
        <w:gridCol w:w="650"/>
        <w:gridCol w:w="650"/>
        <w:gridCol w:w="650"/>
        <w:gridCol w:w="650"/>
        <w:gridCol w:w="650"/>
        <w:gridCol w:w="650"/>
        <w:gridCol w:w="650"/>
        <w:gridCol w:w="650"/>
        <w:gridCol w:w="6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9" w:type="dxa"/>
            <w:tcBorders>
              <w:tl2br w:val="nil"/>
              <w:tr2bl w:val="nil"/>
            </w:tcBorders>
            <w:vAlign w:val="center"/>
          </w:tcPr>
          <w:p>
            <w:pPr>
              <w:pStyle w:val="30"/>
              <w:widowControl w:val="0"/>
              <w:jc w:val="center"/>
              <w:rPr>
                <w:rFonts w:hint="eastAsia" w:eastAsia="宋体"/>
                <w:vertAlign w:val="baseline"/>
                <w:lang w:val="en-US" w:eastAsia="zh-CN"/>
              </w:rPr>
            </w:pPr>
            <w:r>
              <w:rPr>
                <w:rFonts w:hint="eastAsia"/>
                <w:vertAlign w:val="baseline"/>
                <w:lang w:val="en-US" w:eastAsia="zh-CN"/>
              </w:rPr>
              <w:t>距离（m）</w:t>
            </w:r>
          </w:p>
        </w:tc>
        <w:tc>
          <w:tcPr>
            <w:tcW w:w="650" w:type="dxa"/>
            <w:tcBorders>
              <w:tl2br w:val="nil"/>
              <w:tr2bl w:val="nil"/>
            </w:tcBorders>
            <w:vAlign w:val="center"/>
          </w:tcPr>
          <w:p>
            <w:pPr>
              <w:pStyle w:val="30"/>
              <w:widowControl w:val="0"/>
              <w:jc w:val="center"/>
              <w:rPr>
                <w:rFonts w:hint="eastAsia" w:eastAsia="宋体"/>
                <w:vertAlign w:val="baseline"/>
                <w:lang w:val="en-US" w:eastAsia="zh-CN"/>
              </w:rPr>
            </w:pPr>
            <w:r>
              <w:rPr>
                <w:rFonts w:hint="eastAsia"/>
                <w:vertAlign w:val="baseline"/>
                <w:lang w:val="en-US" w:eastAsia="zh-CN"/>
              </w:rPr>
              <w:t>5</w:t>
            </w:r>
          </w:p>
        </w:tc>
        <w:tc>
          <w:tcPr>
            <w:tcW w:w="650"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10</w:t>
            </w:r>
          </w:p>
        </w:tc>
        <w:tc>
          <w:tcPr>
            <w:tcW w:w="650"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20</w:t>
            </w:r>
          </w:p>
        </w:tc>
        <w:tc>
          <w:tcPr>
            <w:tcW w:w="650"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40</w:t>
            </w:r>
          </w:p>
        </w:tc>
        <w:tc>
          <w:tcPr>
            <w:tcW w:w="650"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60</w:t>
            </w:r>
          </w:p>
        </w:tc>
        <w:tc>
          <w:tcPr>
            <w:tcW w:w="650"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80</w:t>
            </w:r>
          </w:p>
        </w:tc>
        <w:tc>
          <w:tcPr>
            <w:tcW w:w="650"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100</w:t>
            </w:r>
          </w:p>
        </w:tc>
        <w:tc>
          <w:tcPr>
            <w:tcW w:w="650"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150</w:t>
            </w:r>
          </w:p>
        </w:tc>
        <w:tc>
          <w:tcPr>
            <w:tcW w:w="650"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200</w:t>
            </w:r>
          </w:p>
        </w:tc>
        <w:tc>
          <w:tcPr>
            <w:tcW w:w="650"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250</w:t>
            </w:r>
          </w:p>
        </w:tc>
        <w:tc>
          <w:tcPr>
            <w:tcW w:w="650"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300</w:t>
            </w:r>
          </w:p>
        </w:tc>
        <w:tc>
          <w:tcPr>
            <w:tcW w:w="650"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350</w:t>
            </w:r>
          </w:p>
        </w:tc>
        <w:tc>
          <w:tcPr>
            <w:tcW w:w="653"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9" w:type="dxa"/>
            <w:tcBorders>
              <w:tl2br w:val="nil"/>
              <w:tr2bl w:val="nil"/>
            </w:tcBorders>
            <w:vAlign w:val="center"/>
          </w:tcPr>
          <w:p>
            <w:pPr>
              <w:pStyle w:val="30"/>
              <w:widowControl w:val="0"/>
              <w:jc w:val="center"/>
              <w:rPr>
                <w:rFonts w:hint="eastAsia" w:eastAsia="宋体"/>
                <w:vertAlign w:val="baseline"/>
                <w:lang w:val="en-US" w:eastAsia="zh-CN"/>
              </w:rPr>
            </w:pPr>
            <w:r>
              <w:rPr>
                <w:rFonts w:hint="eastAsia"/>
                <w:vertAlign w:val="baseline"/>
                <w:lang w:val="en-US" w:eastAsia="zh-CN"/>
              </w:rPr>
              <w:t>峰值</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78</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70</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68</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66</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64</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60</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58</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57</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55</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54</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50</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45</w:t>
            </w:r>
          </w:p>
        </w:tc>
        <w:tc>
          <w:tcPr>
            <w:tcW w:w="653"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9"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一般情况</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69</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63</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59</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57</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55</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51</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49</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47</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45</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43</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42</w:t>
            </w:r>
          </w:p>
        </w:tc>
        <w:tc>
          <w:tcPr>
            <w:tcW w:w="65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38</w:t>
            </w:r>
          </w:p>
        </w:tc>
        <w:tc>
          <w:tcPr>
            <w:tcW w:w="653"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vertAlign w:val="baseline"/>
                <w:lang w:val="en-US" w:eastAsia="zh-CN"/>
              </w:rPr>
              <w:t>38</w:t>
            </w:r>
          </w:p>
        </w:tc>
      </w:tr>
    </w:tbl>
    <w:p>
      <w:pPr>
        <w:bidi w:val="0"/>
        <w:rPr>
          <w:rFonts w:hint="eastAsia"/>
        </w:rPr>
      </w:pPr>
      <w:r>
        <w:rPr>
          <w:rFonts w:hint="eastAsia"/>
        </w:rPr>
        <w:t>由上表可以看出，按《建筑施工场界环境噪声排放标准》（</w:t>
      </w:r>
      <w:r>
        <w:rPr>
          <w:rFonts w:hint="default"/>
        </w:rPr>
        <w:t>GB12523-2011</w:t>
      </w:r>
      <w:r>
        <w:rPr>
          <w:rFonts w:hint="eastAsia"/>
        </w:rPr>
        <w:t>）衡量，施工噪声在峰值的达标情况昼间在</w:t>
      </w:r>
      <w:r>
        <w:rPr>
          <w:rFonts w:hint="default"/>
        </w:rPr>
        <w:t>50m</w:t>
      </w:r>
      <w:r>
        <w:rPr>
          <w:rFonts w:hint="eastAsia"/>
        </w:rPr>
        <w:t>处即可达标，夜间则要</w:t>
      </w:r>
      <w:r>
        <w:rPr>
          <w:rFonts w:hint="default"/>
        </w:rPr>
        <w:t>300m</w:t>
      </w:r>
      <w:r>
        <w:rPr>
          <w:rFonts w:hint="eastAsia"/>
        </w:rPr>
        <w:t>可能达标。按《声环境质量标准》（</w:t>
      </w:r>
      <w:r>
        <w:rPr>
          <w:rFonts w:hint="default"/>
        </w:rPr>
        <w:t>GB3096-2008</w:t>
      </w:r>
      <w:r>
        <w:rPr>
          <w:rFonts w:hint="eastAsia"/>
        </w:rPr>
        <w:t>）的</w:t>
      </w:r>
      <w:r>
        <w:rPr>
          <w:rFonts w:hint="default"/>
        </w:rPr>
        <w:t>2</w:t>
      </w:r>
      <w:r>
        <w:rPr>
          <w:rFonts w:hint="eastAsia"/>
        </w:rPr>
        <w:t>类标准，在一般情况下，昼、夜间达标距离分别在</w:t>
      </w:r>
      <w:r>
        <w:rPr>
          <w:rFonts w:hint="default"/>
        </w:rPr>
        <w:t>150m</w:t>
      </w:r>
      <w:r>
        <w:rPr>
          <w:rFonts w:hint="eastAsia"/>
        </w:rPr>
        <w:t>、</w:t>
      </w:r>
      <w:r>
        <w:rPr>
          <w:rFonts w:hint="default"/>
        </w:rPr>
        <w:t>400m</w:t>
      </w:r>
      <w:r>
        <w:rPr>
          <w:rFonts w:hint="eastAsia"/>
        </w:rPr>
        <w:t>。</w:t>
      </w:r>
    </w:p>
    <w:p>
      <w:pPr>
        <w:bidi w:val="0"/>
        <w:rPr>
          <w:rFonts w:hint="eastAsia"/>
        </w:rPr>
      </w:pPr>
      <w:r>
        <w:rPr>
          <w:rFonts w:hint="eastAsia"/>
        </w:rPr>
        <w:t>通过采取减震、消声、设置临时隔声屏障等措施，降噪值可达</w:t>
      </w:r>
      <w:r>
        <w:rPr>
          <w:rFonts w:hint="default"/>
        </w:rPr>
        <w:t>3~10dB</w:t>
      </w:r>
      <w:r>
        <w:rPr>
          <w:rFonts w:hint="eastAsia"/>
          <w:lang w:eastAsia="zh-CN"/>
        </w:rPr>
        <w:t>（</w:t>
      </w:r>
      <w:r>
        <w:rPr>
          <w:rFonts w:hint="default"/>
        </w:rPr>
        <w:t>A</w:t>
      </w:r>
      <w:r>
        <w:rPr>
          <w:rFonts w:hint="eastAsia"/>
          <w:lang w:eastAsia="zh-CN"/>
        </w:rPr>
        <w:t>）</w:t>
      </w:r>
      <w:r>
        <w:rPr>
          <w:rFonts w:hint="eastAsia"/>
        </w:rPr>
        <w:t>。经距离衰减，昼间施工场界噪声可控制在</w:t>
      </w:r>
      <w:r>
        <w:rPr>
          <w:rFonts w:hint="default"/>
        </w:rPr>
        <w:t>150m</w:t>
      </w:r>
      <w:r>
        <w:rPr>
          <w:rFonts w:hint="eastAsia"/>
        </w:rPr>
        <w:t>范围达标。根据业主提供资料，项目周边</w:t>
      </w:r>
      <w:r>
        <w:rPr>
          <w:rFonts w:hint="default"/>
        </w:rPr>
        <w:t>200m</w:t>
      </w:r>
      <w:r>
        <w:rPr>
          <w:rFonts w:hint="eastAsia"/>
        </w:rPr>
        <w:t>范围居民通过租赁方式将其迁居，不会对其造成影响。</w:t>
      </w:r>
    </w:p>
    <w:p>
      <w:pPr>
        <w:bidi w:val="0"/>
        <w:rPr>
          <w:rFonts w:hint="eastAsia"/>
        </w:rPr>
      </w:pPr>
      <w:r>
        <w:rPr>
          <w:rFonts w:hint="eastAsia"/>
        </w:rPr>
        <w:t>由于施工场地宽广，施工噪声源具有不固定性，施工场界噪声达标时，施工噪声仍会不可避免地影响周围区域的环境质量。当施工机械距离保护目标近时，施工噪声影响较重，反之则较轻。施工单位在未来施工过程中，应做好噪声防护措施，采用低噪声设备，严禁夜间施工，避免噪声扰民。</w:t>
      </w:r>
    </w:p>
    <w:p>
      <w:pPr>
        <w:bidi w:val="0"/>
        <w:rPr>
          <w:rFonts w:hint="eastAsia"/>
        </w:rPr>
      </w:pPr>
      <w:r>
        <w:rPr>
          <w:rFonts w:hint="eastAsia"/>
        </w:rPr>
        <w:t>施工噪声影响是暂时的，将随着施工期的结束而消失，在采取上述噪声防治措施后，项目施工不会对评价范围内声学环境产生不利影响。</w:t>
      </w:r>
    </w:p>
    <w:p>
      <w:pPr>
        <w:pStyle w:val="5"/>
        <w:bidi w:val="0"/>
        <w:rPr>
          <w:rFonts w:hint="default"/>
          <w:lang w:val="en-US" w:eastAsia="zh-CN"/>
        </w:rPr>
      </w:pPr>
      <w:r>
        <w:rPr>
          <w:rFonts w:hint="eastAsia"/>
          <w:lang w:val="en-US" w:eastAsia="zh-CN"/>
        </w:rPr>
        <w:t>固废影响分析及评价</w:t>
      </w:r>
    </w:p>
    <w:p>
      <w:pPr>
        <w:spacing w:beforeLines="0" w:afterLines="0"/>
        <w:jc w:val="left"/>
        <w:rPr>
          <w:rFonts w:hint="eastAsia" w:ascii="宋体" w:hAnsi="宋体" w:eastAsia="宋体"/>
          <w:sz w:val="24"/>
        </w:rPr>
      </w:pPr>
      <w:r>
        <w:rPr>
          <w:rFonts w:hint="eastAsia" w:ascii="宋体" w:hAnsi="宋体" w:eastAsia="宋体"/>
          <w:sz w:val="24"/>
        </w:rPr>
        <w:t>施工期产生的固体废物主要有施工过程中产生的建筑垃圾和由施工人员产生的生活垃圾两类。相对而言，施工期固体废物具有产生量大、时间集中的特点，对环境污染是暂时性的，可采取一些临时性措施加以保护。</w:t>
      </w:r>
    </w:p>
    <w:p>
      <w:pPr>
        <w:spacing w:beforeLines="0" w:afterLines="0"/>
        <w:jc w:val="left"/>
        <w:rPr>
          <w:rFonts w:hint="eastAsia" w:ascii="宋体" w:hAnsi="宋体" w:eastAsia="宋体"/>
          <w:sz w:val="24"/>
        </w:rPr>
      </w:pPr>
      <w:r>
        <w:rPr>
          <w:rFonts w:hint="eastAsia" w:ascii="宋体" w:hAnsi="宋体" w:eastAsia="宋体"/>
          <w:sz w:val="24"/>
        </w:rPr>
        <w:t>在不能得到及时清运的情况下，建筑垃圾中的</w:t>
      </w:r>
      <w:r>
        <w:rPr>
          <w:rFonts w:hint="eastAsia" w:ascii="宋体" w:hAnsi="宋体"/>
          <w:sz w:val="24"/>
          <w:lang w:val="en-US" w:eastAsia="zh-CN"/>
        </w:rPr>
        <w:t>泡沫、包装袋</w:t>
      </w:r>
      <w:r>
        <w:rPr>
          <w:rFonts w:hint="eastAsia" w:ascii="宋体" w:hAnsi="宋体" w:eastAsia="宋体"/>
          <w:sz w:val="24"/>
        </w:rPr>
        <w:t>等无机成分的影响主要表现为：在旱季，受季风的作用，垃圾中的比重较轻的（例如塑料袋、</w:t>
      </w:r>
      <w:r>
        <w:rPr>
          <w:rFonts w:hint="eastAsia" w:ascii="宋体" w:hAnsi="宋体"/>
          <w:sz w:val="24"/>
          <w:lang w:val="en-US" w:eastAsia="zh-CN"/>
        </w:rPr>
        <w:t>泡沫粒</w:t>
      </w:r>
      <w:r>
        <w:rPr>
          <w:rFonts w:hint="eastAsia" w:ascii="宋体" w:hAnsi="宋体" w:eastAsia="宋体"/>
          <w:sz w:val="24"/>
        </w:rPr>
        <w:t>）和粒径稍小的尘埃随风扬起污染附近区域的环境空气和环境卫生。在雨季，随暴雨和地表径流的冲刷，泥沙将堵塞下水管涵、污染附近的水体等。</w:t>
      </w:r>
    </w:p>
    <w:p>
      <w:pPr>
        <w:spacing w:beforeLines="0" w:afterLines="0"/>
        <w:jc w:val="left"/>
        <w:rPr>
          <w:rFonts w:hint="eastAsia" w:ascii="宋体" w:hAnsi="宋体" w:eastAsia="宋体"/>
          <w:sz w:val="24"/>
        </w:rPr>
      </w:pPr>
      <w:r>
        <w:rPr>
          <w:rFonts w:hint="eastAsia" w:ascii="宋体" w:hAnsi="宋体" w:eastAsia="宋体"/>
          <w:sz w:val="24"/>
        </w:rPr>
        <w:t>施工期间施工人员生活垃圾不断产出，应及时清运。</w:t>
      </w:r>
    </w:p>
    <w:p>
      <w:pPr>
        <w:bidi w:val="0"/>
        <w:rPr>
          <w:rFonts w:hint="eastAsia" w:ascii="宋体" w:hAnsi="宋体" w:eastAsia="宋体"/>
          <w:sz w:val="24"/>
        </w:rPr>
      </w:pPr>
      <w:r>
        <w:rPr>
          <w:rFonts w:hint="eastAsia" w:ascii="宋体" w:hAnsi="宋体" w:eastAsia="宋体"/>
          <w:sz w:val="24"/>
        </w:rPr>
        <w:t>为减小固体废物对周围环境的影响，环评提出以下要求：</w:t>
      </w:r>
    </w:p>
    <w:p>
      <w:pPr>
        <w:bidi w:val="0"/>
        <w:rPr>
          <w:rFonts w:hint="eastAsia"/>
        </w:rPr>
      </w:pPr>
      <w:r>
        <w:rPr>
          <w:rFonts w:hint="eastAsia"/>
        </w:rPr>
        <w:t>（</w:t>
      </w:r>
      <w:r>
        <w:rPr>
          <w:rFonts w:hint="default"/>
        </w:rPr>
        <w:t>1</w:t>
      </w:r>
      <w:r>
        <w:rPr>
          <w:rFonts w:hint="eastAsia"/>
        </w:rPr>
        <w:t>）施工单位应确保运输过程中保持路面整洁，施工单位应有专人负责，对建筑垃圾的处置实施现场管理。</w:t>
      </w:r>
    </w:p>
    <w:p>
      <w:pPr>
        <w:bidi w:val="0"/>
        <w:rPr>
          <w:rFonts w:hint="eastAsia"/>
        </w:rPr>
      </w:pPr>
      <w:r>
        <w:rPr>
          <w:rFonts w:hint="eastAsia"/>
        </w:rPr>
        <w:t>（</w:t>
      </w:r>
      <w:r>
        <w:rPr>
          <w:rFonts w:hint="default"/>
        </w:rPr>
        <w:t>2</w:t>
      </w:r>
      <w:r>
        <w:rPr>
          <w:rFonts w:hint="eastAsia"/>
        </w:rPr>
        <w:t>）施工人员产生的生活垃圾，主要有食物残渣、塑料包装制品等，若堆置不当或清运不及时，则容易</w:t>
      </w:r>
      <w:r>
        <w:rPr>
          <w:rFonts w:hint="eastAsia"/>
          <w:lang w:eastAsia="zh-CN"/>
        </w:rPr>
        <w:t>滋生</w:t>
      </w:r>
      <w:r>
        <w:rPr>
          <w:rFonts w:hint="eastAsia"/>
        </w:rPr>
        <w:t>蚊蝇，引起疾病传播，对项目拟建地区域及其附近区域的空气环境、水环境、土壤环境等产生一定的影响。施工人员每日产生的生活垃圾经过袋装收集后，由环卫部门定期清，不会对区域环境空气和水环境质量构成潜在的影响因素。</w:t>
      </w:r>
    </w:p>
    <w:p>
      <w:pPr>
        <w:spacing w:beforeLines="0" w:afterLines="0"/>
        <w:jc w:val="left"/>
        <w:rPr>
          <w:rFonts w:hint="eastAsia" w:ascii="宋体" w:hAnsi="宋体" w:eastAsia="宋体"/>
          <w:sz w:val="24"/>
        </w:rPr>
      </w:pPr>
      <w:r>
        <w:rPr>
          <w:rFonts w:hint="eastAsia"/>
        </w:rPr>
        <w:t>（</w:t>
      </w:r>
      <w:r>
        <w:rPr>
          <w:rFonts w:hint="default"/>
        </w:rPr>
        <w:t>3</w:t>
      </w:r>
      <w:r>
        <w:rPr>
          <w:rFonts w:hint="eastAsia"/>
        </w:rPr>
        <w:t>）在工程竣工以后，施工单位应同时拆除各种临时施工设施，并负责将工地的剩余建筑垃圾、工程渣土处理干净，做到</w:t>
      </w:r>
      <w:r>
        <w:rPr>
          <w:rFonts w:hint="eastAsia"/>
          <w:lang w:eastAsia="zh-CN"/>
        </w:rPr>
        <w:t>“</w:t>
      </w:r>
      <w:r>
        <w:rPr>
          <w:rFonts w:hint="eastAsia"/>
        </w:rPr>
        <w:t>工完、料尽、场地清</w:t>
      </w:r>
      <w:r>
        <w:rPr>
          <w:rFonts w:hint="eastAsia"/>
          <w:lang w:eastAsia="zh-CN"/>
        </w:rPr>
        <w:t>”</w:t>
      </w:r>
      <w:r>
        <w:rPr>
          <w:rFonts w:hint="eastAsia"/>
        </w:rPr>
        <w:t>。建设单位应负责督促施工单位</w:t>
      </w:r>
      <w:r>
        <w:rPr>
          <w:rFonts w:hint="eastAsia" w:ascii="宋体" w:hAnsi="宋体" w:eastAsia="宋体"/>
          <w:sz w:val="24"/>
        </w:rPr>
        <w:t>的固体废物处置清理工作。</w:t>
      </w:r>
    </w:p>
    <w:p>
      <w:pPr>
        <w:spacing w:beforeLines="0" w:afterLines="0"/>
        <w:jc w:val="left"/>
        <w:rPr>
          <w:rFonts w:hint="eastAsia"/>
          <w:b/>
          <w:bCs/>
        </w:rPr>
      </w:pPr>
      <w:r>
        <w:rPr>
          <w:rFonts w:hint="eastAsia" w:ascii="宋体" w:hAnsi="宋体" w:eastAsia="宋体"/>
          <w:b/>
          <w:bCs/>
          <w:sz w:val="24"/>
        </w:rPr>
        <w:t>综上所述，采取以上措施后，项目施工期间产生的固体废弃物均能得到清洁处理和处置，施工期产生的固废对周围环境的影响较小。</w:t>
      </w:r>
    </w:p>
    <w:p>
      <w:pPr>
        <w:pStyle w:val="5"/>
        <w:bidi w:val="0"/>
        <w:rPr>
          <w:rFonts w:hint="default"/>
          <w:lang w:val="en-US" w:eastAsia="zh-CN"/>
        </w:rPr>
      </w:pPr>
      <w:r>
        <w:rPr>
          <w:rFonts w:hint="eastAsia"/>
          <w:lang w:val="en-US" w:eastAsia="zh-CN"/>
        </w:rPr>
        <w:t>生态环境影响分析及评价</w:t>
      </w:r>
    </w:p>
    <w:p>
      <w:pPr>
        <w:bidi w:val="0"/>
        <w:rPr>
          <w:rFonts w:hint="eastAsia"/>
        </w:rPr>
      </w:pPr>
      <w:r>
        <w:rPr>
          <w:rFonts w:hint="eastAsia"/>
        </w:rPr>
        <w:t>本工程</w:t>
      </w:r>
      <w:r>
        <w:rPr>
          <w:rFonts w:hint="eastAsia"/>
          <w:lang w:val="en-US" w:eastAsia="zh-CN"/>
        </w:rPr>
        <w:t>主体工程</w:t>
      </w:r>
      <w:r>
        <w:rPr>
          <w:rFonts w:hint="eastAsia"/>
        </w:rPr>
        <w:t>建设</w:t>
      </w:r>
      <w:r>
        <w:rPr>
          <w:rFonts w:hint="eastAsia"/>
          <w:lang w:val="en-US" w:eastAsia="zh-CN"/>
        </w:rPr>
        <w:t>期以结束，一定量的</w:t>
      </w:r>
      <w:r>
        <w:rPr>
          <w:rFonts w:hint="eastAsia"/>
        </w:rPr>
        <w:t>破坏</w:t>
      </w:r>
      <w:r>
        <w:rPr>
          <w:rFonts w:hint="eastAsia"/>
          <w:lang w:eastAsia="zh-CN"/>
        </w:rPr>
        <w:t>了</w:t>
      </w:r>
      <w:r>
        <w:rPr>
          <w:rFonts w:hint="eastAsia"/>
        </w:rPr>
        <w:t>原地貌水土保持功能，施工开挖将原地表植被、地面组成物质以及地形地貌破坏或扰动，使区域的表层土松散裸露或形成松散堆积体，失去原有植被的防冲、固土能力，在降雨等自然因素影响下，将造成新增的水土流失。</w:t>
      </w:r>
    </w:p>
    <w:p>
      <w:pPr>
        <w:bidi w:val="0"/>
        <w:rPr>
          <w:rFonts w:hint="eastAsia"/>
        </w:rPr>
      </w:pPr>
      <w:r>
        <w:rPr>
          <w:rFonts w:hint="eastAsia"/>
          <w:lang w:val="en-US" w:eastAsia="zh-CN"/>
        </w:rPr>
        <w:t>现主体工程已建设完成</w:t>
      </w:r>
      <w:r>
        <w:rPr>
          <w:rFonts w:hint="eastAsia"/>
        </w:rPr>
        <w:t>，厂内硬化程度大大提高，降水形成的地表径流量增大。</w:t>
      </w:r>
      <w:r>
        <w:rPr>
          <w:rFonts w:hint="eastAsia"/>
          <w:lang w:val="en-US" w:eastAsia="zh-CN"/>
        </w:rPr>
        <w:t>待项目施工会恢复后</w:t>
      </w:r>
      <w:r>
        <w:rPr>
          <w:rFonts w:hint="eastAsia"/>
        </w:rPr>
        <w:t>，及时对项目区绿化占地覆土、绿化，恢复项目区景观绿化。</w:t>
      </w:r>
    </w:p>
    <w:p>
      <w:pPr>
        <w:bidi w:val="0"/>
        <w:rPr>
          <w:rFonts w:hint="eastAsia"/>
        </w:rPr>
      </w:pPr>
      <w:r>
        <w:rPr>
          <w:rFonts w:hint="eastAsia"/>
        </w:rPr>
        <w:t>项目场外管网敷设过程中对临时占用的土地植被具有一定的破坏，但由于管线长度较短，工程沿线均为普通的人工栽种植被以及灌木植被，无珍稀、名贵树种分布，在施工</w:t>
      </w:r>
      <w:r>
        <w:rPr>
          <w:rFonts w:hint="eastAsia"/>
          <w:lang w:val="en-US" w:eastAsia="zh-CN"/>
        </w:rPr>
        <w:t>回复后</w:t>
      </w:r>
      <w:r>
        <w:rPr>
          <w:rFonts w:hint="eastAsia"/>
          <w:lang w:eastAsia="zh-CN"/>
        </w:rPr>
        <w:t>及时</w:t>
      </w:r>
      <w:r>
        <w:rPr>
          <w:rFonts w:hint="eastAsia"/>
        </w:rPr>
        <w:t>进行植被和景观恢复，对生态影响较小。</w:t>
      </w:r>
    </w:p>
    <w:p>
      <w:pPr>
        <w:bidi w:val="0"/>
        <w:rPr>
          <w:rFonts w:hint="eastAsia"/>
        </w:rPr>
      </w:pPr>
      <w:r>
        <w:rPr>
          <w:rFonts w:hint="eastAsia"/>
        </w:rPr>
        <w:t>环评要求，</w:t>
      </w:r>
      <w:r>
        <w:rPr>
          <w:rFonts w:hint="eastAsia"/>
          <w:lang w:val="en-US" w:eastAsia="zh-CN"/>
        </w:rPr>
        <w:t>待施工恢复</w:t>
      </w:r>
      <w:r>
        <w:rPr>
          <w:rFonts w:hint="eastAsia"/>
        </w:rPr>
        <w:t>后，及时将工地的剩余建筑垃圾、工程渣土处理干净，并进行路面硬化和空地绿化，搞好植被的恢复、再造。</w:t>
      </w:r>
    </w:p>
    <w:p>
      <w:pPr>
        <w:bidi w:val="0"/>
        <w:rPr>
          <w:rFonts w:hint="eastAsia"/>
        </w:rPr>
      </w:pPr>
      <w:r>
        <w:rPr>
          <w:rFonts w:hint="eastAsia"/>
        </w:rPr>
        <w:t>经采取上述措施，可将项目可能造成的水土流失影响降至最低。</w:t>
      </w:r>
    </w:p>
    <w:p>
      <w:pPr>
        <w:pStyle w:val="5"/>
        <w:bidi w:val="0"/>
        <w:rPr>
          <w:rFonts w:hint="default"/>
          <w:lang w:val="en-US" w:eastAsia="zh-CN"/>
        </w:rPr>
      </w:pPr>
      <w:r>
        <w:rPr>
          <w:rFonts w:hint="eastAsia"/>
          <w:lang w:val="en-US" w:eastAsia="zh-CN"/>
        </w:rPr>
        <w:t>小结</w:t>
      </w:r>
    </w:p>
    <w:p>
      <w:pPr>
        <w:bidi w:val="0"/>
        <w:rPr>
          <w:rFonts w:hint="eastAsia"/>
        </w:rPr>
      </w:pPr>
      <w:r>
        <w:rPr>
          <w:rFonts w:hint="eastAsia"/>
        </w:rPr>
        <w:t>项目施工期对环境的影响是局部的、暂时的，主要环境污染表现为施工工地扬尘、施工机械、运输车辆的废气、施工机械、大中型运输车辆产生的噪声以及施工废水，此外还有建筑垃圾、生活垃圾等固体废弃物。这些都不可避免地会对周围环境，特别是噪声和大气环境产生不良影响。根据分析，通过采取措施，扬尘影响、施工噪声均可控制在</w:t>
      </w:r>
      <w:r>
        <w:rPr>
          <w:rFonts w:hint="default"/>
        </w:rPr>
        <w:t>50m</w:t>
      </w:r>
      <w:r>
        <w:rPr>
          <w:rFonts w:hint="eastAsia"/>
        </w:rPr>
        <w:t>范围内，对周围环境影响较小。</w:t>
      </w:r>
    </w:p>
    <w:p>
      <w:pPr>
        <w:bidi w:val="0"/>
        <w:rPr>
          <w:rFonts w:hint="eastAsia"/>
        </w:rPr>
      </w:pPr>
      <w:r>
        <w:rPr>
          <w:rFonts w:hint="eastAsia"/>
        </w:rPr>
        <w:t>因此，严格按环评文件及环保批复的要求进行管理，可将施工期影响降到</w:t>
      </w:r>
      <w:r>
        <w:rPr>
          <w:rFonts w:hint="eastAsia"/>
          <w:lang w:eastAsia="zh-CN"/>
        </w:rPr>
        <w:t>最低程度</w:t>
      </w:r>
      <w:r>
        <w:rPr>
          <w:rFonts w:hint="eastAsia"/>
        </w:rPr>
        <w:t>。</w:t>
      </w:r>
    </w:p>
    <w:p>
      <w:pPr>
        <w:pStyle w:val="4"/>
        <w:bidi w:val="0"/>
        <w:rPr>
          <w:rFonts w:hint="default"/>
          <w:lang w:val="en-US" w:eastAsia="zh-CN"/>
        </w:rPr>
      </w:pPr>
      <w:bookmarkStart w:id="54" w:name="_Toc19500"/>
      <w:r>
        <w:rPr>
          <w:rFonts w:hint="eastAsia"/>
          <w:lang w:val="en-US" w:eastAsia="zh-CN"/>
        </w:rPr>
        <w:t>营运期环境影响预测与评价</w:t>
      </w:r>
      <w:bookmarkEnd w:id="54"/>
    </w:p>
    <w:p>
      <w:pPr>
        <w:pStyle w:val="5"/>
        <w:bidi w:val="0"/>
        <w:rPr>
          <w:rFonts w:hint="default"/>
          <w:lang w:val="en-US" w:eastAsia="zh-CN"/>
        </w:rPr>
      </w:pPr>
      <w:r>
        <w:rPr>
          <w:rFonts w:hint="eastAsia"/>
          <w:lang w:val="en-US" w:eastAsia="zh-CN"/>
        </w:rPr>
        <w:t>地表水环境影响分析</w:t>
      </w:r>
    </w:p>
    <w:p>
      <w:pPr>
        <w:bidi w:val="0"/>
        <w:rPr>
          <w:rFonts w:hint="eastAsia" w:eastAsia="宋体"/>
          <w:lang w:eastAsia="zh-CN"/>
        </w:rPr>
      </w:pPr>
      <w:r>
        <w:rPr>
          <w:rFonts w:hint="eastAsia"/>
        </w:rPr>
        <w:t>本项目废水进入</w:t>
      </w:r>
      <w:r>
        <w:rPr>
          <w:rFonts w:hint="eastAsia"/>
          <w:lang w:val="en-US" w:eastAsia="zh-CN"/>
        </w:rPr>
        <w:t>经自建污水处理站处理后一部分回用于进出车辆冲洗、地面冲洗、待宰圈冲洗和洗涤塔补水等，剩余部分用于农田灌溉，不外排。</w:t>
      </w:r>
      <w:r>
        <w:rPr>
          <w:rFonts w:hint="eastAsia"/>
        </w:rPr>
        <w:t>根据《环境影响评价技术导则—地表水环境》（</w:t>
      </w:r>
      <w:r>
        <w:rPr>
          <w:rFonts w:hint="default"/>
        </w:rPr>
        <w:t>HJ2.3</w:t>
      </w:r>
      <w:r>
        <w:rPr>
          <w:rFonts w:hint="eastAsia"/>
        </w:rPr>
        <w:t>—</w:t>
      </w:r>
      <w:r>
        <w:rPr>
          <w:rFonts w:hint="default"/>
        </w:rPr>
        <w:t>2018</w:t>
      </w:r>
      <w:r>
        <w:rPr>
          <w:rFonts w:hint="eastAsia"/>
        </w:rPr>
        <w:t>），本项目为水污染影响型</w:t>
      </w:r>
      <w:r>
        <w:rPr>
          <w:rFonts w:hint="eastAsia"/>
          <w:lang w:val="en-US" w:eastAsia="zh-CN"/>
        </w:rPr>
        <w:t>三级B</w:t>
      </w:r>
      <w:r>
        <w:rPr>
          <w:rFonts w:hint="eastAsia"/>
        </w:rPr>
        <w:t>评价，可不进行水环境影响预测，进行地表水环境影响评价，</w:t>
      </w:r>
      <w:r>
        <w:rPr>
          <w:rFonts w:hint="eastAsia"/>
          <w:lang w:eastAsia="zh-CN"/>
        </w:rPr>
        <w:t>“</w:t>
      </w:r>
      <w:r>
        <w:rPr>
          <w:rFonts w:hint="default"/>
        </w:rPr>
        <w:t>8.1.2</w:t>
      </w:r>
      <w:r>
        <w:rPr>
          <w:rFonts w:hint="eastAsia"/>
        </w:rPr>
        <w:t>水污染影响型三级</w:t>
      </w:r>
      <w:r>
        <w:rPr>
          <w:rFonts w:hint="default"/>
        </w:rPr>
        <w:t>B</w:t>
      </w:r>
      <w:r>
        <w:rPr>
          <w:rFonts w:hint="eastAsia"/>
        </w:rPr>
        <w:t>评价。主要评价内容包括：</w:t>
      </w:r>
      <w:r>
        <w:rPr>
          <w:rFonts w:hint="default"/>
        </w:rPr>
        <w:t>a</w:t>
      </w:r>
      <w:r>
        <w:rPr>
          <w:rFonts w:hint="eastAsia"/>
        </w:rPr>
        <w:t>）水污染控制和水环境影响减缓措施有效性评价；</w:t>
      </w:r>
      <w:r>
        <w:rPr>
          <w:rFonts w:hint="default"/>
        </w:rPr>
        <w:t>b</w:t>
      </w:r>
      <w:r>
        <w:rPr>
          <w:rFonts w:hint="eastAsia"/>
        </w:rPr>
        <w:t>）依托污水处理设施的环境可行性评价。</w:t>
      </w:r>
      <w:r>
        <w:rPr>
          <w:rFonts w:hint="eastAsia"/>
          <w:lang w:eastAsia="zh-CN"/>
        </w:rPr>
        <w:t>”</w:t>
      </w:r>
      <w:r>
        <w:rPr>
          <w:rFonts w:hint="eastAsia"/>
        </w:rPr>
        <w:t>。</w:t>
      </w:r>
    </w:p>
    <w:p>
      <w:pPr>
        <w:pStyle w:val="6"/>
        <w:bidi w:val="0"/>
        <w:rPr>
          <w:rFonts w:hint="default"/>
          <w:lang w:val="en-US" w:eastAsia="zh-CN"/>
        </w:rPr>
      </w:pPr>
      <w:r>
        <w:rPr>
          <w:rFonts w:hint="eastAsia"/>
          <w:lang w:val="en-US" w:eastAsia="zh-CN"/>
        </w:rPr>
        <w:t>水污染控制和水环境影响减缓措施有效性评价</w:t>
      </w:r>
    </w:p>
    <w:p>
      <w:pPr>
        <w:bidi w:val="0"/>
        <w:rPr>
          <w:rFonts w:hint="eastAsia"/>
        </w:rPr>
      </w:pPr>
      <w:r>
        <w:rPr>
          <w:rFonts w:hint="eastAsia"/>
        </w:rPr>
        <w:t>本项目拟设置一座处理能力为</w:t>
      </w:r>
      <w:r>
        <w:rPr>
          <w:rFonts w:hint="eastAsia"/>
          <w:lang w:val="en-US" w:eastAsia="zh-CN"/>
        </w:rPr>
        <w:t>1000</w:t>
      </w:r>
      <w:r>
        <w:rPr>
          <w:rFonts w:hint="default"/>
        </w:rPr>
        <w:t>m</w:t>
      </w:r>
      <w:r>
        <w:rPr>
          <w:rFonts w:hint="default"/>
          <w:vertAlign w:val="superscript"/>
        </w:rPr>
        <w:t>3</w:t>
      </w:r>
      <w:r>
        <w:rPr>
          <w:rFonts w:hint="default"/>
        </w:rPr>
        <w:t>/d</w:t>
      </w:r>
      <w:r>
        <w:rPr>
          <w:rFonts w:hint="eastAsia"/>
        </w:rPr>
        <w:t>的污水处理站，处理工艺采用</w:t>
      </w:r>
      <w:r>
        <w:rPr>
          <w:rFonts w:hint="eastAsia"/>
          <w:lang w:eastAsia="zh-CN"/>
        </w:rPr>
        <w:t>“格栅池+沉渣池+多功能生物调节池+气浮沉渣池+厌氧池+初沉池+缺氧池1+好氧池1+缺氧池2+好氧池2+二沉池+生物滤池+混凝沉淀池+过滤池+紫外线消毒+清水池”</w:t>
      </w:r>
      <w:r>
        <w:rPr>
          <w:rFonts w:hint="eastAsia"/>
        </w:rPr>
        <w:t>组合工艺，项目废水经处理</w:t>
      </w:r>
      <w:r>
        <w:rPr>
          <w:rFonts w:hint="eastAsia"/>
          <w:lang w:val="en-US" w:eastAsia="zh-CN"/>
        </w:rPr>
        <w:t>可达到</w:t>
      </w:r>
      <w:r>
        <w:rPr>
          <w:rFonts w:hint="eastAsia"/>
        </w:rPr>
        <w:t>《肉类加工工业水污染物排放标准》（</w:t>
      </w:r>
      <w:r>
        <w:rPr>
          <w:rFonts w:hint="default"/>
        </w:rPr>
        <w:t>GB13457-92</w:t>
      </w:r>
      <w:r>
        <w:rPr>
          <w:rFonts w:hint="eastAsia"/>
        </w:rPr>
        <w:t>）表</w:t>
      </w:r>
      <w:r>
        <w:rPr>
          <w:rFonts w:hint="default"/>
        </w:rPr>
        <w:t>3</w:t>
      </w:r>
      <w:r>
        <w:rPr>
          <w:rFonts w:hint="eastAsia"/>
        </w:rPr>
        <w:t>畜类屠宰</w:t>
      </w:r>
      <w:r>
        <w:rPr>
          <w:rFonts w:hint="eastAsia"/>
          <w:lang w:val="en-US" w:eastAsia="zh-CN"/>
        </w:rPr>
        <w:t>一</w:t>
      </w:r>
      <w:r>
        <w:rPr>
          <w:rFonts w:hint="eastAsia"/>
        </w:rPr>
        <w:t>级排放标准</w:t>
      </w:r>
      <w:r>
        <w:rPr>
          <w:rFonts w:hint="eastAsia"/>
          <w:lang w:eastAsia="zh-CN"/>
        </w:rPr>
        <w:t>，</w:t>
      </w:r>
      <w:r>
        <w:rPr>
          <w:rFonts w:hint="eastAsia"/>
          <w:lang w:val="en-US" w:eastAsia="zh-CN"/>
        </w:rPr>
        <w:t>为提高出水水质，项目废水处理</w:t>
      </w:r>
      <w:r>
        <w:rPr>
          <w:rFonts w:hint="eastAsia"/>
        </w:rPr>
        <w:t>达到</w:t>
      </w:r>
      <w:r>
        <w:rPr>
          <w:rFonts w:hint="eastAsia"/>
          <w:lang w:eastAsia="zh-CN"/>
        </w:rPr>
        <w:t>《城镇污水处理厂污染物排放标准》（GB18918-2002）</w:t>
      </w:r>
      <w:r>
        <w:rPr>
          <w:rFonts w:hint="eastAsia"/>
          <w:lang w:val="en-US" w:eastAsia="zh-CN"/>
        </w:rPr>
        <w:t>中一级A</w:t>
      </w:r>
      <w:r>
        <w:rPr>
          <w:rFonts w:hint="eastAsia"/>
        </w:rPr>
        <w:t>排放标准后排入</w:t>
      </w:r>
      <w:r>
        <w:rPr>
          <w:rFonts w:hint="eastAsia"/>
          <w:lang w:eastAsia="zh-CN"/>
        </w:rPr>
        <w:t>响滩镇城镇污水处理厂</w:t>
      </w:r>
      <w:r>
        <w:rPr>
          <w:rFonts w:hint="eastAsia"/>
        </w:rPr>
        <w:t>处理达标后</w:t>
      </w:r>
      <w:r>
        <w:rPr>
          <w:rFonts w:hint="eastAsia"/>
          <w:lang w:val="en-US" w:eastAsia="zh-CN"/>
        </w:rPr>
        <w:t>一部分回用于进出车辆冲洗、地面冲洗、待宰圈冲洗和洗涤塔补水等，剩余部分用于农田灌溉，不外排</w:t>
      </w:r>
      <w:r>
        <w:rPr>
          <w:rFonts w:hint="eastAsia"/>
        </w:rPr>
        <w:t>。</w:t>
      </w:r>
    </w:p>
    <w:p>
      <w:pPr>
        <w:bidi w:val="0"/>
        <w:rPr>
          <w:rFonts w:hint="eastAsia"/>
          <w:b/>
          <w:bCs/>
        </w:rPr>
      </w:pPr>
      <w:r>
        <w:rPr>
          <w:rFonts w:hint="eastAsia"/>
          <w:b/>
          <w:bCs/>
        </w:rPr>
        <w:t>（</w:t>
      </w:r>
      <w:r>
        <w:rPr>
          <w:rFonts w:hint="default"/>
          <w:b/>
          <w:bCs/>
        </w:rPr>
        <w:t>1</w:t>
      </w:r>
      <w:r>
        <w:rPr>
          <w:rFonts w:hint="eastAsia"/>
          <w:b/>
          <w:bCs/>
        </w:rPr>
        <w:t>）污水处理站工艺有效性评价</w:t>
      </w:r>
    </w:p>
    <w:p>
      <w:pPr>
        <w:bidi w:val="0"/>
        <w:rPr>
          <w:rFonts w:hint="eastAsia"/>
        </w:rPr>
      </w:pPr>
      <w:r>
        <w:rPr>
          <w:rFonts w:hint="eastAsia"/>
        </w:rPr>
        <w:t>项目废水经本项目拟建污水处理站</w:t>
      </w:r>
      <w:r>
        <w:rPr>
          <w:rFonts w:hint="eastAsia"/>
          <w:lang w:val="en-US" w:eastAsia="zh-CN"/>
        </w:rPr>
        <w:t>采用的处理工艺对</w:t>
      </w:r>
      <w:r>
        <w:rPr>
          <w:rFonts w:hint="eastAsia"/>
        </w:rPr>
        <w:t>《屠宰与肉类加工废水治理工程技术规范》（HJ2004-2010）</w:t>
      </w:r>
      <w:r>
        <w:rPr>
          <w:rFonts w:hint="eastAsia"/>
          <w:lang w:val="en-US" w:eastAsia="zh-CN"/>
        </w:rPr>
        <w:t>中典型工艺（格栅+沉砂池+隔油池+厌氧池+好氧池+消毒）进行了改进，符合规范要求，</w:t>
      </w:r>
      <w:r>
        <w:rPr>
          <w:rFonts w:hint="eastAsia"/>
        </w:rPr>
        <w:t>因此项目污水处理站工艺可行。</w:t>
      </w:r>
    </w:p>
    <w:p>
      <w:pPr>
        <w:bidi w:val="0"/>
        <w:rPr>
          <w:rFonts w:hint="eastAsia"/>
          <w:b/>
          <w:bCs/>
        </w:rPr>
      </w:pPr>
      <w:r>
        <w:rPr>
          <w:rFonts w:hint="eastAsia"/>
          <w:b/>
          <w:bCs/>
        </w:rPr>
        <w:t>（</w:t>
      </w:r>
      <w:r>
        <w:rPr>
          <w:rFonts w:hint="default"/>
          <w:b/>
          <w:bCs/>
        </w:rPr>
        <w:t>2</w:t>
      </w:r>
      <w:r>
        <w:rPr>
          <w:rFonts w:hint="eastAsia"/>
          <w:b/>
          <w:bCs/>
        </w:rPr>
        <w:t>）污水处理站规模有效性分析</w:t>
      </w:r>
    </w:p>
    <w:p>
      <w:pPr>
        <w:bidi w:val="0"/>
        <w:rPr>
          <w:rFonts w:hint="eastAsia" w:ascii="宋体" w:hAnsi="宋体" w:eastAsia="宋体"/>
          <w:sz w:val="24"/>
        </w:rPr>
      </w:pPr>
      <w:r>
        <w:rPr>
          <w:rFonts w:hint="eastAsia"/>
        </w:rPr>
        <w:t>按本项目生产核算，</w:t>
      </w:r>
      <w:r>
        <w:rPr>
          <w:rFonts w:hint="eastAsia"/>
          <w:lang w:val="en-US" w:eastAsia="zh-CN"/>
        </w:rPr>
        <w:t>日最大</w:t>
      </w:r>
      <w:r>
        <w:rPr>
          <w:rFonts w:hint="eastAsia"/>
        </w:rPr>
        <w:t>排水量为</w:t>
      </w:r>
      <w:r>
        <w:rPr>
          <w:rFonts w:hint="eastAsia"/>
          <w:lang w:val="en-US" w:eastAsia="zh-CN"/>
        </w:rPr>
        <w:t>685.9</w:t>
      </w:r>
      <w:r>
        <w:rPr>
          <w:rFonts w:hint="default"/>
        </w:rPr>
        <w:t>m</w:t>
      </w:r>
      <w:r>
        <w:rPr>
          <w:rFonts w:hint="default"/>
          <w:vertAlign w:val="superscript"/>
        </w:rPr>
        <w:t>3</w:t>
      </w:r>
      <w:r>
        <w:rPr>
          <w:rFonts w:hint="default"/>
        </w:rPr>
        <w:t>/d</w:t>
      </w:r>
      <w:r>
        <w:rPr>
          <w:rFonts w:hint="eastAsia"/>
        </w:rPr>
        <w:t>，</w:t>
      </w:r>
      <w:r>
        <w:rPr>
          <w:rFonts w:hint="eastAsia"/>
          <w:lang w:val="en-US" w:eastAsia="zh-CN"/>
        </w:rPr>
        <w:t>含宰牛</w:t>
      </w:r>
      <w:r>
        <w:rPr>
          <w:rFonts w:hint="eastAsia"/>
        </w:rPr>
        <w:t>排水量为</w:t>
      </w:r>
      <w:r>
        <w:rPr>
          <w:rFonts w:hint="eastAsia"/>
          <w:lang w:val="en-US" w:eastAsia="zh-CN"/>
        </w:rPr>
        <w:t>805.9</w:t>
      </w:r>
      <w:r>
        <w:rPr>
          <w:rFonts w:hint="default"/>
        </w:rPr>
        <w:t>m</w:t>
      </w:r>
      <w:r>
        <w:rPr>
          <w:rFonts w:hint="default"/>
          <w:vertAlign w:val="superscript"/>
        </w:rPr>
        <w:t>3</w:t>
      </w:r>
      <w:r>
        <w:rPr>
          <w:rFonts w:hint="default"/>
        </w:rPr>
        <w:t>/d</w:t>
      </w:r>
      <w:r>
        <w:rPr>
          <w:rFonts w:hint="eastAsia"/>
        </w:rPr>
        <w:t>，本项目污水处理站设计规模为</w:t>
      </w:r>
      <w:r>
        <w:rPr>
          <w:rFonts w:hint="eastAsia"/>
          <w:lang w:val="en-US" w:eastAsia="zh-CN"/>
        </w:rPr>
        <w:t>1000</w:t>
      </w:r>
      <w:r>
        <w:rPr>
          <w:rFonts w:hint="default"/>
        </w:rPr>
        <w:t>m</w:t>
      </w:r>
      <w:r>
        <w:rPr>
          <w:rFonts w:hint="default"/>
          <w:vertAlign w:val="superscript"/>
        </w:rPr>
        <w:t>3</w:t>
      </w:r>
      <w:r>
        <w:rPr>
          <w:rFonts w:hint="default"/>
        </w:rPr>
        <w:t>/d</w:t>
      </w:r>
      <w:r>
        <w:rPr>
          <w:rFonts w:hint="eastAsia"/>
        </w:rPr>
        <w:t>，其大于项目最大废水量，因此其规模具有有效性。</w:t>
      </w:r>
    </w:p>
    <w:p>
      <w:pPr>
        <w:bidi w:val="0"/>
        <w:rPr>
          <w:rFonts w:hint="eastAsia"/>
          <w:b/>
          <w:bCs/>
        </w:rPr>
      </w:pPr>
      <w:r>
        <w:rPr>
          <w:rFonts w:hint="eastAsia"/>
          <w:b/>
          <w:bCs/>
        </w:rPr>
        <w:t>（</w:t>
      </w:r>
      <w:r>
        <w:rPr>
          <w:rFonts w:hint="default"/>
          <w:b/>
          <w:bCs/>
        </w:rPr>
        <w:t>3</w:t>
      </w:r>
      <w:r>
        <w:rPr>
          <w:rFonts w:hint="eastAsia"/>
          <w:b/>
          <w:bCs/>
        </w:rPr>
        <w:t>）水环境减缓措施有效性评价</w:t>
      </w:r>
    </w:p>
    <w:p>
      <w:pPr>
        <w:bidi w:val="0"/>
        <w:rPr>
          <w:rFonts w:hint="eastAsia"/>
        </w:rPr>
      </w:pPr>
      <w:r>
        <w:rPr>
          <w:rFonts w:hint="eastAsia"/>
        </w:rPr>
        <w:t>项目产生废水经自建的污水处理站处理后，达到</w:t>
      </w:r>
      <w:r>
        <w:rPr>
          <w:rFonts w:hint="eastAsia"/>
          <w:lang w:eastAsia="zh-CN"/>
        </w:rPr>
        <w:t>平昌县响滩镇污水处理厂</w:t>
      </w:r>
      <w:r>
        <w:rPr>
          <w:rFonts w:hint="eastAsia"/>
        </w:rPr>
        <w:t>设计进水水质标准后，</w:t>
      </w:r>
      <w:r>
        <w:rPr>
          <w:rFonts w:hint="eastAsia"/>
          <w:lang w:val="en-US" w:eastAsia="zh-CN"/>
        </w:rPr>
        <w:t>一部分回用于进出车辆冲洗、地面冲洗、待宰圈冲洗和洗涤塔补水等，剩余部分用于农田灌溉，不外排。</w:t>
      </w:r>
      <w:r>
        <w:rPr>
          <w:rFonts w:hint="eastAsia"/>
        </w:rPr>
        <w:t>项目产生的污废水经自建的污水处理设施处理，</w:t>
      </w:r>
      <w:r>
        <w:rPr>
          <w:rFonts w:hint="eastAsia"/>
          <w:lang w:val="en-US" w:eastAsia="zh-CN"/>
        </w:rPr>
        <w:t>可</w:t>
      </w:r>
      <w:r>
        <w:rPr>
          <w:rFonts w:hint="eastAsia"/>
        </w:rPr>
        <w:t>达到</w:t>
      </w:r>
      <w:r>
        <w:rPr>
          <w:rFonts w:hint="eastAsia"/>
          <w:lang w:eastAsia="zh-CN"/>
        </w:rPr>
        <w:t>《城镇污水处理厂污染物排放标准》（GB18918-2002）</w:t>
      </w:r>
      <w:r>
        <w:rPr>
          <w:rFonts w:hint="eastAsia"/>
          <w:lang w:val="en-US" w:eastAsia="zh-CN"/>
        </w:rPr>
        <w:t>中一级A</w:t>
      </w:r>
      <w:r>
        <w:rPr>
          <w:rFonts w:hint="eastAsia"/>
        </w:rPr>
        <w:t>排放标准</w:t>
      </w:r>
      <w:r>
        <w:rPr>
          <w:rFonts w:hint="eastAsia"/>
          <w:lang w:eastAsia="zh-CN"/>
        </w:rPr>
        <w:t>，</w:t>
      </w:r>
      <w:r>
        <w:rPr>
          <w:rFonts w:hint="eastAsia"/>
          <w:lang w:val="en-US" w:eastAsia="zh-CN"/>
        </w:rPr>
        <w:t>满足</w:t>
      </w:r>
      <w:r>
        <w:rPr>
          <w:rFonts w:hint="eastAsia"/>
          <w:lang w:eastAsia="zh-CN"/>
        </w:rPr>
        <w:t>《</w:t>
      </w:r>
      <w:r>
        <w:rPr>
          <w:rFonts w:hint="eastAsia"/>
          <w:lang w:val="en-US" w:eastAsia="zh-CN"/>
        </w:rPr>
        <w:t>肉类加工工业水污染物排放标准</w:t>
      </w:r>
      <w:r>
        <w:rPr>
          <w:rFonts w:hint="eastAsia"/>
          <w:lang w:eastAsia="zh-CN"/>
        </w:rPr>
        <w:t>》（</w:t>
      </w:r>
      <w:r>
        <w:rPr>
          <w:rFonts w:hint="eastAsia"/>
          <w:lang w:val="en-US" w:eastAsia="zh-CN"/>
        </w:rPr>
        <w:t>GB13457-92</w:t>
      </w:r>
      <w:r>
        <w:rPr>
          <w:rFonts w:hint="eastAsia"/>
          <w:lang w:eastAsia="zh-CN"/>
        </w:rPr>
        <w:t>）</w:t>
      </w:r>
      <w:r>
        <w:rPr>
          <w:rFonts w:hint="eastAsia"/>
          <w:lang w:val="en-US" w:eastAsia="zh-CN"/>
        </w:rPr>
        <w:t>中一级标准，满足《农田灌溉水质标准》（GB 5084-2005），且满足《城市污水再生利用城市杂用水水质》（GB/T18920-2002）中道路清扫、消防以及车辆冲洗水质要求</w:t>
      </w:r>
      <w:r>
        <w:rPr>
          <w:rFonts w:hint="eastAsia"/>
        </w:rPr>
        <w:t>。故排放口排放浓度限值满足国家标准和地方相关排放标准，水污染控制措施有效。</w:t>
      </w:r>
    </w:p>
    <w:p>
      <w:pPr>
        <w:bidi w:val="0"/>
        <w:rPr>
          <w:rFonts w:hint="eastAsia" w:ascii="宋体" w:hAnsi="宋体" w:eastAsia="宋体"/>
          <w:b/>
          <w:bCs/>
          <w:sz w:val="24"/>
        </w:rPr>
      </w:pPr>
      <w:r>
        <w:rPr>
          <w:rFonts w:hint="eastAsia" w:ascii="宋体" w:hAnsi="宋体" w:eastAsia="宋体"/>
          <w:b/>
          <w:bCs/>
          <w:sz w:val="24"/>
        </w:rPr>
        <w:t>综上，项目拟采取的水污染控制和水环境影响减缓措施合理有效。</w:t>
      </w:r>
    </w:p>
    <w:p>
      <w:pPr>
        <w:pStyle w:val="6"/>
        <w:bidi w:val="0"/>
        <w:rPr>
          <w:rFonts w:hint="default"/>
          <w:lang w:val="en-US" w:eastAsia="zh-CN"/>
        </w:rPr>
      </w:pPr>
      <w:r>
        <w:rPr>
          <w:b/>
          <w:sz w:val="24"/>
          <w:szCs w:val="24"/>
          <w:lang w:bidi="ar"/>
        </w:rPr>
        <w:t>废水处理后用于灌溉的可行性分析</w:t>
      </w:r>
    </w:p>
    <w:p>
      <w:pPr>
        <w:spacing w:line="360" w:lineRule="auto"/>
        <w:ind w:firstLine="480" w:firstLineChars="200"/>
        <w:rPr>
          <w:bCs/>
          <w:sz w:val="24"/>
          <w:szCs w:val="24"/>
        </w:rPr>
      </w:pPr>
      <w:r>
        <w:rPr>
          <w:bCs/>
          <w:sz w:val="24"/>
          <w:szCs w:val="24"/>
          <w:lang w:bidi="ar"/>
        </w:rPr>
        <w:fldChar w:fldCharType="begin"/>
      </w:r>
      <w:r>
        <w:rPr>
          <w:bCs/>
          <w:sz w:val="24"/>
          <w:szCs w:val="24"/>
          <w:lang w:bidi="ar"/>
        </w:rPr>
        <w:instrText xml:space="preserve">= 1 \* GB3</w:instrText>
      </w:r>
      <w:r>
        <w:rPr>
          <w:bCs/>
          <w:sz w:val="24"/>
          <w:szCs w:val="24"/>
          <w:lang w:bidi="ar"/>
        </w:rPr>
        <w:fldChar w:fldCharType="separate"/>
      </w:r>
      <w:r>
        <w:rPr>
          <w:bCs/>
          <w:sz w:val="24"/>
          <w:szCs w:val="24"/>
          <w:lang w:bidi="ar"/>
        </w:rPr>
        <w:t>①</w:t>
      </w:r>
      <w:r>
        <w:rPr>
          <w:bCs/>
          <w:sz w:val="24"/>
          <w:szCs w:val="24"/>
          <w:lang w:bidi="ar"/>
        </w:rPr>
        <w:fldChar w:fldCharType="end"/>
      </w:r>
      <w:r>
        <w:rPr>
          <w:bCs/>
          <w:sz w:val="24"/>
          <w:szCs w:val="24"/>
          <w:lang w:bidi="ar"/>
        </w:rPr>
        <w:t>废水特性分析</w:t>
      </w:r>
    </w:p>
    <w:p>
      <w:pPr>
        <w:spacing w:line="360" w:lineRule="auto"/>
        <w:ind w:firstLine="480" w:firstLineChars="200"/>
        <w:rPr>
          <w:bCs/>
          <w:sz w:val="24"/>
          <w:szCs w:val="24"/>
        </w:rPr>
      </w:pPr>
      <w:r>
        <w:rPr>
          <w:bCs/>
          <w:sz w:val="24"/>
          <w:szCs w:val="24"/>
          <w:lang w:bidi="ar"/>
        </w:rPr>
        <w:t>根据工程分析，本项目废水主要为有机污染物，不含一类污染物，项目废水满足污水站设计进水水质要求。</w:t>
      </w:r>
    </w:p>
    <w:p>
      <w:pPr>
        <w:spacing w:line="360" w:lineRule="auto"/>
        <w:ind w:firstLine="480" w:firstLineChars="200"/>
        <w:rPr>
          <w:bCs/>
          <w:sz w:val="24"/>
          <w:szCs w:val="24"/>
        </w:rPr>
      </w:pPr>
      <w:r>
        <w:rPr>
          <w:bCs/>
          <w:sz w:val="24"/>
          <w:szCs w:val="24"/>
          <w:lang w:bidi="ar"/>
        </w:rPr>
        <w:fldChar w:fldCharType="begin"/>
      </w:r>
      <w:r>
        <w:rPr>
          <w:bCs/>
          <w:sz w:val="24"/>
          <w:szCs w:val="24"/>
          <w:lang w:bidi="ar"/>
        </w:rPr>
        <w:instrText xml:space="preserve">= 2 \* GB3</w:instrText>
      </w:r>
      <w:r>
        <w:rPr>
          <w:bCs/>
          <w:sz w:val="24"/>
          <w:szCs w:val="24"/>
          <w:lang w:bidi="ar"/>
        </w:rPr>
        <w:fldChar w:fldCharType="separate"/>
      </w:r>
      <w:r>
        <w:rPr>
          <w:bCs/>
          <w:sz w:val="24"/>
          <w:szCs w:val="24"/>
          <w:lang w:bidi="ar"/>
        </w:rPr>
        <w:t>②</w:t>
      </w:r>
      <w:r>
        <w:rPr>
          <w:bCs/>
          <w:sz w:val="24"/>
          <w:szCs w:val="24"/>
          <w:lang w:bidi="ar"/>
        </w:rPr>
        <w:fldChar w:fldCharType="end"/>
      </w:r>
      <w:r>
        <w:rPr>
          <w:bCs/>
          <w:sz w:val="24"/>
          <w:szCs w:val="24"/>
          <w:lang w:bidi="ar"/>
        </w:rPr>
        <w:t>废水园地灌溉可行性分析</w:t>
      </w:r>
    </w:p>
    <w:p>
      <w:pPr>
        <w:rPr>
          <w:rFonts w:hint="eastAsia"/>
          <w:vertAlign w:val="baseline"/>
          <w:lang w:val="en-US" w:eastAsia="zh-CN"/>
        </w:rPr>
      </w:pPr>
      <w:r>
        <w:rPr>
          <w:bCs/>
          <w:sz w:val="24"/>
          <w:szCs w:val="24"/>
          <w:lang w:bidi="ar"/>
        </w:rPr>
        <w:t>本项目废水污水处理站的处理工艺拟采</w:t>
      </w:r>
      <w:r>
        <w:rPr>
          <w:sz w:val="24"/>
          <w:szCs w:val="24"/>
          <w:lang w:bidi="ar"/>
        </w:rPr>
        <w:t>用“</w:t>
      </w:r>
      <w:r>
        <w:rPr>
          <w:rFonts w:hint="eastAsia"/>
          <w:lang w:eastAsia="zh-CN"/>
        </w:rPr>
        <w:t>格栅池+沉渣池+多功能生物调节池+气浮沉渣池+厌氧池+初沉池+缺氧池1+好氧池1+缺氧池2+好氧池2+二沉池+生物滤池+混凝沉淀池+过滤池+紫外线消毒+清水池</w:t>
      </w:r>
      <w:r>
        <w:rPr>
          <w:sz w:val="24"/>
          <w:szCs w:val="24"/>
          <w:lang w:bidi="ar"/>
        </w:rPr>
        <w:t>”进行处理，废水收</w:t>
      </w:r>
      <w:r>
        <w:rPr>
          <w:bCs/>
          <w:sz w:val="24"/>
          <w:szCs w:val="24"/>
          <w:lang w:bidi="ar"/>
        </w:rPr>
        <w:t>集采用管道收集。本项目</w:t>
      </w:r>
      <w:r>
        <w:rPr>
          <w:rFonts w:hint="eastAsia"/>
          <w:bCs/>
          <w:sz w:val="24"/>
          <w:szCs w:val="24"/>
          <w:lang w:val="en-US" w:eastAsia="zh-CN" w:bidi="ar"/>
        </w:rPr>
        <w:t>污水经处理后满足</w:t>
      </w:r>
      <w:r>
        <w:rPr>
          <w:rFonts w:hint="eastAsia"/>
          <w:lang w:val="en-US" w:eastAsia="zh-CN"/>
        </w:rPr>
        <w:t>《农田灌溉水质标准》（GB 5084-2005）中的标准限值</w:t>
      </w:r>
      <w:r>
        <w:rPr>
          <w:bCs/>
          <w:sz w:val="24"/>
          <w:szCs w:val="24"/>
          <w:lang w:bidi="ar"/>
        </w:rPr>
        <w:t>，项目废水可用于</w:t>
      </w:r>
      <w:r>
        <w:rPr>
          <w:sz w:val="24"/>
          <w:szCs w:val="24"/>
          <w:lang w:bidi="ar"/>
        </w:rPr>
        <w:t>配套土地灌溉</w:t>
      </w:r>
      <w:r>
        <w:rPr>
          <w:bCs/>
          <w:sz w:val="24"/>
          <w:szCs w:val="24"/>
          <w:lang w:bidi="ar"/>
        </w:rPr>
        <w:t>。</w:t>
      </w:r>
    </w:p>
    <w:p>
      <w:pPr>
        <w:spacing w:line="360" w:lineRule="auto"/>
        <w:ind w:firstLine="480" w:firstLineChars="200"/>
        <w:rPr>
          <w:bCs/>
          <w:sz w:val="24"/>
          <w:szCs w:val="24"/>
        </w:rPr>
      </w:pPr>
      <w:r>
        <w:rPr>
          <w:bCs/>
          <w:sz w:val="24"/>
          <w:szCs w:val="24"/>
          <w:lang w:bidi="ar"/>
        </w:rPr>
        <w:fldChar w:fldCharType="begin"/>
      </w:r>
      <w:r>
        <w:rPr>
          <w:bCs/>
          <w:sz w:val="24"/>
          <w:szCs w:val="24"/>
          <w:lang w:bidi="ar"/>
        </w:rPr>
        <w:instrText xml:space="preserve">= 3 \* GB3</w:instrText>
      </w:r>
      <w:r>
        <w:rPr>
          <w:bCs/>
          <w:sz w:val="24"/>
          <w:szCs w:val="24"/>
          <w:lang w:bidi="ar"/>
        </w:rPr>
        <w:fldChar w:fldCharType="separate"/>
      </w:r>
      <w:r>
        <w:rPr>
          <w:bCs/>
          <w:sz w:val="24"/>
          <w:szCs w:val="24"/>
          <w:lang w:bidi="ar"/>
        </w:rPr>
        <w:t>③</w:t>
      </w:r>
      <w:r>
        <w:rPr>
          <w:bCs/>
          <w:sz w:val="24"/>
          <w:szCs w:val="24"/>
          <w:lang w:bidi="ar"/>
        </w:rPr>
        <w:fldChar w:fldCharType="end"/>
      </w:r>
      <w:r>
        <w:rPr>
          <w:bCs/>
          <w:sz w:val="24"/>
          <w:szCs w:val="24"/>
          <w:lang w:bidi="ar"/>
        </w:rPr>
        <w:t>水量可行性</w:t>
      </w:r>
    </w:p>
    <w:p>
      <w:pPr>
        <w:rPr>
          <w:rFonts w:hint="eastAsia"/>
          <w:vertAlign w:val="baseline"/>
          <w:lang w:val="en-US" w:eastAsia="zh-CN"/>
        </w:rPr>
      </w:pPr>
      <w:r>
        <w:rPr>
          <w:sz w:val="24"/>
          <w:szCs w:val="24"/>
          <w:lang w:bidi="ar"/>
        </w:rPr>
        <w:t>根据《四川省用水定额》（川府函〔2021〕8号），本项目所在地属于</w:t>
      </w:r>
      <w:r>
        <w:rPr>
          <w:rFonts w:hint="eastAsia"/>
          <w:sz w:val="24"/>
          <w:szCs w:val="24"/>
          <w:lang w:bidi="ar"/>
        </w:rPr>
        <w:t>Ⅱ</w:t>
      </w:r>
      <w:r>
        <w:rPr>
          <w:sz w:val="24"/>
          <w:szCs w:val="24"/>
          <w:lang w:bidi="ar"/>
        </w:rPr>
        <w:t>类区“盆</w:t>
      </w:r>
      <w:r>
        <w:rPr>
          <w:rFonts w:hint="eastAsia"/>
          <w:sz w:val="24"/>
          <w:szCs w:val="24"/>
          <w:lang w:val="en-US" w:eastAsia="zh-CN" w:bidi="ar"/>
        </w:rPr>
        <w:t>中</w:t>
      </w:r>
      <w:r>
        <w:rPr>
          <w:sz w:val="24"/>
          <w:szCs w:val="24"/>
          <w:lang w:bidi="ar"/>
        </w:rPr>
        <w:t>丘陵区”，</w:t>
      </w:r>
      <w:r>
        <w:rPr>
          <w:color w:val="auto"/>
          <w:sz w:val="24"/>
          <w:szCs w:val="24"/>
          <w:lang w:bidi="ar"/>
        </w:rPr>
        <w:t>消纳土地为经济林地，</w:t>
      </w:r>
      <w:r>
        <w:rPr>
          <w:rFonts w:hint="eastAsia"/>
          <w:color w:val="auto"/>
          <w:sz w:val="24"/>
          <w:szCs w:val="24"/>
          <w:lang w:val="en-US" w:eastAsia="zh-CN" w:bidi="ar"/>
        </w:rPr>
        <w:t>以花椒和</w:t>
      </w:r>
      <w:r>
        <w:rPr>
          <w:color w:val="auto"/>
          <w:sz w:val="24"/>
          <w:szCs w:val="24"/>
          <w:lang w:bidi="ar"/>
        </w:rPr>
        <w:t>茶树</w:t>
      </w:r>
      <w:r>
        <w:rPr>
          <w:rFonts w:hint="eastAsia"/>
          <w:color w:val="auto"/>
          <w:sz w:val="24"/>
          <w:szCs w:val="24"/>
          <w:lang w:val="en-US" w:eastAsia="zh-CN" w:bidi="ar"/>
        </w:rPr>
        <w:t>为主</w:t>
      </w:r>
      <w:r>
        <w:rPr>
          <w:color w:val="auto"/>
          <w:sz w:val="24"/>
          <w:szCs w:val="24"/>
          <w:lang w:bidi="ar"/>
        </w:rPr>
        <w:t>，</w:t>
      </w:r>
      <w:r>
        <w:rPr>
          <w:sz w:val="24"/>
          <w:szCs w:val="24"/>
          <w:lang w:bidi="ar"/>
        </w:rPr>
        <w:t>在灌溉保证率达到</w:t>
      </w:r>
      <w:r>
        <w:rPr>
          <w:rFonts w:hint="eastAsia"/>
          <w:sz w:val="24"/>
          <w:szCs w:val="24"/>
          <w:lang w:val="en-US" w:eastAsia="zh-CN" w:bidi="ar"/>
        </w:rPr>
        <w:t>90</w:t>
      </w:r>
      <w:r>
        <w:rPr>
          <w:sz w:val="24"/>
          <w:szCs w:val="24"/>
          <w:lang w:bidi="ar"/>
        </w:rPr>
        <w:t>%的情况下，平均灌溉需水量约为</w:t>
      </w:r>
      <w:r>
        <w:rPr>
          <w:rFonts w:hint="eastAsia"/>
          <w:sz w:val="24"/>
          <w:szCs w:val="24"/>
          <w:lang w:val="en-US" w:eastAsia="zh-CN" w:bidi="ar"/>
        </w:rPr>
        <w:t>310</w:t>
      </w:r>
      <w:r>
        <w:rPr>
          <w:sz w:val="24"/>
          <w:szCs w:val="24"/>
          <w:lang w:bidi="ar"/>
        </w:rPr>
        <w:t>m</w:t>
      </w:r>
      <w:r>
        <w:rPr>
          <w:sz w:val="24"/>
          <w:szCs w:val="24"/>
          <w:vertAlign w:val="superscript"/>
          <w:lang w:bidi="ar"/>
        </w:rPr>
        <w:t>3</w:t>
      </w:r>
      <w:r>
        <w:rPr>
          <w:sz w:val="24"/>
          <w:szCs w:val="24"/>
          <w:lang w:bidi="ar"/>
        </w:rPr>
        <w:t>/亩，本</w:t>
      </w:r>
      <w:r>
        <w:rPr>
          <w:sz w:val="24"/>
          <w:szCs w:val="24"/>
          <w:highlight w:val="none"/>
          <w:lang w:bidi="ar"/>
        </w:rPr>
        <w:t>项目消纳用地</w:t>
      </w:r>
      <w:r>
        <w:rPr>
          <w:rFonts w:hint="eastAsia"/>
          <w:sz w:val="24"/>
          <w:szCs w:val="24"/>
          <w:highlight w:val="none"/>
          <w:lang w:val="en-US" w:eastAsia="zh-CN" w:bidi="ar"/>
        </w:rPr>
        <w:t>1450</w:t>
      </w:r>
      <w:r>
        <w:rPr>
          <w:sz w:val="24"/>
          <w:szCs w:val="24"/>
          <w:highlight w:val="none"/>
          <w:lang w:bidi="ar"/>
        </w:rPr>
        <w:t>亩，则本项目消纳用地灌溉用水量约</w:t>
      </w:r>
      <w:r>
        <w:rPr>
          <w:rFonts w:hint="eastAsia"/>
          <w:sz w:val="24"/>
          <w:szCs w:val="24"/>
          <w:highlight w:val="none"/>
          <w:lang w:val="en-US" w:eastAsia="zh-CN" w:bidi="ar"/>
        </w:rPr>
        <w:t>449500</w:t>
      </w:r>
      <w:r>
        <w:rPr>
          <w:sz w:val="24"/>
          <w:szCs w:val="24"/>
          <w:highlight w:val="none"/>
          <w:lang w:bidi="ar"/>
        </w:rPr>
        <w:t>m</w:t>
      </w:r>
      <w:r>
        <w:rPr>
          <w:sz w:val="24"/>
          <w:szCs w:val="24"/>
          <w:highlight w:val="none"/>
          <w:vertAlign w:val="superscript"/>
          <w:lang w:bidi="ar"/>
        </w:rPr>
        <w:t>3</w:t>
      </w:r>
      <w:r>
        <w:rPr>
          <w:sz w:val="24"/>
          <w:szCs w:val="24"/>
          <w:highlight w:val="none"/>
          <w:lang w:bidi="ar"/>
        </w:rPr>
        <w:t>/a。养殖场经处理后的用于灌溉的水量为</w:t>
      </w:r>
      <w:r>
        <w:rPr>
          <w:rFonts w:hint="eastAsia"/>
          <w:kern w:val="0"/>
          <w:sz w:val="24"/>
          <w:szCs w:val="24"/>
          <w:highlight w:val="none"/>
          <w:lang w:val="en-US" w:eastAsia="zh-CN" w:bidi="ar"/>
        </w:rPr>
        <w:t>189120</w:t>
      </w:r>
      <w:r>
        <w:rPr>
          <w:sz w:val="24"/>
          <w:szCs w:val="24"/>
          <w:highlight w:val="none"/>
          <w:lang w:bidi="ar"/>
        </w:rPr>
        <w:t>m</w:t>
      </w:r>
      <w:r>
        <w:rPr>
          <w:sz w:val="24"/>
          <w:szCs w:val="24"/>
          <w:highlight w:val="none"/>
          <w:vertAlign w:val="superscript"/>
          <w:lang w:bidi="ar"/>
        </w:rPr>
        <w:t>3</w:t>
      </w:r>
      <w:r>
        <w:rPr>
          <w:sz w:val="24"/>
          <w:szCs w:val="24"/>
          <w:highlight w:val="none"/>
          <w:lang w:bidi="ar"/>
        </w:rPr>
        <w:t>/a，占该片消纳用地灌溉需水量的</w:t>
      </w:r>
      <w:r>
        <w:rPr>
          <w:rFonts w:hint="eastAsia"/>
          <w:kern w:val="0"/>
          <w:sz w:val="24"/>
          <w:szCs w:val="24"/>
          <w:highlight w:val="none"/>
          <w:lang w:val="en-US" w:eastAsia="zh-CN" w:bidi="ar"/>
        </w:rPr>
        <w:t>42.07</w:t>
      </w:r>
      <w:r>
        <w:rPr>
          <w:sz w:val="24"/>
          <w:szCs w:val="24"/>
          <w:highlight w:val="none"/>
          <w:lang w:bidi="ar"/>
        </w:rPr>
        <w:t>%，因</w:t>
      </w:r>
      <w:r>
        <w:rPr>
          <w:sz w:val="24"/>
          <w:szCs w:val="24"/>
          <w:lang w:bidi="ar"/>
        </w:rPr>
        <w:t>此，本项目消纳用地完全可以接纳本项目产生的废水灌溉。</w:t>
      </w:r>
    </w:p>
    <w:p>
      <w:pPr>
        <w:pStyle w:val="29"/>
        <w:bidi w:val="0"/>
      </w:pPr>
      <w:r>
        <w:rPr>
          <w:rFonts w:hint="eastAsia"/>
          <w:lang w:val="en-US" w:eastAsia="zh-CN"/>
        </w:rPr>
        <w:t xml:space="preserve">5.1-4  </w:t>
      </w:r>
      <w:r>
        <w:rPr>
          <w:rFonts w:hint="eastAsia"/>
        </w:rPr>
        <w:t>水量可行性一览表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513"/>
        <w:gridCol w:w="2097"/>
        <w:gridCol w:w="1944"/>
        <w:gridCol w:w="2166"/>
        <w:gridCol w:w="11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tcBorders>
              <w:tl2br w:val="nil"/>
              <w:tr2bl w:val="nil"/>
            </w:tcBorders>
            <w:noWrap w:val="0"/>
            <w:vAlign w:val="center"/>
          </w:tcPr>
          <w:p>
            <w:pPr>
              <w:pStyle w:val="30"/>
              <w:bidi w:val="0"/>
              <w:rPr>
                <w:b/>
                <w:bCs/>
              </w:rPr>
            </w:pPr>
            <w:r>
              <w:rPr>
                <w:rFonts w:hint="eastAsia"/>
                <w:b/>
                <w:bCs/>
              </w:rPr>
              <w:t>序号</w:t>
            </w:r>
          </w:p>
        </w:tc>
        <w:tc>
          <w:tcPr>
            <w:tcW w:w="786" w:type="pct"/>
            <w:tcBorders>
              <w:tl2br w:val="nil"/>
              <w:tr2bl w:val="nil"/>
            </w:tcBorders>
            <w:noWrap w:val="0"/>
            <w:vAlign w:val="center"/>
          </w:tcPr>
          <w:p>
            <w:pPr>
              <w:pStyle w:val="30"/>
              <w:bidi w:val="0"/>
              <w:rPr>
                <w:b/>
                <w:bCs/>
              </w:rPr>
            </w:pPr>
            <w:r>
              <w:rPr>
                <w:rFonts w:hint="eastAsia"/>
                <w:b/>
                <w:bCs/>
              </w:rPr>
              <w:t>消纳用地</w:t>
            </w:r>
            <w:r>
              <w:rPr>
                <w:b/>
                <w:bCs/>
              </w:rPr>
              <w:t>-</w:t>
            </w:r>
            <w:r>
              <w:rPr>
                <w:rFonts w:hint="eastAsia"/>
                <w:b/>
                <w:bCs/>
              </w:rPr>
              <w:t>亩</w:t>
            </w:r>
          </w:p>
        </w:tc>
        <w:tc>
          <w:tcPr>
            <w:tcW w:w="1089" w:type="pct"/>
            <w:tcBorders>
              <w:tl2br w:val="nil"/>
              <w:tr2bl w:val="nil"/>
            </w:tcBorders>
            <w:noWrap w:val="0"/>
            <w:vAlign w:val="center"/>
          </w:tcPr>
          <w:p>
            <w:pPr>
              <w:pStyle w:val="30"/>
              <w:bidi w:val="0"/>
              <w:rPr>
                <w:b/>
                <w:bCs/>
              </w:rPr>
            </w:pPr>
            <w:r>
              <w:rPr>
                <w:rFonts w:hint="eastAsia"/>
                <w:b/>
                <w:bCs/>
              </w:rPr>
              <w:t>灌溉需水量</w:t>
            </w:r>
            <w:r>
              <w:rPr>
                <w:b/>
                <w:bCs/>
              </w:rPr>
              <w:t>-m</w:t>
            </w:r>
            <w:r>
              <w:rPr>
                <w:b/>
                <w:bCs/>
                <w:vertAlign w:val="superscript"/>
              </w:rPr>
              <w:t>3</w:t>
            </w:r>
            <w:r>
              <w:rPr>
                <w:b/>
                <w:bCs/>
              </w:rPr>
              <w:t>/</w:t>
            </w:r>
            <w:r>
              <w:rPr>
                <w:rFonts w:hint="eastAsia"/>
                <w:b/>
                <w:bCs/>
              </w:rPr>
              <w:t>亩</w:t>
            </w:r>
          </w:p>
        </w:tc>
        <w:tc>
          <w:tcPr>
            <w:tcW w:w="1010" w:type="pct"/>
            <w:tcBorders>
              <w:tl2br w:val="nil"/>
              <w:tr2bl w:val="nil"/>
            </w:tcBorders>
            <w:noWrap w:val="0"/>
            <w:vAlign w:val="center"/>
          </w:tcPr>
          <w:p>
            <w:pPr>
              <w:pStyle w:val="30"/>
              <w:bidi w:val="0"/>
              <w:rPr>
                <w:b/>
                <w:bCs/>
              </w:rPr>
            </w:pPr>
            <w:r>
              <w:rPr>
                <w:rFonts w:hint="eastAsia"/>
                <w:b/>
                <w:bCs/>
              </w:rPr>
              <w:t>灌溉需水量</w:t>
            </w:r>
            <w:r>
              <w:rPr>
                <w:b/>
                <w:bCs/>
              </w:rPr>
              <w:t>-m</w:t>
            </w:r>
            <w:r>
              <w:rPr>
                <w:b/>
                <w:bCs/>
                <w:vertAlign w:val="superscript"/>
              </w:rPr>
              <w:t>3</w:t>
            </w:r>
            <w:r>
              <w:rPr>
                <w:b/>
                <w:bCs/>
              </w:rPr>
              <w:t>/a</w:t>
            </w:r>
          </w:p>
        </w:tc>
        <w:tc>
          <w:tcPr>
            <w:tcW w:w="1125" w:type="pct"/>
            <w:tcBorders>
              <w:tl2br w:val="nil"/>
              <w:tr2bl w:val="nil"/>
            </w:tcBorders>
            <w:noWrap w:val="0"/>
            <w:vAlign w:val="center"/>
          </w:tcPr>
          <w:p>
            <w:pPr>
              <w:pStyle w:val="30"/>
              <w:bidi w:val="0"/>
              <w:rPr>
                <w:b/>
                <w:bCs/>
              </w:rPr>
            </w:pPr>
            <w:r>
              <w:rPr>
                <w:rFonts w:hint="eastAsia"/>
                <w:b/>
                <w:bCs/>
              </w:rPr>
              <w:t>本项目废水量</w:t>
            </w:r>
            <w:r>
              <w:rPr>
                <w:b/>
                <w:bCs/>
              </w:rPr>
              <w:t>-m</w:t>
            </w:r>
            <w:r>
              <w:rPr>
                <w:b/>
                <w:bCs/>
                <w:vertAlign w:val="superscript"/>
              </w:rPr>
              <w:t>3</w:t>
            </w:r>
            <w:r>
              <w:rPr>
                <w:b/>
                <w:bCs/>
              </w:rPr>
              <w:t>/a</w:t>
            </w:r>
          </w:p>
        </w:tc>
        <w:tc>
          <w:tcPr>
            <w:tcW w:w="572" w:type="pct"/>
            <w:tcBorders>
              <w:tl2br w:val="nil"/>
              <w:tr2bl w:val="nil"/>
            </w:tcBorders>
            <w:noWrap w:val="0"/>
            <w:vAlign w:val="center"/>
          </w:tcPr>
          <w:p>
            <w:pPr>
              <w:pStyle w:val="30"/>
              <w:bidi w:val="0"/>
              <w:rPr>
                <w:b/>
                <w:bCs/>
              </w:rPr>
            </w:pPr>
            <w:r>
              <w:rPr>
                <w:rFonts w:hint="eastAsia"/>
                <w:b/>
                <w:bCs/>
              </w:rPr>
              <w:t>占比</w:t>
            </w:r>
            <w:r>
              <w:rPr>
                <w:b/>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tcBorders>
              <w:tl2br w:val="nil"/>
              <w:tr2bl w:val="nil"/>
            </w:tcBorders>
            <w:noWrap w:val="0"/>
            <w:vAlign w:val="center"/>
          </w:tcPr>
          <w:p>
            <w:pPr>
              <w:pStyle w:val="30"/>
              <w:bidi w:val="0"/>
              <w:rPr>
                <w:highlight w:val="none"/>
              </w:rPr>
            </w:pPr>
            <w:r>
              <w:rPr>
                <w:highlight w:val="none"/>
              </w:rPr>
              <w:t>1</w:t>
            </w:r>
          </w:p>
        </w:tc>
        <w:tc>
          <w:tcPr>
            <w:tcW w:w="786" w:type="pct"/>
            <w:tcBorders>
              <w:tl2br w:val="nil"/>
              <w:tr2bl w:val="nil"/>
            </w:tcBorders>
            <w:noWrap w:val="0"/>
            <w:vAlign w:val="center"/>
          </w:tcPr>
          <w:p>
            <w:pPr>
              <w:pStyle w:val="30"/>
              <w:bidi w:val="0"/>
              <w:rPr>
                <w:rFonts w:hint="default" w:eastAsia="宋体"/>
                <w:highlight w:val="none"/>
                <w:lang w:val="en-US" w:eastAsia="zh-CN"/>
              </w:rPr>
            </w:pPr>
            <w:r>
              <w:rPr>
                <w:rFonts w:hint="eastAsia"/>
                <w:highlight w:val="none"/>
                <w:lang w:val="en-US" w:eastAsia="zh-CN"/>
              </w:rPr>
              <w:t>1450</w:t>
            </w:r>
          </w:p>
        </w:tc>
        <w:tc>
          <w:tcPr>
            <w:tcW w:w="1089" w:type="pct"/>
            <w:tcBorders>
              <w:tl2br w:val="nil"/>
              <w:tr2bl w:val="nil"/>
            </w:tcBorders>
            <w:noWrap w:val="0"/>
            <w:vAlign w:val="center"/>
          </w:tcPr>
          <w:p>
            <w:pPr>
              <w:pStyle w:val="30"/>
              <w:bidi w:val="0"/>
              <w:rPr>
                <w:rFonts w:hint="default" w:eastAsia="宋体"/>
                <w:highlight w:val="none"/>
                <w:lang w:val="en-US" w:eastAsia="zh-CN"/>
              </w:rPr>
            </w:pPr>
            <w:r>
              <w:rPr>
                <w:rFonts w:hint="eastAsia"/>
                <w:highlight w:val="none"/>
                <w:lang w:val="en-US" w:eastAsia="zh-CN"/>
              </w:rPr>
              <w:t>310</w:t>
            </w:r>
          </w:p>
        </w:tc>
        <w:tc>
          <w:tcPr>
            <w:tcW w:w="1010" w:type="pct"/>
            <w:tcBorders>
              <w:tl2br w:val="nil"/>
              <w:tr2bl w:val="nil"/>
            </w:tcBorders>
            <w:noWrap w:val="0"/>
            <w:vAlign w:val="center"/>
          </w:tcPr>
          <w:p>
            <w:pPr>
              <w:pStyle w:val="30"/>
              <w:bidi w:val="0"/>
              <w:rPr>
                <w:rFonts w:hint="default" w:eastAsia="宋体"/>
                <w:highlight w:val="none"/>
                <w:lang w:val="en-US" w:eastAsia="zh-CN"/>
              </w:rPr>
            </w:pPr>
            <w:r>
              <w:rPr>
                <w:rFonts w:hint="eastAsia"/>
                <w:highlight w:val="none"/>
                <w:lang w:val="en-US" w:eastAsia="zh-CN"/>
              </w:rPr>
              <w:t>449500</w:t>
            </w:r>
          </w:p>
        </w:tc>
        <w:tc>
          <w:tcPr>
            <w:tcW w:w="1125" w:type="pct"/>
            <w:tcBorders>
              <w:tl2br w:val="nil"/>
              <w:tr2bl w:val="nil"/>
            </w:tcBorders>
            <w:noWrap w:val="0"/>
            <w:vAlign w:val="center"/>
          </w:tcPr>
          <w:p>
            <w:pPr>
              <w:pStyle w:val="30"/>
              <w:bidi w:val="0"/>
              <w:rPr>
                <w:highlight w:val="none"/>
              </w:rPr>
            </w:pPr>
            <w:r>
              <w:rPr>
                <w:rFonts w:hint="eastAsia"/>
                <w:highlight w:val="none"/>
                <w:lang w:val="en-US" w:eastAsia="zh-CN"/>
              </w:rPr>
              <w:t>189120</w:t>
            </w:r>
          </w:p>
        </w:tc>
        <w:tc>
          <w:tcPr>
            <w:tcW w:w="572" w:type="pct"/>
            <w:tcBorders>
              <w:tl2br w:val="nil"/>
              <w:tr2bl w:val="nil"/>
            </w:tcBorders>
            <w:noWrap w:val="0"/>
            <w:vAlign w:val="center"/>
          </w:tcPr>
          <w:p>
            <w:pPr>
              <w:pStyle w:val="30"/>
              <w:bidi w:val="0"/>
              <w:rPr>
                <w:rFonts w:hint="default" w:eastAsia="宋体"/>
                <w:highlight w:val="none"/>
                <w:lang w:val="en-US" w:eastAsia="zh-CN"/>
              </w:rPr>
            </w:pPr>
            <w:r>
              <w:rPr>
                <w:rFonts w:hint="eastAsia"/>
                <w:highlight w:val="none"/>
                <w:lang w:val="en-US" w:eastAsia="zh-CN"/>
              </w:rPr>
              <w:t>42.07</w:t>
            </w:r>
          </w:p>
        </w:tc>
      </w:tr>
    </w:tbl>
    <w:p>
      <w:pPr>
        <w:spacing w:line="360" w:lineRule="auto"/>
        <w:ind w:firstLine="480" w:firstLineChars="200"/>
        <w:rPr>
          <w:bCs/>
          <w:sz w:val="24"/>
          <w:szCs w:val="24"/>
        </w:rPr>
      </w:pPr>
      <w:r>
        <w:rPr>
          <w:bCs/>
          <w:sz w:val="24"/>
          <w:szCs w:val="24"/>
          <w:lang w:bidi="ar"/>
        </w:rPr>
        <w:fldChar w:fldCharType="begin"/>
      </w:r>
      <w:r>
        <w:rPr>
          <w:bCs/>
          <w:sz w:val="24"/>
          <w:szCs w:val="24"/>
          <w:lang w:bidi="ar"/>
        </w:rPr>
        <w:instrText xml:space="preserve">= 4 \* GB3</w:instrText>
      </w:r>
      <w:r>
        <w:rPr>
          <w:bCs/>
          <w:sz w:val="24"/>
          <w:szCs w:val="24"/>
          <w:lang w:bidi="ar"/>
        </w:rPr>
        <w:fldChar w:fldCharType="separate"/>
      </w:r>
      <w:r>
        <w:rPr>
          <w:bCs/>
          <w:sz w:val="24"/>
          <w:szCs w:val="24"/>
          <w:lang w:bidi="ar"/>
        </w:rPr>
        <w:t>④</w:t>
      </w:r>
      <w:r>
        <w:rPr>
          <w:bCs/>
          <w:sz w:val="24"/>
          <w:szCs w:val="24"/>
          <w:lang w:bidi="ar"/>
        </w:rPr>
        <w:fldChar w:fldCharType="end"/>
      </w:r>
      <w:r>
        <w:rPr>
          <w:bCs/>
          <w:sz w:val="24"/>
          <w:szCs w:val="24"/>
          <w:lang w:bidi="ar"/>
        </w:rPr>
        <w:t>项目灌溉周期及频率</w:t>
      </w:r>
    </w:p>
    <w:p>
      <w:pPr>
        <w:spacing w:line="360" w:lineRule="auto"/>
        <w:ind w:firstLine="480" w:firstLineChars="200"/>
        <w:rPr>
          <w:sz w:val="24"/>
          <w:szCs w:val="24"/>
          <w:lang w:bidi="ar"/>
        </w:rPr>
      </w:pPr>
      <w:r>
        <w:rPr>
          <w:sz w:val="24"/>
          <w:szCs w:val="24"/>
          <w:lang w:bidi="ar"/>
        </w:rPr>
        <w:t>本项目消纳地面</w:t>
      </w:r>
      <w:r>
        <w:rPr>
          <w:sz w:val="24"/>
          <w:szCs w:val="24"/>
          <w:highlight w:val="none"/>
          <w:lang w:bidi="ar"/>
        </w:rPr>
        <w:t>积为</w:t>
      </w:r>
      <w:r>
        <w:rPr>
          <w:rFonts w:hint="eastAsia"/>
          <w:sz w:val="24"/>
          <w:szCs w:val="24"/>
          <w:highlight w:val="none"/>
          <w:lang w:val="en-US" w:eastAsia="zh-CN" w:bidi="ar"/>
        </w:rPr>
        <w:t>1450</w:t>
      </w:r>
      <w:r>
        <w:rPr>
          <w:sz w:val="24"/>
          <w:szCs w:val="24"/>
          <w:highlight w:val="none"/>
          <w:lang w:bidi="ar"/>
        </w:rPr>
        <w:t>亩，</w:t>
      </w:r>
      <w:r>
        <w:rPr>
          <w:sz w:val="24"/>
          <w:szCs w:val="24"/>
          <w:lang w:bidi="ar"/>
        </w:rPr>
        <w:t>种植作物为茶叶</w:t>
      </w:r>
      <w:r>
        <w:rPr>
          <w:rFonts w:hint="eastAsia"/>
          <w:sz w:val="24"/>
          <w:szCs w:val="24"/>
          <w:lang w:val="en-US" w:eastAsia="zh-CN" w:bidi="ar"/>
        </w:rPr>
        <w:t>或花椒</w:t>
      </w:r>
      <w:r>
        <w:rPr>
          <w:sz w:val="24"/>
          <w:szCs w:val="24"/>
          <w:lang w:bidi="ar"/>
        </w:rPr>
        <w:t>，</w:t>
      </w:r>
      <w:r>
        <w:rPr>
          <w:rFonts w:hint="eastAsia"/>
          <w:sz w:val="24"/>
          <w:szCs w:val="24"/>
          <w:lang w:val="en-US" w:eastAsia="zh-CN" w:bidi="ar"/>
        </w:rPr>
        <w:t>屠宰场</w:t>
      </w:r>
      <w:r>
        <w:rPr>
          <w:sz w:val="24"/>
          <w:szCs w:val="24"/>
          <w:lang w:bidi="ar"/>
        </w:rPr>
        <w:t>经处理后的用于灌溉的水量为</w:t>
      </w:r>
      <w:r>
        <w:rPr>
          <w:rFonts w:hint="eastAsia"/>
          <w:kern w:val="0"/>
          <w:sz w:val="24"/>
          <w:szCs w:val="24"/>
          <w:lang w:val="en-US" w:eastAsia="zh-CN" w:bidi="ar"/>
        </w:rPr>
        <w:t>189120</w:t>
      </w:r>
      <w:r>
        <w:rPr>
          <w:sz w:val="24"/>
          <w:szCs w:val="24"/>
          <w:lang w:bidi="ar"/>
        </w:rPr>
        <w:t>m</w:t>
      </w:r>
      <w:r>
        <w:rPr>
          <w:sz w:val="24"/>
          <w:szCs w:val="24"/>
          <w:vertAlign w:val="superscript"/>
          <w:lang w:bidi="ar"/>
        </w:rPr>
        <w:t>3</w:t>
      </w:r>
      <w:r>
        <w:rPr>
          <w:sz w:val="24"/>
          <w:szCs w:val="24"/>
          <w:lang w:bidi="ar"/>
        </w:rPr>
        <w:t>/a。根据茶叶</w:t>
      </w:r>
      <w:r>
        <w:rPr>
          <w:rFonts w:hint="eastAsia"/>
          <w:sz w:val="24"/>
          <w:szCs w:val="24"/>
          <w:lang w:val="en-US" w:eastAsia="zh-CN" w:bidi="ar"/>
        </w:rPr>
        <w:t>和花椒</w:t>
      </w:r>
      <w:r>
        <w:rPr>
          <w:sz w:val="24"/>
          <w:szCs w:val="24"/>
          <w:lang w:bidi="ar"/>
        </w:rPr>
        <w:t>需水量与灌溉制度研究，在一年中具有随季节而变化的生长特性，称季节生长周期，主要表现在新梢具有明显的轮性生长特点和花果、根系生长的季节性变化。我国大部分茶区，在自然生长条件下，全年有3次生长和休止，即：越冬芽萌发→第1次生长</w:t>
      </w:r>
      <w:r>
        <w:rPr>
          <w:rFonts w:hint="eastAsia"/>
          <w:sz w:val="24"/>
          <w:szCs w:val="24"/>
          <w:lang w:eastAsia="zh-CN" w:bidi="ar"/>
        </w:rPr>
        <w:t>（</w:t>
      </w:r>
      <w:r>
        <w:rPr>
          <w:sz w:val="24"/>
          <w:szCs w:val="24"/>
          <w:lang w:bidi="ar"/>
        </w:rPr>
        <w:t>春梢</w:t>
      </w:r>
      <w:r>
        <w:rPr>
          <w:rFonts w:hint="eastAsia"/>
          <w:sz w:val="24"/>
          <w:szCs w:val="24"/>
          <w:lang w:eastAsia="zh-CN" w:bidi="ar"/>
        </w:rPr>
        <w:t>）（</w:t>
      </w:r>
      <w:r>
        <w:rPr>
          <w:sz w:val="24"/>
          <w:szCs w:val="24"/>
          <w:lang w:bidi="ar"/>
        </w:rPr>
        <w:t>3-5月</w:t>
      </w:r>
      <w:r>
        <w:rPr>
          <w:rFonts w:hint="eastAsia"/>
          <w:sz w:val="24"/>
          <w:szCs w:val="24"/>
          <w:lang w:eastAsia="zh-CN" w:bidi="ar"/>
        </w:rPr>
        <w:t>）</w:t>
      </w:r>
      <w:r>
        <w:rPr>
          <w:sz w:val="24"/>
          <w:szCs w:val="24"/>
          <w:lang w:bidi="ar"/>
        </w:rPr>
        <w:t>→休止→第2次生长</w:t>
      </w:r>
      <w:r>
        <w:rPr>
          <w:rFonts w:hint="eastAsia"/>
          <w:sz w:val="24"/>
          <w:szCs w:val="24"/>
          <w:lang w:eastAsia="zh-CN" w:bidi="ar"/>
        </w:rPr>
        <w:t>（</w:t>
      </w:r>
      <w:r>
        <w:rPr>
          <w:sz w:val="24"/>
          <w:szCs w:val="24"/>
          <w:lang w:bidi="ar"/>
        </w:rPr>
        <w:t>夏梢</w:t>
      </w:r>
      <w:r>
        <w:rPr>
          <w:rFonts w:hint="eastAsia"/>
          <w:sz w:val="24"/>
          <w:szCs w:val="24"/>
          <w:lang w:eastAsia="zh-CN" w:bidi="ar"/>
        </w:rPr>
        <w:t>）（</w:t>
      </w:r>
      <w:r>
        <w:rPr>
          <w:sz w:val="24"/>
          <w:szCs w:val="24"/>
          <w:lang w:bidi="ar"/>
        </w:rPr>
        <w:t>6-7月</w:t>
      </w:r>
      <w:r>
        <w:rPr>
          <w:rFonts w:hint="eastAsia"/>
          <w:sz w:val="24"/>
          <w:szCs w:val="24"/>
          <w:lang w:eastAsia="zh-CN" w:bidi="ar"/>
        </w:rPr>
        <w:t>）</w:t>
      </w:r>
      <w:r>
        <w:rPr>
          <w:sz w:val="24"/>
          <w:szCs w:val="24"/>
          <w:lang w:bidi="ar"/>
        </w:rPr>
        <w:t>→休止→第3次生长</w:t>
      </w:r>
      <w:r>
        <w:rPr>
          <w:rFonts w:hint="eastAsia"/>
          <w:sz w:val="24"/>
          <w:szCs w:val="24"/>
          <w:lang w:eastAsia="zh-CN" w:bidi="ar"/>
        </w:rPr>
        <w:t>（</w:t>
      </w:r>
      <w:r>
        <w:rPr>
          <w:sz w:val="24"/>
          <w:szCs w:val="24"/>
          <w:lang w:bidi="ar"/>
        </w:rPr>
        <w:t>秋梢</w:t>
      </w:r>
      <w:r>
        <w:rPr>
          <w:rFonts w:hint="eastAsia"/>
          <w:sz w:val="24"/>
          <w:szCs w:val="24"/>
          <w:lang w:eastAsia="zh-CN" w:bidi="ar"/>
        </w:rPr>
        <w:t>）（</w:t>
      </w:r>
      <w:r>
        <w:rPr>
          <w:sz w:val="24"/>
          <w:szCs w:val="24"/>
          <w:lang w:bidi="ar"/>
        </w:rPr>
        <w:t>8-10月</w:t>
      </w:r>
      <w:r>
        <w:rPr>
          <w:rFonts w:hint="eastAsia"/>
          <w:sz w:val="24"/>
          <w:szCs w:val="24"/>
          <w:lang w:eastAsia="zh-CN" w:bidi="ar"/>
        </w:rPr>
        <w:t>）</w:t>
      </w:r>
      <w:r>
        <w:rPr>
          <w:sz w:val="24"/>
          <w:szCs w:val="24"/>
          <w:lang w:bidi="ar"/>
        </w:rPr>
        <w:t>→冬季休眠</w:t>
      </w:r>
      <w:r>
        <w:rPr>
          <w:rFonts w:hint="eastAsia"/>
          <w:sz w:val="24"/>
          <w:szCs w:val="24"/>
          <w:lang w:eastAsia="zh-CN" w:bidi="ar"/>
        </w:rPr>
        <w:t>（</w:t>
      </w:r>
      <w:r>
        <w:rPr>
          <w:sz w:val="24"/>
          <w:szCs w:val="24"/>
          <w:lang w:bidi="ar"/>
        </w:rPr>
        <w:t>11—次年2月</w:t>
      </w:r>
      <w:r>
        <w:rPr>
          <w:rFonts w:hint="eastAsia"/>
          <w:sz w:val="24"/>
          <w:szCs w:val="24"/>
          <w:lang w:eastAsia="zh-CN" w:bidi="ar"/>
        </w:rPr>
        <w:t>）</w:t>
      </w:r>
      <w:r>
        <w:rPr>
          <w:sz w:val="24"/>
          <w:szCs w:val="24"/>
          <w:lang w:bidi="ar"/>
        </w:rPr>
        <w:t>，但在人工采摘条件下，全年可萌发5~6轮新梢。</w:t>
      </w:r>
    </w:p>
    <w:p>
      <w:pPr>
        <w:spacing w:line="360" w:lineRule="auto"/>
        <w:ind w:firstLine="480" w:firstLineChars="200"/>
        <w:rPr>
          <w:sz w:val="24"/>
          <w:szCs w:val="24"/>
          <w:lang w:bidi="ar"/>
        </w:rPr>
      </w:pPr>
      <w:r>
        <w:rPr>
          <w:sz w:val="24"/>
          <w:szCs w:val="24"/>
          <w:lang w:bidi="ar"/>
        </w:rPr>
        <w:t>春茶生长期</w:t>
      </w:r>
      <w:r>
        <w:rPr>
          <w:rFonts w:hint="eastAsia"/>
          <w:sz w:val="24"/>
          <w:szCs w:val="24"/>
          <w:lang w:eastAsia="zh-CN" w:bidi="ar"/>
        </w:rPr>
        <w:t>（</w:t>
      </w:r>
      <w:r>
        <w:rPr>
          <w:sz w:val="24"/>
          <w:szCs w:val="24"/>
          <w:lang w:bidi="ar"/>
        </w:rPr>
        <w:t>3-5月</w:t>
      </w:r>
      <w:r>
        <w:rPr>
          <w:rFonts w:hint="eastAsia"/>
          <w:sz w:val="24"/>
          <w:szCs w:val="24"/>
          <w:lang w:eastAsia="zh-CN" w:bidi="ar"/>
        </w:rPr>
        <w:t>）</w:t>
      </w:r>
      <w:r>
        <w:rPr>
          <w:sz w:val="24"/>
          <w:szCs w:val="24"/>
          <w:lang w:bidi="ar"/>
        </w:rPr>
        <w:t>：该生长期茶叶需水强度较高。田间持水量90%时，产量最高，适宜土壤含水量为90%。</w:t>
      </w:r>
    </w:p>
    <w:p>
      <w:pPr>
        <w:spacing w:line="360" w:lineRule="auto"/>
        <w:ind w:firstLine="480" w:firstLineChars="200"/>
        <w:rPr>
          <w:sz w:val="24"/>
          <w:szCs w:val="24"/>
          <w:lang w:bidi="ar"/>
        </w:rPr>
      </w:pPr>
      <w:r>
        <w:rPr>
          <w:sz w:val="24"/>
          <w:szCs w:val="24"/>
          <w:lang w:bidi="ar"/>
        </w:rPr>
        <w:t>夏茶生长期</w:t>
      </w:r>
      <w:r>
        <w:rPr>
          <w:rFonts w:hint="eastAsia"/>
          <w:sz w:val="24"/>
          <w:szCs w:val="24"/>
          <w:lang w:eastAsia="zh-CN" w:bidi="ar"/>
        </w:rPr>
        <w:t>（</w:t>
      </w:r>
      <w:r>
        <w:rPr>
          <w:sz w:val="24"/>
          <w:szCs w:val="24"/>
          <w:lang w:bidi="ar"/>
        </w:rPr>
        <w:t>6-7月</w:t>
      </w:r>
      <w:r>
        <w:rPr>
          <w:rFonts w:hint="eastAsia"/>
          <w:sz w:val="24"/>
          <w:szCs w:val="24"/>
          <w:lang w:eastAsia="zh-CN" w:bidi="ar"/>
        </w:rPr>
        <w:t>）</w:t>
      </w:r>
      <w:r>
        <w:rPr>
          <w:sz w:val="24"/>
          <w:szCs w:val="24"/>
          <w:lang w:bidi="ar"/>
        </w:rPr>
        <w:t>：该生长期茶叶需水强度最高。由于正值夏季炎热天气，并且春茶采摘完，消耗了很多水分和养分，需要补充大量水分和养分。田间持水量90%时，产量最高，适宜土壤含水量为90%。</w:t>
      </w:r>
    </w:p>
    <w:p>
      <w:pPr>
        <w:spacing w:line="360" w:lineRule="auto"/>
        <w:ind w:firstLine="480" w:firstLineChars="200"/>
        <w:rPr>
          <w:sz w:val="24"/>
          <w:szCs w:val="24"/>
          <w:lang w:bidi="ar"/>
        </w:rPr>
      </w:pPr>
      <w:r>
        <w:rPr>
          <w:sz w:val="24"/>
          <w:szCs w:val="24"/>
          <w:lang w:bidi="ar"/>
        </w:rPr>
        <w:t>秋茶生长期</w:t>
      </w:r>
      <w:r>
        <w:rPr>
          <w:rFonts w:hint="eastAsia"/>
          <w:sz w:val="24"/>
          <w:szCs w:val="24"/>
          <w:lang w:eastAsia="zh-CN" w:bidi="ar"/>
        </w:rPr>
        <w:t>（</w:t>
      </w:r>
      <w:r>
        <w:rPr>
          <w:sz w:val="24"/>
          <w:szCs w:val="24"/>
          <w:lang w:bidi="ar"/>
        </w:rPr>
        <w:t>8-10月</w:t>
      </w:r>
      <w:r>
        <w:rPr>
          <w:rFonts w:hint="eastAsia"/>
          <w:sz w:val="24"/>
          <w:szCs w:val="24"/>
          <w:lang w:eastAsia="zh-CN" w:bidi="ar"/>
        </w:rPr>
        <w:t>）</w:t>
      </w:r>
      <w:r>
        <w:rPr>
          <w:sz w:val="24"/>
          <w:szCs w:val="24"/>
          <w:lang w:bidi="ar"/>
        </w:rPr>
        <w:t>：该生长期茶叶需水强度一般。田间持水量85%时，产量最高，适宜土壤含水量为85%。</w:t>
      </w:r>
    </w:p>
    <w:p>
      <w:pPr>
        <w:spacing w:line="360" w:lineRule="auto"/>
        <w:ind w:firstLine="480" w:firstLineChars="200"/>
        <w:rPr>
          <w:sz w:val="24"/>
          <w:szCs w:val="24"/>
          <w:lang w:bidi="ar"/>
        </w:rPr>
      </w:pPr>
      <w:r>
        <w:rPr>
          <w:sz w:val="24"/>
          <w:szCs w:val="24"/>
          <w:lang w:bidi="ar"/>
        </w:rPr>
        <w:t>冬茶生长期</w:t>
      </w:r>
      <w:r>
        <w:rPr>
          <w:rFonts w:hint="eastAsia"/>
          <w:sz w:val="24"/>
          <w:szCs w:val="24"/>
          <w:lang w:eastAsia="zh-CN" w:bidi="ar"/>
        </w:rPr>
        <w:t>（</w:t>
      </w:r>
      <w:r>
        <w:rPr>
          <w:sz w:val="24"/>
          <w:szCs w:val="24"/>
          <w:lang w:bidi="ar"/>
        </w:rPr>
        <w:t>11—次年2月</w:t>
      </w:r>
      <w:r>
        <w:rPr>
          <w:rFonts w:hint="eastAsia"/>
          <w:sz w:val="24"/>
          <w:szCs w:val="24"/>
          <w:lang w:eastAsia="zh-CN" w:bidi="ar"/>
        </w:rPr>
        <w:t>）</w:t>
      </w:r>
      <w:r>
        <w:rPr>
          <w:sz w:val="24"/>
          <w:szCs w:val="24"/>
          <w:lang w:bidi="ar"/>
        </w:rPr>
        <w:t>：该生长期茶叶需水强度最低。田间持水量85%时，产量最高，适宜土壤含水量为85%。</w:t>
      </w:r>
    </w:p>
    <w:p>
      <w:pPr>
        <w:spacing w:line="360" w:lineRule="auto"/>
        <w:ind w:firstLine="480" w:firstLineChars="200"/>
        <w:rPr>
          <w:sz w:val="24"/>
          <w:szCs w:val="24"/>
        </w:rPr>
      </w:pPr>
      <w:r>
        <w:rPr>
          <w:sz w:val="24"/>
          <w:szCs w:val="24"/>
          <w:lang w:bidi="ar"/>
        </w:rPr>
        <w:t>综上所述，本项目消纳地茶叶灌期为3-10月，非灌期为11-次年2月，灌期3-5月每5d灌溉一次，灌期6-7月每4d灌溉一次，灌期8-10月每5d灌溉一次，非灌期11—次年2月每10d灌溉一次。</w:t>
      </w:r>
    </w:p>
    <w:p>
      <w:pPr>
        <w:spacing w:line="360" w:lineRule="auto"/>
        <w:ind w:firstLine="480" w:firstLineChars="200"/>
        <w:rPr>
          <w:bCs/>
          <w:sz w:val="24"/>
          <w:szCs w:val="24"/>
          <w:highlight w:val="none"/>
        </w:rPr>
      </w:pPr>
      <w:r>
        <w:rPr>
          <w:sz w:val="24"/>
          <w:szCs w:val="24"/>
          <w:highlight w:val="none"/>
          <w:lang w:bidi="ar"/>
        </w:rPr>
        <w:t>⑤</w:t>
      </w:r>
      <w:r>
        <w:rPr>
          <w:bCs/>
          <w:sz w:val="24"/>
          <w:szCs w:val="24"/>
          <w:highlight w:val="none"/>
          <w:lang w:bidi="ar"/>
        </w:rPr>
        <w:t>非灌溉期水用于周边灌溉可行性</w:t>
      </w:r>
    </w:p>
    <w:p>
      <w:pPr>
        <w:spacing w:line="360" w:lineRule="auto"/>
        <w:ind w:firstLine="480" w:firstLineChars="200"/>
        <w:rPr>
          <w:rFonts w:hint="default" w:eastAsia="宋体"/>
          <w:sz w:val="24"/>
          <w:szCs w:val="24"/>
          <w:highlight w:val="none"/>
          <w:vertAlign w:val="baseline"/>
          <w:lang w:val="en-US" w:eastAsia="zh-CN" w:bidi="ar"/>
        </w:rPr>
      </w:pPr>
      <w:r>
        <w:rPr>
          <w:rFonts w:hint="eastAsia"/>
          <w:sz w:val="24"/>
          <w:szCs w:val="24"/>
          <w:highlight w:val="none"/>
          <w:lang w:val="en-US" w:eastAsia="zh-CN" w:bidi="ar"/>
        </w:rPr>
        <w:t>根据上述可知，项目灌溉用地每年需进行63次灌溉，灌溉水量约为7135m</w:t>
      </w:r>
      <w:r>
        <w:rPr>
          <w:rFonts w:hint="eastAsia"/>
          <w:sz w:val="24"/>
          <w:szCs w:val="24"/>
          <w:highlight w:val="none"/>
          <w:vertAlign w:val="superscript"/>
          <w:lang w:val="en-US" w:eastAsia="zh-CN" w:bidi="ar"/>
        </w:rPr>
        <w:t>3</w:t>
      </w:r>
      <w:r>
        <w:rPr>
          <w:rFonts w:hint="eastAsia"/>
          <w:sz w:val="24"/>
          <w:szCs w:val="24"/>
          <w:highlight w:val="none"/>
          <w:vertAlign w:val="baseline"/>
          <w:lang w:val="en-US" w:eastAsia="zh-CN" w:bidi="ar"/>
        </w:rPr>
        <w:t>/次，最长灌溉间隔为非灌期每10d灌溉一次，本项目10d产生水量为6559</w:t>
      </w:r>
      <w:r>
        <w:rPr>
          <w:rFonts w:hint="eastAsia"/>
          <w:sz w:val="24"/>
          <w:szCs w:val="24"/>
          <w:highlight w:val="none"/>
          <w:lang w:val="en-US" w:eastAsia="zh-CN" w:bidi="ar"/>
        </w:rPr>
        <w:t>m</w:t>
      </w:r>
      <w:r>
        <w:rPr>
          <w:rFonts w:hint="eastAsia"/>
          <w:sz w:val="24"/>
          <w:szCs w:val="24"/>
          <w:highlight w:val="none"/>
          <w:vertAlign w:val="superscript"/>
          <w:lang w:val="en-US" w:eastAsia="zh-CN" w:bidi="ar"/>
        </w:rPr>
        <w:t>3</w:t>
      </w:r>
      <w:r>
        <w:rPr>
          <w:rFonts w:hint="eastAsia"/>
          <w:sz w:val="24"/>
          <w:szCs w:val="24"/>
          <w:highlight w:val="none"/>
          <w:vertAlign w:val="baseline"/>
          <w:lang w:val="en-US" w:eastAsia="zh-CN" w:bidi="ar"/>
        </w:rPr>
        <w:t>，占灌溉用地一次浇灌量的92%，因此，本项目需建设满足存放10d废水量的废水储存池。确定本项目废水储存池溶剂不得低于6559</w:t>
      </w:r>
      <w:r>
        <w:rPr>
          <w:rFonts w:hint="eastAsia"/>
          <w:sz w:val="24"/>
          <w:szCs w:val="24"/>
          <w:highlight w:val="none"/>
          <w:lang w:val="en-US" w:eastAsia="zh-CN" w:bidi="ar"/>
        </w:rPr>
        <w:t>m</w:t>
      </w:r>
      <w:r>
        <w:rPr>
          <w:rFonts w:hint="eastAsia"/>
          <w:sz w:val="24"/>
          <w:szCs w:val="24"/>
          <w:highlight w:val="none"/>
          <w:vertAlign w:val="superscript"/>
          <w:lang w:val="en-US" w:eastAsia="zh-CN" w:bidi="ar"/>
        </w:rPr>
        <w:t>3</w:t>
      </w:r>
      <w:r>
        <w:rPr>
          <w:rFonts w:hint="eastAsia"/>
          <w:sz w:val="24"/>
          <w:szCs w:val="24"/>
          <w:highlight w:val="none"/>
          <w:vertAlign w:val="baseline"/>
          <w:lang w:val="en-US" w:eastAsia="zh-CN" w:bidi="ar"/>
        </w:rPr>
        <w:t>。本项目田间设置暂存池7000</w:t>
      </w:r>
      <w:r>
        <w:rPr>
          <w:rFonts w:hint="eastAsia"/>
          <w:sz w:val="24"/>
          <w:szCs w:val="24"/>
          <w:highlight w:val="none"/>
          <w:lang w:val="en-US" w:eastAsia="zh-CN" w:bidi="ar"/>
        </w:rPr>
        <w:t>m</w:t>
      </w:r>
      <w:r>
        <w:rPr>
          <w:rFonts w:hint="eastAsia"/>
          <w:sz w:val="24"/>
          <w:szCs w:val="24"/>
          <w:highlight w:val="none"/>
          <w:vertAlign w:val="superscript"/>
          <w:lang w:val="en-US" w:eastAsia="zh-CN" w:bidi="ar"/>
        </w:rPr>
        <w:t>3</w:t>
      </w:r>
      <w:r>
        <w:rPr>
          <w:rFonts w:hint="eastAsia"/>
          <w:sz w:val="24"/>
          <w:szCs w:val="24"/>
          <w:highlight w:val="none"/>
          <w:vertAlign w:val="baseline"/>
          <w:lang w:val="en-US" w:eastAsia="zh-CN" w:bidi="ar"/>
        </w:rPr>
        <w:t>，设置田间高位水池2个（3000m</w:t>
      </w:r>
      <w:r>
        <w:rPr>
          <w:rFonts w:hint="eastAsia"/>
          <w:sz w:val="24"/>
          <w:szCs w:val="24"/>
          <w:highlight w:val="none"/>
          <w:vertAlign w:val="superscript"/>
          <w:lang w:val="en-US" w:eastAsia="zh-CN" w:bidi="ar"/>
        </w:rPr>
        <w:t>3</w:t>
      </w:r>
      <w:r>
        <w:rPr>
          <w:rFonts w:hint="eastAsia"/>
          <w:sz w:val="24"/>
          <w:szCs w:val="24"/>
          <w:highlight w:val="none"/>
          <w:vertAlign w:val="baseline"/>
          <w:lang w:val="en-US" w:eastAsia="zh-CN" w:bidi="ar"/>
        </w:rPr>
        <w:t>/个），田间暂存池20个（100m</w:t>
      </w:r>
      <w:r>
        <w:rPr>
          <w:rFonts w:hint="eastAsia"/>
          <w:sz w:val="24"/>
          <w:szCs w:val="24"/>
          <w:highlight w:val="none"/>
          <w:vertAlign w:val="superscript"/>
          <w:lang w:val="en-US" w:eastAsia="zh-CN" w:bidi="ar"/>
        </w:rPr>
        <w:t>3</w:t>
      </w:r>
      <w:r>
        <w:rPr>
          <w:rFonts w:hint="eastAsia"/>
          <w:sz w:val="24"/>
          <w:szCs w:val="24"/>
          <w:highlight w:val="none"/>
          <w:vertAlign w:val="baseline"/>
          <w:lang w:val="en-US" w:eastAsia="zh-CN" w:bidi="ar"/>
        </w:rPr>
        <w:t>/个），非灌期污水处理站出水暂存该池内，每隔10d向灌溉用地浇灌。</w:t>
      </w:r>
    </w:p>
    <w:p>
      <w:pPr>
        <w:pStyle w:val="6"/>
        <w:bidi w:val="0"/>
      </w:pPr>
      <w:r>
        <w:rPr>
          <w:rFonts w:hint="eastAsia"/>
        </w:rPr>
        <w:t>非正常情况废水影响分析</w:t>
      </w:r>
    </w:p>
    <w:p>
      <w:pPr>
        <w:spacing w:line="360" w:lineRule="auto"/>
        <w:ind w:firstLine="480" w:firstLineChars="200"/>
        <w:rPr>
          <w:sz w:val="24"/>
          <w:szCs w:val="24"/>
        </w:rPr>
      </w:pPr>
      <w:r>
        <w:rPr>
          <w:rFonts w:hint="eastAsia" w:cs="宋体"/>
          <w:sz w:val="24"/>
          <w:szCs w:val="24"/>
          <w:lang w:bidi="ar"/>
        </w:rPr>
        <w:t>本项目配套建设</w:t>
      </w:r>
      <w:r>
        <w:rPr>
          <w:rFonts w:hint="eastAsia" w:cs="宋体"/>
          <w:sz w:val="24"/>
          <w:szCs w:val="24"/>
          <w:lang w:val="en-US" w:eastAsia="zh-CN" w:bidi="ar"/>
        </w:rPr>
        <w:t>2500</w:t>
      </w:r>
      <w:r>
        <w:rPr>
          <w:sz w:val="24"/>
          <w:szCs w:val="24"/>
          <w:lang w:bidi="ar"/>
        </w:rPr>
        <w:t>m</w:t>
      </w:r>
      <w:r>
        <w:rPr>
          <w:sz w:val="24"/>
          <w:szCs w:val="24"/>
          <w:vertAlign w:val="superscript"/>
          <w:lang w:bidi="ar"/>
        </w:rPr>
        <w:t>3</w:t>
      </w:r>
      <w:r>
        <w:rPr>
          <w:rFonts w:hint="eastAsia" w:cs="宋体"/>
          <w:sz w:val="24"/>
          <w:szCs w:val="24"/>
          <w:lang w:bidi="ar"/>
        </w:rPr>
        <w:t>的应急事故池</w:t>
      </w:r>
      <w:r>
        <w:rPr>
          <w:rFonts w:hint="eastAsia"/>
          <w:sz w:val="24"/>
          <w:szCs w:val="24"/>
          <w:lang w:bidi="ar"/>
        </w:rPr>
        <w:t>，</w:t>
      </w:r>
      <w:r>
        <w:rPr>
          <w:rFonts w:hint="eastAsia"/>
          <w:bCs/>
          <w:sz w:val="24"/>
          <w:szCs w:val="24"/>
          <w:lang w:bidi="ar"/>
        </w:rPr>
        <w:t>满足</w:t>
      </w:r>
      <w:r>
        <w:rPr>
          <w:bCs/>
          <w:sz w:val="24"/>
          <w:szCs w:val="24"/>
          <w:lang w:bidi="ar"/>
        </w:rPr>
        <w:t>3</w:t>
      </w:r>
      <w:r>
        <w:rPr>
          <w:rFonts w:hint="eastAsia"/>
          <w:bCs/>
          <w:sz w:val="24"/>
          <w:szCs w:val="24"/>
          <w:lang w:bidi="ar"/>
        </w:rPr>
        <w:t>天废水的产生量，满足</w:t>
      </w:r>
      <w:r>
        <w:rPr>
          <w:bCs/>
          <w:sz w:val="24"/>
          <w:szCs w:val="24"/>
          <w:lang w:bidi="ar"/>
        </w:rPr>
        <w:t>3</w:t>
      </w:r>
      <w:r>
        <w:rPr>
          <w:rFonts w:hint="eastAsia"/>
          <w:bCs/>
          <w:sz w:val="24"/>
          <w:szCs w:val="24"/>
          <w:lang w:bidi="ar"/>
        </w:rPr>
        <w:t>天废水的产生量，</w:t>
      </w:r>
      <w:r>
        <w:rPr>
          <w:rFonts w:hint="eastAsia" w:cs="宋体"/>
          <w:sz w:val="24"/>
          <w:szCs w:val="24"/>
          <w:lang w:bidi="ar"/>
        </w:rPr>
        <w:t>可以临时存储不能及时处理的废水。待污水处理站正常运行后进行处置。保证污水不外排，保护地表水环境不受影响。</w:t>
      </w:r>
    </w:p>
    <w:p>
      <w:pPr>
        <w:pStyle w:val="6"/>
        <w:bidi w:val="0"/>
      </w:pPr>
      <w:r>
        <w:rPr>
          <w:rFonts w:hint="eastAsia"/>
        </w:rPr>
        <w:t>小结</w:t>
      </w:r>
    </w:p>
    <w:p>
      <w:pPr>
        <w:spacing w:line="360" w:lineRule="auto"/>
        <w:ind w:firstLine="480" w:firstLineChars="200"/>
        <w:rPr>
          <w:sz w:val="24"/>
        </w:rPr>
      </w:pPr>
      <w:r>
        <w:rPr>
          <w:rFonts w:hint="eastAsia" w:cs="宋体"/>
          <w:sz w:val="24"/>
          <w:lang w:bidi="ar"/>
        </w:rPr>
        <w:t>项目建成运营后，废水经污水站处理后全部用于周边茶叶</w:t>
      </w:r>
      <w:r>
        <w:rPr>
          <w:rFonts w:hint="eastAsia" w:cs="宋体"/>
          <w:sz w:val="24"/>
          <w:lang w:val="en-US" w:eastAsia="zh-CN" w:bidi="ar"/>
        </w:rPr>
        <w:t>或花椒</w:t>
      </w:r>
      <w:r>
        <w:rPr>
          <w:rFonts w:hint="eastAsia" w:cs="宋体"/>
          <w:sz w:val="24"/>
          <w:lang w:bidi="ar"/>
        </w:rPr>
        <w:t>田地灌溉，不外排。因此，不会对周边地表水环境产生影响。</w:t>
      </w:r>
    </w:p>
    <w:p>
      <w:pPr>
        <w:pStyle w:val="5"/>
        <w:bidi w:val="0"/>
        <w:rPr>
          <w:rFonts w:hint="default"/>
          <w:highlight w:val="none"/>
          <w:lang w:val="en-US" w:eastAsia="zh-CN"/>
        </w:rPr>
      </w:pPr>
      <w:r>
        <w:rPr>
          <w:rFonts w:hint="eastAsia"/>
          <w:highlight w:val="none"/>
          <w:lang w:val="en-US" w:eastAsia="zh-CN"/>
        </w:rPr>
        <w:t>地下水环境影响分析</w:t>
      </w:r>
    </w:p>
    <w:p>
      <w:pPr>
        <w:pStyle w:val="6"/>
        <w:bidi w:val="0"/>
        <w:rPr>
          <w:rFonts w:hint="default"/>
          <w:lang w:val="en-US" w:eastAsia="zh-CN"/>
        </w:rPr>
      </w:pPr>
      <w:r>
        <w:rPr>
          <w:rFonts w:hint="eastAsia"/>
          <w:lang w:val="en-US" w:eastAsia="zh-CN"/>
        </w:rPr>
        <w:t>评价等级</w:t>
      </w:r>
    </w:p>
    <w:p>
      <w:pPr>
        <w:bidi w:val="0"/>
        <w:rPr>
          <w:rFonts w:hint="eastAsia"/>
          <w:b/>
          <w:bCs/>
        </w:rPr>
      </w:pPr>
      <w:r>
        <w:rPr>
          <w:rFonts w:hint="eastAsia"/>
          <w:b/>
          <w:bCs/>
        </w:rPr>
        <w:t>（</w:t>
      </w:r>
      <w:r>
        <w:rPr>
          <w:rFonts w:hint="default"/>
          <w:b/>
          <w:bCs/>
        </w:rPr>
        <w:t>1</w:t>
      </w:r>
      <w:r>
        <w:rPr>
          <w:rFonts w:hint="eastAsia"/>
          <w:b/>
          <w:bCs/>
        </w:rPr>
        <w:t>）建设项目所属的地下水环境影响评价项目类别</w:t>
      </w:r>
    </w:p>
    <w:p>
      <w:pPr>
        <w:bidi w:val="0"/>
        <w:rPr>
          <w:rFonts w:hint="eastAsia"/>
        </w:rPr>
      </w:pPr>
      <w:r>
        <w:rPr>
          <w:rFonts w:hint="eastAsia"/>
        </w:rPr>
        <w:t>本项目为屠宰项目，按《环境影响评价技术导则 地下水环境》（</w:t>
      </w:r>
      <w:r>
        <w:rPr>
          <w:rFonts w:hint="default"/>
        </w:rPr>
        <w:t>HJ610-2016</w:t>
      </w:r>
      <w:r>
        <w:rPr>
          <w:rFonts w:hint="eastAsia"/>
        </w:rPr>
        <w:t>）的相关规定，本项目属于附录</w:t>
      </w:r>
      <w:r>
        <w:rPr>
          <w:rFonts w:hint="default"/>
        </w:rPr>
        <w:t>A</w:t>
      </w:r>
      <w:r>
        <w:rPr>
          <w:rFonts w:hint="eastAsia"/>
        </w:rPr>
        <w:t>（地下水环境影响评价行业分类表）中</w:t>
      </w:r>
      <w:r>
        <w:rPr>
          <w:rFonts w:hint="eastAsia"/>
          <w:lang w:eastAsia="zh-CN"/>
        </w:rPr>
        <w:t>“</w:t>
      </w:r>
      <w:r>
        <w:rPr>
          <w:rFonts w:hint="eastAsia"/>
        </w:rPr>
        <w:t>N轻工</w:t>
      </w:r>
      <w:r>
        <w:rPr>
          <w:rFonts w:hint="eastAsia"/>
          <w:lang w:eastAsia="zh-CN"/>
        </w:rPr>
        <w:t>——</w:t>
      </w:r>
      <w:r>
        <w:rPr>
          <w:rFonts w:hint="default"/>
        </w:rPr>
        <w:t>98</w:t>
      </w:r>
      <w:r>
        <w:rPr>
          <w:rFonts w:hint="eastAsia"/>
        </w:rPr>
        <w:t>、屠宰</w:t>
      </w:r>
      <w:r>
        <w:rPr>
          <w:rFonts w:hint="eastAsia"/>
          <w:lang w:eastAsia="zh-CN"/>
        </w:rPr>
        <w:t>——</w:t>
      </w:r>
      <w:r>
        <w:rPr>
          <w:rFonts w:hint="eastAsia"/>
        </w:rPr>
        <w:t>报告书</w:t>
      </w:r>
      <w:r>
        <w:rPr>
          <w:rFonts w:hint="eastAsia"/>
          <w:lang w:eastAsia="zh-CN"/>
        </w:rPr>
        <w:t>”</w:t>
      </w:r>
      <w:r>
        <w:rPr>
          <w:rFonts w:hint="eastAsia"/>
        </w:rPr>
        <w:t>类别，因此本项目属于</w:t>
      </w:r>
      <w:r>
        <w:rPr>
          <w:rFonts w:hint="default" w:ascii="Times New Roman" w:hAnsi="Times New Roman" w:cs="Times New Roman"/>
        </w:rPr>
        <w:t>Ⅲ</w:t>
      </w:r>
      <w:r>
        <w:rPr>
          <w:rFonts w:hint="eastAsia"/>
        </w:rPr>
        <w:t>类，需开展地下水环境影响评价。</w:t>
      </w:r>
    </w:p>
    <w:p>
      <w:pPr>
        <w:bidi w:val="0"/>
        <w:rPr>
          <w:rFonts w:hint="eastAsia"/>
        </w:rPr>
      </w:pPr>
      <w:r>
        <w:rPr>
          <w:rFonts w:hint="eastAsia"/>
          <w:b/>
          <w:bCs/>
        </w:rPr>
        <w:t>（</w:t>
      </w:r>
      <w:r>
        <w:rPr>
          <w:rFonts w:hint="default"/>
          <w:b/>
          <w:bCs/>
        </w:rPr>
        <w:t>2</w:t>
      </w:r>
      <w:r>
        <w:rPr>
          <w:rFonts w:hint="eastAsia"/>
          <w:b/>
          <w:bCs/>
        </w:rPr>
        <w:t>）建设项目的地下水环境敏感程度</w:t>
      </w:r>
    </w:p>
    <w:p>
      <w:pPr>
        <w:bidi w:val="0"/>
        <w:rPr>
          <w:rFonts w:hint="eastAsia"/>
        </w:rPr>
      </w:pPr>
      <w:r>
        <w:rPr>
          <w:rFonts w:hint="eastAsia"/>
        </w:rPr>
        <w:t>根据现场调查，项目周边少量村民自打水井作生活用水（分散式水井），属于分散式饮用水水源地，因此其地下水环境敏感特征为</w:t>
      </w:r>
      <w:r>
        <w:rPr>
          <w:rFonts w:hint="eastAsia"/>
          <w:lang w:eastAsia="zh-CN"/>
        </w:rPr>
        <w:t>“</w:t>
      </w:r>
      <w:r>
        <w:rPr>
          <w:rFonts w:hint="eastAsia"/>
        </w:rPr>
        <w:t>较敏感</w:t>
      </w:r>
      <w:r>
        <w:rPr>
          <w:rFonts w:hint="eastAsia"/>
          <w:lang w:eastAsia="zh-CN"/>
        </w:rPr>
        <w:t>”</w:t>
      </w:r>
      <w:r>
        <w:rPr>
          <w:rFonts w:hint="eastAsia"/>
        </w:rPr>
        <w:t>。</w:t>
      </w:r>
    </w:p>
    <w:p>
      <w:pPr>
        <w:bidi w:val="0"/>
        <w:rPr>
          <w:rFonts w:hint="eastAsia"/>
          <w:lang w:val="en-US" w:eastAsia="zh-CN"/>
        </w:rPr>
      </w:pPr>
      <w:r>
        <w:rPr>
          <w:rFonts w:hint="eastAsia"/>
        </w:rPr>
        <w:t>根据评价工作等级分级表，本次评价地下水环境定为三级。</w:t>
      </w:r>
    </w:p>
    <w:p>
      <w:pPr>
        <w:numPr>
          <w:ilvl w:val="0"/>
          <w:numId w:val="3"/>
        </w:numPr>
        <w:bidi w:val="0"/>
        <w:ind w:left="0" w:leftChars="0" w:firstLine="482" w:firstLineChars="200"/>
        <w:rPr>
          <w:rFonts w:hint="eastAsia"/>
          <w:b/>
          <w:bCs/>
        </w:rPr>
      </w:pPr>
      <w:r>
        <w:rPr>
          <w:rFonts w:hint="eastAsia"/>
          <w:b/>
          <w:bCs/>
        </w:rPr>
        <w:t>评价范围</w:t>
      </w:r>
    </w:p>
    <w:p>
      <w:pPr>
        <w:bidi w:val="0"/>
        <w:rPr>
          <w:rFonts w:hint="eastAsia"/>
          <w:lang w:eastAsia="zh-CN"/>
        </w:rPr>
      </w:pPr>
      <w:r>
        <w:rPr>
          <w:rFonts w:hint="eastAsia"/>
          <w:lang w:eastAsia="zh-CN"/>
        </w:rPr>
        <w:t>按照导则的要求，本项目地下水评价等级为三级，地下水环境现状调查与评价的范围参考导则中8.2.2进行确定。此调查评价范围以能说明地下水环境的基本状况为原则，应包括与建设项目相关的环境保护目标和敏感区域，必要时还应扩展至完整的水文地质单元。</w:t>
      </w:r>
    </w:p>
    <w:p>
      <w:pPr>
        <w:bidi w:val="0"/>
        <w:rPr>
          <w:rFonts w:hint="eastAsia"/>
          <w:lang w:val="en-US" w:eastAsia="zh-CN"/>
        </w:rPr>
      </w:pPr>
      <w:r>
        <w:rPr>
          <w:rFonts w:hint="eastAsia"/>
          <w:lang w:eastAsia="zh-CN"/>
        </w:rPr>
        <w:t>根据本项目工程特点，结合地下水环境影响评价的要求，本次地下水环境评价范围确定采用自定义法。</w:t>
      </w:r>
      <w:r>
        <w:t>本项目所在水文地质单元地下水流向为：项目所在区域以厂界</w:t>
      </w:r>
      <w:r>
        <w:rPr>
          <w:rFonts w:hint="eastAsia"/>
          <w:lang w:val="en-US" w:eastAsia="zh-CN"/>
        </w:rPr>
        <w:t>东、西、南磴子河</w:t>
      </w:r>
      <w:r>
        <w:t>为分水岭，分水岭东</w:t>
      </w:r>
      <w:r>
        <w:rPr>
          <w:rFonts w:hint="eastAsia"/>
          <w:lang w:val="en-US" w:eastAsia="zh-CN"/>
        </w:rPr>
        <w:t>北侧</w:t>
      </w:r>
      <w:r>
        <w:t>的地下水流向为自</w:t>
      </w:r>
      <w:r>
        <w:rPr>
          <w:rFonts w:hint="eastAsia"/>
          <w:lang w:val="en-US" w:eastAsia="zh-CN"/>
        </w:rPr>
        <w:t>西北</w:t>
      </w:r>
      <w:r>
        <w:t>向</w:t>
      </w:r>
      <w:r>
        <w:rPr>
          <w:rFonts w:hint="eastAsia"/>
          <w:lang w:val="en-US" w:eastAsia="zh-CN"/>
        </w:rPr>
        <w:t>西南</w:t>
      </w:r>
      <w:r>
        <w:t>径流；分水岭西北侧的地下水流向为自</w:t>
      </w:r>
      <w:r>
        <w:rPr>
          <w:rFonts w:hint="eastAsia"/>
          <w:lang w:val="en-US" w:eastAsia="zh-CN"/>
        </w:rPr>
        <w:t>东北</w:t>
      </w:r>
      <w:r>
        <w:t>向西北径流；本次评价按照项目区水文地质条件确定地下水评价范围如下：</w:t>
      </w:r>
      <w:r>
        <w:rPr>
          <w:rFonts w:hint="eastAsia"/>
          <w:lang w:val="en-US" w:eastAsia="zh-CN"/>
        </w:rPr>
        <w:t>东、西、南侧以磴子河为界，项目东北侧外延870m山脊处为界</w:t>
      </w:r>
      <w:r>
        <w:t>，</w:t>
      </w:r>
      <w:r>
        <w:rPr>
          <w:rFonts w:hint="eastAsia"/>
          <w:lang w:val="en-US" w:eastAsia="zh-CN"/>
        </w:rPr>
        <w:t>项目西北侧620m山脊处为界，项目北侧880m以地势最高处为界，项目</w:t>
      </w:r>
      <w:r>
        <w:t>评价范围</w:t>
      </w:r>
      <w:r>
        <w:rPr>
          <w:rFonts w:hint="eastAsia"/>
          <w:lang w:val="en-US" w:eastAsia="zh-CN"/>
        </w:rPr>
        <w:t>约4.5</w:t>
      </w:r>
      <w:r>
        <w:t>km</w:t>
      </w:r>
      <w:r>
        <w:rPr>
          <w:vertAlign w:val="superscript"/>
        </w:rPr>
        <w:t>2</w:t>
      </w:r>
      <w:r>
        <w:t>。</w:t>
      </w:r>
    </w:p>
    <w:p>
      <w:pPr>
        <w:pStyle w:val="6"/>
        <w:bidi w:val="0"/>
        <w:rPr>
          <w:rFonts w:hint="default"/>
          <w:lang w:val="en-US" w:eastAsia="zh-CN"/>
        </w:rPr>
      </w:pPr>
      <w:r>
        <w:rPr>
          <w:rFonts w:hint="eastAsia"/>
          <w:lang w:val="en-US" w:eastAsia="zh-CN"/>
        </w:rPr>
        <w:t>地下水水文地质条件</w:t>
      </w:r>
    </w:p>
    <w:p>
      <w:pPr>
        <w:bidi w:val="0"/>
        <w:rPr>
          <w:rFonts w:hint="default"/>
          <w:lang w:val="en-US" w:eastAsia="zh-CN"/>
        </w:rPr>
      </w:pPr>
      <w:r>
        <w:t>根据工程区地下水赋存条件和含水介质特性、岩性及其组合的特点，工程场区内地下水类型主要为基岩裂隙水。基岩裂隙水主要为赋存在红层裂隙水中以层间裂隙承压水为主的浅部裂隙水，下部层间裂隙承压水，一般单位涌水量5~50t/d·m。</w:t>
      </w:r>
    </w:p>
    <w:p>
      <w:pPr>
        <w:bidi w:val="0"/>
      </w:pPr>
      <w:r>
        <w:rPr>
          <w:rFonts w:hint="eastAsia"/>
          <w:lang w:eastAsia="zh-CN"/>
        </w:rPr>
        <w:t>（</w:t>
      </w:r>
      <w:r>
        <w:rPr>
          <w:rFonts w:hint="eastAsia"/>
          <w:lang w:val="en-US" w:eastAsia="zh-CN"/>
        </w:rPr>
        <w:t>1</w:t>
      </w:r>
      <w:r>
        <w:rPr>
          <w:rFonts w:hint="eastAsia"/>
          <w:lang w:eastAsia="zh-CN"/>
        </w:rPr>
        <w:t>）</w:t>
      </w:r>
      <w:r>
        <w:t>评价关注地层</w:t>
      </w:r>
    </w:p>
    <w:p>
      <w:pPr>
        <w:bidi w:val="0"/>
        <w:rPr>
          <w:rFonts w:hint="eastAsia" w:eastAsia="宋体"/>
          <w:lang w:eastAsia="zh-CN"/>
        </w:rPr>
      </w:pPr>
      <w:r>
        <w:t>工程区域地面出露为中生界白垩系城墙岩群剑阁组（K</w:t>
      </w:r>
      <w:r>
        <w:rPr>
          <w:i/>
          <w:iCs/>
        </w:rPr>
        <w:t>jn</w:t>
      </w:r>
      <w:r>
        <w:t>），该组地层为巨厚层块状钙质胶结中细粒长石石英砂岩及粉砂质泥岩，砂岩每层厚10~30m，赋存层间裂隙承压水。大面积连续分布时，单位涌水量可达80t/d·m。浅部含裂隙潜水，井泉流量0.01~0.1L/s，地下水</w:t>
      </w:r>
      <w:r>
        <w:rPr>
          <w:rFonts w:hint="eastAsia"/>
          <w:lang w:eastAsia="zh-CN"/>
        </w:rPr>
        <w:t>径流</w:t>
      </w:r>
      <w:r>
        <w:t>模数0.2~0.4L/s·km</w:t>
      </w:r>
      <w:r>
        <w:rPr>
          <w:vertAlign w:val="superscript"/>
        </w:rPr>
        <w:t>2</w:t>
      </w:r>
      <w:r>
        <w:t>。主要分布于图幅东南部，呈中低山地貌，浅部普遍具风化带，厚度</w:t>
      </w:r>
      <w:r>
        <w:rPr>
          <w:rFonts w:hint="eastAsia"/>
          <w:lang w:val="en-US" w:eastAsia="zh-CN"/>
        </w:rPr>
        <w:t>&gt;</w:t>
      </w:r>
      <w:r>
        <w:t>87m。</w:t>
      </w:r>
    </w:p>
    <w:p>
      <w:pPr>
        <w:bidi w:val="0"/>
      </w:pPr>
      <w:r>
        <w:t>（2）水文地质及水化学特征</w:t>
      </w:r>
    </w:p>
    <w:p>
      <w:pPr>
        <w:bidi w:val="0"/>
        <w:rPr>
          <w:rFonts w:ascii="宋体" w:hAnsi="宋体" w:eastAsia="宋体" w:cs="宋体"/>
          <w:sz w:val="24"/>
          <w:szCs w:val="24"/>
        </w:rPr>
      </w:pPr>
      <w:r>
        <w:t>根据区域水文地质普查报告及区域综合水文地质图可知，工程区域出露地层为中生界白垩系城墙岩群剑阁组（K</w:t>
      </w:r>
      <w:r>
        <w:rPr>
          <w:i/>
          <w:iCs/>
        </w:rPr>
        <w:t>jn</w:t>
      </w:r>
      <w:r>
        <w:t>），其地下水类型为红层浅部裂隙水，井泉流量一般0.01~0.1L/s，地下水</w:t>
      </w:r>
      <w:r>
        <w:rPr>
          <w:rFonts w:hint="eastAsia"/>
          <w:lang w:eastAsia="zh-CN"/>
        </w:rPr>
        <w:t>径流</w:t>
      </w:r>
      <w:r>
        <w:t>模数0.2~0.4L/s·km</w:t>
      </w:r>
      <w:r>
        <w:rPr>
          <w:vertAlign w:val="superscript"/>
        </w:rPr>
        <w:t>2</w:t>
      </w:r>
      <w:r>
        <w:t>，单位涌水量5~50t/d·m。为重碳酸钙型水，矿化度0.3~0.5g/L。</w:t>
      </w:r>
    </w:p>
    <w:p>
      <w:pPr>
        <w:bidi w:val="0"/>
      </w:pPr>
      <w:r>
        <w:t>（3）补给、径流、排泄特征</w:t>
      </w:r>
    </w:p>
    <w:p>
      <w:pPr>
        <w:bidi w:val="0"/>
      </w:pPr>
      <w:r>
        <w:t>一般山顶及山坡为地下水入渗补给区，主要接受大气降水垂直补给，通过砂岩、泥岩中的孔隙、风化裂隙向沟谷局部的侵蚀基准面运移，斜坡台地中后部、山脚及谷底低洼区为地下水浅埋区；山坡下部靠近埋藏区的斜坡为地下水的补给</w:t>
      </w:r>
      <w:r>
        <w:rPr>
          <w:rFonts w:hint="eastAsia"/>
          <w:lang w:eastAsia="zh-CN"/>
        </w:rPr>
        <w:t>径流</w:t>
      </w:r>
      <w:r>
        <w:t>区，同样接受大气降水补给，同时地下水沿风化带裂隙向沟谷埋藏区</w:t>
      </w:r>
      <w:r>
        <w:rPr>
          <w:rFonts w:hint="eastAsia"/>
          <w:lang w:eastAsia="zh-CN"/>
        </w:rPr>
        <w:t>径流</w:t>
      </w:r>
      <w:r>
        <w:t>或以下降泉的形式及在相对隔水的层面排泄；地下水在沟谷底会向更低的侵蚀基准面，由沟头向沟尾，支沟向主沟，缓慢的径流、排泄、入渗、径流、排泄过程；每个小沟域都可能形成独立的补迳排地下水系统。</w:t>
      </w:r>
    </w:p>
    <w:p>
      <w:pPr>
        <w:bidi w:val="0"/>
      </w:pPr>
      <w:r>
        <w:t>大气降水是地下水的主要补给来源，受降水量、地貌、植被和岩石风化裂隙发育等因素影响，补给随地面条件而变化，大多数情况下，缓坡、谷地或浅切割的地区、地表植物茂盛、裂隙发育的地段补给量大；反之，补给量小。</w:t>
      </w:r>
    </w:p>
    <w:p>
      <w:pPr>
        <w:bidi w:val="0"/>
        <w:rPr>
          <w:rFonts w:hint="default"/>
          <w:lang w:val="en-US" w:eastAsia="zh-CN"/>
        </w:rPr>
      </w:pPr>
      <w:r>
        <w:t>含水层在露头区接受降水补给后，一部分地下水顺层作短暂运移到地形低洼处分散溢出地表；一部分则沿裂隙或裂隙溶洞下渗向深部运移，直至裂隙发育段之下界或含水岩组，然后回升再沿走向运动，在沟谷或斜坡台地切割处以泉的形式排泄。</w:t>
      </w:r>
    </w:p>
    <w:p>
      <w:pPr>
        <w:bidi w:val="0"/>
        <w:rPr>
          <w:rFonts w:hint="eastAsia" w:eastAsia="宋体"/>
          <w:lang w:eastAsia="zh-CN"/>
        </w:rPr>
      </w:pPr>
      <w:r>
        <w:t>浅部地下水的循环还受地貌的影响，一般在切割较剧烈的窄谷地带，</w:t>
      </w:r>
      <w:r>
        <w:rPr>
          <w:rFonts w:hint="eastAsia"/>
          <w:lang w:eastAsia="zh-CN"/>
        </w:rPr>
        <w:t>径流</w:t>
      </w:r>
      <w:r>
        <w:t>途径短、速度快，泉水动态明显受降水影响，而在地形平缓的宽谷地带，</w:t>
      </w:r>
      <w:r>
        <w:rPr>
          <w:rFonts w:hint="eastAsia"/>
          <w:lang w:eastAsia="zh-CN"/>
        </w:rPr>
        <w:t>径流途径</w:t>
      </w:r>
      <w:r>
        <w:t>长，速度缓慢。</w:t>
      </w:r>
    </w:p>
    <w:p>
      <w:pPr>
        <w:bidi w:val="0"/>
        <w:rPr>
          <w:rFonts w:hint="eastAsia" w:eastAsia="宋体"/>
          <w:lang w:eastAsia="zh-CN"/>
        </w:rPr>
      </w:pPr>
      <w:r>
        <w:t>风化带裂隙水地下水渗流场主要受地形地貌控制。斜坡为入渗补给和强烈交替带，沟谷为埋藏储集区。补给来源主要有大气降水、农灌水、塘库堰水及渠系水。低山区地形相对陡峻，水力坡度大，地下水交替循环强烈；广大低山区沟谷横向坡度大，地下水交替循环较强烈，纵向水力坡度一般较小，地下水交替循环较弱。沟谷埋藏带地下水以泉和渗流形式向低洼沟谷排泄。地下水在含水层中的运移方式主要有沿层面裂隙作水平方向</w:t>
      </w:r>
      <w:r>
        <w:rPr>
          <w:rFonts w:hint="eastAsia"/>
          <w:lang w:eastAsia="zh-CN"/>
        </w:rPr>
        <w:t>径流</w:t>
      </w:r>
      <w:r>
        <w:t>和上下裂隙间的相互补给</w:t>
      </w:r>
      <w:r>
        <w:rPr>
          <w:rFonts w:hint="eastAsia"/>
          <w:lang w:eastAsia="zh-CN"/>
        </w:rPr>
        <w:t>径流</w:t>
      </w:r>
      <w:r>
        <w:t>。一般表现为就地补给，就近排泄，排泄面受地形起伏限制，支离破碎，没有区域性联系。水位埋深与地形切割关系密切，丘陵区一般小于4m。低山区，地形起伏较大，沟谷切割强烈，地下水位埋深较大，山坡边缘水位埋深增大，有的达20m以上。</w:t>
      </w:r>
    </w:p>
    <w:p>
      <w:pPr>
        <w:bidi w:val="0"/>
        <w:rPr>
          <w:rFonts w:hint="eastAsia" w:eastAsia="宋体"/>
          <w:lang w:val="en-US" w:eastAsia="zh-CN"/>
        </w:rPr>
      </w:pPr>
      <w:r>
        <w:t>本工程场址周围500m围内无集中式地下水取水口、地下暗河等控制性水点</w:t>
      </w:r>
      <w:r>
        <w:rPr>
          <w:rFonts w:hint="eastAsia"/>
          <w:lang w:eastAsia="zh-CN"/>
        </w:rPr>
        <w:t>。</w:t>
      </w:r>
    </w:p>
    <w:p>
      <w:pPr>
        <w:pStyle w:val="6"/>
        <w:bidi w:val="0"/>
        <w:rPr>
          <w:rFonts w:hint="default"/>
          <w:lang w:val="en-US" w:eastAsia="zh-CN"/>
        </w:rPr>
      </w:pPr>
      <w:r>
        <w:rPr>
          <w:rFonts w:hint="eastAsia"/>
          <w:lang w:val="en-US" w:eastAsia="zh-CN"/>
        </w:rPr>
        <w:t>地下水利用及污染状况</w:t>
      </w:r>
    </w:p>
    <w:p>
      <w:pPr>
        <w:rPr>
          <w:rFonts w:hint="default"/>
          <w:lang w:val="en-US" w:eastAsia="zh-CN"/>
        </w:rPr>
      </w:pPr>
      <w:r>
        <w:rPr>
          <w:rFonts w:hint="eastAsia"/>
          <w:lang w:val="en-US" w:eastAsia="zh-CN"/>
        </w:rPr>
        <w:t>本项目地处巴中市平昌县响滩镇，周边无工业企业，附近居民生活用水均为自来水，生活污水均排放至污水处理厂。</w:t>
      </w:r>
    </w:p>
    <w:p>
      <w:pPr>
        <w:pStyle w:val="6"/>
        <w:bidi w:val="0"/>
        <w:rPr>
          <w:rFonts w:hint="eastAsia"/>
          <w:lang w:val="en-US" w:eastAsia="zh-CN"/>
        </w:rPr>
      </w:pPr>
      <w:r>
        <w:rPr>
          <w:rFonts w:hint="eastAsia"/>
        </w:rPr>
        <w:t>污染因子的迁移、转化规律</w:t>
      </w:r>
    </w:p>
    <w:p>
      <w:pPr>
        <w:bidi w:val="0"/>
        <w:rPr>
          <w:rFonts w:hint="eastAsia"/>
        </w:rPr>
      </w:pPr>
      <w:r>
        <w:rPr>
          <w:rFonts w:hint="eastAsia"/>
        </w:rPr>
        <w:t>地下水的污染主要是污染物通过土层垂直下渗首先经过表土，再进入包气带，在包气带污染可以得到一定程度的净化，有机污染物可以通过生物作用降解，不能被净化或固定的污染物随入渗水进入地下水层。</w:t>
      </w:r>
    </w:p>
    <w:p>
      <w:pPr>
        <w:bidi w:val="0"/>
        <w:rPr>
          <w:rFonts w:hint="eastAsia"/>
        </w:rPr>
      </w:pPr>
      <w:r>
        <w:rPr>
          <w:rFonts w:hint="eastAsia"/>
        </w:rPr>
        <w:t>无机物在自然界不能降解，在下渗的过程中靠吸附或生成难溶化合物滞留于土层中。废水中的主要污染物</w:t>
      </w:r>
      <w:r>
        <w:rPr>
          <w:rFonts w:hint="eastAsia"/>
          <w:lang w:eastAsia="zh-CN"/>
        </w:rPr>
        <w:t>－－</w:t>
      </w:r>
      <w:r>
        <w:rPr>
          <w:rFonts w:hint="eastAsia"/>
        </w:rPr>
        <w:t>粪大肠菌群有机物在下渗过程中靠吸附或生成难溶化合物滞留于土层中，在细菌或微生物的作用下发生分解而去除。</w:t>
      </w:r>
    </w:p>
    <w:p>
      <w:pPr>
        <w:bidi w:val="0"/>
        <w:rPr>
          <w:rFonts w:hint="eastAsia"/>
        </w:rPr>
      </w:pPr>
      <w:r>
        <w:rPr>
          <w:rFonts w:hint="eastAsia"/>
        </w:rPr>
        <w:t>地下水的污染途径主要有：</w:t>
      </w:r>
    </w:p>
    <w:p>
      <w:pPr>
        <w:bidi w:val="0"/>
        <w:rPr>
          <w:rFonts w:hint="eastAsia"/>
        </w:rPr>
      </w:pPr>
      <w:r>
        <w:rPr>
          <w:rFonts w:hint="eastAsia"/>
        </w:rPr>
        <w:t>①通过生产车间及地面渗入地下；</w:t>
      </w:r>
    </w:p>
    <w:p>
      <w:pPr>
        <w:bidi w:val="0"/>
        <w:rPr>
          <w:rFonts w:hint="eastAsia"/>
        </w:rPr>
      </w:pPr>
      <w:r>
        <w:rPr>
          <w:rFonts w:hint="eastAsia"/>
        </w:rPr>
        <w:t>②通过厂内污水管网及污水处理设施渗入地下；</w:t>
      </w:r>
    </w:p>
    <w:p>
      <w:pPr>
        <w:bidi w:val="0"/>
        <w:rPr>
          <w:rFonts w:hint="eastAsia"/>
        </w:rPr>
      </w:pPr>
      <w:r>
        <w:rPr>
          <w:rFonts w:hint="eastAsia"/>
        </w:rPr>
        <w:t>③通过厂外排水管网渗入地下；</w:t>
      </w:r>
    </w:p>
    <w:p>
      <w:pPr>
        <w:bidi w:val="0"/>
        <w:rPr>
          <w:rFonts w:hint="eastAsia"/>
        </w:rPr>
      </w:pPr>
      <w:r>
        <w:rPr>
          <w:rFonts w:hint="eastAsia"/>
        </w:rPr>
        <w:t>④通过降雨将污染物带入地下。</w:t>
      </w:r>
    </w:p>
    <w:p>
      <w:pPr>
        <w:bidi w:val="0"/>
        <w:rPr>
          <w:rFonts w:hint="eastAsia"/>
          <w:lang w:val="en-US" w:eastAsia="zh-CN"/>
        </w:rPr>
      </w:pPr>
      <w:r>
        <w:rPr>
          <w:rFonts w:hint="eastAsia"/>
        </w:rPr>
        <w:t>废水对地下水的影响程度与排污强度和该区域土壤、水文地质条件等因素有关。通过对区域水文地质条件分析知，规划区所在地域地表土壤防渗能力一般，防止地下水污染的主要措施是切断污染物进入地下水环境的途径，包括：</w:t>
      </w:r>
      <w:r>
        <w:rPr>
          <w:rFonts w:hint="eastAsia"/>
          <w:b/>
          <w:bCs/>
        </w:rPr>
        <w:t>企业生产车间地面及处理设施均做防渗处理；污水排放管道采取水泥防渗管道；厂区及车间地面进行硬化、采取</w:t>
      </w:r>
      <w:r>
        <w:rPr>
          <w:rFonts w:hint="eastAsia"/>
          <w:b/>
          <w:bCs/>
          <w:lang w:eastAsia="zh-CN"/>
        </w:rPr>
        <w:t>“</w:t>
      </w:r>
      <w:r>
        <w:rPr>
          <w:rFonts w:hint="eastAsia"/>
          <w:b/>
          <w:bCs/>
        </w:rPr>
        <w:t>雨污分流，清污分流</w:t>
      </w:r>
      <w:r>
        <w:rPr>
          <w:rFonts w:hint="eastAsia"/>
          <w:b/>
          <w:bCs/>
          <w:lang w:eastAsia="zh-CN"/>
        </w:rPr>
        <w:t>”</w:t>
      </w:r>
      <w:r>
        <w:rPr>
          <w:rFonts w:hint="eastAsia"/>
          <w:b/>
          <w:bCs/>
        </w:rPr>
        <w:t>的排水措施同时对初期雨水进行收集处理。</w:t>
      </w:r>
      <w:r>
        <w:rPr>
          <w:rFonts w:hint="eastAsia"/>
        </w:rPr>
        <w:t>按规范采取防渗处理措施后，可控制污染物渗入地下对区域地下水的污染。</w:t>
      </w:r>
    </w:p>
    <w:p>
      <w:pPr>
        <w:pStyle w:val="6"/>
        <w:bidi w:val="0"/>
        <w:rPr>
          <w:rFonts w:hint="eastAsia"/>
          <w:lang w:val="en-US" w:eastAsia="zh-CN"/>
        </w:rPr>
      </w:pPr>
      <w:r>
        <w:rPr>
          <w:rFonts w:hint="eastAsia"/>
        </w:rPr>
        <w:t>地下水环境影响预测与评价</w:t>
      </w:r>
    </w:p>
    <w:p>
      <w:pPr>
        <w:bidi w:val="0"/>
        <w:rPr>
          <w:rFonts w:hint="eastAsia"/>
          <w:b/>
          <w:bCs/>
        </w:rPr>
      </w:pPr>
      <w:r>
        <w:rPr>
          <w:rFonts w:hint="eastAsia"/>
          <w:b/>
          <w:bCs/>
        </w:rPr>
        <w:t>（</w:t>
      </w:r>
      <w:r>
        <w:rPr>
          <w:rFonts w:hint="default"/>
          <w:b/>
          <w:bCs/>
        </w:rPr>
        <w:t>1</w:t>
      </w:r>
      <w:r>
        <w:rPr>
          <w:rFonts w:hint="eastAsia"/>
          <w:b/>
          <w:bCs/>
        </w:rPr>
        <w:t>）正常情况下的地下水环境影响预测与评价</w:t>
      </w:r>
    </w:p>
    <w:p>
      <w:pPr>
        <w:bidi w:val="0"/>
        <w:rPr>
          <w:rFonts w:hint="eastAsia"/>
        </w:rPr>
      </w:pPr>
      <w:r>
        <w:rPr>
          <w:rFonts w:hint="eastAsia"/>
        </w:rPr>
        <w:t>根据项目实际特征，评价认为本项目在采取相应措施后可避免评价区地下水的影响。</w:t>
      </w:r>
    </w:p>
    <w:p>
      <w:pPr>
        <w:bidi w:val="0"/>
        <w:rPr>
          <w:rFonts w:hint="eastAsia"/>
          <w:lang w:val="en-US" w:eastAsia="zh-CN"/>
        </w:rPr>
      </w:pPr>
      <w:r>
        <w:rPr>
          <w:rFonts w:hint="eastAsia"/>
        </w:rPr>
        <w:t>①本项目废水经</w:t>
      </w:r>
      <w:r>
        <w:rPr>
          <w:rFonts w:hint="eastAsia"/>
          <w:lang w:eastAsia="zh-CN"/>
        </w:rPr>
        <w:t>“格栅池+沉渣池+多功能生物调节池+气浮沉渣池+厌氧池+初沉池+缺氧池1+好氧池1+缺氧池2+好氧池2+二沉池+生物滤池+混凝沉淀池+过滤池+紫外线消毒+清水池”</w:t>
      </w:r>
      <w:r>
        <w:rPr>
          <w:rFonts w:hint="eastAsia"/>
        </w:rPr>
        <w:t>后</w:t>
      </w:r>
      <w:r>
        <w:rPr>
          <w:rFonts w:hint="eastAsia"/>
          <w:lang w:val="en-US" w:eastAsia="zh-CN"/>
        </w:rPr>
        <w:t>一部分回用于进出车辆冲洗、地面冲洗、待宰圈冲洗和洗涤塔补水等，剩余部分用于农田灌溉，不外排</w:t>
      </w:r>
      <w:r>
        <w:rPr>
          <w:rFonts w:hint="eastAsia"/>
        </w:rPr>
        <w:t>。</w:t>
      </w:r>
    </w:p>
    <w:p>
      <w:pPr>
        <w:bidi w:val="0"/>
        <w:rPr>
          <w:rFonts w:hint="eastAsia"/>
        </w:rPr>
      </w:pPr>
      <w:r>
        <w:rPr>
          <w:rFonts w:hint="eastAsia"/>
        </w:rPr>
        <w:t>②对危废暂存间、药品库、污水处理站及污水管道、污水处理站加药间、无害化暂存间等进行重点防渗措施处理，对</w:t>
      </w:r>
      <w:r>
        <w:rPr>
          <w:rFonts w:hint="eastAsia"/>
          <w:lang w:eastAsia="zh-CN"/>
        </w:rPr>
        <w:t>待宰圈</w:t>
      </w:r>
      <w:r>
        <w:rPr>
          <w:rFonts w:hint="eastAsia"/>
        </w:rPr>
        <w:t>、屠宰车间、急宰间、垃圾回收站等进行一般防渗处理，对倒班房、道路等除重点防渗区和一般防渗区以外的区域做简单防渗处理，可有效避免由于废水及渗滤液等下渗地下水引起地下水的污染影响，加上有粘土层的阻隔及过滤作用，不会对地下水产生影响。</w:t>
      </w:r>
    </w:p>
    <w:p>
      <w:pPr>
        <w:bidi w:val="0"/>
        <w:rPr>
          <w:rFonts w:hint="eastAsia"/>
        </w:rPr>
      </w:pPr>
      <w:r>
        <w:rPr>
          <w:rFonts w:hint="eastAsia"/>
        </w:rPr>
        <w:t>③项目生产中涉及到部分化学品的使用，化学品的使用和暂存均按照《危险化学品安全贮存通则》（</w:t>
      </w:r>
      <w:r>
        <w:rPr>
          <w:rFonts w:hint="default"/>
        </w:rPr>
        <w:t>GB15603-1995</w:t>
      </w:r>
      <w:r>
        <w:rPr>
          <w:rFonts w:hint="eastAsia"/>
        </w:rPr>
        <w:t>）和《危险化学品安全管理条例》（</w:t>
      </w:r>
      <w:r>
        <w:rPr>
          <w:rFonts w:hint="default"/>
        </w:rPr>
        <w:t>2002</w:t>
      </w:r>
      <w:r>
        <w:rPr>
          <w:rFonts w:hint="eastAsia"/>
        </w:rPr>
        <w:t>）中的要求，采取防泄漏、防溢流、防腐蚀等措施，严格危险化学品的管理，正常工况下不会导致危险化学品进入地下污染地下水质以及区域土壤质量。</w:t>
      </w:r>
    </w:p>
    <w:p>
      <w:pPr>
        <w:bidi w:val="0"/>
        <w:rPr>
          <w:rFonts w:hint="eastAsia"/>
        </w:rPr>
      </w:pPr>
      <w:r>
        <w:rPr>
          <w:rFonts w:hint="eastAsia"/>
        </w:rPr>
        <w:t>④建立地下水环境监测管理体系，制定地下水环境影响跟踪监测计划。</w:t>
      </w:r>
    </w:p>
    <w:p>
      <w:pPr>
        <w:bidi w:val="0"/>
        <w:rPr>
          <w:rFonts w:hint="eastAsia"/>
        </w:rPr>
      </w:pPr>
      <w:r>
        <w:rPr>
          <w:rFonts w:hint="eastAsia"/>
        </w:rPr>
        <w:t>⑤本项目不涉及重金属、剧毒危险化学品，正常工况下项目涉及的物料洒漏等渗入地下的几率极小，对地下水影响甚微。</w:t>
      </w:r>
    </w:p>
    <w:p>
      <w:pPr>
        <w:bidi w:val="0"/>
        <w:rPr>
          <w:rFonts w:hint="eastAsia"/>
          <w:lang w:val="en-US" w:eastAsia="zh-CN"/>
        </w:rPr>
      </w:pPr>
      <w:r>
        <w:rPr>
          <w:rFonts w:hint="eastAsia"/>
        </w:rPr>
        <w:t>⑥项目区无不良地质现象，无采矿等形成的采空区，因此，因相关自然等因素导致的废水渗漏因素也较小。</w:t>
      </w:r>
    </w:p>
    <w:p>
      <w:pPr>
        <w:bidi w:val="0"/>
        <w:rPr>
          <w:rFonts w:hint="eastAsia"/>
          <w:lang w:val="en-US" w:eastAsia="zh-CN"/>
        </w:rPr>
      </w:pPr>
      <w:r>
        <w:rPr>
          <w:rFonts w:hint="eastAsia"/>
        </w:rPr>
        <w:t>综上所述，严格采取相应的防渗措施后，项目建设对地下水影响较小，因此，只要本项目做好了相关的防渗和防护工作，不会对地下水造成污染，根据《环境影响评价技术导则地下水环境》（</w:t>
      </w:r>
      <w:r>
        <w:rPr>
          <w:rFonts w:hint="default"/>
        </w:rPr>
        <w:t>HJ610-2016</w:t>
      </w:r>
      <w:r>
        <w:rPr>
          <w:rFonts w:hint="eastAsia"/>
        </w:rPr>
        <w:t>），可不进行正常状况情景下的预测。</w:t>
      </w:r>
    </w:p>
    <w:p>
      <w:pPr>
        <w:bidi w:val="0"/>
        <w:rPr>
          <w:rFonts w:hint="eastAsia"/>
          <w:b/>
          <w:bCs/>
        </w:rPr>
      </w:pPr>
      <w:r>
        <w:rPr>
          <w:rFonts w:hint="eastAsia"/>
          <w:b/>
          <w:bCs/>
        </w:rPr>
        <w:t>（</w:t>
      </w:r>
      <w:r>
        <w:rPr>
          <w:rFonts w:hint="default"/>
          <w:b/>
          <w:bCs/>
        </w:rPr>
        <w:t>2</w:t>
      </w:r>
      <w:r>
        <w:rPr>
          <w:rFonts w:hint="eastAsia"/>
          <w:b/>
          <w:bCs/>
        </w:rPr>
        <w:t>）非正常情况下的地下水环境影响预测与评价</w:t>
      </w:r>
    </w:p>
    <w:p>
      <w:pPr>
        <w:bidi w:val="0"/>
        <w:rPr>
          <w:rFonts w:hint="eastAsia"/>
        </w:rPr>
      </w:pPr>
      <w:r>
        <w:rPr>
          <w:rFonts w:hint="eastAsia"/>
        </w:rPr>
        <w:t>非正常状况指建设项目的工艺设备或地下水环境保护措施因系统老化、腐蚀等原因不能正常运行或保护效果达不到设计要求的运行状况。</w:t>
      </w:r>
    </w:p>
    <w:p>
      <w:pPr>
        <w:bidi w:val="0"/>
        <w:rPr>
          <w:rFonts w:hint="eastAsia"/>
        </w:rPr>
      </w:pPr>
      <w:r>
        <w:rPr>
          <w:rFonts w:hint="eastAsia"/>
        </w:rPr>
        <w:t>①地下水污染预测情景设定</w:t>
      </w:r>
    </w:p>
    <w:p>
      <w:pPr>
        <w:spacing w:beforeLines="0" w:afterLines="0"/>
        <w:jc w:val="left"/>
        <w:rPr>
          <w:rFonts w:hint="eastAsia" w:ascii="宋体" w:hAnsi="宋体" w:eastAsia="宋体"/>
          <w:sz w:val="24"/>
          <w:szCs w:val="24"/>
        </w:rPr>
      </w:pPr>
      <w:r>
        <w:rPr>
          <w:rFonts w:hint="eastAsia"/>
        </w:rPr>
        <w:t>项目厂房内地坪已采用厚混凝土进行覆盖，</w:t>
      </w:r>
      <w:r>
        <w:rPr>
          <w:rFonts w:hint="eastAsia"/>
          <w:lang w:eastAsia="zh-CN"/>
        </w:rPr>
        <w:t>待宰圈</w:t>
      </w:r>
      <w:r>
        <w:rPr>
          <w:rFonts w:hint="eastAsia"/>
        </w:rPr>
        <w:t>、屠宰车间和无害化暂存间、药品库、</w:t>
      </w:r>
      <w:r>
        <w:rPr>
          <w:rFonts w:hint="eastAsia" w:ascii="宋体" w:hAnsi="宋体" w:eastAsia="宋体"/>
          <w:sz w:val="24"/>
          <w:szCs w:val="24"/>
        </w:rPr>
        <w:t>危废暂存间等均已设计有相应的防渗措施，一般情况下</w:t>
      </w:r>
      <w:r>
        <w:rPr>
          <w:rFonts w:hint="eastAsia" w:ascii="宋体" w:hAnsi="宋体"/>
          <w:sz w:val="24"/>
          <w:szCs w:val="24"/>
          <w:lang w:eastAsia="zh-CN"/>
        </w:rPr>
        <w:t>待宰圈</w:t>
      </w:r>
      <w:r>
        <w:rPr>
          <w:rFonts w:hint="eastAsia" w:ascii="宋体" w:hAnsi="宋体" w:eastAsia="宋体"/>
          <w:sz w:val="24"/>
          <w:szCs w:val="24"/>
        </w:rPr>
        <w:t>、屠宰车间和无害化暂存间、药品库、危废暂存间等物料泄露不会对地下水造成污染，因此本评价针对地下水非正常状况主要考虑污水处理站发生泄漏，下渗污水进入地下水造成环境污染影响。</w:t>
      </w:r>
    </w:p>
    <w:p>
      <w:pPr>
        <w:bidi w:val="0"/>
        <w:rPr>
          <w:rFonts w:hint="eastAsia"/>
          <w:lang w:val="en-US" w:eastAsia="zh-CN"/>
        </w:rPr>
      </w:pPr>
      <w:r>
        <w:rPr>
          <w:rFonts w:hint="eastAsia"/>
        </w:rPr>
        <w:t>假设污水处理设施出现破损，破损面积为</w:t>
      </w:r>
      <w:r>
        <w:rPr>
          <w:rFonts w:hint="default"/>
        </w:rPr>
        <w:t>5%</w:t>
      </w:r>
      <w:r>
        <w:rPr>
          <w:rFonts w:hint="eastAsia"/>
        </w:rPr>
        <w:t>泄漏进入地下，不易发现，预计反应并处理的时间为</w:t>
      </w:r>
      <w:r>
        <w:rPr>
          <w:rFonts w:hint="default"/>
        </w:rPr>
        <w:t>10d</w:t>
      </w:r>
      <w:r>
        <w:rPr>
          <w:rFonts w:hint="eastAsia"/>
        </w:rPr>
        <w:t>，泄露方式为连续泄露。综合考虑本项目特点，本次预测情景主要针对事故工况进行设定，即假定最大污染源废水处理设施集水池和调节池出现破损，废水持续泄露进入地下，在上述假定情景中渗漏污染物直接进入包气带，向下渗透进入含水层。</w:t>
      </w:r>
    </w:p>
    <w:p>
      <w:pPr>
        <w:spacing w:beforeLines="0" w:afterLines="0"/>
        <w:jc w:val="left"/>
        <w:rPr>
          <w:rFonts w:hint="eastAsia" w:ascii="宋体" w:hAnsi="宋体" w:eastAsia="宋体"/>
          <w:sz w:val="24"/>
          <w:szCs w:val="24"/>
        </w:rPr>
      </w:pPr>
      <w:r>
        <w:rPr>
          <w:rFonts w:hint="eastAsia" w:ascii="宋体" w:hAnsi="宋体" w:eastAsia="宋体"/>
          <w:sz w:val="24"/>
          <w:szCs w:val="24"/>
        </w:rPr>
        <w:t>②预测方法</w:t>
      </w:r>
    </w:p>
    <w:p>
      <w:pPr>
        <w:bidi w:val="0"/>
      </w:pPr>
      <w:r>
        <w:t>该项目地下水预测分析主要进行饱和带污染物迁移预测，评价等级属三级，本次进行预测时，采用解析法计算。污染物在地下水系统中的迁移转化过程十分复杂，本次污染物模拟预测过程不考虑污染物在含水层中的吸附、挥发、生物化学反应，模型中各项参数予以保守性考虑。由于污染物预测主要针对非正常状况下污染物运移情况，因此模型预测不考虑包气带对污染物的截留作用，假设污染物可以直接通过包气带进入地下水体，最大限度地考虑污染物对研究区水体的影响。</w:t>
      </w:r>
    </w:p>
    <w:p>
      <w:pPr>
        <w:bidi w:val="0"/>
        <w:rPr>
          <w:rFonts w:hint="eastAsia"/>
          <w:lang w:val="en-US" w:eastAsia="zh-CN"/>
        </w:rPr>
      </w:pPr>
      <w:r>
        <w:t>地下水环境影响预测范围与调查评价范围一致，预测层位以潜水含水层为主。</w:t>
      </w:r>
    </w:p>
    <w:p>
      <w:pPr>
        <w:spacing w:beforeLines="0" w:afterLines="0"/>
        <w:jc w:val="left"/>
        <w:rPr>
          <w:rFonts w:hint="eastAsia" w:ascii="宋体" w:hAnsi="宋体" w:eastAsia="宋体"/>
          <w:b/>
          <w:bCs/>
          <w:sz w:val="24"/>
          <w:szCs w:val="24"/>
        </w:rPr>
      </w:pPr>
      <w:r>
        <w:rPr>
          <w:rFonts w:hint="eastAsia" w:ascii="宋体" w:hAnsi="宋体" w:eastAsia="宋体"/>
          <w:b/>
          <w:bCs/>
          <w:sz w:val="24"/>
          <w:szCs w:val="24"/>
        </w:rPr>
        <w:t>③预测时段</w:t>
      </w:r>
    </w:p>
    <w:p>
      <w:pPr>
        <w:bidi w:val="0"/>
      </w:pPr>
      <w:r>
        <w:t>根据导则要求，地下水环境影响评价预测时段应包括项目建设、生产运行和服务期满后三个阶段。结合本项目实际，对地下水的影响主要在项目的生产运行期，服务期满后对地下水的影响极小。</w:t>
      </w:r>
    </w:p>
    <w:p>
      <w:pPr>
        <w:bidi w:val="0"/>
        <w:rPr>
          <w:rFonts w:hint="eastAsia"/>
        </w:rPr>
      </w:pPr>
      <w:r>
        <w:t>因此，将预测时段定为项目生产运行期，同时根据《环境影响评价技术导则</w:t>
      </w:r>
      <w:r>
        <w:rPr>
          <w:rFonts w:hint="eastAsia"/>
          <w:lang w:eastAsia="zh-CN"/>
        </w:rPr>
        <w:t>－</w:t>
      </w:r>
      <w:r>
        <w:t>地下水环境》（HJ610-2016）9.3的要求，将运行期的地下水环境影响预测时限定为100天、1000天、3650d（</w:t>
      </w:r>
      <w:r>
        <w:rPr>
          <w:rFonts w:hint="eastAsia"/>
        </w:rPr>
        <w:t>1</w:t>
      </w:r>
      <w:r>
        <w:t>0年）</w:t>
      </w:r>
      <w:r>
        <w:rPr>
          <w:rFonts w:hint="eastAsia"/>
        </w:rPr>
        <w:t>、</w:t>
      </w:r>
      <w:r>
        <w:t>7300天（20年）。</w:t>
      </w:r>
    </w:p>
    <w:p>
      <w:pPr>
        <w:bidi w:val="0"/>
        <w:rPr>
          <w:rFonts w:hint="eastAsia"/>
          <w:b/>
          <w:bCs/>
        </w:rPr>
      </w:pPr>
      <w:r>
        <w:rPr>
          <w:rFonts w:hint="eastAsia"/>
          <w:b/>
          <w:bCs/>
        </w:rPr>
        <w:t>④预测因子</w:t>
      </w:r>
    </w:p>
    <w:p>
      <w:pPr>
        <w:bidi w:val="0"/>
      </w:pPr>
      <w:r>
        <w:t>根据导则要求，并结合项目特点，预测因子选择应在导则要求的基础上，充分考虑选取与其排放的污染物有关的特征因子。根据废水排放中污染物排放量和排放浓度，预测因子为建设项目排放的污染物有关的特征因子。本次选取对地下水环境质量影响负荷较大的COD、氨氮进行影响预测与评价。</w:t>
      </w:r>
    </w:p>
    <w:p>
      <w:pPr>
        <w:bidi w:val="0"/>
      </w:pPr>
      <w:r>
        <w:t>COD预测评价采用《地下水质量标准》（GB/T14848-2017）相应的</w:t>
      </w:r>
      <w:r>
        <w:rPr>
          <w:rFonts w:hint="eastAsia"/>
        </w:rPr>
        <w:t>Ⅲ</w:t>
      </w:r>
      <w:r>
        <w:t>类水质标准，限值为3.0mg/L，氨氮预测评价采用《地下水质量标准》（GB/T14848-2017）相应的</w:t>
      </w:r>
      <w:r>
        <w:rPr>
          <w:rFonts w:hint="eastAsia"/>
        </w:rPr>
        <w:t>Ⅲ</w:t>
      </w:r>
      <w:r>
        <w:t>类水质标准，限值为0.5mg/L。</w:t>
      </w:r>
    </w:p>
    <w:p>
      <w:pPr>
        <w:bidi w:val="0"/>
        <w:rPr>
          <w:rFonts w:hint="default" w:eastAsia="宋体"/>
          <w:b/>
          <w:bCs/>
          <w:lang w:val="en-US" w:eastAsia="zh-CN"/>
        </w:rPr>
      </w:pPr>
      <w:r>
        <w:rPr>
          <w:rFonts w:hint="eastAsia"/>
          <w:b/>
          <w:bCs/>
          <w:lang w:val="en-US" w:eastAsia="zh-CN"/>
        </w:rPr>
        <w:t>⑤预测源强</w:t>
      </w:r>
    </w:p>
    <w:p>
      <w:pPr>
        <w:bidi w:val="0"/>
        <w:rPr>
          <w:rFonts w:hint="default" w:eastAsia="宋体"/>
          <w:vertAlign w:val="baseline"/>
          <w:lang w:val="en-US" w:eastAsia="zh-CN"/>
        </w:rPr>
      </w:pPr>
      <w:r>
        <w:rPr>
          <w:rFonts w:hint="eastAsia"/>
          <w:lang w:val="en-US" w:eastAsia="zh-CN"/>
        </w:rPr>
        <w:t>本项目设置1500m</w:t>
      </w:r>
      <w:r>
        <w:rPr>
          <w:rFonts w:hint="eastAsia"/>
          <w:vertAlign w:val="superscript"/>
          <w:lang w:val="en-US" w:eastAsia="zh-CN"/>
        </w:rPr>
        <w:t>3</w:t>
      </w:r>
      <w:r>
        <w:rPr>
          <w:rFonts w:hint="eastAsia"/>
          <w:vertAlign w:val="baseline"/>
          <w:lang w:val="en-US" w:eastAsia="zh-CN"/>
        </w:rPr>
        <w:t>/d污水处理站1座，假定</w:t>
      </w:r>
      <w:r>
        <w:rPr>
          <w:kern w:val="24"/>
          <w:sz w:val="24"/>
          <w:szCs w:val="24"/>
        </w:rPr>
        <w:t>池底产生裂缝，污水通过裂缝逐渐渗漏到地下含水层中，对地下水水质造成污染，染源类型为瞬时源强。根据</w:t>
      </w:r>
      <w:r>
        <w:rPr>
          <w:rFonts w:hint="eastAsia"/>
          <w:kern w:val="24"/>
          <w:sz w:val="24"/>
          <w:szCs w:val="24"/>
        </w:rPr>
        <w:t>集污池</w:t>
      </w:r>
      <w:r>
        <w:rPr>
          <w:kern w:val="24"/>
          <w:sz w:val="24"/>
          <w:szCs w:val="24"/>
        </w:rPr>
        <w:t>对地下水的影响途径来设定主要污染源的分布位置，选定优先控制的污染物，预测事故工况下污染物在地下水中迁移过程，进一步分析污染物影响范围、超标范围和迁出场区后浓度变化。</w:t>
      </w:r>
    </w:p>
    <w:p>
      <w:pPr>
        <w:bidi w:val="0"/>
        <w:rPr>
          <w:rFonts w:hint="eastAsia"/>
        </w:rPr>
      </w:pPr>
      <w:r>
        <w:rPr>
          <w:rFonts w:hint="eastAsia"/>
        </w:rPr>
        <w:t>渗漏量</w:t>
      </w:r>
      <w:r>
        <w:rPr>
          <w:rFonts w:hint="default"/>
        </w:rPr>
        <w:t>=</w:t>
      </w:r>
      <w:r>
        <w:rPr>
          <w:rFonts w:hint="eastAsia"/>
        </w:rPr>
        <w:t>渗漏面积×渗漏强度，其中渗漏强度根据《给水排水构筑物工程施工及验收规范》中钢筋混凝土结构水池不得超过</w:t>
      </w:r>
      <w:r>
        <w:rPr>
          <w:rFonts w:hint="default"/>
        </w:rPr>
        <w:t>2L/m</w:t>
      </w:r>
      <w:r>
        <w:rPr>
          <w:rFonts w:hint="default"/>
          <w:vertAlign w:val="superscript"/>
        </w:rPr>
        <w:t>2</w:t>
      </w:r>
      <w:r>
        <w:rPr>
          <w:rFonts w:hint="eastAsia"/>
        </w:rPr>
        <w:t>·</w:t>
      </w:r>
      <w:r>
        <w:rPr>
          <w:rFonts w:hint="default"/>
        </w:rPr>
        <w:t>d</w:t>
      </w:r>
      <w:r>
        <w:rPr>
          <w:rFonts w:hint="eastAsia"/>
        </w:rPr>
        <w:t>，计算非正常渗漏量大小应不小于正常状况渗漏量的</w:t>
      </w:r>
      <w:r>
        <w:rPr>
          <w:rFonts w:hint="default"/>
        </w:rPr>
        <w:t>10</w:t>
      </w:r>
      <w:r>
        <w:rPr>
          <w:rFonts w:hint="eastAsia"/>
        </w:rPr>
        <w:t>倍，本次计算渗漏量按照正常渗漏量的</w:t>
      </w:r>
      <w:r>
        <w:rPr>
          <w:rFonts w:hint="default"/>
        </w:rPr>
        <w:t>20</w:t>
      </w:r>
      <w:r>
        <w:rPr>
          <w:rFonts w:hint="eastAsia"/>
        </w:rPr>
        <w:t>倍计算。</w:t>
      </w:r>
    </w:p>
    <w:p>
      <w:pPr>
        <w:bidi w:val="0"/>
        <w:rPr>
          <w:rFonts w:hint="eastAsia"/>
        </w:rPr>
      </w:pPr>
      <w:r>
        <w:rPr>
          <w:rFonts w:hint="default"/>
        </w:rPr>
        <w:t>COD</w:t>
      </w:r>
      <w:r>
        <w:rPr>
          <w:rFonts w:hint="eastAsia"/>
        </w:rPr>
        <w:t>换算为《地下水环境质量标准》</w:t>
      </w:r>
      <w:r>
        <w:rPr>
          <w:rFonts w:hint="default"/>
        </w:rPr>
        <w:t>GB/T14848-2017</w:t>
      </w:r>
      <w:r>
        <w:rPr>
          <w:rFonts w:hint="eastAsia"/>
        </w:rPr>
        <w:t>）的Ⅲ类标准中耗氧量</w:t>
      </w:r>
      <w:r>
        <w:rPr>
          <w:rFonts w:hint="eastAsia"/>
          <w:lang w:eastAsia="zh-CN"/>
        </w:rPr>
        <w:t>（</w:t>
      </w:r>
      <w:r>
        <w:rPr>
          <w:rFonts w:hint="default"/>
        </w:rPr>
        <w:t>COD</w:t>
      </w:r>
      <w:r>
        <w:rPr>
          <w:rFonts w:hint="default"/>
          <w:vertAlign w:val="subscript"/>
        </w:rPr>
        <w:t>Mn</w:t>
      </w:r>
      <w:r>
        <w:rPr>
          <w:rFonts w:hint="eastAsia"/>
        </w:rPr>
        <w:t>法</w:t>
      </w:r>
      <w:r>
        <w:rPr>
          <w:rFonts w:hint="eastAsia"/>
          <w:lang w:eastAsia="zh-CN"/>
        </w:rPr>
        <w:t>）（</w:t>
      </w:r>
      <w:r>
        <w:rPr>
          <w:rFonts w:hint="eastAsia"/>
        </w:rPr>
        <w:t>注：</w:t>
      </w:r>
      <w:r>
        <w:rPr>
          <w:rFonts w:hint="default"/>
        </w:rPr>
        <w:t>COD</w:t>
      </w:r>
      <w:r>
        <w:rPr>
          <w:rFonts w:hint="eastAsia"/>
        </w:rPr>
        <w:t>与</w:t>
      </w:r>
      <w:r>
        <w:rPr>
          <w:rFonts w:hint="default"/>
        </w:rPr>
        <w:t>COD</w:t>
      </w:r>
      <w:r>
        <w:rPr>
          <w:rFonts w:hint="default"/>
          <w:vertAlign w:val="subscript"/>
        </w:rPr>
        <w:t>Mn</w:t>
      </w:r>
      <w:r>
        <w:rPr>
          <w:rFonts w:hint="eastAsia"/>
        </w:rPr>
        <w:t>之间参考文献《印染废水</w:t>
      </w:r>
      <w:r>
        <w:rPr>
          <w:rFonts w:hint="default"/>
        </w:rPr>
        <w:t>COD</w:t>
      </w:r>
      <w:r>
        <w:rPr>
          <w:rFonts w:hint="eastAsia"/>
        </w:rPr>
        <w:t>（锰法）与</w:t>
      </w:r>
      <w:r>
        <w:rPr>
          <w:rFonts w:hint="default"/>
        </w:rPr>
        <w:t>COD</w:t>
      </w:r>
      <w:r>
        <w:rPr>
          <w:rFonts w:hint="eastAsia"/>
        </w:rPr>
        <w:t>（铬法）相关关系的测定》中计算公式进行换算，换算公式为</w:t>
      </w:r>
      <w:r>
        <w:rPr>
          <w:rFonts w:hint="default"/>
        </w:rPr>
        <w:t>C</w:t>
      </w:r>
      <w:r>
        <w:rPr>
          <w:rFonts w:hint="default"/>
          <w:vertAlign w:val="subscript"/>
        </w:rPr>
        <w:t>CODCr</w:t>
      </w:r>
      <w:r>
        <w:rPr>
          <w:rFonts w:hint="default"/>
        </w:rPr>
        <w:t>=82.93+3.38*C</w:t>
      </w:r>
      <w:r>
        <w:rPr>
          <w:rFonts w:hint="default"/>
          <w:vertAlign w:val="subscript"/>
        </w:rPr>
        <w:t>CODMn</w:t>
      </w:r>
      <w:r>
        <w:rPr>
          <w:rFonts w:hint="eastAsia"/>
          <w:lang w:eastAsia="zh-CN"/>
        </w:rPr>
        <w:t>）</w:t>
      </w:r>
      <w:r>
        <w:rPr>
          <w:rFonts w:hint="eastAsia"/>
        </w:rPr>
        <w:t>，氨氮参照《地下水环境质量标准》</w:t>
      </w:r>
      <w:r>
        <w:rPr>
          <w:rFonts w:hint="eastAsia"/>
          <w:lang w:eastAsia="zh-CN"/>
        </w:rPr>
        <w:t>（</w:t>
      </w:r>
      <w:r>
        <w:rPr>
          <w:rFonts w:hint="default"/>
        </w:rPr>
        <w:t>GB/T14848-2017</w:t>
      </w:r>
      <w:r>
        <w:rPr>
          <w:rFonts w:hint="eastAsia"/>
          <w:lang w:eastAsia="zh-CN"/>
        </w:rPr>
        <w:t>）</w:t>
      </w:r>
      <w:r>
        <w:rPr>
          <w:rFonts w:hint="eastAsia"/>
        </w:rPr>
        <w:t>的Ⅲ类标准进行评价。具体源强见下表</w:t>
      </w:r>
    </w:p>
    <w:p>
      <w:pPr>
        <w:pStyle w:val="29"/>
        <w:bidi w:val="0"/>
        <w:rPr>
          <w:rFonts w:hint="eastAsia"/>
          <w:lang w:val="en-US" w:eastAsia="zh-CN"/>
        </w:rPr>
      </w:pPr>
      <w:r>
        <w:rPr>
          <w:rFonts w:hint="eastAsia"/>
          <w:lang w:val="en-US" w:eastAsia="zh-CN"/>
        </w:rPr>
        <w:t>表5.2-6  非正常情况下源强统计</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0"/>
        <w:gridCol w:w="1401"/>
        <w:gridCol w:w="1368"/>
        <w:gridCol w:w="1370"/>
        <w:gridCol w:w="1368"/>
        <w:gridCol w:w="1368"/>
        <w:gridCol w:w="13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构筑物</w:t>
            </w:r>
          </w:p>
        </w:tc>
        <w:tc>
          <w:tcPr>
            <w:tcW w:w="2151" w:type="pct"/>
            <w:gridSpan w:val="3"/>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初始浓度（mg/L）</w:t>
            </w:r>
          </w:p>
        </w:tc>
        <w:tc>
          <w:tcPr>
            <w:tcW w:w="711"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泄漏量（m</w:t>
            </w:r>
            <w:r>
              <w:rPr>
                <w:rFonts w:hint="eastAsia"/>
                <w:vertAlign w:val="superscript"/>
                <w:lang w:val="en-US" w:eastAsia="zh-CN"/>
              </w:rPr>
              <w:t>2</w:t>
            </w:r>
            <w:r>
              <w:rPr>
                <w:rFonts w:hint="eastAsia"/>
                <w:vertAlign w:val="baseline"/>
                <w:lang w:val="en-US" w:eastAsia="zh-CN"/>
              </w:rPr>
              <w:t>/d）</w:t>
            </w:r>
          </w:p>
        </w:tc>
        <w:tc>
          <w:tcPr>
            <w:tcW w:w="711"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COD</w:t>
            </w:r>
            <w:r>
              <w:rPr>
                <w:rFonts w:hint="eastAsia"/>
                <w:vertAlign w:val="subscript"/>
                <w:lang w:val="en-US" w:eastAsia="zh-CN"/>
              </w:rPr>
              <w:t>Mn</w:t>
            </w:r>
            <w:r>
              <w:rPr>
                <w:rFonts w:hint="eastAsia"/>
                <w:vertAlign w:val="baseline"/>
                <w:lang w:val="en-US" w:eastAsia="zh-CN"/>
              </w:rPr>
              <w:t>（kg/d）</w:t>
            </w:r>
          </w:p>
        </w:tc>
        <w:tc>
          <w:tcPr>
            <w:tcW w:w="713"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氨氮（kg/d）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12"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2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COD</w:t>
            </w:r>
          </w:p>
        </w:tc>
        <w:tc>
          <w:tcPr>
            <w:tcW w:w="71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氨氮</w:t>
            </w:r>
          </w:p>
        </w:tc>
        <w:tc>
          <w:tcPr>
            <w:tcW w:w="7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COD</w:t>
            </w:r>
            <w:r>
              <w:rPr>
                <w:rFonts w:hint="eastAsia"/>
                <w:vertAlign w:val="subscript"/>
                <w:lang w:val="en-US" w:eastAsia="zh-CN"/>
              </w:rPr>
              <w:t>Mn</w:t>
            </w: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1" w:type="pct"/>
            <w:vMerge w:val="continue"/>
            <w:tcBorders>
              <w:tl2br w:val="nil"/>
              <w:tr2bl w:val="nil"/>
            </w:tcBorders>
            <w:vAlign w:val="center"/>
          </w:tcPr>
          <w:p>
            <w:pPr>
              <w:pStyle w:val="30"/>
              <w:widowControl w:val="0"/>
              <w:jc w:val="center"/>
              <w:rPr>
                <w:rFonts w:hint="default"/>
                <w:vertAlign w:val="baseline"/>
                <w:lang w:val="en-US" w:eastAsia="zh-CN"/>
              </w:rPr>
            </w:pPr>
          </w:p>
        </w:tc>
        <w:tc>
          <w:tcPr>
            <w:tcW w:w="713"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污水处理站</w:t>
            </w:r>
          </w:p>
        </w:tc>
        <w:tc>
          <w:tcPr>
            <w:tcW w:w="72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2080</w:t>
            </w:r>
          </w:p>
        </w:tc>
        <w:tc>
          <w:tcPr>
            <w:tcW w:w="71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154</w:t>
            </w:r>
          </w:p>
        </w:tc>
        <w:tc>
          <w:tcPr>
            <w:tcW w:w="7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532.45</w:t>
            </w:r>
          </w:p>
        </w:tc>
        <w:tc>
          <w:tcPr>
            <w:tcW w:w="71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0.8</w:t>
            </w:r>
          </w:p>
        </w:tc>
        <w:tc>
          <w:tcPr>
            <w:tcW w:w="71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0.426</w:t>
            </w:r>
          </w:p>
        </w:tc>
        <w:tc>
          <w:tcPr>
            <w:tcW w:w="71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0.12</w:t>
            </w:r>
          </w:p>
        </w:tc>
      </w:tr>
    </w:tbl>
    <w:p>
      <w:pPr>
        <w:spacing w:line="360" w:lineRule="auto"/>
        <w:ind w:firstLine="482" w:firstLineChars="200"/>
        <w:jc w:val="left"/>
        <w:rPr>
          <w:b/>
          <w:bCs/>
          <w:kern w:val="24"/>
          <w:sz w:val="24"/>
        </w:rPr>
      </w:pPr>
      <w:r>
        <w:rPr>
          <w:rFonts w:hint="eastAsia"/>
          <w:b/>
          <w:bCs/>
          <w:kern w:val="24"/>
          <w:sz w:val="24"/>
          <w:lang w:val="en-US" w:eastAsia="zh-CN"/>
        </w:rPr>
        <w:t>⑥</w:t>
      </w:r>
      <w:r>
        <w:rPr>
          <w:b/>
          <w:bCs/>
          <w:kern w:val="24"/>
          <w:sz w:val="24"/>
        </w:rPr>
        <w:t>预测模型概化</w:t>
      </w:r>
    </w:p>
    <w:p>
      <w:pPr>
        <w:bidi w:val="0"/>
      </w:pPr>
      <w:r>
        <w:rPr>
          <w:rFonts w:hint="default" w:ascii="Times New Roman" w:hAnsi="Times New Roman" w:cs="Times New Roman"/>
        </w:rPr>
        <w:t>ⅰ</w:t>
      </w:r>
      <w:r>
        <w:rPr>
          <w:rFonts w:hint="eastAsia"/>
          <w:lang w:val="en-US" w:eastAsia="zh-CN"/>
        </w:rPr>
        <w:t>.</w:t>
      </w:r>
      <w:r>
        <w:t>水文地质条件及污染源概化</w:t>
      </w:r>
    </w:p>
    <w:p>
      <w:pPr>
        <w:spacing w:line="360" w:lineRule="auto"/>
        <w:ind w:firstLine="480" w:firstLineChars="200"/>
        <w:rPr>
          <w:kern w:val="0"/>
          <w:sz w:val="24"/>
          <w:szCs w:val="20"/>
        </w:rPr>
      </w:pPr>
      <w:r>
        <w:rPr>
          <w:kern w:val="0"/>
          <w:sz w:val="24"/>
          <w:szCs w:val="20"/>
        </w:rPr>
        <w:t>根据实际调查研究及水文地质资料，</w:t>
      </w:r>
      <w:r>
        <w:rPr>
          <w:sz w:val="24"/>
          <w:szCs w:val="20"/>
        </w:rPr>
        <w:t>在本次模型模拟区内，含水岩组为遂宁组。</w:t>
      </w:r>
      <w:r>
        <w:rPr>
          <w:kern w:val="0"/>
          <w:sz w:val="24"/>
          <w:szCs w:val="20"/>
        </w:rPr>
        <w:t>地下水的储存介质主要为红层砂泥岩的风化裂隙，隔水层受控风化带发育，自上而下分别为强风化带、弱风化带。弱风化带以下风化作用影响极微，可构成含水层底板。因此，本次研究的主要含水层为红层风化裂隙水。</w:t>
      </w:r>
    </w:p>
    <w:p>
      <w:pPr>
        <w:bidi w:val="0"/>
        <w:rPr>
          <w:rFonts w:hint="default"/>
        </w:rPr>
      </w:pPr>
      <w:r>
        <w:rPr>
          <w:rFonts w:hint="default"/>
          <w:lang w:val="en-US" w:eastAsia="zh-CN"/>
        </w:rPr>
        <w:t>根据《环境影响评价技术导则地下水环境》（HJ 610-2016），非正常状况下，污水池底部防渗系统</w:t>
      </w:r>
      <w:r>
        <w:rPr>
          <w:rFonts w:hint="eastAsia"/>
          <w:lang w:val="en-US" w:eastAsia="zh-CN"/>
        </w:rPr>
        <w:t>损坏</w:t>
      </w:r>
      <w:r>
        <w:rPr>
          <w:rFonts w:hint="default"/>
          <w:lang w:val="en-US" w:eastAsia="zh-CN"/>
        </w:rPr>
        <w:t>后，含有污染物的废水将以入渗的方式进入含水层，从保守角度，本次计算忽略污染物在包气带的运移过程。根据导则附录D推荐</w:t>
      </w:r>
      <w:r>
        <w:rPr>
          <w:rFonts w:hint="eastAsia"/>
          <w:color w:val="auto"/>
          <w:sz w:val="24"/>
          <w:szCs w:val="22"/>
        </w:rPr>
        <w:t>，结合本建设项目工程特性和水文地质条件及污染情景设定，本次评价非正常工况选用导则附录D推荐的连续注入示踪剂—平面连续点源公式。</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2"/>
        </w:rPr>
      </w:pPr>
      <w:r>
        <w:rPr>
          <w:rFonts w:hint="default" w:ascii="Times New Roman" w:hAnsi="Times New Roman" w:eastAsia="宋体" w:cs="Times New Roman"/>
          <w:color w:val="000000"/>
          <w:kern w:val="0"/>
          <w:sz w:val="24"/>
          <w:szCs w:val="24"/>
          <w:highlight w:val="none"/>
          <w:lang w:val="en-US" w:eastAsia="zh-CN" w:bidi="ar"/>
        </w:rPr>
        <w:t>预测模式如下：</w:t>
      </w:r>
    </w:p>
    <w:p>
      <w:pPr>
        <w:spacing w:line="240" w:lineRule="auto"/>
        <w:jc w:val="center"/>
        <w:rPr>
          <w:rFonts w:hint="eastAsia"/>
          <w:color w:val="auto"/>
          <w:sz w:val="24"/>
          <w:szCs w:val="22"/>
        </w:rPr>
      </w:pPr>
      <w:r>
        <w:rPr>
          <w:color w:val="auto"/>
        </w:rPr>
        <w:drawing>
          <wp:inline distT="0" distB="0" distL="114300" distR="114300">
            <wp:extent cx="1381760" cy="619760"/>
            <wp:effectExtent l="0" t="0" r="8890" b="825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39">
                      <a:clrChange>
                        <a:clrFrom>
                          <a:srgbClr val="FFFFFF"/>
                        </a:clrFrom>
                        <a:clrTo>
                          <a:srgbClr val="FFFFFF">
                            <a:alpha val="0"/>
                          </a:srgbClr>
                        </a:clrTo>
                      </a:clrChange>
                    </a:blip>
                    <a:stretch>
                      <a:fillRect/>
                    </a:stretch>
                  </pic:blipFill>
                  <pic:spPr>
                    <a:xfrm>
                      <a:off x="0" y="0"/>
                      <a:ext cx="1381760" cy="619760"/>
                    </a:xfrm>
                    <a:prstGeom prst="rect">
                      <a:avLst/>
                    </a:prstGeom>
                    <a:noFill/>
                    <a:ln>
                      <a:noFill/>
                    </a:ln>
                  </pic:spPr>
                </pic:pic>
              </a:graphicData>
            </a:graphic>
          </wp:inline>
        </w:drawing>
      </w:r>
    </w:p>
    <w:p>
      <w:pPr>
        <w:spacing w:line="240" w:lineRule="auto"/>
        <w:jc w:val="center"/>
        <w:rPr>
          <w:rFonts w:hint="eastAsia" w:ascii="Ti" w:hAnsi="Ti"/>
          <w:color w:val="auto"/>
        </w:rPr>
      </w:pPr>
      <w:r>
        <w:rPr>
          <w:color w:val="auto"/>
        </w:rPr>
        <w:drawing>
          <wp:inline distT="0" distB="0" distL="114300" distR="114300">
            <wp:extent cx="3542665" cy="621030"/>
            <wp:effectExtent l="0" t="0" r="635" b="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40">
                      <a:clrChange>
                        <a:clrFrom>
                          <a:srgbClr val="FFFFFF"/>
                        </a:clrFrom>
                        <a:clrTo>
                          <a:srgbClr val="FFFFFF">
                            <a:alpha val="0"/>
                          </a:srgbClr>
                        </a:clrTo>
                      </a:clrChange>
                    </a:blip>
                    <a:stretch>
                      <a:fillRect/>
                    </a:stretch>
                  </pic:blipFill>
                  <pic:spPr>
                    <a:xfrm>
                      <a:off x="0" y="0"/>
                      <a:ext cx="3542665" cy="621030"/>
                    </a:xfrm>
                    <a:prstGeom prst="rect">
                      <a:avLst/>
                    </a:prstGeom>
                    <a:noFill/>
                    <a:ln>
                      <a:noFill/>
                    </a:ln>
                  </pic:spPr>
                </pic:pic>
              </a:graphicData>
            </a:graphic>
          </wp:inline>
        </w:drawing>
      </w:r>
    </w:p>
    <w:p>
      <w:pPr>
        <w:pStyle w:val="4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rPr>
      </w:pPr>
      <w:r>
        <w:rPr>
          <w:rFonts w:hint="eastAsia"/>
          <w:color w:val="auto"/>
        </w:rPr>
        <w:t>式</w:t>
      </w:r>
      <w:r>
        <w:rPr>
          <w:color w:val="auto"/>
        </w:rPr>
        <w:t>中：</w:t>
      </w:r>
      <w:r>
        <w:rPr>
          <w:rFonts w:hint="eastAsia"/>
          <w:color w:val="auto"/>
        </w:rPr>
        <w:t>x，y</w:t>
      </w:r>
      <w:r>
        <w:rPr>
          <w:rFonts w:hint="eastAsia"/>
          <w:color w:val="auto"/>
          <w:lang w:eastAsia="zh-CN"/>
        </w:rPr>
        <w:t>——</w:t>
      </w:r>
      <w:r>
        <w:rPr>
          <w:rFonts w:hint="eastAsia"/>
          <w:color w:val="auto"/>
        </w:rPr>
        <w:t>计算</w:t>
      </w:r>
      <w:r>
        <w:rPr>
          <w:color w:val="auto"/>
        </w:rPr>
        <w:t>点处的位置坐标；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jc w:val="both"/>
        <w:textAlignment w:val="auto"/>
        <w:outlineLvl w:val="9"/>
        <w:rPr>
          <w:rFonts w:ascii="Ti" w:hAnsi="Ti"/>
          <w:color w:val="auto"/>
          <w:sz w:val="24"/>
          <w:szCs w:val="24"/>
        </w:rPr>
      </w:pPr>
      <w:r>
        <w:rPr>
          <w:rFonts w:hint="eastAsia" w:ascii="Ti" w:hAnsi="Ti"/>
          <w:color w:val="auto"/>
          <w:sz w:val="24"/>
          <w:szCs w:val="24"/>
          <w:lang w:val="en-US" w:eastAsia="zh-CN"/>
        </w:rPr>
        <w:t>t</w:t>
      </w:r>
      <w:r>
        <w:rPr>
          <w:rFonts w:hint="eastAsia" w:ascii="Ti" w:hAnsi="Ti"/>
          <w:color w:val="auto"/>
          <w:sz w:val="24"/>
          <w:szCs w:val="24"/>
          <w:lang w:eastAsia="zh-CN"/>
        </w:rPr>
        <w:t>——</w:t>
      </w:r>
      <w:r>
        <w:rPr>
          <w:rFonts w:hint="eastAsia"/>
          <w:color w:val="auto"/>
          <w:sz w:val="24"/>
          <w:szCs w:val="24"/>
        </w:rPr>
        <w:t>时间</w:t>
      </w:r>
      <w:r>
        <w:rPr>
          <w:rFonts w:hint="eastAsia" w:ascii="Ti" w:hAnsi="Ti"/>
          <w:color w:val="auto"/>
          <w:sz w:val="24"/>
          <w:szCs w:val="24"/>
        </w:rPr>
        <w:t>，d</w:t>
      </w:r>
      <w:r>
        <w:rPr>
          <w:rFonts w:hint="eastAsia" w:ascii="Ti" w:hAnsi="Ti"/>
          <w:color w:val="auto"/>
          <w:sz w:val="24"/>
          <w:szCs w:val="24"/>
          <w:lang w:eastAsia="zh-CN"/>
        </w:rPr>
        <w:t>（</w:t>
      </w:r>
      <w:r>
        <w:rPr>
          <w:rFonts w:hint="eastAsia" w:ascii="Ti" w:hAnsi="Ti"/>
          <w:color w:val="auto"/>
          <w:sz w:val="24"/>
          <w:szCs w:val="24"/>
          <w:lang w:val="en-US" w:eastAsia="zh-CN"/>
        </w:rPr>
        <w:t>100d，1000d，3650d，7200d</w:t>
      </w:r>
      <w:r>
        <w:rPr>
          <w:rFonts w:hint="eastAsia" w:ascii="Ti" w:hAnsi="Ti"/>
          <w:color w:val="auto"/>
          <w:sz w:val="24"/>
          <w:szCs w:val="24"/>
          <w:lang w:eastAsia="zh-CN"/>
        </w:rPr>
        <w:t>）</w:t>
      </w:r>
      <w:r>
        <w:rPr>
          <w:rFonts w:hint="eastAsia" w:ascii="Ti" w:hAnsi="Ti"/>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jc w:val="both"/>
        <w:textAlignment w:val="auto"/>
        <w:outlineLvl w:val="9"/>
        <w:rPr>
          <w:rFonts w:ascii="Ti" w:hAnsi="Ti"/>
          <w:color w:val="auto"/>
          <w:sz w:val="24"/>
          <w:szCs w:val="24"/>
        </w:rPr>
      </w:pPr>
      <w:r>
        <w:rPr>
          <w:rFonts w:hint="eastAsia" w:ascii="Ti" w:hAnsi="Ti"/>
          <w:color w:val="auto"/>
          <w:sz w:val="24"/>
          <w:szCs w:val="24"/>
        </w:rPr>
        <w:t>C</w:t>
      </w:r>
      <w:r>
        <w:rPr>
          <w:rFonts w:ascii="Ti" w:hAnsi="Ti"/>
          <w:color w:val="auto"/>
          <w:sz w:val="24"/>
          <w:szCs w:val="24"/>
        </w:rPr>
        <w:t>(</w:t>
      </w:r>
      <w:r>
        <w:rPr>
          <w:rFonts w:hint="eastAsia" w:ascii="Ti" w:hAnsi="Ti"/>
          <w:color w:val="auto"/>
          <w:sz w:val="24"/>
          <w:szCs w:val="24"/>
        </w:rPr>
        <w:t>x，</w:t>
      </w:r>
      <w:r>
        <w:rPr>
          <w:rFonts w:ascii="Ti" w:hAnsi="Ti"/>
          <w:color w:val="auto"/>
          <w:sz w:val="24"/>
          <w:szCs w:val="24"/>
        </w:rPr>
        <w:t>y，t</w:t>
      </w:r>
      <w:r>
        <w:rPr>
          <w:rFonts w:hint="eastAsia" w:ascii="Ti" w:hAnsi="Ti"/>
          <w:color w:val="auto"/>
          <w:sz w:val="24"/>
          <w:szCs w:val="24"/>
        </w:rPr>
        <w:t>)</w:t>
      </w:r>
      <w:r>
        <w:rPr>
          <w:rFonts w:ascii="Ti" w:hAnsi="Ti"/>
          <w:color w:val="auto"/>
          <w:sz w:val="24"/>
          <w:szCs w:val="24"/>
        </w:rPr>
        <w:t xml:space="preserve"> </w:t>
      </w:r>
      <w:r>
        <w:rPr>
          <w:rFonts w:hint="eastAsia" w:ascii="Ti" w:hAnsi="Ti"/>
          <w:color w:val="auto"/>
          <w:sz w:val="24"/>
          <w:szCs w:val="24"/>
          <w:lang w:eastAsia="zh-CN"/>
        </w:rPr>
        <w:t>——</w:t>
      </w:r>
      <w:r>
        <w:rPr>
          <w:rFonts w:ascii="Ti" w:hAnsi="Ti"/>
          <w:color w:val="auto"/>
          <w:sz w:val="24"/>
          <w:szCs w:val="24"/>
        </w:rPr>
        <w:t xml:space="preserve"> </w:t>
      </w:r>
      <w:r>
        <w:rPr>
          <w:rFonts w:hint="eastAsia" w:ascii="Ti" w:hAnsi="Ti"/>
          <w:color w:val="auto"/>
          <w:sz w:val="24"/>
          <w:szCs w:val="24"/>
        </w:rPr>
        <w:t>t时刻</w:t>
      </w:r>
      <w:r>
        <w:rPr>
          <w:rFonts w:ascii="Ti" w:hAnsi="Ti"/>
          <w:color w:val="auto"/>
          <w:sz w:val="24"/>
          <w:szCs w:val="24"/>
        </w:rPr>
        <w:t>点</w:t>
      </w:r>
      <w:r>
        <w:rPr>
          <w:rFonts w:hint="eastAsia" w:ascii="Ti" w:hAnsi="Ti"/>
          <w:color w:val="auto"/>
          <w:sz w:val="24"/>
          <w:szCs w:val="24"/>
        </w:rPr>
        <w:t>x，</w:t>
      </w:r>
      <w:r>
        <w:rPr>
          <w:rFonts w:ascii="Ti" w:hAnsi="Ti"/>
          <w:color w:val="auto"/>
          <w:sz w:val="24"/>
          <w:szCs w:val="24"/>
        </w:rPr>
        <w:t>y处的示踪剂</w:t>
      </w:r>
      <w:r>
        <w:rPr>
          <w:rFonts w:hint="eastAsia" w:ascii="Ti" w:hAnsi="Ti"/>
          <w:color w:val="auto"/>
          <w:sz w:val="24"/>
          <w:szCs w:val="24"/>
        </w:rPr>
        <w:t>深度，g/L；</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jc w:val="both"/>
        <w:textAlignment w:val="auto"/>
        <w:outlineLvl w:val="9"/>
        <w:rPr>
          <w:rFonts w:ascii="Ti" w:hAnsi="Ti"/>
          <w:color w:val="auto"/>
          <w:sz w:val="24"/>
          <w:szCs w:val="24"/>
        </w:rPr>
      </w:pPr>
      <w:r>
        <w:rPr>
          <w:rFonts w:ascii="Ti" w:hAnsi="Ti"/>
          <w:color w:val="auto"/>
          <w:sz w:val="24"/>
          <w:szCs w:val="24"/>
        </w:rPr>
        <w:t xml:space="preserve">M </w:t>
      </w:r>
      <w:r>
        <w:rPr>
          <w:rFonts w:hint="eastAsia" w:ascii="Ti" w:hAnsi="Ti"/>
          <w:color w:val="auto"/>
          <w:sz w:val="24"/>
          <w:szCs w:val="24"/>
          <w:lang w:eastAsia="zh-CN"/>
        </w:rPr>
        <w:t>——</w:t>
      </w:r>
      <w:r>
        <w:rPr>
          <w:rFonts w:hint="eastAsia" w:ascii="Ti" w:hAnsi="Ti"/>
          <w:color w:val="auto"/>
          <w:sz w:val="24"/>
          <w:szCs w:val="24"/>
        </w:rPr>
        <w:t>承压</w:t>
      </w:r>
      <w:r>
        <w:rPr>
          <w:rFonts w:ascii="Ti" w:hAnsi="Ti"/>
          <w:color w:val="auto"/>
          <w:sz w:val="24"/>
          <w:szCs w:val="24"/>
        </w:rPr>
        <w:t>含水层</w:t>
      </w:r>
      <w:r>
        <w:rPr>
          <w:rFonts w:hint="eastAsia" w:ascii="Ti" w:hAnsi="Ti"/>
          <w:color w:val="auto"/>
          <w:sz w:val="24"/>
          <w:szCs w:val="24"/>
        </w:rPr>
        <w:t>的</w:t>
      </w:r>
      <w:r>
        <w:rPr>
          <w:rFonts w:ascii="Ti" w:hAnsi="Ti"/>
          <w:color w:val="auto"/>
          <w:sz w:val="24"/>
          <w:szCs w:val="24"/>
        </w:rPr>
        <w:t>厚度</w:t>
      </w:r>
      <w:r>
        <w:rPr>
          <w:rFonts w:hint="eastAsia" w:ascii="Ti" w:hAnsi="Ti"/>
          <w:color w:val="auto"/>
          <w:sz w:val="24"/>
          <w:szCs w:val="24"/>
        </w:rPr>
        <w:t>，m；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jc w:val="both"/>
        <w:textAlignment w:val="auto"/>
        <w:outlineLvl w:val="9"/>
        <w:rPr>
          <w:rFonts w:ascii="Ti" w:hAnsi="Ti"/>
          <w:color w:val="auto"/>
          <w:sz w:val="24"/>
          <w:szCs w:val="24"/>
        </w:rPr>
      </w:pPr>
      <w:r>
        <w:rPr>
          <w:rFonts w:hint="eastAsia" w:ascii="Ti" w:hAnsi="Ti"/>
          <w:color w:val="auto"/>
          <w:sz w:val="24"/>
          <w:szCs w:val="24"/>
          <w:lang w:val="en-US" w:eastAsia="zh-CN"/>
        </w:rPr>
        <w:t>m</w:t>
      </w:r>
      <w:r>
        <w:rPr>
          <w:rFonts w:ascii="Ti" w:hAnsi="Ti"/>
          <w:color w:val="auto"/>
          <w:sz w:val="24"/>
          <w:szCs w:val="24"/>
          <w:vertAlign w:val="subscript"/>
        </w:rPr>
        <w:t>t</w:t>
      </w:r>
      <w:r>
        <w:rPr>
          <w:rFonts w:hint="eastAsia" w:ascii="Ti" w:hAnsi="Ti"/>
          <w:color w:val="auto"/>
          <w:sz w:val="24"/>
          <w:szCs w:val="24"/>
          <w:lang w:eastAsia="zh-CN"/>
        </w:rPr>
        <w:t>——</w:t>
      </w:r>
      <w:r>
        <w:rPr>
          <w:rFonts w:hint="eastAsia" w:ascii="Ti" w:hAnsi="Ti"/>
          <w:color w:val="auto"/>
          <w:sz w:val="24"/>
          <w:szCs w:val="24"/>
        </w:rPr>
        <w:t>单位</w:t>
      </w:r>
      <w:r>
        <w:rPr>
          <w:rFonts w:ascii="Ti" w:hAnsi="Ti"/>
          <w:color w:val="auto"/>
          <w:sz w:val="24"/>
          <w:szCs w:val="24"/>
        </w:rPr>
        <w:t>时间注入示踪</w:t>
      </w:r>
      <w:r>
        <w:rPr>
          <w:rFonts w:hint="eastAsia" w:ascii="Ti" w:hAnsi="Ti"/>
          <w:color w:val="auto"/>
          <w:sz w:val="24"/>
          <w:szCs w:val="24"/>
        </w:rPr>
        <w:t>剂</w:t>
      </w:r>
      <w:r>
        <w:rPr>
          <w:rFonts w:ascii="Ti" w:hAnsi="Ti"/>
          <w:color w:val="auto"/>
          <w:sz w:val="24"/>
          <w:szCs w:val="24"/>
        </w:rPr>
        <w:t>的质量</w:t>
      </w:r>
      <w:r>
        <w:rPr>
          <w:rFonts w:hint="eastAsia" w:ascii="Ti" w:hAnsi="Ti"/>
          <w:color w:val="auto"/>
          <w:sz w:val="24"/>
          <w:szCs w:val="24"/>
        </w:rPr>
        <w:t>，kg/d；</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jc w:val="both"/>
        <w:textAlignment w:val="auto"/>
        <w:outlineLvl w:val="9"/>
        <w:rPr>
          <w:rFonts w:ascii="Ti" w:hAnsi="Ti"/>
          <w:color w:val="auto"/>
          <w:sz w:val="24"/>
          <w:szCs w:val="24"/>
        </w:rPr>
      </w:pPr>
      <w:r>
        <w:rPr>
          <w:rFonts w:hint="eastAsia" w:ascii="Ti" w:hAnsi="Ti"/>
          <w:color w:val="auto"/>
          <w:sz w:val="24"/>
          <w:szCs w:val="24"/>
          <w:lang w:val="en-US" w:eastAsia="zh-CN"/>
        </w:rPr>
        <w:t>u</w:t>
      </w:r>
      <w:r>
        <w:rPr>
          <w:rFonts w:hint="eastAsia" w:ascii="Ti" w:hAnsi="Ti"/>
          <w:color w:val="auto"/>
          <w:sz w:val="24"/>
          <w:szCs w:val="24"/>
          <w:lang w:eastAsia="zh-CN"/>
        </w:rPr>
        <w:t>——</w:t>
      </w:r>
      <w:r>
        <w:rPr>
          <w:rFonts w:hint="eastAsia" w:ascii="Ti" w:hAnsi="Ti"/>
          <w:color w:val="auto"/>
          <w:sz w:val="24"/>
          <w:szCs w:val="24"/>
        </w:rPr>
        <w:t>水</w:t>
      </w:r>
      <w:r>
        <w:rPr>
          <w:rFonts w:ascii="Ti" w:hAnsi="Ti"/>
          <w:color w:val="auto"/>
          <w:sz w:val="24"/>
          <w:szCs w:val="24"/>
        </w:rPr>
        <w:t>流速度</w:t>
      </w:r>
      <w:r>
        <w:rPr>
          <w:rFonts w:hint="eastAsia" w:ascii="Ti" w:hAnsi="Ti"/>
          <w:color w:val="auto"/>
          <w:sz w:val="24"/>
          <w:szCs w:val="24"/>
        </w:rPr>
        <w:t>，m/d；</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jc w:val="both"/>
        <w:textAlignment w:val="auto"/>
        <w:outlineLvl w:val="9"/>
        <w:rPr>
          <w:rFonts w:ascii="Ti" w:hAnsi="Ti"/>
          <w:color w:val="auto"/>
          <w:sz w:val="24"/>
          <w:szCs w:val="24"/>
        </w:rPr>
      </w:pPr>
      <w:r>
        <w:rPr>
          <w:rFonts w:hint="eastAsia" w:ascii="Ti" w:hAnsi="Ti"/>
          <w:color w:val="auto"/>
          <w:sz w:val="24"/>
          <w:szCs w:val="24"/>
          <w:lang w:val="en-US" w:eastAsia="zh-CN"/>
        </w:rPr>
        <w:t>n</w:t>
      </w:r>
      <w:r>
        <w:rPr>
          <w:rFonts w:hint="eastAsia" w:ascii="Ti" w:hAnsi="Ti"/>
          <w:color w:val="auto"/>
          <w:sz w:val="24"/>
          <w:szCs w:val="24"/>
          <w:vertAlign w:val="subscript"/>
        </w:rPr>
        <w:t>e</w:t>
      </w:r>
      <w:r>
        <w:rPr>
          <w:rFonts w:hint="eastAsia" w:ascii="Ti" w:hAnsi="Ti"/>
          <w:color w:val="auto"/>
          <w:sz w:val="24"/>
          <w:szCs w:val="24"/>
          <w:vertAlign w:val="baseline"/>
          <w:lang w:eastAsia="zh-CN"/>
        </w:rPr>
        <w:t>——</w:t>
      </w:r>
      <w:r>
        <w:rPr>
          <w:rFonts w:hint="eastAsia" w:ascii="Ti" w:hAnsi="Ti"/>
          <w:color w:val="auto"/>
          <w:sz w:val="24"/>
          <w:szCs w:val="24"/>
        </w:rPr>
        <w:t>有</w:t>
      </w:r>
      <w:r>
        <w:rPr>
          <w:rFonts w:ascii="Ti" w:hAnsi="Ti"/>
          <w:color w:val="auto"/>
          <w:sz w:val="24"/>
          <w:szCs w:val="24"/>
        </w:rPr>
        <w:t>效孔隙度，无量纲；</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jc w:val="both"/>
        <w:textAlignment w:val="auto"/>
        <w:outlineLvl w:val="9"/>
        <w:rPr>
          <w:rFonts w:ascii="Ti" w:hAnsi="Ti"/>
          <w:color w:val="auto"/>
          <w:sz w:val="24"/>
          <w:szCs w:val="24"/>
        </w:rPr>
      </w:pPr>
      <w:r>
        <w:rPr>
          <w:rFonts w:ascii="Ti" w:hAnsi="Ti"/>
          <w:color w:val="auto"/>
          <w:sz w:val="24"/>
          <w:szCs w:val="24"/>
        </w:rPr>
        <w:t>D</w:t>
      </w:r>
      <w:r>
        <w:rPr>
          <w:rFonts w:ascii="Ti" w:hAnsi="Ti"/>
          <w:color w:val="auto"/>
          <w:sz w:val="24"/>
          <w:szCs w:val="24"/>
          <w:vertAlign w:val="subscript"/>
        </w:rPr>
        <w:t>t</w:t>
      </w:r>
      <w:r>
        <w:rPr>
          <w:rFonts w:hint="eastAsia" w:ascii="Ti" w:hAnsi="Ti"/>
          <w:color w:val="auto"/>
          <w:sz w:val="24"/>
          <w:szCs w:val="24"/>
          <w:lang w:eastAsia="zh-CN"/>
        </w:rPr>
        <w:t>——</w:t>
      </w:r>
      <w:r>
        <w:rPr>
          <w:rFonts w:hint="eastAsia" w:ascii="Ti" w:hAnsi="Ti"/>
          <w:color w:val="auto"/>
          <w:sz w:val="24"/>
          <w:szCs w:val="24"/>
        </w:rPr>
        <w:t>纵向</w:t>
      </w:r>
      <w:r>
        <w:rPr>
          <w:color w:val="auto"/>
          <w:sz w:val="24"/>
          <w:szCs w:val="24"/>
        </w:rPr>
        <w:t>弥散系数</w:t>
      </w:r>
      <w:r>
        <w:rPr>
          <w:rFonts w:hint="eastAsia" w:ascii="Ti" w:hAnsi="Ti"/>
          <w:color w:val="auto"/>
          <w:sz w:val="24"/>
          <w:szCs w:val="24"/>
        </w:rPr>
        <w:t>，</w:t>
      </w:r>
      <w:r>
        <w:rPr>
          <w:rFonts w:ascii="Ti" w:hAnsi="Ti"/>
          <w:color w:val="auto"/>
          <w:sz w:val="24"/>
          <w:szCs w:val="24"/>
        </w:rPr>
        <w:t>m</w:t>
      </w:r>
      <w:r>
        <w:rPr>
          <w:rFonts w:ascii="Ti" w:hAnsi="Ti"/>
          <w:color w:val="auto"/>
          <w:sz w:val="24"/>
          <w:szCs w:val="24"/>
          <w:vertAlign w:val="superscript"/>
        </w:rPr>
        <w:t>2</w:t>
      </w:r>
      <w:r>
        <w:rPr>
          <w:rFonts w:hint="eastAsia" w:ascii="Ti" w:hAnsi="Ti"/>
          <w:color w:val="auto"/>
          <w:sz w:val="24"/>
          <w:szCs w:val="24"/>
        </w:rPr>
        <w:t>/d</w:t>
      </w:r>
      <w:r>
        <w:rPr>
          <w:rFonts w:ascii="Ti" w:hAnsi="Ti"/>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jc w:val="both"/>
        <w:textAlignment w:val="auto"/>
        <w:outlineLvl w:val="9"/>
        <w:rPr>
          <w:rFonts w:ascii="Ti" w:hAnsi="Ti"/>
          <w:color w:val="auto"/>
          <w:sz w:val="24"/>
          <w:szCs w:val="24"/>
        </w:rPr>
      </w:pPr>
      <w:r>
        <w:rPr>
          <w:rFonts w:ascii="Ti" w:hAnsi="Ti"/>
          <w:color w:val="auto"/>
          <w:sz w:val="24"/>
          <w:szCs w:val="24"/>
        </w:rPr>
        <w:t>D</w:t>
      </w:r>
      <w:r>
        <w:rPr>
          <w:rFonts w:ascii="Ti" w:hAnsi="Ti"/>
          <w:color w:val="auto"/>
          <w:sz w:val="24"/>
          <w:szCs w:val="24"/>
          <w:vertAlign w:val="subscript"/>
        </w:rPr>
        <w:t>r</w:t>
      </w:r>
      <w:r>
        <w:rPr>
          <w:rFonts w:hint="eastAsia" w:ascii="Ti" w:hAnsi="Ti"/>
          <w:color w:val="auto"/>
          <w:sz w:val="24"/>
          <w:szCs w:val="24"/>
          <w:lang w:eastAsia="zh-CN"/>
        </w:rPr>
        <w:t>——</w:t>
      </w:r>
      <w:r>
        <w:rPr>
          <w:rFonts w:hint="eastAsia" w:ascii="Ti" w:hAnsi="Ti"/>
          <w:color w:val="auto"/>
          <w:sz w:val="24"/>
          <w:szCs w:val="24"/>
        </w:rPr>
        <w:t>横向y方向</w:t>
      </w:r>
      <w:r>
        <w:rPr>
          <w:rFonts w:ascii="Ti" w:hAnsi="Ti"/>
          <w:color w:val="auto"/>
          <w:sz w:val="24"/>
          <w:szCs w:val="24"/>
        </w:rPr>
        <w:t>的弥散系数</w:t>
      </w:r>
      <w:r>
        <w:rPr>
          <w:rFonts w:hint="eastAsia" w:ascii="Ti" w:hAnsi="Ti"/>
          <w:color w:val="auto"/>
          <w:sz w:val="24"/>
          <w:szCs w:val="24"/>
        </w:rPr>
        <w:t>，</w:t>
      </w:r>
      <w:r>
        <w:rPr>
          <w:rFonts w:ascii="Ti" w:hAnsi="Ti"/>
          <w:color w:val="auto"/>
          <w:sz w:val="24"/>
          <w:szCs w:val="24"/>
        </w:rPr>
        <w:t>m</w:t>
      </w:r>
      <w:r>
        <w:rPr>
          <w:rFonts w:ascii="Ti" w:hAnsi="Ti"/>
          <w:color w:val="auto"/>
          <w:sz w:val="24"/>
          <w:szCs w:val="24"/>
          <w:vertAlign w:val="superscript"/>
        </w:rPr>
        <w:t>2</w:t>
      </w:r>
      <w:r>
        <w:rPr>
          <w:rFonts w:hint="eastAsia" w:ascii="Ti" w:hAnsi="Ti"/>
          <w:color w:val="auto"/>
          <w:sz w:val="24"/>
          <w:szCs w:val="24"/>
        </w:rPr>
        <w:t>/d</w:t>
      </w:r>
      <w:r>
        <w:rPr>
          <w:rFonts w:ascii="Ti" w:hAnsi="Ti"/>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jc w:val="both"/>
        <w:textAlignment w:val="auto"/>
        <w:outlineLvl w:val="9"/>
        <w:rPr>
          <w:rFonts w:ascii="Ti" w:hAnsi="Ti"/>
          <w:color w:val="auto"/>
          <w:sz w:val="24"/>
          <w:szCs w:val="24"/>
        </w:rPr>
      </w:pPr>
      <w:r>
        <w:rPr>
          <w:rFonts w:hint="default" w:ascii="Times New Roman" w:hAnsi="Times New Roman" w:cs="Times New Roman"/>
          <w:color w:val="auto"/>
          <w:sz w:val="24"/>
          <w:szCs w:val="24"/>
          <w:lang w:val="en-US" w:eastAsia="zh-CN"/>
        </w:rPr>
        <w:t>π</w:t>
      </w:r>
      <w:r>
        <w:rPr>
          <w:rFonts w:hint="eastAsia" w:ascii="Ti" w:hAnsi="Ti"/>
          <w:color w:val="auto"/>
          <w:sz w:val="24"/>
          <w:szCs w:val="24"/>
          <w:lang w:eastAsia="zh-CN"/>
        </w:rPr>
        <w:t>——</w:t>
      </w:r>
      <w:r>
        <w:rPr>
          <w:rFonts w:hint="eastAsia" w:ascii="Ti" w:hAnsi="Ti"/>
          <w:color w:val="auto"/>
          <w:sz w:val="24"/>
          <w:szCs w:val="24"/>
        </w:rPr>
        <w:t>圆周</w:t>
      </w:r>
      <w:r>
        <w:rPr>
          <w:rFonts w:ascii="Ti" w:hAnsi="Ti"/>
          <w:color w:val="auto"/>
          <w:sz w:val="24"/>
          <w:szCs w:val="24"/>
        </w:rPr>
        <w:t>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jc w:val="both"/>
        <w:textAlignment w:val="auto"/>
        <w:outlineLvl w:val="9"/>
        <w:rPr>
          <w:rFonts w:ascii="Ti" w:hAnsi="Ti"/>
          <w:color w:val="auto"/>
          <w:sz w:val="24"/>
          <w:szCs w:val="24"/>
        </w:rPr>
      </w:pPr>
      <w:r>
        <w:rPr>
          <w:rFonts w:hint="eastAsia" w:ascii="Ti" w:hAnsi="Ti"/>
          <w:color w:val="auto"/>
          <w:sz w:val="24"/>
          <w:szCs w:val="24"/>
        </w:rPr>
        <w:t>K</w:t>
      </w:r>
      <w:r>
        <w:rPr>
          <w:rFonts w:ascii="Ti" w:hAnsi="Ti"/>
          <w:color w:val="auto"/>
          <w:sz w:val="24"/>
          <w:szCs w:val="24"/>
          <w:vertAlign w:val="subscript"/>
        </w:rPr>
        <w:t>0</w:t>
      </w:r>
      <w:r>
        <w:rPr>
          <w:rFonts w:hint="eastAsia" w:ascii="Ti" w:hAnsi="Ti"/>
          <w:color w:val="auto"/>
          <w:sz w:val="24"/>
          <w:szCs w:val="24"/>
          <w:vertAlign w:val="baseline"/>
          <w:lang w:eastAsia="zh-CN"/>
        </w:rPr>
        <w:t>（</w:t>
      </w:r>
      <w:r>
        <w:rPr>
          <w:rFonts w:hint="default" w:ascii="Times New Roman" w:hAnsi="Times New Roman" w:cs="Times New Roman"/>
          <w:color w:val="auto"/>
          <w:sz w:val="24"/>
          <w:szCs w:val="24"/>
        </w:rPr>
        <w:t>β</w:t>
      </w:r>
      <w:r>
        <w:rPr>
          <w:rFonts w:hint="eastAsia" w:ascii="Ti" w:hAnsi="Ti"/>
          <w:color w:val="auto"/>
          <w:sz w:val="24"/>
          <w:szCs w:val="24"/>
          <w:vertAlign w:val="baseline"/>
          <w:lang w:eastAsia="zh-CN"/>
        </w:rPr>
        <w:t>）</w:t>
      </w:r>
      <w:r>
        <w:rPr>
          <w:rFonts w:hint="eastAsia" w:ascii="Ti" w:hAnsi="Ti"/>
          <w:color w:val="auto"/>
          <w:sz w:val="24"/>
          <w:szCs w:val="24"/>
          <w:lang w:eastAsia="zh-CN"/>
        </w:rPr>
        <w:t>——</w:t>
      </w:r>
      <w:r>
        <w:rPr>
          <w:rFonts w:hint="eastAsia" w:ascii="Ti" w:hAnsi="Ti"/>
          <w:color w:val="auto"/>
          <w:sz w:val="24"/>
          <w:szCs w:val="24"/>
        </w:rPr>
        <w:t>第</w:t>
      </w:r>
      <w:r>
        <w:rPr>
          <w:rFonts w:ascii="Ti" w:hAnsi="Ti"/>
          <w:color w:val="auto"/>
          <w:sz w:val="24"/>
          <w:szCs w:val="24"/>
        </w:rPr>
        <w:t>二类零阶修正贝塞尔函数；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jc w:val="both"/>
        <w:textAlignment w:val="auto"/>
        <w:outlineLvl w:val="9"/>
        <w:rPr>
          <w:rFonts w:hint="eastAsia" w:ascii="Ti" w:hAnsi="Ti"/>
          <w:color w:val="auto"/>
          <w:sz w:val="24"/>
          <w:szCs w:val="24"/>
        </w:rPr>
      </w:pPr>
      <w:r>
        <w:rPr>
          <w:rFonts w:hint="eastAsia" w:ascii="Ti" w:hAnsi="Ti"/>
          <w:color w:val="auto"/>
          <w:sz w:val="24"/>
          <w:szCs w:val="24"/>
        </w:rPr>
        <w:t>W</w:t>
      </w:r>
      <w:r>
        <w:rPr>
          <w:rFonts w:ascii="Ti" w:hAnsi="Ti"/>
          <w:color w:val="auto"/>
          <w:sz w:val="24"/>
          <w:szCs w:val="24"/>
        </w:rPr>
        <w:t>(</w:t>
      </w:r>
      <w:r>
        <w:rPr>
          <w:rFonts w:hint="eastAsia" w:ascii="Ti" w:hAnsi="Ti"/>
          <w:color w:val="auto"/>
          <w:sz w:val="24"/>
          <w:szCs w:val="24"/>
        </w:rPr>
        <w:t xml:space="preserve"> </w:t>
      </w:r>
      <w:r>
        <w:rPr>
          <w:rFonts w:ascii="Ti" w:hAnsi="Ti"/>
          <w:color w:val="auto"/>
          <w:sz w:val="24"/>
          <w:szCs w:val="24"/>
        </w:rPr>
        <w:t>u</w:t>
      </w:r>
      <w:r>
        <w:rPr>
          <w:rFonts w:ascii="Ti" w:hAnsi="Ti"/>
          <w:color w:val="auto"/>
          <w:sz w:val="24"/>
          <w:szCs w:val="24"/>
          <w:vertAlign w:val="superscript"/>
        </w:rPr>
        <w:t>2</w:t>
      </w:r>
      <w:r>
        <w:rPr>
          <w:rFonts w:ascii="Ti" w:hAnsi="Ti"/>
          <w:color w:val="auto"/>
          <w:sz w:val="24"/>
          <w:szCs w:val="24"/>
        </w:rPr>
        <w:t>t/4D</w:t>
      </w:r>
      <w:r>
        <w:rPr>
          <w:rFonts w:ascii="Ti" w:hAnsi="Ti"/>
          <w:color w:val="auto"/>
          <w:sz w:val="24"/>
          <w:szCs w:val="24"/>
          <w:vertAlign w:val="subscript"/>
        </w:rPr>
        <w:t>L</w:t>
      </w:r>
      <w:r>
        <w:rPr>
          <w:rFonts w:hint="eastAsia" w:ascii="Ti" w:hAnsi="Ti"/>
          <w:color w:val="auto"/>
          <w:sz w:val="24"/>
          <w:szCs w:val="24"/>
        </w:rPr>
        <w:t>，</w:t>
      </w:r>
      <w:r>
        <w:rPr>
          <w:rFonts w:hint="default" w:ascii="Times New Roman" w:hAnsi="Times New Roman" w:cs="Times New Roman"/>
          <w:color w:val="auto"/>
          <w:sz w:val="24"/>
          <w:szCs w:val="24"/>
        </w:rPr>
        <w:t>β</w:t>
      </w:r>
      <w:r>
        <w:rPr>
          <w:rFonts w:hint="eastAsia" w:ascii="宋体" w:hAnsi="宋体" w:eastAsia="宋体" w:cs="宋体"/>
          <w:color w:val="auto"/>
          <w:sz w:val="24"/>
          <w:szCs w:val="24"/>
          <w:lang w:eastAsia="zh-CN"/>
        </w:rPr>
        <w:t>）</w:t>
      </w:r>
      <w:r>
        <w:rPr>
          <w:rFonts w:hint="eastAsia" w:ascii="Ti" w:hAnsi="Ti"/>
          <w:color w:val="auto"/>
          <w:sz w:val="24"/>
          <w:szCs w:val="24"/>
          <w:lang w:eastAsia="zh-CN"/>
        </w:rPr>
        <w:t>——</w:t>
      </w:r>
      <w:r>
        <w:rPr>
          <w:rFonts w:hint="eastAsia" w:ascii="Ti" w:hAnsi="Ti"/>
          <w:color w:val="auto"/>
          <w:sz w:val="24"/>
          <w:szCs w:val="24"/>
        </w:rPr>
        <w:t>第</w:t>
      </w:r>
      <w:r>
        <w:rPr>
          <w:rFonts w:ascii="Ti" w:hAnsi="Ti"/>
          <w:color w:val="auto"/>
          <w:sz w:val="24"/>
          <w:szCs w:val="24"/>
        </w:rPr>
        <w:t>二类零阶修正贝塞尔函数</w:t>
      </w:r>
      <w:r>
        <w:rPr>
          <w:rFonts w:hint="eastAsia" w:ascii="Ti" w:hAnsi="Ti"/>
          <w:color w:val="auto"/>
          <w:sz w:val="24"/>
          <w:szCs w:val="24"/>
        </w:rPr>
        <w:t>。</w:t>
      </w:r>
    </w:p>
    <w:p>
      <w:pPr>
        <w:spacing w:line="360" w:lineRule="auto"/>
        <w:ind w:firstLine="480" w:firstLineChars="200"/>
        <w:rPr>
          <w:rFonts w:hint="default" w:ascii="Times New Roman" w:hAnsi="Times New Roman" w:cs="Times New Roman"/>
          <w:sz w:val="24"/>
          <w:szCs w:val="20"/>
        </w:rPr>
      </w:pPr>
      <w:r>
        <w:rPr>
          <w:rFonts w:hint="eastAsia"/>
          <w:color w:val="auto"/>
          <w:shd w:val="clear" w:color="auto" w:fill="auto"/>
        </w:rPr>
        <w:t>参数取值</w:t>
      </w:r>
      <w:r>
        <w:rPr>
          <w:rFonts w:hint="eastAsia"/>
          <w:color w:val="auto"/>
        </w:rPr>
        <w:t>：根据</w:t>
      </w:r>
      <w:r>
        <w:rPr>
          <w:rFonts w:hint="eastAsia"/>
          <w:color w:val="auto"/>
          <w:lang w:eastAsia="zh-CN"/>
        </w:rPr>
        <w:t>区域水文地质资料</w:t>
      </w:r>
      <w:r>
        <w:rPr>
          <w:rFonts w:hint="eastAsia"/>
          <w:color w:val="auto"/>
        </w:rPr>
        <w:t>确定项目区渗透系数为</w:t>
      </w:r>
      <w:r>
        <w:rPr>
          <w:rFonts w:hint="eastAsia"/>
          <w:color w:val="auto"/>
          <w:lang w:val="en-US" w:eastAsia="zh-CN"/>
        </w:rPr>
        <w:t>1.5</w:t>
      </w:r>
      <w:r>
        <w:rPr>
          <w:rFonts w:hint="eastAsia"/>
          <w:color w:val="auto"/>
        </w:rPr>
        <w:t>m/d，</w:t>
      </w:r>
      <w:r>
        <w:rPr>
          <w:rFonts w:hint="eastAsia"/>
          <w:color w:val="auto"/>
          <w:lang w:eastAsia="zh-CN"/>
        </w:rPr>
        <w:t>含水层厚度约</w:t>
      </w:r>
      <w:r>
        <w:rPr>
          <w:rFonts w:hint="eastAsia"/>
          <w:color w:val="auto"/>
          <w:lang w:val="en-US" w:eastAsia="zh-CN"/>
        </w:rPr>
        <w:t>20m，</w:t>
      </w:r>
      <w:r>
        <w:rPr>
          <w:color w:val="auto"/>
        </w:rPr>
        <w:t>地下水流速u=</w:t>
      </w:r>
      <w:r>
        <w:rPr>
          <w:rFonts w:hint="eastAsia"/>
          <w:color w:val="auto"/>
          <w:lang w:val="en-US" w:eastAsia="zh-CN"/>
        </w:rPr>
        <w:t>0.0288</w:t>
      </w:r>
      <w:r>
        <w:rPr>
          <w:color w:val="auto"/>
        </w:rPr>
        <w:t>m/</w:t>
      </w:r>
      <w:r>
        <w:rPr>
          <w:rFonts w:hint="eastAsia"/>
          <w:color w:val="auto"/>
          <w:lang w:val="en-US" w:eastAsia="zh-CN"/>
        </w:rPr>
        <w:t>d</w:t>
      </w:r>
      <w:r>
        <w:rPr>
          <w:rFonts w:hint="eastAsia"/>
          <w:color w:val="auto"/>
          <w:lang w:eastAsia="zh-CN"/>
        </w:rPr>
        <w:t>，有效孔隙度</w:t>
      </w:r>
      <w:r>
        <w:rPr>
          <w:rFonts w:hint="eastAsia"/>
          <w:color w:val="auto"/>
          <w:lang w:val="en-US" w:eastAsia="zh-CN"/>
        </w:rPr>
        <w:t>0.26</w:t>
      </w:r>
      <w:r>
        <w:rPr>
          <w:rFonts w:hint="eastAsia"/>
          <w:color w:val="auto"/>
          <w:lang w:eastAsia="zh-CN"/>
        </w:rPr>
        <w:t>，</w:t>
      </w:r>
      <w:r>
        <w:rPr>
          <w:color w:val="auto"/>
        </w:rPr>
        <w:t>纵向弥散</w:t>
      </w:r>
      <w:r>
        <w:rPr>
          <w:rFonts w:hint="eastAsia"/>
          <w:color w:val="auto"/>
          <w:lang w:eastAsia="zh-CN"/>
        </w:rPr>
        <w:t>系数</w:t>
      </w:r>
      <w:r>
        <w:rPr>
          <w:color w:val="auto"/>
        </w:rPr>
        <w:t>取值为</w:t>
      </w:r>
      <w:r>
        <w:rPr>
          <w:rFonts w:hint="eastAsia"/>
          <w:color w:val="auto"/>
          <w:lang w:val="en-US" w:eastAsia="zh-CN"/>
        </w:rPr>
        <w:t>0.288</w:t>
      </w:r>
      <w:r>
        <w:rPr>
          <w:color w:val="auto"/>
        </w:rPr>
        <w:t>m</w:t>
      </w:r>
      <w:r>
        <w:rPr>
          <w:color w:val="auto"/>
          <w:vertAlign w:val="superscript"/>
        </w:rPr>
        <w:t>2</w:t>
      </w:r>
      <w:r>
        <w:rPr>
          <w:color w:val="auto"/>
        </w:rPr>
        <w:t>/d，横向弥散系数取值为</w:t>
      </w:r>
      <w:r>
        <w:rPr>
          <w:rFonts w:hint="eastAsia"/>
          <w:color w:val="auto"/>
          <w:lang w:val="en-US" w:eastAsia="zh-CN"/>
        </w:rPr>
        <w:t>0.03</w:t>
      </w:r>
      <w:r>
        <w:rPr>
          <w:color w:val="auto"/>
        </w:rPr>
        <w:t>m</w:t>
      </w:r>
      <w:r>
        <w:rPr>
          <w:color w:val="auto"/>
          <w:vertAlign w:val="superscript"/>
        </w:rPr>
        <w:t>2</w:t>
      </w:r>
      <w:r>
        <w:rPr>
          <w:color w:val="auto"/>
        </w:rPr>
        <w:t>/d。</w:t>
      </w:r>
    </w:p>
    <w:p>
      <w:pPr>
        <w:bidi w:val="0"/>
        <w:rPr>
          <w:rFonts w:hint="default" w:eastAsia="宋体"/>
          <w:b/>
          <w:bCs/>
          <w:highlight w:val="none"/>
          <w:lang w:val="en-US" w:eastAsia="zh-CN"/>
        </w:rPr>
      </w:pPr>
      <w:r>
        <w:rPr>
          <w:rFonts w:hint="eastAsia"/>
          <w:b/>
          <w:bCs/>
          <w:highlight w:val="none"/>
          <w:lang w:val="en-US" w:eastAsia="zh-CN"/>
        </w:rPr>
        <w:t>⑦非正常工况地下水预测结果</w:t>
      </w:r>
    </w:p>
    <w:p>
      <w:pPr>
        <w:spacing w:line="360" w:lineRule="auto"/>
        <w:ind w:firstLine="480" w:firstLineChars="200"/>
        <w:rPr>
          <w:rFonts w:hint="default" w:ascii="Times New Roman" w:hAnsi="Times New Roman" w:eastAsia="宋体" w:cs="Times New Roman"/>
          <w:color w:val="auto"/>
          <w:kern w:val="0"/>
          <w:sz w:val="24"/>
        </w:rPr>
      </w:pPr>
      <w:r>
        <w:rPr>
          <w:rFonts w:hint="eastAsia"/>
          <w:lang w:val="en-US" w:eastAsia="zh-CN"/>
        </w:rPr>
        <w:t>（1）</w:t>
      </w:r>
      <w:r>
        <w:rPr>
          <w:rFonts w:hint="default" w:ascii="Times New Roman" w:hAnsi="Times New Roman" w:eastAsia="宋体" w:cs="Times New Roman"/>
          <w:color w:val="auto"/>
          <w:kern w:val="0"/>
          <w:sz w:val="24"/>
        </w:rPr>
        <w:t>COD运移预测结果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项目污水处理站、圈舍集污池内污水渗漏进入地下水后，100d时，COD预测的最大值为</w:t>
      </w:r>
      <w:r>
        <w:rPr>
          <w:rFonts w:hint="eastAsia" w:ascii="Times New Roman" w:hAnsi="Times New Roman" w:cs="Times New Roman"/>
          <w:color w:val="auto"/>
          <w:sz w:val="24"/>
          <w:lang w:val="en-US" w:eastAsia="zh-CN"/>
        </w:rPr>
        <w:t>416</w:t>
      </w:r>
      <w:r>
        <w:rPr>
          <w:rFonts w:hint="default" w:ascii="Times New Roman" w:hAnsi="Times New Roman" w:eastAsia="宋体" w:cs="Times New Roman"/>
          <w:color w:val="auto"/>
          <w:sz w:val="24"/>
        </w:rPr>
        <w:t>mg/l，位于地下水流向下游1m</w:t>
      </w:r>
      <w:r>
        <w:rPr>
          <w:rFonts w:hint="default" w:ascii="Times New Roman" w:hAnsi="Times New Roman" w:eastAsia="宋体" w:cs="Times New Roman"/>
          <w:color w:val="auto"/>
          <w:sz w:val="24"/>
          <w:lang w:val="en-US" w:eastAsia="zh-CN"/>
        </w:rPr>
        <w:t>内</w:t>
      </w:r>
      <w:r>
        <w:rPr>
          <w:rFonts w:hint="default" w:ascii="Times New Roman" w:hAnsi="Times New Roman" w:eastAsia="宋体" w:cs="Times New Roman"/>
          <w:color w:val="auto"/>
          <w:sz w:val="24"/>
        </w:rPr>
        <w:t>，预测超标距离最远为</w:t>
      </w:r>
      <w:r>
        <w:rPr>
          <w:rFonts w:hint="eastAsia" w:ascii="Times New Roman" w:hAnsi="Times New Roman" w:cs="Times New Roman"/>
          <w:color w:val="auto"/>
          <w:sz w:val="24"/>
          <w:lang w:val="en-US" w:eastAsia="zh-CN"/>
        </w:rPr>
        <w:t>23</w:t>
      </w:r>
      <w:r>
        <w:rPr>
          <w:rFonts w:hint="default" w:ascii="Times New Roman" w:hAnsi="Times New Roman" w:eastAsia="宋体" w:cs="Times New Roman"/>
          <w:color w:val="auto"/>
          <w:sz w:val="24"/>
        </w:rPr>
        <w:t>m；影响距离最远为</w:t>
      </w:r>
      <w:r>
        <w:rPr>
          <w:rFonts w:hint="eastAsia" w:ascii="Times New Roman" w:hAnsi="Times New Roman" w:cs="Times New Roman"/>
          <w:color w:val="auto"/>
          <w:sz w:val="24"/>
          <w:lang w:val="en-US" w:eastAsia="zh-CN"/>
        </w:rPr>
        <w:t>33</w:t>
      </w:r>
      <w:r>
        <w:rPr>
          <w:rFonts w:hint="default" w:ascii="Times New Roman" w:hAnsi="Times New Roman" w:eastAsia="宋体" w:cs="Times New Roman"/>
          <w:color w:val="auto"/>
          <w:sz w:val="24"/>
        </w:rPr>
        <w:t>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1000天时，COD预测的最大值为</w:t>
      </w:r>
      <w:r>
        <w:rPr>
          <w:rFonts w:hint="eastAsia" w:ascii="Times New Roman" w:hAnsi="Times New Roman" w:cs="Times New Roman"/>
          <w:color w:val="auto"/>
          <w:sz w:val="24"/>
          <w:highlight w:val="none"/>
          <w:lang w:val="en-US" w:eastAsia="zh-CN"/>
        </w:rPr>
        <w:t>44</w:t>
      </w:r>
      <w:r>
        <w:rPr>
          <w:rFonts w:hint="default" w:ascii="Times New Roman" w:hAnsi="Times New Roman" w:eastAsia="宋体" w:cs="Times New Roman"/>
          <w:color w:val="auto"/>
          <w:sz w:val="24"/>
          <w:highlight w:val="none"/>
        </w:rPr>
        <w:t>mg/l，位于地下水流向下游</w:t>
      </w:r>
      <w:r>
        <w:rPr>
          <w:rFonts w:hint="eastAsia" w:ascii="Times New Roman" w:hAnsi="Times New Roman" w:cs="Times New Roman"/>
          <w:color w:val="auto"/>
          <w:sz w:val="24"/>
          <w:highlight w:val="none"/>
          <w:lang w:val="en-US" w:eastAsia="zh-CN"/>
        </w:rPr>
        <w:t>35</w:t>
      </w:r>
      <w:r>
        <w:rPr>
          <w:rFonts w:hint="default" w:ascii="Times New Roman" w:hAnsi="Times New Roman" w:eastAsia="宋体" w:cs="Times New Roman"/>
          <w:color w:val="auto"/>
          <w:sz w:val="24"/>
          <w:highlight w:val="none"/>
        </w:rPr>
        <w:t>m，预测超标距离最远为</w:t>
      </w:r>
      <w:r>
        <w:rPr>
          <w:rFonts w:hint="eastAsia" w:ascii="Times New Roman" w:hAnsi="Times New Roman" w:cs="Times New Roman"/>
          <w:color w:val="auto"/>
          <w:sz w:val="24"/>
          <w:highlight w:val="none"/>
          <w:lang w:val="en-US" w:eastAsia="zh-CN"/>
        </w:rPr>
        <w:t>85</w:t>
      </w:r>
      <w:r>
        <w:rPr>
          <w:rFonts w:hint="default" w:ascii="Times New Roman" w:hAnsi="Times New Roman" w:eastAsia="宋体" w:cs="Times New Roman"/>
          <w:color w:val="auto"/>
          <w:sz w:val="24"/>
          <w:highlight w:val="none"/>
        </w:rPr>
        <w:t>m，影响距离最远为</w:t>
      </w:r>
      <w:r>
        <w:rPr>
          <w:rFonts w:hint="eastAsia" w:ascii="Times New Roman" w:hAnsi="Times New Roman" w:cs="Times New Roman"/>
          <w:color w:val="auto"/>
          <w:sz w:val="24"/>
          <w:highlight w:val="none"/>
          <w:lang w:val="en-US" w:eastAsia="zh-CN"/>
        </w:rPr>
        <w:t>122</w:t>
      </w:r>
      <w:r>
        <w:rPr>
          <w:rFonts w:hint="default" w:ascii="Times New Roman" w:hAnsi="Times New Roman" w:eastAsia="宋体" w:cs="Times New Roman"/>
          <w:color w:val="auto"/>
          <w:sz w:val="24"/>
          <w:highlight w:val="none"/>
        </w:rPr>
        <w:t>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3650天时，COD预测的最大值为</w:t>
      </w:r>
      <w:r>
        <w:rPr>
          <w:rFonts w:hint="eastAsia" w:ascii="Times New Roman" w:hAnsi="Times New Roman" w:cs="Times New Roman"/>
          <w:color w:val="auto"/>
          <w:sz w:val="24"/>
          <w:highlight w:val="none"/>
          <w:lang w:val="en-US" w:eastAsia="zh-CN"/>
        </w:rPr>
        <w:t>21</w:t>
      </w:r>
      <w:r>
        <w:rPr>
          <w:rFonts w:hint="default" w:ascii="Times New Roman" w:hAnsi="Times New Roman" w:eastAsia="宋体" w:cs="Times New Roman"/>
          <w:color w:val="auto"/>
          <w:sz w:val="24"/>
          <w:highlight w:val="none"/>
        </w:rPr>
        <w:t>mg/l，位于地下水流向下游</w:t>
      </w:r>
      <w:r>
        <w:rPr>
          <w:rFonts w:hint="eastAsia" w:ascii="Times New Roman" w:hAnsi="Times New Roman" w:cs="Times New Roman"/>
          <w:color w:val="auto"/>
          <w:sz w:val="24"/>
          <w:highlight w:val="none"/>
          <w:lang w:val="en-US" w:eastAsia="zh-CN"/>
        </w:rPr>
        <w:t>112</w:t>
      </w:r>
      <w:r>
        <w:rPr>
          <w:rFonts w:hint="default" w:ascii="Times New Roman" w:hAnsi="Times New Roman" w:eastAsia="宋体" w:cs="Times New Roman"/>
          <w:color w:val="auto"/>
          <w:sz w:val="24"/>
          <w:highlight w:val="none"/>
        </w:rPr>
        <w:t>m，预测超标距离最远为</w:t>
      </w:r>
      <w:r>
        <w:rPr>
          <w:rFonts w:hint="eastAsia" w:ascii="Times New Roman" w:hAnsi="Times New Roman" w:cs="Times New Roman"/>
          <w:color w:val="auto"/>
          <w:sz w:val="24"/>
          <w:highlight w:val="none"/>
          <w:lang w:val="en-US" w:eastAsia="zh-CN"/>
        </w:rPr>
        <w:t>199</w:t>
      </w:r>
      <w:r>
        <w:rPr>
          <w:rFonts w:hint="default" w:ascii="Times New Roman" w:hAnsi="Times New Roman" w:eastAsia="宋体" w:cs="Times New Roman"/>
          <w:color w:val="auto"/>
          <w:sz w:val="24"/>
          <w:highlight w:val="none"/>
        </w:rPr>
        <w:t>m；影响距离最远为</w:t>
      </w:r>
      <w:r>
        <w:rPr>
          <w:rFonts w:hint="eastAsia" w:ascii="Times New Roman" w:hAnsi="Times New Roman" w:cs="Times New Roman"/>
          <w:color w:val="auto"/>
          <w:sz w:val="24"/>
          <w:highlight w:val="none"/>
          <w:lang w:val="en-US" w:eastAsia="zh-CN"/>
        </w:rPr>
        <w:t>278</w:t>
      </w:r>
      <w:r>
        <w:rPr>
          <w:rFonts w:hint="default" w:ascii="Times New Roman" w:hAnsi="Times New Roman" w:eastAsia="宋体" w:cs="Times New Roman"/>
          <w:color w:val="auto"/>
          <w:sz w:val="24"/>
          <w:highlight w:val="none"/>
        </w:rPr>
        <w:t>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7300天时，COD预测的最大值为</w:t>
      </w:r>
      <w:r>
        <w:rPr>
          <w:rFonts w:hint="eastAsia" w:ascii="Times New Roman" w:hAnsi="Times New Roman" w:cs="Times New Roman"/>
          <w:color w:val="auto"/>
          <w:sz w:val="24"/>
          <w:highlight w:val="none"/>
          <w:lang w:val="en-US" w:eastAsia="zh-CN"/>
        </w:rPr>
        <w:t>14</w:t>
      </w:r>
      <w:r>
        <w:rPr>
          <w:rFonts w:hint="default" w:ascii="Times New Roman" w:hAnsi="Times New Roman" w:eastAsia="宋体" w:cs="Times New Roman"/>
          <w:color w:val="auto"/>
          <w:sz w:val="24"/>
          <w:highlight w:val="none"/>
        </w:rPr>
        <w:t>mg/l，位于地下水流向下游</w:t>
      </w:r>
      <w:r>
        <w:rPr>
          <w:rFonts w:hint="eastAsia" w:ascii="Times New Roman" w:hAnsi="Times New Roman" w:cs="Times New Roman"/>
          <w:color w:val="auto"/>
          <w:sz w:val="24"/>
          <w:highlight w:val="none"/>
          <w:lang w:val="en-US" w:eastAsia="zh-CN"/>
        </w:rPr>
        <w:t>217</w:t>
      </w:r>
      <w:r>
        <w:rPr>
          <w:rFonts w:hint="default" w:ascii="Times New Roman" w:hAnsi="Times New Roman" w:eastAsia="宋体" w:cs="Times New Roman"/>
          <w:color w:val="auto"/>
          <w:sz w:val="24"/>
          <w:highlight w:val="none"/>
        </w:rPr>
        <w:t>m，预测超标距离最远为</w:t>
      </w:r>
      <w:r>
        <w:rPr>
          <w:rFonts w:hint="eastAsia" w:ascii="Times New Roman" w:hAnsi="Times New Roman" w:cs="Times New Roman"/>
          <w:color w:val="auto"/>
          <w:sz w:val="24"/>
          <w:highlight w:val="none"/>
          <w:lang w:val="en-US" w:eastAsia="zh-CN"/>
        </w:rPr>
        <w:t>330</w:t>
      </w:r>
      <w:r>
        <w:rPr>
          <w:rFonts w:hint="default" w:ascii="Times New Roman" w:hAnsi="Times New Roman" w:eastAsia="宋体" w:cs="Times New Roman"/>
          <w:color w:val="auto"/>
          <w:sz w:val="24"/>
          <w:highlight w:val="none"/>
        </w:rPr>
        <w:t>m；影响距离最远为</w:t>
      </w:r>
      <w:r>
        <w:rPr>
          <w:rFonts w:hint="eastAsia" w:ascii="Times New Roman" w:hAnsi="Times New Roman" w:cs="Times New Roman"/>
          <w:color w:val="auto"/>
          <w:sz w:val="24"/>
          <w:highlight w:val="none"/>
          <w:lang w:val="en-US" w:eastAsia="zh-CN"/>
        </w:rPr>
        <w:t>449</w:t>
      </w:r>
      <w:r>
        <w:rPr>
          <w:rFonts w:hint="default" w:ascii="Times New Roman" w:hAnsi="Times New Roman" w:eastAsia="宋体" w:cs="Times New Roman"/>
          <w:color w:val="auto"/>
          <w:sz w:val="24"/>
          <w:highlight w:val="none"/>
        </w:rPr>
        <w:t>m。</w:t>
      </w:r>
    </w:p>
    <w:p>
      <w:pPr>
        <w:spacing w:line="360" w:lineRule="auto"/>
        <w:ind w:firstLine="480" w:firstLineChars="200"/>
        <w:rPr>
          <w:rFonts w:hint="default" w:ascii="Times New Roman" w:hAnsi="Times New Roman" w:eastAsia="宋体" w:cs="Times New Roman"/>
          <w:color w:val="FF0000"/>
          <w:kern w:val="0"/>
          <w:sz w:val="24"/>
        </w:rPr>
      </w:pPr>
      <w:r>
        <w:rPr>
          <w:rFonts w:hint="default" w:ascii="Times New Roman" w:hAnsi="Times New Roman" w:eastAsia="宋体" w:cs="Times New Roman"/>
          <w:color w:val="auto"/>
          <w:kern w:val="0"/>
          <w:sz w:val="24"/>
        </w:rPr>
        <w:t>图5.2-1～5.2-4分别代表了拟建项目格栅池污染泄漏后100d、1000d、3650d、7300d，非正常状况下泄露的COD对评价区内地下水的影响，在泄漏后的第</w:t>
      </w:r>
      <w:r>
        <w:rPr>
          <w:rFonts w:hint="default" w:ascii="Times New Roman" w:hAnsi="Times New Roman" w:eastAsia="宋体" w:cs="Times New Roman"/>
          <w:color w:val="auto"/>
          <w:kern w:val="0"/>
          <w:sz w:val="24"/>
          <w:lang w:val="en-US" w:eastAsia="zh-CN"/>
        </w:rPr>
        <w:t>180</w:t>
      </w:r>
      <w:r>
        <w:rPr>
          <w:rFonts w:hint="default" w:ascii="Times New Roman" w:hAnsi="Times New Roman" w:eastAsia="宋体" w:cs="Times New Roman"/>
          <w:color w:val="auto"/>
          <w:kern w:val="0"/>
          <w:sz w:val="24"/>
        </w:rPr>
        <w:t>d发现地下水污染，并采取相应的地下水污染阻隔措施。</w:t>
      </w:r>
    </w:p>
    <w:p>
      <w:pPr>
        <w:spacing w:line="360" w:lineRule="auto"/>
        <w:ind w:firstLine="480" w:firstLineChars="200"/>
        <w:rPr>
          <w:rFonts w:hint="default" w:ascii="Times New Roman" w:hAnsi="Times New Roman" w:eastAsia="宋体" w:cs="Times New Roman"/>
          <w:color w:val="auto"/>
          <w:kern w:val="0"/>
          <w:sz w:val="24"/>
        </w:rPr>
      </w:pPr>
      <w:r>
        <w:rPr>
          <w:rFonts w:hint="eastAsia" w:ascii="Times New Roman" w:hAnsi="Times New Roman" w:cs="Times New Roman"/>
          <w:color w:val="auto"/>
          <w:kern w:val="0"/>
          <w:sz w:val="24"/>
          <w:lang w:val="en-US" w:eastAsia="zh-CN"/>
        </w:rPr>
        <w:t>厂区</w:t>
      </w:r>
      <w:r>
        <w:rPr>
          <w:rFonts w:hint="default" w:ascii="Times New Roman" w:hAnsi="Times New Roman" w:eastAsia="宋体" w:cs="Times New Roman"/>
          <w:color w:val="auto"/>
          <w:kern w:val="0"/>
          <w:sz w:val="24"/>
        </w:rPr>
        <w:t>废水发生渗漏后，污染物在潜水含水层中向拟建项目区下游方向扩散速度较慢，100d后污染区域在厂区边界内，下游峰值浓度值运移至1m</w:t>
      </w:r>
      <w:r>
        <w:rPr>
          <w:rFonts w:hint="default" w:ascii="Times New Roman" w:hAnsi="Times New Roman" w:eastAsia="宋体" w:cs="Times New Roman"/>
          <w:color w:val="auto"/>
          <w:sz w:val="24"/>
          <w:lang w:val="en-US" w:eastAsia="zh-CN"/>
        </w:rPr>
        <w:t>内</w:t>
      </w:r>
      <w:r>
        <w:rPr>
          <w:rFonts w:hint="default" w:ascii="Times New Roman" w:hAnsi="Times New Roman" w:eastAsia="宋体" w:cs="Times New Roman"/>
          <w:color w:val="auto"/>
          <w:kern w:val="0"/>
          <w:sz w:val="24"/>
        </w:rPr>
        <w:t>，达到最大为</w:t>
      </w:r>
      <w:r>
        <w:rPr>
          <w:rFonts w:hint="eastAsia" w:ascii="Times New Roman" w:hAnsi="Times New Roman" w:cs="Times New Roman"/>
          <w:color w:val="auto"/>
          <w:kern w:val="0"/>
          <w:sz w:val="24"/>
          <w:lang w:val="en-US" w:eastAsia="zh-CN"/>
        </w:rPr>
        <w:t>416</w:t>
      </w:r>
      <w:r>
        <w:rPr>
          <w:rFonts w:hint="default" w:ascii="Times New Roman" w:hAnsi="Times New Roman" w:eastAsia="宋体" w:cs="Times New Roman"/>
          <w:color w:val="auto"/>
          <w:kern w:val="0"/>
          <w:sz w:val="24"/>
        </w:rPr>
        <w:t>mg/L；1000d下游峰值浓度减小至</w:t>
      </w:r>
      <w:r>
        <w:rPr>
          <w:rFonts w:hint="eastAsia" w:ascii="Times New Roman" w:hAnsi="Times New Roman" w:cs="Times New Roman"/>
          <w:color w:val="auto"/>
          <w:kern w:val="0"/>
          <w:sz w:val="24"/>
          <w:lang w:val="en-US" w:eastAsia="zh-CN"/>
        </w:rPr>
        <w:t>44</w:t>
      </w:r>
      <w:r>
        <w:rPr>
          <w:rFonts w:hint="default" w:ascii="Times New Roman" w:hAnsi="Times New Roman" w:eastAsia="宋体" w:cs="Times New Roman"/>
          <w:color w:val="auto"/>
          <w:kern w:val="0"/>
          <w:sz w:val="24"/>
        </w:rPr>
        <w:t>mg/L，污染区域扩散至厂区边界外，下游峰值浓度值运移至</w:t>
      </w:r>
      <w:r>
        <w:rPr>
          <w:rFonts w:hint="eastAsia" w:ascii="Times New Roman" w:hAnsi="Times New Roman" w:cs="Times New Roman"/>
          <w:color w:val="auto"/>
          <w:kern w:val="0"/>
          <w:sz w:val="24"/>
          <w:lang w:val="en-US" w:eastAsia="zh-CN"/>
        </w:rPr>
        <w:t>35</w:t>
      </w:r>
      <w:r>
        <w:rPr>
          <w:rFonts w:hint="default" w:ascii="Times New Roman" w:hAnsi="Times New Roman" w:eastAsia="宋体" w:cs="Times New Roman"/>
          <w:color w:val="auto"/>
          <w:kern w:val="0"/>
          <w:sz w:val="24"/>
        </w:rPr>
        <w:t>m；到污染发生后3650d、7300d，污染物污染影响范围及浓度已经非常小。</w:t>
      </w:r>
    </w:p>
    <w:p>
      <w:pPr>
        <w:spacing w:line="360" w:lineRule="auto"/>
        <w:ind w:firstLine="480" w:firstLineChars="200"/>
        <w:rPr>
          <w:color w:val="auto"/>
          <w:kern w:val="0"/>
          <w:sz w:val="24"/>
        </w:rPr>
      </w:pPr>
      <w:r>
        <w:rPr>
          <w:rFonts w:hint="default" w:ascii="Times New Roman" w:hAnsi="Times New Roman" w:eastAsia="宋体" w:cs="Times New Roman"/>
          <w:color w:val="auto"/>
          <w:kern w:val="0"/>
          <w:sz w:val="24"/>
        </w:rPr>
        <w:t>综上所述，本项目COD进水浓度为</w:t>
      </w:r>
      <w:r>
        <w:rPr>
          <w:rFonts w:hint="eastAsia" w:cs="Times New Roman"/>
          <w:color w:val="auto"/>
          <w:kern w:val="0"/>
          <w:sz w:val="24"/>
          <w:lang w:val="en-US" w:eastAsia="zh-CN"/>
        </w:rPr>
        <w:t>2080</w:t>
      </w:r>
      <w:r>
        <w:rPr>
          <w:rFonts w:hint="default" w:ascii="Times New Roman" w:hAnsi="Times New Roman" w:eastAsia="宋体" w:cs="Times New Roman"/>
          <w:color w:val="auto"/>
          <w:kern w:val="0"/>
          <w:sz w:val="24"/>
        </w:rPr>
        <w:t>mg/L（超过《地下水质量标准》（GB</w:t>
      </w:r>
      <w:r>
        <w:rPr>
          <w:rFonts w:hint="eastAsia" w:ascii="Times New Roman" w:hAnsi="Times New Roman" w:eastAsia="宋体" w:cs="Times New Roman"/>
          <w:color w:val="auto"/>
          <w:kern w:val="0"/>
          <w:sz w:val="24"/>
          <w:lang w:val="en-US" w:eastAsia="zh-CN"/>
        </w:rPr>
        <w:t xml:space="preserve"> </w:t>
      </w:r>
      <w:r>
        <w:rPr>
          <w:rFonts w:hint="default" w:ascii="Times New Roman" w:hAnsi="Times New Roman" w:eastAsia="宋体" w:cs="Times New Roman"/>
          <w:color w:val="auto"/>
          <w:kern w:val="0"/>
          <w:sz w:val="24"/>
        </w:rPr>
        <w:t>14848-2017）Ⅲ类标准（</w:t>
      </w:r>
      <w:r>
        <w:rPr>
          <w:rFonts w:hint="default" w:ascii="Times New Roman" w:hAnsi="Times New Roman" w:eastAsia="宋体" w:cs="Times New Roman"/>
          <w:color w:val="auto"/>
          <w:kern w:val="0"/>
          <w:sz w:val="24"/>
          <w:lang w:val="en-US" w:eastAsia="zh-CN"/>
        </w:rPr>
        <w:t>3.0</w:t>
      </w:r>
      <w:r>
        <w:rPr>
          <w:rFonts w:hint="default" w:ascii="Times New Roman" w:hAnsi="Times New Roman" w:eastAsia="宋体" w:cs="Times New Roman"/>
          <w:color w:val="auto"/>
          <w:kern w:val="0"/>
          <w:sz w:val="24"/>
        </w:rPr>
        <w:t>mg/L）），随着时间的推移，污染物的范围不断增大最终减小；污染物的最大污染浓度值随时间也呈先增大后减小。非正常状况，</w:t>
      </w:r>
      <w:r>
        <w:rPr>
          <w:rFonts w:hint="eastAsia" w:ascii="Times New Roman" w:hAnsi="Times New Roman" w:cs="Times New Roman"/>
          <w:color w:val="auto"/>
          <w:kern w:val="0"/>
          <w:sz w:val="24"/>
          <w:lang w:val="en-US" w:eastAsia="zh-CN"/>
        </w:rPr>
        <w:t>厂区</w:t>
      </w:r>
      <w:r>
        <w:rPr>
          <w:rFonts w:hint="default" w:ascii="Times New Roman" w:hAnsi="Times New Roman" w:eastAsia="宋体" w:cs="Times New Roman"/>
          <w:color w:val="auto"/>
          <w:kern w:val="0"/>
          <w:sz w:val="24"/>
        </w:rPr>
        <w:t>废水渗漏的10</w:t>
      </w:r>
      <w:r>
        <w:rPr>
          <w:rFonts w:hint="default" w:ascii="Times New Roman" w:hAnsi="Times New Roman" w:eastAsia="宋体" w:cs="Times New Roman"/>
          <w:color w:val="auto"/>
          <w:kern w:val="0"/>
          <w:sz w:val="24"/>
          <w:lang w:val="en-US" w:eastAsia="zh-CN"/>
        </w:rPr>
        <w:t>0</w:t>
      </w:r>
      <w:r>
        <w:rPr>
          <w:rFonts w:hint="default" w:ascii="Times New Roman" w:hAnsi="Times New Roman" w:eastAsia="宋体" w:cs="Times New Roman"/>
          <w:color w:val="auto"/>
          <w:kern w:val="0"/>
          <w:sz w:val="24"/>
        </w:rPr>
        <w:t>0d</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3650d、7300d</w:t>
      </w:r>
      <w:r>
        <w:rPr>
          <w:rFonts w:hint="default" w:ascii="Times New Roman" w:hAnsi="Times New Roman" w:eastAsia="宋体" w:cs="Times New Roman"/>
          <w:color w:val="auto"/>
          <w:kern w:val="0"/>
          <w:sz w:val="24"/>
        </w:rPr>
        <w:t>地下水NH</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-N不能够满足《地下水质量标准》（GB</w:t>
      </w:r>
      <w:r>
        <w:rPr>
          <w:rFonts w:hint="eastAsia" w:ascii="Times New Roman" w:hAnsi="Times New Roman" w:eastAsia="宋体" w:cs="Times New Roman"/>
          <w:color w:val="auto"/>
          <w:kern w:val="0"/>
          <w:sz w:val="24"/>
          <w:lang w:val="en-US" w:eastAsia="zh-CN"/>
        </w:rPr>
        <w:t xml:space="preserve"> </w:t>
      </w:r>
      <w:r>
        <w:rPr>
          <w:rFonts w:hint="default" w:ascii="Times New Roman" w:hAnsi="Times New Roman" w:eastAsia="宋体" w:cs="Times New Roman"/>
          <w:color w:val="auto"/>
          <w:kern w:val="0"/>
          <w:sz w:val="24"/>
        </w:rPr>
        <w:t>14848-2017）Ⅲ类标准，经计算最远超标距离</w:t>
      </w:r>
      <w:r>
        <w:rPr>
          <w:rFonts w:hint="eastAsia" w:ascii="Times New Roman" w:hAnsi="Times New Roman" w:cs="Times New Roman"/>
          <w:color w:val="auto"/>
          <w:kern w:val="0"/>
          <w:sz w:val="24"/>
          <w:lang w:val="en-US" w:eastAsia="zh-CN"/>
        </w:rPr>
        <w:t>分别</w:t>
      </w:r>
      <w:r>
        <w:rPr>
          <w:rFonts w:hint="default" w:ascii="Times New Roman" w:hAnsi="Times New Roman" w:eastAsia="宋体" w:cs="Times New Roman"/>
          <w:color w:val="auto"/>
          <w:kern w:val="0"/>
          <w:sz w:val="24"/>
        </w:rPr>
        <w:t>为</w:t>
      </w:r>
      <w:r>
        <w:rPr>
          <w:rFonts w:hint="eastAsia" w:ascii="Times New Roman" w:hAnsi="Times New Roman" w:cs="Times New Roman"/>
          <w:color w:val="auto"/>
          <w:kern w:val="0"/>
          <w:sz w:val="24"/>
          <w:lang w:val="en-US" w:eastAsia="zh-CN"/>
        </w:rPr>
        <w:t>85</w:t>
      </w:r>
      <w:r>
        <w:rPr>
          <w:rFonts w:hint="default" w:ascii="Times New Roman" w:hAnsi="Times New Roman" w:eastAsia="宋体" w:cs="Times New Roman"/>
          <w:color w:val="auto"/>
          <w:kern w:val="0"/>
          <w:sz w:val="24"/>
        </w:rPr>
        <w:t>m</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199m、330m</w:t>
      </w:r>
      <w:r>
        <w:rPr>
          <w:rFonts w:hint="default" w:ascii="Times New Roman" w:hAnsi="Times New Roman" w:eastAsia="宋体" w:cs="Times New Roman"/>
          <w:color w:val="auto"/>
          <w:kern w:val="0"/>
          <w:sz w:val="24"/>
        </w:rPr>
        <w:t>，在超标范围内无居民水井分布。</w:t>
      </w:r>
      <w:r>
        <w:rPr>
          <w:rFonts w:hint="eastAsia" w:ascii="Times New Roman" w:hAnsi="Times New Roman" w:cs="Times New Roman"/>
          <w:color w:val="auto"/>
          <w:kern w:val="0"/>
          <w:sz w:val="24"/>
          <w:lang w:val="en-US" w:eastAsia="zh-CN"/>
        </w:rPr>
        <w:t>因此</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对地下水影响较小。</w:t>
      </w:r>
    </w:p>
    <w:p>
      <w:pPr>
        <w:pStyle w:val="29"/>
        <w:bidi w:val="0"/>
        <w:rPr>
          <w:rFonts w:hint="default" w:eastAsia="宋体"/>
          <w:lang w:val="en-US" w:eastAsia="zh-CN"/>
        </w:rPr>
      </w:pPr>
      <w:r>
        <w:drawing>
          <wp:anchor distT="0" distB="0" distL="114300" distR="114300" simplePos="0" relativeHeight="251664384" behindDoc="0" locked="0" layoutInCell="1" allowOverlap="1">
            <wp:simplePos x="0" y="0"/>
            <wp:positionH relativeFrom="column">
              <wp:posOffset>301625</wp:posOffset>
            </wp:positionH>
            <wp:positionV relativeFrom="paragraph">
              <wp:posOffset>85725</wp:posOffset>
            </wp:positionV>
            <wp:extent cx="5311775" cy="2755265"/>
            <wp:effectExtent l="4445" t="4445" r="17780" b="21590"/>
            <wp:wrapTopAndBottom/>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Pr>
          <w:sz w:val="21"/>
        </w:rPr>
        <mc:AlternateContent>
          <mc:Choice Requires="wps">
            <w:drawing>
              <wp:anchor distT="0" distB="0" distL="114300" distR="114300" simplePos="0" relativeHeight="251665408" behindDoc="0" locked="0" layoutInCell="1" allowOverlap="1">
                <wp:simplePos x="0" y="0"/>
                <wp:positionH relativeFrom="column">
                  <wp:posOffset>443230</wp:posOffset>
                </wp:positionH>
                <wp:positionV relativeFrom="paragraph">
                  <wp:posOffset>214630</wp:posOffset>
                </wp:positionV>
                <wp:extent cx="561340" cy="266700"/>
                <wp:effectExtent l="0" t="0" r="0" b="0"/>
                <wp:wrapNone/>
                <wp:docPr id="15" name="文本框 15"/>
                <wp:cNvGraphicFramePr/>
                <a:graphic xmlns:a="http://schemas.openxmlformats.org/drawingml/2006/main">
                  <a:graphicData uri="http://schemas.microsoft.com/office/word/2010/wordprocessingShape">
                    <wps:wsp>
                      <wps:cNvSpPr txBox="1"/>
                      <wps:spPr>
                        <a:xfrm>
                          <a:off x="1485900" y="6152515"/>
                          <a:ext cx="56134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bidi w:val="0"/>
                              <w:rPr>
                                <w:rFonts w:hint="default" w:eastAsia="宋体"/>
                                <w:lang w:val="en-US" w:eastAsia="zh-CN"/>
                              </w:rPr>
                            </w:pPr>
                            <w:r>
                              <w:rPr>
                                <w:rFonts w:hint="eastAsia"/>
                                <w:lang w:val="en-US" w:eastAsia="zh-CN"/>
                              </w:rPr>
                              <w:t>mg/L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pt;margin-top:16.9pt;height:21pt;width:44.2pt;z-index:251665408;mso-width-relative:page;mso-height-relative:page;" filled="f" stroked="f" coordsize="21600,21600" o:gfxdata="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gQeqraAAAACAEAAA8AAAAAAAAAAQAg&#10;AAAAIgAAAGRycy9kb3ducmV2LnhtbFBLAQIUABQAAAAIAIdO4kCteqh8RQIAAHMEAAAOAAAAAAAA&#10;AAEAIAAAACkBAABkcnMvZTJvRG9jLnhtbFBLBQYAAAAABgAGAFkBAADgBQAAAAA=&#10;">
                <v:fill on="f" focussize="0,0"/>
                <v:stroke on="f" weight="0.5pt"/>
                <v:imagedata o:title=""/>
                <o:lock v:ext="edit" aspectratio="f"/>
                <v:textbox>
                  <w:txbxContent>
                    <w:p>
                      <w:pPr>
                        <w:pStyle w:val="30"/>
                        <w:bidi w:val="0"/>
                        <w:rPr>
                          <w:rFonts w:hint="default" w:eastAsia="宋体"/>
                          <w:lang w:val="en-US" w:eastAsia="zh-CN"/>
                        </w:rPr>
                      </w:pPr>
                      <w:r>
                        <w:rPr>
                          <w:rFonts w:hint="eastAsia"/>
                          <w:lang w:val="en-US" w:eastAsia="zh-CN"/>
                        </w:rPr>
                        <w:t>mg/L</w:t>
                      </w:r>
                    </w:p>
                  </w:txbxContent>
                </v:textbox>
              </v:shape>
            </w:pict>
          </mc:Fallback>
        </mc:AlternateContent>
      </w:r>
      <w:r>
        <w:rPr>
          <w:rFonts w:hint="eastAsia"/>
          <w:lang w:val="en-US" w:eastAsia="zh-CN"/>
        </w:rPr>
        <w:t>图5.2-1  100dCOD运移分布</w:t>
      </w:r>
    </w:p>
    <w:p>
      <w:pPr>
        <w:pStyle w:val="29"/>
        <w:bidi w:val="0"/>
        <w:rPr>
          <w:rFonts w:hint="default" w:eastAsia="宋体"/>
          <w:lang w:val="en-US" w:eastAsia="zh-CN"/>
        </w:rPr>
      </w:pPr>
      <w:r>
        <w:drawing>
          <wp:anchor distT="0" distB="0" distL="114300" distR="114300" simplePos="0" relativeHeight="251666432" behindDoc="0" locked="0" layoutInCell="1" allowOverlap="1">
            <wp:simplePos x="0" y="0"/>
            <wp:positionH relativeFrom="column">
              <wp:posOffset>80645</wp:posOffset>
            </wp:positionH>
            <wp:positionV relativeFrom="paragraph">
              <wp:posOffset>67310</wp:posOffset>
            </wp:positionV>
            <wp:extent cx="5838190" cy="2981325"/>
            <wp:effectExtent l="4445" t="4445" r="5715" b="5080"/>
            <wp:wrapTopAndBottom/>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Pr>
          <w:sz w:val="21"/>
        </w:rPr>
        <mc:AlternateContent>
          <mc:Choice Requires="wps">
            <w:drawing>
              <wp:anchor distT="0" distB="0" distL="114300" distR="114300" simplePos="0" relativeHeight="251667456" behindDoc="0" locked="0" layoutInCell="1" allowOverlap="1">
                <wp:simplePos x="0" y="0"/>
                <wp:positionH relativeFrom="column">
                  <wp:posOffset>443230</wp:posOffset>
                </wp:positionH>
                <wp:positionV relativeFrom="paragraph">
                  <wp:posOffset>161290</wp:posOffset>
                </wp:positionV>
                <wp:extent cx="561340" cy="2667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56134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bidi w:val="0"/>
                              <w:rPr>
                                <w:rFonts w:hint="default" w:eastAsia="宋体"/>
                                <w:lang w:val="en-US" w:eastAsia="zh-CN"/>
                              </w:rPr>
                            </w:pPr>
                            <w:r>
                              <w:rPr>
                                <w:rFonts w:hint="eastAsia"/>
                                <w:lang w:val="en-US" w:eastAsia="zh-CN"/>
                              </w:rPr>
                              <w:t>mg/L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pt;margin-top:12.7pt;height:21pt;width:44.2pt;z-index:251667456;mso-width-relative:page;mso-height-relative:page;" filled="f" stroked="f" coordsize="21600,21600" o:gfxdata="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p8dbtkAAAAIAQAADwAAAAAAAAABACAAAAAiAAAAZHJz&#10;L2Rvd25yZXYueG1sUEsBAhQAFAAAAAgAh07iQHpMa7M8AgAAZwQAAA4AAAAAAAAAAQAgAAAAKAEA&#10;AGRycy9lMm9Eb2MueG1sUEsFBgAAAAAGAAYAWQEAANYFAAAAAA==&#10;">
                <v:fill on="f" focussize="0,0"/>
                <v:stroke on="f" weight="0.5pt"/>
                <v:imagedata o:title=""/>
                <o:lock v:ext="edit" aspectratio="f"/>
                <v:textbox>
                  <w:txbxContent>
                    <w:p>
                      <w:pPr>
                        <w:pStyle w:val="30"/>
                        <w:bidi w:val="0"/>
                        <w:rPr>
                          <w:rFonts w:hint="default" w:eastAsia="宋体"/>
                          <w:lang w:val="en-US" w:eastAsia="zh-CN"/>
                        </w:rPr>
                      </w:pPr>
                      <w:r>
                        <w:rPr>
                          <w:rFonts w:hint="eastAsia"/>
                          <w:lang w:val="en-US" w:eastAsia="zh-CN"/>
                        </w:rPr>
                        <w:t>mg/L</w:t>
                      </w:r>
                    </w:p>
                  </w:txbxContent>
                </v:textbox>
              </v:shape>
            </w:pict>
          </mc:Fallback>
        </mc:AlternateContent>
      </w:r>
      <w:r>
        <w:rPr>
          <w:rFonts w:hint="eastAsia"/>
          <w:lang w:val="en-US" w:eastAsia="zh-CN"/>
        </w:rPr>
        <w:t>图5.2-2  1000dCOD运移分布</w:t>
      </w:r>
    </w:p>
    <w:p>
      <w:pPr>
        <w:pStyle w:val="29"/>
        <w:bidi w:val="0"/>
        <w:rPr>
          <w:rFonts w:hint="default" w:eastAsia="宋体"/>
          <w:lang w:val="en-US" w:eastAsia="zh-CN"/>
        </w:rPr>
      </w:pPr>
      <w:r>
        <w:drawing>
          <wp:anchor distT="0" distB="0" distL="114300" distR="114300" simplePos="0" relativeHeight="251668480" behindDoc="0" locked="0" layoutInCell="1" allowOverlap="1">
            <wp:simplePos x="0" y="0"/>
            <wp:positionH relativeFrom="column">
              <wp:posOffset>156845</wp:posOffset>
            </wp:positionH>
            <wp:positionV relativeFrom="paragraph">
              <wp:posOffset>111760</wp:posOffset>
            </wp:positionV>
            <wp:extent cx="5765800" cy="3209925"/>
            <wp:effectExtent l="4445" t="4445" r="20955" b="5080"/>
            <wp:wrapTopAndBottom/>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Pr>
          <w:sz w:val="21"/>
        </w:rPr>
        <mc:AlternateContent>
          <mc:Choice Requires="wps">
            <w:drawing>
              <wp:anchor distT="0" distB="0" distL="114300" distR="114300" simplePos="0" relativeHeight="251669504" behindDoc="0" locked="0" layoutInCell="1" allowOverlap="1">
                <wp:simplePos x="0" y="0"/>
                <wp:positionH relativeFrom="column">
                  <wp:posOffset>443230</wp:posOffset>
                </wp:positionH>
                <wp:positionV relativeFrom="paragraph">
                  <wp:posOffset>161290</wp:posOffset>
                </wp:positionV>
                <wp:extent cx="561340" cy="2667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56134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bidi w:val="0"/>
                              <w:rPr>
                                <w:rFonts w:hint="default" w:eastAsia="宋体"/>
                                <w:lang w:val="en-US" w:eastAsia="zh-CN"/>
                              </w:rPr>
                            </w:pPr>
                            <w:r>
                              <w:rPr>
                                <w:rFonts w:hint="eastAsia"/>
                                <w:lang w:val="en-US" w:eastAsia="zh-CN"/>
                              </w:rPr>
                              <w:t>mg/L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pt;margin-top:12.7pt;height:21pt;width:44.2pt;z-index:251669504;mso-width-relative:page;mso-height-relative:page;" filled="f" stroked="f" coordsize="21600,21600" o:gfxdata="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afHW7ZAAAACAEAAA8AAAAAAAAAAQAgAAAAIgAAAGRy&#10;cy9kb3ducmV2LnhtbFBLAQIUABQAAAAIAIdO4kBuNw/gPQIAAGcEAAAOAAAAAAAAAAEAIAAAACgB&#10;AABkcnMvZTJvRG9jLnhtbFBLBQYAAAAABgAGAFkBAADXBQAAAAA=&#10;">
                <v:fill on="f" focussize="0,0"/>
                <v:stroke on="f" weight="0.5pt"/>
                <v:imagedata o:title=""/>
                <o:lock v:ext="edit" aspectratio="f"/>
                <v:textbox>
                  <w:txbxContent>
                    <w:p>
                      <w:pPr>
                        <w:pStyle w:val="30"/>
                        <w:bidi w:val="0"/>
                        <w:rPr>
                          <w:rFonts w:hint="default" w:eastAsia="宋体"/>
                          <w:lang w:val="en-US" w:eastAsia="zh-CN"/>
                        </w:rPr>
                      </w:pPr>
                      <w:r>
                        <w:rPr>
                          <w:rFonts w:hint="eastAsia"/>
                          <w:lang w:val="en-US" w:eastAsia="zh-CN"/>
                        </w:rPr>
                        <w:t>mg/L</w:t>
                      </w:r>
                    </w:p>
                  </w:txbxContent>
                </v:textbox>
              </v:shape>
            </w:pict>
          </mc:Fallback>
        </mc:AlternateContent>
      </w:r>
      <w:r>
        <w:rPr>
          <w:rFonts w:hint="eastAsia"/>
          <w:lang w:val="en-US" w:eastAsia="zh-CN"/>
        </w:rPr>
        <w:t>图5.2-3  3650dCOD运移分布</w:t>
      </w:r>
    </w:p>
    <w:p>
      <w:pPr>
        <w:pStyle w:val="29"/>
        <w:bidi w:val="0"/>
        <w:rPr>
          <w:rFonts w:hint="default" w:eastAsia="宋体"/>
          <w:lang w:val="en-US" w:eastAsia="zh-CN"/>
        </w:rPr>
      </w:pPr>
      <w:r>
        <w:drawing>
          <wp:anchor distT="0" distB="0" distL="114300" distR="114300" simplePos="0" relativeHeight="251670528" behindDoc="0" locked="0" layoutInCell="1" allowOverlap="1">
            <wp:simplePos x="0" y="0"/>
            <wp:positionH relativeFrom="column">
              <wp:posOffset>42545</wp:posOffset>
            </wp:positionH>
            <wp:positionV relativeFrom="paragraph">
              <wp:posOffset>38735</wp:posOffset>
            </wp:positionV>
            <wp:extent cx="5911850" cy="3133090"/>
            <wp:effectExtent l="4445" t="4445" r="8255" b="5715"/>
            <wp:wrapTopAndBottom/>
            <wp:docPr id="2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Pr>
          <w:rFonts w:hint="eastAsia"/>
          <w:lang w:val="en-US" w:eastAsia="zh-CN"/>
        </w:rPr>
        <w:t>图5.2-4  7300dCOD运移分布</w:t>
      </w:r>
    </w:p>
    <w:p>
      <w:pPr>
        <w:spacing w:line="360" w:lineRule="auto"/>
        <w:ind w:firstLine="480" w:firstLineChars="200"/>
        <w:rPr>
          <w:rFonts w:hint="default" w:ascii="Times New Roman" w:hAnsi="Times New Roman" w:cs="Times New Roman"/>
          <w:color w:val="auto"/>
          <w:kern w:val="0"/>
          <w:sz w:val="24"/>
        </w:rPr>
      </w:pP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2</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-N运移预测结果</w:t>
      </w:r>
    </w:p>
    <w:p>
      <w:pPr>
        <w:spacing w:line="360" w:lineRule="auto"/>
        <w:ind w:firstLine="480" w:firstLineChars="200"/>
        <w:rPr>
          <w:rFonts w:hint="default" w:ascii="Times New Roman" w:hAnsi="Times New Roman" w:cs="Times New Roman"/>
          <w:color w:val="FF0000"/>
          <w:kern w:val="0"/>
          <w:sz w:val="24"/>
        </w:rPr>
      </w:pPr>
      <w:r>
        <w:rPr>
          <w:rFonts w:hint="default" w:ascii="Times New Roman" w:hAnsi="Times New Roman" w:cs="Times New Roman"/>
          <w:color w:val="auto"/>
          <w:kern w:val="0"/>
          <w:sz w:val="24"/>
        </w:rPr>
        <w:t>图5.2-</w:t>
      </w:r>
      <w:r>
        <w:rPr>
          <w:rFonts w:hint="eastAsia" w:cs="Times New Roman"/>
          <w:color w:val="auto"/>
          <w:kern w:val="0"/>
          <w:sz w:val="24"/>
          <w:lang w:val="en-US" w:eastAsia="zh-CN"/>
        </w:rPr>
        <w:t>4</w:t>
      </w:r>
      <w:r>
        <w:rPr>
          <w:rFonts w:hint="default" w:ascii="Times New Roman" w:hAnsi="Times New Roman" w:cs="Times New Roman"/>
          <w:color w:val="auto"/>
          <w:kern w:val="0"/>
          <w:sz w:val="24"/>
        </w:rPr>
        <w:t>～5.2-</w:t>
      </w:r>
      <w:r>
        <w:rPr>
          <w:rFonts w:hint="eastAsia"/>
          <w:lang w:val="en-US" w:eastAsia="zh-CN"/>
        </w:rPr>
        <w:t>8</w:t>
      </w:r>
      <w:r>
        <w:rPr>
          <w:rFonts w:hint="default" w:ascii="Times New Roman" w:hAnsi="Times New Roman" w:cs="Times New Roman"/>
          <w:color w:val="auto"/>
          <w:kern w:val="0"/>
          <w:sz w:val="24"/>
        </w:rPr>
        <w:t>分别代表了拟建项目格栅池污染泄漏后100d、1000d、3650d、7300d，非正常状况下泄露的NH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-N对评价区内地下水的影响，在泄漏后的第</w:t>
      </w:r>
      <w:r>
        <w:rPr>
          <w:rFonts w:hint="default" w:ascii="Times New Roman" w:hAnsi="Times New Roman" w:cs="Times New Roman"/>
          <w:color w:val="auto"/>
          <w:kern w:val="0"/>
          <w:sz w:val="24"/>
          <w:lang w:val="en-US" w:eastAsia="zh-CN"/>
        </w:rPr>
        <w:t>180</w:t>
      </w:r>
      <w:r>
        <w:rPr>
          <w:rFonts w:hint="default" w:ascii="Times New Roman" w:hAnsi="Times New Roman" w:cs="Times New Roman"/>
          <w:color w:val="auto"/>
          <w:kern w:val="0"/>
          <w:sz w:val="24"/>
        </w:rPr>
        <w:t>d发现地下水污染，并采取相应的地下水污染阻隔措施。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TimesNewRomanPSMT" w:cs="Times New Roman"/>
          <w:color w:val="auto"/>
          <w:sz w:val="24"/>
        </w:rPr>
        <w:t>100d</w:t>
      </w:r>
      <w:r>
        <w:rPr>
          <w:rFonts w:hint="default" w:ascii="Times New Roman" w:hAnsi="Times New Roman" w:eastAsia="宋体" w:cs="Times New Roman"/>
          <w:color w:val="auto"/>
          <w:sz w:val="24"/>
        </w:rPr>
        <w:t>时，</w:t>
      </w:r>
      <w:r>
        <w:rPr>
          <w:rFonts w:hint="default" w:ascii="Times New Roman" w:hAnsi="Times New Roman" w:cs="Times New Roman"/>
          <w:color w:val="auto"/>
          <w:kern w:val="0"/>
          <w:sz w:val="24"/>
        </w:rPr>
        <w:t>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-N</w:t>
      </w:r>
      <w:r>
        <w:rPr>
          <w:rFonts w:hint="default" w:ascii="Times New Roman" w:hAnsi="Times New Roman" w:eastAsia="宋体" w:cs="Times New Roman"/>
          <w:color w:val="auto"/>
          <w:sz w:val="24"/>
        </w:rPr>
        <w:t>预测的最大值为</w:t>
      </w:r>
      <w:r>
        <w:rPr>
          <w:rFonts w:hint="eastAsia" w:ascii="Times New Roman" w:hAnsi="Times New Roman" w:cs="Times New Roman"/>
          <w:color w:val="auto"/>
          <w:sz w:val="24"/>
          <w:lang w:val="en-US" w:eastAsia="zh-CN"/>
        </w:rPr>
        <w:t>112</w:t>
      </w:r>
      <w:r>
        <w:rPr>
          <w:rFonts w:hint="default" w:ascii="Times New Roman" w:hAnsi="Times New Roman" w:eastAsia="TimesNewRomanPSMT" w:cs="Times New Roman"/>
          <w:color w:val="auto"/>
          <w:sz w:val="24"/>
        </w:rPr>
        <w:t>mg/l</w:t>
      </w:r>
      <w:r>
        <w:rPr>
          <w:rFonts w:hint="default" w:ascii="Times New Roman" w:hAnsi="Times New Roman" w:eastAsia="宋体" w:cs="Times New Roman"/>
          <w:color w:val="auto"/>
          <w:sz w:val="24"/>
        </w:rPr>
        <w:t>，位于地下水流向下游</w:t>
      </w:r>
      <w:r>
        <w:rPr>
          <w:rFonts w:hint="default" w:ascii="Times New Roman" w:hAnsi="Times New Roman" w:eastAsia="TimesNewRomanPSMT" w:cs="Times New Roman"/>
          <w:color w:val="auto"/>
          <w:sz w:val="24"/>
        </w:rPr>
        <w:t>1m</w:t>
      </w:r>
      <w:r>
        <w:rPr>
          <w:rFonts w:hint="default" w:ascii="Times New Roman" w:hAnsi="Times New Roman" w:eastAsia="宋体" w:cs="Times New Roman"/>
          <w:color w:val="auto"/>
          <w:sz w:val="24"/>
          <w:lang w:val="en-US" w:eastAsia="zh-CN"/>
        </w:rPr>
        <w:t>内</w:t>
      </w:r>
      <w:r>
        <w:rPr>
          <w:rFonts w:hint="default" w:ascii="Times New Roman" w:hAnsi="Times New Roman" w:eastAsia="宋体" w:cs="Times New Roman"/>
          <w:color w:val="auto"/>
          <w:sz w:val="24"/>
        </w:rPr>
        <w:t>，预测超标距离最远为</w:t>
      </w:r>
      <w:r>
        <w:rPr>
          <w:rFonts w:hint="eastAsia" w:ascii="Times New Roman" w:hAnsi="Times New Roman" w:cs="Times New Roman"/>
          <w:color w:val="auto"/>
          <w:sz w:val="24"/>
          <w:lang w:val="en-US" w:eastAsia="zh-CN"/>
        </w:rPr>
        <w:t>24</w:t>
      </w:r>
      <w:r>
        <w:rPr>
          <w:rFonts w:hint="default" w:ascii="Times New Roman" w:hAnsi="Times New Roman" w:eastAsia="TimesNewRomanPSMT" w:cs="Times New Roman"/>
          <w:color w:val="auto"/>
          <w:sz w:val="24"/>
        </w:rPr>
        <w:t>m</w:t>
      </w:r>
      <w:r>
        <w:rPr>
          <w:rFonts w:hint="default" w:ascii="Times New Roman" w:hAnsi="Times New Roman" w:eastAsia="宋体" w:cs="Times New Roman"/>
          <w:color w:val="auto"/>
          <w:sz w:val="24"/>
        </w:rPr>
        <w:t>；影响距离最远为</w:t>
      </w:r>
      <w:r>
        <w:rPr>
          <w:rFonts w:hint="eastAsia" w:ascii="Times New Roman" w:hAnsi="Times New Roman" w:cs="Times New Roman"/>
          <w:color w:val="auto"/>
          <w:sz w:val="24"/>
          <w:lang w:val="en-US" w:eastAsia="zh-CN"/>
        </w:rPr>
        <w:t>31</w:t>
      </w:r>
      <w:r>
        <w:rPr>
          <w:rFonts w:hint="default" w:ascii="Times New Roman" w:hAnsi="Times New Roman" w:eastAsia="TimesNewRomanPSMT" w:cs="Times New Roman"/>
          <w:color w:val="auto"/>
          <w:sz w:val="24"/>
        </w:rPr>
        <w:t>m</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TimesNewRomanPSMT" w:cs="Times New Roman"/>
          <w:color w:val="auto"/>
          <w:sz w:val="24"/>
          <w:highlight w:val="none"/>
        </w:rPr>
        <w:t>1000</w:t>
      </w:r>
      <w:r>
        <w:rPr>
          <w:rFonts w:hint="default" w:ascii="Times New Roman" w:hAnsi="Times New Roman" w:eastAsia="宋体" w:cs="Times New Roman"/>
          <w:color w:val="auto"/>
          <w:sz w:val="24"/>
          <w:highlight w:val="none"/>
        </w:rPr>
        <w:t>天时，</w:t>
      </w:r>
      <w:r>
        <w:rPr>
          <w:rFonts w:hint="default" w:ascii="Times New Roman" w:hAnsi="Times New Roman" w:cs="Times New Roman"/>
          <w:color w:val="auto"/>
          <w:kern w:val="0"/>
          <w:sz w:val="24"/>
        </w:rPr>
        <w:t>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-N</w:t>
      </w:r>
      <w:r>
        <w:rPr>
          <w:rFonts w:hint="default" w:ascii="Times New Roman" w:hAnsi="Times New Roman" w:eastAsia="宋体" w:cs="Times New Roman"/>
          <w:color w:val="auto"/>
          <w:sz w:val="24"/>
          <w:highlight w:val="none"/>
        </w:rPr>
        <w:t>预测的最大值为</w:t>
      </w:r>
      <w:r>
        <w:rPr>
          <w:rFonts w:hint="eastAsia" w:ascii="Times New Roman" w:hAnsi="Times New Roman" w:cs="Times New Roman"/>
          <w:color w:val="auto"/>
          <w:sz w:val="24"/>
          <w:highlight w:val="none"/>
          <w:lang w:val="en-US" w:eastAsia="zh-CN"/>
        </w:rPr>
        <w:t>12</w:t>
      </w:r>
      <w:r>
        <w:rPr>
          <w:rFonts w:hint="default" w:ascii="Times New Roman" w:hAnsi="Times New Roman" w:eastAsia="TimesNewRomanPSMT" w:cs="Times New Roman"/>
          <w:color w:val="auto"/>
          <w:sz w:val="24"/>
          <w:highlight w:val="none"/>
        </w:rPr>
        <w:t>mg/l</w:t>
      </w:r>
      <w:r>
        <w:rPr>
          <w:rFonts w:hint="default" w:ascii="Times New Roman" w:hAnsi="Times New Roman" w:eastAsia="宋体" w:cs="Times New Roman"/>
          <w:color w:val="auto"/>
          <w:sz w:val="24"/>
          <w:highlight w:val="none"/>
        </w:rPr>
        <w:t>，位于地下水流向下游</w:t>
      </w:r>
      <w:r>
        <w:rPr>
          <w:rFonts w:hint="eastAsia" w:ascii="Times New Roman" w:hAnsi="Times New Roman" w:cs="Times New Roman"/>
          <w:color w:val="auto"/>
          <w:sz w:val="24"/>
          <w:highlight w:val="none"/>
          <w:lang w:val="en-US" w:eastAsia="zh-CN"/>
        </w:rPr>
        <w:t>35</w:t>
      </w:r>
      <w:r>
        <w:rPr>
          <w:rFonts w:hint="default" w:ascii="Times New Roman" w:hAnsi="Times New Roman" w:eastAsia="TimesNewRomanPSMT" w:cs="Times New Roman"/>
          <w:color w:val="auto"/>
          <w:sz w:val="24"/>
          <w:highlight w:val="none"/>
        </w:rPr>
        <w:t>m</w:t>
      </w:r>
      <w:r>
        <w:rPr>
          <w:rFonts w:hint="default" w:ascii="Times New Roman" w:hAnsi="Times New Roman" w:eastAsia="宋体" w:cs="Times New Roman"/>
          <w:color w:val="auto"/>
          <w:sz w:val="24"/>
          <w:lang w:val="en-US" w:eastAsia="zh-CN"/>
        </w:rPr>
        <w:t>内</w:t>
      </w:r>
      <w:r>
        <w:rPr>
          <w:rFonts w:hint="default" w:ascii="Times New Roman" w:hAnsi="Times New Roman" w:eastAsia="宋体" w:cs="Times New Roman"/>
          <w:color w:val="auto"/>
          <w:sz w:val="24"/>
          <w:highlight w:val="none"/>
        </w:rPr>
        <w:t>，预测超标距离最远为</w:t>
      </w:r>
      <w:r>
        <w:rPr>
          <w:rFonts w:hint="eastAsia" w:ascii="Times New Roman" w:hAnsi="Times New Roman" w:cs="Times New Roman"/>
          <w:color w:val="auto"/>
          <w:sz w:val="24"/>
          <w:highlight w:val="none"/>
          <w:lang w:val="en-US" w:eastAsia="zh-CN"/>
        </w:rPr>
        <w:t>90</w:t>
      </w:r>
      <w:r>
        <w:rPr>
          <w:rFonts w:hint="default" w:ascii="Times New Roman" w:hAnsi="Times New Roman" w:eastAsia="TimesNewRomanPSMT" w:cs="Times New Roman"/>
          <w:color w:val="auto"/>
          <w:sz w:val="24"/>
          <w:highlight w:val="none"/>
        </w:rPr>
        <w:t>m</w:t>
      </w:r>
      <w:r>
        <w:rPr>
          <w:rFonts w:hint="default" w:ascii="Times New Roman" w:hAnsi="Times New Roman" w:eastAsia="宋体" w:cs="Times New Roman"/>
          <w:color w:val="auto"/>
          <w:sz w:val="24"/>
          <w:highlight w:val="none"/>
        </w:rPr>
        <w:t>，影响距离最远为</w:t>
      </w:r>
      <w:r>
        <w:rPr>
          <w:rFonts w:hint="eastAsia" w:ascii="Times New Roman" w:hAnsi="Times New Roman" w:cs="Times New Roman"/>
          <w:color w:val="auto"/>
          <w:sz w:val="24"/>
          <w:highlight w:val="none"/>
          <w:lang w:val="en-US" w:eastAsia="zh-CN"/>
        </w:rPr>
        <w:t>114</w:t>
      </w:r>
      <w:r>
        <w:rPr>
          <w:rFonts w:hint="default" w:ascii="Times New Roman" w:hAnsi="Times New Roman" w:eastAsia="TimesNewRomanPSMT" w:cs="Times New Roman"/>
          <w:color w:val="auto"/>
          <w:sz w:val="24"/>
          <w:highlight w:val="none"/>
        </w:rPr>
        <w:t>m</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TimesNewRomanPSMT" w:cs="Times New Roman"/>
          <w:color w:val="auto"/>
          <w:sz w:val="24"/>
          <w:highlight w:val="none"/>
        </w:rPr>
        <w:t>3650</w:t>
      </w:r>
      <w:r>
        <w:rPr>
          <w:rFonts w:hint="default" w:ascii="Times New Roman" w:hAnsi="Times New Roman" w:eastAsia="宋体" w:cs="Times New Roman"/>
          <w:color w:val="auto"/>
          <w:sz w:val="24"/>
          <w:highlight w:val="none"/>
        </w:rPr>
        <w:t>天时，</w:t>
      </w:r>
      <w:r>
        <w:rPr>
          <w:rFonts w:hint="default" w:ascii="Times New Roman" w:hAnsi="Times New Roman" w:cs="Times New Roman"/>
          <w:color w:val="auto"/>
          <w:kern w:val="0"/>
          <w:sz w:val="24"/>
        </w:rPr>
        <w:t>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-N</w:t>
      </w:r>
      <w:r>
        <w:rPr>
          <w:rFonts w:hint="default" w:ascii="Times New Roman" w:hAnsi="Times New Roman" w:eastAsia="宋体" w:cs="Times New Roman"/>
          <w:color w:val="auto"/>
          <w:sz w:val="24"/>
          <w:highlight w:val="none"/>
        </w:rPr>
        <w:t>预测的最大值为</w:t>
      </w:r>
      <w:r>
        <w:rPr>
          <w:rFonts w:hint="eastAsia" w:ascii="Times New Roman" w:hAnsi="Times New Roman" w:cs="Times New Roman"/>
          <w:color w:val="auto"/>
          <w:sz w:val="24"/>
          <w:highlight w:val="none"/>
          <w:lang w:val="en-US" w:eastAsia="zh-CN"/>
        </w:rPr>
        <w:t>5.6</w:t>
      </w:r>
      <w:r>
        <w:rPr>
          <w:rFonts w:hint="default" w:ascii="Times New Roman" w:hAnsi="Times New Roman" w:eastAsia="TimesNewRomanPSMT" w:cs="Times New Roman"/>
          <w:color w:val="auto"/>
          <w:sz w:val="24"/>
          <w:highlight w:val="none"/>
        </w:rPr>
        <w:t>mg/l</w:t>
      </w:r>
      <w:r>
        <w:rPr>
          <w:rFonts w:hint="default" w:ascii="Times New Roman" w:hAnsi="Times New Roman" w:eastAsia="宋体" w:cs="Times New Roman"/>
          <w:color w:val="auto"/>
          <w:sz w:val="24"/>
          <w:highlight w:val="none"/>
        </w:rPr>
        <w:t>，位于地下水流向下游</w:t>
      </w:r>
      <w:r>
        <w:rPr>
          <w:rFonts w:hint="eastAsia" w:ascii="Times New Roman" w:hAnsi="Times New Roman" w:cs="Times New Roman"/>
          <w:color w:val="auto"/>
          <w:sz w:val="24"/>
          <w:highlight w:val="none"/>
          <w:lang w:val="en-US" w:eastAsia="zh-CN"/>
        </w:rPr>
        <w:t>112</w:t>
      </w:r>
      <w:r>
        <w:rPr>
          <w:rFonts w:hint="default" w:ascii="Times New Roman" w:hAnsi="Times New Roman" w:eastAsia="TimesNewRomanPSMT" w:cs="Times New Roman"/>
          <w:color w:val="auto"/>
          <w:sz w:val="24"/>
          <w:highlight w:val="none"/>
        </w:rPr>
        <w:t>m</w:t>
      </w:r>
      <w:r>
        <w:rPr>
          <w:rFonts w:hint="default" w:ascii="Times New Roman" w:hAnsi="Times New Roman" w:eastAsia="宋体" w:cs="Times New Roman"/>
          <w:color w:val="auto"/>
          <w:sz w:val="24"/>
          <w:highlight w:val="none"/>
        </w:rPr>
        <w:t>，预测超标距离最远为</w:t>
      </w:r>
      <w:r>
        <w:rPr>
          <w:rFonts w:hint="eastAsia" w:ascii="Times New Roman" w:hAnsi="Times New Roman" w:cs="Times New Roman"/>
          <w:color w:val="auto"/>
          <w:sz w:val="24"/>
          <w:highlight w:val="none"/>
          <w:lang w:val="en-US" w:eastAsia="zh-CN"/>
        </w:rPr>
        <w:t>210</w:t>
      </w:r>
      <w:r>
        <w:rPr>
          <w:rFonts w:hint="default" w:ascii="Times New Roman" w:hAnsi="Times New Roman" w:eastAsia="TimesNewRomanPSMT" w:cs="Times New Roman"/>
          <w:color w:val="auto"/>
          <w:sz w:val="24"/>
          <w:highlight w:val="none"/>
        </w:rPr>
        <w:t>m</w:t>
      </w:r>
      <w:r>
        <w:rPr>
          <w:rFonts w:hint="default" w:ascii="Times New Roman" w:hAnsi="Times New Roman" w:eastAsia="宋体" w:cs="Times New Roman"/>
          <w:color w:val="auto"/>
          <w:sz w:val="24"/>
          <w:highlight w:val="none"/>
        </w:rPr>
        <w:t>；影响距离最远为</w:t>
      </w:r>
      <w:r>
        <w:rPr>
          <w:rFonts w:hint="eastAsia" w:ascii="Times New Roman" w:hAnsi="Times New Roman" w:cs="Times New Roman"/>
          <w:color w:val="auto"/>
          <w:sz w:val="24"/>
          <w:highlight w:val="none"/>
          <w:lang w:val="en-US" w:eastAsia="zh-CN"/>
        </w:rPr>
        <w:t>262</w:t>
      </w:r>
      <w:r>
        <w:rPr>
          <w:rFonts w:hint="default" w:ascii="Times New Roman" w:hAnsi="Times New Roman" w:eastAsia="TimesNewRomanPSMT" w:cs="Times New Roman"/>
          <w:color w:val="auto"/>
          <w:sz w:val="24"/>
          <w:highlight w:val="none"/>
        </w:rPr>
        <w:t>m</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eastAsia="TimesNewRomanPSMT" w:cs="Times New Roman"/>
          <w:color w:val="auto"/>
          <w:sz w:val="24"/>
          <w:highlight w:val="none"/>
        </w:rPr>
        <w:t>7300</w:t>
      </w:r>
      <w:r>
        <w:rPr>
          <w:rFonts w:hint="default" w:ascii="Times New Roman" w:hAnsi="Times New Roman" w:eastAsia="宋体" w:cs="Times New Roman"/>
          <w:color w:val="auto"/>
          <w:sz w:val="24"/>
          <w:highlight w:val="none"/>
        </w:rPr>
        <w:t>天时，</w:t>
      </w:r>
      <w:r>
        <w:rPr>
          <w:rFonts w:hint="default" w:ascii="Times New Roman" w:hAnsi="Times New Roman" w:cs="Times New Roman"/>
          <w:color w:val="auto"/>
          <w:kern w:val="0"/>
          <w:sz w:val="24"/>
        </w:rPr>
        <w:t>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-N</w:t>
      </w:r>
      <w:r>
        <w:rPr>
          <w:rFonts w:hint="default" w:ascii="Times New Roman" w:hAnsi="Times New Roman" w:eastAsia="宋体" w:cs="Times New Roman"/>
          <w:color w:val="auto"/>
          <w:sz w:val="24"/>
          <w:highlight w:val="none"/>
        </w:rPr>
        <w:t>预测的最大值为</w:t>
      </w:r>
      <w:r>
        <w:rPr>
          <w:rFonts w:hint="eastAsia" w:ascii="Times New Roman" w:hAnsi="Times New Roman" w:cs="Times New Roman"/>
          <w:color w:val="auto"/>
          <w:sz w:val="24"/>
          <w:highlight w:val="none"/>
          <w:lang w:val="en-US" w:eastAsia="zh-CN"/>
        </w:rPr>
        <w:t>3.9</w:t>
      </w:r>
      <w:r>
        <w:rPr>
          <w:rFonts w:hint="default" w:ascii="Times New Roman" w:hAnsi="Times New Roman" w:eastAsia="TimesNewRomanPSMT" w:cs="Times New Roman"/>
          <w:color w:val="auto"/>
          <w:sz w:val="24"/>
          <w:highlight w:val="none"/>
        </w:rPr>
        <w:t>mg/l</w:t>
      </w:r>
      <w:r>
        <w:rPr>
          <w:rFonts w:hint="default" w:ascii="Times New Roman" w:hAnsi="Times New Roman" w:eastAsia="宋体" w:cs="Times New Roman"/>
          <w:color w:val="auto"/>
          <w:sz w:val="24"/>
          <w:highlight w:val="none"/>
        </w:rPr>
        <w:t>，位于地下水流向下游</w:t>
      </w:r>
      <w:r>
        <w:rPr>
          <w:rFonts w:hint="eastAsia" w:ascii="Times New Roman" w:hAnsi="Times New Roman" w:eastAsia="宋体" w:cs="Times New Roman"/>
          <w:color w:val="auto"/>
          <w:sz w:val="24"/>
          <w:highlight w:val="none"/>
          <w:lang w:val="en-US" w:eastAsia="zh-CN"/>
        </w:rPr>
        <w:t>217</w:t>
      </w:r>
      <w:r>
        <w:rPr>
          <w:rFonts w:hint="default" w:ascii="Times New Roman" w:hAnsi="Times New Roman" w:eastAsia="TimesNewRomanPSMT" w:cs="Times New Roman"/>
          <w:color w:val="auto"/>
          <w:sz w:val="24"/>
          <w:highlight w:val="none"/>
        </w:rPr>
        <w:t>m</w:t>
      </w:r>
      <w:r>
        <w:rPr>
          <w:rFonts w:hint="default" w:ascii="Times New Roman" w:hAnsi="Times New Roman" w:eastAsia="宋体" w:cs="Times New Roman"/>
          <w:color w:val="auto"/>
          <w:sz w:val="24"/>
          <w:highlight w:val="none"/>
        </w:rPr>
        <w:t>，预测超标距离最远为</w:t>
      </w:r>
      <w:r>
        <w:rPr>
          <w:rFonts w:hint="eastAsia" w:ascii="Times New Roman" w:hAnsi="Times New Roman" w:cs="Times New Roman"/>
          <w:color w:val="auto"/>
          <w:sz w:val="24"/>
          <w:highlight w:val="none"/>
          <w:lang w:val="en-US" w:eastAsia="zh-CN"/>
        </w:rPr>
        <w:t>346</w:t>
      </w:r>
      <w:r>
        <w:rPr>
          <w:rFonts w:hint="default" w:ascii="Times New Roman" w:hAnsi="Times New Roman" w:eastAsia="TimesNewRomanPSMT" w:cs="Times New Roman"/>
          <w:color w:val="auto"/>
          <w:sz w:val="24"/>
          <w:highlight w:val="none"/>
        </w:rPr>
        <w:t>m</w:t>
      </w:r>
      <w:r>
        <w:rPr>
          <w:rFonts w:hint="default" w:ascii="Times New Roman" w:hAnsi="Times New Roman" w:eastAsia="宋体" w:cs="Times New Roman"/>
          <w:color w:val="auto"/>
          <w:sz w:val="24"/>
          <w:highlight w:val="none"/>
        </w:rPr>
        <w:t>；影响距离最远为</w:t>
      </w:r>
      <w:r>
        <w:rPr>
          <w:rFonts w:hint="eastAsia" w:ascii="Times New Roman" w:hAnsi="Times New Roman" w:cs="Times New Roman"/>
          <w:color w:val="auto"/>
          <w:sz w:val="24"/>
          <w:highlight w:val="none"/>
          <w:lang w:val="en-US" w:eastAsia="zh-CN"/>
        </w:rPr>
        <w:t>424</w:t>
      </w:r>
      <w:r>
        <w:rPr>
          <w:rFonts w:hint="default" w:ascii="Times New Roman" w:hAnsi="Times New Roman" w:eastAsia="TimesNewRomanPSMT" w:cs="Times New Roman"/>
          <w:color w:val="auto"/>
          <w:sz w:val="24"/>
          <w:highlight w:val="none"/>
        </w:rPr>
        <w:t>m</w:t>
      </w:r>
      <w:r>
        <w:rPr>
          <w:rFonts w:hint="default" w:ascii="Times New Roman" w:hAnsi="Times New Roman" w:eastAsia="宋体" w:cs="Times New Roman"/>
          <w:color w:val="auto"/>
          <w:sz w:val="24"/>
          <w:highlight w:val="none"/>
        </w:rPr>
        <w:t>。</w:t>
      </w:r>
    </w:p>
    <w:p>
      <w:pPr>
        <w:bidi w:val="0"/>
      </w:pPr>
      <w:r>
        <w:rPr>
          <w:rFonts w:hint="default" w:ascii="Times New Roman" w:hAnsi="Times New Roman" w:cs="Times New Roman"/>
          <w:color w:val="auto"/>
          <w:kern w:val="0"/>
          <w:sz w:val="24"/>
        </w:rPr>
        <w:t>综上所述，本项目NH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-N进水浓度为</w:t>
      </w:r>
      <w:r>
        <w:rPr>
          <w:rFonts w:hint="eastAsia" w:cs="Times New Roman"/>
          <w:color w:val="auto"/>
          <w:kern w:val="0"/>
          <w:sz w:val="24"/>
          <w:lang w:val="en-US" w:eastAsia="zh-CN"/>
        </w:rPr>
        <w:t>154</w:t>
      </w:r>
      <w:r>
        <w:rPr>
          <w:rFonts w:hint="default" w:ascii="Times New Roman" w:hAnsi="Times New Roman" w:cs="Times New Roman"/>
          <w:color w:val="auto"/>
          <w:kern w:val="0"/>
          <w:sz w:val="24"/>
        </w:rPr>
        <w:t>mg/L（超过《地下水质量标准》（GB</w:t>
      </w:r>
      <w:r>
        <w:rPr>
          <w:rFonts w:hint="eastAsia" w:ascii="Times New Roman" w:hAnsi="Times New Roman" w:cs="Times New Roman"/>
          <w:color w:val="auto"/>
          <w:kern w:val="0"/>
          <w:sz w:val="24"/>
          <w:lang w:val="en-US" w:eastAsia="zh-CN"/>
        </w:rPr>
        <w:t xml:space="preserve"> </w:t>
      </w:r>
      <w:r>
        <w:rPr>
          <w:rFonts w:hint="default" w:ascii="Times New Roman" w:hAnsi="Times New Roman" w:cs="Times New Roman"/>
          <w:color w:val="auto"/>
          <w:kern w:val="0"/>
          <w:sz w:val="24"/>
        </w:rPr>
        <w:t>14848-2017）Ⅲ类标准（0.5mg/L）），随着时间的推移，污染物的范围不断增大最终减小；污染物的最大污染浓度值随时间也呈先增大后减小。非正常状况，格栅池废水渗漏的10</w:t>
      </w:r>
      <w:r>
        <w:rPr>
          <w:rFonts w:hint="default" w:ascii="Times New Roman" w:hAnsi="Times New Roman" w:cs="Times New Roman"/>
          <w:color w:val="auto"/>
          <w:kern w:val="0"/>
          <w:sz w:val="24"/>
          <w:lang w:val="en-US" w:eastAsia="zh-CN"/>
        </w:rPr>
        <w:t>0</w:t>
      </w:r>
      <w:r>
        <w:rPr>
          <w:rFonts w:hint="default" w:ascii="Times New Roman" w:hAnsi="Times New Roman" w:cs="Times New Roman"/>
          <w:color w:val="auto"/>
          <w:kern w:val="0"/>
          <w:sz w:val="24"/>
        </w:rPr>
        <w:t>0d</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3650d、7300d</w:t>
      </w:r>
      <w:r>
        <w:rPr>
          <w:rFonts w:hint="default" w:ascii="Times New Roman" w:hAnsi="Times New Roman" w:cs="Times New Roman"/>
          <w:color w:val="auto"/>
          <w:kern w:val="0"/>
          <w:sz w:val="24"/>
        </w:rPr>
        <w:t>地下水NH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-N不能够满足《地下水质量标准》（GB</w:t>
      </w:r>
      <w:r>
        <w:rPr>
          <w:rFonts w:hint="eastAsia" w:ascii="Times New Roman" w:hAnsi="Times New Roman" w:cs="Times New Roman"/>
          <w:color w:val="auto"/>
          <w:kern w:val="0"/>
          <w:sz w:val="24"/>
          <w:lang w:val="en-US" w:eastAsia="zh-CN"/>
        </w:rPr>
        <w:t xml:space="preserve"> </w:t>
      </w:r>
      <w:r>
        <w:rPr>
          <w:rFonts w:hint="default" w:ascii="Times New Roman" w:hAnsi="Times New Roman" w:cs="Times New Roman"/>
          <w:color w:val="auto"/>
          <w:kern w:val="0"/>
          <w:sz w:val="24"/>
        </w:rPr>
        <w:t>14848-2017）Ⅲ类标准，经计算最远超标距离</w:t>
      </w:r>
      <w:r>
        <w:rPr>
          <w:rFonts w:hint="eastAsia" w:ascii="Times New Roman" w:hAnsi="Times New Roman" w:cs="Times New Roman"/>
          <w:color w:val="auto"/>
          <w:kern w:val="0"/>
          <w:sz w:val="24"/>
          <w:lang w:val="en-US" w:eastAsia="zh-CN"/>
        </w:rPr>
        <w:t>分别</w:t>
      </w:r>
      <w:r>
        <w:rPr>
          <w:rFonts w:hint="default" w:ascii="Times New Roman" w:hAnsi="Times New Roman" w:cs="Times New Roman"/>
          <w:color w:val="auto"/>
          <w:kern w:val="0"/>
          <w:sz w:val="24"/>
        </w:rPr>
        <w:t>为</w:t>
      </w:r>
      <w:r>
        <w:rPr>
          <w:rFonts w:hint="eastAsia" w:ascii="Times New Roman" w:hAnsi="Times New Roman" w:cs="Times New Roman"/>
          <w:color w:val="auto"/>
          <w:kern w:val="0"/>
          <w:sz w:val="24"/>
          <w:lang w:val="en-US" w:eastAsia="zh-CN"/>
        </w:rPr>
        <w:t>90</w:t>
      </w:r>
      <w:r>
        <w:rPr>
          <w:rFonts w:hint="default" w:ascii="Times New Roman" w:hAnsi="Times New Roman" w:cs="Times New Roman"/>
          <w:color w:val="auto"/>
          <w:kern w:val="0"/>
          <w:sz w:val="24"/>
        </w:rPr>
        <w:t>m</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210m、346m</w:t>
      </w:r>
      <w:r>
        <w:rPr>
          <w:rFonts w:hint="default" w:ascii="Times New Roman" w:hAnsi="Times New Roman" w:cs="Times New Roman"/>
          <w:color w:val="auto"/>
          <w:kern w:val="0"/>
          <w:sz w:val="24"/>
        </w:rPr>
        <w:t>，在超标范围内无居民水井分布。</w:t>
      </w:r>
      <w:r>
        <w:rPr>
          <w:rFonts w:hint="eastAsia" w:ascii="Times New Roman" w:hAnsi="Times New Roman" w:cs="Times New Roman"/>
          <w:color w:val="auto"/>
          <w:kern w:val="0"/>
          <w:sz w:val="24"/>
          <w:lang w:val="en-US" w:eastAsia="zh-CN"/>
        </w:rPr>
        <w:t>因此</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对地下水影响较小。</w:t>
      </w:r>
    </w:p>
    <w:p>
      <w:pPr>
        <w:pStyle w:val="29"/>
        <w:bidi w:val="0"/>
      </w:pPr>
      <w:r>
        <w:drawing>
          <wp:inline distT="0" distB="0" distL="114300" distR="114300">
            <wp:extent cx="5472430" cy="3113405"/>
            <wp:effectExtent l="4445" t="5080" r="9525" b="5715"/>
            <wp:docPr id="3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29"/>
        <w:bidi w:val="0"/>
        <w:rPr>
          <w:rFonts w:hint="eastAsia"/>
          <w:lang w:val="en-US" w:eastAsia="zh-CN"/>
        </w:rPr>
      </w:pPr>
      <w:r>
        <w:rPr>
          <w:rFonts w:hint="eastAsia"/>
          <w:lang w:val="en-US" w:eastAsia="zh-CN"/>
        </w:rPr>
        <w:t>图5.2-5  100dNH</w:t>
      </w:r>
      <w:r>
        <w:rPr>
          <w:rFonts w:hint="eastAsia"/>
          <w:vertAlign w:val="subscript"/>
          <w:lang w:val="en-US" w:eastAsia="zh-CN"/>
        </w:rPr>
        <w:t>3</w:t>
      </w:r>
      <w:r>
        <w:rPr>
          <w:rFonts w:hint="eastAsia"/>
          <w:vertAlign w:val="baseline"/>
          <w:lang w:val="en-US" w:eastAsia="zh-CN"/>
        </w:rPr>
        <w:t>-N</w:t>
      </w:r>
      <w:r>
        <w:rPr>
          <w:rFonts w:hint="eastAsia"/>
          <w:lang w:val="en-US" w:eastAsia="zh-CN"/>
        </w:rPr>
        <w:t>运移分布</w:t>
      </w:r>
    </w:p>
    <w:p>
      <w:pPr>
        <w:pStyle w:val="30"/>
        <w:rPr>
          <w:rFonts w:hint="eastAsia"/>
          <w:lang w:val="en-US" w:eastAsia="zh-CN"/>
        </w:rPr>
      </w:pPr>
    </w:p>
    <w:p>
      <w:pPr>
        <w:pStyle w:val="30"/>
        <w:rPr>
          <w:rFonts w:hint="eastAsia"/>
          <w:lang w:val="en-US" w:eastAsia="zh-CN"/>
        </w:rPr>
      </w:pPr>
    </w:p>
    <w:p>
      <w:pPr>
        <w:pStyle w:val="30"/>
        <w:rPr>
          <w:rFonts w:hint="eastAsia"/>
          <w:lang w:val="en-US" w:eastAsia="zh-CN"/>
        </w:rPr>
      </w:pPr>
    </w:p>
    <w:p>
      <w:pPr>
        <w:pStyle w:val="30"/>
      </w:pPr>
      <w:r>
        <w:drawing>
          <wp:inline distT="0" distB="0" distL="114300" distR="114300">
            <wp:extent cx="5424805" cy="3117850"/>
            <wp:effectExtent l="4445" t="4445" r="19050" b="20955"/>
            <wp:docPr id="4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29"/>
        <w:bidi w:val="0"/>
        <w:rPr>
          <w:rFonts w:hint="eastAsia"/>
          <w:color w:val="auto"/>
          <w:kern w:val="0"/>
          <w:sz w:val="24"/>
          <w:lang w:eastAsia="zh-CN"/>
        </w:rPr>
      </w:pPr>
      <w:r>
        <w:rPr>
          <w:rFonts w:hint="eastAsia"/>
          <w:lang w:val="en-US" w:eastAsia="zh-CN"/>
        </w:rPr>
        <w:t>图5.2-6  1000dNH</w:t>
      </w:r>
      <w:r>
        <w:rPr>
          <w:rFonts w:hint="eastAsia"/>
          <w:vertAlign w:val="subscript"/>
          <w:lang w:val="en-US" w:eastAsia="zh-CN"/>
        </w:rPr>
        <w:t>3</w:t>
      </w:r>
      <w:r>
        <w:rPr>
          <w:rFonts w:hint="eastAsia"/>
          <w:vertAlign w:val="baseline"/>
          <w:lang w:val="en-US" w:eastAsia="zh-CN"/>
        </w:rPr>
        <w:t>-N</w:t>
      </w:r>
      <w:r>
        <w:rPr>
          <w:rFonts w:hint="eastAsia"/>
          <w:lang w:val="en-US" w:eastAsia="zh-CN"/>
        </w:rPr>
        <w:t>运移分布</w:t>
      </w:r>
    </w:p>
    <w:p>
      <w:pPr>
        <w:spacing w:line="360" w:lineRule="auto"/>
        <w:ind w:firstLine="480" w:firstLineChars="200"/>
        <w:jc w:val="center"/>
        <w:rPr>
          <w:rFonts w:hint="eastAsia"/>
          <w:color w:val="auto"/>
          <w:kern w:val="0"/>
          <w:sz w:val="24"/>
          <w:lang w:eastAsia="zh-CN"/>
        </w:rPr>
      </w:pPr>
      <w:r>
        <w:drawing>
          <wp:inline distT="0" distB="0" distL="114300" distR="114300">
            <wp:extent cx="5415915" cy="3114675"/>
            <wp:effectExtent l="0" t="0" r="13335" b="9525"/>
            <wp:docPr id="4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29"/>
        <w:bidi w:val="0"/>
        <w:rPr>
          <w:rFonts w:hint="eastAsia"/>
          <w:lang w:val="en-US" w:eastAsia="zh-CN"/>
        </w:rPr>
      </w:pPr>
      <w:r>
        <w:rPr>
          <w:rFonts w:hint="eastAsia"/>
          <w:lang w:val="en-US" w:eastAsia="zh-CN"/>
        </w:rPr>
        <w:t>图5.2-7  3650dNH</w:t>
      </w:r>
      <w:r>
        <w:rPr>
          <w:rFonts w:hint="eastAsia"/>
          <w:vertAlign w:val="subscript"/>
          <w:lang w:val="en-US" w:eastAsia="zh-CN"/>
        </w:rPr>
        <w:t>3</w:t>
      </w:r>
      <w:r>
        <w:rPr>
          <w:rFonts w:hint="eastAsia"/>
          <w:vertAlign w:val="baseline"/>
          <w:lang w:val="en-US" w:eastAsia="zh-CN"/>
        </w:rPr>
        <w:t>-N</w:t>
      </w:r>
      <w:r>
        <w:rPr>
          <w:rFonts w:hint="eastAsia"/>
          <w:lang w:val="en-US" w:eastAsia="zh-CN"/>
        </w:rPr>
        <w:t>运移分布</w:t>
      </w:r>
    </w:p>
    <w:p>
      <w:pPr>
        <w:pStyle w:val="30"/>
        <w:rPr>
          <w:rFonts w:hint="default"/>
          <w:lang w:val="en-US" w:eastAsia="zh-CN"/>
        </w:rPr>
      </w:pPr>
      <w:r>
        <w:drawing>
          <wp:inline distT="0" distB="0" distL="114300" distR="114300">
            <wp:extent cx="5358765" cy="2838450"/>
            <wp:effectExtent l="4445" t="4445" r="8890" b="14605"/>
            <wp:docPr id="4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29"/>
        <w:bidi w:val="0"/>
        <w:rPr>
          <w:rFonts w:hint="eastAsia"/>
          <w:color w:val="auto"/>
          <w:kern w:val="0"/>
          <w:sz w:val="24"/>
          <w:lang w:eastAsia="zh-CN"/>
        </w:rPr>
      </w:pPr>
      <w:r>
        <w:rPr>
          <w:rFonts w:hint="eastAsia"/>
          <w:lang w:val="en-US" w:eastAsia="zh-CN"/>
        </w:rPr>
        <w:t>图5.2-8  7300dNH</w:t>
      </w:r>
      <w:r>
        <w:rPr>
          <w:rFonts w:hint="eastAsia"/>
          <w:vertAlign w:val="subscript"/>
          <w:lang w:val="en-US" w:eastAsia="zh-CN"/>
        </w:rPr>
        <w:t>3</w:t>
      </w:r>
      <w:r>
        <w:rPr>
          <w:rFonts w:hint="eastAsia"/>
          <w:vertAlign w:val="baseline"/>
          <w:lang w:val="en-US" w:eastAsia="zh-CN"/>
        </w:rPr>
        <w:t>-N</w:t>
      </w:r>
      <w:r>
        <w:rPr>
          <w:rFonts w:hint="eastAsia"/>
          <w:lang w:val="en-US" w:eastAsia="zh-CN"/>
        </w:rPr>
        <w:t>运移分布</w:t>
      </w:r>
    </w:p>
    <w:p>
      <w:pPr>
        <w:spacing w:line="360" w:lineRule="auto"/>
        <w:ind w:firstLine="480" w:firstLineChars="200"/>
        <w:rPr>
          <w:color w:val="auto"/>
          <w:kern w:val="0"/>
          <w:sz w:val="24"/>
        </w:rPr>
      </w:pPr>
      <w:r>
        <w:rPr>
          <w:rFonts w:hint="eastAsia"/>
          <w:color w:val="auto"/>
          <w:kern w:val="0"/>
          <w:sz w:val="24"/>
          <w:lang w:eastAsia="zh-CN"/>
        </w:rPr>
        <w:t>（</w:t>
      </w:r>
      <w:r>
        <w:rPr>
          <w:rFonts w:hint="eastAsia"/>
          <w:color w:val="auto"/>
          <w:kern w:val="0"/>
          <w:sz w:val="24"/>
          <w:lang w:val="en-US" w:eastAsia="zh-CN"/>
        </w:rPr>
        <w:t>3</w:t>
      </w:r>
      <w:r>
        <w:rPr>
          <w:rFonts w:hint="eastAsia"/>
          <w:color w:val="auto"/>
          <w:kern w:val="0"/>
          <w:sz w:val="24"/>
          <w:lang w:eastAsia="zh-CN"/>
        </w:rPr>
        <w:t>）</w:t>
      </w:r>
      <w:r>
        <w:rPr>
          <w:color w:val="auto"/>
          <w:kern w:val="0"/>
          <w:sz w:val="24"/>
        </w:rPr>
        <w:t>拟建项目区地下水环境影响评价</w:t>
      </w:r>
    </w:p>
    <w:p>
      <w:pPr>
        <w:spacing w:line="360" w:lineRule="auto"/>
        <w:ind w:firstLine="480" w:firstLineChars="200"/>
        <w:rPr>
          <w:sz w:val="24"/>
          <w:szCs w:val="20"/>
        </w:rPr>
      </w:pPr>
      <w:r>
        <w:rPr>
          <w:sz w:val="24"/>
          <w:szCs w:val="20"/>
        </w:rPr>
        <w:t>综上所述，非正常工况下项目污水泄露下渗对区域地下水有一定的影响，</w:t>
      </w:r>
      <w:r>
        <w:rPr>
          <w:rFonts w:hint="eastAsia"/>
          <w:sz w:val="24"/>
          <w:szCs w:val="20"/>
        </w:rPr>
        <w:t>集污池</w:t>
      </w:r>
      <w:r>
        <w:rPr>
          <w:sz w:val="24"/>
          <w:szCs w:val="20"/>
        </w:rPr>
        <w:t>下游约泄漏后含水层中COD、氨氮磷污染物浓度均有部分范围超标，根据区域地下水流向，</w:t>
      </w:r>
      <w:r>
        <w:rPr>
          <w:rFonts w:hint="eastAsia"/>
          <w:sz w:val="24"/>
          <w:szCs w:val="20"/>
        </w:rPr>
        <w:t>集污池</w:t>
      </w:r>
      <w:r>
        <w:rPr>
          <w:sz w:val="24"/>
          <w:szCs w:val="20"/>
        </w:rPr>
        <w:t>下游约建设方应对此做好针对性的防范措施。</w:t>
      </w:r>
    </w:p>
    <w:p>
      <w:pPr>
        <w:pStyle w:val="6"/>
        <w:bidi w:val="0"/>
        <w:rPr>
          <w:rFonts w:hint="eastAsia"/>
          <w:lang w:val="en-US" w:eastAsia="zh-CN"/>
        </w:rPr>
      </w:pPr>
      <w:r>
        <w:rPr>
          <w:rFonts w:hint="eastAsia"/>
        </w:rPr>
        <w:t>环境影响分析及措施</w:t>
      </w:r>
    </w:p>
    <w:p>
      <w:pPr>
        <w:spacing w:beforeLines="0" w:afterLines="0"/>
        <w:jc w:val="left"/>
        <w:rPr>
          <w:rFonts w:hint="eastAsia" w:ascii="宋体" w:hAnsi="宋体" w:eastAsia="宋体"/>
          <w:sz w:val="24"/>
          <w:szCs w:val="24"/>
        </w:rPr>
      </w:pPr>
      <w:r>
        <w:rPr>
          <w:rFonts w:hint="eastAsia" w:ascii="宋体" w:hAnsi="宋体" w:eastAsia="宋体"/>
          <w:sz w:val="24"/>
          <w:szCs w:val="24"/>
        </w:rPr>
        <w:t>建设项目产生废水主要是生产废水及生活污水。项目产生废水经自建的污水处理站处理</w:t>
      </w:r>
      <w:r>
        <w:rPr>
          <w:rFonts w:hint="eastAsia" w:ascii="宋体" w:hAnsi="宋体"/>
          <w:sz w:val="24"/>
          <w:szCs w:val="24"/>
          <w:lang w:val="en-US" w:eastAsia="zh-CN"/>
        </w:rPr>
        <w:t>达标</w:t>
      </w:r>
      <w:r>
        <w:rPr>
          <w:rFonts w:hint="eastAsia" w:ascii="宋体" w:hAnsi="宋体" w:eastAsia="宋体"/>
          <w:sz w:val="24"/>
          <w:szCs w:val="24"/>
        </w:rPr>
        <w:t>后</w:t>
      </w:r>
      <w:r>
        <w:rPr>
          <w:rFonts w:hint="eastAsia"/>
          <w:lang w:val="en-US" w:eastAsia="zh-CN"/>
        </w:rPr>
        <w:t>一部分回用于进出车辆冲洗、地面冲洗、待宰圈冲洗和洗涤塔补水等，剩余部分用于农田灌溉，不外排。</w:t>
      </w:r>
    </w:p>
    <w:p>
      <w:pPr>
        <w:spacing w:beforeLines="0" w:afterLines="0"/>
        <w:jc w:val="left"/>
        <w:rPr>
          <w:rFonts w:hint="eastAsia" w:ascii="宋体" w:hAnsi="宋体" w:eastAsia="宋体"/>
          <w:sz w:val="24"/>
          <w:szCs w:val="24"/>
        </w:rPr>
      </w:pPr>
      <w:r>
        <w:rPr>
          <w:rFonts w:hint="eastAsia" w:ascii="宋体" w:hAnsi="宋体" w:eastAsia="宋体"/>
          <w:sz w:val="24"/>
          <w:szCs w:val="24"/>
        </w:rPr>
        <w:t>因此正常生产情况下，废水排放不会影响厂区周围地下水。但如果管道渗漏或发生污水漫流，经过土壤过滤、吸附等过程后，渗入地下土壤，将对地下水水质造成一定的影响。</w:t>
      </w:r>
    </w:p>
    <w:p>
      <w:pPr>
        <w:spacing w:beforeLines="0" w:afterLines="0"/>
        <w:jc w:val="left"/>
        <w:rPr>
          <w:rFonts w:hint="eastAsia" w:ascii="宋体" w:hAnsi="宋体" w:eastAsia="宋体"/>
          <w:sz w:val="24"/>
          <w:szCs w:val="24"/>
        </w:rPr>
      </w:pPr>
      <w:r>
        <w:rPr>
          <w:rFonts w:hint="eastAsia" w:ascii="宋体" w:hAnsi="宋体" w:eastAsia="宋体"/>
          <w:sz w:val="24"/>
          <w:szCs w:val="24"/>
        </w:rPr>
        <w:t>为避免对地下水环境造成不良影响，本次环评报告对项目生产车间提出以下防渗措施。根据可能进入地下水环境的各种有毒有害原辅材料、中间物料和产品的泄漏（含跑、冒、滴、漏）量及各类污染物的性质、产生量和排放量，划分地下水污染防治区，具体如下。</w:t>
      </w:r>
    </w:p>
    <w:p>
      <w:pPr>
        <w:spacing w:beforeLines="0" w:afterLines="0"/>
        <w:jc w:val="left"/>
        <w:rPr>
          <w:rFonts w:hint="eastAsia" w:ascii="宋体" w:hAnsi="宋体" w:eastAsia="宋体"/>
          <w:sz w:val="24"/>
          <w:szCs w:val="24"/>
        </w:rPr>
      </w:pPr>
      <w:r>
        <w:rPr>
          <w:rFonts w:hint="eastAsia" w:ascii="宋体" w:hAnsi="宋体" w:eastAsia="宋体"/>
          <w:sz w:val="24"/>
          <w:szCs w:val="24"/>
        </w:rPr>
        <w:t>根据《环境影响评价技术导则地下水环境》（</w:t>
      </w:r>
      <w:r>
        <w:rPr>
          <w:rFonts w:hint="default" w:ascii="Times New Roman" w:hAnsi="Times New Roman" w:eastAsia="Times New Roman"/>
          <w:sz w:val="24"/>
          <w:szCs w:val="24"/>
        </w:rPr>
        <w:t>HJ610-2016</w:t>
      </w:r>
      <w:r>
        <w:rPr>
          <w:rFonts w:hint="eastAsia" w:ascii="宋体" w:hAnsi="宋体" w:eastAsia="宋体"/>
          <w:sz w:val="24"/>
          <w:szCs w:val="24"/>
        </w:rPr>
        <w:t>）防渗分区原则，将本项目分划为重点防渗区、一般防渗区和简单防渗区，划分区域如下：</w:t>
      </w:r>
    </w:p>
    <w:p>
      <w:pPr>
        <w:bidi w:val="0"/>
        <w:rPr>
          <w:rFonts w:hint="eastAsia"/>
        </w:rPr>
      </w:pPr>
      <w:r>
        <w:rPr>
          <w:rFonts w:hint="eastAsia"/>
          <w:b/>
          <w:bCs/>
        </w:rPr>
        <w:t>重点防渗区：</w:t>
      </w:r>
      <w:r>
        <w:rPr>
          <w:rFonts w:hint="eastAsia"/>
        </w:rPr>
        <w:t>危废暂存间</w:t>
      </w:r>
      <w:r>
        <w:rPr>
          <w:rFonts w:hint="eastAsia"/>
          <w:lang w:val="en-US" w:eastAsia="zh-CN"/>
        </w:rPr>
        <w:t>采</w:t>
      </w:r>
      <w:r>
        <w:rPr>
          <w:rFonts w:hint="eastAsia"/>
        </w:rPr>
        <w:t>取</w:t>
      </w:r>
      <w:r>
        <w:rPr>
          <w:rFonts w:hint="eastAsia"/>
          <w:lang w:val="en-US" w:eastAsia="zh-CN"/>
        </w:rPr>
        <w:t>防渗</w:t>
      </w:r>
      <w:r>
        <w:rPr>
          <w:rFonts w:hint="eastAsia"/>
        </w:rPr>
        <w:t>混凝土</w:t>
      </w:r>
      <w:r>
        <w:rPr>
          <w:rFonts w:hint="default"/>
        </w:rPr>
        <w:t>+2mmHDPE</w:t>
      </w:r>
      <w:r>
        <w:rPr>
          <w:rFonts w:hint="eastAsia"/>
          <w:lang w:val="en-US" w:eastAsia="zh-CN"/>
        </w:rPr>
        <w:t>防渗膜+金属托盘，</w:t>
      </w:r>
      <w:r>
        <w:rPr>
          <w:rFonts w:hint="eastAsia"/>
        </w:rPr>
        <w:t>防渗措施能达到《危险废物贮存污染控制标准》规定的渗透系数K</w:t>
      </w:r>
      <w:r>
        <w:rPr>
          <w:rFonts w:hint="default" w:ascii="Times New Roman" w:hAnsi="Times New Roman" w:cs="Times New Roman"/>
        </w:rPr>
        <w:t>≤</w:t>
      </w:r>
      <w:r>
        <w:rPr>
          <w:rFonts w:hint="eastAsia"/>
        </w:rPr>
        <w:t>1×10</w:t>
      </w:r>
      <w:r>
        <w:rPr>
          <w:rFonts w:hint="default"/>
          <w:vertAlign w:val="superscript"/>
        </w:rPr>
        <w:t>-10</w:t>
      </w:r>
      <w:r>
        <w:rPr>
          <w:rFonts w:hint="default"/>
        </w:rPr>
        <w:t>cm/s</w:t>
      </w:r>
      <w:r>
        <w:rPr>
          <w:rFonts w:hint="eastAsia"/>
        </w:rPr>
        <w:t>防渗要求</w:t>
      </w:r>
      <w:r>
        <w:rPr>
          <w:rFonts w:hint="eastAsia"/>
          <w:lang w:eastAsia="zh-CN"/>
        </w:rPr>
        <w:t>；</w:t>
      </w:r>
      <w:r>
        <w:rPr>
          <w:rFonts w:hint="eastAsia"/>
        </w:rPr>
        <w:t>药品库、污水处理站、污水处理站加药间、无害化暂存间采取</w:t>
      </w:r>
      <w:r>
        <w:rPr>
          <w:rFonts w:hint="eastAsia"/>
          <w:lang w:val="en-US" w:eastAsia="zh-CN"/>
        </w:rPr>
        <w:t>防渗</w:t>
      </w:r>
      <w:r>
        <w:rPr>
          <w:rFonts w:hint="eastAsia"/>
        </w:rPr>
        <w:t>混凝土</w:t>
      </w:r>
      <w:r>
        <w:rPr>
          <w:rFonts w:hint="default"/>
        </w:rPr>
        <w:t>+2mmHDPE</w:t>
      </w:r>
      <w:r>
        <w:rPr>
          <w:rFonts w:hint="eastAsia"/>
          <w:lang w:val="en-US" w:eastAsia="zh-CN"/>
        </w:rPr>
        <w:t>防渗膜</w:t>
      </w:r>
      <w:r>
        <w:rPr>
          <w:rFonts w:hint="eastAsia"/>
        </w:rPr>
        <w:t>的方式防渗，其中污水管网采用</w:t>
      </w:r>
      <w:r>
        <w:rPr>
          <w:rFonts w:hint="default"/>
        </w:rPr>
        <w:t>PE</w:t>
      </w:r>
      <w:r>
        <w:rPr>
          <w:rFonts w:hint="eastAsia"/>
        </w:rPr>
        <w:t>管，防渗措施能达到《危险废物贮存污染控制标准》规定的，渗透系数K</w:t>
      </w:r>
      <w:r>
        <w:rPr>
          <w:rFonts w:hint="default" w:ascii="Times New Roman" w:hAnsi="Times New Roman" w:cs="Times New Roman"/>
        </w:rPr>
        <w:t>≤</w:t>
      </w:r>
      <w:r>
        <w:rPr>
          <w:rFonts w:hint="eastAsia"/>
        </w:rPr>
        <w:t>1×10</w:t>
      </w:r>
      <w:r>
        <w:rPr>
          <w:rFonts w:hint="default"/>
          <w:vertAlign w:val="superscript"/>
        </w:rPr>
        <w:t>-</w:t>
      </w:r>
      <w:r>
        <w:rPr>
          <w:rFonts w:hint="eastAsia"/>
          <w:vertAlign w:val="superscript"/>
          <w:lang w:val="en-US" w:eastAsia="zh-CN"/>
        </w:rPr>
        <w:t>7</w:t>
      </w:r>
      <w:r>
        <w:rPr>
          <w:rFonts w:hint="default"/>
        </w:rPr>
        <w:t>cm/s</w:t>
      </w:r>
      <w:r>
        <w:rPr>
          <w:rFonts w:hint="eastAsia"/>
        </w:rPr>
        <w:t>防渗要求。</w:t>
      </w:r>
    </w:p>
    <w:p>
      <w:pPr>
        <w:bidi w:val="0"/>
        <w:rPr>
          <w:rFonts w:hint="eastAsia"/>
        </w:rPr>
      </w:pPr>
      <w:r>
        <w:rPr>
          <w:rFonts w:hint="eastAsia"/>
          <w:b/>
          <w:bCs/>
        </w:rPr>
        <w:t>一般防渗区：</w:t>
      </w:r>
      <w:r>
        <w:rPr>
          <w:rFonts w:hint="eastAsia"/>
          <w:lang w:eastAsia="zh-CN"/>
        </w:rPr>
        <w:t>待宰圈</w:t>
      </w:r>
      <w:r>
        <w:rPr>
          <w:rFonts w:hint="eastAsia"/>
        </w:rPr>
        <w:t>、屠宰车间、急宰间、隔离间、垃圾回收站</w:t>
      </w:r>
      <w:r>
        <w:rPr>
          <w:rFonts w:hint="eastAsia"/>
          <w:lang w:eastAsia="zh-CN"/>
        </w:rPr>
        <w:t>、</w:t>
      </w:r>
      <w:r>
        <w:rPr>
          <w:rFonts w:hint="eastAsia"/>
          <w:lang w:val="en-US" w:eastAsia="zh-CN"/>
        </w:rPr>
        <w:t>应急事故池、废水暂存池</w:t>
      </w:r>
      <w:r>
        <w:rPr>
          <w:rFonts w:hint="eastAsia"/>
        </w:rPr>
        <w:t>为一般防渗区，防渗技术要求为等效粘土防渗层Mb</w:t>
      </w:r>
      <w:r>
        <w:rPr>
          <w:rFonts w:hint="default" w:ascii="Times New Roman" w:hAnsi="Times New Roman" w:cs="Times New Roman"/>
        </w:rPr>
        <w:t>≥</w:t>
      </w:r>
      <w:r>
        <w:rPr>
          <w:rFonts w:hint="eastAsia"/>
        </w:rPr>
        <w:t>1.5m，K</w:t>
      </w:r>
      <w:r>
        <w:rPr>
          <w:rFonts w:hint="default" w:ascii="Times New Roman" w:hAnsi="Times New Roman" w:cs="Times New Roman"/>
        </w:rPr>
        <w:t>≤</w:t>
      </w:r>
      <w:r>
        <w:rPr>
          <w:rFonts w:hint="eastAsia"/>
        </w:rPr>
        <w:t>10</w:t>
      </w:r>
      <w:r>
        <w:rPr>
          <w:rFonts w:hint="default"/>
          <w:vertAlign w:val="superscript"/>
        </w:rPr>
        <w:t>-7</w:t>
      </w:r>
      <w:r>
        <w:rPr>
          <w:rFonts w:hint="default"/>
        </w:rPr>
        <w:t>cm/s</w:t>
      </w:r>
      <w:r>
        <w:rPr>
          <w:rFonts w:hint="eastAsia"/>
        </w:rPr>
        <w:t>。</w:t>
      </w:r>
    </w:p>
    <w:p>
      <w:pPr>
        <w:bidi w:val="0"/>
        <w:rPr>
          <w:rFonts w:hint="eastAsia"/>
          <w:lang w:val="en-US" w:eastAsia="zh-CN"/>
        </w:rPr>
      </w:pPr>
      <w:r>
        <w:rPr>
          <w:rFonts w:hint="eastAsia"/>
          <w:b/>
          <w:bCs/>
        </w:rPr>
        <w:t>简单防渗区：</w:t>
      </w:r>
      <w:r>
        <w:rPr>
          <w:rFonts w:hint="eastAsia"/>
        </w:rPr>
        <w:t>倒班房、道路等除重点防渗区和一般防渗区以外的区域。防渗技术要求为一般地面硬化。</w:t>
      </w:r>
    </w:p>
    <w:p>
      <w:pPr>
        <w:pStyle w:val="6"/>
        <w:bidi w:val="0"/>
        <w:rPr>
          <w:rFonts w:hint="eastAsia"/>
        </w:rPr>
      </w:pPr>
      <w:r>
        <w:rPr>
          <w:rFonts w:hint="eastAsia"/>
        </w:rPr>
        <w:t>地下水环境影响分析结论</w:t>
      </w:r>
    </w:p>
    <w:p>
      <w:pPr>
        <w:bidi w:val="0"/>
        <w:rPr>
          <w:rFonts w:hint="eastAsia"/>
          <w:lang w:val="en-US" w:eastAsia="zh-CN"/>
        </w:rPr>
      </w:pPr>
      <w:r>
        <w:rPr>
          <w:rFonts w:hint="eastAsia"/>
        </w:rPr>
        <w:t>综上，通过设置监测井并按照</w:t>
      </w:r>
      <w:r>
        <w:rPr>
          <w:rFonts w:hint="eastAsia"/>
          <w:lang w:eastAsia="zh-CN"/>
        </w:rPr>
        <w:t>监测</w:t>
      </w:r>
      <w:r>
        <w:rPr>
          <w:rFonts w:hint="eastAsia"/>
        </w:rPr>
        <w:t>频率</w:t>
      </w:r>
      <w:r>
        <w:rPr>
          <w:rFonts w:hint="default"/>
        </w:rPr>
        <w:t>1</w:t>
      </w:r>
      <w:r>
        <w:rPr>
          <w:rFonts w:hint="eastAsia"/>
        </w:rPr>
        <w:t>次</w:t>
      </w:r>
      <w:r>
        <w:rPr>
          <w:rFonts w:hint="default"/>
        </w:rPr>
        <w:t>/</w:t>
      </w:r>
      <w:r>
        <w:rPr>
          <w:rFonts w:hint="eastAsia"/>
        </w:rPr>
        <w:t>季度考虑，当非正常排放时能及时发现并采取有效的处理，不会出现非正常排放后污染物浓度急剧升高的现象。据本项目建设特点，采用源头控制、分区防渗、地下水长期监测等措施，防止地下水发生污染。当地下水发生污染后，采取积极有效的应急措施。在采取以上措施后，建设项目对地下水环境的影响较小，本建设项目对地下水环境的影响可以接受。</w:t>
      </w:r>
    </w:p>
    <w:p>
      <w:pPr>
        <w:pStyle w:val="5"/>
        <w:bidi w:val="0"/>
        <w:rPr>
          <w:rFonts w:hint="default"/>
          <w:lang w:val="en-US" w:eastAsia="zh-CN"/>
        </w:rPr>
      </w:pPr>
      <w:r>
        <w:rPr>
          <w:rFonts w:hint="eastAsia"/>
          <w:lang w:val="en-US" w:eastAsia="zh-CN"/>
        </w:rPr>
        <w:t>大气环境影响分析</w:t>
      </w:r>
    </w:p>
    <w:p>
      <w:pPr>
        <w:pStyle w:val="6"/>
        <w:bidi w:val="0"/>
        <w:rPr>
          <w:rFonts w:hint="default"/>
          <w:lang w:val="en-US" w:eastAsia="zh-CN"/>
        </w:rPr>
      </w:pPr>
      <w:r>
        <w:rPr>
          <w:rFonts w:hint="eastAsia"/>
          <w:lang w:val="en-US" w:eastAsia="zh-CN"/>
        </w:rPr>
        <w:t>废气影响预测分析</w:t>
      </w:r>
    </w:p>
    <w:p>
      <w:pPr>
        <w:bidi w:val="0"/>
        <w:rPr>
          <w:rFonts w:hint="default"/>
          <w:vertAlign w:val="baseline"/>
          <w:lang w:val="en-US" w:eastAsia="zh-CN"/>
        </w:rPr>
      </w:pPr>
      <w:r>
        <w:rPr>
          <w:rFonts w:hint="eastAsia"/>
          <w:lang w:val="en-US" w:eastAsia="zh-CN"/>
        </w:rPr>
        <w:t>本项目恶臭来源于屠宰车间、待宰圈和污水处理站，评价以P1、P2</w:t>
      </w:r>
      <w:r>
        <w:rPr>
          <w:rFonts w:hint="eastAsia"/>
          <w:lang w:val="en-US" w:eastAsia="zh-CN"/>
        </w:rPr>
        <w:tab/>
      </w:r>
      <w:r>
        <w:rPr>
          <w:rFonts w:hint="eastAsia"/>
          <w:lang w:val="en-US" w:eastAsia="zh-CN"/>
        </w:rPr>
        <w:t>排气筒计算有组织排放源强，以屠宰车间、污水处理站、待宰圈为单元分别计算NH</w:t>
      </w:r>
      <w:r>
        <w:rPr>
          <w:rFonts w:hint="eastAsia"/>
          <w:vertAlign w:val="subscript"/>
          <w:lang w:val="en-US" w:eastAsia="zh-CN"/>
        </w:rPr>
        <w:t>3</w:t>
      </w: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S的无组织排放源强。</w:t>
      </w:r>
    </w:p>
    <w:p>
      <w:pPr>
        <w:bidi w:val="0"/>
        <w:rPr>
          <w:rFonts w:hint="default"/>
          <w:b/>
          <w:bCs/>
          <w:lang w:val="en-US" w:eastAsia="zh-CN"/>
        </w:rPr>
      </w:pPr>
      <w:r>
        <w:rPr>
          <w:rFonts w:hint="eastAsia"/>
          <w:b/>
          <w:bCs/>
          <w:lang w:val="en-US" w:eastAsia="zh-CN"/>
        </w:rPr>
        <w:t>（1）预测因子</w:t>
      </w:r>
    </w:p>
    <w:p>
      <w:pPr>
        <w:bidi w:val="0"/>
        <w:rPr>
          <w:rFonts w:hint="default"/>
          <w:lang w:val="en-US" w:eastAsia="zh-CN"/>
        </w:rPr>
      </w:pPr>
      <w:r>
        <w:rPr>
          <w:rFonts w:hint="eastAsia"/>
          <w:lang w:val="en-US" w:eastAsia="zh-CN"/>
        </w:rPr>
        <w:t>项目主要污染因子为NH</w:t>
      </w:r>
      <w:r>
        <w:rPr>
          <w:rFonts w:hint="eastAsia"/>
          <w:vertAlign w:val="subscript"/>
          <w:lang w:val="en-US" w:eastAsia="zh-CN"/>
        </w:rPr>
        <w:t>3</w:t>
      </w: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S，根据《环境影响评价技术导则 大气环境》（HJ2.2-2018），本项目选择</w:t>
      </w:r>
      <w:r>
        <w:rPr>
          <w:rFonts w:hint="eastAsia"/>
          <w:lang w:val="en-US" w:eastAsia="zh-CN"/>
        </w:rPr>
        <w:t>NH</w:t>
      </w:r>
      <w:r>
        <w:rPr>
          <w:rFonts w:hint="eastAsia"/>
          <w:vertAlign w:val="subscript"/>
          <w:lang w:val="en-US" w:eastAsia="zh-CN"/>
        </w:rPr>
        <w:t>3</w:t>
      </w: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S作为本次预测因子。</w:t>
      </w:r>
    </w:p>
    <w:p>
      <w:pPr>
        <w:bidi w:val="0"/>
        <w:rPr>
          <w:rFonts w:hint="default"/>
          <w:b/>
          <w:bCs/>
          <w:lang w:val="en-US" w:eastAsia="zh-CN"/>
        </w:rPr>
      </w:pPr>
      <w:r>
        <w:rPr>
          <w:rFonts w:hint="eastAsia"/>
          <w:b/>
          <w:bCs/>
          <w:lang w:val="en-US" w:eastAsia="zh-CN"/>
        </w:rPr>
        <w:t>（2）预测模式、方案和参数选择</w:t>
      </w:r>
    </w:p>
    <w:p>
      <w:pPr>
        <w:bidi w:val="0"/>
        <w:rPr>
          <w:rFonts w:hint="default"/>
          <w:lang w:val="en-US" w:eastAsia="zh-CN"/>
        </w:rPr>
      </w:pPr>
      <w:r>
        <w:rPr>
          <w:rFonts w:hint="eastAsia"/>
          <w:lang w:val="en-US" w:eastAsia="zh-CN"/>
        </w:rPr>
        <w:t>A预测模式：本次大气环境影响预测采用</w:t>
      </w:r>
      <w:r>
        <w:rPr>
          <w:rFonts w:hint="eastAsia"/>
          <w:vertAlign w:val="baseline"/>
          <w:lang w:val="en-US" w:eastAsia="zh-CN"/>
        </w:rPr>
        <w:t>《环境影响评价技术导则 大气环境》（HJ2.2-2018）推荐模式清单中的AERSCREEN模型进行预测。</w:t>
      </w:r>
    </w:p>
    <w:p>
      <w:pPr>
        <w:bidi w:val="0"/>
        <w:rPr>
          <w:rFonts w:hint="eastAsia"/>
          <w:vertAlign w:val="baseline"/>
          <w:lang w:val="en-US" w:eastAsia="zh-CN"/>
        </w:rPr>
      </w:pPr>
      <w:r>
        <w:rPr>
          <w:rFonts w:hint="eastAsia"/>
          <w:lang w:val="en-US" w:eastAsia="zh-CN"/>
        </w:rPr>
        <w:t>B预测方案：根据</w:t>
      </w:r>
      <w:r>
        <w:rPr>
          <w:rFonts w:hint="eastAsia"/>
          <w:vertAlign w:val="baseline"/>
          <w:lang w:val="en-US" w:eastAsia="zh-CN"/>
        </w:rPr>
        <w:t>AERSCREEN估算模型，项目主要对项目污染物的最大落地浓度、对应占标率、出现距离及大气环境防护距离、卫生防护距离等进行计算。</w:t>
      </w:r>
    </w:p>
    <w:p>
      <w:pPr>
        <w:bidi w:val="0"/>
        <w:rPr>
          <w:rFonts w:hint="default"/>
          <w:lang w:val="en-US" w:eastAsia="zh-CN"/>
        </w:rPr>
      </w:pPr>
      <w:r>
        <w:rPr>
          <w:rFonts w:hint="eastAsia"/>
          <w:lang w:val="en-US" w:eastAsia="zh-CN"/>
        </w:rPr>
        <w:t>C估算模型参数：</w:t>
      </w:r>
    </w:p>
    <w:p>
      <w:pPr>
        <w:bidi w:val="0"/>
        <w:rPr>
          <w:rFonts w:hint="eastAsia"/>
          <w:lang w:val="en-US" w:eastAsia="zh-CN"/>
        </w:rPr>
      </w:pPr>
      <w:r>
        <w:rPr>
          <w:rFonts w:hint="eastAsia"/>
          <w:lang w:val="en-US" w:eastAsia="zh-CN"/>
        </w:rPr>
        <w:t>根据项目所在地环境特点，项目估算模型参数详见下表：</w:t>
      </w:r>
    </w:p>
    <w:p>
      <w:pPr>
        <w:pStyle w:val="29"/>
        <w:bidi w:val="0"/>
        <w:rPr>
          <w:rFonts w:hint="eastAsia"/>
          <w:lang w:val="en-US" w:eastAsia="zh-CN"/>
        </w:rPr>
      </w:pPr>
      <w:r>
        <w:rPr>
          <w:rFonts w:hint="eastAsia"/>
          <w:lang w:val="en-US" w:eastAsia="zh-CN"/>
        </w:rPr>
        <w:t>表5.2-8  估算模型参数</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07"/>
        <w:gridCol w:w="3207"/>
        <w:gridCol w:w="32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参数</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城市/农村选项</w:t>
            </w: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城市/农村</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default"/>
                <w:vertAlign w:val="baseline"/>
                <w:lang w:val="en-US" w:eastAsia="zh-CN"/>
              </w:rPr>
            </w:pP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人口数（城市选项时）</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最高环境温度/</w:t>
            </w:r>
            <w:r>
              <w:rPr>
                <w:rFonts w:hint="default" w:ascii="Times New Roman" w:hAnsi="Times New Roman" w:cs="Times New Roman"/>
                <w:vertAlign w:val="baseline"/>
                <w:lang w:val="en-US" w:eastAsia="zh-CN"/>
              </w:rPr>
              <w:t>℃</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40.6</w:t>
            </w:r>
            <w:r>
              <w:rPr>
                <w:rFonts w:hint="default" w:ascii="Times New Roman" w:hAnsi="Times New Roman" w:cs="Times New Roman"/>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最低环境温度/</w:t>
            </w:r>
            <w:r>
              <w:rPr>
                <w:rFonts w:hint="default" w:ascii="Times New Roman" w:hAnsi="Times New Roman" w:cs="Times New Roman"/>
                <w:vertAlign w:val="baseline"/>
                <w:lang w:val="en-US" w:eastAsia="zh-CN"/>
              </w:rPr>
              <w:t>℃</w:t>
            </w:r>
          </w:p>
        </w:tc>
        <w:tc>
          <w:tcPr>
            <w:tcW w:w="3208" w:type="dxa"/>
            <w:tcBorders>
              <w:tl2br w:val="nil"/>
              <w:tr2bl w:val="nil"/>
            </w:tcBorders>
            <w:vAlign w:val="center"/>
          </w:tcPr>
          <w:p>
            <w:pPr>
              <w:pStyle w:val="30"/>
              <w:widowControl w:val="0"/>
              <w:jc w:val="center"/>
              <w:rPr>
                <w:rFonts w:hint="default" w:eastAsia="宋体"/>
                <w:vertAlign w:val="baseline"/>
                <w:lang w:val="en-US" w:eastAsia="zh-CN"/>
              </w:rPr>
            </w:pPr>
            <w:r>
              <w:rPr>
                <w:rFonts w:hint="eastAsia"/>
                <w:lang w:val="en-US" w:eastAsia="zh-CN"/>
              </w:rPr>
              <w:t>-5.3</w:t>
            </w:r>
            <w:r>
              <w:rPr>
                <w:rFonts w:hint="default" w:ascii="Times New Roman" w:hAnsi="Times New Roman" w:cs="Times New Roman"/>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土地利用类型</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4" w:type="dxa"/>
            <w:gridSpan w:val="2"/>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区域湿度条件</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潮湿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是否考虑地形</w:t>
            </w: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考虑地形</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default"/>
                <w:vertAlign w:val="baseline"/>
                <w:lang w:val="en-US" w:eastAsia="zh-CN"/>
              </w:rPr>
            </w:pP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地形数据分辨率/m</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是否考虑岸线熏烟</w:t>
            </w: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考虑岸线熏烟</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default"/>
                <w:vertAlign w:val="baseline"/>
                <w:lang w:val="en-US" w:eastAsia="zh-CN"/>
              </w:rPr>
            </w:pP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岸线距离/km</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07" w:type="dxa"/>
            <w:vMerge w:val="continue"/>
            <w:tcBorders>
              <w:tl2br w:val="nil"/>
              <w:tr2bl w:val="nil"/>
            </w:tcBorders>
            <w:vAlign w:val="center"/>
          </w:tcPr>
          <w:p>
            <w:pPr>
              <w:pStyle w:val="30"/>
              <w:widowControl w:val="0"/>
              <w:jc w:val="center"/>
              <w:rPr>
                <w:rFonts w:hint="default"/>
                <w:vertAlign w:val="baseline"/>
                <w:lang w:val="en-US" w:eastAsia="zh-CN"/>
              </w:rPr>
            </w:pPr>
          </w:p>
        </w:tc>
        <w:tc>
          <w:tcPr>
            <w:tcW w:w="320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岸线方向/°</w:t>
            </w:r>
          </w:p>
        </w:tc>
        <w:tc>
          <w:tcPr>
            <w:tcW w:w="320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bidi w:val="0"/>
        <w:rPr>
          <w:rFonts w:hint="default"/>
          <w:lang w:val="en-US" w:eastAsia="zh-CN"/>
        </w:rPr>
      </w:pPr>
      <w:r>
        <w:rPr>
          <w:rFonts w:hint="eastAsia"/>
          <w:lang w:val="en-US" w:eastAsia="zh-CN"/>
        </w:rPr>
        <w:t>D预测参数</w:t>
      </w:r>
    </w:p>
    <w:p>
      <w:pPr>
        <w:bidi w:val="0"/>
        <w:rPr>
          <w:rFonts w:hint="eastAsia"/>
          <w:lang w:val="en-US" w:eastAsia="zh-CN"/>
        </w:rPr>
      </w:pPr>
      <w:r>
        <w:rPr>
          <w:rFonts w:hint="eastAsia"/>
          <w:lang w:val="en-US" w:eastAsia="zh-CN"/>
        </w:rPr>
        <w:t>根据工程分析，项目污染源预测源强见下表。</w:t>
      </w:r>
    </w:p>
    <w:p>
      <w:pPr>
        <w:pStyle w:val="29"/>
        <w:bidi w:val="0"/>
        <w:rPr>
          <w:rFonts w:hint="eastAsia"/>
          <w:lang w:val="en-US" w:eastAsia="zh-CN"/>
        </w:rPr>
      </w:pPr>
      <w:r>
        <w:rPr>
          <w:rFonts w:hint="eastAsia"/>
          <w:lang w:val="en-US" w:eastAsia="zh-CN"/>
        </w:rPr>
        <w:t>5.2-9  主要废气污染源参数一览表（点源）</w:t>
      </w:r>
    </w:p>
    <w:tbl>
      <w:tblPr>
        <w:tblStyle w:val="23"/>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157"/>
        <w:gridCol w:w="1050"/>
        <w:gridCol w:w="1275"/>
        <w:gridCol w:w="975"/>
        <w:gridCol w:w="883"/>
        <w:gridCol w:w="1112"/>
        <w:gridCol w:w="675"/>
        <w:gridCol w:w="1034"/>
        <w:gridCol w:w="10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16"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编号</w:t>
            </w:r>
          </w:p>
        </w:tc>
        <w:tc>
          <w:tcPr>
            <w:tcW w:w="601"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名称</w:t>
            </w:r>
          </w:p>
        </w:tc>
        <w:tc>
          <w:tcPr>
            <w:tcW w:w="546"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排气筒高度（m）</w:t>
            </w:r>
          </w:p>
        </w:tc>
        <w:tc>
          <w:tcPr>
            <w:tcW w:w="663"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排气筒出口内径（m）</w:t>
            </w:r>
          </w:p>
        </w:tc>
        <w:tc>
          <w:tcPr>
            <w:tcW w:w="507"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烟气流速（m/s）</w:t>
            </w:r>
          </w:p>
        </w:tc>
        <w:tc>
          <w:tcPr>
            <w:tcW w:w="459"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烟气温度（</w:t>
            </w:r>
            <w:r>
              <w:rPr>
                <w:rFonts w:hint="default" w:ascii="Times New Roman" w:hAnsi="Times New Roman" w:cs="Times New Roman"/>
                <w:b/>
                <w:bCs/>
                <w:vertAlign w:val="baseline"/>
                <w:lang w:val="en-US" w:eastAsia="zh-CN"/>
              </w:rPr>
              <w:t>℃</w:t>
            </w:r>
            <w:r>
              <w:rPr>
                <w:rFonts w:hint="eastAsia"/>
                <w:b/>
                <w:bCs/>
                <w:vertAlign w:val="baseline"/>
                <w:lang w:val="en-US" w:eastAsia="zh-CN"/>
              </w:rPr>
              <w:t>）</w:t>
            </w:r>
          </w:p>
        </w:tc>
        <w:tc>
          <w:tcPr>
            <w:tcW w:w="578"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年排放小时数（h）</w:t>
            </w:r>
          </w:p>
        </w:tc>
        <w:tc>
          <w:tcPr>
            <w:tcW w:w="351" w:type="pct"/>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排放工况</w:t>
            </w:r>
          </w:p>
        </w:tc>
        <w:tc>
          <w:tcPr>
            <w:tcW w:w="1076" w:type="pct"/>
            <w:gridSpan w:val="2"/>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 w:type="pct"/>
            <w:vMerge w:val="continue"/>
            <w:tcBorders>
              <w:tl2br w:val="nil"/>
              <w:tr2bl w:val="nil"/>
            </w:tcBorders>
            <w:vAlign w:val="center"/>
          </w:tcPr>
          <w:p>
            <w:pPr>
              <w:pStyle w:val="30"/>
              <w:widowControl w:val="0"/>
              <w:jc w:val="center"/>
              <w:rPr>
                <w:b/>
                <w:bCs/>
              </w:rPr>
            </w:pPr>
          </w:p>
        </w:tc>
        <w:tc>
          <w:tcPr>
            <w:tcW w:w="601" w:type="pct"/>
            <w:vMerge w:val="continue"/>
            <w:tcBorders>
              <w:tl2br w:val="nil"/>
              <w:tr2bl w:val="nil"/>
            </w:tcBorders>
            <w:vAlign w:val="center"/>
          </w:tcPr>
          <w:p>
            <w:pPr>
              <w:pStyle w:val="30"/>
              <w:widowControl w:val="0"/>
              <w:jc w:val="center"/>
              <w:rPr>
                <w:b/>
                <w:bCs/>
              </w:rPr>
            </w:pPr>
          </w:p>
        </w:tc>
        <w:tc>
          <w:tcPr>
            <w:tcW w:w="546" w:type="pct"/>
            <w:vMerge w:val="continue"/>
            <w:tcBorders>
              <w:tl2br w:val="nil"/>
              <w:tr2bl w:val="nil"/>
            </w:tcBorders>
            <w:vAlign w:val="center"/>
          </w:tcPr>
          <w:p>
            <w:pPr>
              <w:pStyle w:val="30"/>
              <w:widowControl w:val="0"/>
              <w:jc w:val="center"/>
              <w:rPr>
                <w:b/>
                <w:bCs/>
              </w:rPr>
            </w:pPr>
          </w:p>
        </w:tc>
        <w:tc>
          <w:tcPr>
            <w:tcW w:w="663" w:type="pct"/>
            <w:vMerge w:val="continue"/>
            <w:tcBorders>
              <w:tl2br w:val="nil"/>
              <w:tr2bl w:val="nil"/>
            </w:tcBorders>
            <w:vAlign w:val="center"/>
          </w:tcPr>
          <w:p>
            <w:pPr>
              <w:pStyle w:val="30"/>
              <w:widowControl w:val="0"/>
              <w:jc w:val="center"/>
              <w:rPr>
                <w:b/>
                <w:bCs/>
              </w:rPr>
            </w:pPr>
          </w:p>
        </w:tc>
        <w:tc>
          <w:tcPr>
            <w:tcW w:w="507" w:type="pct"/>
            <w:vMerge w:val="continue"/>
            <w:tcBorders>
              <w:tl2br w:val="nil"/>
              <w:tr2bl w:val="nil"/>
            </w:tcBorders>
            <w:vAlign w:val="center"/>
          </w:tcPr>
          <w:p>
            <w:pPr>
              <w:pStyle w:val="30"/>
              <w:widowControl w:val="0"/>
              <w:jc w:val="center"/>
              <w:rPr>
                <w:b/>
                <w:bCs/>
              </w:rPr>
            </w:pPr>
          </w:p>
        </w:tc>
        <w:tc>
          <w:tcPr>
            <w:tcW w:w="459" w:type="pct"/>
            <w:vMerge w:val="continue"/>
            <w:tcBorders>
              <w:tl2br w:val="nil"/>
              <w:tr2bl w:val="nil"/>
            </w:tcBorders>
            <w:vAlign w:val="center"/>
          </w:tcPr>
          <w:p>
            <w:pPr>
              <w:pStyle w:val="30"/>
              <w:widowControl w:val="0"/>
              <w:jc w:val="center"/>
              <w:rPr>
                <w:b/>
                <w:bCs/>
              </w:rPr>
            </w:pPr>
          </w:p>
        </w:tc>
        <w:tc>
          <w:tcPr>
            <w:tcW w:w="578" w:type="pct"/>
            <w:vMerge w:val="continue"/>
            <w:tcBorders>
              <w:tl2br w:val="nil"/>
              <w:tr2bl w:val="nil"/>
            </w:tcBorders>
            <w:vAlign w:val="center"/>
          </w:tcPr>
          <w:p>
            <w:pPr>
              <w:pStyle w:val="30"/>
              <w:widowControl w:val="0"/>
              <w:jc w:val="center"/>
              <w:rPr>
                <w:b/>
                <w:bCs/>
              </w:rPr>
            </w:pPr>
          </w:p>
        </w:tc>
        <w:tc>
          <w:tcPr>
            <w:tcW w:w="351" w:type="pct"/>
            <w:vMerge w:val="continue"/>
            <w:tcBorders>
              <w:tl2br w:val="nil"/>
              <w:tr2bl w:val="nil"/>
            </w:tcBorders>
            <w:vAlign w:val="center"/>
          </w:tcPr>
          <w:p>
            <w:pPr>
              <w:pStyle w:val="30"/>
              <w:widowControl w:val="0"/>
              <w:jc w:val="center"/>
              <w:rPr>
                <w:b/>
                <w:bCs/>
              </w:rPr>
            </w:pPr>
          </w:p>
        </w:tc>
        <w:tc>
          <w:tcPr>
            <w:tcW w:w="537" w:type="pct"/>
            <w:tcBorders>
              <w:tl2br w:val="nil"/>
              <w:tr2bl w:val="nil"/>
            </w:tcBorders>
            <w:vAlign w:val="center"/>
          </w:tcPr>
          <w:p>
            <w:pPr>
              <w:pStyle w:val="30"/>
              <w:widowControl w:val="0"/>
              <w:jc w:val="center"/>
              <w:rPr>
                <w:rFonts w:hint="default"/>
                <w:b/>
                <w:bCs/>
                <w:vertAlign w:val="subscript"/>
                <w:lang w:val="en-US" w:eastAsia="zh-CN"/>
              </w:rPr>
            </w:pPr>
            <w:r>
              <w:rPr>
                <w:rFonts w:hint="eastAsia"/>
                <w:b/>
                <w:bCs/>
                <w:vertAlign w:val="baseline"/>
                <w:lang w:val="en-US" w:eastAsia="zh-CN"/>
              </w:rPr>
              <w:t>NH</w:t>
            </w:r>
            <w:r>
              <w:rPr>
                <w:rFonts w:hint="eastAsia"/>
                <w:b/>
                <w:bCs/>
                <w:vertAlign w:val="subscript"/>
                <w:lang w:val="en-US" w:eastAsia="zh-CN"/>
              </w:rPr>
              <w:t>3</w:t>
            </w:r>
          </w:p>
        </w:tc>
        <w:tc>
          <w:tcPr>
            <w:tcW w:w="538"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H</w:t>
            </w:r>
            <w:r>
              <w:rPr>
                <w:rFonts w:hint="eastAsia"/>
                <w:b/>
                <w:bCs/>
                <w:vertAlign w:val="subscript"/>
                <w:lang w:val="en-US" w:eastAsia="zh-CN"/>
              </w:rPr>
              <w:t>2</w:t>
            </w:r>
            <w:r>
              <w:rPr>
                <w:rFonts w:hint="eastAsia"/>
                <w:b/>
                <w:bCs/>
                <w:vertAlign w:val="baseline"/>
                <w:lang w:val="en-US" w:eastAsia="zh-CN"/>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60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P1排气筒</w:t>
            </w:r>
          </w:p>
        </w:tc>
        <w:tc>
          <w:tcPr>
            <w:tcW w:w="54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15</w:t>
            </w:r>
          </w:p>
        </w:tc>
        <w:tc>
          <w:tcPr>
            <w:tcW w:w="66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0.8</w:t>
            </w:r>
          </w:p>
        </w:tc>
        <w:tc>
          <w:tcPr>
            <w:tcW w:w="50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8.84</w:t>
            </w:r>
          </w:p>
        </w:tc>
        <w:tc>
          <w:tcPr>
            <w:tcW w:w="45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w:t>
            </w:r>
          </w:p>
        </w:tc>
        <w:tc>
          <w:tcPr>
            <w:tcW w:w="57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7200</w:t>
            </w:r>
          </w:p>
        </w:tc>
        <w:tc>
          <w:tcPr>
            <w:tcW w:w="35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正常</w:t>
            </w:r>
          </w:p>
        </w:tc>
        <w:tc>
          <w:tcPr>
            <w:tcW w:w="53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0.027</w:t>
            </w:r>
          </w:p>
        </w:tc>
        <w:tc>
          <w:tcPr>
            <w:tcW w:w="53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60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P2排气筒</w:t>
            </w:r>
          </w:p>
        </w:tc>
        <w:tc>
          <w:tcPr>
            <w:tcW w:w="54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15</w:t>
            </w:r>
          </w:p>
        </w:tc>
        <w:tc>
          <w:tcPr>
            <w:tcW w:w="66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1.2</w:t>
            </w:r>
          </w:p>
        </w:tc>
        <w:tc>
          <w:tcPr>
            <w:tcW w:w="50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11.3</w:t>
            </w:r>
          </w:p>
        </w:tc>
        <w:tc>
          <w:tcPr>
            <w:tcW w:w="45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w:t>
            </w:r>
          </w:p>
        </w:tc>
        <w:tc>
          <w:tcPr>
            <w:tcW w:w="57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2400</w:t>
            </w:r>
          </w:p>
        </w:tc>
        <w:tc>
          <w:tcPr>
            <w:tcW w:w="35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正常</w:t>
            </w:r>
          </w:p>
        </w:tc>
        <w:tc>
          <w:tcPr>
            <w:tcW w:w="53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0.015</w:t>
            </w:r>
          </w:p>
        </w:tc>
        <w:tc>
          <w:tcPr>
            <w:tcW w:w="53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0.00014</w:t>
            </w:r>
          </w:p>
        </w:tc>
      </w:tr>
    </w:tbl>
    <w:p>
      <w:pPr>
        <w:pStyle w:val="29"/>
        <w:bidi w:val="0"/>
        <w:rPr>
          <w:rFonts w:hint="default"/>
          <w:lang w:val="en-US" w:eastAsia="zh-CN"/>
        </w:rPr>
      </w:pPr>
      <w:r>
        <w:rPr>
          <w:rFonts w:hint="eastAsia"/>
          <w:lang w:val="en-US" w:eastAsia="zh-CN"/>
        </w:rPr>
        <w:t>表5.2-10  主要废气污染源参数一览表（面源）</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57"/>
        <w:gridCol w:w="1069"/>
        <w:gridCol w:w="880"/>
        <w:gridCol w:w="880"/>
        <w:gridCol w:w="880"/>
        <w:gridCol w:w="1065"/>
        <w:gridCol w:w="750"/>
        <w:gridCol w:w="1407"/>
        <w:gridCol w:w="1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27"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编号</w:t>
            </w:r>
          </w:p>
        </w:tc>
        <w:tc>
          <w:tcPr>
            <w:tcW w:w="1926" w:type="dxa"/>
            <w:gridSpan w:val="2"/>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名称</w:t>
            </w:r>
          </w:p>
        </w:tc>
        <w:tc>
          <w:tcPr>
            <w:tcW w:w="2640" w:type="dxa"/>
            <w:gridSpan w:val="3"/>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面源参数</w:t>
            </w:r>
          </w:p>
        </w:tc>
        <w:tc>
          <w:tcPr>
            <w:tcW w:w="1065"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年排放小时数（h）</w:t>
            </w:r>
          </w:p>
        </w:tc>
        <w:tc>
          <w:tcPr>
            <w:tcW w:w="750"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排放工况</w:t>
            </w:r>
          </w:p>
        </w:tc>
        <w:tc>
          <w:tcPr>
            <w:tcW w:w="2814" w:type="dxa"/>
            <w:gridSpan w:val="2"/>
            <w:tcBorders>
              <w:tl2br w:val="nil"/>
              <w:tr2bl w:val="nil"/>
            </w:tcBorders>
            <w:vAlign w:val="center"/>
          </w:tcPr>
          <w:p>
            <w:pPr>
              <w:pStyle w:val="30"/>
              <w:widowControl w:val="0"/>
              <w:ind w:firstLine="0" w:firstLineChars="0"/>
              <w:jc w:val="center"/>
              <w:rPr>
                <w:rFonts w:hint="default"/>
                <w:b/>
                <w:bCs/>
                <w:vertAlign w:val="baseline"/>
                <w:lang w:val="en-US" w:eastAsia="zh-CN"/>
              </w:rPr>
            </w:pPr>
            <w:r>
              <w:rPr>
                <w:rFonts w:hint="eastAsia"/>
                <w:b/>
                <w:bCs/>
                <w:vertAlign w:val="baseline"/>
                <w:lang w:val="en-US" w:eastAsia="zh-CN"/>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27" w:type="dxa"/>
            <w:vMerge w:val="continue"/>
            <w:tcBorders>
              <w:tl2br w:val="nil"/>
              <w:tr2bl w:val="nil"/>
            </w:tcBorders>
            <w:vAlign w:val="center"/>
          </w:tcPr>
          <w:p>
            <w:pPr>
              <w:pStyle w:val="30"/>
              <w:widowControl w:val="0"/>
              <w:jc w:val="center"/>
              <w:rPr>
                <w:b/>
                <w:bCs/>
              </w:rPr>
            </w:pPr>
          </w:p>
        </w:tc>
        <w:tc>
          <w:tcPr>
            <w:tcW w:w="1926" w:type="dxa"/>
            <w:gridSpan w:val="2"/>
            <w:vMerge w:val="continue"/>
            <w:tcBorders>
              <w:tl2br w:val="nil"/>
              <w:tr2bl w:val="nil"/>
            </w:tcBorders>
            <w:vAlign w:val="center"/>
          </w:tcPr>
          <w:p>
            <w:pPr>
              <w:pStyle w:val="30"/>
              <w:widowControl w:val="0"/>
              <w:jc w:val="center"/>
              <w:rPr>
                <w:b/>
                <w:bCs/>
              </w:rPr>
            </w:pPr>
          </w:p>
        </w:tc>
        <w:tc>
          <w:tcPr>
            <w:tcW w:w="880" w:type="dxa"/>
            <w:tcBorders>
              <w:tl2br w:val="nil"/>
              <w:tr2bl w:val="nil"/>
            </w:tcBorders>
            <w:vAlign w:val="center"/>
          </w:tcPr>
          <w:p>
            <w:pPr>
              <w:pStyle w:val="30"/>
              <w:widowControl w:val="0"/>
              <w:ind w:firstLine="0" w:firstLineChars="0"/>
              <w:jc w:val="center"/>
              <w:rPr>
                <w:b/>
                <w:bCs/>
              </w:rPr>
            </w:pPr>
            <w:r>
              <w:rPr>
                <w:rFonts w:hint="eastAsia"/>
                <w:b/>
                <w:bCs/>
                <w:vertAlign w:val="baseline"/>
                <w:lang w:val="en-US" w:eastAsia="zh-CN"/>
              </w:rPr>
              <w:t>长（m）</w:t>
            </w:r>
          </w:p>
        </w:tc>
        <w:tc>
          <w:tcPr>
            <w:tcW w:w="880" w:type="dxa"/>
            <w:tcBorders>
              <w:tl2br w:val="nil"/>
              <w:tr2bl w:val="nil"/>
            </w:tcBorders>
            <w:vAlign w:val="center"/>
          </w:tcPr>
          <w:p>
            <w:pPr>
              <w:pStyle w:val="30"/>
              <w:widowControl w:val="0"/>
              <w:ind w:firstLine="0" w:firstLineChars="0"/>
              <w:jc w:val="center"/>
              <w:rPr>
                <w:b/>
                <w:bCs/>
              </w:rPr>
            </w:pPr>
            <w:r>
              <w:rPr>
                <w:rFonts w:hint="eastAsia"/>
                <w:b/>
                <w:bCs/>
                <w:vertAlign w:val="baseline"/>
                <w:lang w:val="en-US" w:eastAsia="zh-CN"/>
              </w:rPr>
              <w:t>宽（m）</w:t>
            </w:r>
          </w:p>
        </w:tc>
        <w:tc>
          <w:tcPr>
            <w:tcW w:w="880" w:type="dxa"/>
            <w:tcBorders>
              <w:tl2br w:val="nil"/>
              <w:tr2bl w:val="nil"/>
            </w:tcBorders>
            <w:vAlign w:val="center"/>
          </w:tcPr>
          <w:p>
            <w:pPr>
              <w:pStyle w:val="30"/>
              <w:widowControl w:val="0"/>
              <w:ind w:firstLine="0" w:firstLineChars="0"/>
              <w:jc w:val="center"/>
              <w:rPr>
                <w:b/>
                <w:bCs/>
              </w:rPr>
            </w:pPr>
            <w:r>
              <w:rPr>
                <w:rFonts w:hint="eastAsia"/>
                <w:b/>
                <w:bCs/>
                <w:vertAlign w:val="baseline"/>
                <w:lang w:val="en-US" w:eastAsia="zh-CN"/>
              </w:rPr>
              <w:t>高（m）</w:t>
            </w:r>
          </w:p>
        </w:tc>
        <w:tc>
          <w:tcPr>
            <w:tcW w:w="1065" w:type="dxa"/>
            <w:vMerge w:val="continue"/>
            <w:tcBorders>
              <w:tl2br w:val="nil"/>
              <w:tr2bl w:val="nil"/>
            </w:tcBorders>
            <w:vAlign w:val="center"/>
          </w:tcPr>
          <w:p>
            <w:pPr>
              <w:pStyle w:val="30"/>
              <w:widowControl w:val="0"/>
              <w:jc w:val="center"/>
              <w:rPr>
                <w:b/>
                <w:bCs/>
              </w:rPr>
            </w:pPr>
          </w:p>
        </w:tc>
        <w:tc>
          <w:tcPr>
            <w:tcW w:w="750" w:type="dxa"/>
            <w:vMerge w:val="continue"/>
            <w:tcBorders>
              <w:tl2br w:val="nil"/>
              <w:tr2bl w:val="nil"/>
            </w:tcBorders>
            <w:vAlign w:val="center"/>
          </w:tcPr>
          <w:p>
            <w:pPr>
              <w:pStyle w:val="30"/>
              <w:widowControl w:val="0"/>
              <w:jc w:val="center"/>
              <w:rPr>
                <w:b/>
                <w:bCs/>
              </w:rPr>
            </w:pPr>
          </w:p>
        </w:tc>
        <w:tc>
          <w:tcPr>
            <w:tcW w:w="1407" w:type="dxa"/>
            <w:tcBorders>
              <w:tl2br w:val="nil"/>
              <w:tr2bl w:val="nil"/>
            </w:tcBorders>
            <w:vAlign w:val="center"/>
          </w:tcPr>
          <w:p>
            <w:pPr>
              <w:pStyle w:val="30"/>
              <w:widowControl w:val="0"/>
              <w:ind w:firstLine="0" w:firstLineChars="0"/>
              <w:jc w:val="center"/>
              <w:rPr>
                <w:rFonts w:hint="default"/>
                <w:b/>
                <w:bCs/>
                <w:vertAlign w:val="baseline"/>
                <w:lang w:val="en-US" w:eastAsia="zh-CN"/>
              </w:rPr>
            </w:pPr>
            <w:r>
              <w:rPr>
                <w:rFonts w:hint="eastAsia"/>
                <w:b/>
                <w:bCs/>
                <w:vertAlign w:val="baseline"/>
                <w:lang w:val="en-US" w:eastAsia="zh-CN"/>
              </w:rPr>
              <w:t>NH</w:t>
            </w:r>
            <w:r>
              <w:rPr>
                <w:rFonts w:hint="eastAsia"/>
                <w:b/>
                <w:bCs/>
                <w:vertAlign w:val="subscript"/>
                <w:lang w:val="en-US" w:eastAsia="zh-CN"/>
              </w:rPr>
              <w:t>3</w:t>
            </w:r>
          </w:p>
        </w:tc>
        <w:tc>
          <w:tcPr>
            <w:tcW w:w="1407" w:type="dxa"/>
            <w:tcBorders>
              <w:tl2br w:val="nil"/>
              <w:tr2bl w:val="nil"/>
            </w:tcBorders>
            <w:vAlign w:val="center"/>
          </w:tcPr>
          <w:p>
            <w:pPr>
              <w:pStyle w:val="30"/>
              <w:widowControl w:val="0"/>
              <w:ind w:firstLine="0" w:firstLineChars="0"/>
              <w:jc w:val="center"/>
              <w:rPr>
                <w:rFonts w:hint="default"/>
                <w:b/>
                <w:bCs/>
                <w:vertAlign w:val="baseline"/>
                <w:lang w:val="en-US" w:eastAsia="zh-CN"/>
              </w:rPr>
            </w:pPr>
            <w:r>
              <w:rPr>
                <w:rFonts w:hint="eastAsia"/>
                <w:b/>
                <w:bCs/>
                <w:vertAlign w:val="baseline"/>
                <w:lang w:val="en-US" w:eastAsia="zh-CN"/>
              </w:rPr>
              <w:t>H</w:t>
            </w:r>
            <w:r>
              <w:rPr>
                <w:rFonts w:hint="eastAsia"/>
                <w:b/>
                <w:bCs/>
                <w:vertAlign w:val="subscript"/>
                <w:lang w:val="en-US" w:eastAsia="zh-CN"/>
              </w:rPr>
              <w:t>2</w:t>
            </w:r>
            <w:r>
              <w:rPr>
                <w:rFonts w:hint="eastAsia"/>
                <w:b/>
                <w:bCs/>
                <w:vertAlign w:val="baseline"/>
                <w:lang w:val="en-US" w:eastAsia="zh-CN"/>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857" w:type="dxa"/>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屠宰车间</w:t>
            </w:r>
          </w:p>
        </w:tc>
        <w:tc>
          <w:tcPr>
            <w:tcW w:w="1069" w:type="dxa"/>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生猪</w:t>
            </w:r>
          </w:p>
        </w:tc>
        <w:tc>
          <w:tcPr>
            <w:tcW w:w="880" w:type="dxa"/>
            <w:vMerge w:val="restar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highlight w:val="none"/>
                <w:vertAlign w:val="baseline"/>
                <w:lang w:val="en-US" w:eastAsia="zh-CN"/>
              </w:rPr>
              <w:t>150</w:t>
            </w:r>
          </w:p>
        </w:tc>
        <w:tc>
          <w:tcPr>
            <w:tcW w:w="880" w:type="dxa"/>
            <w:vMerge w:val="restar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highlight w:val="none"/>
                <w:vertAlign w:val="baseline"/>
                <w:lang w:val="en-US" w:eastAsia="zh-CN"/>
              </w:rPr>
              <w:t>64</w:t>
            </w:r>
          </w:p>
        </w:tc>
        <w:tc>
          <w:tcPr>
            <w:tcW w:w="880" w:type="dxa"/>
            <w:vMerge w:val="restart"/>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highlight w:val="none"/>
                <w:vertAlign w:val="baseline"/>
                <w:lang w:val="en-US" w:eastAsia="zh-CN"/>
              </w:rPr>
              <w:t>8</w:t>
            </w:r>
          </w:p>
        </w:tc>
        <w:tc>
          <w:tcPr>
            <w:tcW w:w="106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2400</w:t>
            </w:r>
          </w:p>
        </w:tc>
        <w:tc>
          <w:tcPr>
            <w:tcW w:w="750" w:type="dxa"/>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正常</w:t>
            </w:r>
          </w:p>
        </w:tc>
        <w:tc>
          <w:tcPr>
            <w:tcW w:w="1407" w:type="dxa"/>
            <w:tcBorders>
              <w:tl2br w:val="nil"/>
              <w:tr2bl w:val="nil"/>
            </w:tcBorders>
            <w:vAlign w:val="center"/>
          </w:tcPr>
          <w:p>
            <w:pPr>
              <w:pStyle w:val="30"/>
              <w:widowControl w:val="0"/>
              <w:rPr>
                <w:rFonts w:hint="default"/>
                <w:lang w:val="en-US" w:eastAsia="zh-CN"/>
              </w:rPr>
            </w:pPr>
            <w:r>
              <w:rPr>
                <w:rFonts w:hint="eastAsia"/>
                <w:lang w:val="en-US" w:eastAsia="zh-CN"/>
              </w:rPr>
              <w:t>0.022</w:t>
            </w:r>
          </w:p>
        </w:tc>
        <w:tc>
          <w:tcPr>
            <w:tcW w:w="1407" w:type="dxa"/>
            <w:tcBorders>
              <w:tl2br w:val="nil"/>
              <w:tr2bl w:val="nil"/>
            </w:tcBorders>
            <w:vAlign w:val="center"/>
          </w:tcPr>
          <w:p>
            <w:pPr>
              <w:pStyle w:val="30"/>
              <w:widowControl w:val="0"/>
              <w:rPr>
                <w:rFonts w:hint="default"/>
                <w:lang w:val="en-US" w:eastAsia="zh-CN"/>
              </w:rPr>
            </w:pPr>
            <w:r>
              <w:rPr>
                <w:rFonts w:hint="eastAsia"/>
                <w:lang w:val="en-US" w:eastAsia="zh-CN"/>
              </w:rPr>
              <w:t>0.0045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857" w:type="dxa"/>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1069"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肉牛</w:t>
            </w:r>
          </w:p>
        </w:tc>
        <w:tc>
          <w:tcPr>
            <w:tcW w:w="88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highlight w:val="none"/>
                <w:vertAlign w:val="baseline"/>
                <w:lang w:val="en-US" w:eastAsia="zh-CN"/>
              </w:rPr>
              <w:t>65</w:t>
            </w:r>
          </w:p>
        </w:tc>
        <w:tc>
          <w:tcPr>
            <w:tcW w:w="88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highlight w:val="none"/>
                <w:vertAlign w:val="baseline"/>
                <w:lang w:val="en-US" w:eastAsia="zh-CN"/>
              </w:rPr>
              <w:t>30</w:t>
            </w:r>
          </w:p>
        </w:tc>
        <w:tc>
          <w:tcPr>
            <w:tcW w:w="88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highlight w:val="none"/>
                <w:vertAlign w:val="baseline"/>
                <w:lang w:val="en-US" w:eastAsia="zh-CN"/>
              </w:rPr>
              <w:t>8</w:t>
            </w:r>
          </w:p>
        </w:tc>
        <w:tc>
          <w:tcPr>
            <w:tcW w:w="106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1200</w:t>
            </w:r>
          </w:p>
        </w:tc>
        <w:tc>
          <w:tcPr>
            <w:tcW w:w="750"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正常</w:t>
            </w:r>
          </w:p>
        </w:tc>
        <w:tc>
          <w:tcPr>
            <w:tcW w:w="1407" w:type="dxa"/>
            <w:tcBorders>
              <w:tl2br w:val="nil"/>
              <w:tr2bl w:val="nil"/>
            </w:tcBorders>
            <w:vAlign w:val="center"/>
          </w:tcPr>
          <w:p>
            <w:pPr>
              <w:pStyle w:val="30"/>
              <w:widowControl w:val="0"/>
              <w:rPr>
                <w:rFonts w:hint="default"/>
                <w:lang w:val="en-US" w:eastAsia="zh-CN"/>
              </w:rPr>
            </w:pPr>
            <w:r>
              <w:rPr>
                <w:rFonts w:hint="eastAsia"/>
                <w:lang w:val="en-US" w:eastAsia="zh-CN"/>
              </w:rPr>
              <w:t>0.0144</w:t>
            </w:r>
          </w:p>
        </w:tc>
        <w:tc>
          <w:tcPr>
            <w:tcW w:w="1407" w:type="dxa"/>
            <w:tcBorders>
              <w:tl2br w:val="nil"/>
              <w:tr2bl w:val="nil"/>
            </w:tcBorders>
            <w:vAlign w:val="center"/>
          </w:tcPr>
          <w:p>
            <w:pPr>
              <w:pStyle w:val="30"/>
              <w:widowControl w:val="0"/>
              <w:rPr>
                <w:rFonts w:hint="default"/>
                <w:lang w:val="en-US" w:eastAsia="zh-CN"/>
              </w:rPr>
            </w:pPr>
            <w:r>
              <w:rPr>
                <w:rFonts w:hint="eastAsia"/>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w:t>
            </w:r>
          </w:p>
        </w:tc>
        <w:tc>
          <w:tcPr>
            <w:tcW w:w="1926" w:type="dxa"/>
            <w:gridSpan w:val="2"/>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待宰圈</w:t>
            </w:r>
          </w:p>
        </w:tc>
        <w:tc>
          <w:tcPr>
            <w:tcW w:w="880"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highlight w:val="none"/>
                <w:vertAlign w:val="baseline"/>
                <w:lang w:val="en-US" w:eastAsia="zh-CN"/>
              </w:rPr>
              <w:t>90</w:t>
            </w:r>
          </w:p>
        </w:tc>
        <w:tc>
          <w:tcPr>
            <w:tcW w:w="880"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highlight w:val="none"/>
                <w:vertAlign w:val="baseline"/>
                <w:lang w:val="en-US" w:eastAsia="zh-CN"/>
              </w:rPr>
              <w:t>32</w:t>
            </w:r>
          </w:p>
        </w:tc>
        <w:tc>
          <w:tcPr>
            <w:tcW w:w="880"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highlight w:val="none"/>
                <w:vertAlign w:val="baseline"/>
                <w:lang w:val="en-US" w:eastAsia="zh-CN"/>
              </w:rPr>
              <w:t>5</w:t>
            </w:r>
          </w:p>
        </w:tc>
        <w:tc>
          <w:tcPr>
            <w:tcW w:w="106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7200</w:t>
            </w:r>
          </w:p>
        </w:tc>
        <w:tc>
          <w:tcPr>
            <w:tcW w:w="750"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正常</w:t>
            </w:r>
          </w:p>
        </w:tc>
        <w:tc>
          <w:tcPr>
            <w:tcW w:w="1407" w:type="dxa"/>
            <w:tcBorders>
              <w:tl2br w:val="nil"/>
              <w:tr2bl w:val="nil"/>
            </w:tcBorders>
            <w:vAlign w:val="center"/>
          </w:tcPr>
          <w:p>
            <w:pPr>
              <w:pStyle w:val="30"/>
              <w:widowControl w:val="0"/>
              <w:rPr>
                <w:rFonts w:hint="default"/>
                <w:lang w:val="en-US" w:eastAsia="zh-CN"/>
              </w:rPr>
            </w:pPr>
            <w:r>
              <w:rPr>
                <w:rFonts w:hint="eastAsia"/>
                <w:lang w:val="en-US" w:eastAsia="zh-CN"/>
              </w:rPr>
              <w:t>0.024</w:t>
            </w:r>
          </w:p>
        </w:tc>
        <w:tc>
          <w:tcPr>
            <w:tcW w:w="1407" w:type="dxa"/>
            <w:tcBorders>
              <w:tl2br w:val="nil"/>
              <w:tr2bl w:val="nil"/>
            </w:tcBorders>
            <w:vAlign w:val="center"/>
          </w:tcPr>
          <w:p>
            <w:pPr>
              <w:pStyle w:val="30"/>
              <w:widowControl w:val="0"/>
              <w:rPr>
                <w:rFonts w:hint="default"/>
                <w:lang w:val="en-US" w:eastAsia="zh-CN"/>
              </w:rPr>
            </w:pPr>
            <w:r>
              <w:rPr>
                <w:rFonts w:hint="eastAsia"/>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w:t>
            </w:r>
          </w:p>
        </w:tc>
        <w:tc>
          <w:tcPr>
            <w:tcW w:w="1926" w:type="dxa"/>
            <w:gridSpan w:val="2"/>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污水处理站</w:t>
            </w:r>
          </w:p>
        </w:tc>
        <w:tc>
          <w:tcPr>
            <w:tcW w:w="880"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41</w:t>
            </w:r>
          </w:p>
        </w:tc>
        <w:tc>
          <w:tcPr>
            <w:tcW w:w="880"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25</w:t>
            </w:r>
          </w:p>
        </w:tc>
        <w:tc>
          <w:tcPr>
            <w:tcW w:w="880"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3</w:t>
            </w:r>
          </w:p>
        </w:tc>
        <w:tc>
          <w:tcPr>
            <w:tcW w:w="106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7200</w:t>
            </w:r>
          </w:p>
        </w:tc>
        <w:tc>
          <w:tcPr>
            <w:tcW w:w="750"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正常</w:t>
            </w:r>
          </w:p>
        </w:tc>
        <w:tc>
          <w:tcPr>
            <w:tcW w:w="1407" w:type="dxa"/>
            <w:tcBorders>
              <w:tl2br w:val="nil"/>
              <w:tr2bl w:val="nil"/>
            </w:tcBorders>
            <w:vAlign w:val="center"/>
          </w:tcPr>
          <w:p>
            <w:pPr>
              <w:pStyle w:val="30"/>
              <w:widowControl w:val="0"/>
              <w:rPr>
                <w:rFonts w:hint="default"/>
                <w:lang w:val="en-US" w:eastAsia="zh-CN"/>
              </w:rPr>
            </w:pPr>
            <w:r>
              <w:rPr>
                <w:rFonts w:hint="eastAsia"/>
                <w:lang w:val="en-US" w:eastAsia="zh-CN"/>
              </w:rPr>
              <w:t>0.008</w:t>
            </w:r>
          </w:p>
        </w:tc>
        <w:tc>
          <w:tcPr>
            <w:tcW w:w="1407" w:type="dxa"/>
            <w:tcBorders>
              <w:tl2br w:val="nil"/>
              <w:tr2bl w:val="nil"/>
            </w:tcBorders>
            <w:vAlign w:val="center"/>
          </w:tcPr>
          <w:p>
            <w:pPr>
              <w:pStyle w:val="30"/>
              <w:widowControl w:val="0"/>
              <w:rPr>
                <w:rFonts w:hint="default"/>
                <w:lang w:val="en-US" w:eastAsia="zh-CN"/>
              </w:rPr>
            </w:pPr>
            <w:r>
              <w:rPr>
                <w:rFonts w:hint="eastAsia"/>
                <w:lang w:val="en-US" w:eastAsia="zh-CN"/>
              </w:rPr>
              <w:t>0.0003</w:t>
            </w:r>
          </w:p>
        </w:tc>
      </w:tr>
    </w:tbl>
    <w:p>
      <w:pPr>
        <w:bidi w:val="0"/>
        <w:rPr>
          <w:rFonts w:hint="default"/>
          <w:lang w:val="en-US" w:eastAsia="zh-CN"/>
        </w:rPr>
      </w:pPr>
      <w:r>
        <w:rPr>
          <w:rFonts w:hint="eastAsia"/>
          <w:lang w:val="en-US" w:eastAsia="zh-CN"/>
        </w:rPr>
        <w:t>F预测结果及影响分析</w:t>
      </w:r>
    </w:p>
    <w:p>
      <w:pPr>
        <w:bidi w:val="0"/>
        <w:rPr>
          <w:rFonts w:hint="default"/>
          <w:lang w:val="en-US" w:eastAsia="zh-CN"/>
        </w:rPr>
      </w:pPr>
      <w:r>
        <w:rPr>
          <w:rFonts w:hint="eastAsia"/>
          <w:lang w:val="en-US" w:eastAsia="zh-CN"/>
        </w:rPr>
        <w:t>根据</w:t>
      </w:r>
      <w:r>
        <w:rPr>
          <w:rFonts w:hint="eastAsia"/>
          <w:vertAlign w:val="baseline"/>
          <w:lang w:val="en-US" w:eastAsia="zh-CN"/>
        </w:rPr>
        <w:t>《环境影响评价技术导则 大气环境》（HJ2.2-2018）中推荐的估算模式（AERSCREEN），计算个污染源的在正常工况下排放时各预测点位的落地浓度及浓度占标率，具体预测结果见下表。</w:t>
      </w:r>
    </w:p>
    <w:p>
      <w:pPr>
        <w:pStyle w:val="29"/>
        <w:bidi w:val="0"/>
        <w:rPr>
          <w:rFonts w:hint="eastAsia"/>
          <w:highlight w:val="none"/>
          <w:lang w:val="en-US" w:eastAsia="zh-CN"/>
        </w:rPr>
      </w:pPr>
      <w:r>
        <w:rPr>
          <w:rFonts w:hint="eastAsia"/>
          <w:highlight w:val="none"/>
          <w:lang w:val="en-US" w:eastAsia="zh-CN"/>
        </w:rPr>
        <w:t>表5.2-11  恶臭有组织（排气筒P1）排放预测计算结果</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988"/>
        <w:gridCol w:w="1988"/>
        <w:gridCol w:w="1988"/>
        <w:gridCol w:w="1899"/>
        <w:gridCol w:w="175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033" w:type="pct"/>
            <w:vMerge w:val="restart"/>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textAlignment w:val="auto"/>
              <w:rPr>
                <w:highlight w:val="none"/>
              </w:rPr>
            </w:pPr>
            <w:r>
              <w:rPr>
                <w:highlight w:val="none"/>
              </w:rPr>
              <w:t>下风向距离</w:t>
            </w:r>
          </w:p>
        </w:tc>
        <w:tc>
          <w:tcPr>
            <w:tcW w:w="3966" w:type="pct"/>
            <w:gridSpan w:val="4"/>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textAlignment w:val="auto"/>
              <w:rPr>
                <w:highlight w:val="none"/>
              </w:rPr>
            </w:pPr>
            <w:r>
              <w:rPr>
                <w:highlight w:val="none"/>
              </w:rPr>
              <w:t>P1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033" w:type="pct"/>
            <w:vMerge w:val="continue"/>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textAlignment w:val="auto"/>
              <w:rPr>
                <w:highlight w:val="none"/>
              </w:rPr>
            </w:pPr>
          </w:p>
        </w:tc>
        <w:tc>
          <w:tcPr>
            <w:tcW w:w="1033" w:type="pct"/>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textAlignment w:val="auto"/>
              <w:rPr>
                <w:highlight w:val="none"/>
              </w:rPr>
            </w:pPr>
            <w:r>
              <w:rPr>
                <w:highlight w:val="none"/>
              </w:rPr>
              <w:t>NH</w:t>
            </w:r>
            <w:r>
              <w:rPr>
                <w:highlight w:val="none"/>
                <w:vertAlign w:val="subscript"/>
              </w:rPr>
              <w:t>3</w:t>
            </w:r>
            <w:r>
              <w:rPr>
                <w:highlight w:val="none"/>
              </w:rPr>
              <w:t>浓度(μg/m³)</w:t>
            </w:r>
          </w:p>
        </w:tc>
        <w:tc>
          <w:tcPr>
            <w:tcW w:w="1033" w:type="pct"/>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textAlignment w:val="auto"/>
              <w:rPr>
                <w:highlight w:val="none"/>
              </w:rPr>
            </w:pPr>
            <w:r>
              <w:rPr>
                <w:highlight w:val="none"/>
              </w:rPr>
              <w:t>NH</w:t>
            </w:r>
            <w:r>
              <w:rPr>
                <w:highlight w:val="none"/>
                <w:vertAlign w:val="subscript"/>
              </w:rPr>
              <w:t>3</w:t>
            </w:r>
            <w:r>
              <w:rPr>
                <w:highlight w:val="none"/>
              </w:rPr>
              <w:t>占标率(%)</w:t>
            </w:r>
          </w:p>
        </w:tc>
        <w:tc>
          <w:tcPr>
            <w:tcW w:w="987" w:type="pct"/>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textAlignment w:val="auto"/>
              <w:rPr>
                <w:highlight w:val="none"/>
              </w:rPr>
            </w:pPr>
            <w:r>
              <w:rPr>
                <w:highlight w:val="none"/>
              </w:rPr>
              <w:t>H</w:t>
            </w:r>
            <w:r>
              <w:rPr>
                <w:highlight w:val="none"/>
                <w:vertAlign w:val="subscript"/>
              </w:rPr>
              <w:t>2</w:t>
            </w:r>
            <w:r>
              <w:rPr>
                <w:highlight w:val="none"/>
              </w:rPr>
              <w:t>S浓度(μg/m³)</w:t>
            </w:r>
          </w:p>
        </w:tc>
        <w:tc>
          <w:tcPr>
            <w:tcW w:w="913" w:type="pct"/>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textAlignment w:val="auto"/>
              <w:rPr>
                <w:highlight w:val="none"/>
              </w:rPr>
            </w:pPr>
            <w:r>
              <w:rPr>
                <w:highlight w:val="none"/>
              </w:rPr>
              <w:t>H</w:t>
            </w:r>
            <w:r>
              <w:rPr>
                <w:highlight w:val="none"/>
                <w:vertAlign w:val="subscript"/>
              </w:rPr>
              <w:t>2</w:t>
            </w:r>
            <w:r>
              <w:rPr>
                <w:highlight w:val="none"/>
              </w:rPr>
              <w:t>S占标率(%)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50.0</w:t>
            </w:r>
          </w:p>
        </w:tc>
        <w:tc>
          <w:tcPr>
            <w:tcW w:w="1988" w:type="dxa"/>
            <w:tcBorders>
              <w:tl2br w:val="nil"/>
              <w:tr2bl w:val="nil"/>
            </w:tcBorders>
            <w:vAlign w:val="center"/>
          </w:tcPr>
          <w:p>
            <w:pPr>
              <w:pStyle w:val="30"/>
              <w:bidi w:val="0"/>
              <w:rPr>
                <w:highlight w:val="none"/>
              </w:rPr>
            </w:pPr>
            <w:r>
              <w:rPr>
                <w:highlight w:val="none"/>
              </w:rPr>
              <w:t>0.8015</w:t>
            </w:r>
          </w:p>
        </w:tc>
        <w:tc>
          <w:tcPr>
            <w:tcW w:w="1988" w:type="dxa"/>
            <w:tcBorders>
              <w:tl2br w:val="nil"/>
              <w:tr2bl w:val="nil"/>
            </w:tcBorders>
            <w:vAlign w:val="center"/>
          </w:tcPr>
          <w:p>
            <w:pPr>
              <w:pStyle w:val="30"/>
              <w:bidi w:val="0"/>
              <w:rPr>
                <w:highlight w:val="none"/>
              </w:rPr>
            </w:pPr>
            <w:r>
              <w:rPr>
                <w:highlight w:val="none"/>
              </w:rPr>
              <w:t>0.4008</w:t>
            </w:r>
          </w:p>
        </w:tc>
        <w:tc>
          <w:tcPr>
            <w:tcW w:w="1899" w:type="dxa"/>
            <w:tcBorders>
              <w:tl2br w:val="nil"/>
              <w:tr2bl w:val="nil"/>
            </w:tcBorders>
            <w:vAlign w:val="center"/>
          </w:tcPr>
          <w:p>
            <w:pPr>
              <w:pStyle w:val="30"/>
              <w:bidi w:val="0"/>
              <w:rPr>
                <w:highlight w:val="none"/>
              </w:rPr>
            </w:pPr>
            <w:r>
              <w:rPr>
                <w:highlight w:val="none"/>
              </w:rPr>
              <w:t>0.0594</w:t>
            </w:r>
          </w:p>
        </w:tc>
        <w:tc>
          <w:tcPr>
            <w:tcW w:w="1757" w:type="dxa"/>
            <w:tcBorders>
              <w:tl2br w:val="nil"/>
              <w:tr2bl w:val="nil"/>
            </w:tcBorders>
            <w:vAlign w:val="center"/>
          </w:tcPr>
          <w:p>
            <w:pPr>
              <w:pStyle w:val="30"/>
              <w:bidi w:val="0"/>
              <w:rPr>
                <w:highlight w:val="none"/>
              </w:rPr>
            </w:pPr>
            <w:r>
              <w:rPr>
                <w:highlight w:val="none"/>
              </w:rPr>
              <w:t>0.5937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100.0</w:t>
            </w:r>
          </w:p>
        </w:tc>
        <w:tc>
          <w:tcPr>
            <w:tcW w:w="1988" w:type="dxa"/>
            <w:tcBorders>
              <w:tl2br w:val="nil"/>
              <w:tr2bl w:val="nil"/>
            </w:tcBorders>
            <w:vAlign w:val="center"/>
          </w:tcPr>
          <w:p>
            <w:pPr>
              <w:pStyle w:val="30"/>
              <w:bidi w:val="0"/>
              <w:rPr>
                <w:highlight w:val="none"/>
              </w:rPr>
            </w:pPr>
            <w:r>
              <w:rPr>
                <w:highlight w:val="none"/>
              </w:rPr>
              <w:t>4.5446</w:t>
            </w:r>
          </w:p>
        </w:tc>
        <w:tc>
          <w:tcPr>
            <w:tcW w:w="1988" w:type="dxa"/>
            <w:tcBorders>
              <w:tl2br w:val="nil"/>
              <w:tr2bl w:val="nil"/>
            </w:tcBorders>
            <w:vAlign w:val="center"/>
          </w:tcPr>
          <w:p>
            <w:pPr>
              <w:pStyle w:val="30"/>
              <w:bidi w:val="0"/>
              <w:rPr>
                <w:highlight w:val="none"/>
              </w:rPr>
            </w:pPr>
            <w:r>
              <w:rPr>
                <w:highlight w:val="none"/>
              </w:rPr>
              <w:t>2.2723</w:t>
            </w:r>
          </w:p>
        </w:tc>
        <w:tc>
          <w:tcPr>
            <w:tcW w:w="1899" w:type="dxa"/>
            <w:tcBorders>
              <w:tl2br w:val="nil"/>
              <w:tr2bl w:val="nil"/>
            </w:tcBorders>
            <w:vAlign w:val="center"/>
          </w:tcPr>
          <w:p>
            <w:pPr>
              <w:pStyle w:val="30"/>
              <w:bidi w:val="0"/>
              <w:rPr>
                <w:highlight w:val="none"/>
              </w:rPr>
            </w:pPr>
            <w:r>
              <w:rPr>
                <w:highlight w:val="none"/>
              </w:rPr>
              <w:t>0.3366</w:t>
            </w:r>
          </w:p>
        </w:tc>
        <w:tc>
          <w:tcPr>
            <w:tcW w:w="1757" w:type="dxa"/>
            <w:tcBorders>
              <w:tl2br w:val="nil"/>
              <w:tr2bl w:val="nil"/>
            </w:tcBorders>
            <w:vAlign w:val="center"/>
          </w:tcPr>
          <w:p>
            <w:pPr>
              <w:pStyle w:val="30"/>
              <w:bidi w:val="0"/>
              <w:rPr>
                <w:highlight w:val="none"/>
              </w:rPr>
            </w:pPr>
            <w:r>
              <w:rPr>
                <w:highlight w:val="none"/>
              </w:rPr>
              <w:t>3.3664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200.0</w:t>
            </w:r>
          </w:p>
        </w:tc>
        <w:tc>
          <w:tcPr>
            <w:tcW w:w="1988" w:type="dxa"/>
            <w:tcBorders>
              <w:tl2br w:val="nil"/>
              <w:tr2bl w:val="nil"/>
            </w:tcBorders>
            <w:vAlign w:val="center"/>
          </w:tcPr>
          <w:p>
            <w:pPr>
              <w:pStyle w:val="30"/>
              <w:bidi w:val="0"/>
              <w:rPr>
                <w:highlight w:val="none"/>
              </w:rPr>
            </w:pPr>
            <w:r>
              <w:rPr>
                <w:rFonts w:hint="eastAsia"/>
                <w:highlight w:val="none"/>
                <w:lang w:val="en-US" w:eastAsia="zh-CN"/>
              </w:rPr>
              <w:t>18</w:t>
            </w:r>
            <w:r>
              <w:rPr>
                <w:highlight w:val="none"/>
              </w:rPr>
              <w:t>.4030</w:t>
            </w:r>
          </w:p>
        </w:tc>
        <w:tc>
          <w:tcPr>
            <w:tcW w:w="1988" w:type="dxa"/>
            <w:tcBorders>
              <w:tl2br w:val="nil"/>
              <w:tr2bl w:val="nil"/>
            </w:tcBorders>
            <w:vAlign w:val="center"/>
          </w:tcPr>
          <w:p>
            <w:pPr>
              <w:pStyle w:val="30"/>
              <w:bidi w:val="0"/>
              <w:rPr>
                <w:highlight w:val="none"/>
              </w:rPr>
            </w:pPr>
            <w:r>
              <w:rPr>
                <w:rFonts w:hint="eastAsia"/>
                <w:highlight w:val="none"/>
                <w:lang w:val="en-US" w:eastAsia="zh-CN"/>
              </w:rPr>
              <w:t>9</w:t>
            </w:r>
            <w:r>
              <w:rPr>
                <w:highlight w:val="none"/>
              </w:rPr>
              <w:t>.7015</w:t>
            </w:r>
          </w:p>
        </w:tc>
        <w:tc>
          <w:tcPr>
            <w:tcW w:w="1899" w:type="dxa"/>
            <w:tcBorders>
              <w:tl2br w:val="nil"/>
              <w:tr2bl w:val="nil"/>
            </w:tcBorders>
            <w:vAlign w:val="center"/>
          </w:tcPr>
          <w:p>
            <w:pPr>
              <w:pStyle w:val="30"/>
              <w:bidi w:val="0"/>
              <w:rPr>
                <w:highlight w:val="none"/>
              </w:rPr>
            </w:pPr>
            <w:r>
              <w:rPr>
                <w:rFonts w:hint="eastAsia"/>
                <w:highlight w:val="none"/>
                <w:lang w:val="en-US" w:eastAsia="zh-CN"/>
              </w:rPr>
              <w:t>0</w:t>
            </w:r>
            <w:r>
              <w:rPr>
                <w:highlight w:val="none"/>
              </w:rPr>
              <w:t>.5113</w:t>
            </w:r>
          </w:p>
        </w:tc>
        <w:tc>
          <w:tcPr>
            <w:tcW w:w="1757" w:type="dxa"/>
            <w:tcBorders>
              <w:tl2br w:val="nil"/>
              <w:tr2bl w:val="nil"/>
            </w:tcBorders>
            <w:vAlign w:val="center"/>
          </w:tcPr>
          <w:p>
            <w:pPr>
              <w:pStyle w:val="30"/>
              <w:bidi w:val="0"/>
              <w:rPr>
                <w:highlight w:val="none"/>
              </w:rPr>
            </w:pPr>
            <w:r>
              <w:rPr>
                <w:rFonts w:hint="eastAsia"/>
                <w:highlight w:val="none"/>
                <w:lang w:val="en-US" w:eastAsia="zh-CN"/>
              </w:rPr>
              <w:t>9</w:t>
            </w:r>
            <w:r>
              <w:rPr>
                <w:highlight w:val="none"/>
              </w:rPr>
              <w:t>.1133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300.0</w:t>
            </w:r>
          </w:p>
        </w:tc>
        <w:tc>
          <w:tcPr>
            <w:tcW w:w="1988" w:type="dxa"/>
            <w:tcBorders>
              <w:tl2br w:val="nil"/>
              <w:tr2bl w:val="nil"/>
            </w:tcBorders>
            <w:vAlign w:val="center"/>
          </w:tcPr>
          <w:p>
            <w:pPr>
              <w:pStyle w:val="30"/>
              <w:bidi w:val="0"/>
              <w:rPr>
                <w:highlight w:val="none"/>
              </w:rPr>
            </w:pPr>
            <w:r>
              <w:rPr>
                <w:highlight w:val="none"/>
              </w:rPr>
              <w:t>15.0800</w:t>
            </w:r>
          </w:p>
        </w:tc>
        <w:tc>
          <w:tcPr>
            <w:tcW w:w="1988" w:type="dxa"/>
            <w:tcBorders>
              <w:tl2br w:val="nil"/>
              <w:tr2bl w:val="nil"/>
            </w:tcBorders>
            <w:vAlign w:val="center"/>
          </w:tcPr>
          <w:p>
            <w:pPr>
              <w:pStyle w:val="30"/>
              <w:bidi w:val="0"/>
              <w:rPr>
                <w:highlight w:val="none"/>
              </w:rPr>
            </w:pPr>
            <w:r>
              <w:rPr>
                <w:highlight w:val="none"/>
              </w:rPr>
              <w:t>7.5400</w:t>
            </w:r>
          </w:p>
        </w:tc>
        <w:tc>
          <w:tcPr>
            <w:tcW w:w="1899" w:type="dxa"/>
            <w:tcBorders>
              <w:tl2br w:val="nil"/>
              <w:tr2bl w:val="nil"/>
            </w:tcBorders>
            <w:vAlign w:val="center"/>
          </w:tcPr>
          <w:p>
            <w:pPr>
              <w:pStyle w:val="30"/>
              <w:bidi w:val="0"/>
              <w:rPr>
                <w:highlight w:val="none"/>
              </w:rPr>
            </w:pPr>
            <w:r>
              <w:rPr>
                <w:rFonts w:hint="eastAsia"/>
                <w:highlight w:val="none"/>
                <w:lang w:val="en-US" w:eastAsia="zh-CN"/>
              </w:rPr>
              <w:t>0</w:t>
            </w:r>
            <w:r>
              <w:rPr>
                <w:highlight w:val="none"/>
              </w:rPr>
              <w:t>.1170</w:t>
            </w:r>
          </w:p>
        </w:tc>
        <w:tc>
          <w:tcPr>
            <w:tcW w:w="1757" w:type="dxa"/>
            <w:tcBorders>
              <w:tl2br w:val="nil"/>
              <w:tr2bl w:val="nil"/>
            </w:tcBorders>
            <w:vAlign w:val="center"/>
          </w:tcPr>
          <w:p>
            <w:pPr>
              <w:pStyle w:val="30"/>
              <w:bidi w:val="0"/>
              <w:rPr>
                <w:highlight w:val="none"/>
              </w:rPr>
            </w:pPr>
            <w:r>
              <w:rPr>
                <w:rFonts w:hint="eastAsia"/>
                <w:highlight w:val="none"/>
                <w:lang w:val="en-US" w:eastAsia="zh-CN"/>
              </w:rPr>
              <w:t>8</w:t>
            </w:r>
            <w:r>
              <w:rPr>
                <w:highlight w:val="none"/>
              </w:rPr>
              <w:t>.1704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400.0</w:t>
            </w:r>
          </w:p>
        </w:tc>
        <w:tc>
          <w:tcPr>
            <w:tcW w:w="1988" w:type="dxa"/>
            <w:tcBorders>
              <w:tl2br w:val="nil"/>
              <w:tr2bl w:val="nil"/>
            </w:tcBorders>
            <w:vAlign w:val="center"/>
          </w:tcPr>
          <w:p>
            <w:pPr>
              <w:pStyle w:val="30"/>
              <w:bidi w:val="0"/>
              <w:rPr>
                <w:highlight w:val="none"/>
              </w:rPr>
            </w:pPr>
            <w:r>
              <w:rPr>
                <w:highlight w:val="none"/>
              </w:rPr>
              <w:t>18.9620</w:t>
            </w:r>
          </w:p>
        </w:tc>
        <w:tc>
          <w:tcPr>
            <w:tcW w:w="1988" w:type="dxa"/>
            <w:tcBorders>
              <w:tl2br w:val="nil"/>
              <w:tr2bl w:val="nil"/>
            </w:tcBorders>
            <w:vAlign w:val="center"/>
          </w:tcPr>
          <w:p>
            <w:pPr>
              <w:pStyle w:val="30"/>
              <w:bidi w:val="0"/>
              <w:rPr>
                <w:highlight w:val="none"/>
              </w:rPr>
            </w:pPr>
            <w:r>
              <w:rPr>
                <w:highlight w:val="none"/>
              </w:rPr>
              <w:t>9.4810</w:t>
            </w:r>
          </w:p>
        </w:tc>
        <w:tc>
          <w:tcPr>
            <w:tcW w:w="1899" w:type="dxa"/>
            <w:tcBorders>
              <w:tl2br w:val="nil"/>
              <w:tr2bl w:val="nil"/>
            </w:tcBorders>
            <w:vAlign w:val="center"/>
          </w:tcPr>
          <w:p>
            <w:pPr>
              <w:pStyle w:val="30"/>
              <w:bidi w:val="0"/>
              <w:rPr>
                <w:highlight w:val="none"/>
              </w:rPr>
            </w:pPr>
            <w:r>
              <w:rPr>
                <w:rFonts w:hint="eastAsia"/>
                <w:highlight w:val="none"/>
                <w:lang w:val="en-US" w:eastAsia="zh-CN"/>
              </w:rPr>
              <w:t>0</w:t>
            </w:r>
            <w:r>
              <w:rPr>
                <w:highlight w:val="none"/>
              </w:rPr>
              <w:t>.4046</w:t>
            </w:r>
          </w:p>
        </w:tc>
        <w:tc>
          <w:tcPr>
            <w:tcW w:w="1757" w:type="dxa"/>
            <w:tcBorders>
              <w:tl2br w:val="nil"/>
              <w:tr2bl w:val="nil"/>
            </w:tcBorders>
            <w:vAlign w:val="center"/>
          </w:tcPr>
          <w:p>
            <w:pPr>
              <w:pStyle w:val="30"/>
              <w:bidi w:val="0"/>
              <w:rPr>
                <w:highlight w:val="none"/>
              </w:rPr>
            </w:pPr>
            <w:r>
              <w:rPr>
                <w:rFonts w:hint="eastAsia"/>
                <w:highlight w:val="none"/>
                <w:lang w:val="en-US" w:eastAsia="zh-CN"/>
              </w:rPr>
              <w:t>8</w:t>
            </w:r>
            <w:r>
              <w:rPr>
                <w:highlight w:val="none"/>
              </w:rPr>
              <w:t>.0459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500.0</w:t>
            </w:r>
          </w:p>
        </w:tc>
        <w:tc>
          <w:tcPr>
            <w:tcW w:w="1988" w:type="dxa"/>
            <w:tcBorders>
              <w:tl2br w:val="nil"/>
              <w:tr2bl w:val="nil"/>
            </w:tcBorders>
            <w:vAlign w:val="center"/>
          </w:tcPr>
          <w:p>
            <w:pPr>
              <w:pStyle w:val="30"/>
              <w:bidi w:val="0"/>
              <w:rPr>
                <w:highlight w:val="none"/>
              </w:rPr>
            </w:pPr>
            <w:r>
              <w:rPr>
                <w:highlight w:val="none"/>
              </w:rPr>
              <w:t>15.2330</w:t>
            </w:r>
          </w:p>
        </w:tc>
        <w:tc>
          <w:tcPr>
            <w:tcW w:w="1988" w:type="dxa"/>
            <w:tcBorders>
              <w:tl2br w:val="nil"/>
              <w:tr2bl w:val="nil"/>
            </w:tcBorders>
            <w:vAlign w:val="center"/>
          </w:tcPr>
          <w:p>
            <w:pPr>
              <w:pStyle w:val="30"/>
              <w:bidi w:val="0"/>
              <w:rPr>
                <w:highlight w:val="none"/>
              </w:rPr>
            </w:pPr>
            <w:r>
              <w:rPr>
                <w:highlight w:val="none"/>
              </w:rPr>
              <w:t>7.6165</w:t>
            </w:r>
          </w:p>
        </w:tc>
        <w:tc>
          <w:tcPr>
            <w:tcW w:w="1899" w:type="dxa"/>
            <w:tcBorders>
              <w:tl2br w:val="nil"/>
              <w:tr2bl w:val="nil"/>
            </w:tcBorders>
            <w:vAlign w:val="center"/>
          </w:tcPr>
          <w:p>
            <w:pPr>
              <w:pStyle w:val="30"/>
              <w:bidi w:val="0"/>
              <w:rPr>
                <w:highlight w:val="none"/>
              </w:rPr>
            </w:pPr>
            <w:r>
              <w:rPr>
                <w:rFonts w:hint="eastAsia"/>
                <w:highlight w:val="none"/>
                <w:lang w:val="en-US" w:eastAsia="zh-CN"/>
              </w:rPr>
              <w:t>0</w:t>
            </w:r>
            <w:r>
              <w:rPr>
                <w:highlight w:val="none"/>
              </w:rPr>
              <w:t>.1284</w:t>
            </w:r>
          </w:p>
        </w:tc>
        <w:tc>
          <w:tcPr>
            <w:tcW w:w="1757" w:type="dxa"/>
            <w:tcBorders>
              <w:tl2br w:val="nil"/>
              <w:tr2bl w:val="nil"/>
            </w:tcBorders>
            <w:vAlign w:val="center"/>
          </w:tcPr>
          <w:p>
            <w:pPr>
              <w:pStyle w:val="30"/>
              <w:bidi w:val="0"/>
              <w:rPr>
                <w:highlight w:val="none"/>
              </w:rPr>
            </w:pPr>
            <w:r>
              <w:rPr>
                <w:rFonts w:hint="eastAsia"/>
                <w:highlight w:val="none"/>
                <w:lang w:val="en-US" w:eastAsia="zh-CN"/>
              </w:rPr>
              <w:t>9</w:t>
            </w:r>
            <w:r>
              <w:rPr>
                <w:highlight w:val="none"/>
              </w:rPr>
              <w:t>.2837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600.0</w:t>
            </w:r>
          </w:p>
        </w:tc>
        <w:tc>
          <w:tcPr>
            <w:tcW w:w="1988" w:type="dxa"/>
            <w:tcBorders>
              <w:tl2br w:val="nil"/>
              <w:tr2bl w:val="nil"/>
            </w:tcBorders>
            <w:vAlign w:val="center"/>
          </w:tcPr>
          <w:p>
            <w:pPr>
              <w:pStyle w:val="30"/>
              <w:bidi w:val="0"/>
              <w:rPr>
                <w:highlight w:val="none"/>
              </w:rPr>
            </w:pPr>
            <w:r>
              <w:rPr>
                <w:highlight w:val="none"/>
              </w:rPr>
              <w:t>12.6220</w:t>
            </w:r>
          </w:p>
        </w:tc>
        <w:tc>
          <w:tcPr>
            <w:tcW w:w="1988" w:type="dxa"/>
            <w:tcBorders>
              <w:tl2br w:val="nil"/>
              <w:tr2bl w:val="nil"/>
            </w:tcBorders>
            <w:vAlign w:val="center"/>
          </w:tcPr>
          <w:p>
            <w:pPr>
              <w:pStyle w:val="30"/>
              <w:bidi w:val="0"/>
              <w:rPr>
                <w:highlight w:val="none"/>
              </w:rPr>
            </w:pPr>
            <w:r>
              <w:rPr>
                <w:highlight w:val="none"/>
              </w:rPr>
              <w:t>6.3110</w:t>
            </w:r>
          </w:p>
        </w:tc>
        <w:tc>
          <w:tcPr>
            <w:tcW w:w="1899" w:type="dxa"/>
            <w:tcBorders>
              <w:tl2br w:val="nil"/>
              <w:tr2bl w:val="nil"/>
            </w:tcBorders>
            <w:vAlign w:val="center"/>
          </w:tcPr>
          <w:p>
            <w:pPr>
              <w:pStyle w:val="30"/>
              <w:bidi w:val="0"/>
              <w:rPr>
                <w:highlight w:val="none"/>
              </w:rPr>
            </w:pPr>
            <w:r>
              <w:rPr>
                <w:highlight w:val="none"/>
              </w:rPr>
              <w:t>0.9350</w:t>
            </w:r>
          </w:p>
        </w:tc>
        <w:tc>
          <w:tcPr>
            <w:tcW w:w="1757" w:type="dxa"/>
            <w:tcBorders>
              <w:tl2br w:val="nil"/>
              <w:tr2bl w:val="nil"/>
            </w:tcBorders>
            <w:vAlign w:val="center"/>
          </w:tcPr>
          <w:p>
            <w:pPr>
              <w:pStyle w:val="30"/>
              <w:bidi w:val="0"/>
              <w:rPr>
                <w:highlight w:val="none"/>
              </w:rPr>
            </w:pPr>
            <w:r>
              <w:rPr>
                <w:highlight w:val="none"/>
              </w:rPr>
              <w:t>9.3496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700.0</w:t>
            </w:r>
          </w:p>
        </w:tc>
        <w:tc>
          <w:tcPr>
            <w:tcW w:w="1988" w:type="dxa"/>
            <w:tcBorders>
              <w:tl2br w:val="nil"/>
              <w:tr2bl w:val="nil"/>
            </w:tcBorders>
            <w:vAlign w:val="center"/>
          </w:tcPr>
          <w:p>
            <w:pPr>
              <w:pStyle w:val="30"/>
              <w:bidi w:val="0"/>
              <w:rPr>
                <w:highlight w:val="none"/>
              </w:rPr>
            </w:pPr>
            <w:r>
              <w:rPr>
                <w:highlight w:val="none"/>
              </w:rPr>
              <w:t>10.6020</w:t>
            </w:r>
          </w:p>
        </w:tc>
        <w:tc>
          <w:tcPr>
            <w:tcW w:w="1988" w:type="dxa"/>
            <w:tcBorders>
              <w:tl2br w:val="nil"/>
              <w:tr2bl w:val="nil"/>
            </w:tcBorders>
            <w:vAlign w:val="center"/>
          </w:tcPr>
          <w:p>
            <w:pPr>
              <w:pStyle w:val="30"/>
              <w:bidi w:val="0"/>
              <w:rPr>
                <w:highlight w:val="none"/>
              </w:rPr>
            </w:pPr>
            <w:r>
              <w:rPr>
                <w:highlight w:val="none"/>
              </w:rPr>
              <w:t>5.3010</w:t>
            </w:r>
          </w:p>
        </w:tc>
        <w:tc>
          <w:tcPr>
            <w:tcW w:w="1899" w:type="dxa"/>
            <w:tcBorders>
              <w:tl2br w:val="nil"/>
              <w:tr2bl w:val="nil"/>
            </w:tcBorders>
            <w:vAlign w:val="center"/>
          </w:tcPr>
          <w:p>
            <w:pPr>
              <w:pStyle w:val="30"/>
              <w:bidi w:val="0"/>
              <w:rPr>
                <w:highlight w:val="none"/>
              </w:rPr>
            </w:pPr>
            <w:r>
              <w:rPr>
                <w:highlight w:val="none"/>
              </w:rPr>
              <w:t>0.7853</w:t>
            </w:r>
          </w:p>
        </w:tc>
        <w:tc>
          <w:tcPr>
            <w:tcW w:w="1757" w:type="dxa"/>
            <w:tcBorders>
              <w:tl2br w:val="nil"/>
              <w:tr2bl w:val="nil"/>
            </w:tcBorders>
            <w:vAlign w:val="center"/>
          </w:tcPr>
          <w:p>
            <w:pPr>
              <w:pStyle w:val="30"/>
              <w:bidi w:val="0"/>
              <w:rPr>
                <w:highlight w:val="none"/>
              </w:rPr>
            </w:pPr>
            <w:r>
              <w:rPr>
                <w:highlight w:val="none"/>
              </w:rPr>
              <w:t>7.8533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800.0</w:t>
            </w:r>
          </w:p>
        </w:tc>
        <w:tc>
          <w:tcPr>
            <w:tcW w:w="1988" w:type="dxa"/>
            <w:tcBorders>
              <w:tl2br w:val="nil"/>
              <w:tr2bl w:val="nil"/>
            </w:tcBorders>
            <w:vAlign w:val="center"/>
          </w:tcPr>
          <w:p>
            <w:pPr>
              <w:pStyle w:val="30"/>
              <w:bidi w:val="0"/>
              <w:rPr>
                <w:highlight w:val="none"/>
              </w:rPr>
            </w:pPr>
            <w:r>
              <w:rPr>
                <w:highlight w:val="none"/>
              </w:rPr>
              <w:t>7.9733</w:t>
            </w:r>
          </w:p>
        </w:tc>
        <w:tc>
          <w:tcPr>
            <w:tcW w:w="1988" w:type="dxa"/>
            <w:tcBorders>
              <w:tl2br w:val="nil"/>
              <w:tr2bl w:val="nil"/>
            </w:tcBorders>
            <w:vAlign w:val="center"/>
          </w:tcPr>
          <w:p>
            <w:pPr>
              <w:pStyle w:val="30"/>
              <w:bidi w:val="0"/>
              <w:rPr>
                <w:highlight w:val="none"/>
              </w:rPr>
            </w:pPr>
            <w:r>
              <w:rPr>
                <w:highlight w:val="none"/>
              </w:rPr>
              <w:t>3.9867</w:t>
            </w:r>
          </w:p>
        </w:tc>
        <w:tc>
          <w:tcPr>
            <w:tcW w:w="1899" w:type="dxa"/>
            <w:tcBorders>
              <w:tl2br w:val="nil"/>
              <w:tr2bl w:val="nil"/>
            </w:tcBorders>
            <w:vAlign w:val="center"/>
          </w:tcPr>
          <w:p>
            <w:pPr>
              <w:pStyle w:val="30"/>
              <w:bidi w:val="0"/>
              <w:rPr>
                <w:highlight w:val="none"/>
              </w:rPr>
            </w:pPr>
            <w:r>
              <w:rPr>
                <w:highlight w:val="none"/>
              </w:rPr>
              <w:t>0.5906</w:t>
            </w:r>
          </w:p>
        </w:tc>
        <w:tc>
          <w:tcPr>
            <w:tcW w:w="1757" w:type="dxa"/>
            <w:tcBorders>
              <w:tl2br w:val="nil"/>
              <w:tr2bl w:val="nil"/>
            </w:tcBorders>
            <w:vAlign w:val="center"/>
          </w:tcPr>
          <w:p>
            <w:pPr>
              <w:pStyle w:val="30"/>
              <w:bidi w:val="0"/>
              <w:rPr>
                <w:highlight w:val="none"/>
              </w:rPr>
            </w:pPr>
            <w:r>
              <w:rPr>
                <w:highlight w:val="none"/>
              </w:rPr>
              <w:t>5.9061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900.0</w:t>
            </w:r>
          </w:p>
        </w:tc>
        <w:tc>
          <w:tcPr>
            <w:tcW w:w="1988" w:type="dxa"/>
            <w:tcBorders>
              <w:tl2br w:val="nil"/>
              <w:tr2bl w:val="nil"/>
            </w:tcBorders>
            <w:vAlign w:val="center"/>
          </w:tcPr>
          <w:p>
            <w:pPr>
              <w:pStyle w:val="30"/>
              <w:bidi w:val="0"/>
              <w:rPr>
                <w:highlight w:val="none"/>
              </w:rPr>
            </w:pPr>
            <w:r>
              <w:rPr>
                <w:highlight w:val="none"/>
              </w:rPr>
              <w:t>7.9086</w:t>
            </w:r>
          </w:p>
        </w:tc>
        <w:tc>
          <w:tcPr>
            <w:tcW w:w="1988" w:type="dxa"/>
            <w:tcBorders>
              <w:tl2br w:val="nil"/>
              <w:tr2bl w:val="nil"/>
            </w:tcBorders>
            <w:vAlign w:val="center"/>
          </w:tcPr>
          <w:p>
            <w:pPr>
              <w:pStyle w:val="30"/>
              <w:bidi w:val="0"/>
              <w:rPr>
                <w:highlight w:val="none"/>
              </w:rPr>
            </w:pPr>
            <w:r>
              <w:rPr>
                <w:highlight w:val="none"/>
              </w:rPr>
              <w:t>3.9543</w:t>
            </w:r>
          </w:p>
        </w:tc>
        <w:tc>
          <w:tcPr>
            <w:tcW w:w="1899" w:type="dxa"/>
            <w:tcBorders>
              <w:tl2br w:val="nil"/>
              <w:tr2bl w:val="nil"/>
            </w:tcBorders>
            <w:vAlign w:val="center"/>
          </w:tcPr>
          <w:p>
            <w:pPr>
              <w:pStyle w:val="30"/>
              <w:bidi w:val="0"/>
              <w:rPr>
                <w:highlight w:val="none"/>
              </w:rPr>
            </w:pPr>
            <w:r>
              <w:rPr>
                <w:highlight w:val="none"/>
              </w:rPr>
              <w:t>0.5858</w:t>
            </w:r>
          </w:p>
        </w:tc>
        <w:tc>
          <w:tcPr>
            <w:tcW w:w="1757" w:type="dxa"/>
            <w:tcBorders>
              <w:tl2br w:val="nil"/>
              <w:tr2bl w:val="nil"/>
            </w:tcBorders>
            <w:vAlign w:val="center"/>
          </w:tcPr>
          <w:p>
            <w:pPr>
              <w:pStyle w:val="30"/>
              <w:bidi w:val="0"/>
              <w:rPr>
                <w:highlight w:val="none"/>
              </w:rPr>
            </w:pPr>
            <w:r>
              <w:rPr>
                <w:highlight w:val="none"/>
              </w:rPr>
              <w:t>5.8582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1000.0</w:t>
            </w:r>
          </w:p>
        </w:tc>
        <w:tc>
          <w:tcPr>
            <w:tcW w:w="1988" w:type="dxa"/>
            <w:tcBorders>
              <w:tl2br w:val="nil"/>
              <w:tr2bl w:val="nil"/>
            </w:tcBorders>
            <w:vAlign w:val="center"/>
          </w:tcPr>
          <w:p>
            <w:pPr>
              <w:pStyle w:val="30"/>
              <w:bidi w:val="0"/>
              <w:rPr>
                <w:highlight w:val="none"/>
              </w:rPr>
            </w:pPr>
            <w:r>
              <w:rPr>
                <w:highlight w:val="none"/>
              </w:rPr>
              <w:t>3.2259</w:t>
            </w:r>
          </w:p>
        </w:tc>
        <w:tc>
          <w:tcPr>
            <w:tcW w:w="1988" w:type="dxa"/>
            <w:tcBorders>
              <w:tl2br w:val="nil"/>
              <w:tr2bl w:val="nil"/>
            </w:tcBorders>
            <w:vAlign w:val="center"/>
          </w:tcPr>
          <w:p>
            <w:pPr>
              <w:pStyle w:val="30"/>
              <w:bidi w:val="0"/>
              <w:rPr>
                <w:highlight w:val="none"/>
              </w:rPr>
            </w:pPr>
            <w:r>
              <w:rPr>
                <w:highlight w:val="none"/>
              </w:rPr>
              <w:t>1.6130</w:t>
            </w:r>
          </w:p>
        </w:tc>
        <w:tc>
          <w:tcPr>
            <w:tcW w:w="1899" w:type="dxa"/>
            <w:tcBorders>
              <w:tl2br w:val="nil"/>
              <w:tr2bl w:val="nil"/>
            </w:tcBorders>
            <w:vAlign w:val="center"/>
          </w:tcPr>
          <w:p>
            <w:pPr>
              <w:pStyle w:val="30"/>
              <w:bidi w:val="0"/>
              <w:rPr>
                <w:highlight w:val="none"/>
              </w:rPr>
            </w:pPr>
            <w:r>
              <w:rPr>
                <w:highlight w:val="none"/>
              </w:rPr>
              <w:t>0.2390</w:t>
            </w:r>
          </w:p>
        </w:tc>
        <w:tc>
          <w:tcPr>
            <w:tcW w:w="1757" w:type="dxa"/>
            <w:tcBorders>
              <w:tl2br w:val="nil"/>
              <w:tr2bl w:val="nil"/>
            </w:tcBorders>
            <w:vAlign w:val="center"/>
          </w:tcPr>
          <w:p>
            <w:pPr>
              <w:pStyle w:val="30"/>
              <w:bidi w:val="0"/>
              <w:rPr>
                <w:highlight w:val="none"/>
              </w:rPr>
            </w:pPr>
            <w:r>
              <w:rPr>
                <w:highlight w:val="none"/>
              </w:rPr>
              <w:t>2.3896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1200.0</w:t>
            </w:r>
          </w:p>
        </w:tc>
        <w:tc>
          <w:tcPr>
            <w:tcW w:w="1988" w:type="dxa"/>
            <w:tcBorders>
              <w:tl2br w:val="nil"/>
              <w:tr2bl w:val="nil"/>
            </w:tcBorders>
            <w:vAlign w:val="center"/>
          </w:tcPr>
          <w:p>
            <w:pPr>
              <w:pStyle w:val="30"/>
              <w:bidi w:val="0"/>
              <w:rPr>
                <w:highlight w:val="none"/>
              </w:rPr>
            </w:pPr>
            <w:r>
              <w:rPr>
                <w:highlight w:val="none"/>
              </w:rPr>
              <w:t>5.3113</w:t>
            </w:r>
          </w:p>
        </w:tc>
        <w:tc>
          <w:tcPr>
            <w:tcW w:w="1988" w:type="dxa"/>
            <w:tcBorders>
              <w:tl2br w:val="nil"/>
              <w:tr2bl w:val="nil"/>
            </w:tcBorders>
            <w:vAlign w:val="center"/>
          </w:tcPr>
          <w:p>
            <w:pPr>
              <w:pStyle w:val="30"/>
              <w:bidi w:val="0"/>
              <w:rPr>
                <w:highlight w:val="none"/>
              </w:rPr>
            </w:pPr>
            <w:r>
              <w:rPr>
                <w:highlight w:val="none"/>
              </w:rPr>
              <w:t>2.6557</w:t>
            </w:r>
          </w:p>
        </w:tc>
        <w:tc>
          <w:tcPr>
            <w:tcW w:w="1899" w:type="dxa"/>
            <w:tcBorders>
              <w:tl2br w:val="nil"/>
              <w:tr2bl w:val="nil"/>
            </w:tcBorders>
            <w:vAlign w:val="center"/>
          </w:tcPr>
          <w:p>
            <w:pPr>
              <w:pStyle w:val="30"/>
              <w:bidi w:val="0"/>
              <w:rPr>
                <w:highlight w:val="none"/>
              </w:rPr>
            </w:pPr>
            <w:r>
              <w:rPr>
                <w:highlight w:val="none"/>
              </w:rPr>
              <w:t>0.3934</w:t>
            </w:r>
          </w:p>
        </w:tc>
        <w:tc>
          <w:tcPr>
            <w:tcW w:w="1757" w:type="dxa"/>
            <w:tcBorders>
              <w:tl2br w:val="nil"/>
              <w:tr2bl w:val="nil"/>
            </w:tcBorders>
            <w:vAlign w:val="center"/>
          </w:tcPr>
          <w:p>
            <w:pPr>
              <w:pStyle w:val="30"/>
              <w:bidi w:val="0"/>
              <w:rPr>
                <w:highlight w:val="none"/>
              </w:rPr>
            </w:pPr>
            <w:r>
              <w:rPr>
                <w:highlight w:val="none"/>
              </w:rPr>
              <w:t>3.9343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1400.0</w:t>
            </w:r>
          </w:p>
        </w:tc>
        <w:tc>
          <w:tcPr>
            <w:tcW w:w="1988" w:type="dxa"/>
            <w:tcBorders>
              <w:tl2br w:val="nil"/>
              <w:tr2bl w:val="nil"/>
            </w:tcBorders>
            <w:vAlign w:val="center"/>
          </w:tcPr>
          <w:p>
            <w:pPr>
              <w:pStyle w:val="30"/>
              <w:bidi w:val="0"/>
              <w:rPr>
                <w:highlight w:val="none"/>
              </w:rPr>
            </w:pPr>
            <w:r>
              <w:rPr>
                <w:highlight w:val="none"/>
              </w:rPr>
              <w:t>2.4467</w:t>
            </w:r>
          </w:p>
        </w:tc>
        <w:tc>
          <w:tcPr>
            <w:tcW w:w="1988" w:type="dxa"/>
            <w:tcBorders>
              <w:tl2br w:val="nil"/>
              <w:tr2bl w:val="nil"/>
            </w:tcBorders>
            <w:vAlign w:val="center"/>
          </w:tcPr>
          <w:p>
            <w:pPr>
              <w:pStyle w:val="30"/>
              <w:bidi w:val="0"/>
              <w:rPr>
                <w:highlight w:val="none"/>
              </w:rPr>
            </w:pPr>
            <w:r>
              <w:rPr>
                <w:highlight w:val="none"/>
              </w:rPr>
              <w:t>1.2233</w:t>
            </w:r>
          </w:p>
        </w:tc>
        <w:tc>
          <w:tcPr>
            <w:tcW w:w="1899" w:type="dxa"/>
            <w:tcBorders>
              <w:tl2br w:val="nil"/>
              <w:tr2bl w:val="nil"/>
            </w:tcBorders>
            <w:vAlign w:val="center"/>
          </w:tcPr>
          <w:p>
            <w:pPr>
              <w:pStyle w:val="30"/>
              <w:bidi w:val="0"/>
              <w:rPr>
                <w:highlight w:val="none"/>
              </w:rPr>
            </w:pPr>
            <w:r>
              <w:rPr>
                <w:highlight w:val="none"/>
              </w:rPr>
              <w:t>0.1812</w:t>
            </w:r>
          </w:p>
        </w:tc>
        <w:tc>
          <w:tcPr>
            <w:tcW w:w="1757" w:type="dxa"/>
            <w:tcBorders>
              <w:tl2br w:val="nil"/>
              <w:tr2bl w:val="nil"/>
            </w:tcBorders>
            <w:vAlign w:val="center"/>
          </w:tcPr>
          <w:p>
            <w:pPr>
              <w:pStyle w:val="30"/>
              <w:bidi w:val="0"/>
              <w:rPr>
                <w:highlight w:val="none"/>
              </w:rPr>
            </w:pPr>
            <w:r>
              <w:rPr>
                <w:highlight w:val="none"/>
              </w:rPr>
              <w:t>1.8124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1600.0</w:t>
            </w:r>
          </w:p>
        </w:tc>
        <w:tc>
          <w:tcPr>
            <w:tcW w:w="1988" w:type="dxa"/>
            <w:tcBorders>
              <w:tl2br w:val="nil"/>
              <w:tr2bl w:val="nil"/>
            </w:tcBorders>
            <w:vAlign w:val="center"/>
          </w:tcPr>
          <w:p>
            <w:pPr>
              <w:pStyle w:val="30"/>
              <w:bidi w:val="0"/>
              <w:rPr>
                <w:highlight w:val="none"/>
              </w:rPr>
            </w:pPr>
            <w:r>
              <w:rPr>
                <w:highlight w:val="none"/>
              </w:rPr>
              <w:t>2.8901</w:t>
            </w:r>
          </w:p>
        </w:tc>
        <w:tc>
          <w:tcPr>
            <w:tcW w:w="1988" w:type="dxa"/>
            <w:tcBorders>
              <w:tl2br w:val="nil"/>
              <w:tr2bl w:val="nil"/>
            </w:tcBorders>
            <w:vAlign w:val="center"/>
          </w:tcPr>
          <w:p>
            <w:pPr>
              <w:pStyle w:val="30"/>
              <w:bidi w:val="0"/>
              <w:rPr>
                <w:highlight w:val="none"/>
              </w:rPr>
            </w:pPr>
            <w:r>
              <w:rPr>
                <w:highlight w:val="none"/>
              </w:rPr>
              <w:t>1.4450</w:t>
            </w:r>
          </w:p>
        </w:tc>
        <w:tc>
          <w:tcPr>
            <w:tcW w:w="1899" w:type="dxa"/>
            <w:tcBorders>
              <w:tl2br w:val="nil"/>
              <w:tr2bl w:val="nil"/>
            </w:tcBorders>
            <w:vAlign w:val="center"/>
          </w:tcPr>
          <w:p>
            <w:pPr>
              <w:pStyle w:val="30"/>
              <w:bidi w:val="0"/>
              <w:rPr>
                <w:highlight w:val="none"/>
              </w:rPr>
            </w:pPr>
            <w:r>
              <w:rPr>
                <w:highlight w:val="none"/>
              </w:rPr>
              <w:t>0.2141</w:t>
            </w:r>
          </w:p>
        </w:tc>
        <w:tc>
          <w:tcPr>
            <w:tcW w:w="1757" w:type="dxa"/>
            <w:tcBorders>
              <w:tl2br w:val="nil"/>
              <w:tr2bl w:val="nil"/>
            </w:tcBorders>
            <w:vAlign w:val="center"/>
          </w:tcPr>
          <w:p>
            <w:pPr>
              <w:pStyle w:val="30"/>
              <w:bidi w:val="0"/>
              <w:rPr>
                <w:highlight w:val="none"/>
              </w:rPr>
            </w:pPr>
            <w:r>
              <w:rPr>
                <w:highlight w:val="none"/>
              </w:rPr>
              <w:t>2.1408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1800.0</w:t>
            </w:r>
          </w:p>
        </w:tc>
        <w:tc>
          <w:tcPr>
            <w:tcW w:w="1988" w:type="dxa"/>
            <w:tcBorders>
              <w:tl2br w:val="nil"/>
              <w:tr2bl w:val="nil"/>
            </w:tcBorders>
            <w:vAlign w:val="center"/>
          </w:tcPr>
          <w:p>
            <w:pPr>
              <w:pStyle w:val="30"/>
              <w:bidi w:val="0"/>
              <w:rPr>
                <w:highlight w:val="none"/>
              </w:rPr>
            </w:pPr>
            <w:r>
              <w:rPr>
                <w:highlight w:val="none"/>
              </w:rPr>
              <w:t>3.3836</w:t>
            </w:r>
          </w:p>
        </w:tc>
        <w:tc>
          <w:tcPr>
            <w:tcW w:w="1988" w:type="dxa"/>
            <w:tcBorders>
              <w:tl2br w:val="nil"/>
              <w:tr2bl w:val="nil"/>
            </w:tcBorders>
            <w:vAlign w:val="center"/>
          </w:tcPr>
          <w:p>
            <w:pPr>
              <w:pStyle w:val="30"/>
              <w:bidi w:val="0"/>
              <w:rPr>
                <w:highlight w:val="none"/>
              </w:rPr>
            </w:pPr>
            <w:r>
              <w:rPr>
                <w:highlight w:val="none"/>
              </w:rPr>
              <w:t>1.6918</w:t>
            </w:r>
          </w:p>
        </w:tc>
        <w:tc>
          <w:tcPr>
            <w:tcW w:w="1899" w:type="dxa"/>
            <w:tcBorders>
              <w:tl2br w:val="nil"/>
              <w:tr2bl w:val="nil"/>
            </w:tcBorders>
            <w:vAlign w:val="center"/>
          </w:tcPr>
          <w:p>
            <w:pPr>
              <w:pStyle w:val="30"/>
              <w:bidi w:val="0"/>
              <w:rPr>
                <w:highlight w:val="none"/>
              </w:rPr>
            </w:pPr>
            <w:r>
              <w:rPr>
                <w:highlight w:val="none"/>
              </w:rPr>
              <w:t>0.2506</w:t>
            </w:r>
          </w:p>
        </w:tc>
        <w:tc>
          <w:tcPr>
            <w:tcW w:w="1757" w:type="dxa"/>
            <w:tcBorders>
              <w:tl2br w:val="nil"/>
              <w:tr2bl w:val="nil"/>
            </w:tcBorders>
            <w:vAlign w:val="center"/>
          </w:tcPr>
          <w:p>
            <w:pPr>
              <w:pStyle w:val="30"/>
              <w:bidi w:val="0"/>
              <w:rPr>
                <w:highlight w:val="none"/>
              </w:rPr>
            </w:pPr>
            <w:r>
              <w:rPr>
                <w:highlight w:val="none"/>
              </w:rPr>
              <w:t>2.5064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2000.0</w:t>
            </w:r>
          </w:p>
        </w:tc>
        <w:tc>
          <w:tcPr>
            <w:tcW w:w="1988" w:type="dxa"/>
            <w:tcBorders>
              <w:tl2br w:val="nil"/>
              <w:tr2bl w:val="nil"/>
            </w:tcBorders>
            <w:vAlign w:val="center"/>
          </w:tcPr>
          <w:p>
            <w:pPr>
              <w:pStyle w:val="30"/>
              <w:bidi w:val="0"/>
              <w:rPr>
                <w:highlight w:val="none"/>
              </w:rPr>
            </w:pPr>
            <w:r>
              <w:rPr>
                <w:highlight w:val="none"/>
              </w:rPr>
              <w:t>1.6586</w:t>
            </w:r>
          </w:p>
        </w:tc>
        <w:tc>
          <w:tcPr>
            <w:tcW w:w="1988" w:type="dxa"/>
            <w:tcBorders>
              <w:tl2br w:val="nil"/>
              <w:tr2bl w:val="nil"/>
            </w:tcBorders>
            <w:vAlign w:val="center"/>
          </w:tcPr>
          <w:p>
            <w:pPr>
              <w:pStyle w:val="30"/>
              <w:bidi w:val="0"/>
              <w:rPr>
                <w:highlight w:val="none"/>
              </w:rPr>
            </w:pPr>
            <w:r>
              <w:rPr>
                <w:highlight w:val="none"/>
              </w:rPr>
              <w:t>0.8293</w:t>
            </w:r>
          </w:p>
        </w:tc>
        <w:tc>
          <w:tcPr>
            <w:tcW w:w="1899" w:type="dxa"/>
            <w:tcBorders>
              <w:tl2br w:val="nil"/>
              <w:tr2bl w:val="nil"/>
            </w:tcBorders>
            <w:vAlign w:val="center"/>
          </w:tcPr>
          <w:p>
            <w:pPr>
              <w:pStyle w:val="30"/>
              <w:bidi w:val="0"/>
              <w:rPr>
                <w:highlight w:val="none"/>
              </w:rPr>
            </w:pPr>
            <w:r>
              <w:rPr>
                <w:highlight w:val="none"/>
              </w:rPr>
              <w:t>0.1229</w:t>
            </w:r>
          </w:p>
        </w:tc>
        <w:tc>
          <w:tcPr>
            <w:tcW w:w="1757" w:type="dxa"/>
            <w:tcBorders>
              <w:tl2br w:val="nil"/>
              <w:tr2bl w:val="nil"/>
            </w:tcBorders>
            <w:vAlign w:val="center"/>
          </w:tcPr>
          <w:p>
            <w:pPr>
              <w:pStyle w:val="30"/>
              <w:bidi w:val="0"/>
              <w:rPr>
                <w:highlight w:val="none"/>
              </w:rPr>
            </w:pPr>
            <w:r>
              <w:rPr>
                <w:highlight w:val="none"/>
              </w:rPr>
              <w:t>1.2286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2500.0</w:t>
            </w:r>
          </w:p>
        </w:tc>
        <w:tc>
          <w:tcPr>
            <w:tcW w:w="1988" w:type="dxa"/>
            <w:tcBorders>
              <w:tl2br w:val="nil"/>
              <w:tr2bl w:val="nil"/>
            </w:tcBorders>
            <w:vAlign w:val="center"/>
          </w:tcPr>
          <w:p>
            <w:pPr>
              <w:pStyle w:val="30"/>
              <w:bidi w:val="0"/>
              <w:rPr>
                <w:highlight w:val="none"/>
              </w:rPr>
            </w:pPr>
            <w:r>
              <w:rPr>
                <w:highlight w:val="none"/>
              </w:rPr>
              <w:t>1.3254</w:t>
            </w:r>
          </w:p>
        </w:tc>
        <w:tc>
          <w:tcPr>
            <w:tcW w:w="1988" w:type="dxa"/>
            <w:tcBorders>
              <w:tl2br w:val="nil"/>
              <w:tr2bl w:val="nil"/>
            </w:tcBorders>
            <w:vAlign w:val="center"/>
          </w:tcPr>
          <w:p>
            <w:pPr>
              <w:pStyle w:val="30"/>
              <w:bidi w:val="0"/>
              <w:rPr>
                <w:highlight w:val="none"/>
              </w:rPr>
            </w:pPr>
            <w:r>
              <w:rPr>
                <w:highlight w:val="none"/>
              </w:rPr>
              <w:t>0.6627</w:t>
            </w:r>
          </w:p>
        </w:tc>
        <w:tc>
          <w:tcPr>
            <w:tcW w:w="1899" w:type="dxa"/>
            <w:tcBorders>
              <w:tl2br w:val="nil"/>
              <w:tr2bl w:val="nil"/>
            </w:tcBorders>
            <w:vAlign w:val="center"/>
          </w:tcPr>
          <w:p>
            <w:pPr>
              <w:pStyle w:val="30"/>
              <w:bidi w:val="0"/>
              <w:rPr>
                <w:highlight w:val="none"/>
              </w:rPr>
            </w:pPr>
            <w:r>
              <w:rPr>
                <w:highlight w:val="none"/>
              </w:rPr>
              <w:t>0.0982</w:t>
            </w:r>
          </w:p>
        </w:tc>
        <w:tc>
          <w:tcPr>
            <w:tcW w:w="1757" w:type="dxa"/>
            <w:tcBorders>
              <w:tl2br w:val="nil"/>
              <w:tr2bl w:val="nil"/>
            </w:tcBorders>
            <w:vAlign w:val="center"/>
          </w:tcPr>
          <w:p>
            <w:pPr>
              <w:pStyle w:val="30"/>
              <w:bidi w:val="0"/>
              <w:rPr>
                <w:highlight w:val="none"/>
              </w:rPr>
            </w:pPr>
            <w:r>
              <w:rPr>
                <w:highlight w:val="none"/>
              </w:rPr>
              <w:t>0.9818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3000.0</w:t>
            </w:r>
          </w:p>
        </w:tc>
        <w:tc>
          <w:tcPr>
            <w:tcW w:w="1988" w:type="dxa"/>
            <w:tcBorders>
              <w:tl2br w:val="nil"/>
              <w:tr2bl w:val="nil"/>
            </w:tcBorders>
            <w:vAlign w:val="center"/>
          </w:tcPr>
          <w:p>
            <w:pPr>
              <w:pStyle w:val="30"/>
              <w:bidi w:val="0"/>
              <w:rPr>
                <w:highlight w:val="none"/>
              </w:rPr>
            </w:pPr>
            <w:r>
              <w:rPr>
                <w:highlight w:val="none"/>
              </w:rPr>
              <w:t>1.1068</w:t>
            </w:r>
          </w:p>
        </w:tc>
        <w:tc>
          <w:tcPr>
            <w:tcW w:w="1988" w:type="dxa"/>
            <w:tcBorders>
              <w:tl2br w:val="nil"/>
              <w:tr2bl w:val="nil"/>
            </w:tcBorders>
            <w:vAlign w:val="center"/>
          </w:tcPr>
          <w:p>
            <w:pPr>
              <w:pStyle w:val="30"/>
              <w:bidi w:val="0"/>
              <w:rPr>
                <w:highlight w:val="none"/>
              </w:rPr>
            </w:pPr>
            <w:r>
              <w:rPr>
                <w:highlight w:val="none"/>
              </w:rPr>
              <w:t>0.5534</w:t>
            </w:r>
          </w:p>
        </w:tc>
        <w:tc>
          <w:tcPr>
            <w:tcW w:w="1899" w:type="dxa"/>
            <w:tcBorders>
              <w:tl2br w:val="nil"/>
              <w:tr2bl w:val="nil"/>
            </w:tcBorders>
            <w:vAlign w:val="center"/>
          </w:tcPr>
          <w:p>
            <w:pPr>
              <w:pStyle w:val="30"/>
              <w:bidi w:val="0"/>
              <w:rPr>
                <w:highlight w:val="none"/>
              </w:rPr>
            </w:pPr>
            <w:r>
              <w:rPr>
                <w:highlight w:val="none"/>
              </w:rPr>
              <w:t>0.0820</w:t>
            </w:r>
          </w:p>
        </w:tc>
        <w:tc>
          <w:tcPr>
            <w:tcW w:w="1757" w:type="dxa"/>
            <w:tcBorders>
              <w:tl2br w:val="nil"/>
              <w:tr2bl w:val="nil"/>
            </w:tcBorders>
            <w:vAlign w:val="center"/>
          </w:tcPr>
          <w:p>
            <w:pPr>
              <w:pStyle w:val="30"/>
              <w:bidi w:val="0"/>
              <w:rPr>
                <w:highlight w:val="none"/>
              </w:rPr>
            </w:pPr>
            <w:r>
              <w:rPr>
                <w:highlight w:val="none"/>
              </w:rPr>
              <w:t>0.8199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3500.0</w:t>
            </w:r>
          </w:p>
        </w:tc>
        <w:tc>
          <w:tcPr>
            <w:tcW w:w="1988" w:type="dxa"/>
            <w:tcBorders>
              <w:tl2br w:val="nil"/>
              <w:tr2bl w:val="nil"/>
            </w:tcBorders>
            <w:vAlign w:val="center"/>
          </w:tcPr>
          <w:p>
            <w:pPr>
              <w:pStyle w:val="30"/>
              <w:bidi w:val="0"/>
              <w:rPr>
                <w:highlight w:val="none"/>
              </w:rPr>
            </w:pPr>
            <w:r>
              <w:rPr>
                <w:highlight w:val="none"/>
              </w:rPr>
              <w:t>1.3804</w:t>
            </w:r>
          </w:p>
        </w:tc>
        <w:tc>
          <w:tcPr>
            <w:tcW w:w="1988" w:type="dxa"/>
            <w:tcBorders>
              <w:tl2br w:val="nil"/>
              <w:tr2bl w:val="nil"/>
            </w:tcBorders>
            <w:vAlign w:val="center"/>
          </w:tcPr>
          <w:p>
            <w:pPr>
              <w:pStyle w:val="30"/>
              <w:bidi w:val="0"/>
              <w:rPr>
                <w:highlight w:val="none"/>
              </w:rPr>
            </w:pPr>
            <w:r>
              <w:rPr>
                <w:highlight w:val="none"/>
              </w:rPr>
              <w:t>0.6902</w:t>
            </w:r>
          </w:p>
        </w:tc>
        <w:tc>
          <w:tcPr>
            <w:tcW w:w="1899" w:type="dxa"/>
            <w:tcBorders>
              <w:tl2br w:val="nil"/>
              <w:tr2bl w:val="nil"/>
            </w:tcBorders>
            <w:vAlign w:val="center"/>
          </w:tcPr>
          <w:p>
            <w:pPr>
              <w:pStyle w:val="30"/>
              <w:bidi w:val="0"/>
              <w:rPr>
                <w:highlight w:val="none"/>
              </w:rPr>
            </w:pPr>
            <w:r>
              <w:rPr>
                <w:highlight w:val="none"/>
              </w:rPr>
              <w:t>0.1023</w:t>
            </w:r>
          </w:p>
        </w:tc>
        <w:tc>
          <w:tcPr>
            <w:tcW w:w="1757" w:type="dxa"/>
            <w:tcBorders>
              <w:tl2br w:val="nil"/>
              <w:tr2bl w:val="nil"/>
            </w:tcBorders>
            <w:vAlign w:val="center"/>
          </w:tcPr>
          <w:p>
            <w:pPr>
              <w:pStyle w:val="30"/>
              <w:bidi w:val="0"/>
              <w:rPr>
                <w:highlight w:val="none"/>
              </w:rPr>
            </w:pPr>
            <w:r>
              <w:rPr>
                <w:highlight w:val="none"/>
              </w:rPr>
              <w:t>1.0225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4000.0</w:t>
            </w:r>
          </w:p>
        </w:tc>
        <w:tc>
          <w:tcPr>
            <w:tcW w:w="1988" w:type="dxa"/>
            <w:tcBorders>
              <w:tl2br w:val="nil"/>
              <w:tr2bl w:val="nil"/>
            </w:tcBorders>
            <w:vAlign w:val="center"/>
          </w:tcPr>
          <w:p>
            <w:pPr>
              <w:pStyle w:val="30"/>
              <w:bidi w:val="0"/>
              <w:rPr>
                <w:highlight w:val="none"/>
              </w:rPr>
            </w:pPr>
            <w:r>
              <w:rPr>
                <w:highlight w:val="none"/>
              </w:rPr>
              <w:t>0.9114</w:t>
            </w:r>
          </w:p>
        </w:tc>
        <w:tc>
          <w:tcPr>
            <w:tcW w:w="1988" w:type="dxa"/>
            <w:tcBorders>
              <w:tl2br w:val="nil"/>
              <w:tr2bl w:val="nil"/>
            </w:tcBorders>
            <w:vAlign w:val="center"/>
          </w:tcPr>
          <w:p>
            <w:pPr>
              <w:pStyle w:val="30"/>
              <w:bidi w:val="0"/>
              <w:rPr>
                <w:highlight w:val="none"/>
              </w:rPr>
            </w:pPr>
            <w:r>
              <w:rPr>
                <w:highlight w:val="none"/>
              </w:rPr>
              <w:t>0.4557</w:t>
            </w:r>
          </w:p>
        </w:tc>
        <w:tc>
          <w:tcPr>
            <w:tcW w:w="1899" w:type="dxa"/>
            <w:tcBorders>
              <w:tl2br w:val="nil"/>
              <w:tr2bl w:val="nil"/>
            </w:tcBorders>
            <w:vAlign w:val="center"/>
          </w:tcPr>
          <w:p>
            <w:pPr>
              <w:pStyle w:val="30"/>
              <w:bidi w:val="0"/>
              <w:rPr>
                <w:highlight w:val="none"/>
              </w:rPr>
            </w:pPr>
            <w:r>
              <w:rPr>
                <w:highlight w:val="none"/>
              </w:rPr>
              <w:t>0.0675</w:t>
            </w:r>
          </w:p>
        </w:tc>
        <w:tc>
          <w:tcPr>
            <w:tcW w:w="1757" w:type="dxa"/>
            <w:tcBorders>
              <w:tl2br w:val="nil"/>
              <w:tr2bl w:val="nil"/>
            </w:tcBorders>
            <w:vAlign w:val="center"/>
          </w:tcPr>
          <w:p>
            <w:pPr>
              <w:pStyle w:val="30"/>
              <w:bidi w:val="0"/>
              <w:rPr>
                <w:highlight w:val="none"/>
              </w:rPr>
            </w:pPr>
            <w:r>
              <w:rPr>
                <w:highlight w:val="none"/>
              </w:rPr>
              <w:t>0.6751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4500.0</w:t>
            </w:r>
          </w:p>
        </w:tc>
        <w:tc>
          <w:tcPr>
            <w:tcW w:w="1988" w:type="dxa"/>
            <w:tcBorders>
              <w:tl2br w:val="nil"/>
              <w:tr2bl w:val="nil"/>
            </w:tcBorders>
            <w:vAlign w:val="center"/>
          </w:tcPr>
          <w:p>
            <w:pPr>
              <w:pStyle w:val="30"/>
              <w:bidi w:val="0"/>
              <w:rPr>
                <w:highlight w:val="none"/>
              </w:rPr>
            </w:pPr>
            <w:r>
              <w:rPr>
                <w:highlight w:val="none"/>
              </w:rPr>
              <w:t>0.5870</w:t>
            </w:r>
          </w:p>
        </w:tc>
        <w:tc>
          <w:tcPr>
            <w:tcW w:w="1988" w:type="dxa"/>
            <w:tcBorders>
              <w:tl2br w:val="nil"/>
              <w:tr2bl w:val="nil"/>
            </w:tcBorders>
            <w:vAlign w:val="center"/>
          </w:tcPr>
          <w:p>
            <w:pPr>
              <w:pStyle w:val="30"/>
              <w:bidi w:val="0"/>
              <w:rPr>
                <w:highlight w:val="none"/>
              </w:rPr>
            </w:pPr>
            <w:r>
              <w:rPr>
                <w:highlight w:val="none"/>
              </w:rPr>
              <w:t>0.2935</w:t>
            </w:r>
          </w:p>
        </w:tc>
        <w:tc>
          <w:tcPr>
            <w:tcW w:w="1899" w:type="dxa"/>
            <w:tcBorders>
              <w:tl2br w:val="nil"/>
              <w:tr2bl w:val="nil"/>
            </w:tcBorders>
            <w:vAlign w:val="center"/>
          </w:tcPr>
          <w:p>
            <w:pPr>
              <w:pStyle w:val="30"/>
              <w:bidi w:val="0"/>
              <w:rPr>
                <w:highlight w:val="none"/>
              </w:rPr>
            </w:pPr>
            <w:r>
              <w:rPr>
                <w:highlight w:val="none"/>
              </w:rPr>
              <w:t>0.0435</w:t>
            </w:r>
          </w:p>
        </w:tc>
        <w:tc>
          <w:tcPr>
            <w:tcW w:w="1757" w:type="dxa"/>
            <w:tcBorders>
              <w:tl2br w:val="nil"/>
              <w:tr2bl w:val="nil"/>
            </w:tcBorders>
            <w:vAlign w:val="center"/>
          </w:tcPr>
          <w:p>
            <w:pPr>
              <w:pStyle w:val="30"/>
              <w:bidi w:val="0"/>
              <w:rPr>
                <w:highlight w:val="none"/>
              </w:rPr>
            </w:pPr>
            <w:r>
              <w:rPr>
                <w:highlight w:val="none"/>
              </w:rPr>
              <w:t>0.4348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5000.0</w:t>
            </w:r>
          </w:p>
        </w:tc>
        <w:tc>
          <w:tcPr>
            <w:tcW w:w="1988" w:type="dxa"/>
            <w:tcBorders>
              <w:tl2br w:val="nil"/>
              <w:tr2bl w:val="nil"/>
            </w:tcBorders>
            <w:vAlign w:val="center"/>
          </w:tcPr>
          <w:p>
            <w:pPr>
              <w:pStyle w:val="30"/>
              <w:bidi w:val="0"/>
              <w:rPr>
                <w:highlight w:val="none"/>
              </w:rPr>
            </w:pPr>
            <w:r>
              <w:rPr>
                <w:highlight w:val="none"/>
              </w:rPr>
              <w:t>0.8323</w:t>
            </w:r>
          </w:p>
        </w:tc>
        <w:tc>
          <w:tcPr>
            <w:tcW w:w="1988" w:type="dxa"/>
            <w:tcBorders>
              <w:tl2br w:val="nil"/>
              <w:tr2bl w:val="nil"/>
            </w:tcBorders>
            <w:vAlign w:val="center"/>
          </w:tcPr>
          <w:p>
            <w:pPr>
              <w:pStyle w:val="30"/>
              <w:bidi w:val="0"/>
              <w:rPr>
                <w:highlight w:val="none"/>
              </w:rPr>
            </w:pPr>
            <w:r>
              <w:rPr>
                <w:highlight w:val="none"/>
              </w:rPr>
              <w:t>0.4161</w:t>
            </w:r>
          </w:p>
        </w:tc>
        <w:tc>
          <w:tcPr>
            <w:tcW w:w="1899" w:type="dxa"/>
            <w:tcBorders>
              <w:tl2br w:val="nil"/>
              <w:tr2bl w:val="nil"/>
            </w:tcBorders>
            <w:vAlign w:val="center"/>
          </w:tcPr>
          <w:p>
            <w:pPr>
              <w:pStyle w:val="30"/>
              <w:bidi w:val="0"/>
              <w:rPr>
                <w:highlight w:val="none"/>
              </w:rPr>
            </w:pPr>
            <w:r>
              <w:rPr>
                <w:highlight w:val="none"/>
              </w:rPr>
              <w:t>0.0616</w:t>
            </w:r>
          </w:p>
        </w:tc>
        <w:tc>
          <w:tcPr>
            <w:tcW w:w="1757" w:type="dxa"/>
            <w:tcBorders>
              <w:tl2br w:val="nil"/>
              <w:tr2bl w:val="nil"/>
            </w:tcBorders>
            <w:vAlign w:val="center"/>
          </w:tcPr>
          <w:p>
            <w:pPr>
              <w:pStyle w:val="30"/>
              <w:bidi w:val="0"/>
              <w:rPr>
                <w:highlight w:val="none"/>
              </w:rPr>
            </w:pPr>
            <w:r>
              <w:rPr>
                <w:highlight w:val="none"/>
              </w:rPr>
              <w:t>0.6165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10000.0</w:t>
            </w:r>
          </w:p>
        </w:tc>
        <w:tc>
          <w:tcPr>
            <w:tcW w:w="1988" w:type="dxa"/>
            <w:tcBorders>
              <w:tl2br w:val="nil"/>
              <w:tr2bl w:val="nil"/>
            </w:tcBorders>
            <w:vAlign w:val="center"/>
          </w:tcPr>
          <w:p>
            <w:pPr>
              <w:pStyle w:val="30"/>
              <w:bidi w:val="0"/>
              <w:rPr>
                <w:highlight w:val="none"/>
              </w:rPr>
            </w:pPr>
            <w:r>
              <w:rPr>
                <w:highlight w:val="none"/>
              </w:rPr>
              <w:t>0.3145</w:t>
            </w:r>
          </w:p>
        </w:tc>
        <w:tc>
          <w:tcPr>
            <w:tcW w:w="1988" w:type="dxa"/>
            <w:tcBorders>
              <w:tl2br w:val="nil"/>
              <w:tr2bl w:val="nil"/>
            </w:tcBorders>
            <w:vAlign w:val="center"/>
          </w:tcPr>
          <w:p>
            <w:pPr>
              <w:pStyle w:val="30"/>
              <w:bidi w:val="0"/>
              <w:rPr>
                <w:highlight w:val="none"/>
              </w:rPr>
            </w:pPr>
            <w:r>
              <w:rPr>
                <w:highlight w:val="none"/>
              </w:rPr>
              <w:t>0.1572</w:t>
            </w:r>
          </w:p>
        </w:tc>
        <w:tc>
          <w:tcPr>
            <w:tcW w:w="1899" w:type="dxa"/>
            <w:tcBorders>
              <w:tl2br w:val="nil"/>
              <w:tr2bl w:val="nil"/>
            </w:tcBorders>
            <w:vAlign w:val="center"/>
          </w:tcPr>
          <w:p>
            <w:pPr>
              <w:pStyle w:val="30"/>
              <w:bidi w:val="0"/>
              <w:rPr>
                <w:highlight w:val="none"/>
              </w:rPr>
            </w:pPr>
            <w:r>
              <w:rPr>
                <w:highlight w:val="none"/>
              </w:rPr>
              <w:t>0.0233</w:t>
            </w:r>
          </w:p>
        </w:tc>
        <w:tc>
          <w:tcPr>
            <w:tcW w:w="1757" w:type="dxa"/>
            <w:tcBorders>
              <w:tl2br w:val="nil"/>
              <w:tr2bl w:val="nil"/>
            </w:tcBorders>
            <w:vAlign w:val="center"/>
          </w:tcPr>
          <w:p>
            <w:pPr>
              <w:pStyle w:val="30"/>
              <w:bidi w:val="0"/>
              <w:rPr>
                <w:highlight w:val="none"/>
              </w:rPr>
            </w:pPr>
            <w:r>
              <w:rPr>
                <w:highlight w:val="none"/>
              </w:rPr>
              <w:t>0.2329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11000.0</w:t>
            </w:r>
          </w:p>
        </w:tc>
        <w:tc>
          <w:tcPr>
            <w:tcW w:w="1988" w:type="dxa"/>
            <w:tcBorders>
              <w:tl2br w:val="nil"/>
              <w:tr2bl w:val="nil"/>
            </w:tcBorders>
            <w:vAlign w:val="center"/>
          </w:tcPr>
          <w:p>
            <w:pPr>
              <w:pStyle w:val="30"/>
              <w:bidi w:val="0"/>
              <w:rPr>
                <w:highlight w:val="none"/>
              </w:rPr>
            </w:pPr>
            <w:r>
              <w:rPr>
                <w:highlight w:val="none"/>
              </w:rPr>
              <w:t>0.3325</w:t>
            </w:r>
          </w:p>
        </w:tc>
        <w:tc>
          <w:tcPr>
            <w:tcW w:w="1988" w:type="dxa"/>
            <w:tcBorders>
              <w:tl2br w:val="nil"/>
              <w:tr2bl w:val="nil"/>
            </w:tcBorders>
            <w:vAlign w:val="center"/>
          </w:tcPr>
          <w:p>
            <w:pPr>
              <w:pStyle w:val="30"/>
              <w:bidi w:val="0"/>
              <w:rPr>
                <w:highlight w:val="none"/>
              </w:rPr>
            </w:pPr>
            <w:r>
              <w:rPr>
                <w:highlight w:val="none"/>
              </w:rPr>
              <w:t>0.1662</w:t>
            </w:r>
          </w:p>
        </w:tc>
        <w:tc>
          <w:tcPr>
            <w:tcW w:w="1899" w:type="dxa"/>
            <w:tcBorders>
              <w:tl2br w:val="nil"/>
              <w:tr2bl w:val="nil"/>
            </w:tcBorders>
            <w:vAlign w:val="center"/>
          </w:tcPr>
          <w:p>
            <w:pPr>
              <w:pStyle w:val="30"/>
              <w:bidi w:val="0"/>
              <w:rPr>
                <w:highlight w:val="none"/>
              </w:rPr>
            </w:pPr>
            <w:r>
              <w:rPr>
                <w:highlight w:val="none"/>
              </w:rPr>
              <w:t>0.0246</w:t>
            </w:r>
          </w:p>
        </w:tc>
        <w:tc>
          <w:tcPr>
            <w:tcW w:w="1757" w:type="dxa"/>
            <w:tcBorders>
              <w:tl2br w:val="nil"/>
              <w:tr2bl w:val="nil"/>
            </w:tcBorders>
            <w:vAlign w:val="center"/>
          </w:tcPr>
          <w:p>
            <w:pPr>
              <w:pStyle w:val="30"/>
              <w:bidi w:val="0"/>
              <w:rPr>
                <w:highlight w:val="none"/>
              </w:rPr>
            </w:pPr>
            <w:r>
              <w:rPr>
                <w:highlight w:val="none"/>
              </w:rPr>
              <w:t>0.2463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12000.0</w:t>
            </w:r>
          </w:p>
        </w:tc>
        <w:tc>
          <w:tcPr>
            <w:tcW w:w="1988" w:type="dxa"/>
            <w:tcBorders>
              <w:tl2br w:val="nil"/>
              <w:tr2bl w:val="nil"/>
            </w:tcBorders>
            <w:vAlign w:val="center"/>
          </w:tcPr>
          <w:p>
            <w:pPr>
              <w:pStyle w:val="30"/>
              <w:bidi w:val="0"/>
              <w:rPr>
                <w:highlight w:val="none"/>
              </w:rPr>
            </w:pPr>
            <w:r>
              <w:rPr>
                <w:highlight w:val="none"/>
              </w:rPr>
              <w:t>0.3295</w:t>
            </w:r>
          </w:p>
        </w:tc>
        <w:tc>
          <w:tcPr>
            <w:tcW w:w="1988" w:type="dxa"/>
            <w:tcBorders>
              <w:tl2br w:val="nil"/>
              <w:tr2bl w:val="nil"/>
            </w:tcBorders>
            <w:vAlign w:val="center"/>
          </w:tcPr>
          <w:p>
            <w:pPr>
              <w:pStyle w:val="30"/>
              <w:bidi w:val="0"/>
              <w:rPr>
                <w:highlight w:val="none"/>
              </w:rPr>
            </w:pPr>
            <w:r>
              <w:rPr>
                <w:highlight w:val="none"/>
              </w:rPr>
              <w:t>0.1647</w:t>
            </w:r>
          </w:p>
        </w:tc>
        <w:tc>
          <w:tcPr>
            <w:tcW w:w="1899" w:type="dxa"/>
            <w:tcBorders>
              <w:tl2br w:val="nil"/>
              <w:tr2bl w:val="nil"/>
            </w:tcBorders>
            <w:vAlign w:val="center"/>
          </w:tcPr>
          <w:p>
            <w:pPr>
              <w:pStyle w:val="30"/>
              <w:bidi w:val="0"/>
              <w:rPr>
                <w:highlight w:val="none"/>
              </w:rPr>
            </w:pPr>
            <w:r>
              <w:rPr>
                <w:highlight w:val="none"/>
              </w:rPr>
              <w:t>0.0244</w:t>
            </w:r>
          </w:p>
        </w:tc>
        <w:tc>
          <w:tcPr>
            <w:tcW w:w="1757" w:type="dxa"/>
            <w:tcBorders>
              <w:tl2br w:val="nil"/>
              <w:tr2bl w:val="nil"/>
            </w:tcBorders>
            <w:vAlign w:val="center"/>
          </w:tcPr>
          <w:p>
            <w:pPr>
              <w:pStyle w:val="30"/>
              <w:bidi w:val="0"/>
              <w:rPr>
                <w:highlight w:val="none"/>
              </w:rPr>
            </w:pPr>
            <w:r>
              <w:rPr>
                <w:highlight w:val="none"/>
              </w:rPr>
              <w:t>0.2441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13000.0</w:t>
            </w:r>
          </w:p>
        </w:tc>
        <w:tc>
          <w:tcPr>
            <w:tcW w:w="1988" w:type="dxa"/>
            <w:tcBorders>
              <w:tl2br w:val="nil"/>
              <w:tr2bl w:val="nil"/>
            </w:tcBorders>
            <w:vAlign w:val="center"/>
          </w:tcPr>
          <w:p>
            <w:pPr>
              <w:pStyle w:val="30"/>
              <w:bidi w:val="0"/>
              <w:rPr>
                <w:highlight w:val="none"/>
              </w:rPr>
            </w:pPr>
            <w:r>
              <w:rPr>
                <w:highlight w:val="none"/>
              </w:rPr>
              <w:t>0.1752</w:t>
            </w:r>
          </w:p>
        </w:tc>
        <w:tc>
          <w:tcPr>
            <w:tcW w:w="1988" w:type="dxa"/>
            <w:tcBorders>
              <w:tl2br w:val="nil"/>
              <w:tr2bl w:val="nil"/>
            </w:tcBorders>
            <w:vAlign w:val="center"/>
          </w:tcPr>
          <w:p>
            <w:pPr>
              <w:pStyle w:val="30"/>
              <w:bidi w:val="0"/>
              <w:rPr>
                <w:highlight w:val="none"/>
              </w:rPr>
            </w:pPr>
            <w:r>
              <w:rPr>
                <w:highlight w:val="none"/>
              </w:rPr>
              <w:t>0.0876</w:t>
            </w:r>
          </w:p>
        </w:tc>
        <w:tc>
          <w:tcPr>
            <w:tcW w:w="1899" w:type="dxa"/>
            <w:tcBorders>
              <w:tl2br w:val="nil"/>
              <w:tr2bl w:val="nil"/>
            </w:tcBorders>
            <w:vAlign w:val="center"/>
          </w:tcPr>
          <w:p>
            <w:pPr>
              <w:pStyle w:val="30"/>
              <w:bidi w:val="0"/>
              <w:rPr>
                <w:highlight w:val="none"/>
              </w:rPr>
            </w:pPr>
            <w:r>
              <w:rPr>
                <w:highlight w:val="none"/>
              </w:rPr>
              <w:t>0.0130</w:t>
            </w:r>
          </w:p>
        </w:tc>
        <w:tc>
          <w:tcPr>
            <w:tcW w:w="1757" w:type="dxa"/>
            <w:tcBorders>
              <w:tl2br w:val="nil"/>
              <w:tr2bl w:val="nil"/>
            </w:tcBorders>
            <w:vAlign w:val="center"/>
          </w:tcPr>
          <w:p>
            <w:pPr>
              <w:pStyle w:val="30"/>
              <w:bidi w:val="0"/>
              <w:rPr>
                <w:highlight w:val="none"/>
              </w:rPr>
            </w:pPr>
            <w:r>
              <w:rPr>
                <w:highlight w:val="none"/>
              </w:rPr>
              <w:t>0.1297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14000.0</w:t>
            </w:r>
          </w:p>
        </w:tc>
        <w:tc>
          <w:tcPr>
            <w:tcW w:w="1988" w:type="dxa"/>
            <w:tcBorders>
              <w:tl2br w:val="nil"/>
              <w:tr2bl w:val="nil"/>
            </w:tcBorders>
            <w:vAlign w:val="center"/>
          </w:tcPr>
          <w:p>
            <w:pPr>
              <w:pStyle w:val="30"/>
              <w:bidi w:val="0"/>
              <w:rPr>
                <w:highlight w:val="none"/>
              </w:rPr>
            </w:pPr>
            <w:r>
              <w:rPr>
                <w:highlight w:val="none"/>
              </w:rPr>
              <w:t>0.2520</w:t>
            </w:r>
          </w:p>
        </w:tc>
        <w:tc>
          <w:tcPr>
            <w:tcW w:w="1988" w:type="dxa"/>
            <w:tcBorders>
              <w:tl2br w:val="nil"/>
              <w:tr2bl w:val="nil"/>
            </w:tcBorders>
            <w:vAlign w:val="center"/>
          </w:tcPr>
          <w:p>
            <w:pPr>
              <w:pStyle w:val="30"/>
              <w:bidi w:val="0"/>
              <w:rPr>
                <w:highlight w:val="none"/>
              </w:rPr>
            </w:pPr>
            <w:r>
              <w:rPr>
                <w:highlight w:val="none"/>
              </w:rPr>
              <w:t>0.1260</w:t>
            </w:r>
          </w:p>
        </w:tc>
        <w:tc>
          <w:tcPr>
            <w:tcW w:w="1899" w:type="dxa"/>
            <w:tcBorders>
              <w:tl2br w:val="nil"/>
              <w:tr2bl w:val="nil"/>
            </w:tcBorders>
            <w:vAlign w:val="center"/>
          </w:tcPr>
          <w:p>
            <w:pPr>
              <w:pStyle w:val="30"/>
              <w:bidi w:val="0"/>
              <w:rPr>
                <w:highlight w:val="none"/>
              </w:rPr>
            </w:pPr>
            <w:r>
              <w:rPr>
                <w:highlight w:val="none"/>
              </w:rPr>
              <w:t>0.0187</w:t>
            </w:r>
          </w:p>
        </w:tc>
        <w:tc>
          <w:tcPr>
            <w:tcW w:w="1757" w:type="dxa"/>
            <w:tcBorders>
              <w:tl2br w:val="nil"/>
              <w:tr2bl w:val="nil"/>
            </w:tcBorders>
            <w:vAlign w:val="center"/>
          </w:tcPr>
          <w:p>
            <w:pPr>
              <w:pStyle w:val="30"/>
              <w:bidi w:val="0"/>
              <w:rPr>
                <w:highlight w:val="none"/>
              </w:rPr>
            </w:pPr>
            <w:r>
              <w:rPr>
                <w:highlight w:val="none"/>
              </w:rPr>
              <w:t>0.1866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15000.0</w:t>
            </w:r>
          </w:p>
        </w:tc>
        <w:tc>
          <w:tcPr>
            <w:tcW w:w="1988" w:type="dxa"/>
            <w:tcBorders>
              <w:tl2br w:val="nil"/>
              <w:tr2bl w:val="nil"/>
            </w:tcBorders>
            <w:vAlign w:val="center"/>
          </w:tcPr>
          <w:p>
            <w:pPr>
              <w:pStyle w:val="30"/>
              <w:bidi w:val="0"/>
              <w:rPr>
                <w:highlight w:val="none"/>
              </w:rPr>
            </w:pPr>
            <w:r>
              <w:rPr>
                <w:highlight w:val="none"/>
              </w:rPr>
              <w:t>0.2431</w:t>
            </w:r>
          </w:p>
        </w:tc>
        <w:tc>
          <w:tcPr>
            <w:tcW w:w="1988" w:type="dxa"/>
            <w:tcBorders>
              <w:tl2br w:val="nil"/>
              <w:tr2bl w:val="nil"/>
            </w:tcBorders>
            <w:vAlign w:val="center"/>
          </w:tcPr>
          <w:p>
            <w:pPr>
              <w:pStyle w:val="30"/>
              <w:bidi w:val="0"/>
              <w:rPr>
                <w:highlight w:val="none"/>
              </w:rPr>
            </w:pPr>
            <w:r>
              <w:rPr>
                <w:highlight w:val="none"/>
              </w:rPr>
              <w:t>0.1216</w:t>
            </w:r>
          </w:p>
        </w:tc>
        <w:tc>
          <w:tcPr>
            <w:tcW w:w="1899" w:type="dxa"/>
            <w:tcBorders>
              <w:tl2br w:val="nil"/>
              <w:tr2bl w:val="nil"/>
            </w:tcBorders>
            <w:vAlign w:val="center"/>
          </w:tcPr>
          <w:p>
            <w:pPr>
              <w:pStyle w:val="30"/>
              <w:bidi w:val="0"/>
              <w:rPr>
                <w:highlight w:val="none"/>
              </w:rPr>
            </w:pPr>
            <w:r>
              <w:rPr>
                <w:highlight w:val="none"/>
              </w:rPr>
              <w:t>0.0180</w:t>
            </w:r>
          </w:p>
        </w:tc>
        <w:tc>
          <w:tcPr>
            <w:tcW w:w="1757" w:type="dxa"/>
            <w:tcBorders>
              <w:tl2br w:val="nil"/>
              <w:tr2bl w:val="nil"/>
            </w:tcBorders>
            <w:vAlign w:val="center"/>
          </w:tcPr>
          <w:p>
            <w:pPr>
              <w:pStyle w:val="30"/>
              <w:bidi w:val="0"/>
              <w:rPr>
                <w:highlight w:val="none"/>
              </w:rPr>
            </w:pPr>
            <w:r>
              <w:rPr>
                <w:highlight w:val="none"/>
              </w:rPr>
              <w:t>0.1801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20000.0</w:t>
            </w:r>
          </w:p>
        </w:tc>
        <w:tc>
          <w:tcPr>
            <w:tcW w:w="1988" w:type="dxa"/>
            <w:tcBorders>
              <w:tl2br w:val="nil"/>
              <w:tr2bl w:val="nil"/>
            </w:tcBorders>
            <w:vAlign w:val="center"/>
          </w:tcPr>
          <w:p>
            <w:pPr>
              <w:pStyle w:val="30"/>
              <w:bidi w:val="0"/>
              <w:rPr>
                <w:highlight w:val="none"/>
              </w:rPr>
            </w:pPr>
            <w:r>
              <w:rPr>
                <w:highlight w:val="none"/>
              </w:rPr>
              <w:t>0.1598</w:t>
            </w:r>
          </w:p>
        </w:tc>
        <w:tc>
          <w:tcPr>
            <w:tcW w:w="1988" w:type="dxa"/>
            <w:tcBorders>
              <w:tl2br w:val="nil"/>
              <w:tr2bl w:val="nil"/>
            </w:tcBorders>
            <w:vAlign w:val="center"/>
          </w:tcPr>
          <w:p>
            <w:pPr>
              <w:pStyle w:val="30"/>
              <w:bidi w:val="0"/>
              <w:rPr>
                <w:highlight w:val="none"/>
              </w:rPr>
            </w:pPr>
            <w:r>
              <w:rPr>
                <w:highlight w:val="none"/>
              </w:rPr>
              <w:t>0.0799</w:t>
            </w:r>
          </w:p>
        </w:tc>
        <w:tc>
          <w:tcPr>
            <w:tcW w:w="1899" w:type="dxa"/>
            <w:tcBorders>
              <w:tl2br w:val="nil"/>
              <w:tr2bl w:val="nil"/>
            </w:tcBorders>
            <w:vAlign w:val="center"/>
          </w:tcPr>
          <w:p>
            <w:pPr>
              <w:pStyle w:val="30"/>
              <w:bidi w:val="0"/>
              <w:rPr>
                <w:highlight w:val="none"/>
              </w:rPr>
            </w:pPr>
            <w:r>
              <w:rPr>
                <w:highlight w:val="none"/>
              </w:rPr>
              <w:t>0.0118</w:t>
            </w:r>
          </w:p>
        </w:tc>
        <w:tc>
          <w:tcPr>
            <w:tcW w:w="1757" w:type="dxa"/>
            <w:tcBorders>
              <w:tl2br w:val="nil"/>
              <w:tr2bl w:val="nil"/>
            </w:tcBorders>
            <w:vAlign w:val="center"/>
          </w:tcPr>
          <w:p>
            <w:pPr>
              <w:pStyle w:val="30"/>
              <w:bidi w:val="0"/>
              <w:rPr>
                <w:highlight w:val="none"/>
              </w:rPr>
            </w:pPr>
            <w:r>
              <w:rPr>
                <w:highlight w:val="none"/>
              </w:rPr>
              <w:t>0.1183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25000.0</w:t>
            </w:r>
          </w:p>
        </w:tc>
        <w:tc>
          <w:tcPr>
            <w:tcW w:w="1988" w:type="dxa"/>
            <w:tcBorders>
              <w:tl2br w:val="nil"/>
              <w:tr2bl w:val="nil"/>
            </w:tcBorders>
            <w:vAlign w:val="center"/>
          </w:tcPr>
          <w:p>
            <w:pPr>
              <w:pStyle w:val="30"/>
              <w:bidi w:val="0"/>
              <w:rPr>
                <w:highlight w:val="none"/>
              </w:rPr>
            </w:pPr>
            <w:r>
              <w:rPr>
                <w:highlight w:val="none"/>
              </w:rPr>
              <w:t>0.1343</w:t>
            </w:r>
          </w:p>
        </w:tc>
        <w:tc>
          <w:tcPr>
            <w:tcW w:w="1988" w:type="dxa"/>
            <w:tcBorders>
              <w:tl2br w:val="nil"/>
              <w:tr2bl w:val="nil"/>
            </w:tcBorders>
            <w:vAlign w:val="center"/>
          </w:tcPr>
          <w:p>
            <w:pPr>
              <w:pStyle w:val="30"/>
              <w:bidi w:val="0"/>
              <w:rPr>
                <w:highlight w:val="none"/>
              </w:rPr>
            </w:pPr>
            <w:r>
              <w:rPr>
                <w:highlight w:val="none"/>
              </w:rPr>
              <w:t>0.0672</w:t>
            </w:r>
          </w:p>
        </w:tc>
        <w:tc>
          <w:tcPr>
            <w:tcW w:w="1899" w:type="dxa"/>
            <w:tcBorders>
              <w:tl2br w:val="nil"/>
              <w:tr2bl w:val="nil"/>
            </w:tcBorders>
            <w:vAlign w:val="center"/>
          </w:tcPr>
          <w:p>
            <w:pPr>
              <w:pStyle w:val="30"/>
              <w:bidi w:val="0"/>
              <w:rPr>
                <w:highlight w:val="none"/>
              </w:rPr>
            </w:pPr>
            <w:r>
              <w:rPr>
                <w:highlight w:val="none"/>
              </w:rPr>
              <w:t>0.0099</w:t>
            </w:r>
          </w:p>
        </w:tc>
        <w:tc>
          <w:tcPr>
            <w:tcW w:w="1757" w:type="dxa"/>
            <w:tcBorders>
              <w:tl2br w:val="nil"/>
              <w:tr2bl w:val="nil"/>
            </w:tcBorders>
            <w:vAlign w:val="center"/>
          </w:tcPr>
          <w:p>
            <w:pPr>
              <w:pStyle w:val="30"/>
              <w:bidi w:val="0"/>
              <w:rPr>
                <w:highlight w:val="none"/>
              </w:rPr>
            </w:pPr>
            <w:r>
              <w:rPr>
                <w:highlight w:val="none"/>
              </w:rPr>
              <w:t>0.0995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下风向最大浓度</w:t>
            </w:r>
          </w:p>
        </w:tc>
        <w:tc>
          <w:tcPr>
            <w:tcW w:w="1988" w:type="dxa"/>
            <w:tcBorders>
              <w:tl2br w:val="nil"/>
              <w:tr2bl w:val="nil"/>
            </w:tcBorders>
            <w:vAlign w:val="center"/>
          </w:tcPr>
          <w:p>
            <w:pPr>
              <w:pStyle w:val="30"/>
              <w:bidi w:val="0"/>
              <w:rPr>
                <w:highlight w:val="none"/>
              </w:rPr>
            </w:pPr>
            <w:r>
              <w:rPr>
                <w:rFonts w:hint="eastAsia"/>
                <w:highlight w:val="none"/>
                <w:lang w:val="en-US" w:eastAsia="zh-CN"/>
              </w:rPr>
              <w:t>18</w:t>
            </w:r>
            <w:r>
              <w:rPr>
                <w:highlight w:val="none"/>
              </w:rPr>
              <w:t>.8570</w:t>
            </w:r>
          </w:p>
        </w:tc>
        <w:tc>
          <w:tcPr>
            <w:tcW w:w="1988" w:type="dxa"/>
            <w:tcBorders>
              <w:tl2br w:val="nil"/>
              <w:tr2bl w:val="nil"/>
            </w:tcBorders>
            <w:vAlign w:val="center"/>
          </w:tcPr>
          <w:p>
            <w:pPr>
              <w:pStyle w:val="30"/>
              <w:bidi w:val="0"/>
              <w:rPr>
                <w:highlight w:val="none"/>
              </w:rPr>
            </w:pPr>
            <w:r>
              <w:rPr>
                <w:rFonts w:hint="eastAsia"/>
                <w:highlight w:val="none"/>
                <w:lang w:val="en-US" w:eastAsia="zh-CN"/>
              </w:rPr>
              <w:t>9.9563</w:t>
            </w:r>
          </w:p>
        </w:tc>
        <w:tc>
          <w:tcPr>
            <w:tcW w:w="1899" w:type="dxa"/>
            <w:tcBorders>
              <w:tl2br w:val="nil"/>
              <w:tr2bl w:val="nil"/>
            </w:tcBorders>
            <w:vAlign w:val="center"/>
          </w:tcPr>
          <w:p>
            <w:pPr>
              <w:pStyle w:val="30"/>
              <w:bidi w:val="0"/>
              <w:rPr>
                <w:highlight w:val="none"/>
              </w:rPr>
            </w:pPr>
            <w:r>
              <w:rPr>
                <w:rFonts w:hint="eastAsia"/>
                <w:highlight w:val="none"/>
                <w:lang w:val="en-US" w:eastAsia="zh-CN"/>
              </w:rPr>
              <w:t>0</w:t>
            </w:r>
            <w:r>
              <w:rPr>
                <w:highlight w:val="none"/>
              </w:rPr>
              <w:t>.5820</w:t>
            </w:r>
          </w:p>
        </w:tc>
        <w:tc>
          <w:tcPr>
            <w:tcW w:w="1757" w:type="dxa"/>
            <w:tcBorders>
              <w:tl2br w:val="nil"/>
              <w:tr2bl w:val="nil"/>
            </w:tcBorders>
            <w:vAlign w:val="center"/>
          </w:tcPr>
          <w:p>
            <w:pPr>
              <w:pStyle w:val="30"/>
              <w:bidi w:val="0"/>
              <w:rPr>
                <w:highlight w:val="none"/>
              </w:rPr>
            </w:pPr>
            <w:r>
              <w:rPr>
                <w:rFonts w:hint="eastAsia"/>
                <w:highlight w:val="none"/>
                <w:lang w:val="en-US" w:eastAsia="zh-CN"/>
              </w:rPr>
              <w:t>9.8200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下风向最大浓度出现距离</w:t>
            </w:r>
          </w:p>
        </w:tc>
        <w:tc>
          <w:tcPr>
            <w:tcW w:w="1988" w:type="dxa"/>
            <w:tcBorders>
              <w:tl2br w:val="nil"/>
              <w:tr2bl w:val="nil"/>
            </w:tcBorders>
            <w:vAlign w:val="center"/>
          </w:tcPr>
          <w:p>
            <w:pPr>
              <w:pStyle w:val="30"/>
              <w:bidi w:val="0"/>
              <w:rPr>
                <w:highlight w:val="none"/>
              </w:rPr>
            </w:pPr>
            <w:r>
              <w:rPr>
                <w:highlight w:val="none"/>
              </w:rPr>
              <w:t>125.0</w:t>
            </w:r>
          </w:p>
        </w:tc>
        <w:tc>
          <w:tcPr>
            <w:tcW w:w="1988" w:type="dxa"/>
            <w:tcBorders>
              <w:tl2br w:val="nil"/>
              <w:tr2bl w:val="nil"/>
            </w:tcBorders>
            <w:vAlign w:val="center"/>
          </w:tcPr>
          <w:p>
            <w:pPr>
              <w:pStyle w:val="30"/>
              <w:bidi w:val="0"/>
              <w:rPr>
                <w:highlight w:val="none"/>
              </w:rPr>
            </w:pPr>
            <w:r>
              <w:rPr>
                <w:highlight w:val="none"/>
              </w:rPr>
              <w:t>125.0</w:t>
            </w:r>
          </w:p>
        </w:tc>
        <w:tc>
          <w:tcPr>
            <w:tcW w:w="1899" w:type="dxa"/>
            <w:tcBorders>
              <w:tl2br w:val="nil"/>
              <w:tr2bl w:val="nil"/>
            </w:tcBorders>
            <w:vAlign w:val="center"/>
          </w:tcPr>
          <w:p>
            <w:pPr>
              <w:pStyle w:val="30"/>
              <w:bidi w:val="0"/>
              <w:rPr>
                <w:highlight w:val="none"/>
              </w:rPr>
            </w:pPr>
            <w:r>
              <w:rPr>
                <w:highlight w:val="none"/>
              </w:rPr>
              <w:t>125.0</w:t>
            </w:r>
          </w:p>
        </w:tc>
        <w:tc>
          <w:tcPr>
            <w:tcW w:w="1757" w:type="dxa"/>
            <w:tcBorders>
              <w:tl2br w:val="nil"/>
              <w:tr2bl w:val="nil"/>
            </w:tcBorders>
            <w:vAlign w:val="center"/>
          </w:tcPr>
          <w:p>
            <w:pPr>
              <w:pStyle w:val="30"/>
              <w:bidi w:val="0"/>
              <w:rPr>
                <w:highlight w:val="none"/>
              </w:rPr>
            </w:pPr>
            <w:r>
              <w:rPr>
                <w:highlight w:val="none"/>
              </w:rPr>
              <w:t>125.0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988" w:type="dxa"/>
            <w:tcBorders>
              <w:tl2br w:val="nil"/>
              <w:tr2bl w:val="nil"/>
            </w:tcBorders>
            <w:vAlign w:val="center"/>
          </w:tcPr>
          <w:p>
            <w:pPr>
              <w:pStyle w:val="30"/>
              <w:bidi w:val="0"/>
              <w:rPr>
                <w:highlight w:val="none"/>
              </w:rPr>
            </w:pPr>
            <w:r>
              <w:rPr>
                <w:highlight w:val="none"/>
              </w:rPr>
              <w:t>D10%最远距离</w:t>
            </w:r>
          </w:p>
        </w:tc>
        <w:tc>
          <w:tcPr>
            <w:tcW w:w="1988" w:type="dxa"/>
            <w:tcBorders>
              <w:tl2br w:val="nil"/>
              <w:tr2bl w:val="nil"/>
            </w:tcBorders>
            <w:vAlign w:val="center"/>
          </w:tcPr>
          <w:p>
            <w:pPr>
              <w:pStyle w:val="30"/>
              <w:bidi w:val="0"/>
              <w:rPr>
                <w:rFonts w:hint="eastAsia"/>
                <w:highlight w:val="none"/>
                <w:lang w:eastAsia="zh-CN"/>
              </w:rPr>
            </w:pPr>
            <w:r>
              <w:rPr>
                <w:rFonts w:hint="eastAsia"/>
                <w:highlight w:val="none"/>
                <w:lang w:val="en-US" w:eastAsia="zh-CN"/>
              </w:rPr>
              <w:t>/</w:t>
            </w:r>
          </w:p>
        </w:tc>
        <w:tc>
          <w:tcPr>
            <w:tcW w:w="1988" w:type="dxa"/>
            <w:tcBorders>
              <w:tl2br w:val="nil"/>
              <w:tr2bl w:val="nil"/>
            </w:tcBorders>
            <w:vAlign w:val="center"/>
          </w:tcPr>
          <w:p>
            <w:pPr>
              <w:pStyle w:val="30"/>
              <w:bidi w:val="0"/>
              <w:rPr>
                <w:rFonts w:hint="eastAsia"/>
                <w:highlight w:val="none"/>
                <w:lang w:eastAsia="zh-CN"/>
              </w:rPr>
            </w:pPr>
            <w:r>
              <w:rPr>
                <w:rFonts w:hint="eastAsia"/>
                <w:highlight w:val="none"/>
                <w:lang w:val="en-US" w:eastAsia="zh-CN"/>
              </w:rPr>
              <w:t>/</w:t>
            </w:r>
          </w:p>
        </w:tc>
        <w:tc>
          <w:tcPr>
            <w:tcW w:w="1899" w:type="dxa"/>
            <w:tcBorders>
              <w:tl2br w:val="nil"/>
              <w:tr2bl w:val="nil"/>
            </w:tcBorders>
            <w:vAlign w:val="center"/>
          </w:tcPr>
          <w:p>
            <w:pPr>
              <w:pStyle w:val="30"/>
              <w:bidi w:val="0"/>
              <w:rPr>
                <w:highlight w:val="none"/>
              </w:rPr>
            </w:pPr>
            <w:r>
              <w:rPr>
                <w:rFonts w:hint="eastAsia"/>
                <w:highlight w:val="none"/>
                <w:lang w:val="en-US" w:eastAsia="zh-CN"/>
              </w:rPr>
              <w:t>/</w:t>
            </w:r>
          </w:p>
        </w:tc>
        <w:tc>
          <w:tcPr>
            <w:tcW w:w="1757" w:type="dxa"/>
            <w:tcBorders>
              <w:tl2br w:val="nil"/>
              <w:tr2bl w:val="nil"/>
            </w:tcBorders>
            <w:vAlign w:val="center"/>
          </w:tcPr>
          <w:p>
            <w:pPr>
              <w:pStyle w:val="30"/>
              <w:bidi w:val="0"/>
              <w:rPr>
                <w:highlight w:val="none"/>
              </w:rPr>
            </w:pPr>
            <w:r>
              <w:rPr>
                <w:rFonts w:hint="eastAsia"/>
                <w:highlight w:val="none"/>
                <w:lang w:val="en-US" w:eastAsia="zh-CN"/>
              </w:rPr>
              <w:t>/</w:t>
            </w:r>
          </w:p>
        </w:tc>
      </w:tr>
    </w:tbl>
    <w:p>
      <w:pPr>
        <w:pStyle w:val="29"/>
        <w:bidi w:val="0"/>
        <w:rPr>
          <w:rFonts w:hint="default"/>
          <w:highlight w:val="none"/>
          <w:lang w:val="en-US" w:eastAsia="zh-CN"/>
        </w:rPr>
      </w:pPr>
      <w:r>
        <w:rPr>
          <w:rFonts w:hint="eastAsia"/>
          <w:highlight w:val="none"/>
          <w:lang w:val="en-US" w:eastAsia="zh-CN"/>
        </w:rPr>
        <w:t>表5.2-12  恶臭有组织（排气筒P2）排放预测计算结果</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00"/>
        <w:gridCol w:w="1801"/>
        <w:gridCol w:w="1676"/>
        <w:gridCol w:w="1784"/>
        <w:gridCol w:w="165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vMerge w:val="restart"/>
            <w:tcBorders>
              <w:tl2br w:val="nil"/>
              <w:tr2bl w:val="nil"/>
            </w:tcBorders>
            <w:vAlign w:val="center"/>
          </w:tcPr>
          <w:p>
            <w:pPr>
              <w:pStyle w:val="30"/>
              <w:bidi w:val="0"/>
              <w:rPr>
                <w:highlight w:val="none"/>
              </w:rPr>
            </w:pPr>
            <w:r>
              <w:rPr>
                <w:highlight w:val="none"/>
              </w:rPr>
              <w:t>下风向距离</w:t>
            </w:r>
          </w:p>
        </w:tc>
        <w:tc>
          <w:tcPr>
            <w:tcW w:w="0" w:type="auto"/>
            <w:gridSpan w:val="4"/>
            <w:tcBorders>
              <w:tl2br w:val="nil"/>
              <w:tr2bl w:val="nil"/>
            </w:tcBorders>
            <w:vAlign w:val="center"/>
          </w:tcPr>
          <w:p>
            <w:pPr>
              <w:pStyle w:val="30"/>
              <w:bidi w:val="0"/>
              <w:rPr>
                <w:highlight w:val="none"/>
              </w:rPr>
            </w:pPr>
            <w:r>
              <w:rPr>
                <w:highlight w:val="none"/>
              </w:rPr>
              <w:t>P2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vMerge w:val="continue"/>
            <w:tcBorders>
              <w:tl2br w:val="nil"/>
              <w:tr2bl w:val="nil"/>
            </w:tcBorders>
            <w:vAlign w:val="center"/>
          </w:tcPr>
          <w:p>
            <w:pPr>
              <w:pStyle w:val="30"/>
              <w:bidi w:val="0"/>
              <w:rPr>
                <w:highlight w:val="none"/>
              </w:rPr>
            </w:pPr>
          </w:p>
        </w:tc>
        <w:tc>
          <w:tcPr>
            <w:tcW w:w="0" w:type="auto"/>
            <w:tcBorders>
              <w:tl2br w:val="nil"/>
              <w:tr2bl w:val="nil"/>
            </w:tcBorders>
            <w:vAlign w:val="center"/>
          </w:tcPr>
          <w:p>
            <w:pPr>
              <w:pStyle w:val="30"/>
              <w:bidi w:val="0"/>
              <w:rPr>
                <w:highlight w:val="none"/>
              </w:rPr>
            </w:pPr>
            <w:r>
              <w:rPr>
                <w:highlight w:val="none"/>
              </w:rPr>
              <w:t>NH</w:t>
            </w:r>
            <w:r>
              <w:rPr>
                <w:highlight w:val="none"/>
                <w:vertAlign w:val="subscript"/>
              </w:rPr>
              <w:t>3</w:t>
            </w:r>
            <w:r>
              <w:rPr>
                <w:highlight w:val="none"/>
              </w:rPr>
              <w:t>浓度(μg/m³)</w:t>
            </w:r>
          </w:p>
        </w:tc>
        <w:tc>
          <w:tcPr>
            <w:tcW w:w="0" w:type="auto"/>
            <w:tcBorders>
              <w:tl2br w:val="nil"/>
              <w:tr2bl w:val="nil"/>
            </w:tcBorders>
            <w:vAlign w:val="center"/>
          </w:tcPr>
          <w:p>
            <w:pPr>
              <w:pStyle w:val="30"/>
              <w:bidi w:val="0"/>
              <w:rPr>
                <w:highlight w:val="none"/>
              </w:rPr>
            </w:pPr>
            <w:r>
              <w:rPr>
                <w:highlight w:val="none"/>
              </w:rPr>
              <w:t>NH</w:t>
            </w:r>
            <w:r>
              <w:rPr>
                <w:highlight w:val="none"/>
                <w:vertAlign w:val="subscript"/>
              </w:rPr>
              <w:t>3</w:t>
            </w:r>
            <w:r>
              <w:rPr>
                <w:highlight w:val="none"/>
              </w:rPr>
              <w:t>占标率(%)</w:t>
            </w:r>
          </w:p>
        </w:tc>
        <w:tc>
          <w:tcPr>
            <w:tcW w:w="0" w:type="auto"/>
            <w:tcBorders>
              <w:tl2br w:val="nil"/>
              <w:tr2bl w:val="nil"/>
            </w:tcBorders>
            <w:vAlign w:val="center"/>
          </w:tcPr>
          <w:p>
            <w:pPr>
              <w:pStyle w:val="30"/>
              <w:bidi w:val="0"/>
              <w:rPr>
                <w:highlight w:val="none"/>
              </w:rPr>
            </w:pPr>
            <w:r>
              <w:rPr>
                <w:highlight w:val="none"/>
              </w:rPr>
              <w:t>H</w:t>
            </w:r>
            <w:r>
              <w:rPr>
                <w:highlight w:val="none"/>
                <w:vertAlign w:val="subscript"/>
              </w:rPr>
              <w:t>2</w:t>
            </w:r>
            <w:r>
              <w:rPr>
                <w:highlight w:val="none"/>
              </w:rPr>
              <w:t>S浓度(μg/m³)</w:t>
            </w:r>
          </w:p>
        </w:tc>
        <w:tc>
          <w:tcPr>
            <w:tcW w:w="0" w:type="auto"/>
            <w:tcBorders>
              <w:tl2br w:val="nil"/>
              <w:tr2bl w:val="nil"/>
            </w:tcBorders>
            <w:vAlign w:val="center"/>
          </w:tcPr>
          <w:p>
            <w:pPr>
              <w:pStyle w:val="30"/>
              <w:bidi w:val="0"/>
              <w:rPr>
                <w:highlight w:val="none"/>
              </w:rPr>
            </w:pPr>
            <w:r>
              <w:rPr>
                <w:highlight w:val="none"/>
              </w:rPr>
              <w:t>H</w:t>
            </w:r>
            <w:r>
              <w:rPr>
                <w:highlight w:val="none"/>
                <w:vertAlign w:val="subscript"/>
              </w:rPr>
              <w:t>2</w:t>
            </w:r>
            <w:r>
              <w:rPr>
                <w:highlight w:val="none"/>
              </w:rPr>
              <w:t>S占标率(%)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rPr>
                <w:highlight w:val="none"/>
              </w:rPr>
            </w:pPr>
            <w:r>
              <w:rPr>
                <w:highlight w:val="none"/>
              </w:rPr>
              <w:t>50.0</w:t>
            </w:r>
          </w:p>
        </w:tc>
        <w:tc>
          <w:tcPr>
            <w:tcW w:w="0" w:type="auto"/>
            <w:tcBorders>
              <w:tl2br w:val="nil"/>
              <w:tr2bl w:val="nil"/>
            </w:tcBorders>
            <w:vAlign w:val="center"/>
          </w:tcPr>
          <w:p>
            <w:pPr>
              <w:pStyle w:val="30"/>
              <w:bidi w:val="0"/>
              <w:rPr>
                <w:highlight w:val="none"/>
              </w:rPr>
            </w:pPr>
            <w:r>
              <w:rPr>
                <w:highlight w:val="none"/>
              </w:rPr>
              <w:t>0.2764</w:t>
            </w:r>
          </w:p>
        </w:tc>
        <w:tc>
          <w:tcPr>
            <w:tcW w:w="0" w:type="auto"/>
            <w:tcBorders>
              <w:tl2br w:val="nil"/>
              <w:tr2bl w:val="nil"/>
            </w:tcBorders>
            <w:vAlign w:val="center"/>
          </w:tcPr>
          <w:p>
            <w:pPr>
              <w:pStyle w:val="30"/>
              <w:bidi w:val="0"/>
              <w:rPr>
                <w:highlight w:val="none"/>
              </w:rPr>
            </w:pPr>
            <w:r>
              <w:rPr>
                <w:highlight w:val="none"/>
              </w:rPr>
              <w:t>0.1382</w:t>
            </w:r>
          </w:p>
        </w:tc>
        <w:tc>
          <w:tcPr>
            <w:tcW w:w="0" w:type="auto"/>
            <w:tcBorders>
              <w:tl2br w:val="nil"/>
              <w:tr2bl w:val="nil"/>
            </w:tcBorders>
            <w:vAlign w:val="center"/>
          </w:tcPr>
          <w:p>
            <w:pPr>
              <w:pStyle w:val="30"/>
              <w:bidi w:val="0"/>
              <w:rPr>
                <w:highlight w:val="none"/>
              </w:rPr>
            </w:pPr>
            <w:r>
              <w:rPr>
                <w:highlight w:val="none"/>
              </w:rPr>
              <w:t>0.0026</w:t>
            </w:r>
          </w:p>
        </w:tc>
        <w:tc>
          <w:tcPr>
            <w:tcW w:w="0" w:type="auto"/>
            <w:tcBorders>
              <w:tl2br w:val="nil"/>
              <w:tr2bl w:val="nil"/>
            </w:tcBorders>
            <w:vAlign w:val="center"/>
          </w:tcPr>
          <w:p>
            <w:pPr>
              <w:pStyle w:val="30"/>
              <w:bidi w:val="0"/>
              <w:rPr>
                <w:highlight w:val="none"/>
              </w:rPr>
            </w:pPr>
            <w:r>
              <w:rPr>
                <w:highlight w:val="none"/>
              </w:rPr>
              <w:t>0.0258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rPr>
                <w:highlight w:val="none"/>
              </w:rPr>
            </w:pPr>
            <w:r>
              <w:rPr>
                <w:highlight w:val="none"/>
              </w:rPr>
              <w:t>100.0</w:t>
            </w:r>
          </w:p>
        </w:tc>
        <w:tc>
          <w:tcPr>
            <w:tcW w:w="0" w:type="auto"/>
            <w:tcBorders>
              <w:tl2br w:val="nil"/>
              <w:tr2bl w:val="nil"/>
            </w:tcBorders>
            <w:vAlign w:val="center"/>
          </w:tcPr>
          <w:p>
            <w:pPr>
              <w:pStyle w:val="30"/>
              <w:bidi w:val="0"/>
              <w:rPr>
                <w:highlight w:val="none"/>
              </w:rPr>
            </w:pPr>
            <w:r>
              <w:rPr>
                <w:highlight w:val="none"/>
              </w:rPr>
              <w:t>2.6258</w:t>
            </w:r>
          </w:p>
        </w:tc>
        <w:tc>
          <w:tcPr>
            <w:tcW w:w="0" w:type="auto"/>
            <w:tcBorders>
              <w:tl2br w:val="nil"/>
              <w:tr2bl w:val="nil"/>
            </w:tcBorders>
            <w:vAlign w:val="center"/>
          </w:tcPr>
          <w:p>
            <w:pPr>
              <w:pStyle w:val="30"/>
              <w:bidi w:val="0"/>
              <w:rPr>
                <w:highlight w:val="none"/>
              </w:rPr>
            </w:pPr>
            <w:r>
              <w:rPr>
                <w:highlight w:val="none"/>
              </w:rPr>
              <w:t>1.3129</w:t>
            </w:r>
          </w:p>
        </w:tc>
        <w:tc>
          <w:tcPr>
            <w:tcW w:w="0" w:type="auto"/>
            <w:tcBorders>
              <w:tl2br w:val="nil"/>
              <w:tr2bl w:val="nil"/>
            </w:tcBorders>
            <w:vAlign w:val="center"/>
          </w:tcPr>
          <w:p>
            <w:pPr>
              <w:pStyle w:val="30"/>
              <w:bidi w:val="0"/>
              <w:rPr>
                <w:highlight w:val="none"/>
              </w:rPr>
            </w:pPr>
            <w:r>
              <w:rPr>
                <w:highlight w:val="none"/>
              </w:rPr>
              <w:t>0.0245</w:t>
            </w:r>
          </w:p>
        </w:tc>
        <w:tc>
          <w:tcPr>
            <w:tcW w:w="0" w:type="auto"/>
            <w:tcBorders>
              <w:tl2br w:val="nil"/>
              <w:tr2bl w:val="nil"/>
            </w:tcBorders>
            <w:vAlign w:val="center"/>
          </w:tcPr>
          <w:p>
            <w:pPr>
              <w:pStyle w:val="30"/>
              <w:bidi w:val="0"/>
              <w:rPr>
                <w:highlight w:val="none"/>
              </w:rPr>
            </w:pPr>
            <w:r>
              <w:rPr>
                <w:highlight w:val="none"/>
              </w:rPr>
              <w:t>0.2451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rPr>
                <w:highlight w:val="none"/>
              </w:rPr>
            </w:pPr>
            <w:r>
              <w:rPr>
                <w:highlight w:val="none"/>
              </w:rPr>
              <w:t>200.0</w:t>
            </w:r>
          </w:p>
        </w:tc>
        <w:tc>
          <w:tcPr>
            <w:tcW w:w="0" w:type="auto"/>
            <w:tcBorders>
              <w:tl2br w:val="nil"/>
              <w:tr2bl w:val="nil"/>
            </w:tcBorders>
            <w:vAlign w:val="center"/>
          </w:tcPr>
          <w:p>
            <w:pPr>
              <w:pStyle w:val="30"/>
              <w:bidi w:val="0"/>
              <w:rPr>
                <w:highlight w:val="none"/>
              </w:rPr>
            </w:pPr>
            <w:r>
              <w:rPr>
                <w:rFonts w:hint="eastAsia"/>
                <w:highlight w:val="none"/>
                <w:lang w:val="en-US" w:eastAsia="zh-CN"/>
              </w:rPr>
              <w:t>15</w:t>
            </w:r>
            <w:r>
              <w:rPr>
                <w:highlight w:val="none"/>
              </w:rPr>
              <w:t>.2400</w:t>
            </w:r>
          </w:p>
        </w:tc>
        <w:tc>
          <w:tcPr>
            <w:tcW w:w="0" w:type="auto"/>
            <w:tcBorders>
              <w:tl2br w:val="nil"/>
              <w:tr2bl w:val="nil"/>
            </w:tcBorders>
            <w:vAlign w:val="center"/>
          </w:tcPr>
          <w:p>
            <w:pPr>
              <w:pStyle w:val="30"/>
              <w:bidi w:val="0"/>
              <w:rPr>
                <w:rFonts w:hint="default"/>
                <w:highlight w:val="none"/>
                <w:lang w:val="en-US" w:eastAsia="zh-CN"/>
              </w:rPr>
            </w:pPr>
            <w:r>
              <w:rPr>
                <w:rFonts w:hint="eastAsia"/>
                <w:highlight w:val="none"/>
                <w:lang w:val="en-US" w:eastAsia="zh-CN"/>
              </w:rPr>
              <w:t>9</w:t>
            </w:r>
            <w:r>
              <w:rPr>
                <w:highlight w:val="none"/>
              </w:rPr>
              <w:t>.</w:t>
            </w:r>
            <w:r>
              <w:rPr>
                <w:rFonts w:hint="eastAsia"/>
                <w:highlight w:val="none"/>
                <w:lang w:val="en-US" w:eastAsia="zh-CN"/>
              </w:rPr>
              <w:t>1301</w:t>
            </w:r>
          </w:p>
        </w:tc>
        <w:tc>
          <w:tcPr>
            <w:tcW w:w="0" w:type="auto"/>
            <w:tcBorders>
              <w:tl2br w:val="nil"/>
              <w:tr2bl w:val="nil"/>
            </w:tcBorders>
            <w:vAlign w:val="center"/>
          </w:tcPr>
          <w:p>
            <w:pPr>
              <w:pStyle w:val="30"/>
              <w:bidi w:val="0"/>
              <w:rPr>
                <w:highlight w:val="none"/>
              </w:rPr>
            </w:pPr>
            <w:r>
              <w:rPr>
                <w:highlight w:val="none"/>
              </w:rPr>
              <w:t>0.2542</w:t>
            </w:r>
          </w:p>
        </w:tc>
        <w:tc>
          <w:tcPr>
            <w:tcW w:w="0" w:type="auto"/>
            <w:tcBorders>
              <w:tl2br w:val="nil"/>
              <w:tr2bl w:val="nil"/>
            </w:tcBorders>
            <w:vAlign w:val="center"/>
          </w:tcPr>
          <w:p>
            <w:pPr>
              <w:pStyle w:val="30"/>
              <w:bidi w:val="0"/>
              <w:rPr>
                <w:highlight w:val="none"/>
              </w:rPr>
            </w:pPr>
            <w:r>
              <w:rPr>
                <w:highlight w:val="none"/>
              </w:rPr>
              <w:t>2.5424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rPr>
                <w:highlight w:val="none"/>
              </w:rPr>
            </w:pPr>
            <w:r>
              <w:rPr>
                <w:highlight w:val="none"/>
              </w:rPr>
              <w:t>300.0</w:t>
            </w:r>
          </w:p>
        </w:tc>
        <w:tc>
          <w:tcPr>
            <w:tcW w:w="0" w:type="auto"/>
            <w:tcBorders>
              <w:tl2br w:val="nil"/>
              <w:tr2bl w:val="nil"/>
            </w:tcBorders>
            <w:vAlign w:val="center"/>
          </w:tcPr>
          <w:p>
            <w:pPr>
              <w:pStyle w:val="30"/>
              <w:bidi w:val="0"/>
              <w:rPr>
                <w:highlight w:val="none"/>
              </w:rPr>
            </w:pPr>
            <w:r>
              <w:rPr>
                <w:rFonts w:hint="eastAsia"/>
                <w:highlight w:val="none"/>
                <w:lang w:val="en-US" w:eastAsia="zh-CN"/>
              </w:rPr>
              <w:t>12</w:t>
            </w:r>
            <w:r>
              <w:rPr>
                <w:highlight w:val="none"/>
              </w:rPr>
              <w:t>.0360</w:t>
            </w:r>
          </w:p>
        </w:tc>
        <w:tc>
          <w:tcPr>
            <w:tcW w:w="0" w:type="auto"/>
            <w:tcBorders>
              <w:tl2br w:val="nil"/>
              <w:tr2bl w:val="nil"/>
            </w:tcBorders>
            <w:vAlign w:val="center"/>
          </w:tcPr>
          <w:p>
            <w:pPr>
              <w:pStyle w:val="30"/>
              <w:bidi w:val="0"/>
              <w:rPr>
                <w:highlight w:val="none"/>
              </w:rPr>
            </w:pPr>
            <w:r>
              <w:rPr>
                <w:highlight w:val="none"/>
              </w:rPr>
              <w:t>8.0180</w:t>
            </w:r>
          </w:p>
        </w:tc>
        <w:tc>
          <w:tcPr>
            <w:tcW w:w="0" w:type="auto"/>
            <w:tcBorders>
              <w:tl2br w:val="nil"/>
              <w:tr2bl w:val="nil"/>
            </w:tcBorders>
            <w:vAlign w:val="center"/>
          </w:tcPr>
          <w:p>
            <w:pPr>
              <w:pStyle w:val="30"/>
              <w:bidi w:val="0"/>
              <w:rPr>
                <w:highlight w:val="none"/>
              </w:rPr>
            </w:pPr>
            <w:r>
              <w:rPr>
                <w:highlight w:val="none"/>
              </w:rPr>
              <w:t>0.1497</w:t>
            </w:r>
          </w:p>
        </w:tc>
        <w:tc>
          <w:tcPr>
            <w:tcW w:w="0" w:type="auto"/>
            <w:tcBorders>
              <w:tl2br w:val="nil"/>
              <w:tr2bl w:val="nil"/>
            </w:tcBorders>
            <w:vAlign w:val="center"/>
          </w:tcPr>
          <w:p>
            <w:pPr>
              <w:pStyle w:val="30"/>
              <w:bidi w:val="0"/>
              <w:rPr>
                <w:highlight w:val="none"/>
              </w:rPr>
            </w:pPr>
            <w:r>
              <w:rPr>
                <w:highlight w:val="none"/>
              </w:rPr>
              <w:t>1.4967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400.0</w:t>
            </w:r>
          </w:p>
        </w:tc>
        <w:tc>
          <w:tcPr>
            <w:tcW w:w="0" w:type="auto"/>
            <w:tcBorders>
              <w:tl2br w:val="nil"/>
              <w:tr2bl w:val="nil"/>
            </w:tcBorders>
            <w:vAlign w:val="center"/>
          </w:tcPr>
          <w:p>
            <w:pPr>
              <w:pStyle w:val="30"/>
              <w:bidi w:val="0"/>
            </w:pPr>
            <w:r>
              <w:t>11.6490</w:t>
            </w:r>
          </w:p>
        </w:tc>
        <w:tc>
          <w:tcPr>
            <w:tcW w:w="0" w:type="auto"/>
            <w:tcBorders>
              <w:tl2br w:val="nil"/>
              <w:tr2bl w:val="nil"/>
            </w:tcBorders>
            <w:vAlign w:val="center"/>
          </w:tcPr>
          <w:p>
            <w:pPr>
              <w:pStyle w:val="30"/>
              <w:bidi w:val="0"/>
            </w:pPr>
            <w:r>
              <w:t>5.8245</w:t>
            </w:r>
          </w:p>
        </w:tc>
        <w:tc>
          <w:tcPr>
            <w:tcW w:w="0" w:type="auto"/>
            <w:tcBorders>
              <w:tl2br w:val="nil"/>
              <w:tr2bl w:val="nil"/>
            </w:tcBorders>
            <w:vAlign w:val="center"/>
          </w:tcPr>
          <w:p>
            <w:pPr>
              <w:pStyle w:val="30"/>
              <w:bidi w:val="0"/>
            </w:pPr>
            <w:r>
              <w:t>0.1087</w:t>
            </w:r>
          </w:p>
        </w:tc>
        <w:tc>
          <w:tcPr>
            <w:tcW w:w="0" w:type="auto"/>
            <w:tcBorders>
              <w:tl2br w:val="nil"/>
              <w:tr2bl w:val="nil"/>
            </w:tcBorders>
            <w:vAlign w:val="center"/>
          </w:tcPr>
          <w:p>
            <w:pPr>
              <w:pStyle w:val="30"/>
              <w:bidi w:val="0"/>
            </w:pPr>
            <w:r>
              <w:t>1.0872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500.0</w:t>
            </w:r>
          </w:p>
        </w:tc>
        <w:tc>
          <w:tcPr>
            <w:tcW w:w="0" w:type="auto"/>
            <w:tcBorders>
              <w:tl2br w:val="nil"/>
              <w:tr2bl w:val="nil"/>
            </w:tcBorders>
            <w:vAlign w:val="center"/>
          </w:tcPr>
          <w:p>
            <w:pPr>
              <w:pStyle w:val="30"/>
              <w:bidi w:val="0"/>
            </w:pPr>
            <w:r>
              <w:t>9.0228</w:t>
            </w:r>
          </w:p>
        </w:tc>
        <w:tc>
          <w:tcPr>
            <w:tcW w:w="0" w:type="auto"/>
            <w:tcBorders>
              <w:tl2br w:val="nil"/>
              <w:tr2bl w:val="nil"/>
            </w:tcBorders>
            <w:vAlign w:val="center"/>
          </w:tcPr>
          <w:p>
            <w:pPr>
              <w:pStyle w:val="30"/>
              <w:bidi w:val="0"/>
            </w:pPr>
            <w:r>
              <w:t>4.5114</w:t>
            </w:r>
          </w:p>
        </w:tc>
        <w:tc>
          <w:tcPr>
            <w:tcW w:w="0" w:type="auto"/>
            <w:tcBorders>
              <w:tl2br w:val="nil"/>
              <w:tr2bl w:val="nil"/>
            </w:tcBorders>
            <w:vAlign w:val="center"/>
          </w:tcPr>
          <w:p>
            <w:pPr>
              <w:pStyle w:val="30"/>
              <w:bidi w:val="0"/>
            </w:pPr>
            <w:r>
              <w:t>0.0842</w:t>
            </w:r>
          </w:p>
        </w:tc>
        <w:tc>
          <w:tcPr>
            <w:tcW w:w="0" w:type="auto"/>
            <w:tcBorders>
              <w:tl2br w:val="nil"/>
              <w:tr2bl w:val="nil"/>
            </w:tcBorders>
            <w:vAlign w:val="center"/>
          </w:tcPr>
          <w:p>
            <w:pPr>
              <w:pStyle w:val="30"/>
              <w:bidi w:val="0"/>
            </w:pPr>
            <w:r>
              <w:t>0.8421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600.0</w:t>
            </w:r>
          </w:p>
        </w:tc>
        <w:tc>
          <w:tcPr>
            <w:tcW w:w="0" w:type="auto"/>
            <w:tcBorders>
              <w:tl2br w:val="nil"/>
              <w:tr2bl w:val="nil"/>
            </w:tcBorders>
            <w:vAlign w:val="center"/>
          </w:tcPr>
          <w:p>
            <w:pPr>
              <w:pStyle w:val="30"/>
              <w:bidi w:val="0"/>
            </w:pPr>
            <w:r>
              <w:t>7.3604</w:t>
            </w:r>
          </w:p>
        </w:tc>
        <w:tc>
          <w:tcPr>
            <w:tcW w:w="0" w:type="auto"/>
            <w:tcBorders>
              <w:tl2br w:val="nil"/>
              <w:tr2bl w:val="nil"/>
            </w:tcBorders>
            <w:vAlign w:val="center"/>
          </w:tcPr>
          <w:p>
            <w:pPr>
              <w:pStyle w:val="30"/>
              <w:bidi w:val="0"/>
            </w:pPr>
            <w:r>
              <w:t>3.6802</w:t>
            </w:r>
          </w:p>
        </w:tc>
        <w:tc>
          <w:tcPr>
            <w:tcW w:w="0" w:type="auto"/>
            <w:tcBorders>
              <w:tl2br w:val="nil"/>
              <w:tr2bl w:val="nil"/>
            </w:tcBorders>
            <w:vAlign w:val="center"/>
          </w:tcPr>
          <w:p>
            <w:pPr>
              <w:pStyle w:val="30"/>
              <w:bidi w:val="0"/>
            </w:pPr>
            <w:r>
              <w:t>0.0687</w:t>
            </w:r>
          </w:p>
        </w:tc>
        <w:tc>
          <w:tcPr>
            <w:tcW w:w="0" w:type="auto"/>
            <w:tcBorders>
              <w:tl2br w:val="nil"/>
              <w:tr2bl w:val="nil"/>
            </w:tcBorders>
            <w:vAlign w:val="center"/>
          </w:tcPr>
          <w:p>
            <w:pPr>
              <w:pStyle w:val="30"/>
              <w:bidi w:val="0"/>
            </w:pPr>
            <w:r>
              <w:t>0.6870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700.0</w:t>
            </w:r>
          </w:p>
        </w:tc>
        <w:tc>
          <w:tcPr>
            <w:tcW w:w="0" w:type="auto"/>
            <w:tcBorders>
              <w:tl2br w:val="nil"/>
              <w:tr2bl w:val="nil"/>
            </w:tcBorders>
            <w:vAlign w:val="center"/>
          </w:tcPr>
          <w:p>
            <w:pPr>
              <w:pStyle w:val="30"/>
              <w:bidi w:val="0"/>
            </w:pPr>
            <w:r>
              <w:t>6.0217</w:t>
            </w:r>
          </w:p>
        </w:tc>
        <w:tc>
          <w:tcPr>
            <w:tcW w:w="0" w:type="auto"/>
            <w:tcBorders>
              <w:tl2br w:val="nil"/>
              <w:tr2bl w:val="nil"/>
            </w:tcBorders>
            <w:vAlign w:val="center"/>
          </w:tcPr>
          <w:p>
            <w:pPr>
              <w:pStyle w:val="30"/>
              <w:bidi w:val="0"/>
            </w:pPr>
            <w:r>
              <w:t>3.0109</w:t>
            </w:r>
          </w:p>
        </w:tc>
        <w:tc>
          <w:tcPr>
            <w:tcW w:w="0" w:type="auto"/>
            <w:tcBorders>
              <w:tl2br w:val="nil"/>
              <w:tr2bl w:val="nil"/>
            </w:tcBorders>
            <w:vAlign w:val="center"/>
          </w:tcPr>
          <w:p>
            <w:pPr>
              <w:pStyle w:val="30"/>
              <w:bidi w:val="0"/>
            </w:pPr>
            <w:r>
              <w:t>0.0562</w:t>
            </w:r>
          </w:p>
        </w:tc>
        <w:tc>
          <w:tcPr>
            <w:tcW w:w="0" w:type="auto"/>
            <w:tcBorders>
              <w:tl2br w:val="nil"/>
              <w:tr2bl w:val="nil"/>
            </w:tcBorders>
            <w:vAlign w:val="center"/>
          </w:tcPr>
          <w:p>
            <w:pPr>
              <w:pStyle w:val="30"/>
              <w:bidi w:val="0"/>
            </w:pPr>
            <w:r>
              <w:t>0.5620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800.0</w:t>
            </w:r>
          </w:p>
        </w:tc>
        <w:tc>
          <w:tcPr>
            <w:tcW w:w="0" w:type="auto"/>
            <w:tcBorders>
              <w:tl2br w:val="nil"/>
              <w:tr2bl w:val="nil"/>
            </w:tcBorders>
            <w:vAlign w:val="center"/>
          </w:tcPr>
          <w:p>
            <w:pPr>
              <w:pStyle w:val="30"/>
              <w:bidi w:val="0"/>
            </w:pPr>
            <w:r>
              <w:t>2.6164</w:t>
            </w:r>
          </w:p>
        </w:tc>
        <w:tc>
          <w:tcPr>
            <w:tcW w:w="0" w:type="auto"/>
            <w:tcBorders>
              <w:tl2br w:val="nil"/>
              <w:tr2bl w:val="nil"/>
            </w:tcBorders>
            <w:vAlign w:val="center"/>
          </w:tcPr>
          <w:p>
            <w:pPr>
              <w:pStyle w:val="30"/>
              <w:bidi w:val="0"/>
            </w:pPr>
            <w:r>
              <w:t>1.3082</w:t>
            </w:r>
          </w:p>
        </w:tc>
        <w:tc>
          <w:tcPr>
            <w:tcW w:w="0" w:type="auto"/>
            <w:tcBorders>
              <w:tl2br w:val="nil"/>
              <w:tr2bl w:val="nil"/>
            </w:tcBorders>
            <w:vAlign w:val="center"/>
          </w:tcPr>
          <w:p>
            <w:pPr>
              <w:pStyle w:val="30"/>
              <w:bidi w:val="0"/>
            </w:pPr>
            <w:r>
              <w:t>0.0244</w:t>
            </w:r>
          </w:p>
        </w:tc>
        <w:tc>
          <w:tcPr>
            <w:tcW w:w="0" w:type="auto"/>
            <w:tcBorders>
              <w:tl2br w:val="nil"/>
              <w:tr2bl w:val="nil"/>
            </w:tcBorders>
            <w:vAlign w:val="center"/>
          </w:tcPr>
          <w:p>
            <w:pPr>
              <w:pStyle w:val="30"/>
              <w:bidi w:val="0"/>
            </w:pPr>
            <w:r>
              <w:t>0.2442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900.0</w:t>
            </w:r>
          </w:p>
        </w:tc>
        <w:tc>
          <w:tcPr>
            <w:tcW w:w="0" w:type="auto"/>
            <w:tcBorders>
              <w:tl2br w:val="nil"/>
              <w:tr2bl w:val="nil"/>
            </w:tcBorders>
            <w:vAlign w:val="center"/>
          </w:tcPr>
          <w:p>
            <w:pPr>
              <w:pStyle w:val="30"/>
              <w:bidi w:val="0"/>
            </w:pPr>
            <w:r>
              <w:t>4.0970</w:t>
            </w:r>
          </w:p>
        </w:tc>
        <w:tc>
          <w:tcPr>
            <w:tcW w:w="0" w:type="auto"/>
            <w:tcBorders>
              <w:tl2br w:val="nil"/>
              <w:tr2bl w:val="nil"/>
            </w:tcBorders>
            <w:vAlign w:val="center"/>
          </w:tcPr>
          <w:p>
            <w:pPr>
              <w:pStyle w:val="30"/>
              <w:bidi w:val="0"/>
            </w:pPr>
            <w:r>
              <w:t>2.0485</w:t>
            </w:r>
          </w:p>
        </w:tc>
        <w:tc>
          <w:tcPr>
            <w:tcW w:w="0" w:type="auto"/>
            <w:tcBorders>
              <w:tl2br w:val="nil"/>
              <w:tr2bl w:val="nil"/>
            </w:tcBorders>
            <w:vAlign w:val="center"/>
          </w:tcPr>
          <w:p>
            <w:pPr>
              <w:pStyle w:val="30"/>
              <w:bidi w:val="0"/>
            </w:pPr>
            <w:r>
              <w:t>0.0382</w:t>
            </w:r>
          </w:p>
        </w:tc>
        <w:tc>
          <w:tcPr>
            <w:tcW w:w="0" w:type="auto"/>
            <w:tcBorders>
              <w:tl2br w:val="nil"/>
              <w:tr2bl w:val="nil"/>
            </w:tcBorders>
            <w:vAlign w:val="center"/>
          </w:tcPr>
          <w:p>
            <w:pPr>
              <w:pStyle w:val="30"/>
              <w:bidi w:val="0"/>
            </w:pPr>
            <w:r>
              <w:t>0.3824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1000.0</w:t>
            </w:r>
          </w:p>
        </w:tc>
        <w:tc>
          <w:tcPr>
            <w:tcW w:w="0" w:type="auto"/>
            <w:tcBorders>
              <w:tl2br w:val="nil"/>
              <w:tr2bl w:val="nil"/>
            </w:tcBorders>
            <w:vAlign w:val="center"/>
          </w:tcPr>
          <w:p>
            <w:pPr>
              <w:pStyle w:val="30"/>
              <w:bidi w:val="0"/>
            </w:pPr>
            <w:r>
              <w:t>3.9161</w:t>
            </w:r>
          </w:p>
        </w:tc>
        <w:tc>
          <w:tcPr>
            <w:tcW w:w="0" w:type="auto"/>
            <w:tcBorders>
              <w:tl2br w:val="nil"/>
              <w:tr2bl w:val="nil"/>
            </w:tcBorders>
            <w:vAlign w:val="center"/>
          </w:tcPr>
          <w:p>
            <w:pPr>
              <w:pStyle w:val="30"/>
              <w:bidi w:val="0"/>
            </w:pPr>
            <w:r>
              <w:t>1.9581</w:t>
            </w:r>
          </w:p>
        </w:tc>
        <w:tc>
          <w:tcPr>
            <w:tcW w:w="0" w:type="auto"/>
            <w:tcBorders>
              <w:tl2br w:val="nil"/>
              <w:tr2bl w:val="nil"/>
            </w:tcBorders>
            <w:vAlign w:val="center"/>
          </w:tcPr>
          <w:p>
            <w:pPr>
              <w:pStyle w:val="30"/>
              <w:bidi w:val="0"/>
            </w:pPr>
            <w:r>
              <w:t>0.0366</w:t>
            </w:r>
          </w:p>
        </w:tc>
        <w:tc>
          <w:tcPr>
            <w:tcW w:w="0" w:type="auto"/>
            <w:tcBorders>
              <w:tl2br w:val="nil"/>
              <w:tr2bl w:val="nil"/>
            </w:tcBorders>
            <w:vAlign w:val="center"/>
          </w:tcPr>
          <w:p>
            <w:pPr>
              <w:pStyle w:val="30"/>
              <w:bidi w:val="0"/>
            </w:pPr>
            <w:r>
              <w:t>0.3655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1200.0</w:t>
            </w:r>
          </w:p>
        </w:tc>
        <w:tc>
          <w:tcPr>
            <w:tcW w:w="0" w:type="auto"/>
            <w:tcBorders>
              <w:tl2br w:val="nil"/>
              <w:tr2bl w:val="nil"/>
            </w:tcBorders>
            <w:vAlign w:val="center"/>
          </w:tcPr>
          <w:p>
            <w:pPr>
              <w:pStyle w:val="30"/>
              <w:bidi w:val="0"/>
            </w:pPr>
            <w:r>
              <w:t>0.8009</w:t>
            </w:r>
          </w:p>
        </w:tc>
        <w:tc>
          <w:tcPr>
            <w:tcW w:w="0" w:type="auto"/>
            <w:tcBorders>
              <w:tl2br w:val="nil"/>
              <w:tr2bl w:val="nil"/>
            </w:tcBorders>
            <w:vAlign w:val="center"/>
          </w:tcPr>
          <w:p>
            <w:pPr>
              <w:pStyle w:val="30"/>
              <w:bidi w:val="0"/>
            </w:pPr>
            <w:r>
              <w:t>0.4004</w:t>
            </w:r>
          </w:p>
        </w:tc>
        <w:tc>
          <w:tcPr>
            <w:tcW w:w="0" w:type="auto"/>
            <w:tcBorders>
              <w:tl2br w:val="nil"/>
              <w:tr2bl w:val="nil"/>
            </w:tcBorders>
            <w:vAlign w:val="center"/>
          </w:tcPr>
          <w:p>
            <w:pPr>
              <w:pStyle w:val="30"/>
              <w:bidi w:val="0"/>
            </w:pPr>
            <w:r>
              <w:t>0.0075</w:t>
            </w:r>
          </w:p>
        </w:tc>
        <w:tc>
          <w:tcPr>
            <w:tcW w:w="0" w:type="auto"/>
            <w:tcBorders>
              <w:tl2br w:val="nil"/>
              <w:tr2bl w:val="nil"/>
            </w:tcBorders>
            <w:vAlign w:val="center"/>
          </w:tcPr>
          <w:p>
            <w:pPr>
              <w:pStyle w:val="30"/>
              <w:bidi w:val="0"/>
            </w:pPr>
            <w:r>
              <w:t>0.0748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1400.0</w:t>
            </w:r>
          </w:p>
        </w:tc>
        <w:tc>
          <w:tcPr>
            <w:tcW w:w="0" w:type="auto"/>
            <w:tcBorders>
              <w:tl2br w:val="nil"/>
              <w:tr2bl w:val="nil"/>
            </w:tcBorders>
            <w:vAlign w:val="center"/>
          </w:tcPr>
          <w:p>
            <w:pPr>
              <w:pStyle w:val="30"/>
              <w:bidi w:val="0"/>
            </w:pPr>
            <w:r>
              <w:t>1.9644</w:t>
            </w:r>
          </w:p>
        </w:tc>
        <w:tc>
          <w:tcPr>
            <w:tcW w:w="0" w:type="auto"/>
            <w:tcBorders>
              <w:tl2br w:val="nil"/>
              <w:tr2bl w:val="nil"/>
            </w:tcBorders>
            <w:vAlign w:val="center"/>
          </w:tcPr>
          <w:p>
            <w:pPr>
              <w:pStyle w:val="30"/>
              <w:bidi w:val="0"/>
            </w:pPr>
            <w:r>
              <w:t>0.9822</w:t>
            </w:r>
          </w:p>
        </w:tc>
        <w:tc>
          <w:tcPr>
            <w:tcW w:w="0" w:type="auto"/>
            <w:tcBorders>
              <w:tl2br w:val="nil"/>
              <w:tr2bl w:val="nil"/>
            </w:tcBorders>
            <w:vAlign w:val="center"/>
          </w:tcPr>
          <w:p>
            <w:pPr>
              <w:pStyle w:val="30"/>
              <w:bidi w:val="0"/>
            </w:pPr>
            <w:r>
              <w:t>0.0183</w:t>
            </w:r>
          </w:p>
        </w:tc>
        <w:tc>
          <w:tcPr>
            <w:tcW w:w="0" w:type="auto"/>
            <w:tcBorders>
              <w:tl2br w:val="nil"/>
              <w:tr2bl w:val="nil"/>
            </w:tcBorders>
            <w:vAlign w:val="center"/>
          </w:tcPr>
          <w:p>
            <w:pPr>
              <w:pStyle w:val="30"/>
              <w:bidi w:val="0"/>
            </w:pPr>
            <w:r>
              <w:t>0.1833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1600.0</w:t>
            </w:r>
          </w:p>
        </w:tc>
        <w:tc>
          <w:tcPr>
            <w:tcW w:w="0" w:type="auto"/>
            <w:tcBorders>
              <w:tl2br w:val="nil"/>
              <w:tr2bl w:val="nil"/>
            </w:tcBorders>
            <w:vAlign w:val="center"/>
          </w:tcPr>
          <w:p>
            <w:pPr>
              <w:pStyle w:val="30"/>
              <w:bidi w:val="0"/>
            </w:pPr>
            <w:r>
              <w:t>1.6750</w:t>
            </w:r>
          </w:p>
        </w:tc>
        <w:tc>
          <w:tcPr>
            <w:tcW w:w="0" w:type="auto"/>
            <w:tcBorders>
              <w:tl2br w:val="nil"/>
              <w:tr2bl w:val="nil"/>
            </w:tcBorders>
            <w:vAlign w:val="center"/>
          </w:tcPr>
          <w:p>
            <w:pPr>
              <w:pStyle w:val="30"/>
              <w:bidi w:val="0"/>
            </w:pPr>
            <w:r>
              <w:t>0.8375</w:t>
            </w:r>
          </w:p>
        </w:tc>
        <w:tc>
          <w:tcPr>
            <w:tcW w:w="0" w:type="auto"/>
            <w:tcBorders>
              <w:tl2br w:val="nil"/>
              <w:tr2bl w:val="nil"/>
            </w:tcBorders>
            <w:vAlign w:val="center"/>
          </w:tcPr>
          <w:p>
            <w:pPr>
              <w:pStyle w:val="30"/>
              <w:bidi w:val="0"/>
            </w:pPr>
            <w:r>
              <w:t>0.0156</w:t>
            </w:r>
          </w:p>
        </w:tc>
        <w:tc>
          <w:tcPr>
            <w:tcW w:w="0" w:type="auto"/>
            <w:tcBorders>
              <w:tl2br w:val="nil"/>
              <w:tr2bl w:val="nil"/>
            </w:tcBorders>
            <w:vAlign w:val="center"/>
          </w:tcPr>
          <w:p>
            <w:pPr>
              <w:pStyle w:val="30"/>
              <w:bidi w:val="0"/>
            </w:pPr>
            <w:r>
              <w:t>0.1563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1800.0</w:t>
            </w:r>
          </w:p>
        </w:tc>
        <w:tc>
          <w:tcPr>
            <w:tcW w:w="0" w:type="auto"/>
            <w:tcBorders>
              <w:tl2br w:val="nil"/>
              <w:tr2bl w:val="nil"/>
            </w:tcBorders>
            <w:vAlign w:val="center"/>
          </w:tcPr>
          <w:p>
            <w:pPr>
              <w:pStyle w:val="30"/>
              <w:bidi w:val="0"/>
            </w:pPr>
            <w:r>
              <w:t>1.7756</w:t>
            </w:r>
          </w:p>
        </w:tc>
        <w:tc>
          <w:tcPr>
            <w:tcW w:w="0" w:type="auto"/>
            <w:tcBorders>
              <w:tl2br w:val="nil"/>
              <w:tr2bl w:val="nil"/>
            </w:tcBorders>
            <w:vAlign w:val="center"/>
          </w:tcPr>
          <w:p>
            <w:pPr>
              <w:pStyle w:val="30"/>
              <w:bidi w:val="0"/>
            </w:pPr>
            <w:r>
              <w:t>0.8878</w:t>
            </w:r>
          </w:p>
        </w:tc>
        <w:tc>
          <w:tcPr>
            <w:tcW w:w="0" w:type="auto"/>
            <w:tcBorders>
              <w:tl2br w:val="nil"/>
              <w:tr2bl w:val="nil"/>
            </w:tcBorders>
            <w:vAlign w:val="center"/>
          </w:tcPr>
          <w:p>
            <w:pPr>
              <w:pStyle w:val="30"/>
              <w:bidi w:val="0"/>
            </w:pPr>
            <w:r>
              <w:t>0.0166</w:t>
            </w:r>
          </w:p>
        </w:tc>
        <w:tc>
          <w:tcPr>
            <w:tcW w:w="0" w:type="auto"/>
            <w:tcBorders>
              <w:tl2br w:val="nil"/>
              <w:tr2bl w:val="nil"/>
            </w:tcBorders>
            <w:vAlign w:val="center"/>
          </w:tcPr>
          <w:p>
            <w:pPr>
              <w:pStyle w:val="30"/>
              <w:bidi w:val="0"/>
            </w:pPr>
            <w:r>
              <w:t>0.1657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2000.0</w:t>
            </w:r>
          </w:p>
        </w:tc>
        <w:tc>
          <w:tcPr>
            <w:tcW w:w="0" w:type="auto"/>
            <w:tcBorders>
              <w:tl2br w:val="nil"/>
              <w:tr2bl w:val="nil"/>
            </w:tcBorders>
            <w:vAlign w:val="center"/>
          </w:tcPr>
          <w:p>
            <w:pPr>
              <w:pStyle w:val="30"/>
              <w:bidi w:val="0"/>
            </w:pPr>
            <w:r>
              <w:t>1.5714</w:t>
            </w:r>
          </w:p>
        </w:tc>
        <w:tc>
          <w:tcPr>
            <w:tcW w:w="0" w:type="auto"/>
            <w:tcBorders>
              <w:tl2br w:val="nil"/>
              <w:tr2bl w:val="nil"/>
            </w:tcBorders>
            <w:vAlign w:val="center"/>
          </w:tcPr>
          <w:p>
            <w:pPr>
              <w:pStyle w:val="30"/>
              <w:bidi w:val="0"/>
            </w:pPr>
            <w:r>
              <w:t>0.7857</w:t>
            </w:r>
          </w:p>
        </w:tc>
        <w:tc>
          <w:tcPr>
            <w:tcW w:w="0" w:type="auto"/>
            <w:tcBorders>
              <w:tl2br w:val="nil"/>
              <w:tr2bl w:val="nil"/>
            </w:tcBorders>
            <w:vAlign w:val="center"/>
          </w:tcPr>
          <w:p>
            <w:pPr>
              <w:pStyle w:val="30"/>
              <w:bidi w:val="0"/>
            </w:pPr>
            <w:r>
              <w:t>0.0147</w:t>
            </w:r>
          </w:p>
        </w:tc>
        <w:tc>
          <w:tcPr>
            <w:tcW w:w="0" w:type="auto"/>
            <w:tcBorders>
              <w:tl2br w:val="nil"/>
              <w:tr2bl w:val="nil"/>
            </w:tcBorders>
            <w:vAlign w:val="center"/>
          </w:tcPr>
          <w:p>
            <w:pPr>
              <w:pStyle w:val="30"/>
              <w:bidi w:val="0"/>
            </w:pPr>
            <w:r>
              <w:t>0.1467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2500.0</w:t>
            </w:r>
          </w:p>
        </w:tc>
        <w:tc>
          <w:tcPr>
            <w:tcW w:w="0" w:type="auto"/>
            <w:tcBorders>
              <w:tl2br w:val="nil"/>
              <w:tr2bl w:val="nil"/>
            </w:tcBorders>
            <w:vAlign w:val="center"/>
          </w:tcPr>
          <w:p>
            <w:pPr>
              <w:pStyle w:val="30"/>
              <w:bidi w:val="0"/>
            </w:pPr>
            <w:r>
              <w:t>0.8403</w:t>
            </w:r>
          </w:p>
        </w:tc>
        <w:tc>
          <w:tcPr>
            <w:tcW w:w="0" w:type="auto"/>
            <w:tcBorders>
              <w:tl2br w:val="nil"/>
              <w:tr2bl w:val="nil"/>
            </w:tcBorders>
            <w:vAlign w:val="center"/>
          </w:tcPr>
          <w:p>
            <w:pPr>
              <w:pStyle w:val="30"/>
              <w:bidi w:val="0"/>
            </w:pPr>
            <w:r>
              <w:t>0.4201</w:t>
            </w:r>
          </w:p>
        </w:tc>
        <w:tc>
          <w:tcPr>
            <w:tcW w:w="0" w:type="auto"/>
            <w:tcBorders>
              <w:tl2br w:val="nil"/>
              <w:tr2bl w:val="nil"/>
            </w:tcBorders>
            <w:vAlign w:val="center"/>
          </w:tcPr>
          <w:p>
            <w:pPr>
              <w:pStyle w:val="30"/>
              <w:bidi w:val="0"/>
            </w:pPr>
            <w:r>
              <w:t>0.0078</w:t>
            </w:r>
          </w:p>
        </w:tc>
        <w:tc>
          <w:tcPr>
            <w:tcW w:w="0" w:type="auto"/>
            <w:tcBorders>
              <w:tl2br w:val="nil"/>
              <w:tr2bl w:val="nil"/>
            </w:tcBorders>
            <w:vAlign w:val="center"/>
          </w:tcPr>
          <w:p>
            <w:pPr>
              <w:pStyle w:val="30"/>
              <w:bidi w:val="0"/>
            </w:pPr>
            <w:r>
              <w:t>0.0784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3000.0</w:t>
            </w:r>
          </w:p>
        </w:tc>
        <w:tc>
          <w:tcPr>
            <w:tcW w:w="0" w:type="auto"/>
            <w:tcBorders>
              <w:tl2br w:val="nil"/>
              <w:tr2bl w:val="nil"/>
            </w:tcBorders>
            <w:vAlign w:val="center"/>
          </w:tcPr>
          <w:p>
            <w:pPr>
              <w:pStyle w:val="30"/>
              <w:bidi w:val="0"/>
            </w:pPr>
            <w:r>
              <w:t>1.0372</w:t>
            </w:r>
          </w:p>
        </w:tc>
        <w:tc>
          <w:tcPr>
            <w:tcW w:w="0" w:type="auto"/>
            <w:tcBorders>
              <w:tl2br w:val="nil"/>
              <w:tr2bl w:val="nil"/>
            </w:tcBorders>
            <w:vAlign w:val="center"/>
          </w:tcPr>
          <w:p>
            <w:pPr>
              <w:pStyle w:val="30"/>
              <w:bidi w:val="0"/>
            </w:pPr>
            <w:r>
              <w:t>0.5186</w:t>
            </w:r>
          </w:p>
        </w:tc>
        <w:tc>
          <w:tcPr>
            <w:tcW w:w="0" w:type="auto"/>
            <w:tcBorders>
              <w:tl2br w:val="nil"/>
              <w:tr2bl w:val="nil"/>
            </w:tcBorders>
            <w:vAlign w:val="center"/>
          </w:tcPr>
          <w:p>
            <w:pPr>
              <w:pStyle w:val="30"/>
              <w:bidi w:val="0"/>
            </w:pPr>
            <w:r>
              <w:t>0.0097</w:t>
            </w:r>
          </w:p>
        </w:tc>
        <w:tc>
          <w:tcPr>
            <w:tcW w:w="0" w:type="auto"/>
            <w:tcBorders>
              <w:tl2br w:val="nil"/>
              <w:tr2bl w:val="nil"/>
            </w:tcBorders>
            <w:vAlign w:val="center"/>
          </w:tcPr>
          <w:p>
            <w:pPr>
              <w:pStyle w:val="30"/>
              <w:bidi w:val="0"/>
            </w:pPr>
            <w:r>
              <w:t>0.0968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3500.0</w:t>
            </w:r>
          </w:p>
        </w:tc>
        <w:tc>
          <w:tcPr>
            <w:tcW w:w="0" w:type="auto"/>
            <w:tcBorders>
              <w:tl2br w:val="nil"/>
              <w:tr2bl w:val="nil"/>
            </w:tcBorders>
            <w:vAlign w:val="center"/>
          </w:tcPr>
          <w:p>
            <w:pPr>
              <w:pStyle w:val="30"/>
              <w:bidi w:val="0"/>
            </w:pPr>
            <w:r>
              <w:t>0.6939</w:t>
            </w:r>
          </w:p>
        </w:tc>
        <w:tc>
          <w:tcPr>
            <w:tcW w:w="0" w:type="auto"/>
            <w:tcBorders>
              <w:tl2br w:val="nil"/>
              <w:tr2bl w:val="nil"/>
            </w:tcBorders>
            <w:vAlign w:val="center"/>
          </w:tcPr>
          <w:p>
            <w:pPr>
              <w:pStyle w:val="30"/>
              <w:bidi w:val="0"/>
            </w:pPr>
            <w:r>
              <w:t>0.3470</w:t>
            </w:r>
          </w:p>
        </w:tc>
        <w:tc>
          <w:tcPr>
            <w:tcW w:w="0" w:type="auto"/>
            <w:tcBorders>
              <w:tl2br w:val="nil"/>
              <w:tr2bl w:val="nil"/>
            </w:tcBorders>
            <w:vAlign w:val="center"/>
          </w:tcPr>
          <w:p>
            <w:pPr>
              <w:pStyle w:val="30"/>
              <w:bidi w:val="0"/>
            </w:pPr>
            <w:r>
              <w:t>0.0065</w:t>
            </w:r>
          </w:p>
        </w:tc>
        <w:tc>
          <w:tcPr>
            <w:tcW w:w="0" w:type="auto"/>
            <w:tcBorders>
              <w:tl2br w:val="nil"/>
              <w:tr2bl w:val="nil"/>
            </w:tcBorders>
            <w:vAlign w:val="center"/>
          </w:tcPr>
          <w:p>
            <w:pPr>
              <w:pStyle w:val="30"/>
              <w:bidi w:val="0"/>
            </w:pPr>
            <w:r>
              <w:t>0.0648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4000.0</w:t>
            </w:r>
          </w:p>
        </w:tc>
        <w:tc>
          <w:tcPr>
            <w:tcW w:w="0" w:type="auto"/>
            <w:tcBorders>
              <w:tl2br w:val="nil"/>
              <w:tr2bl w:val="nil"/>
            </w:tcBorders>
            <w:vAlign w:val="center"/>
          </w:tcPr>
          <w:p>
            <w:pPr>
              <w:pStyle w:val="30"/>
              <w:bidi w:val="0"/>
            </w:pPr>
            <w:r>
              <w:t>0.2664</w:t>
            </w:r>
          </w:p>
        </w:tc>
        <w:tc>
          <w:tcPr>
            <w:tcW w:w="0" w:type="auto"/>
            <w:tcBorders>
              <w:tl2br w:val="nil"/>
              <w:tr2bl w:val="nil"/>
            </w:tcBorders>
            <w:vAlign w:val="center"/>
          </w:tcPr>
          <w:p>
            <w:pPr>
              <w:pStyle w:val="30"/>
              <w:bidi w:val="0"/>
            </w:pPr>
            <w:r>
              <w:t>0.1332</w:t>
            </w:r>
          </w:p>
        </w:tc>
        <w:tc>
          <w:tcPr>
            <w:tcW w:w="0" w:type="auto"/>
            <w:tcBorders>
              <w:tl2br w:val="nil"/>
              <w:tr2bl w:val="nil"/>
            </w:tcBorders>
            <w:vAlign w:val="center"/>
          </w:tcPr>
          <w:p>
            <w:pPr>
              <w:pStyle w:val="30"/>
              <w:bidi w:val="0"/>
            </w:pPr>
            <w:r>
              <w:t>0.0025</w:t>
            </w:r>
          </w:p>
        </w:tc>
        <w:tc>
          <w:tcPr>
            <w:tcW w:w="0" w:type="auto"/>
            <w:tcBorders>
              <w:tl2br w:val="nil"/>
              <w:tr2bl w:val="nil"/>
            </w:tcBorders>
            <w:vAlign w:val="center"/>
          </w:tcPr>
          <w:p>
            <w:pPr>
              <w:pStyle w:val="30"/>
              <w:bidi w:val="0"/>
            </w:pPr>
            <w:r>
              <w:t>0.0249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4500.0</w:t>
            </w:r>
          </w:p>
        </w:tc>
        <w:tc>
          <w:tcPr>
            <w:tcW w:w="0" w:type="auto"/>
            <w:tcBorders>
              <w:tl2br w:val="nil"/>
              <w:tr2bl w:val="nil"/>
            </w:tcBorders>
            <w:vAlign w:val="center"/>
          </w:tcPr>
          <w:p>
            <w:pPr>
              <w:pStyle w:val="30"/>
              <w:bidi w:val="0"/>
            </w:pPr>
            <w:r>
              <w:t>0.3519</w:t>
            </w:r>
          </w:p>
        </w:tc>
        <w:tc>
          <w:tcPr>
            <w:tcW w:w="0" w:type="auto"/>
            <w:tcBorders>
              <w:tl2br w:val="nil"/>
              <w:tr2bl w:val="nil"/>
            </w:tcBorders>
            <w:vAlign w:val="center"/>
          </w:tcPr>
          <w:p>
            <w:pPr>
              <w:pStyle w:val="30"/>
              <w:bidi w:val="0"/>
            </w:pPr>
            <w:r>
              <w:t>0.1760</w:t>
            </w:r>
          </w:p>
        </w:tc>
        <w:tc>
          <w:tcPr>
            <w:tcW w:w="0" w:type="auto"/>
            <w:tcBorders>
              <w:tl2br w:val="nil"/>
              <w:tr2bl w:val="nil"/>
            </w:tcBorders>
            <w:vAlign w:val="center"/>
          </w:tcPr>
          <w:p>
            <w:pPr>
              <w:pStyle w:val="30"/>
              <w:bidi w:val="0"/>
            </w:pPr>
            <w:r>
              <w:t>0.0033</w:t>
            </w:r>
          </w:p>
        </w:tc>
        <w:tc>
          <w:tcPr>
            <w:tcW w:w="0" w:type="auto"/>
            <w:tcBorders>
              <w:tl2br w:val="nil"/>
              <w:tr2bl w:val="nil"/>
            </w:tcBorders>
            <w:vAlign w:val="center"/>
          </w:tcPr>
          <w:p>
            <w:pPr>
              <w:pStyle w:val="30"/>
              <w:bidi w:val="0"/>
            </w:pPr>
            <w:r>
              <w:t>0.0328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5000.0</w:t>
            </w:r>
          </w:p>
        </w:tc>
        <w:tc>
          <w:tcPr>
            <w:tcW w:w="0" w:type="auto"/>
            <w:tcBorders>
              <w:tl2br w:val="nil"/>
              <w:tr2bl w:val="nil"/>
            </w:tcBorders>
            <w:vAlign w:val="center"/>
          </w:tcPr>
          <w:p>
            <w:pPr>
              <w:pStyle w:val="30"/>
              <w:bidi w:val="0"/>
            </w:pPr>
            <w:r>
              <w:t>0.5572</w:t>
            </w:r>
          </w:p>
        </w:tc>
        <w:tc>
          <w:tcPr>
            <w:tcW w:w="0" w:type="auto"/>
            <w:tcBorders>
              <w:tl2br w:val="nil"/>
              <w:tr2bl w:val="nil"/>
            </w:tcBorders>
            <w:vAlign w:val="center"/>
          </w:tcPr>
          <w:p>
            <w:pPr>
              <w:pStyle w:val="30"/>
              <w:bidi w:val="0"/>
            </w:pPr>
            <w:r>
              <w:t>0.2786</w:t>
            </w:r>
          </w:p>
        </w:tc>
        <w:tc>
          <w:tcPr>
            <w:tcW w:w="0" w:type="auto"/>
            <w:tcBorders>
              <w:tl2br w:val="nil"/>
              <w:tr2bl w:val="nil"/>
            </w:tcBorders>
            <w:vAlign w:val="center"/>
          </w:tcPr>
          <w:p>
            <w:pPr>
              <w:pStyle w:val="30"/>
              <w:bidi w:val="0"/>
            </w:pPr>
            <w:r>
              <w:t>0.0052</w:t>
            </w:r>
          </w:p>
        </w:tc>
        <w:tc>
          <w:tcPr>
            <w:tcW w:w="0" w:type="auto"/>
            <w:tcBorders>
              <w:tl2br w:val="nil"/>
              <w:tr2bl w:val="nil"/>
            </w:tcBorders>
            <w:vAlign w:val="center"/>
          </w:tcPr>
          <w:p>
            <w:pPr>
              <w:pStyle w:val="30"/>
              <w:bidi w:val="0"/>
            </w:pPr>
            <w:r>
              <w:t>0.0520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10000.0</w:t>
            </w:r>
          </w:p>
        </w:tc>
        <w:tc>
          <w:tcPr>
            <w:tcW w:w="0" w:type="auto"/>
            <w:tcBorders>
              <w:tl2br w:val="nil"/>
              <w:tr2bl w:val="nil"/>
            </w:tcBorders>
            <w:vAlign w:val="center"/>
          </w:tcPr>
          <w:p>
            <w:pPr>
              <w:pStyle w:val="30"/>
              <w:bidi w:val="0"/>
            </w:pPr>
            <w:r>
              <w:t>0.1584</w:t>
            </w:r>
          </w:p>
        </w:tc>
        <w:tc>
          <w:tcPr>
            <w:tcW w:w="0" w:type="auto"/>
            <w:tcBorders>
              <w:tl2br w:val="nil"/>
              <w:tr2bl w:val="nil"/>
            </w:tcBorders>
            <w:vAlign w:val="center"/>
          </w:tcPr>
          <w:p>
            <w:pPr>
              <w:pStyle w:val="30"/>
              <w:bidi w:val="0"/>
            </w:pPr>
            <w:r>
              <w:t>0.0792</w:t>
            </w:r>
          </w:p>
        </w:tc>
        <w:tc>
          <w:tcPr>
            <w:tcW w:w="0" w:type="auto"/>
            <w:tcBorders>
              <w:tl2br w:val="nil"/>
              <w:tr2bl w:val="nil"/>
            </w:tcBorders>
            <w:vAlign w:val="center"/>
          </w:tcPr>
          <w:p>
            <w:pPr>
              <w:pStyle w:val="30"/>
              <w:bidi w:val="0"/>
            </w:pPr>
            <w:r>
              <w:t>0.0015</w:t>
            </w:r>
          </w:p>
        </w:tc>
        <w:tc>
          <w:tcPr>
            <w:tcW w:w="0" w:type="auto"/>
            <w:tcBorders>
              <w:tl2br w:val="nil"/>
              <w:tr2bl w:val="nil"/>
            </w:tcBorders>
            <w:vAlign w:val="center"/>
          </w:tcPr>
          <w:p>
            <w:pPr>
              <w:pStyle w:val="30"/>
              <w:bidi w:val="0"/>
            </w:pPr>
            <w:r>
              <w:t>0.0148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11000.0</w:t>
            </w:r>
          </w:p>
        </w:tc>
        <w:tc>
          <w:tcPr>
            <w:tcW w:w="0" w:type="auto"/>
            <w:tcBorders>
              <w:tl2br w:val="nil"/>
              <w:tr2bl w:val="nil"/>
            </w:tcBorders>
            <w:vAlign w:val="center"/>
          </w:tcPr>
          <w:p>
            <w:pPr>
              <w:pStyle w:val="30"/>
              <w:bidi w:val="0"/>
            </w:pPr>
            <w:r>
              <w:t>0.1138</w:t>
            </w:r>
          </w:p>
        </w:tc>
        <w:tc>
          <w:tcPr>
            <w:tcW w:w="0" w:type="auto"/>
            <w:tcBorders>
              <w:tl2br w:val="nil"/>
              <w:tr2bl w:val="nil"/>
            </w:tcBorders>
            <w:vAlign w:val="center"/>
          </w:tcPr>
          <w:p>
            <w:pPr>
              <w:pStyle w:val="30"/>
              <w:bidi w:val="0"/>
            </w:pPr>
            <w:r>
              <w:t>0.0569</w:t>
            </w:r>
          </w:p>
        </w:tc>
        <w:tc>
          <w:tcPr>
            <w:tcW w:w="0" w:type="auto"/>
            <w:tcBorders>
              <w:tl2br w:val="nil"/>
              <w:tr2bl w:val="nil"/>
            </w:tcBorders>
            <w:vAlign w:val="center"/>
          </w:tcPr>
          <w:p>
            <w:pPr>
              <w:pStyle w:val="30"/>
              <w:bidi w:val="0"/>
            </w:pPr>
            <w:r>
              <w:t>0.0011</w:t>
            </w:r>
          </w:p>
        </w:tc>
        <w:tc>
          <w:tcPr>
            <w:tcW w:w="0" w:type="auto"/>
            <w:tcBorders>
              <w:tl2br w:val="nil"/>
              <w:tr2bl w:val="nil"/>
            </w:tcBorders>
            <w:vAlign w:val="center"/>
          </w:tcPr>
          <w:p>
            <w:pPr>
              <w:pStyle w:val="30"/>
              <w:bidi w:val="0"/>
            </w:pPr>
            <w:r>
              <w:t>0.0106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12000.0</w:t>
            </w:r>
          </w:p>
        </w:tc>
        <w:tc>
          <w:tcPr>
            <w:tcW w:w="0" w:type="auto"/>
            <w:tcBorders>
              <w:tl2br w:val="nil"/>
              <w:tr2bl w:val="nil"/>
            </w:tcBorders>
            <w:vAlign w:val="center"/>
          </w:tcPr>
          <w:p>
            <w:pPr>
              <w:pStyle w:val="30"/>
              <w:bidi w:val="0"/>
            </w:pPr>
            <w:r>
              <w:t>0.1650</w:t>
            </w:r>
          </w:p>
        </w:tc>
        <w:tc>
          <w:tcPr>
            <w:tcW w:w="0" w:type="auto"/>
            <w:tcBorders>
              <w:tl2br w:val="nil"/>
              <w:tr2bl w:val="nil"/>
            </w:tcBorders>
            <w:vAlign w:val="center"/>
          </w:tcPr>
          <w:p>
            <w:pPr>
              <w:pStyle w:val="30"/>
              <w:bidi w:val="0"/>
            </w:pPr>
            <w:r>
              <w:t>0.0825</w:t>
            </w:r>
          </w:p>
        </w:tc>
        <w:tc>
          <w:tcPr>
            <w:tcW w:w="0" w:type="auto"/>
            <w:tcBorders>
              <w:tl2br w:val="nil"/>
              <w:tr2bl w:val="nil"/>
            </w:tcBorders>
            <w:vAlign w:val="center"/>
          </w:tcPr>
          <w:p>
            <w:pPr>
              <w:pStyle w:val="30"/>
              <w:bidi w:val="0"/>
            </w:pPr>
            <w:r>
              <w:t>0.0015</w:t>
            </w:r>
          </w:p>
        </w:tc>
        <w:tc>
          <w:tcPr>
            <w:tcW w:w="0" w:type="auto"/>
            <w:tcBorders>
              <w:tl2br w:val="nil"/>
              <w:tr2bl w:val="nil"/>
            </w:tcBorders>
            <w:vAlign w:val="center"/>
          </w:tcPr>
          <w:p>
            <w:pPr>
              <w:pStyle w:val="30"/>
              <w:bidi w:val="0"/>
            </w:pPr>
            <w:r>
              <w:t>0.0154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13000.0</w:t>
            </w:r>
          </w:p>
        </w:tc>
        <w:tc>
          <w:tcPr>
            <w:tcW w:w="0" w:type="auto"/>
            <w:tcBorders>
              <w:tl2br w:val="nil"/>
              <w:tr2bl w:val="nil"/>
            </w:tcBorders>
            <w:vAlign w:val="center"/>
          </w:tcPr>
          <w:p>
            <w:pPr>
              <w:pStyle w:val="30"/>
              <w:bidi w:val="0"/>
            </w:pPr>
            <w:r>
              <w:t>0.1263</w:t>
            </w:r>
          </w:p>
        </w:tc>
        <w:tc>
          <w:tcPr>
            <w:tcW w:w="0" w:type="auto"/>
            <w:tcBorders>
              <w:tl2br w:val="nil"/>
              <w:tr2bl w:val="nil"/>
            </w:tcBorders>
            <w:vAlign w:val="center"/>
          </w:tcPr>
          <w:p>
            <w:pPr>
              <w:pStyle w:val="30"/>
              <w:bidi w:val="0"/>
            </w:pPr>
            <w:r>
              <w:t>0.0632</w:t>
            </w:r>
          </w:p>
        </w:tc>
        <w:tc>
          <w:tcPr>
            <w:tcW w:w="0" w:type="auto"/>
            <w:tcBorders>
              <w:tl2br w:val="nil"/>
              <w:tr2bl w:val="nil"/>
            </w:tcBorders>
            <w:vAlign w:val="center"/>
          </w:tcPr>
          <w:p>
            <w:pPr>
              <w:pStyle w:val="30"/>
              <w:bidi w:val="0"/>
            </w:pPr>
            <w:r>
              <w:t>0.0012</w:t>
            </w:r>
          </w:p>
        </w:tc>
        <w:tc>
          <w:tcPr>
            <w:tcW w:w="0" w:type="auto"/>
            <w:tcBorders>
              <w:tl2br w:val="nil"/>
              <w:tr2bl w:val="nil"/>
            </w:tcBorders>
            <w:vAlign w:val="center"/>
          </w:tcPr>
          <w:p>
            <w:pPr>
              <w:pStyle w:val="30"/>
              <w:bidi w:val="0"/>
            </w:pPr>
            <w:r>
              <w:t>0.0118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14000.0</w:t>
            </w:r>
          </w:p>
        </w:tc>
        <w:tc>
          <w:tcPr>
            <w:tcW w:w="0" w:type="auto"/>
            <w:tcBorders>
              <w:tl2br w:val="nil"/>
              <w:tr2bl w:val="nil"/>
            </w:tcBorders>
            <w:vAlign w:val="center"/>
          </w:tcPr>
          <w:p>
            <w:pPr>
              <w:pStyle w:val="30"/>
              <w:bidi w:val="0"/>
            </w:pPr>
            <w:r>
              <w:t>0.1170</w:t>
            </w:r>
          </w:p>
        </w:tc>
        <w:tc>
          <w:tcPr>
            <w:tcW w:w="0" w:type="auto"/>
            <w:tcBorders>
              <w:tl2br w:val="nil"/>
              <w:tr2bl w:val="nil"/>
            </w:tcBorders>
            <w:vAlign w:val="center"/>
          </w:tcPr>
          <w:p>
            <w:pPr>
              <w:pStyle w:val="30"/>
              <w:bidi w:val="0"/>
            </w:pPr>
            <w:r>
              <w:t>0.0585</w:t>
            </w:r>
          </w:p>
        </w:tc>
        <w:tc>
          <w:tcPr>
            <w:tcW w:w="0" w:type="auto"/>
            <w:tcBorders>
              <w:tl2br w:val="nil"/>
              <w:tr2bl w:val="nil"/>
            </w:tcBorders>
            <w:vAlign w:val="center"/>
          </w:tcPr>
          <w:p>
            <w:pPr>
              <w:pStyle w:val="30"/>
              <w:bidi w:val="0"/>
            </w:pPr>
            <w:r>
              <w:t>0.0011</w:t>
            </w:r>
          </w:p>
        </w:tc>
        <w:tc>
          <w:tcPr>
            <w:tcW w:w="0" w:type="auto"/>
            <w:tcBorders>
              <w:tl2br w:val="nil"/>
              <w:tr2bl w:val="nil"/>
            </w:tcBorders>
            <w:vAlign w:val="center"/>
          </w:tcPr>
          <w:p>
            <w:pPr>
              <w:pStyle w:val="30"/>
              <w:bidi w:val="0"/>
            </w:pPr>
            <w:r>
              <w:t>0.0109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15000.0</w:t>
            </w:r>
          </w:p>
        </w:tc>
        <w:tc>
          <w:tcPr>
            <w:tcW w:w="0" w:type="auto"/>
            <w:tcBorders>
              <w:tl2br w:val="nil"/>
              <w:tr2bl w:val="nil"/>
            </w:tcBorders>
            <w:vAlign w:val="center"/>
          </w:tcPr>
          <w:p>
            <w:pPr>
              <w:pStyle w:val="30"/>
              <w:bidi w:val="0"/>
            </w:pPr>
            <w:r>
              <w:t>0.1079</w:t>
            </w:r>
          </w:p>
        </w:tc>
        <w:tc>
          <w:tcPr>
            <w:tcW w:w="0" w:type="auto"/>
            <w:tcBorders>
              <w:tl2br w:val="nil"/>
              <w:tr2bl w:val="nil"/>
            </w:tcBorders>
            <w:vAlign w:val="center"/>
          </w:tcPr>
          <w:p>
            <w:pPr>
              <w:pStyle w:val="30"/>
              <w:bidi w:val="0"/>
            </w:pPr>
            <w:r>
              <w:t>0.0539</w:t>
            </w:r>
          </w:p>
        </w:tc>
        <w:tc>
          <w:tcPr>
            <w:tcW w:w="0" w:type="auto"/>
            <w:tcBorders>
              <w:tl2br w:val="nil"/>
              <w:tr2bl w:val="nil"/>
            </w:tcBorders>
            <w:vAlign w:val="center"/>
          </w:tcPr>
          <w:p>
            <w:pPr>
              <w:pStyle w:val="30"/>
              <w:bidi w:val="0"/>
            </w:pPr>
            <w:r>
              <w:t>0.0010</w:t>
            </w:r>
          </w:p>
        </w:tc>
        <w:tc>
          <w:tcPr>
            <w:tcW w:w="0" w:type="auto"/>
            <w:tcBorders>
              <w:tl2br w:val="nil"/>
              <w:tr2bl w:val="nil"/>
            </w:tcBorders>
            <w:vAlign w:val="center"/>
          </w:tcPr>
          <w:p>
            <w:pPr>
              <w:pStyle w:val="30"/>
              <w:bidi w:val="0"/>
            </w:pPr>
            <w:r>
              <w:t>0.0101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20000.0</w:t>
            </w:r>
          </w:p>
        </w:tc>
        <w:tc>
          <w:tcPr>
            <w:tcW w:w="0" w:type="auto"/>
            <w:tcBorders>
              <w:tl2br w:val="nil"/>
              <w:tr2bl w:val="nil"/>
            </w:tcBorders>
            <w:vAlign w:val="center"/>
          </w:tcPr>
          <w:p>
            <w:pPr>
              <w:pStyle w:val="30"/>
              <w:bidi w:val="0"/>
            </w:pPr>
            <w:r>
              <w:t>0.0686</w:t>
            </w:r>
          </w:p>
        </w:tc>
        <w:tc>
          <w:tcPr>
            <w:tcW w:w="0" w:type="auto"/>
            <w:tcBorders>
              <w:tl2br w:val="nil"/>
              <w:tr2bl w:val="nil"/>
            </w:tcBorders>
            <w:vAlign w:val="center"/>
          </w:tcPr>
          <w:p>
            <w:pPr>
              <w:pStyle w:val="30"/>
              <w:bidi w:val="0"/>
            </w:pPr>
            <w:r>
              <w:t>0.0343</w:t>
            </w:r>
          </w:p>
        </w:tc>
        <w:tc>
          <w:tcPr>
            <w:tcW w:w="0" w:type="auto"/>
            <w:tcBorders>
              <w:tl2br w:val="nil"/>
              <w:tr2bl w:val="nil"/>
            </w:tcBorders>
            <w:vAlign w:val="center"/>
          </w:tcPr>
          <w:p>
            <w:pPr>
              <w:pStyle w:val="30"/>
              <w:bidi w:val="0"/>
            </w:pPr>
            <w:r>
              <w:t>0.0006</w:t>
            </w:r>
          </w:p>
        </w:tc>
        <w:tc>
          <w:tcPr>
            <w:tcW w:w="0" w:type="auto"/>
            <w:tcBorders>
              <w:tl2br w:val="nil"/>
              <w:tr2bl w:val="nil"/>
            </w:tcBorders>
            <w:vAlign w:val="center"/>
          </w:tcPr>
          <w:p>
            <w:pPr>
              <w:pStyle w:val="30"/>
              <w:bidi w:val="0"/>
            </w:pPr>
            <w:r>
              <w:t>0.0064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25000.0</w:t>
            </w:r>
          </w:p>
        </w:tc>
        <w:tc>
          <w:tcPr>
            <w:tcW w:w="0" w:type="auto"/>
            <w:tcBorders>
              <w:tl2br w:val="nil"/>
              <w:tr2bl w:val="nil"/>
            </w:tcBorders>
            <w:vAlign w:val="center"/>
          </w:tcPr>
          <w:p>
            <w:pPr>
              <w:pStyle w:val="30"/>
              <w:bidi w:val="0"/>
            </w:pPr>
            <w:r>
              <w:t>0.0724</w:t>
            </w:r>
          </w:p>
        </w:tc>
        <w:tc>
          <w:tcPr>
            <w:tcW w:w="0" w:type="auto"/>
            <w:tcBorders>
              <w:tl2br w:val="nil"/>
              <w:tr2bl w:val="nil"/>
            </w:tcBorders>
            <w:vAlign w:val="center"/>
          </w:tcPr>
          <w:p>
            <w:pPr>
              <w:pStyle w:val="30"/>
              <w:bidi w:val="0"/>
            </w:pPr>
            <w:r>
              <w:t>0.0362</w:t>
            </w:r>
          </w:p>
        </w:tc>
        <w:tc>
          <w:tcPr>
            <w:tcW w:w="0" w:type="auto"/>
            <w:tcBorders>
              <w:tl2br w:val="nil"/>
              <w:tr2bl w:val="nil"/>
            </w:tcBorders>
            <w:vAlign w:val="center"/>
          </w:tcPr>
          <w:p>
            <w:pPr>
              <w:pStyle w:val="30"/>
              <w:bidi w:val="0"/>
            </w:pPr>
            <w:r>
              <w:t>0.0007</w:t>
            </w:r>
          </w:p>
        </w:tc>
        <w:tc>
          <w:tcPr>
            <w:tcW w:w="0" w:type="auto"/>
            <w:tcBorders>
              <w:tl2br w:val="nil"/>
              <w:tr2bl w:val="nil"/>
            </w:tcBorders>
            <w:vAlign w:val="center"/>
          </w:tcPr>
          <w:p>
            <w:pPr>
              <w:pStyle w:val="30"/>
              <w:bidi w:val="0"/>
            </w:pPr>
            <w:r>
              <w:t>0.0068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下风向最大浓度</w:t>
            </w:r>
          </w:p>
        </w:tc>
        <w:tc>
          <w:tcPr>
            <w:tcW w:w="0" w:type="auto"/>
            <w:tcBorders>
              <w:tl2br w:val="nil"/>
              <w:tr2bl w:val="nil"/>
            </w:tcBorders>
            <w:vAlign w:val="center"/>
          </w:tcPr>
          <w:p>
            <w:pPr>
              <w:pStyle w:val="30"/>
              <w:bidi w:val="0"/>
            </w:pPr>
            <w:r>
              <w:rPr>
                <w:rFonts w:hint="eastAsia"/>
                <w:lang w:val="en-US" w:eastAsia="zh-CN"/>
              </w:rPr>
              <w:t>15</w:t>
            </w:r>
            <w:r>
              <w:t>.6560</w:t>
            </w:r>
          </w:p>
        </w:tc>
        <w:tc>
          <w:tcPr>
            <w:tcW w:w="0" w:type="auto"/>
            <w:tcBorders>
              <w:tl2br w:val="nil"/>
              <w:tr2bl w:val="nil"/>
            </w:tcBorders>
            <w:vAlign w:val="center"/>
          </w:tcPr>
          <w:p>
            <w:pPr>
              <w:pStyle w:val="30"/>
              <w:bidi w:val="0"/>
            </w:pPr>
            <w:r>
              <w:rPr>
                <w:rFonts w:hint="eastAsia"/>
                <w:lang w:val="en-US" w:eastAsia="zh-CN"/>
              </w:rPr>
              <w:t>9</w:t>
            </w:r>
            <w:r>
              <w:t>.</w:t>
            </w:r>
            <w:r>
              <w:rPr>
                <w:rFonts w:hint="eastAsia"/>
                <w:lang w:val="en-US" w:eastAsia="zh-CN"/>
              </w:rPr>
              <w:t>49</w:t>
            </w:r>
            <w:r>
              <w:t>80</w:t>
            </w:r>
          </w:p>
        </w:tc>
        <w:tc>
          <w:tcPr>
            <w:tcW w:w="0" w:type="auto"/>
            <w:tcBorders>
              <w:tl2br w:val="nil"/>
              <w:tr2bl w:val="nil"/>
            </w:tcBorders>
            <w:vAlign w:val="center"/>
          </w:tcPr>
          <w:p>
            <w:pPr>
              <w:pStyle w:val="30"/>
              <w:bidi w:val="0"/>
            </w:pPr>
            <w:r>
              <w:t>0.3048</w:t>
            </w:r>
          </w:p>
        </w:tc>
        <w:tc>
          <w:tcPr>
            <w:tcW w:w="0" w:type="auto"/>
            <w:tcBorders>
              <w:tl2br w:val="nil"/>
              <w:tr2bl w:val="nil"/>
            </w:tcBorders>
            <w:vAlign w:val="center"/>
          </w:tcPr>
          <w:p>
            <w:pPr>
              <w:pStyle w:val="30"/>
              <w:bidi w:val="0"/>
            </w:pPr>
            <w:r>
              <w:t>3.0479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下风向最大浓度出现距离</w:t>
            </w:r>
          </w:p>
        </w:tc>
        <w:tc>
          <w:tcPr>
            <w:tcW w:w="0" w:type="auto"/>
            <w:tcBorders>
              <w:tl2br w:val="nil"/>
              <w:tr2bl w:val="nil"/>
            </w:tcBorders>
            <w:vAlign w:val="center"/>
          </w:tcPr>
          <w:p>
            <w:pPr>
              <w:pStyle w:val="30"/>
              <w:bidi w:val="0"/>
            </w:pPr>
            <w:r>
              <w:t>175.0</w:t>
            </w:r>
          </w:p>
        </w:tc>
        <w:tc>
          <w:tcPr>
            <w:tcW w:w="0" w:type="auto"/>
            <w:tcBorders>
              <w:tl2br w:val="nil"/>
              <w:tr2bl w:val="nil"/>
            </w:tcBorders>
            <w:vAlign w:val="center"/>
          </w:tcPr>
          <w:p>
            <w:pPr>
              <w:pStyle w:val="30"/>
              <w:bidi w:val="0"/>
            </w:pPr>
            <w:r>
              <w:t>175.0</w:t>
            </w:r>
          </w:p>
        </w:tc>
        <w:tc>
          <w:tcPr>
            <w:tcW w:w="0" w:type="auto"/>
            <w:tcBorders>
              <w:tl2br w:val="nil"/>
              <w:tr2bl w:val="nil"/>
            </w:tcBorders>
            <w:vAlign w:val="center"/>
          </w:tcPr>
          <w:p>
            <w:pPr>
              <w:pStyle w:val="30"/>
              <w:bidi w:val="0"/>
            </w:pPr>
            <w:r>
              <w:t>175.0</w:t>
            </w:r>
          </w:p>
        </w:tc>
        <w:tc>
          <w:tcPr>
            <w:tcW w:w="0" w:type="auto"/>
            <w:tcBorders>
              <w:tl2br w:val="nil"/>
              <w:tr2bl w:val="nil"/>
            </w:tcBorders>
            <w:vAlign w:val="center"/>
          </w:tcPr>
          <w:p>
            <w:pPr>
              <w:pStyle w:val="30"/>
              <w:bidi w:val="0"/>
            </w:pPr>
            <w:r>
              <w:t>175.0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pPr>
              <w:pStyle w:val="30"/>
              <w:bidi w:val="0"/>
            </w:pPr>
            <w:r>
              <w:t>D10%最远距离</w:t>
            </w:r>
          </w:p>
        </w:tc>
        <w:tc>
          <w:tcPr>
            <w:tcW w:w="0" w:type="auto"/>
            <w:tcBorders>
              <w:tl2br w:val="nil"/>
              <w:tr2bl w:val="nil"/>
            </w:tcBorders>
            <w:vAlign w:val="center"/>
          </w:tcPr>
          <w:p>
            <w:pPr>
              <w:pStyle w:val="30"/>
              <w:bidi w:val="0"/>
              <w:rPr>
                <w:lang w:val="en-US" w:eastAsia="zh-CN"/>
              </w:rPr>
            </w:pPr>
            <w:r>
              <w:t>/</w:t>
            </w:r>
          </w:p>
        </w:tc>
        <w:tc>
          <w:tcPr>
            <w:tcW w:w="0" w:type="auto"/>
            <w:tcBorders>
              <w:tl2br w:val="nil"/>
              <w:tr2bl w:val="nil"/>
            </w:tcBorders>
            <w:vAlign w:val="center"/>
          </w:tcPr>
          <w:p>
            <w:pPr>
              <w:pStyle w:val="30"/>
              <w:bidi w:val="0"/>
              <w:rPr>
                <w:rFonts w:hint="default"/>
                <w:lang w:val="en-US" w:eastAsia="zh-CN"/>
              </w:rPr>
            </w:pPr>
            <w:r>
              <w:t>/</w:t>
            </w:r>
          </w:p>
        </w:tc>
        <w:tc>
          <w:tcPr>
            <w:tcW w:w="0" w:type="auto"/>
            <w:tcBorders>
              <w:tl2br w:val="nil"/>
              <w:tr2bl w:val="nil"/>
            </w:tcBorders>
            <w:vAlign w:val="center"/>
          </w:tcPr>
          <w:p>
            <w:pPr>
              <w:pStyle w:val="30"/>
              <w:bidi w:val="0"/>
            </w:pPr>
            <w:r>
              <w:t>/</w:t>
            </w:r>
          </w:p>
        </w:tc>
        <w:tc>
          <w:tcPr>
            <w:tcW w:w="0" w:type="auto"/>
            <w:tcBorders>
              <w:tl2br w:val="nil"/>
              <w:tr2bl w:val="nil"/>
            </w:tcBorders>
            <w:vAlign w:val="center"/>
          </w:tcPr>
          <w:p>
            <w:pPr>
              <w:pStyle w:val="30"/>
              <w:bidi w:val="0"/>
            </w:pPr>
            <w:r>
              <w:t>/</w:t>
            </w:r>
          </w:p>
        </w:tc>
      </w:tr>
    </w:tbl>
    <w:p>
      <w:pPr>
        <w:pStyle w:val="29"/>
        <w:bidi w:val="0"/>
        <w:rPr>
          <w:rFonts w:hint="default"/>
          <w:highlight w:val="none"/>
          <w:lang w:val="en-US" w:eastAsia="zh-CN"/>
        </w:rPr>
      </w:pPr>
      <w:r>
        <w:rPr>
          <w:rFonts w:hint="eastAsia"/>
          <w:highlight w:val="none"/>
          <w:lang w:val="en-US" w:eastAsia="zh-CN"/>
        </w:rPr>
        <w:t>表5.2-13  恶臭无组织（待宰圈）排放预测计算结果</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01"/>
        <w:gridCol w:w="1801"/>
        <w:gridCol w:w="1676"/>
        <w:gridCol w:w="1784"/>
        <w:gridCol w:w="165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vMerge w:val="restart"/>
            <w:tcBorders>
              <w:tl2br w:val="nil"/>
              <w:tr2bl w:val="nil"/>
            </w:tcBorders>
            <w:vAlign w:val="center"/>
          </w:tcPr>
          <w:p>
            <w:pPr>
              <w:pStyle w:val="30"/>
              <w:bidi w:val="0"/>
              <w:rPr>
                <w:highlight w:val="none"/>
              </w:rPr>
            </w:pPr>
            <w:r>
              <w:rPr>
                <w:highlight w:val="none"/>
              </w:rPr>
              <w:t>下风向距离</w:t>
            </w:r>
          </w:p>
        </w:tc>
        <w:tc>
          <w:tcPr>
            <w:tcW w:w="0" w:type="auto"/>
            <w:gridSpan w:val="4"/>
            <w:tcBorders>
              <w:tl2br w:val="nil"/>
              <w:tr2bl w:val="nil"/>
            </w:tcBorders>
            <w:vAlign w:val="center"/>
          </w:tcPr>
          <w:p>
            <w:pPr>
              <w:pStyle w:val="30"/>
              <w:bidi w:val="0"/>
              <w:rPr>
                <w:highlight w:val="none"/>
              </w:rPr>
            </w:pPr>
            <w:r>
              <w:rPr>
                <w:highlight w:val="none"/>
              </w:rPr>
              <w:t>待宰圈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vMerge w:val="continue"/>
            <w:tcBorders>
              <w:tl2br w:val="nil"/>
              <w:tr2bl w:val="nil"/>
            </w:tcBorders>
            <w:vAlign w:val="center"/>
          </w:tcPr>
          <w:p>
            <w:pPr>
              <w:pStyle w:val="30"/>
              <w:bidi w:val="0"/>
              <w:rPr>
                <w:highlight w:val="none"/>
              </w:rPr>
            </w:pPr>
          </w:p>
        </w:tc>
        <w:tc>
          <w:tcPr>
            <w:tcW w:w="0" w:type="auto"/>
            <w:tcBorders>
              <w:tl2br w:val="nil"/>
              <w:tr2bl w:val="nil"/>
            </w:tcBorders>
            <w:vAlign w:val="center"/>
          </w:tcPr>
          <w:p>
            <w:pPr>
              <w:pStyle w:val="30"/>
              <w:bidi w:val="0"/>
              <w:rPr>
                <w:highlight w:val="none"/>
              </w:rPr>
            </w:pPr>
            <w:r>
              <w:rPr>
                <w:highlight w:val="none"/>
              </w:rPr>
              <w:t>NH</w:t>
            </w:r>
            <w:r>
              <w:rPr>
                <w:highlight w:val="none"/>
                <w:vertAlign w:val="subscript"/>
              </w:rPr>
              <w:t>3</w:t>
            </w:r>
            <w:r>
              <w:rPr>
                <w:highlight w:val="none"/>
              </w:rPr>
              <w:t>浓度(μg/m³)</w:t>
            </w:r>
          </w:p>
        </w:tc>
        <w:tc>
          <w:tcPr>
            <w:tcW w:w="0" w:type="auto"/>
            <w:tcBorders>
              <w:tl2br w:val="nil"/>
              <w:tr2bl w:val="nil"/>
            </w:tcBorders>
            <w:vAlign w:val="center"/>
          </w:tcPr>
          <w:p>
            <w:pPr>
              <w:pStyle w:val="30"/>
              <w:bidi w:val="0"/>
              <w:rPr>
                <w:highlight w:val="none"/>
              </w:rPr>
            </w:pPr>
            <w:r>
              <w:rPr>
                <w:highlight w:val="none"/>
              </w:rPr>
              <w:t>NH</w:t>
            </w:r>
            <w:r>
              <w:rPr>
                <w:highlight w:val="none"/>
                <w:vertAlign w:val="subscript"/>
              </w:rPr>
              <w:t>3</w:t>
            </w:r>
            <w:r>
              <w:rPr>
                <w:highlight w:val="none"/>
              </w:rPr>
              <w:t>占标率(%)</w:t>
            </w:r>
          </w:p>
        </w:tc>
        <w:tc>
          <w:tcPr>
            <w:tcW w:w="0" w:type="auto"/>
            <w:tcBorders>
              <w:tl2br w:val="nil"/>
              <w:tr2bl w:val="nil"/>
            </w:tcBorders>
            <w:vAlign w:val="center"/>
          </w:tcPr>
          <w:p>
            <w:pPr>
              <w:pStyle w:val="30"/>
              <w:bidi w:val="0"/>
              <w:rPr>
                <w:highlight w:val="none"/>
              </w:rPr>
            </w:pPr>
            <w:r>
              <w:rPr>
                <w:highlight w:val="none"/>
              </w:rPr>
              <w:t>H</w:t>
            </w:r>
            <w:r>
              <w:rPr>
                <w:highlight w:val="none"/>
                <w:vertAlign w:val="subscript"/>
              </w:rPr>
              <w:t>2</w:t>
            </w:r>
            <w:r>
              <w:rPr>
                <w:highlight w:val="none"/>
              </w:rPr>
              <w:t>S浓度(μg/m³)</w:t>
            </w:r>
          </w:p>
        </w:tc>
        <w:tc>
          <w:tcPr>
            <w:tcW w:w="0" w:type="auto"/>
            <w:tcBorders>
              <w:tl2br w:val="nil"/>
              <w:tr2bl w:val="nil"/>
            </w:tcBorders>
            <w:vAlign w:val="center"/>
          </w:tcPr>
          <w:p>
            <w:pPr>
              <w:pStyle w:val="30"/>
              <w:bidi w:val="0"/>
              <w:rPr>
                <w:highlight w:val="none"/>
              </w:rPr>
            </w:pPr>
            <w:r>
              <w:rPr>
                <w:highlight w:val="none"/>
              </w:rPr>
              <w:t>H</w:t>
            </w:r>
            <w:r>
              <w:rPr>
                <w:highlight w:val="none"/>
                <w:vertAlign w:val="subscript"/>
              </w:rPr>
              <w:t>2</w:t>
            </w:r>
            <w:r>
              <w:rPr>
                <w:highlight w:val="none"/>
              </w:rPr>
              <w:t>S占标率(%)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50.0</w:t>
            </w:r>
          </w:p>
        </w:tc>
        <w:tc>
          <w:tcPr>
            <w:tcW w:w="1801" w:type="dxa"/>
            <w:tcBorders>
              <w:tl2br w:val="nil"/>
              <w:tr2bl w:val="nil"/>
            </w:tcBorders>
            <w:vAlign w:val="center"/>
          </w:tcPr>
          <w:p>
            <w:pPr>
              <w:pStyle w:val="30"/>
              <w:bidi w:val="0"/>
              <w:rPr>
                <w:highlight w:val="none"/>
              </w:rPr>
            </w:pPr>
            <w:r>
              <w:rPr>
                <w:highlight w:val="none"/>
              </w:rPr>
              <w:t>8.3554</w:t>
            </w:r>
          </w:p>
        </w:tc>
        <w:tc>
          <w:tcPr>
            <w:tcW w:w="1676" w:type="dxa"/>
            <w:tcBorders>
              <w:tl2br w:val="nil"/>
              <w:tr2bl w:val="nil"/>
            </w:tcBorders>
            <w:vAlign w:val="center"/>
          </w:tcPr>
          <w:p>
            <w:pPr>
              <w:pStyle w:val="30"/>
              <w:bidi w:val="0"/>
              <w:rPr>
                <w:highlight w:val="none"/>
              </w:rPr>
            </w:pPr>
            <w:r>
              <w:rPr>
                <w:highlight w:val="none"/>
              </w:rPr>
              <w:t>4.1777</w:t>
            </w:r>
          </w:p>
        </w:tc>
        <w:tc>
          <w:tcPr>
            <w:tcW w:w="1784" w:type="dxa"/>
            <w:tcBorders>
              <w:tl2br w:val="nil"/>
              <w:tr2bl w:val="nil"/>
            </w:tcBorders>
            <w:vAlign w:val="center"/>
          </w:tcPr>
          <w:p>
            <w:pPr>
              <w:pStyle w:val="30"/>
              <w:bidi w:val="0"/>
              <w:rPr>
                <w:highlight w:val="none"/>
              </w:rPr>
            </w:pPr>
            <w:r>
              <w:rPr>
                <w:highlight w:val="none"/>
              </w:rPr>
              <w:t>0.6963</w:t>
            </w:r>
          </w:p>
        </w:tc>
        <w:tc>
          <w:tcPr>
            <w:tcW w:w="1658" w:type="dxa"/>
            <w:tcBorders>
              <w:tl2br w:val="nil"/>
              <w:tr2bl w:val="nil"/>
            </w:tcBorders>
            <w:vAlign w:val="center"/>
          </w:tcPr>
          <w:p>
            <w:pPr>
              <w:pStyle w:val="30"/>
              <w:bidi w:val="0"/>
              <w:rPr>
                <w:highlight w:val="none"/>
              </w:rPr>
            </w:pPr>
            <w:r>
              <w:rPr>
                <w:highlight w:val="none"/>
              </w:rPr>
              <w:t>6.9628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100.0</w:t>
            </w:r>
          </w:p>
        </w:tc>
        <w:tc>
          <w:tcPr>
            <w:tcW w:w="1801" w:type="dxa"/>
            <w:tcBorders>
              <w:tl2br w:val="nil"/>
              <w:tr2bl w:val="nil"/>
            </w:tcBorders>
            <w:vAlign w:val="center"/>
          </w:tcPr>
          <w:p>
            <w:pPr>
              <w:pStyle w:val="30"/>
              <w:bidi w:val="0"/>
              <w:rPr>
                <w:highlight w:val="none"/>
              </w:rPr>
            </w:pPr>
            <w:r>
              <w:rPr>
                <w:highlight w:val="none"/>
              </w:rPr>
              <w:t>7.6022</w:t>
            </w:r>
          </w:p>
        </w:tc>
        <w:tc>
          <w:tcPr>
            <w:tcW w:w="1676" w:type="dxa"/>
            <w:tcBorders>
              <w:tl2br w:val="nil"/>
              <w:tr2bl w:val="nil"/>
            </w:tcBorders>
            <w:vAlign w:val="center"/>
          </w:tcPr>
          <w:p>
            <w:pPr>
              <w:pStyle w:val="30"/>
              <w:bidi w:val="0"/>
              <w:rPr>
                <w:highlight w:val="none"/>
              </w:rPr>
            </w:pPr>
            <w:r>
              <w:rPr>
                <w:highlight w:val="none"/>
              </w:rPr>
              <w:t>3.8011</w:t>
            </w:r>
          </w:p>
        </w:tc>
        <w:tc>
          <w:tcPr>
            <w:tcW w:w="1784" w:type="dxa"/>
            <w:tcBorders>
              <w:tl2br w:val="nil"/>
              <w:tr2bl w:val="nil"/>
            </w:tcBorders>
            <w:vAlign w:val="center"/>
          </w:tcPr>
          <w:p>
            <w:pPr>
              <w:pStyle w:val="30"/>
              <w:bidi w:val="0"/>
              <w:rPr>
                <w:highlight w:val="none"/>
              </w:rPr>
            </w:pPr>
            <w:r>
              <w:rPr>
                <w:highlight w:val="none"/>
              </w:rPr>
              <w:t>0.6335</w:t>
            </w:r>
          </w:p>
        </w:tc>
        <w:tc>
          <w:tcPr>
            <w:tcW w:w="1658" w:type="dxa"/>
            <w:tcBorders>
              <w:tl2br w:val="nil"/>
              <w:tr2bl w:val="nil"/>
            </w:tcBorders>
            <w:vAlign w:val="center"/>
          </w:tcPr>
          <w:p>
            <w:pPr>
              <w:pStyle w:val="30"/>
              <w:bidi w:val="0"/>
              <w:rPr>
                <w:highlight w:val="none"/>
              </w:rPr>
            </w:pPr>
            <w:r>
              <w:rPr>
                <w:highlight w:val="none"/>
              </w:rPr>
              <w:t>6.3352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200.0</w:t>
            </w:r>
          </w:p>
        </w:tc>
        <w:tc>
          <w:tcPr>
            <w:tcW w:w="1801" w:type="dxa"/>
            <w:tcBorders>
              <w:tl2br w:val="nil"/>
              <w:tr2bl w:val="nil"/>
            </w:tcBorders>
            <w:vAlign w:val="center"/>
          </w:tcPr>
          <w:p>
            <w:pPr>
              <w:pStyle w:val="30"/>
              <w:bidi w:val="0"/>
              <w:rPr>
                <w:highlight w:val="none"/>
              </w:rPr>
            </w:pPr>
            <w:r>
              <w:rPr>
                <w:highlight w:val="none"/>
              </w:rPr>
              <w:t>4.9824</w:t>
            </w:r>
          </w:p>
        </w:tc>
        <w:tc>
          <w:tcPr>
            <w:tcW w:w="1676" w:type="dxa"/>
            <w:tcBorders>
              <w:tl2br w:val="nil"/>
              <w:tr2bl w:val="nil"/>
            </w:tcBorders>
            <w:vAlign w:val="center"/>
          </w:tcPr>
          <w:p>
            <w:pPr>
              <w:pStyle w:val="30"/>
              <w:bidi w:val="0"/>
              <w:rPr>
                <w:highlight w:val="none"/>
              </w:rPr>
            </w:pPr>
            <w:r>
              <w:rPr>
                <w:highlight w:val="none"/>
              </w:rPr>
              <w:t>2.4912</w:t>
            </w:r>
          </w:p>
        </w:tc>
        <w:tc>
          <w:tcPr>
            <w:tcW w:w="1784" w:type="dxa"/>
            <w:tcBorders>
              <w:tl2br w:val="nil"/>
              <w:tr2bl w:val="nil"/>
            </w:tcBorders>
            <w:vAlign w:val="center"/>
          </w:tcPr>
          <w:p>
            <w:pPr>
              <w:pStyle w:val="30"/>
              <w:bidi w:val="0"/>
              <w:rPr>
                <w:highlight w:val="none"/>
              </w:rPr>
            </w:pPr>
            <w:r>
              <w:rPr>
                <w:highlight w:val="none"/>
              </w:rPr>
              <w:t>0.4152</w:t>
            </w:r>
          </w:p>
        </w:tc>
        <w:tc>
          <w:tcPr>
            <w:tcW w:w="1658" w:type="dxa"/>
            <w:tcBorders>
              <w:tl2br w:val="nil"/>
              <w:tr2bl w:val="nil"/>
            </w:tcBorders>
            <w:vAlign w:val="center"/>
          </w:tcPr>
          <w:p>
            <w:pPr>
              <w:pStyle w:val="30"/>
              <w:bidi w:val="0"/>
              <w:rPr>
                <w:highlight w:val="none"/>
              </w:rPr>
            </w:pPr>
            <w:r>
              <w:rPr>
                <w:highlight w:val="none"/>
              </w:rPr>
              <w:t>4.1520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300.0</w:t>
            </w:r>
          </w:p>
        </w:tc>
        <w:tc>
          <w:tcPr>
            <w:tcW w:w="1801" w:type="dxa"/>
            <w:tcBorders>
              <w:tl2br w:val="nil"/>
              <w:tr2bl w:val="nil"/>
            </w:tcBorders>
            <w:vAlign w:val="center"/>
          </w:tcPr>
          <w:p>
            <w:pPr>
              <w:pStyle w:val="30"/>
              <w:bidi w:val="0"/>
              <w:rPr>
                <w:highlight w:val="none"/>
              </w:rPr>
            </w:pPr>
            <w:r>
              <w:rPr>
                <w:highlight w:val="none"/>
              </w:rPr>
              <w:t>4.0286</w:t>
            </w:r>
          </w:p>
        </w:tc>
        <w:tc>
          <w:tcPr>
            <w:tcW w:w="1676" w:type="dxa"/>
            <w:tcBorders>
              <w:tl2br w:val="nil"/>
              <w:tr2bl w:val="nil"/>
            </w:tcBorders>
            <w:vAlign w:val="center"/>
          </w:tcPr>
          <w:p>
            <w:pPr>
              <w:pStyle w:val="30"/>
              <w:bidi w:val="0"/>
              <w:rPr>
                <w:highlight w:val="none"/>
              </w:rPr>
            </w:pPr>
            <w:r>
              <w:rPr>
                <w:highlight w:val="none"/>
              </w:rPr>
              <w:t>2.0143</w:t>
            </w:r>
          </w:p>
        </w:tc>
        <w:tc>
          <w:tcPr>
            <w:tcW w:w="1784" w:type="dxa"/>
            <w:tcBorders>
              <w:tl2br w:val="nil"/>
              <w:tr2bl w:val="nil"/>
            </w:tcBorders>
            <w:vAlign w:val="center"/>
          </w:tcPr>
          <w:p>
            <w:pPr>
              <w:pStyle w:val="30"/>
              <w:bidi w:val="0"/>
              <w:rPr>
                <w:highlight w:val="none"/>
              </w:rPr>
            </w:pPr>
            <w:r>
              <w:rPr>
                <w:highlight w:val="none"/>
              </w:rPr>
              <w:t>0.3357</w:t>
            </w:r>
          </w:p>
        </w:tc>
        <w:tc>
          <w:tcPr>
            <w:tcW w:w="1658" w:type="dxa"/>
            <w:tcBorders>
              <w:tl2br w:val="nil"/>
              <w:tr2bl w:val="nil"/>
            </w:tcBorders>
            <w:vAlign w:val="center"/>
          </w:tcPr>
          <w:p>
            <w:pPr>
              <w:pStyle w:val="30"/>
              <w:bidi w:val="0"/>
              <w:rPr>
                <w:highlight w:val="none"/>
              </w:rPr>
            </w:pPr>
            <w:r>
              <w:rPr>
                <w:highlight w:val="none"/>
              </w:rPr>
              <w:t>3.3572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400.0</w:t>
            </w:r>
          </w:p>
        </w:tc>
        <w:tc>
          <w:tcPr>
            <w:tcW w:w="1801" w:type="dxa"/>
            <w:tcBorders>
              <w:tl2br w:val="nil"/>
              <w:tr2bl w:val="nil"/>
            </w:tcBorders>
            <w:vAlign w:val="center"/>
          </w:tcPr>
          <w:p>
            <w:pPr>
              <w:pStyle w:val="30"/>
              <w:bidi w:val="0"/>
              <w:rPr>
                <w:highlight w:val="none"/>
              </w:rPr>
            </w:pPr>
            <w:r>
              <w:rPr>
                <w:highlight w:val="none"/>
              </w:rPr>
              <w:t>3.3765</w:t>
            </w:r>
          </w:p>
        </w:tc>
        <w:tc>
          <w:tcPr>
            <w:tcW w:w="1676" w:type="dxa"/>
            <w:tcBorders>
              <w:tl2br w:val="nil"/>
              <w:tr2bl w:val="nil"/>
            </w:tcBorders>
            <w:vAlign w:val="center"/>
          </w:tcPr>
          <w:p>
            <w:pPr>
              <w:pStyle w:val="30"/>
              <w:bidi w:val="0"/>
              <w:rPr>
                <w:highlight w:val="none"/>
              </w:rPr>
            </w:pPr>
            <w:r>
              <w:rPr>
                <w:highlight w:val="none"/>
              </w:rPr>
              <w:t>1.6883</w:t>
            </w:r>
          </w:p>
        </w:tc>
        <w:tc>
          <w:tcPr>
            <w:tcW w:w="1784" w:type="dxa"/>
            <w:tcBorders>
              <w:tl2br w:val="nil"/>
              <w:tr2bl w:val="nil"/>
            </w:tcBorders>
            <w:vAlign w:val="center"/>
          </w:tcPr>
          <w:p>
            <w:pPr>
              <w:pStyle w:val="30"/>
              <w:bidi w:val="0"/>
              <w:rPr>
                <w:highlight w:val="none"/>
              </w:rPr>
            </w:pPr>
            <w:r>
              <w:rPr>
                <w:highlight w:val="none"/>
              </w:rPr>
              <w:t>0.2814</w:t>
            </w:r>
          </w:p>
        </w:tc>
        <w:tc>
          <w:tcPr>
            <w:tcW w:w="1658" w:type="dxa"/>
            <w:tcBorders>
              <w:tl2br w:val="nil"/>
              <w:tr2bl w:val="nil"/>
            </w:tcBorders>
            <w:vAlign w:val="center"/>
          </w:tcPr>
          <w:p>
            <w:pPr>
              <w:pStyle w:val="30"/>
              <w:bidi w:val="0"/>
              <w:rPr>
                <w:highlight w:val="none"/>
              </w:rPr>
            </w:pPr>
            <w:r>
              <w:rPr>
                <w:highlight w:val="none"/>
              </w:rPr>
              <w:t>2.8137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500.0</w:t>
            </w:r>
          </w:p>
        </w:tc>
        <w:tc>
          <w:tcPr>
            <w:tcW w:w="1801" w:type="dxa"/>
            <w:tcBorders>
              <w:tl2br w:val="nil"/>
              <w:tr2bl w:val="nil"/>
            </w:tcBorders>
            <w:vAlign w:val="center"/>
          </w:tcPr>
          <w:p>
            <w:pPr>
              <w:pStyle w:val="30"/>
              <w:bidi w:val="0"/>
              <w:rPr>
                <w:highlight w:val="none"/>
              </w:rPr>
            </w:pPr>
            <w:r>
              <w:rPr>
                <w:highlight w:val="none"/>
              </w:rPr>
              <w:t>3.0124</w:t>
            </w:r>
          </w:p>
        </w:tc>
        <w:tc>
          <w:tcPr>
            <w:tcW w:w="1676" w:type="dxa"/>
            <w:tcBorders>
              <w:tl2br w:val="nil"/>
              <w:tr2bl w:val="nil"/>
            </w:tcBorders>
            <w:vAlign w:val="center"/>
          </w:tcPr>
          <w:p>
            <w:pPr>
              <w:pStyle w:val="30"/>
              <w:bidi w:val="0"/>
              <w:rPr>
                <w:highlight w:val="none"/>
              </w:rPr>
            </w:pPr>
            <w:r>
              <w:rPr>
                <w:highlight w:val="none"/>
              </w:rPr>
              <w:t>1.5062</w:t>
            </w:r>
          </w:p>
        </w:tc>
        <w:tc>
          <w:tcPr>
            <w:tcW w:w="1784" w:type="dxa"/>
            <w:tcBorders>
              <w:tl2br w:val="nil"/>
              <w:tr2bl w:val="nil"/>
            </w:tcBorders>
            <w:vAlign w:val="center"/>
          </w:tcPr>
          <w:p>
            <w:pPr>
              <w:pStyle w:val="30"/>
              <w:bidi w:val="0"/>
              <w:rPr>
                <w:highlight w:val="none"/>
              </w:rPr>
            </w:pPr>
            <w:r>
              <w:rPr>
                <w:highlight w:val="none"/>
              </w:rPr>
              <w:t>0.2510</w:t>
            </w:r>
          </w:p>
        </w:tc>
        <w:tc>
          <w:tcPr>
            <w:tcW w:w="1658" w:type="dxa"/>
            <w:tcBorders>
              <w:tl2br w:val="nil"/>
              <w:tr2bl w:val="nil"/>
            </w:tcBorders>
            <w:vAlign w:val="center"/>
          </w:tcPr>
          <w:p>
            <w:pPr>
              <w:pStyle w:val="30"/>
              <w:bidi w:val="0"/>
              <w:rPr>
                <w:highlight w:val="none"/>
              </w:rPr>
            </w:pPr>
            <w:r>
              <w:rPr>
                <w:highlight w:val="none"/>
              </w:rPr>
              <w:t>2.5103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600.0</w:t>
            </w:r>
          </w:p>
        </w:tc>
        <w:tc>
          <w:tcPr>
            <w:tcW w:w="1801" w:type="dxa"/>
            <w:tcBorders>
              <w:tl2br w:val="nil"/>
              <w:tr2bl w:val="nil"/>
            </w:tcBorders>
            <w:vAlign w:val="center"/>
          </w:tcPr>
          <w:p>
            <w:pPr>
              <w:pStyle w:val="30"/>
              <w:bidi w:val="0"/>
              <w:rPr>
                <w:highlight w:val="none"/>
              </w:rPr>
            </w:pPr>
            <w:r>
              <w:rPr>
                <w:highlight w:val="none"/>
              </w:rPr>
              <w:t>2.7233</w:t>
            </w:r>
          </w:p>
        </w:tc>
        <w:tc>
          <w:tcPr>
            <w:tcW w:w="1676" w:type="dxa"/>
            <w:tcBorders>
              <w:tl2br w:val="nil"/>
              <w:tr2bl w:val="nil"/>
            </w:tcBorders>
            <w:vAlign w:val="center"/>
          </w:tcPr>
          <w:p>
            <w:pPr>
              <w:pStyle w:val="30"/>
              <w:bidi w:val="0"/>
              <w:rPr>
                <w:highlight w:val="none"/>
              </w:rPr>
            </w:pPr>
            <w:r>
              <w:rPr>
                <w:highlight w:val="none"/>
              </w:rPr>
              <w:t>1.3617</w:t>
            </w:r>
          </w:p>
        </w:tc>
        <w:tc>
          <w:tcPr>
            <w:tcW w:w="1784" w:type="dxa"/>
            <w:tcBorders>
              <w:tl2br w:val="nil"/>
              <w:tr2bl w:val="nil"/>
            </w:tcBorders>
            <w:vAlign w:val="center"/>
          </w:tcPr>
          <w:p>
            <w:pPr>
              <w:pStyle w:val="30"/>
              <w:bidi w:val="0"/>
              <w:rPr>
                <w:highlight w:val="none"/>
              </w:rPr>
            </w:pPr>
            <w:r>
              <w:rPr>
                <w:highlight w:val="none"/>
              </w:rPr>
              <w:t>0.2269</w:t>
            </w:r>
          </w:p>
        </w:tc>
        <w:tc>
          <w:tcPr>
            <w:tcW w:w="1658" w:type="dxa"/>
            <w:tcBorders>
              <w:tl2br w:val="nil"/>
              <w:tr2bl w:val="nil"/>
            </w:tcBorders>
            <w:vAlign w:val="center"/>
          </w:tcPr>
          <w:p>
            <w:pPr>
              <w:pStyle w:val="30"/>
              <w:bidi w:val="0"/>
              <w:rPr>
                <w:highlight w:val="none"/>
              </w:rPr>
            </w:pPr>
            <w:r>
              <w:rPr>
                <w:highlight w:val="none"/>
              </w:rPr>
              <w:t>2.2694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700.0</w:t>
            </w:r>
          </w:p>
        </w:tc>
        <w:tc>
          <w:tcPr>
            <w:tcW w:w="1801" w:type="dxa"/>
            <w:tcBorders>
              <w:tl2br w:val="nil"/>
              <w:tr2bl w:val="nil"/>
            </w:tcBorders>
            <w:vAlign w:val="center"/>
          </w:tcPr>
          <w:p>
            <w:pPr>
              <w:pStyle w:val="30"/>
              <w:bidi w:val="0"/>
              <w:rPr>
                <w:highlight w:val="none"/>
              </w:rPr>
            </w:pPr>
            <w:r>
              <w:rPr>
                <w:highlight w:val="none"/>
              </w:rPr>
              <w:t>2.5055</w:t>
            </w:r>
          </w:p>
        </w:tc>
        <w:tc>
          <w:tcPr>
            <w:tcW w:w="1676" w:type="dxa"/>
            <w:tcBorders>
              <w:tl2br w:val="nil"/>
              <w:tr2bl w:val="nil"/>
            </w:tcBorders>
            <w:vAlign w:val="center"/>
          </w:tcPr>
          <w:p>
            <w:pPr>
              <w:pStyle w:val="30"/>
              <w:bidi w:val="0"/>
              <w:rPr>
                <w:highlight w:val="none"/>
              </w:rPr>
            </w:pPr>
            <w:r>
              <w:rPr>
                <w:highlight w:val="none"/>
              </w:rPr>
              <w:t>1.2528</w:t>
            </w:r>
          </w:p>
        </w:tc>
        <w:tc>
          <w:tcPr>
            <w:tcW w:w="1784" w:type="dxa"/>
            <w:tcBorders>
              <w:tl2br w:val="nil"/>
              <w:tr2bl w:val="nil"/>
            </w:tcBorders>
            <w:vAlign w:val="center"/>
          </w:tcPr>
          <w:p>
            <w:pPr>
              <w:pStyle w:val="30"/>
              <w:bidi w:val="0"/>
              <w:rPr>
                <w:highlight w:val="none"/>
              </w:rPr>
            </w:pPr>
            <w:r>
              <w:rPr>
                <w:highlight w:val="none"/>
              </w:rPr>
              <w:t>0.2088</w:t>
            </w:r>
          </w:p>
        </w:tc>
        <w:tc>
          <w:tcPr>
            <w:tcW w:w="1658" w:type="dxa"/>
            <w:tcBorders>
              <w:tl2br w:val="nil"/>
              <w:tr2bl w:val="nil"/>
            </w:tcBorders>
            <w:vAlign w:val="center"/>
          </w:tcPr>
          <w:p>
            <w:pPr>
              <w:pStyle w:val="30"/>
              <w:bidi w:val="0"/>
              <w:rPr>
                <w:highlight w:val="none"/>
              </w:rPr>
            </w:pPr>
            <w:r>
              <w:rPr>
                <w:highlight w:val="none"/>
              </w:rPr>
              <w:t>2.0879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800.0</w:t>
            </w:r>
          </w:p>
        </w:tc>
        <w:tc>
          <w:tcPr>
            <w:tcW w:w="1801" w:type="dxa"/>
            <w:tcBorders>
              <w:tl2br w:val="nil"/>
              <w:tr2bl w:val="nil"/>
            </w:tcBorders>
            <w:vAlign w:val="center"/>
          </w:tcPr>
          <w:p>
            <w:pPr>
              <w:pStyle w:val="30"/>
              <w:bidi w:val="0"/>
              <w:rPr>
                <w:highlight w:val="none"/>
              </w:rPr>
            </w:pPr>
            <w:r>
              <w:rPr>
                <w:highlight w:val="none"/>
              </w:rPr>
              <w:t>2.3262</w:t>
            </w:r>
          </w:p>
        </w:tc>
        <w:tc>
          <w:tcPr>
            <w:tcW w:w="1676" w:type="dxa"/>
            <w:tcBorders>
              <w:tl2br w:val="nil"/>
              <w:tr2bl w:val="nil"/>
            </w:tcBorders>
            <w:vAlign w:val="center"/>
          </w:tcPr>
          <w:p>
            <w:pPr>
              <w:pStyle w:val="30"/>
              <w:bidi w:val="0"/>
              <w:rPr>
                <w:highlight w:val="none"/>
              </w:rPr>
            </w:pPr>
            <w:r>
              <w:rPr>
                <w:highlight w:val="none"/>
              </w:rPr>
              <w:t>1.1631</w:t>
            </w:r>
          </w:p>
        </w:tc>
        <w:tc>
          <w:tcPr>
            <w:tcW w:w="1784" w:type="dxa"/>
            <w:tcBorders>
              <w:tl2br w:val="nil"/>
              <w:tr2bl w:val="nil"/>
            </w:tcBorders>
            <w:vAlign w:val="center"/>
          </w:tcPr>
          <w:p>
            <w:pPr>
              <w:pStyle w:val="30"/>
              <w:bidi w:val="0"/>
              <w:rPr>
                <w:highlight w:val="none"/>
              </w:rPr>
            </w:pPr>
            <w:r>
              <w:rPr>
                <w:highlight w:val="none"/>
              </w:rPr>
              <w:t>0.1938</w:t>
            </w:r>
          </w:p>
        </w:tc>
        <w:tc>
          <w:tcPr>
            <w:tcW w:w="1658" w:type="dxa"/>
            <w:tcBorders>
              <w:tl2br w:val="nil"/>
              <w:tr2bl w:val="nil"/>
            </w:tcBorders>
            <w:vAlign w:val="center"/>
          </w:tcPr>
          <w:p>
            <w:pPr>
              <w:pStyle w:val="30"/>
              <w:bidi w:val="0"/>
              <w:rPr>
                <w:highlight w:val="none"/>
              </w:rPr>
            </w:pPr>
            <w:r>
              <w:rPr>
                <w:highlight w:val="none"/>
              </w:rPr>
              <w:t>1.9385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900.0</w:t>
            </w:r>
          </w:p>
        </w:tc>
        <w:tc>
          <w:tcPr>
            <w:tcW w:w="1801" w:type="dxa"/>
            <w:tcBorders>
              <w:tl2br w:val="nil"/>
              <w:tr2bl w:val="nil"/>
            </w:tcBorders>
            <w:vAlign w:val="center"/>
          </w:tcPr>
          <w:p>
            <w:pPr>
              <w:pStyle w:val="30"/>
              <w:bidi w:val="0"/>
              <w:rPr>
                <w:highlight w:val="none"/>
              </w:rPr>
            </w:pPr>
            <w:r>
              <w:rPr>
                <w:highlight w:val="none"/>
              </w:rPr>
              <w:t>2.1646</w:t>
            </w:r>
          </w:p>
        </w:tc>
        <w:tc>
          <w:tcPr>
            <w:tcW w:w="1676" w:type="dxa"/>
            <w:tcBorders>
              <w:tl2br w:val="nil"/>
              <w:tr2bl w:val="nil"/>
            </w:tcBorders>
            <w:vAlign w:val="center"/>
          </w:tcPr>
          <w:p>
            <w:pPr>
              <w:pStyle w:val="30"/>
              <w:bidi w:val="0"/>
              <w:rPr>
                <w:highlight w:val="none"/>
              </w:rPr>
            </w:pPr>
            <w:r>
              <w:rPr>
                <w:highlight w:val="none"/>
              </w:rPr>
              <w:t>1.0823</w:t>
            </w:r>
          </w:p>
        </w:tc>
        <w:tc>
          <w:tcPr>
            <w:tcW w:w="1784" w:type="dxa"/>
            <w:tcBorders>
              <w:tl2br w:val="nil"/>
              <w:tr2bl w:val="nil"/>
            </w:tcBorders>
            <w:vAlign w:val="center"/>
          </w:tcPr>
          <w:p>
            <w:pPr>
              <w:pStyle w:val="30"/>
              <w:bidi w:val="0"/>
              <w:rPr>
                <w:highlight w:val="none"/>
              </w:rPr>
            </w:pPr>
            <w:r>
              <w:rPr>
                <w:highlight w:val="none"/>
              </w:rPr>
              <w:t>0.1804</w:t>
            </w:r>
          </w:p>
        </w:tc>
        <w:tc>
          <w:tcPr>
            <w:tcW w:w="1658" w:type="dxa"/>
            <w:tcBorders>
              <w:tl2br w:val="nil"/>
              <w:tr2bl w:val="nil"/>
            </w:tcBorders>
            <w:vAlign w:val="center"/>
          </w:tcPr>
          <w:p>
            <w:pPr>
              <w:pStyle w:val="30"/>
              <w:bidi w:val="0"/>
              <w:rPr>
                <w:highlight w:val="none"/>
              </w:rPr>
            </w:pPr>
            <w:r>
              <w:rPr>
                <w:highlight w:val="none"/>
              </w:rPr>
              <w:t>1.8038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1000.0</w:t>
            </w:r>
          </w:p>
        </w:tc>
        <w:tc>
          <w:tcPr>
            <w:tcW w:w="1801" w:type="dxa"/>
            <w:tcBorders>
              <w:tl2br w:val="nil"/>
              <w:tr2bl w:val="nil"/>
            </w:tcBorders>
            <w:vAlign w:val="center"/>
          </w:tcPr>
          <w:p>
            <w:pPr>
              <w:pStyle w:val="30"/>
              <w:bidi w:val="0"/>
              <w:rPr>
                <w:highlight w:val="none"/>
              </w:rPr>
            </w:pPr>
            <w:r>
              <w:rPr>
                <w:highlight w:val="none"/>
              </w:rPr>
              <w:t>2.0341</w:t>
            </w:r>
          </w:p>
        </w:tc>
        <w:tc>
          <w:tcPr>
            <w:tcW w:w="1676" w:type="dxa"/>
            <w:tcBorders>
              <w:tl2br w:val="nil"/>
              <w:tr2bl w:val="nil"/>
            </w:tcBorders>
            <w:vAlign w:val="center"/>
          </w:tcPr>
          <w:p>
            <w:pPr>
              <w:pStyle w:val="30"/>
              <w:bidi w:val="0"/>
              <w:rPr>
                <w:highlight w:val="none"/>
              </w:rPr>
            </w:pPr>
            <w:r>
              <w:rPr>
                <w:highlight w:val="none"/>
              </w:rPr>
              <w:t>1.0171</w:t>
            </w:r>
          </w:p>
        </w:tc>
        <w:tc>
          <w:tcPr>
            <w:tcW w:w="1784" w:type="dxa"/>
            <w:tcBorders>
              <w:tl2br w:val="nil"/>
              <w:tr2bl w:val="nil"/>
            </w:tcBorders>
            <w:vAlign w:val="center"/>
          </w:tcPr>
          <w:p>
            <w:pPr>
              <w:pStyle w:val="30"/>
              <w:bidi w:val="0"/>
              <w:rPr>
                <w:highlight w:val="none"/>
              </w:rPr>
            </w:pPr>
            <w:r>
              <w:rPr>
                <w:highlight w:val="none"/>
              </w:rPr>
              <w:t>0.1695</w:t>
            </w:r>
          </w:p>
        </w:tc>
        <w:tc>
          <w:tcPr>
            <w:tcW w:w="1658" w:type="dxa"/>
            <w:tcBorders>
              <w:tl2br w:val="nil"/>
              <w:tr2bl w:val="nil"/>
            </w:tcBorders>
            <w:vAlign w:val="center"/>
          </w:tcPr>
          <w:p>
            <w:pPr>
              <w:pStyle w:val="30"/>
              <w:bidi w:val="0"/>
              <w:rPr>
                <w:highlight w:val="none"/>
              </w:rPr>
            </w:pPr>
            <w:r>
              <w:rPr>
                <w:highlight w:val="none"/>
              </w:rPr>
              <w:t>1.6951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1200.0</w:t>
            </w:r>
          </w:p>
        </w:tc>
        <w:tc>
          <w:tcPr>
            <w:tcW w:w="1801" w:type="dxa"/>
            <w:tcBorders>
              <w:tl2br w:val="nil"/>
              <w:tr2bl w:val="nil"/>
            </w:tcBorders>
            <w:vAlign w:val="center"/>
          </w:tcPr>
          <w:p>
            <w:pPr>
              <w:pStyle w:val="30"/>
              <w:bidi w:val="0"/>
              <w:rPr>
                <w:highlight w:val="none"/>
              </w:rPr>
            </w:pPr>
            <w:r>
              <w:rPr>
                <w:highlight w:val="none"/>
              </w:rPr>
              <w:t>1.7959</w:t>
            </w:r>
          </w:p>
        </w:tc>
        <w:tc>
          <w:tcPr>
            <w:tcW w:w="1676" w:type="dxa"/>
            <w:tcBorders>
              <w:tl2br w:val="nil"/>
              <w:tr2bl w:val="nil"/>
            </w:tcBorders>
            <w:vAlign w:val="center"/>
          </w:tcPr>
          <w:p>
            <w:pPr>
              <w:pStyle w:val="30"/>
              <w:bidi w:val="0"/>
              <w:rPr>
                <w:highlight w:val="none"/>
              </w:rPr>
            </w:pPr>
            <w:r>
              <w:rPr>
                <w:highlight w:val="none"/>
              </w:rPr>
              <w:t>0.8979</w:t>
            </w:r>
          </w:p>
        </w:tc>
        <w:tc>
          <w:tcPr>
            <w:tcW w:w="1784" w:type="dxa"/>
            <w:tcBorders>
              <w:tl2br w:val="nil"/>
              <w:tr2bl w:val="nil"/>
            </w:tcBorders>
            <w:vAlign w:val="center"/>
          </w:tcPr>
          <w:p>
            <w:pPr>
              <w:pStyle w:val="30"/>
              <w:bidi w:val="0"/>
              <w:rPr>
                <w:highlight w:val="none"/>
              </w:rPr>
            </w:pPr>
            <w:r>
              <w:rPr>
                <w:highlight w:val="none"/>
              </w:rPr>
              <w:t>0.1497</w:t>
            </w:r>
          </w:p>
        </w:tc>
        <w:tc>
          <w:tcPr>
            <w:tcW w:w="1658" w:type="dxa"/>
            <w:tcBorders>
              <w:tl2br w:val="nil"/>
              <w:tr2bl w:val="nil"/>
            </w:tcBorders>
            <w:vAlign w:val="center"/>
          </w:tcPr>
          <w:p>
            <w:pPr>
              <w:pStyle w:val="30"/>
              <w:bidi w:val="0"/>
              <w:rPr>
                <w:highlight w:val="none"/>
              </w:rPr>
            </w:pPr>
            <w:r>
              <w:rPr>
                <w:highlight w:val="none"/>
              </w:rPr>
              <w:t>1.4966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1400.0</w:t>
            </w:r>
          </w:p>
        </w:tc>
        <w:tc>
          <w:tcPr>
            <w:tcW w:w="1801" w:type="dxa"/>
            <w:tcBorders>
              <w:tl2br w:val="nil"/>
              <w:tr2bl w:val="nil"/>
            </w:tcBorders>
            <w:vAlign w:val="center"/>
          </w:tcPr>
          <w:p>
            <w:pPr>
              <w:pStyle w:val="30"/>
              <w:bidi w:val="0"/>
              <w:rPr>
                <w:highlight w:val="none"/>
              </w:rPr>
            </w:pPr>
            <w:r>
              <w:rPr>
                <w:highlight w:val="none"/>
              </w:rPr>
              <w:t>1.6491</w:t>
            </w:r>
          </w:p>
        </w:tc>
        <w:tc>
          <w:tcPr>
            <w:tcW w:w="1676" w:type="dxa"/>
            <w:tcBorders>
              <w:tl2br w:val="nil"/>
              <w:tr2bl w:val="nil"/>
            </w:tcBorders>
            <w:vAlign w:val="center"/>
          </w:tcPr>
          <w:p>
            <w:pPr>
              <w:pStyle w:val="30"/>
              <w:bidi w:val="0"/>
              <w:rPr>
                <w:highlight w:val="none"/>
              </w:rPr>
            </w:pPr>
            <w:r>
              <w:rPr>
                <w:highlight w:val="none"/>
              </w:rPr>
              <w:t>0.8245</w:t>
            </w:r>
          </w:p>
        </w:tc>
        <w:tc>
          <w:tcPr>
            <w:tcW w:w="1784" w:type="dxa"/>
            <w:tcBorders>
              <w:tl2br w:val="nil"/>
              <w:tr2bl w:val="nil"/>
            </w:tcBorders>
            <w:vAlign w:val="center"/>
          </w:tcPr>
          <w:p>
            <w:pPr>
              <w:pStyle w:val="30"/>
              <w:bidi w:val="0"/>
              <w:rPr>
                <w:highlight w:val="none"/>
              </w:rPr>
            </w:pPr>
            <w:r>
              <w:rPr>
                <w:highlight w:val="none"/>
              </w:rPr>
              <w:t>0.1374</w:t>
            </w:r>
          </w:p>
        </w:tc>
        <w:tc>
          <w:tcPr>
            <w:tcW w:w="1658" w:type="dxa"/>
            <w:tcBorders>
              <w:tl2br w:val="nil"/>
              <w:tr2bl w:val="nil"/>
            </w:tcBorders>
            <w:vAlign w:val="center"/>
          </w:tcPr>
          <w:p>
            <w:pPr>
              <w:pStyle w:val="30"/>
              <w:bidi w:val="0"/>
              <w:rPr>
                <w:highlight w:val="none"/>
              </w:rPr>
            </w:pPr>
            <w:r>
              <w:rPr>
                <w:highlight w:val="none"/>
              </w:rPr>
              <w:t>1.3742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1600.0</w:t>
            </w:r>
          </w:p>
        </w:tc>
        <w:tc>
          <w:tcPr>
            <w:tcW w:w="1801" w:type="dxa"/>
            <w:tcBorders>
              <w:tl2br w:val="nil"/>
              <w:tr2bl w:val="nil"/>
            </w:tcBorders>
            <w:vAlign w:val="center"/>
          </w:tcPr>
          <w:p>
            <w:pPr>
              <w:pStyle w:val="30"/>
              <w:bidi w:val="0"/>
              <w:rPr>
                <w:highlight w:val="none"/>
              </w:rPr>
            </w:pPr>
            <w:r>
              <w:rPr>
                <w:highlight w:val="none"/>
              </w:rPr>
              <w:t>1.5191</w:t>
            </w:r>
          </w:p>
        </w:tc>
        <w:tc>
          <w:tcPr>
            <w:tcW w:w="1676" w:type="dxa"/>
            <w:tcBorders>
              <w:tl2br w:val="nil"/>
              <w:tr2bl w:val="nil"/>
            </w:tcBorders>
            <w:vAlign w:val="center"/>
          </w:tcPr>
          <w:p>
            <w:pPr>
              <w:pStyle w:val="30"/>
              <w:bidi w:val="0"/>
              <w:rPr>
                <w:highlight w:val="none"/>
              </w:rPr>
            </w:pPr>
            <w:r>
              <w:rPr>
                <w:highlight w:val="none"/>
              </w:rPr>
              <w:t>0.7595</w:t>
            </w:r>
          </w:p>
        </w:tc>
        <w:tc>
          <w:tcPr>
            <w:tcW w:w="1784" w:type="dxa"/>
            <w:tcBorders>
              <w:tl2br w:val="nil"/>
              <w:tr2bl w:val="nil"/>
            </w:tcBorders>
            <w:vAlign w:val="center"/>
          </w:tcPr>
          <w:p>
            <w:pPr>
              <w:pStyle w:val="30"/>
              <w:bidi w:val="0"/>
              <w:rPr>
                <w:highlight w:val="none"/>
              </w:rPr>
            </w:pPr>
            <w:r>
              <w:rPr>
                <w:highlight w:val="none"/>
              </w:rPr>
              <w:t>0.1266</w:t>
            </w:r>
          </w:p>
        </w:tc>
        <w:tc>
          <w:tcPr>
            <w:tcW w:w="1658" w:type="dxa"/>
            <w:tcBorders>
              <w:tl2br w:val="nil"/>
              <w:tr2bl w:val="nil"/>
            </w:tcBorders>
            <w:vAlign w:val="center"/>
          </w:tcPr>
          <w:p>
            <w:pPr>
              <w:pStyle w:val="30"/>
              <w:bidi w:val="0"/>
              <w:rPr>
                <w:highlight w:val="none"/>
              </w:rPr>
            </w:pPr>
            <w:r>
              <w:rPr>
                <w:highlight w:val="none"/>
              </w:rPr>
              <w:t>1.2659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1800.0</w:t>
            </w:r>
          </w:p>
        </w:tc>
        <w:tc>
          <w:tcPr>
            <w:tcW w:w="1801" w:type="dxa"/>
            <w:tcBorders>
              <w:tl2br w:val="nil"/>
              <w:tr2bl w:val="nil"/>
            </w:tcBorders>
            <w:vAlign w:val="center"/>
          </w:tcPr>
          <w:p>
            <w:pPr>
              <w:pStyle w:val="30"/>
              <w:bidi w:val="0"/>
              <w:rPr>
                <w:highlight w:val="none"/>
              </w:rPr>
            </w:pPr>
            <w:r>
              <w:rPr>
                <w:highlight w:val="none"/>
              </w:rPr>
              <w:t>1.4222</w:t>
            </w:r>
          </w:p>
        </w:tc>
        <w:tc>
          <w:tcPr>
            <w:tcW w:w="1676" w:type="dxa"/>
            <w:tcBorders>
              <w:tl2br w:val="nil"/>
              <w:tr2bl w:val="nil"/>
            </w:tcBorders>
            <w:vAlign w:val="center"/>
          </w:tcPr>
          <w:p>
            <w:pPr>
              <w:pStyle w:val="30"/>
              <w:bidi w:val="0"/>
              <w:rPr>
                <w:highlight w:val="none"/>
              </w:rPr>
            </w:pPr>
            <w:r>
              <w:rPr>
                <w:highlight w:val="none"/>
              </w:rPr>
              <w:t>0.7111</w:t>
            </w:r>
          </w:p>
        </w:tc>
        <w:tc>
          <w:tcPr>
            <w:tcW w:w="1784" w:type="dxa"/>
            <w:tcBorders>
              <w:tl2br w:val="nil"/>
              <w:tr2bl w:val="nil"/>
            </w:tcBorders>
            <w:vAlign w:val="center"/>
          </w:tcPr>
          <w:p>
            <w:pPr>
              <w:pStyle w:val="30"/>
              <w:bidi w:val="0"/>
              <w:rPr>
                <w:highlight w:val="none"/>
              </w:rPr>
            </w:pPr>
            <w:r>
              <w:rPr>
                <w:highlight w:val="none"/>
              </w:rPr>
              <w:t>0.1185</w:t>
            </w:r>
          </w:p>
        </w:tc>
        <w:tc>
          <w:tcPr>
            <w:tcW w:w="1658" w:type="dxa"/>
            <w:tcBorders>
              <w:tl2br w:val="nil"/>
              <w:tr2bl w:val="nil"/>
            </w:tcBorders>
            <w:vAlign w:val="center"/>
          </w:tcPr>
          <w:p>
            <w:pPr>
              <w:pStyle w:val="30"/>
              <w:bidi w:val="0"/>
              <w:rPr>
                <w:highlight w:val="none"/>
              </w:rPr>
            </w:pPr>
            <w:r>
              <w:rPr>
                <w:highlight w:val="none"/>
              </w:rPr>
              <w:t>1.1852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2000.0</w:t>
            </w:r>
          </w:p>
        </w:tc>
        <w:tc>
          <w:tcPr>
            <w:tcW w:w="1801" w:type="dxa"/>
            <w:tcBorders>
              <w:tl2br w:val="nil"/>
              <w:tr2bl w:val="nil"/>
            </w:tcBorders>
            <w:vAlign w:val="center"/>
          </w:tcPr>
          <w:p>
            <w:pPr>
              <w:pStyle w:val="30"/>
              <w:bidi w:val="0"/>
              <w:rPr>
                <w:highlight w:val="none"/>
              </w:rPr>
            </w:pPr>
            <w:r>
              <w:rPr>
                <w:highlight w:val="none"/>
              </w:rPr>
              <w:t>1.3355</w:t>
            </w:r>
          </w:p>
        </w:tc>
        <w:tc>
          <w:tcPr>
            <w:tcW w:w="1676" w:type="dxa"/>
            <w:tcBorders>
              <w:tl2br w:val="nil"/>
              <w:tr2bl w:val="nil"/>
            </w:tcBorders>
            <w:vAlign w:val="center"/>
          </w:tcPr>
          <w:p>
            <w:pPr>
              <w:pStyle w:val="30"/>
              <w:bidi w:val="0"/>
              <w:rPr>
                <w:highlight w:val="none"/>
              </w:rPr>
            </w:pPr>
            <w:r>
              <w:rPr>
                <w:highlight w:val="none"/>
              </w:rPr>
              <w:t>0.6677</w:t>
            </w:r>
          </w:p>
        </w:tc>
        <w:tc>
          <w:tcPr>
            <w:tcW w:w="1784" w:type="dxa"/>
            <w:tcBorders>
              <w:tl2br w:val="nil"/>
              <w:tr2bl w:val="nil"/>
            </w:tcBorders>
            <w:vAlign w:val="center"/>
          </w:tcPr>
          <w:p>
            <w:pPr>
              <w:pStyle w:val="30"/>
              <w:bidi w:val="0"/>
              <w:rPr>
                <w:highlight w:val="none"/>
              </w:rPr>
            </w:pPr>
            <w:r>
              <w:rPr>
                <w:highlight w:val="none"/>
              </w:rPr>
              <w:t>0.1113</w:t>
            </w:r>
          </w:p>
        </w:tc>
        <w:tc>
          <w:tcPr>
            <w:tcW w:w="1658" w:type="dxa"/>
            <w:tcBorders>
              <w:tl2br w:val="nil"/>
              <w:tr2bl w:val="nil"/>
            </w:tcBorders>
            <w:vAlign w:val="center"/>
          </w:tcPr>
          <w:p>
            <w:pPr>
              <w:pStyle w:val="30"/>
              <w:bidi w:val="0"/>
              <w:rPr>
                <w:highlight w:val="none"/>
              </w:rPr>
            </w:pPr>
            <w:r>
              <w:rPr>
                <w:highlight w:val="none"/>
              </w:rPr>
              <w:t>1.1129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2500.0</w:t>
            </w:r>
          </w:p>
        </w:tc>
        <w:tc>
          <w:tcPr>
            <w:tcW w:w="1801" w:type="dxa"/>
            <w:tcBorders>
              <w:tl2br w:val="nil"/>
              <w:tr2bl w:val="nil"/>
            </w:tcBorders>
            <w:vAlign w:val="center"/>
          </w:tcPr>
          <w:p>
            <w:pPr>
              <w:pStyle w:val="30"/>
              <w:bidi w:val="0"/>
              <w:rPr>
                <w:highlight w:val="none"/>
              </w:rPr>
            </w:pPr>
            <w:r>
              <w:rPr>
                <w:highlight w:val="none"/>
              </w:rPr>
              <w:t>1.1517</w:t>
            </w:r>
          </w:p>
        </w:tc>
        <w:tc>
          <w:tcPr>
            <w:tcW w:w="1676" w:type="dxa"/>
            <w:tcBorders>
              <w:tl2br w:val="nil"/>
              <w:tr2bl w:val="nil"/>
            </w:tcBorders>
            <w:vAlign w:val="center"/>
          </w:tcPr>
          <w:p>
            <w:pPr>
              <w:pStyle w:val="30"/>
              <w:bidi w:val="0"/>
              <w:rPr>
                <w:highlight w:val="none"/>
              </w:rPr>
            </w:pPr>
            <w:r>
              <w:rPr>
                <w:highlight w:val="none"/>
              </w:rPr>
              <w:t>0.5758</w:t>
            </w:r>
          </w:p>
        </w:tc>
        <w:tc>
          <w:tcPr>
            <w:tcW w:w="1784" w:type="dxa"/>
            <w:tcBorders>
              <w:tl2br w:val="nil"/>
              <w:tr2bl w:val="nil"/>
            </w:tcBorders>
            <w:vAlign w:val="center"/>
          </w:tcPr>
          <w:p>
            <w:pPr>
              <w:pStyle w:val="30"/>
              <w:bidi w:val="0"/>
              <w:rPr>
                <w:highlight w:val="none"/>
              </w:rPr>
            </w:pPr>
            <w:r>
              <w:rPr>
                <w:highlight w:val="none"/>
              </w:rPr>
              <w:t>0.0960</w:t>
            </w:r>
          </w:p>
        </w:tc>
        <w:tc>
          <w:tcPr>
            <w:tcW w:w="1658" w:type="dxa"/>
            <w:tcBorders>
              <w:tl2br w:val="nil"/>
              <w:tr2bl w:val="nil"/>
            </w:tcBorders>
            <w:vAlign w:val="center"/>
          </w:tcPr>
          <w:p>
            <w:pPr>
              <w:pStyle w:val="30"/>
              <w:bidi w:val="0"/>
              <w:rPr>
                <w:highlight w:val="none"/>
              </w:rPr>
            </w:pPr>
            <w:r>
              <w:rPr>
                <w:highlight w:val="none"/>
              </w:rPr>
              <w:t>0.9597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3000.0</w:t>
            </w:r>
          </w:p>
        </w:tc>
        <w:tc>
          <w:tcPr>
            <w:tcW w:w="1801" w:type="dxa"/>
            <w:tcBorders>
              <w:tl2br w:val="nil"/>
              <w:tr2bl w:val="nil"/>
            </w:tcBorders>
            <w:vAlign w:val="center"/>
          </w:tcPr>
          <w:p>
            <w:pPr>
              <w:pStyle w:val="30"/>
              <w:bidi w:val="0"/>
              <w:rPr>
                <w:highlight w:val="none"/>
              </w:rPr>
            </w:pPr>
            <w:r>
              <w:rPr>
                <w:highlight w:val="none"/>
              </w:rPr>
              <w:t>1.0413</w:t>
            </w:r>
          </w:p>
        </w:tc>
        <w:tc>
          <w:tcPr>
            <w:tcW w:w="1676" w:type="dxa"/>
            <w:tcBorders>
              <w:tl2br w:val="nil"/>
              <w:tr2bl w:val="nil"/>
            </w:tcBorders>
            <w:vAlign w:val="center"/>
          </w:tcPr>
          <w:p>
            <w:pPr>
              <w:pStyle w:val="30"/>
              <w:bidi w:val="0"/>
              <w:rPr>
                <w:highlight w:val="none"/>
              </w:rPr>
            </w:pPr>
            <w:r>
              <w:rPr>
                <w:highlight w:val="none"/>
              </w:rPr>
              <w:t>0.5206</w:t>
            </w:r>
          </w:p>
        </w:tc>
        <w:tc>
          <w:tcPr>
            <w:tcW w:w="1784" w:type="dxa"/>
            <w:tcBorders>
              <w:tl2br w:val="nil"/>
              <w:tr2bl w:val="nil"/>
            </w:tcBorders>
            <w:vAlign w:val="center"/>
          </w:tcPr>
          <w:p>
            <w:pPr>
              <w:pStyle w:val="30"/>
              <w:bidi w:val="0"/>
              <w:rPr>
                <w:highlight w:val="none"/>
              </w:rPr>
            </w:pPr>
            <w:r>
              <w:rPr>
                <w:highlight w:val="none"/>
              </w:rPr>
              <w:t>0.0868</w:t>
            </w:r>
          </w:p>
        </w:tc>
        <w:tc>
          <w:tcPr>
            <w:tcW w:w="1658" w:type="dxa"/>
            <w:tcBorders>
              <w:tl2br w:val="nil"/>
              <w:tr2bl w:val="nil"/>
            </w:tcBorders>
            <w:vAlign w:val="center"/>
          </w:tcPr>
          <w:p>
            <w:pPr>
              <w:pStyle w:val="30"/>
              <w:bidi w:val="0"/>
              <w:rPr>
                <w:highlight w:val="none"/>
              </w:rPr>
            </w:pPr>
            <w:r>
              <w:rPr>
                <w:highlight w:val="none"/>
              </w:rPr>
              <w:t>0.8677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3500.0</w:t>
            </w:r>
          </w:p>
        </w:tc>
        <w:tc>
          <w:tcPr>
            <w:tcW w:w="1801" w:type="dxa"/>
            <w:tcBorders>
              <w:tl2br w:val="nil"/>
              <w:tr2bl w:val="nil"/>
            </w:tcBorders>
            <w:vAlign w:val="center"/>
          </w:tcPr>
          <w:p>
            <w:pPr>
              <w:pStyle w:val="30"/>
              <w:bidi w:val="0"/>
              <w:rPr>
                <w:highlight w:val="none"/>
              </w:rPr>
            </w:pPr>
            <w:r>
              <w:rPr>
                <w:highlight w:val="none"/>
              </w:rPr>
              <w:t>0.9594</w:t>
            </w:r>
          </w:p>
        </w:tc>
        <w:tc>
          <w:tcPr>
            <w:tcW w:w="1676" w:type="dxa"/>
            <w:tcBorders>
              <w:tl2br w:val="nil"/>
              <w:tr2bl w:val="nil"/>
            </w:tcBorders>
            <w:vAlign w:val="center"/>
          </w:tcPr>
          <w:p>
            <w:pPr>
              <w:pStyle w:val="30"/>
              <w:bidi w:val="0"/>
              <w:rPr>
                <w:highlight w:val="none"/>
              </w:rPr>
            </w:pPr>
            <w:r>
              <w:rPr>
                <w:highlight w:val="none"/>
              </w:rPr>
              <w:t>0.4797</w:t>
            </w:r>
          </w:p>
        </w:tc>
        <w:tc>
          <w:tcPr>
            <w:tcW w:w="1784" w:type="dxa"/>
            <w:tcBorders>
              <w:tl2br w:val="nil"/>
              <w:tr2bl w:val="nil"/>
            </w:tcBorders>
            <w:vAlign w:val="center"/>
          </w:tcPr>
          <w:p>
            <w:pPr>
              <w:pStyle w:val="30"/>
              <w:bidi w:val="0"/>
              <w:rPr>
                <w:highlight w:val="none"/>
              </w:rPr>
            </w:pPr>
            <w:r>
              <w:rPr>
                <w:highlight w:val="none"/>
              </w:rPr>
              <w:t>0.0800</w:t>
            </w:r>
          </w:p>
        </w:tc>
        <w:tc>
          <w:tcPr>
            <w:tcW w:w="1658" w:type="dxa"/>
            <w:tcBorders>
              <w:tl2br w:val="nil"/>
              <w:tr2bl w:val="nil"/>
            </w:tcBorders>
            <w:vAlign w:val="center"/>
          </w:tcPr>
          <w:p>
            <w:pPr>
              <w:pStyle w:val="30"/>
              <w:bidi w:val="0"/>
              <w:rPr>
                <w:highlight w:val="none"/>
              </w:rPr>
            </w:pPr>
            <w:r>
              <w:rPr>
                <w:highlight w:val="none"/>
              </w:rPr>
              <w:t>0.7995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4000.0</w:t>
            </w:r>
          </w:p>
        </w:tc>
        <w:tc>
          <w:tcPr>
            <w:tcW w:w="1801" w:type="dxa"/>
            <w:tcBorders>
              <w:tl2br w:val="nil"/>
              <w:tr2bl w:val="nil"/>
            </w:tcBorders>
            <w:vAlign w:val="center"/>
          </w:tcPr>
          <w:p>
            <w:pPr>
              <w:pStyle w:val="30"/>
              <w:bidi w:val="0"/>
              <w:rPr>
                <w:highlight w:val="none"/>
              </w:rPr>
            </w:pPr>
            <w:r>
              <w:rPr>
                <w:highlight w:val="none"/>
              </w:rPr>
              <w:t>0.8877</w:t>
            </w:r>
          </w:p>
        </w:tc>
        <w:tc>
          <w:tcPr>
            <w:tcW w:w="1676" w:type="dxa"/>
            <w:tcBorders>
              <w:tl2br w:val="nil"/>
              <w:tr2bl w:val="nil"/>
            </w:tcBorders>
            <w:vAlign w:val="center"/>
          </w:tcPr>
          <w:p>
            <w:pPr>
              <w:pStyle w:val="30"/>
              <w:bidi w:val="0"/>
              <w:rPr>
                <w:highlight w:val="none"/>
              </w:rPr>
            </w:pPr>
            <w:r>
              <w:rPr>
                <w:highlight w:val="none"/>
              </w:rPr>
              <w:t>0.4439</w:t>
            </w:r>
          </w:p>
        </w:tc>
        <w:tc>
          <w:tcPr>
            <w:tcW w:w="1784" w:type="dxa"/>
            <w:tcBorders>
              <w:tl2br w:val="nil"/>
              <w:tr2bl w:val="nil"/>
            </w:tcBorders>
            <w:vAlign w:val="center"/>
          </w:tcPr>
          <w:p>
            <w:pPr>
              <w:pStyle w:val="30"/>
              <w:bidi w:val="0"/>
              <w:rPr>
                <w:highlight w:val="none"/>
              </w:rPr>
            </w:pPr>
            <w:r>
              <w:rPr>
                <w:highlight w:val="none"/>
              </w:rPr>
              <w:t>0.0740</w:t>
            </w:r>
          </w:p>
        </w:tc>
        <w:tc>
          <w:tcPr>
            <w:tcW w:w="1658" w:type="dxa"/>
            <w:tcBorders>
              <w:tl2br w:val="nil"/>
              <w:tr2bl w:val="nil"/>
            </w:tcBorders>
            <w:vAlign w:val="center"/>
          </w:tcPr>
          <w:p>
            <w:pPr>
              <w:pStyle w:val="30"/>
              <w:bidi w:val="0"/>
              <w:rPr>
                <w:highlight w:val="none"/>
              </w:rPr>
            </w:pPr>
            <w:r>
              <w:rPr>
                <w:highlight w:val="none"/>
              </w:rPr>
              <w:t>0.7397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4500.0</w:t>
            </w:r>
          </w:p>
        </w:tc>
        <w:tc>
          <w:tcPr>
            <w:tcW w:w="1801" w:type="dxa"/>
            <w:tcBorders>
              <w:tl2br w:val="nil"/>
              <w:tr2bl w:val="nil"/>
            </w:tcBorders>
            <w:vAlign w:val="center"/>
          </w:tcPr>
          <w:p>
            <w:pPr>
              <w:pStyle w:val="30"/>
              <w:bidi w:val="0"/>
              <w:rPr>
                <w:highlight w:val="none"/>
              </w:rPr>
            </w:pPr>
            <w:r>
              <w:rPr>
                <w:highlight w:val="none"/>
              </w:rPr>
              <w:t>0.8244</w:t>
            </w:r>
          </w:p>
        </w:tc>
        <w:tc>
          <w:tcPr>
            <w:tcW w:w="1676" w:type="dxa"/>
            <w:tcBorders>
              <w:tl2br w:val="nil"/>
              <w:tr2bl w:val="nil"/>
            </w:tcBorders>
            <w:vAlign w:val="center"/>
          </w:tcPr>
          <w:p>
            <w:pPr>
              <w:pStyle w:val="30"/>
              <w:bidi w:val="0"/>
              <w:rPr>
                <w:highlight w:val="none"/>
              </w:rPr>
            </w:pPr>
            <w:r>
              <w:rPr>
                <w:highlight w:val="none"/>
              </w:rPr>
              <w:t>0.4122</w:t>
            </w:r>
          </w:p>
        </w:tc>
        <w:tc>
          <w:tcPr>
            <w:tcW w:w="1784" w:type="dxa"/>
            <w:tcBorders>
              <w:tl2br w:val="nil"/>
              <w:tr2bl w:val="nil"/>
            </w:tcBorders>
            <w:vAlign w:val="center"/>
          </w:tcPr>
          <w:p>
            <w:pPr>
              <w:pStyle w:val="30"/>
              <w:bidi w:val="0"/>
              <w:rPr>
                <w:highlight w:val="none"/>
              </w:rPr>
            </w:pPr>
            <w:r>
              <w:rPr>
                <w:highlight w:val="none"/>
              </w:rPr>
              <w:t>0.0687</w:t>
            </w:r>
          </w:p>
        </w:tc>
        <w:tc>
          <w:tcPr>
            <w:tcW w:w="1658" w:type="dxa"/>
            <w:tcBorders>
              <w:tl2br w:val="nil"/>
              <w:tr2bl w:val="nil"/>
            </w:tcBorders>
            <w:vAlign w:val="center"/>
          </w:tcPr>
          <w:p>
            <w:pPr>
              <w:pStyle w:val="30"/>
              <w:bidi w:val="0"/>
              <w:rPr>
                <w:highlight w:val="none"/>
              </w:rPr>
            </w:pPr>
            <w:r>
              <w:rPr>
                <w:highlight w:val="none"/>
              </w:rPr>
              <w:t>0.6870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5000.0</w:t>
            </w:r>
          </w:p>
        </w:tc>
        <w:tc>
          <w:tcPr>
            <w:tcW w:w="1801" w:type="dxa"/>
            <w:tcBorders>
              <w:tl2br w:val="nil"/>
              <w:tr2bl w:val="nil"/>
            </w:tcBorders>
            <w:vAlign w:val="center"/>
          </w:tcPr>
          <w:p>
            <w:pPr>
              <w:pStyle w:val="30"/>
              <w:bidi w:val="0"/>
              <w:rPr>
                <w:highlight w:val="none"/>
              </w:rPr>
            </w:pPr>
            <w:r>
              <w:rPr>
                <w:highlight w:val="none"/>
              </w:rPr>
              <w:t>0.7683</w:t>
            </w:r>
          </w:p>
        </w:tc>
        <w:tc>
          <w:tcPr>
            <w:tcW w:w="1676" w:type="dxa"/>
            <w:tcBorders>
              <w:tl2br w:val="nil"/>
              <w:tr2bl w:val="nil"/>
            </w:tcBorders>
            <w:vAlign w:val="center"/>
          </w:tcPr>
          <w:p>
            <w:pPr>
              <w:pStyle w:val="30"/>
              <w:bidi w:val="0"/>
              <w:rPr>
                <w:highlight w:val="none"/>
              </w:rPr>
            </w:pPr>
            <w:r>
              <w:rPr>
                <w:highlight w:val="none"/>
              </w:rPr>
              <w:t>0.3841</w:t>
            </w:r>
          </w:p>
        </w:tc>
        <w:tc>
          <w:tcPr>
            <w:tcW w:w="1784" w:type="dxa"/>
            <w:tcBorders>
              <w:tl2br w:val="nil"/>
              <w:tr2bl w:val="nil"/>
            </w:tcBorders>
            <w:vAlign w:val="center"/>
          </w:tcPr>
          <w:p>
            <w:pPr>
              <w:pStyle w:val="30"/>
              <w:bidi w:val="0"/>
              <w:rPr>
                <w:highlight w:val="none"/>
              </w:rPr>
            </w:pPr>
            <w:r>
              <w:rPr>
                <w:highlight w:val="none"/>
              </w:rPr>
              <w:t>0.0640</w:t>
            </w:r>
          </w:p>
        </w:tc>
        <w:tc>
          <w:tcPr>
            <w:tcW w:w="1658" w:type="dxa"/>
            <w:tcBorders>
              <w:tl2br w:val="nil"/>
              <w:tr2bl w:val="nil"/>
            </w:tcBorders>
            <w:vAlign w:val="center"/>
          </w:tcPr>
          <w:p>
            <w:pPr>
              <w:pStyle w:val="30"/>
              <w:bidi w:val="0"/>
              <w:rPr>
                <w:highlight w:val="none"/>
              </w:rPr>
            </w:pPr>
            <w:r>
              <w:rPr>
                <w:highlight w:val="none"/>
              </w:rPr>
              <w:t>0.6402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10000.0</w:t>
            </w:r>
          </w:p>
        </w:tc>
        <w:tc>
          <w:tcPr>
            <w:tcW w:w="1801" w:type="dxa"/>
            <w:tcBorders>
              <w:tl2br w:val="nil"/>
              <w:tr2bl w:val="nil"/>
            </w:tcBorders>
            <w:vAlign w:val="center"/>
          </w:tcPr>
          <w:p>
            <w:pPr>
              <w:pStyle w:val="30"/>
              <w:bidi w:val="0"/>
              <w:rPr>
                <w:highlight w:val="none"/>
              </w:rPr>
            </w:pPr>
            <w:r>
              <w:rPr>
                <w:highlight w:val="none"/>
              </w:rPr>
              <w:t>0.4639</w:t>
            </w:r>
          </w:p>
        </w:tc>
        <w:tc>
          <w:tcPr>
            <w:tcW w:w="1676" w:type="dxa"/>
            <w:tcBorders>
              <w:tl2br w:val="nil"/>
              <w:tr2bl w:val="nil"/>
            </w:tcBorders>
            <w:vAlign w:val="center"/>
          </w:tcPr>
          <w:p>
            <w:pPr>
              <w:pStyle w:val="30"/>
              <w:bidi w:val="0"/>
              <w:rPr>
                <w:highlight w:val="none"/>
              </w:rPr>
            </w:pPr>
            <w:r>
              <w:rPr>
                <w:highlight w:val="none"/>
              </w:rPr>
              <w:t>0.2319</w:t>
            </w:r>
          </w:p>
        </w:tc>
        <w:tc>
          <w:tcPr>
            <w:tcW w:w="1784" w:type="dxa"/>
            <w:tcBorders>
              <w:tl2br w:val="nil"/>
              <w:tr2bl w:val="nil"/>
            </w:tcBorders>
            <w:vAlign w:val="center"/>
          </w:tcPr>
          <w:p>
            <w:pPr>
              <w:pStyle w:val="30"/>
              <w:bidi w:val="0"/>
              <w:rPr>
                <w:highlight w:val="none"/>
              </w:rPr>
            </w:pPr>
            <w:r>
              <w:rPr>
                <w:highlight w:val="none"/>
              </w:rPr>
              <w:t>0.0387</w:t>
            </w:r>
          </w:p>
        </w:tc>
        <w:tc>
          <w:tcPr>
            <w:tcW w:w="1658" w:type="dxa"/>
            <w:tcBorders>
              <w:tl2br w:val="nil"/>
              <w:tr2bl w:val="nil"/>
            </w:tcBorders>
            <w:vAlign w:val="center"/>
          </w:tcPr>
          <w:p>
            <w:pPr>
              <w:pStyle w:val="30"/>
              <w:bidi w:val="0"/>
              <w:rPr>
                <w:highlight w:val="none"/>
              </w:rPr>
            </w:pPr>
            <w:r>
              <w:rPr>
                <w:highlight w:val="none"/>
              </w:rPr>
              <w:t>0.3866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11000.0</w:t>
            </w:r>
          </w:p>
        </w:tc>
        <w:tc>
          <w:tcPr>
            <w:tcW w:w="1801" w:type="dxa"/>
            <w:tcBorders>
              <w:tl2br w:val="nil"/>
              <w:tr2bl w:val="nil"/>
            </w:tcBorders>
            <w:vAlign w:val="center"/>
          </w:tcPr>
          <w:p>
            <w:pPr>
              <w:pStyle w:val="30"/>
              <w:bidi w:val="0"/>
              <w:rPr>
                <w:highlight w:val="none"/>
              </w:rPr>
            </w:pPr>
            <w:r>
              <w:rPr>
                <w:highlight w:val="none"/>
              </w:rPr>
              <w:t>0.4285</w:t>
            </w:r>
          </w:p>
        </w:tc>
        <w:tc>
          <w:tcPr>
            <w:tcW w:w="1676" w:type="dxa"/>
            <w:tcBorders>
              <w:tl2br w:val="nil"/>
              <w:tr2bl w:val="nil"/>
            </w:tcBorders>
            <w:vAlign w:val="center"/>
          </w:tcPr>
          <w:p>
            <w:pPr>
              <w:pStyle w:val="30"/>
              <w:bidi w:val="0"/>
              <w:rPr>
                <w:highlight w:val="none"/>
              </w:rPr>
            </w:pPr>
            <w:r>
              <w:rPr>
                <w:highlight w:val="none"/>
              </w:rPr>
              <w:t>0.2142</w:t>
            </w:r>
          </w:p>
        </w:tc>
        <w:tc>
          <w:tcPr>
            <w:tcW w:w="1784" w:type="dxa"/>
            <w:tcBorders>
              <w:tl2br w:val="nil"/>
              <w:tr2bl w:val="nil"/>
            </w:tcBorders>
            <w:vAlign w:val="center"/>
          </w:tcPr>
          <w:p>
            <w:pPr>
              <w:pStyle w:val="30"/>
              <w:bidi w:val="0"/>
              <w:rPr>
                <w:highlight w:val="none"/>
              </w:rPr>
            </w:pPr>
            <w:r>
              <w:rPr>
                <w:highlight w:val="none"/>
              </w:rPr>
              <w:t>0.0357</w:t>
            </w:r>
          </w:p>
        </w:tc>
        <w:tc>
          <w:tcPr>
            <w:tcW w:w="1658" w:type="dxa"/>
            <w:tcBorders>
              <w:tl2br w:val="nil"/>
              <w:tr2bl w:val="nil"/>
            </w:tcBorders>
            <w:vAlign w:val="center"/>
          </w:tcPr>
          <w:p>
            <w:pPr>
              <w:pStyle w:val="30"/>
              <w:bidi w:val="0"/>
              <w:rPr>
                <w:highlight w:val="none"/>
              </w:rPr>
            </w:pPr>
            <w:r>
              <w:rPr>
                <w:highlight w:val="none"/>
              </w:rPr>
              <w:t>0.3571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12000.0</w:t>
            </w:r>
          </w:p>
        </w:tc>
        <w:tc>
          <w:tcPr>
            <w:tcW w:w="1801" w:type="dxa"/>
            <w:tcBorders>
              <w:tl2br w:val="nil"/>
              <w:tr2bl w:val="nil"/>
            </w:tcBorders>
            <w:vAlign w:val="center"/>
          </w:tcPr>
          <w:p>
            <w:pPr>
              <w:pStyle w:val="30"/>
              <w:bidi w:val="0"/>
              <w:rPr>
                <w:highlight w:val="none"/>
              </w:rPr>
            </w:pPr>
            <w:r>
              <w:rPr>
                <w:highlight w:val="none"/>
              </w:rPr>
              <w:t>0.3975</w:t>
            </w:r>
          </w:p>
        </w:tc>
        <w:tc>
          <w:tcPr>
            <w:tcW w:w="1676" w:type="dxa"/>
            <w:tcBorders>
              <w:tl2br w:val="nil"/>
              <w:tr2bl w:val="nil"/>
            </w:tcBorders>
            <w:vAlign w:val="center"/>
          </w:tcPr>
          <w:p>
            <w:pPr>
              <w:pStyle w:val="30"/>
              <w:bidi w:val="0"/>
              <w:rPr>
                <w:highlight w:val="none"/>
              </w:rPr>
            </w:pPr>
            <w:r>
              <w:rPr>
                <w:highlight w:val="none"/>
              </w:rPr>
              <w:t>0.1987</w:t>
            </w:r>
          </w:p>
        </w:tc>
        <w:tc>
          <w:tcPr>
            <w:tcW w:w="1784" w:type="dxa"/>
            <w:tcBorders>
              <w:tl2br w:val="nil"/>
              <w:tr2bl w:val="nil"/>
            </w:tcBorders>
            <w:vAlign w:val="center"/>
          </w:tcPr>
          <w:p>
            <w:pPr>
              <w:pStyle w:val="30"/>
              <w:bidi w:val="0"/>
              <w:rPr>
                <w:highlight w:val="none"/>
              </w:rPr>
            </w:pPr>
            <w:r>
              <w:rPr>
                <w:highlight w:val="none"/>
              </w:rPr>
              <w:t>0.0331</w:t>
            </w:r>
          </w:p>
        </w:tc>
        <w:tc>
          <w:tcPr>
            <w:tcW w:w="1658" w:type="dxa"/>
            <w:tcBorders>
              <w:tl2br w:val="nil"/>
              <w:tr2bl w:val="nil"/>
            </w:tcBorders>
            <w:vAlign w:val="center"/>
          </w:tcPr>
          <w:p>
            <w:pPr>
              <w:pStyle w:val="30"/>
              <w:bidi w:val="0"/>
              <w:rPr>
                <w:highlight w:val="none"/>
              </w:rPr>
            </w:pPr>
            <w:r>
              <w:rPr>
                <w:highlight w:val="none"/>
              </w:rPr>
              <w:t>0.3312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13000.0</w:t>
            </w:r>
          </w:p>
        </w:tc>
        <w:tc>
          <w:tcPr>
            <w:tcW w:w="1801" w:type="dxa"/>
            <w:tcBorders>
              <w:tl2br w:val="nil"/>
              <w:tr2bl w:val="nil"/>
            </w:tcBorders>
            <w:vAlign w:val="center"/>
          </w:tcPr>
          <w:p>
            <w:pPr>
              <w:pStyle w:val="30"/>
              <w:bidi w:val="0"/>
              <w:rPr>
                <w:highlight w:val="none"/>
              </w:rPr>
            </w:pPr>
            <w:r>
              <w:rPr>
                <w:highlight w:val="none"/>
              </w:rPr>
              <w:t>0.3701</w:t>
            </w:r>
          </w:p>
        </w:tc>
        <w:tc>
          <w:tcPr>
            <w:tcW w:w="1676" w:type="dxa"/>
            <w:tcBorders>
              <w:tl2br w:val="nil"/>
              <w:tr2bl w:val="nil"/>
            </w:tcBorders>
            <w:vAlign w:val="center"/>
          </w:tcPr>
          <w:p>
            <w:pPr>
              <w:pStyle w:val="30"/>
              <w:bidi w:val="0"/>
              <w:rPr>
                <w:highlight w:val="none"/>
              </w:rPr>
            </w:pPr>
            <w:r>
              <w:rPr>
                <w:highlight w:val="none"/>
              </w:rPr>
              <w:t>0.1851</w:t>
            </w:r>
          </w:p>
        </w:tc>
        <w:tc>
          <w:tcPr>
            <w:tcW w:w="1784" w:type="dxa"/>
            <w:tcBorders>
              <w:tl2br w:val="nil"/>
              <w:tr2bl w:val="nil"/>
            </w:tcBorders>
            <w:vAlign w:val="center"/>
          </w:tcPr>
          <w:p>
            <w:pPr>
              <w:pStyle w:val="30"/>
              <w:bidi w:val="0"/>
              <w:rPr>
                <w:highlight w:val="none"/>
              </w:rPr>
            </w:pPr>
            <w:r>
              <w:rPr>
                <w:highlight w:val="none"/>
              </w:rPr>
              <w:t>0.0308</w:t>
            </w:r>
          </w:p>
        </w:tc>
        <w:tc>
          <w:tcPr>
            <w:tcW w:w="1658" w:type="dxa"/>
            <w:tcBorders>
              <w:tl2br w:val="nil"/>
              <w:tr2bl w:val="nil"/>
            </w:tcBorders>
            <w:vAlign w:val="center"/>
          </w:tcPr>
          <w:p>
            <w:pPr>
              <w:pStyle w:val="30"/>
              <w:bidi w:val="0"/>
              <w:rPr>
                <w:highlight w:val="none"/>
              </w:rPr>
            </w:pPr>
            <w:r>
              <w:rPr>
                <w:highlight w:val="none"/>
              </w:rPr>
              <w:t>0.3085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14000.0</w:t>
            </w:r>
          </w:p>
        </w:tc>
        <w:tc>
          <w:tcPr>
            <w:tcW w:w="1801" w:type="dxa"/>
            <w:tcBorders>
              <w:tl2br w:val="nil"/>
              <w:tr2bl w:val="nil"/>
            </w:tcBorders>
            <w:vAlign w:val="center"/>
          </w:tcPr>
          <w:p>
            <w:pPr>
              <w:pStyle w:val="30"/>
              <w:bidi w:val="0"/>
              <w:rPr>
                <w:highlight w:val="none"/>
              </w:rPr>
            </w:pPr>
            <w:r>
              <w:rPr>
                <w:highlight w:val="none"/>
              </w:rPr>
              <w:t>0.3459</w:t>
            </w:r>
          </w:p>
        </w:tc>
        <w:tc>
          <w:tcPr>
            <w:tcW w:w="1676" w:type="dxa"/>
            <w:tcBorders>
              <w:tl2br w:val="nil"/>
              <w:tr2bl w:val="nil"/>
            </w:tcBorders>
            <w:vAlign w:val="center"/>
          </w:tcPr>
          <w:p>
            <w:pPr>
              <w:pStyle w:val="30"/>
              <w:bidi w:val="0"/>
              <w:rPr>
                <w:highlight w:val="none"/>
              </w:rPr>
            </w:pPr>
            <w:r>
              <w:rPr>
                <w:highlight w:val="none"/>
              </w:rPr>
              <w:t>0.1730</w:t>
            </w:r>
          </w:p>
        </w:tc>
        <w:tc>
          <w:tcPr>
            <w:tcW w:w="1784" w:type="dxa"/>
            <w:tcBorders>
              <w:tl2br w:val="nil"/>
              <w:tr2bl w:val="nil"/>
            </w:tcBorders>
            <w:vAlign w:val="center"/>
          </w:tcPr>
          <w:p>
            <w:pPr>
              <w:pStyle w:val="30"/>
              <w:bidi w:val="0"/>
              <w:rPr>
                <w:highlight w:val="none"/>
              </w:rPr>
            </w:pPr>
            <w:r>
              <w:rPr>
                <w:highlight w:val="none"/>
              </w:rPr>
              <w:t>0.0288</w:t>
            </w:r>
          </w:p>
        </w:tc>
        <w:tc>
          <w:tcPr>
            <w:tcW w:w="1658" w:type="dxa"/>
            <w:tcBorders>
              <w:tl2br w:val="nil"/>
              <w:tr2bl w:val="nil"/>
            </w:tcBorders>
            <w:vAlign w:val="center"/>
          </w:tcPr>
          <w:p>
            <w:pPr>
              <w:pStyle w:val="30"/>
              <w:bidi w:val="0"/>
              <w:rPr>
                <w:highlight w:val="none"/>
              </w:rPr>
            </w:pPr>
            <w:r>
              <w:rPr>
                <w:highlight w:val="none"/>
              </w:rPr>
              <w:t>0.2883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15000.0</w:t>
            </w:r>
          </w:p>
        </w:tc>
        <w:tc>
          <w:tcPr>
            <w:tcW w:w="1801" w:type="dxa"/>
            <w:tcBorders>
              <w:tl2br w:val="nil"/>
              <w:tr2bl w:val="nil"/>
            </w:tcBorders>
            <w:vAlign w:val="center"/>
          </w:tcPr>
          <w:p>
            <w:pPr>
              <w:pStyle w:val="30"/>
              <w:bidi w:val="0"/>
              <w:rPr>
                <w:highlight w:val="none"/>
              </w:rPr>
            </w:pPr>
            <w:r>
              <w:rPr>
                <w:highlight w:val="none"/>
              </w:rPr>
              <w:t>0.3244</w:t>
            </w:r>
          </w:p>
        </w:tc>
        <w:tc>
          <w:tcPr>
            <w:tcW w:w="1676" w:type="dxa"/>
            <w:tcBorders>
              <w:tl2br w:val="nil"/>
              <w:tr2bl w:val="nil"/>
            </w:tcBorders>
            <w:vAlign w:val="center"/>
          </w:tcPr>
          <w:p>
            <w:pPr>
              <w:pStyle w:val="30"/>
              <w:bidi w:val="0"/>
              <w:rPr>
                <w:highlight w:val="none"/>
              </w:rPr>
            </w:pPr>
            <w:r>
              <w:rPr>
                <w:highlight w:val="none"/>
              </w:rPr>
              <w:t>0.1622</w:t>
            </w:r>
          </w:p>
        </w:tc>
        <w:tc>
          <w:tcPr>
            <w:tcW w:w="1784" w:type="dxa"/>
            <w:tcBorders>
              <w:tl2br w:val="nil"/>
              <w:tr2bl w:val="nil"/>
            </w:tcBorders>
            <w:vAlign w:val="center"/>
          </w:tcPr>
          <w:p>
            <w:pPr>
              <w:pStyle w:val="30"/>
              <w:bidi w:val="0"/>
              <w:rPr>
                <w:highlight w:val="none"/>
              </w:rPr>
            </w:pPr>
            <w:r>
              <w:rPr>
                <w:highlight w:val="none"/>
              </w:rPr>
              <w:t>0.0270</w:t>
            </w:r>
          </w:p>
        </w:tc>
        <w:tc>
          <w:tcPr>
            <w:tcW w:w="1658" w:type="dxa"/>
            <w:tcBorders>
              <w:tl2br w:val="nil"/>
              <w:tr2bl w:val="nil"/>
            </w:tcBorders>
            <w:vAlign w:val="center"/>
          </w:tcPr>
          <w:p>
            <w:pPr>
              <w:pStyle w:val="30"/>
              <w:bidi w:val="0"/>
              <w:rPr>
                <w:highlight w:val="none"/>
              </w:rPr>
            </w:pPr>
            <w:r>
              <w:rPr>
                <w:highlight w:val="none"/>
              </w:rPr>
              <w:t>0.2703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20000.0</w:t>
            </w:r>
          </w:p>
        </w:tc>
        <w:tc>
          <w:tcPr>
            <w:tcW w:w="1801" w:type="dxa"/>
            <w:tcBorders>
              <w:tl2br w:val="nil"/>
              <w:tr2bl w:val="nil"/>
            </w:tcBorders>
            <w:vAlign w:val="center"/>
          </w:tcPr>
          <w:p>
            <w:pPr>
              <w:pStyle w:val="30"/>
              <w:bidi w:val="0"/>
              <w:rPr>
                <w:highlight w:val="none"/>
              </w:rPr>
            </w:pPr>
            <w:r>
              <w:rPr>
                <w:highlight w:val="none"/>
              </w:rPr>
              <w:t>0.2446</w:t>
            </w:r>
          </w:p>
        </w:tc>
        <w:tc>
          <w:tcPr>
            <w:tcW w:w="1676" w:type="dxa"/>
            <w:tcBorders>
              <w:tl2br w:val="nil"/>
              <w:tr2bl w:val="nil"/>
            </w:tcBorders>
            <w:vAlign w:val="center"/>
          </w:tcPr>
          <w:p>
            <w:pPr>
              <w:pStyle w:val="30"/>
              <w:bidi w:val="0"/>
              <w:rPr>
                <w:highlight w:val="none"/>
              </w:rPr>
            </w:pPr>
            <w:r>
              <w:rPr>
                <w:highlight w:val="none"/>
              </w:rPr>
              <w:t>0.1223</w:t>
            </w:r>
          </w:p>
        </w:tc>
        <w:tc>
          <w:tcPr>
            <w:tcW w:w="1784" w:type="dxa"/>
            <w:tcBorders>
              <w:tl2br w:val="nil"/>
              <w:tr2bl w:val="nil"/>
            </w:tcBorders>
            <w:vAlign w:val="center"/>
          </w:tcPr>
          <w:p>
            <w:pPr>
              <w:pStyle w:val="30"/>
              <w:bidi w:val="0"/>
              <w:rPr>
                <w:highlight w:val="none"/>
              </w:rPr>
            </w:pPr>
            <w:r>
              <w:rPr>
                <w:highlight w:val="none"/>
              </w:rPr>
              <w:t>0.0204</w:t>
            </w:r>
          </w:p>
        </w:tc>
        <w:tc>
          <w:tcPr>
            <w:tcW w:w="1658" w:type="dxa"/>
            <w:tcBorders>
              <w:tl2br w:val="nil"/>
              <w:tr2bl w:val="nil"/>
            </w:tcBorders>
            <w:vAlign w:val="center"/>
          </w:tcPr>
          <w:p>
            <w:pPr>
              <w:pStyle w:val="30"/>
              <w:bidi w:val="0"/>
              <w:rPr>
                <w:highlight w:val="none"/>
              </w:rPr>
            </w:pPr>
            <w:r>
              <w:rPr>
                <w:highlight w:val="none"/>
              </w:rPr>
              <w:t>0.2038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25000.0</w:t>
            </w:r>
          </w:p>
        </w:tc>
        <w:tc>
          <w:tcPr>
            <w:tcW w:w="1801" w:type="dxa"/>
            <w:tcBorders>
              <w:tl2br w:val="nil"/>
              <w:tr2bl w:val="nil"/>
            </w:tcBorders>
            <w:vAlign w:val="center"/>
          </w:tcPr>
          <w:p>
            <w:pPr>
              <w:pStyle w:val="30"/>
              <w:bidi w:val="0"/>
              <w:rPr>
                <w:highlight w:val="none"/>
              </w:rPr>
            </w:pPr>
            <w:r>
              <w:rPr>
                <w:highlight w:val="none"/>
              </w:rPr>
              <w:t>0.1939</w:t>
            </w:r>
          </w:p>
        </w:tc>
        <w:tc>
          <w:tcPr>
            <w:tcW w:w="1676" w:type="dxa"/>
            <w:tcBorders>
              <w:tl2br w:val="nil"/>
              <w:tr2bl w:val="nil"/>
            </w:tcBorders>
            <w:vAlign w:val="center"/>
          </w:tcPr>
          <w:p>
            <w:pPr>
              <w:pStyle w:val="30"/>
              <w:bidi w:val="0"/>
              <w:rPr>
                <w:highlight w:val="none"/>
              </w:rPr>
            </w:pPr>
            <w:r>
              <w:rPr>
                <w:highlight w:val="none"/>
              </w:rPr>
              <w:t>0.0969</w:t>
            </w:r>
          </w:p>
        </w:tc>
        <w:tc>
          <w:tcPr>
            <w:tcW w:w="1784" w:type="dxa"/>
            <w:tcBorders>
              <w:tl2br w:val="nil"/>
              <w:tr2bl w:val="nil"/>
            </w:tcBorders>
            <w:vAlign w:val="center"/>
          </w:tcPr>
          <w:p>
            <w:pPr>
              <w:pStyle w:val="30"/>
              <w:bidi w:val="0"/>
              <w:rPr>
                <w:highlight w:val="none"/>
              </w:rPr>
            </w:pPr>
            <w:r>
              <w:rPr>
                <w:highlight w:val="none"/>
              </w:rPr>
              <w:t>0.0162</w:t>
            </w:r>
          </w:p>
        </w:tc>
        <w:tc>
          <w:tcPr>
            <w:tcW w:w="1658" w:type="dxa"/>
            <w:tcBorders>
              <w:tl2br w:val="nil"/>
              <w:tr2bl w:val="nil"/>
            </w:tcBorders>
            <w:vAlign w:val="center"/>
          </w:tcPr>
          <w:p>
            <w:pPr>
              <w:pStyle w:val="30"/>
              <w:bidi w:val="0"/>
              <w:rPr>
                <w:highlight w:val="none"/>
              </w:rPr>
            </w:pPr>
            <w:r>
              <w:rPr>
                <w:highlight w:val="none"/>
              </w:rPr>
              <w:t>0.1616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下风向最大浓度</w:t>
            </w:r>
          </w:p>
        </w:tc>
        <w:tc>
          <w:tcPr>
            <w:tcW w:w="1801" w:type="dxa"/>
            <w:tcBorders>
              <w:tl2br w:val="nil"/>
              <w:tr2bl w:val="nil"/>
            </w:tcBorders>
            <w:vAlign w:val="center"/>
          </w:tcPr>
          <w:p>
            <w:pPr>
              <w:pStyle w:val="30"/>
              <w:bidi w:val="0"/>
              <w:rPr>
                <w:highlight w:val="none"/>
              </w:rPr>
            </w:pPr>
            <w:r>
              <w:rPr>
                <w:highlight w:val="none"/>
              </w:rPr>
              <w:t>8.4095</w:t>
            </w:r>
          </w:p>
        </w:tc>
        <w:tc>
          <w:tcPr>
            <w:tcW w:w="1676" w:type="dxa"/>
            <w:tcBorders>
              <w:tl2br w:val="nil"/>
              <w:tr2bl w:val="nil"/>
            </w:tcBorders>
            <w:vAlign w:val="center"/>
          </w:tcPr>
          <w:p>
            <w:pPr>
              <w:pStyle w:val="30"/>
              <w:bidi w:val="0"/>
              <w:rPr>
                <w:highlight w:val="none"/>
              </w:rPr>
            </w:pPr>
            <w:r>
              <w:rPr>
                <w:highlight w:val="none"/>
              </w:rPr>
              <w:t>4.2047</w:t>
            </w:r>
          </w:p>
        </w:tc>
        <w:tc>
          <w:tcPr>
            <w:tcW w:w="1784" w:type="dxa"/>
            <w:tcBorders>
              <w:tl2br w:val="nil"/>
              <w:tr2bl w:val="nil"/>
            </w:tcBorders>
            <w:vAlign w:val="center"/>
          </w:tcPr>
          <w:p>
            <w:pPr>
              <w:pStyle w:val="30"/>
              <w:bidi w:val="0"/>
              <w:rPr>
                <w:highlight w:val="none"/>
              </w:rPr>
            </w:pPr>
            <w:r>
              <w:rPr>
                <w:highlight w:val="none"/>
              </w:rPr>
              <w:t>0.7008</w:t>
            </w:r>
          </w:p>
        </w:tc>
        <w:tc>
          <w:tcPr>
            <w:tcW w:w="1658" w:type="dxa"/>
            <w:tcBorders>
              <w:tl2br w:val="nil"/>
              <w:tr2bl w:val="nil"/>
            </w:tcBorders>
            <w:vAlign w:val="center"/>
          </w:tcPr>
          <w:p>
            <w:pPr>
              <w:pStyle w:val="30"/>
              <w:bidi w:val="0"/>
              <w:rPr>
                <w:highlight w:val="none"/>
              </w:rPr>
            </w:pPr>
            <w:r>
              <w:rPr>
                <w:highlight w:val="none"/>
              </w:rPr>
              <w:t>7.0079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下风向最大浓度出现距离</w:t>
            </w:r>
          </w:p>
        </w:tc>
        <w:tc>
          <w:tcPr>
            <w:tcW w:w="1801" w:type="dxa"/>
            <w:tcBorders>
              <w:tl2br w:val="nil"/>
              <w:tr2bl w:val="nil"/>
            </w:tcBorders>
            <w:vAlign w:val="center"/>
          </w:tcPr>
          <w:p>
            <w:pPr>
              <w:pStyle w:val="30"/>
              <w:bidi w:val="0"/>
              <w:rPr>
                <w:highlight w:val="none"/>
              </w:rPr>
            </w:pPr>
            <w:r>
              <w:rPr>
                <w:highlight w:val="none"/>
              </w:rPr>
              <w:t>53.0</w:t>
            </w:r>
          </w:p>
        </w:tc>
        <w:tc>
          <w:tcPr>
            <w:tcW w:w="1676" w:type="dxa"/>
            <w:tcBorders>
              <w:tl2br w:val="nil"/>
              <w:tr2bl w:val="nil"/>
            </w:tcBorders>
            <w:vAlign w:val="center"/>
          </w:tcPr>
          <w:p>
            <w:pPr>
              <w:pStyle w:val="30"/>
              <w:bidi w:val="0"/>
              <w:rPr>
                <w:highlight w:val="none"/>
              </w:rPr>
            </w:pPr>
            <w:r>
              <w:rPr>
                <w:highlight w:val="none"/>
              </w:rPr>
              <w:t>53.0</w:t>
            </w:r>
          </w:p>
        </w:tc>
        <w:tc>
          <w:tcPr>
            <w:tcW w:w="1784" w:type="dxa"/>
            <w:tcBorders>
              <w:tl2br w:val="nil"/>
              <w:tr2bl w:val="nil"/>
            </w:tcBorders>
            <w:vAlign w:val="center"/>
          </w:tcPr>
          <w:p>
            <w:pPr>
              <w:pStyle w:val="30"/>
              <w:bidi w:val="0"/>
              <w:rPr>
                <w:highlight w:val="none"/>
              </w:rPr>
            </w:pPr>
            <w:r>
              <w:rPr>
                <w:highlight w:val="none"/>
              </w:rPr>
              <w:t>53.0</w:t>
            </w:r>
          </w:p>
        </w:tc>
        <w:tc>
          <w:tcPr>
            <w:tcW w:w="1658" w:type="dxa"/>
            <w:tcBorders>
              <w:tl2br w:val="nil"/>
              <w:tr2bl w:val="nil"/>
            </w:tcBorders>
            <w:vAlign w:val="center"/>
          </w:tcPr>
          <w:p>
            <w:pPr>
              <w:pStyle w:val="30"/>
              <w:bidi w:val="0"/>
              <w:rPr>
                <w:highlight w:val="none"/>
              </w:rPr>
            </w:pPr>
            <w:r>
              <w:rPr>
                <w:highlight w:val="none"/>
              </w:rPr>
              <w:t>53.0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D10%最远距离</w:t>
            </w:r>
          </w:p>
        </w:tc>
        <w:tc>
          <w:tcPr>
            <w:tcW w:w="1801" w:type="dxa"/>
            <w:tcBorders>
              <w:tl2br w:val="nil"/>
              <w:tr2bl w:val="nil"/>
            </w:tcBorders>
            <w:vAlign w:val="center"/>
          </w:tcPr>
          <w:p>
            <w:pPr>
              <w:pStyle w:val="30"/>
              <w:bidi w:val="0"/>
              <w:rPr>
                <w:highlight w:val="none"/>
              </w:rPr>
            </w:pPr>
            <w:r>
              <w:rPr>
                <w:highlight w:val="none"/>
              </w:rPr>
              <w:t>/</w:t>
            </w:r>
          </w:p>
        </w:tc>
        <w:tc>
          <w:tcPr>
            <w:tcW w:w="1676" w:type="dxa"/>
            <w:tcBorders>
              <w:tl2br w:val="nil"/>
              <w:tr2bl w:val="nil"/>
            </w:tcBorders>
            <w:vAlign w:val="center"/>
          </w:tcPr>
          <w:p>
            <w:pPr>
              <w:pStyle w:val="30"/>
              <w:bidi w:val="0"/>
              <w:rPr>
                <w:highlight w:val="none"/>
              </w:rPr>
            </w:pPr>
            <w:r>
              <w:rPr>
                <w:highlight w:val="none"/>
              </w:rPr>
              <w:t>/</w:t>
            </w:r>
          </w:p>
        </w:tc>
        <w:tc>
          <w:tcPr>
            <w:tcW w:w="1784" w:type="dxa"/>
            <w:tcBorders>
              <w:tl2br w:val="nil"/>
              <w:tr2bl w:val="nil"/>
            </w:tcBorders>
            <w:vAlign w:val="center"/>
          </w:tcPr>
          <w:p>
            <w:pPr>
              <w:pStyle w:val="30"/>
              <w:bidi w:val="0"/>
              <w:rPr>
                <w:highlight w:val="none"/>
              </w:rPr>
            </w:pPr>
            <w:r>
              <w:rPr>
                <w:highlight w:val="none"/>
              </w:rPr>
              <w:t>/</w:t>
            </w:r>
          </w:p>
        </w:tc>
        <w:tc>
          <w:tcPr>
            <w:tcW w:w="1658" w:type="dxa"/>
            <w:tcBorders>
              <w:tl2br w:val="nil"/>
              <w:tr2bl w:val="nil"/>
            </w:tcBorders>
            <w:vAlign w:val="center"/>
          </w:tcPr>
          <w:p>
            <w:pPr>
              <w:pStyle w:val="30"/>
              <w:bidi w:val="0"/>
              <w:rPr>
                <w:highlight w:val="none"/>
              </w:rPr>
            </w:pPr>
            <w:r>
              <w:rPr>
                <w:highlight w:val="none"/>
              </w:rPr>
              <w:t>/</w:t>
            </w:r>
          </w:p>
        </w:tc>
      </w:tr>
    </w:tbl>
    <w:p>
      <w:pPr>
        <w:pStyle w:val="29"/>
        <w:bidi w:val="0"/>
        <w:rPr>
          <w:rFonts w:hint="default"/>
          <w:highlight w:val="none"/>
          <w:lang w:val="en-US" w:eastAsia="zh-CN"/>
        </w:rPr>
      </w:pPr>
      <w:r>
        <w:rPr>
          <w:rFonts w:hint="eastAsia"/>
          <w:highlight w:val="none"/>
          <w:lang w:val="en-US" w:eastAsia="zh-CN"/>
        </w:rPr>
        <w:t>表5.2-14  恶臭无组织（生猪屠宰车间）排放预测计算结果</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01"/>
        <w:gridCol w:w="1801"/>
        <w:gridCol w:w="1676"/>
        <w:gridCol w:w="1784"/>
        <w:gridCol w:w="165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vMerge w:val="restart"/>
            <w:tcBorders>
              <w:tl2br w:val="nil"/>
              <w:tr2bl w:val="nil"/>
            </w:tcBorders>
            <w:vAlign w:val="center"/>
          </w:tcPr>
          <w:p>
            <w:pPr>
              <w:pStyle w:val="30"/>
              <w:bidi w:val="0"/>
              <w:rPr>
                <w:highlight w:val="none"/>
              </w:rPr>
            </w:pPr>
            <w:r>
              <w:rPr>
                <w:highlight w:val="none"/>
              </w:rPr>
              <w:t>下风向距离</w:t>
            </w:r>
          </w:p>
        </w:tc>
        <w:tc>
          <w:tcPr>
            <w:tcW w:w="0" w:type="auto"/>
            <w:gridSpan w:val="4"/>
            <w:tcBorders>
              <w:tl2br w:val="nil"/>
              <w:tr2bl w:val="nil"/>
            </w:tcBorders>
            <w:vAlign w:val="center"/>
          </w:tcPr>
          <w:p>
            <w:pPr>
              <w:pStyle w:val="30"/>
              <w:bidi w:val="0"/>
              <w:rPr>
                <w:highlight w:val="none"/>
              </w:rPr>
            </w:pPr>
            <w:r>
              <w:rPr>
                <w:highlight w:val="none"/>
              </w:rPr>
              <w:t>生猪屠宰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vMerge w:val="continue"/>
            <w:tcBorders>
              <w:tl2br w:val="nil"/>
              <w:tr2bl w:val="nil"/>
            </w:tcBorders>
            <w:vAlign w:val="center"/>
          </w:tcPr>
          <w:p>
            <w:pPr>
              <w:pStyle w:val="30"/>
              <w:bidi w:val="0"/>
              <w:rPr>
                <w:highlight w:val="none"/>
              </w:rPr>
            </w:pPr>
          </w:p>
        </w:tc>
        <w:tc>
          <w:tcPr>
            <w:tcW w:w="0" w:type="auto"/>
            <w:tcBorders>
              <w:tl2br w:val="nil"/>
              <w:tr2bl w:val="nil"/>
            </w:tcBorders>
            <w:vAlign w:val="center"/>
          </w:tcPr>
          <w:p>
            <w:pPr>
              <w:pStyle w:val="30"/>
              <w:bidi w:val="0"/>
              <w:rPr>
                <w:highlight w:val="none"/>
              </w:rPr>
            </w:pPr>
            <w:r>
              <w:rPr>
                <w:highlight w:val="none"/>
              </w:rPr>
              <w:t>NH</w:t>
            </w:r>
            <w:r>
              <w:rPr>
                <w:highlight w:val="none"/>
                <w:vertAlign w:val="subscript"/>
              </w:rPr>
              <w:t>3</w:t>
            </w:r>
            <w:r>
              <w:rPr>
                <w:highlight w:val="none"/>
              </w:rPr>
              <w:t>浓度(μg/m³)</w:t>
            </w:r>
          </w:p>
        </w:tc>
        <w:tc>
          <w:tcPr>
            <w:tcW w:w="0" w:type="auto"/>
            <w:tcBorders>
              <w:tl2br w:val="nil"/>
              <w:tr2bl w:val="nil"/>
            </w:tcBorders>
            <w:vAlign w:val="center"/>
          </w:tcPr>
          <w:p>
            <w:pPr>
              <w:pStyle w:val="30"/>
              <w:bidi w:val="0"/>
              <w:rPr>
                <w:highlight w:val="none"/>
              </w:rPr>
            </w:pPr>
            <w:r>
              <w:rPr>
                <w:highlight w:val="none"/>
              </w:rPr>
              <w:t>NH</w:t>
            </w:r>
            <w:r>
              <w:rPr>
                <w:highlight w:val="none"/>
                <w:vertAlign w:val="subscript"/>
              </w:rPr>
              <w:t>3</w:t>
            </w:r>
            <w:r>
              <w:rPr>
                <w:highlight w:val="none"/>
              </w:rPr>
              <w:t>占标率(%)</w:t>
            </w:r>
          </w:p>
        </w:tc>
        <w:tc>
          <w:tcPr>
            <w:tcW w:w="0" w:type="auto"/>
            <w:tcBorders>
              <w:tl2br w:val="nil"/>
              <w:tr2bl w:val="nil"/>
            </w:tcBorders>
            <w:vAlign w:val="center"/>
          </w:tcPr>
          <w:p>
            <w:pPr>
              <w:pStyle w:val="30"/>
              <w:bidi w:val="0"/>
              <w:rPr>
                <w:highlight w:val="none"/>
              </w:rPr>
            </w:pPr>
            <w:r>
              <w:rPr>
                <w:highlight w:val="none"/>
              </w:rPr>
              <w:t>H</w:t>
            </w:r>
            <w:r>
              <w:rPr>
                <w:highlight w:val="none"/>
                <w:vertAlign w:val="subscript"/>
              </w:rPr>
              <w:t>2</w:t>
            </w:r>
            <w:r>
              <w:rPr>
                <w:highlight w:val="none"/>
              </w:rPr>
              <w:t>S浓度(μg/m³)</w:t>
            </w:r>
          </w:p>
        </w:tc>
        <w:tc>
          <w:tcPr>
            <w:tcW w:w="0" w:type="auto"/>
            <w:tcBorders>
              <w:tl2br w:val="nil"/>
              <w:tr2bl w:val="nil"/>
            </w:tcBorders>
            <w:vAlign w:val="center"/>
          </w:tcPr>
          <w:p>
            <w:pPr>
              <w:pStyle w:val="30"/>
              <w:bidi w:val="0"/>
              <w:rPr>
                <w:highlight w:val="none"/>
              </w:rPr>
            </w:pPr>
            <w:r>
              <w:rPr>
                <w:highlight w:val="none"/>
              </w:rPr>
              <w:t>H</w:t>
            </w:r>
            <w:r>
              <w:rPr>
                <w:highlight w:val="none"/>
                <w:vertAlign w:val="subscript"/>
              </w:rPr>
              <w:t>2</w:t>
            </w:r>
            <w:r>
              <w:rPr>
                <w:highlight w:val="none"/>
              </w:rPr>
              <w:t>S占标率(%)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50.0</w:t>
            </w:r>
          </w:p>
        </w:tc>
        <w:tc>
          <w:tcPr>
            <w:tcW w:w="1801" w:type="dxa"/>
            <w:tcBorders>
              <w:tl2br w:val="nil"/>
              <w:tr2bl w:val="nil"/>
            </w:tcBorders>
            <w:vAlign w:val="center"/>
          </w:tcPr>
          <w:p>
            <w:pPr>
              <w:pStyle w:val="30"/>
              <w:bidi w:val="0"/>
              <w:rPr>
                <w:highlight w:val="none"/>
              </w:rPr>
            </w:pPr>
            <w:r>
              <w:rPr>
                <w:highlight w:val="none"/>
              </w:rPr>
              <w:t>3.7264</w:t>
            </w:r>
          </w:p>
        </w:tc>
        <w:tc>
          <w:tcPr>
            <w:tcW w:w="1676" w:type="dxa"/>
            <w:tcBorders>
              <w:tl2br w:val="nil"/>
              <w:tr2bl w:val="nil"/>
            </w:tcBorders>
            <w:vAlign w:val="center"/>
          </w:tcPr>
          <w:p>
            <w:pPr>
              <w:pStyle w:val="30"/>
              <w:bidi w:val="0"/>
              <w:rPr>
                <w:highlight w:val="none"/>
              </w:rPr>
            </w:pPr>
            <w:r>
              <w:rPr>
                <w:highlight w:val="none"/>
              </w:rPr>
              <w:t>1.8632</w:t>
            </w:r>
          </w:p>
        </w:tc>
        <w:tc>
          <w:tcPr>
            <w:tcW w:w="1784" w:type="dxa"/>
            <w:tcBorders>
              <w:tl2br w:val="nil"/>
              <w:tr2bl w:val="nil"/>
            </w:tcBorders>
            <w:vAlign w:val="center"/>
          </w:tcPr>
          <w:p>
            <w:pPr>
              <w:pStyle w:val="30"/>
              <w:bidi w:val="0"/>
              <w:rPr>
                <w:highlight w:val="none"/>
              </w:rPr>
            </w:pPr>
            <w:r>
              <w:rPr>
                <w:highlight w:val="none"/>
              </w:rPr>
              <w:t>0.7622</w:t>
            </w:r>
          </w:p>
        </w:tc>
        <w:tc>
          <w:tcPr>
            <w:tcW w:w="1658" w:type="dxa"/>
            <w:tcBorders>
              <w:tl2br w:val="nil"/>
              <w:tr2bl w:val="nil"/>
            </w:tcBorders>
            <w:vAlign w:val="center"/>
          </w:tcPr>
          <w:p>
            <w:pPr>
              <w:pStyle w:val="30"/>
              <w:bidi w:val="0"/>
              <w:rPr>
                <w:highlight w:val="none"/>
              </w:rPr>
            </w:pPr>
            <w:r>
              <w:rPr>
                <w:highlight w:val="none"/>
              </w:rPr>
              <w:t>7.6222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100.0</w:t>
            </w:r>
          </w:p>
        </w:tc>
        <w:tc>
          <w:tcPr>
            <w:tcW w:w="1801" w:type="dxa"/>
            <w:tcBorders>
              <w:tl2br w:val="nil"/>
              <w:tr2bl w:val="nil"/>
            </w:tcBorders>
            <w:vAlign w:val="center"/>
          </w:tcPr>
          <w:p>
            <w:pPr>
              <w:pStyle w:val="30"/>
              <w:bidi w:val="0"/>
              <w:rPr>
                <w:highlight w:val="none"/>
              </w:rPr>
            </w:pPr>
            <w:r>
              <w:rPr>
                <w:highlight w:val="none"/>
              </w:rPr>
              <w:t>4.8180</w:t>
            </w:r>
          </w:p>
        </w:tc>
        <w:tc>
          <w:tcPr>
            <w:tcW w:w="1676" w:type="dxa"/>
            <w:tcBorders>
              <w:tl2br w:val="nil"/>
              <w:tr2bl w:val="nil"/>
            </w:tcBorders>
            <w:vAlign w:val="center"/>
          </w:tcPr>
          <w:p>
            <w:pPr>
              <w:pStyle w:val="30"/>
              <w:bidi w:val="0"/>
              <w:rPr>
                <w:highlight w:val="none"/>
              </w:rPr>
            </w:pPr>
            <w:r>
              <w:rPr>
                <w:highlight w:val="none"/>
              </w:rPr>
              <w:t>2.4090</w:t>
            </w:r>
          </w:p>
        </w:tc>
        <w:tc>
          <w:tcPr>
            <w:tcW w:w="1784" w:type="dxa"/>
            <w:tcBorders>
              <w:tl2br w:val="nil"/>
              <w:tr2bl w:val="nil"/>
            </w:tcBorders>
            <w:vAlign w:val="center"/>
          </w:tcPr>
          <w:p>
            <w:pPr>
              <w:pStyle w:val="30"/>
              <w:bidi w:val="0"/>
              <w:rPr>
                <w:highlight w:val="none"/>
              </w:rPr>
            </w:pPr>
            <w:r>
              <w:rPr>
                <w:highlight w:val="none"/>
              </w:rPr>
              <w:t>0.9855</w:t>
            </w:r>
          </w:p>
        </w:tc>
        <w:tc>
          <w:tcPr>
            <w:tcW w:w="1658" w:type="dxa"/>
            <w:tcBorders>
              <w:tl2br w:val="nil"/>
              <w:tr2bl w:val="nil"/>
            </w:tcBorders>
            <w:vAlign w:val="center"/>
          </w:tcPr>
          <w:p>
            <w:pPr>
              <w:pStyle w:val="30"/>
              <w:bidi w:val="0"/>
              <w:rPr>
                <w:highlight w:val="none"/>
              </w:rPr>
            </w:pPr>
            <w:r>
              <w:rPr>
                <w:highlight w:val="none"/>
              </w:rPr>
              <w:t>9.8550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200.0</w:t>
            </w:r>
          </w:p>
        </w:tc>
        <w:tc>
          <w:tcPr>
            <w:tcW w:w="1801" w:type="dxa"/>
            <w:tcBorders>
              <w:tl2br w:val="nil"/>
              <w:tr2bl w:val="nil"/>
            </w:tcBorders>
            <w:vAlign w:val="center"/>
          </w:tcPr>
          <w:p>
            <w:pPr>
              <w:pStyle w:val="30"/>
              <w:bidi w:val="0"/>
              <w:rPr>
                <w:highlight w:val="none"/>
              </w:rPr>
            </w:pPr>
            <w:r>
              <w:rPr>
                <w:highlight w:val="none"/>
              </w:rPr>
              <w:t>4.1065</w:t>
            </w:r>
          </w:p>
        </w:tc>
        <w:tc>
          <w:tcPr>
            <w:tcW w:w="1676" w:type="dxa"/>
            <w:tcBorders>
              <w:tl2br w:val="nil"/>
              <w:tr2bl w:val="nil"/>
            </w:tcBorders>
            <w:vAlign w:val="center"/>
          </w:tcPr>
          <w:p>
            <w:pPr>
              <w:pStyle w:val="30"/>
              <w:bidi w:val="0"/>
              <w:rPr>
                <w:highlight w:val="none"/>
              </w:rPr>
            </w:pPr>
            <w:r>
              <w:rPr>
                <w:highlight w:val="none"/>
              </w:rPr>
              <w:t>2.0532</w:t>
            </w:r>
          </w:p>
        </w:tc>
        <w:tc>
          <w:tcPr>
            <w:tcW w:w="1784" w:type="dxa"/>
            <w:tcBorders>
              <w:tl2br w:val="nil"/>
              <w:tr2bl w:val="nil"/>
            </w:tcBorders>
            <w:vAlign w:val="center"/>
          </w:tcPr>
          <w:p>
            <w:pPr>
              <w:pStyle w:val="30"/>
              <w:bidi w:val="0"/>
              <w:rPr>
                <w:highlight w:val="none"/>
              </w:rPr>
            </w:pPr>
            <w:r>
              <w:rPr>
                <w:highlight w:val="none"/>
              </w:rPr>
              <w:t>0.8400</w:t>
            </w:r>
          </w:p>
        </w:tc>
        <w:tc>
          <w:tcPr>
            <w:tcW w:w="1658" w:type="dxa"/>
            <w:tcBorders>
              <w:tl2br w:val="nil"/>
              <w:tr2bl w:val="nil"/>
            </w:tcBorders>
            <w:vAlign w:val="center"/>
          </w:tcPr>
          <w:p>
            <w:pPr>
              <w:pStyle w:val="30"/>
              <w:bidi w:val="0"/>
              <w:rPr>
                <w:highlight w:val="none"/>
              </w:rPr>
            </w:pPr>
            <w:r>
              <w:rPr>
                <w:highlight w:val="none"/>
              </w:rPr>
              <w:t>8.3997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300.0</w:t>
            </w:r>
          </w:p>
        </w:tc>
        <w:tc>
          <w:tcPr>
            <w:tcW w:w="1801" w:type="dxa"/>
            <w:tcBorders>
              <w:tl2br w:val="nil"/>
              <w:tr2bl w:val="nil"/>
            </w:tcBorders>
            <w:vAlign w:val="center"/>
          </w:tcPr>
          <w:p>
            <w:pPr>
              <w:pStyle w:val="30"/>
              <w:bidi w:val="0"/>
              <w:rPr>
                <w:highlight w:val="none"/>
              </w:rPr>
            </w:pPr>
            <w:r>
              <w:rPr>
                <w:highlight w:val="none"/>
              </w:rPr>
              <w:t>3.5155</w:t>
            </w:r>
          </w:p>
        </w:tc>
        <w:tc>
          <w:tcPr>
            <w:tcW w:w="1676" w:type="dxa"/>
            <w:tcBorders>
              <w:tl2br w:val="nil"/>
              <w:tr2bl w:val="nil"/>
            </w:tcBorders>
            <w:vAlign w:val="center"/>
          </w:tcPr>
          <w:p>
            <w:pPr>
              <w:pStyle w:val="30"/>
              <w:bidi w:val="0"/>
              <w:rPr>
                <w:highlight w:val="none"/>
              </w:rPr>
            </w:pPr>
            <w:r>
              <w:rPr>
                <w:highlight w:val="none"/>
              </w:rPr>
              <w:t>1.7577</w:t>
            </w:r>
          </w:p>
        </w:tc>
        <w:tc>
          <w:tcPr>
            <w:tcW w:w="1784" w:type="dxa"/>
            <w:tcBorders>
              <w:tl2br w:val="nil"/>
              <w:tr2bl w:val="nil"/>
            </w:tcBorders>
            <w:vAlign w:val="center"/>
          </w:tcPr>
          <w:p>
            <w:pPr>
              <w:pStyle w:val="30"/>
              <w:bidi w:val="0"/>
              <w:rPr>
                <w:highlight w:val="none"/>
              </w:rPr>
            </w:pPr>
            <w:r>
              <w:rPr>
                <w:highlight w:val="none"/>
              </w:rPr>
              <w:t>0.7191</w:t>
            </w:r>
          </w:p>
        </w:tc>
        <w:tc>
          <w:tcPr>
            <w:tcW w:w="1658" w:type="dxa"/>
            <w:tcBorders>
              <w:tl2br w:val="nil"/>
              <w:tr2bl w:val="nil"/>
            </w:tcBorders>
            <w:vAlign w:val="center"/>
          </w:tcPr>
          <w:p>
            <w:pPr>
              <w:pStyle w:val="30"/>
              <w:bidi w:val="0"/>
              <w:rPr>
                <w:highlight w:val="none"/>
              </w:rPr>
            </w:pPr>
            <w:r>
              <w:rPr>
                <w:highlight w:val="none"/>
              </w:rPr>
              <w:t>7.1908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400.0</w:t>
            </w:r>
          </w:p>
        </w:tc>
        <w:tc>
          <w:tcPr>
            <w:tcW w:w="1801" w:type="dxa"/>
            <w:tcBorders>
              <w:tl2br w:val="nil"/>
              <w:tr2bl w:val="nil"/>
            </w:tcBorders>
            <w:vAlign w:val="center"/>
          </w:tcPr>
          <w:p>
            <w:pPr>
              <w:pStyle w:val="30"/>
              <w:bidi w:val="0"/>
              <w:rPr>
                <w:highlight w:val="none"/>
              </w:rPr>
            </w:pPr>
            <w:r>
              <w:rPr>
                <w:highlight w:val="none"/>
              </w:rPr>
              <w:t>3.1200</w:t>
            </w:r>
          </w:p>
        </w:tc>
        <w:tc>
          <w:tcPr>
            <w:tcW w:w="1676" w:type="dxa"/>
            <w:tcBorders>
              <w:tl2br w:val="nil"/>
              <w:tr2bl w:val="nil"/>
            </w:tcBorders>
            <w:vAlign w:val="center"/>
          </w:tcPr>
          <w:p>
            <w:pPr>
              <w:pStyle w:val="30"/>
              <w:bidi w:val="0"/>
              <w:rPr>
                <w:highlight w:val="none"/>
              </w:rPr>
            </w:pPr>
            <w:r>
              <w:rPr>
                <w:highlight w:val="none"/>
              </w:rPr>
              <w:t>1.5600</w:t>
            </w:r>
          </w:p>
        </w:tc>
        <w:tc>
          <w:tcPr>
            <w:tcW w:w="1784" w:type="dxa"/>
            <w:tcBorders>
              <w:tl2br w:val="nil"/>
              <w:tr2bl w:val="nil"/>
            </w:tcBorders>
            <w:vAlign w:val="center"/>
          </w:tcPr>
          <w:p>
            <w:pPr>
              <w:pStyle w:val="30"/>
              <w:bidi w:val="0"/>
              <w:rPr>
                <w:highlight w:val="none"/>
              </w:rPr>
            </w:pPr>
            <w:r>
              <w:rPr>
                <w:highlight w:val="none"/>
              </w:rPr>
              <w:t>0.6382</w:t>
            </w:r>
          </w:p>
        </w:tc>
        <w:tc>
          <w:tcPr>
            <w:tcW w:w="1658" w:type="dxa"/>
            <w:tcBorders>
              <w:tl2br w:val="nil"/>
              <w:tr2bl w:val="nil"/>
            </w:tcBorders>
            <w:vAlign w:val="center"/>
          </w:tcPr>
          <w:p>
            <w:pPr>
              <w:pStyle w:val="30"/>
              <w:bidi w:val="0"/>
              <w:rPr>
                <w:highlight w:val="none"/>
              </w:rPr>
            </w:pPr>
            <w:r>
              <w:rPr>
                <w:highlight w:val="none"/>
              </w:rPr>
              <w:t>6.3818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500.0</w:t>
            </w:r>
          </w:p>
        </w:tc>
        <w:tc>
          <w:tcPr>
            <w:tcW w:w="1801" w:type="dxa"/>
            <w:tcBorders>
              <w:tl2br w:val="nil"/>
              <w:tr2bl w:val="nil"/>
            </w:tcBorders>
            <w:vAlign w:val="center"/>
          </w:tcPr>
          <w:p>
            <w:pPr>
              <w:pStyle w:val="30"/>
              <w:bidi w:val="0"/>
              <w:rPr>
                <w:highlight w:val="none"/>
              </w:rPr>
            </w:pPr>
            <w:r>
              <w:rPr>
                <w:highlight w:val="none"/>
              </w:rPr>
              <w:t>2.8085</w:t>
            </w:r>
          </w:p>
        </w:tc>
        <w:tc>
          <w:tcPr>
            <w:tcW w:w="1676" w:type="dxa"/>
            <w:tcBorders>
              <w:tl2br w:val="nil"/>
              <w:tr2bl w:val="nil"/>
            </w:tcBorders>
            <w:vAlign w:val="center"/>
          </w:tcPr>
          <w:p>
            <w:pPr>
              <w:pStyle w:val="30"/>
              <w:bidi w:val="0"/>
              <w:rPr>
                <w:highlight w:val="none"/>
              </w:rPr>
            </w:pPr>
            <w:r>
              <w:rPr>
                <w:highlight w:val="none"/>
              </w:rPr>
              <w:t>1.4042</w:t>
            </w:r>
          </w:p>
        </w:tc>
        <w:tc>
          <w:tcPr>
            <w:tcW w:w="1784" w:type="dxa"/>
            <w:tcBorders>
              <w:tl2br w:val="nil"/>
              <w:tr2bl w:val="nil"/>
            </w:tcBorders>
            <w:vAlign w:val="center"/>
          </w:tcPr>
          <w:p>
            <w:pPr>
              <w:pStyle w:val="30"/>
              <w:bidi w:val="0"/>
              <w:rPr>
                <w:highlight w:val="none"/>
              </w:rPr>
            </w:pPr>
            <w:r>
              <w:rPr>
                <w:highlight w:val="none"/>
              </w:rPr>
              <w:t>0.5745</w:t>
            </w:r>
          </w:p>
        </w:tc>
        <w:tc>
          <w:tcPr>
            <w:tcW w:w="1658" w:type="dxa"/>
            <w:tcBorders>
              <w:tl2br w:val="nil"/>
              <w:tr2bl w:val="nil"/>
            </w:tcBorders>
            <w:vAlign w:val="center"/>
          </w:tcPr>
          <w:p>
            <w:pPr>
              <w:pStyle w:val="30"/>
              <w:bidi w:val="0"/>
              <w:rPr>
                <w:highlight w:val="none"/>
              </w:rPr>
            </w:pPr>
            <w:r>
              <w:rPr>
                <w:highlight w:val="none"/>
              </w:rPr>
              <w:t>5.7447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600.0</w:t>
            </w:r>
          </w:p>
        </w:tc>
        <w:tc>
          <w:tcPr>
            <w:tcW w:w="1801" w:type="dxa"/>
            <w:tcBorders>
              <w:tl2br w:val="nil"/>
              <w:tr2bl w:val="nil"/>
            </w:tcBorders>
            <w:vAlign w:val="center"/>
          </w:tcPr>
          <w:p>
            <w:pPr>
              <w:pStyle w:val="30"/>
              <w:bidi w:val="0"/>
              <w:rPr>
                <w:highlight w:val="none"/>
              </w:rPr>
            </w:pPr>
            <w:r>
              <w:rPr>
                <w:highlight w:val="none"/>
              </w:rPr>
              <w:t>2.5423</w:t>
            </w:r>
          </w:p>
        </w:tc>
        <w:tc>
          <w:tcPr>
            <w:tcW w:w="1676" w:type="dxa"/>
            <w:tcBorders>
              <w:tl2br w:val="nil"/>
              <w:tr2bl w:val="nil"/>
            </w:tcBorders>
            <w:vAlign w:val="center"/>
          </w:tcPr>
          <w:p>
            <w:pPr>
              <w:pStyle w:val="30"/>
              <w:bidi w:val="0"/>
              <w:rPr>
                <w:highlight w:val="none"/>
              </w:rPr>
            </w:pPr>
            <w:r>
              <w:rPr>
                <w:highlight w:val="none"/>
              </w:rPr>
              <w:t>1.2712</w:t>
            </w:r>
          </w:p>
        </w:tc>
        <w:tc>
          <w:tcPr>
            <w:tcW w:w="1784" w:type="dxa"/>
            <w:tcBorders>
              <w:tl2br w:val="nil"/>
              <w:tr2bl w:val="nil"/>
            </w:tcBorders>
            <w:vAlign w:val="center"/>
          </w:tcPr>
          <w:p>
            <w:pPr>
              <w:pStyle w:val="30"/>
              <w:bidi w:val="0"/>
              <w:rPr>
                <w:highlight w:val="none"/>
              </w:rPr>
            </w:pPr>
            <w:r>
              <w:rPr>
                <w:highlight w:val="none"/>
              </w:rPr>
              <w:t>0.5200</w:t>
            </w:r>
          </w:p>
        </w:tc>
        <w:tc>
          <w:tcPr>
            <w:tcW w:w="1658" w:type="dxa"/>
            <w:tcBorders>
              <w:tl2br w:val="nil"/>
              <w:tr2bl w:val="nil"/>
            </w:tcBorders>
            <w:vAlign w:val="center"/>
          </w:tcPr>
          <w:p>
            <w:pPr>
              <w:pStyle w:val="30"/>
              <w:bidi w:val="0"/>
              <w:rPr>
                <w:highlight w:val="none"/>
              </w:rPr>
            </w:pPr>
            <w:r>
              <w:rPr>
                <w:highlight w:val="none"/>
              </w:rPr>
              <w:t>5.2002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700.0</w:t>
            </w:r>
          </w:p>
        </w:tc>
        <w:tc>
          <w:tcPr>
            <w:tcW w:w="1801" w:type="dxa"/>
            <w:tcBorders>
              <w:tl2br w:val="nil"/>
              <w:tr2bl w:val="nil"/>
            </w:tcBorders>
            <w:vAlign w:val="center"/>
          </w:tcPr>
          <w:p>
            <w:pPr>
              <w:pStyle w:val="30"/>
              <w:bidi w:val="0"/>
              <w:rPr>
                <w:highlight w:val="none"/>
              </w:rPr>
            </w:pPr>
            <w:r>
              <w:rPr>
                <w:highlight w:val="none"/>
              </w:rPr>
              <w:t>2.3192</w:t>
            </w:r>
          </w:p>
        </w:tc>
        <w:tc>
          <w:tcPr>
            <w:tcW w:w="1676" w:type="dxa"/>
            <w:tcBorders>
              <w:tl2br w:val="nil"/>
              <w:tr2bl w:val="nil"/>
            </w:tcBorders>
            <w:vAlign w:val="center"/>
          </w:tcPr>
          <w:p>
            <w:pPr>
              <w:pStyle w:val="30"/>
              <w:bidi w:val="0"/>
              <w:rPr>
                <w:highlight w:val="none"/>
              </w:rPr>
            </w:pPr>
            <w:r>
              <w:rPr>
                <w:highlight w:val="none"/>
              </w:rPr>
              <w:t>1.1596</w:t>
            </w:r>
          </w:p>
        </w:tc>
        <w:tc>
          <w:tcPr>
            <w:tcW w:w="1784" w:type="dxa"/>
            <w:tcBorders>
              <w:tl2br w:val="nil"/>
              <w:tr2bl w:val="nil"/>
            </w:tcBorders>
            <w:vAlign w:val="center"/>
          </w:tcPr>
          <w:p>
            <w:pPr>
              <w:pStyle w:val="30"/>
              <w:bidi w:val="0"/>
              <w:rPr>
                <w:highlight w:val="none"/>
              </w:rPr>
            </w:pPr>
            <w:r>
              <w:rPr>
                <w:highlight w:val="none"/>
              </w:rPr>
              <w:t>0.4744</w:t>
            </w:r>
          </w:p>
        </w:tc>
        <w:tc>
          <w:tcPr>
            <w:tcW w:w="1658" w:type="dxa"/>
            <w:tcBorders>
              <w:tl2br w:val="nil"/>
              <w:tr2bl w:val="nil"/>
            </w:tcBorders>
            <w:vAlign w:val="center"/>
          </w:tcPr>
          <w:p>
            <w:pPr>
              <w:pStyle w:val="30"/>
              <w:bidi w:val="0"/>
              <w:rPr>
                <w:highlight w:val="none"/>
              </w:rPr>
            </w:pPr>
            <w:r>
              <w:rPr>
                <w:highlight w:val="none"/>
              </w:rPr>
              <w:t>4.7438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800.0</w:t>
            </w:r>
          </w:p>
        </w:tc>
        <w:tc>
          <w:tcPr>
            <w:tcW w:w="1801" w:type="dxa"/>
            <w:tcBorders>
              <w:tl2br w:val="nil"/>
              <w:tr2bl w:val="nil"/>
            </w:tcBorders>
            <w:vAlign w:val="center"/>
          </w:tcPr>
          <w:p>
            <w:pPr>
              <w:pStyle w:val="30"/>
              <w:bidi w:val="0"/>
              <w:rPr>
                <w:highlight w:val="none"/>
              </w:rPr>
            </w:pPr>
            <w:r>
              <w:rPr>
                <w:highlight w:val="none"/>
              </w:rPr>
              <w:t>2.1767</w:t>
            </w:r>
          </w:p>
        </w:tc>
        <w:tc>
          <w:tcPr>
            <w:tcW w:w="1676" w:type="dxa"/>
            <w:tcBorders>
              <w:tl2br w:val="nil"/>
              <w:tr2bl w:val="nil"/>
            </w:tcBorders>
            <w:vAlign w:val="center"/>
          </w:tcPr>
          <w:p>
            <w:pPr>
              <w:pStyle w:val="30"/>
              <w:bidi w:val="0"/>
              <w:rPr>
                <w:highlight w:val="none"/>
              </w:rPr>
            </w:pPr>
            <w:r>
              <w:rPr>
                <w:highlight w:val="none"/>
              </w:rPr>
              <w:t>1.0883</w:t>
            </w:r>
          </w:p>
        </w:tc>
        <w:tc>
          <w:tcPr>
            <w:tcW w:w="1784" w:type="dxa"/>
            <w:tcBorders>
              <w:tl2br w:val="nil"/>
              <w:tr2bl w:val="nil"/>
            </w:tcBorders>
            <w:vAlign w:val="center"/>
          </w:tcPr>
          <w:p>
            <w:pPr>
              <w:pStyle w:val="30"/>
              <w:bidi w:val="0"/>
              <w:rPr>
                <w:highlight w:val="none"/>
              </w:rPr>
            </w:pPr>
            <w:r>
              <w:rPr>
                <w:highlight w:val="none"/>
              </w:rPr>
              <w:t>0.4452</w:t>
            </w:r>
          </w:p>
        </w:tc>
        <w:tc>
          <w:tcPr>
            <w:tcW w:w="1658" w:type="dxa"/>
            <w:tcBorders>
              <w:tl2br w:val="nil"/>
              <w:tr2bl w:val="nil"/>
            </w:tcBorders>
            <w:vAlign w:val="center"/>
          </w:tcPr>
          <w:p>
            <w:pPr>
              <w:pStyle w:val="30"/>
              <w:bidi w:val="0"/>
              <w:rPr>
                <w:highlight w:val="none"/>
              </w:rPr>
            </w:pPr>
            <w:r>
              <w:rPr>
                <w:highlight w:val="none"/>
              </w:rPr>
              <w:t>4.4523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900.0</w:t>
            </w:r>
          </w:p>
        </w:tc>
        <w:tc>
          <w:tcPr>
            <w:tcW w:w="1801" w:type="dxa"/>
            <w:tcBorders>
              <w:tl2br w:val="nil"/>
              <w:tr2bl w:val="nil"/>
            </w:tcBorders>
            <w:vAlign w:val="center"/>
          </w:tcPr>
          <w:p>
            <w:pPr>
              <w:pStyle w:val="30"/>
              <w:bidi w:val="0"/>
              <w:rPr>
                <w:highlight w:val="none"/>
              </w:rPr>
            </w:pPr>
            <w:r>
              <w:rPr>
                <w:highlight w:val="none"/>
              </w:rPr>
              <w:t>2.0534</w:t>
            </w:r>
          </w:p>
        </w:tc>
        <w:tc>
          <w:tcPr>
            <w:tcW w:w="1676" w:type="dxa"/>
            <w:tcBorders>
              <w:tl2br w:val="nil"/>
              <w:tr2bl w:val="nil"/>
            </w:tcBorders>
            <w:vAlign w:val="center"/>
          </w:tcPr>
          <w:p>
            <w:pPr>
              <w:pStyle w:val="30"/>
              <w:bidi w:val="0"/>
              <w:rPr>
                <w:highlight w:val="none"/>
              </w:rPr>
            </w:pPr>
            <w:r>
              <w:rPr>
                <w:highlight w:val="none"/>
              </w:rPr>
              <w:t>1.0267</w:t>
            </w:r>
          </w:p>
        </w:tc>
        <w:tc>
          <w:tcPr>
            <w:tcW w:w="1784" w:type="dxa"/>
            <w:tcBorders>
              <w:tl2br w:val="nil"/>
              <w:tr2bl w:val="nil"/>
            </w:tcBorders>
            <w:vAlign w:val="center"/>
          </w:tcPr>
          <w:p>
            <w:pPr>
              <w:pStyle w:val="30"/>
              <w:bidi w:val="0"/>
              <w:rPr>
                <w:highlight w:val="none"/>
              </w:rPr>
            </w:pPr>
            <w:r>
              <w:rPr>
                <w:highlight w:val="none"/>
              </w:rPr>
              <w:t>0.4200</w:t>
            </w:r>
          </w:p>
        </w:tc>
        <w:tc>
          <w:tcPr>
            <w:tcW w:w="1658" w:type="dxa"/>
            <w:tcBorders>
              <w:tl2br w:val="nil"/>
              <w:tr2bl w:val="nil"/>
            </w:tcBorders>
            <w:vAlign w:val="center"/>
          </w:tcPr>
          <w:p>
            <w:pPr>
              <w:pStyle w:val="30"/>
              <w:bidi w:val="0"/>
              <w:rPr>
                <w:highlight w:val="none"/>
              </w:rPr>
            </w:pPr>
            <w:r>
              <w:rPr>
                <w:highlight w:val="none"/>
              </w:rPr>
              <w:t>4.2001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1000.0</w:t>
            </w:r>
          </w:p>
        </w:tc>
        <w:tc>
          <w:tcPr>
            <w:tcW w:w="1801" w:type="dxa"/>
            <w:tcBorders>
              <w:tl2br w:val="nil"/>
              <w:tr2bl w:val="nil"/>
            </w:tcBorders>
            <w:vAlign w:val="center"/>
          </w:tcPr>
          <w:p>
            <w:pPr>
              <w:pStyle w:val="30"/>
              <w:bidi w:val="0"/>
              <w:rPr>
                <w:highlight w:val="none"/>
              </w:rPr>
            </w:pPr>
            <w:r>
              <w:rPr>
                <w:highlight w:val="none"/>
              </w:rPr>
              <w:t>1.9401</w:t>
            </w:r>
          </w:p>
        </w:tc>
        <w:tc>
          <w:tcPr>
            <w:tcW w:w="1676" w:type="dxa"/>
            <w:tcBorders>
              <w:tl2br w:val="nil"/>
              <w:tr2bl w:val="nil"/>
            </w:tcBorders>
            <w:vAlign w:val="center"/>
          </w:tcPr>
          <w:p>
            <w:pPr>
              <w:pStyle w:val="30"/>
              <w:bidi w:val="0"/>
              <w:rPr>
                <w:highlight w:val="none"/>
              </w:rPr>
            </w:pPr>
            <w:r>
              <w:rPr>
                <w:highlight w:val="none"/>
              </w:rPr>
              <w:t>0.9700</w:t>
            </w:r>
          </w:p>
        </w:tc>
        <w:tc>
          <w:tcPr>
            <w:tcW w:w="1784" w:type="dxa"/>
            <w:tcBorders>
              <w:tl2br w:val="nil"/>
              <w:tr2bl w:val="nil"/>
            </w:tcBorders>
            <w:vAlign w:val="center"/>
          </w:tcPr>
          <w:p>
            <w:pPr>
              <w:pStyle w:val="30"/>
              <w:bidi w:val="0"/>
              <w:rPr>
                <w:highlight w:val="none"/>
              </w:rPr>
            </w:pPr>
            <w:r>
              <w:rPr>
                <w:highlight w:val="none"/>
              </w:rPr>
              <w:t>0.3968</w:t>
            </w:r>
          </w:p>
        </w:tc>
        <w:tc>
          <w:tcPr>
            <w:tcW w:w="1658" w:type="dxa"/>
            <w:tcBorders>
              <w:tl2br w:val="nil"/>
              <w:tr2bl w:val="nil"/>
            </w:tcBorders>
            <w:vAlign w:val="center"/>
          </w:tcPr>
          <w:p>
            <w:pPr>
              <w:pStyle w:val="30"/>
              <w:bidi w:val="0"/>
              <w:rPr>
                <w:highlight w:val="none"/>
              </w:rPr>
            </w:pPr>
            <w:r>
              <w:rPr>
                <w:highlight w:val="none"/>
              </w:rPr>
              <w:t>3.9684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1200.0</w:t>
            </w:r>
          </w:p>
        </w:tc>
        <w:tc>
          <w:tcPr>
            <w:tcW w:w="1801" w:type="dxa"/>
            <w:tcBorders>
              <w:tl2br w:val="nil"/>
              <w:tr2bl w:val="nil"/>
            </w:tcBorders>
            <w:vAlign w:val="center"/>
          </w:tcPr>
          <w:p>
            <w:pPr>
              <w:pStyle w:val="30"/>
              <w:bidi w:val="0"/>
              <w:rPr>
                <w:highlight w:val="none"/>
              </w:rPr>
            </w:pPr>
            <w:r>
              <w:rPr>
                <w:highlight w:val="none"/>
              </w:rPr>
              <w:t>1.7340</w:t>
            </w:r>
          </w:p>
        </w:tc>
        <w:tc>
          <w:tcPr>
            <w:tcW w:w="1676" w:type="dxa"/>
            <w:tcBorders>
              <w:tl2br w:val="nil"/>
              <w:tr2bl w:val="nil"/>
            </w:tcBorders>
            <w:vAlign w:val="center"/>
          </w:tcPr>
          <w:p>
            <w:pPr>
              <w:pStyle w:val="30"/>
              <w:bidi w:val="0"/>
              <w:rPr>
                <w:highlight w:val="none"/>
              </w:rPr>
            </w:pPr>
            <w:r>
              <w:rPr>
                <w:highlight w:val="none"/>
              </w:rPr>
              <w:t>0.8670</w:t>
            </w:r>
          </w:p>
        </w:tc>
        <w:tc>
          <w:tcPr>
            <w:tcW w:w="1784" w:type="dxa"/>
            <w:tcBorders>
              <w:tl2br w:val="nil"/>
              <w:tr2bl w:val="nil"/>
            </w:tcBorders>
            <w:vAlign w:val="center"/>
          </w:tcPr>
          <w:p>
            <w:pPr>
              <w:pStyle w:val="30"/>
              <w:bidi w:val="0"/>
              <w:rPr>
                <w:highlight w:val="none"/>
              </w:rPr>
            </w:pPr>
            <w:r>
              <w:rPr>
                <w:highlight w:val="none"/>
              </w:rPr>
              <w:t>0.3547</w:t>
            </w:r>
          </w:p>
        </w:tc>
        <w:tc>
          <w:tcPr>
            <w:tcW w:w="1658" w:type="dxa"/>
            <w:tcBorders>
              <w:tl2br w:val="nil"/>
              <w:tr2bl w:val="nil"/>
            </w:tcBorders>
            <w:vAlign w:val="center"/>
          </w:tcPr>
          <w:p>
            <w:pPr>
              <w:pStyle w:val="30"/>
              <w:bidi w:val="0"/>
              <w:rPr>
                <w:highlight w:val="none"/>
              </w:rPr>
            </w:pPr>
            <w:r>
              <w:rPr>
                <w:highlight w:val="none"/>
              </w:rPr>
              <w:t>3.5468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1400.0</w:t>
            </w:r>
          </w:p>
        </w:tc>
        <w:tc>
          <w:tcPr>
            <w:tcW w:w="1801" w:type="dxa"/>
            <w:tcBorders>
              <w:tl2br w:val="nil"/>
              <w:tr2bl w:val="nil"/>
            </w:tcBorders>
            <w:vAlign w:val="center"/>
          </w:tcPr>
          <w:p>
            <w:pPr>
              <w:pStyle w:val="30"/>
              <w:bidi w:val="0"/>
              <w:rPr>
                <w:highlight w:val="none"/>
              </w:rPr>
            </w:pPr>
            <w:r>
              <w:rPr>
                <w:highlight w:val="none"/>
              </w:rPr>
              <w:t>1.5825</w:t>
            </w:r>
          </w:p>
        </w:tc>
        <w:tc>
          <w:tcPr>
            <w:tcW w:w="1676" w:type="dxa"/>
            <w:tcBorders>
              <w:tl2br w:val="nil"/>
              <w:tr2bl w:val="nil"/>
            </w:tcBorders>
            <w:vAlign w:val="center"/>
          </w:tcPr>
          <w:p>
            <w:pPr>
              <w:pStyle w:val="30"/>
              <w:bidi w:val="0"/>
              <w:rPr>
                <w:highlight w:val="none"/>
              </w:rPr>
            </w:pPr>
            <w:r>
              <w:rPr>
                <w:highlight w:val="none"/>
              </w:rPr>
              <w:t>0.7912</w:t>
            </w:r>
          </w:p>
        </w:tc>
        <w:tc>
          <w:tcPr>
            <w:tcW w:w="1784" w:type="dxa"/>
            <w:tcBorders>
              <w:tl2br w:val="nil"/>
              <w:tr2bl w:val="nil"/>
            </w:tcBorders>
            <w:vAlign w:val="center"/>
          </w:tcPr>
          <w:p>
            <w:pPr>
              <w:pStyle w:val="30"/>
              <w:bidi w:val="0"/>
              <w:rPr>
                <w:highlight w:val="none"/>
              </w:rPr>
            </w:pPr>
            <w:r>
              <w:rPr>
                <w:highlight w:val="none"/>
              </w:rPr>
              <w:t>0.3237</w:t>
            </w:r>
          </w:p>
        </w:tc>
        <w:tc>
          <w:tcPr>
            <w:tcW w:w="1658" w:type="dxa"/>
            <w:tcBorders>
              <w:tl2br w:val="nil"/>
              <w:tr2bl w:val="nil"/>
            </w:tcBorders>
            <w:vAlign w:val="center"/>
          </w:tcPr>
          <w:p>
            <w:pPr>
              <w:pStyle w:val="30"/>
              <w:bidi w:val="0"/>
              <w:rPr>
                <w:highlight w:val="none"/>
              </w:rPr>
            </w:pPr>
            <w:r>
              <w:rPr>
                <w:highlight w:val="none"/>
              </w:rPr>
              <w:t>3.2369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1600.0</w:t>
            </w:r>
          </w:p>
        </w:tc>
        <w:tc>
          <w:tcPr>
            <w:tcW w:w="1801" w:type="dxa"/>
            <w:tcBorders>
              <w:tl2br w:val="nil"/>
              <w:tr2bl w:val="nil"/>
            </w:tcBorders>
            <w:vAlign w:val="center"/>
          </w:tcPr>
          <w:p>
            <w:pPr>
              <w:pStyle w:val="30"/>
              <w:bidi w:val="0"/>
              <w:rPr>
                <w:highlight w:val="none"/>
              </w:rPr>
            </w:pPr>
            <w:r>
              <w:rPr>
                <w:highlight w:val="none"/>
              </w:rPr>
              <w:t>1.4864</w:t>
            </w:r>
          </w:p>
        </w:tc>
        <w:tc>
          <w:tcPr>
            <w:tcW w:w="1676" w:type="dxa"/>
            <w:tcBorders>
              <w:tl2br w:val="nil"/>
              <w:tr2bl w:val="nil"/>
            </w:tcBorders>
            <w:vAlign w:val="center"/>
          </w:tcPr>
          <w:p>
            <w:pPr>
              <w:pStyle w:val="30"/>
              <w:bidi w:val="0"/>
              <w:rPr>
                <w:highlight w:val="none"/>
              </w:rPr>
            </w:pPr>
            <w:r>
              <w:rPr>
                <w:highlight w:val="none"/>
              </w:rPr>
              <w:t>0.7432</w:t>
            </w:r>
          </w:p>
        </w:tc>
        <w:tc>
          <w:tcPr>
            <w:tcW w:w="1784" w:type="dxa"/>
            <w:tcBorders>
              <w:tl2br w:val="nil"/>
              <w:tr2bl w:val="nil"/>
            </w:tcBorders>
            <w:vAlign w:val="center"/>
          </w:tcPr>
          <w:p>
            <w:pPr>
              <w:pStyle w:val="30"/>
              <w:bidi w:val="0"/>
              <w:rPr>
                <w:highlight w:val="none"/>
              </w:rPr>
            </w:pPr>
            <w:r>
              <w:rPr>
                <w:highlight w:val="none"/>
              </w:rPr>
              <w:t>0.3040</w:t>
            </w:r>
          </w:p>
        </w:tc>
        <w:tc>
          <w:tcPr>
            <w:tcW w:w="1658" w:type="dxa"/>
            <w:tcBorders>
              <w:tl2br w:val="nil"/>
              <w:tr2bl w:val="nil"/>
            </w:tcBorders>
            <w:vAlign w:val="center"/>
          </w:tcPr>
          <w:p>
            <w:pPr>
              <w:pStyle w:val="30"/>
              <w:bidi w:val="0"/>
              <w:rPr>
                <w:highlight w:val="none"/>
              </w:rPr>
            </w:pPr>
            <w:r>
              <w:rPr>
                <w:highlight w:val="none"/>
              </w:rPr>
              <w:t>3.0404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1800.0</w:t>
            </w:r>
          </w:p>
        </w:tc>
        <w:tc>
          <w:tcPr>
            <w:tcW w:w="1801" w:type="dxa"/>
            <w:tcBorders>
              <w:tl2br w:val="nil"/>
              <w:tr2bl w:val="nil"/>
            </w:tcBorders>
            <w:vAlign w:val="center"/>
          </w:tcPr>
          <w:p>
            <w:pPr>
              <w:pStyle w:val="30"/>
              <w:bidi w:val="0"/>
              <w:rPr>
                <w:highlight w:val="none"/>
              </w:rPr>
            </w:pPr>
            <w:r>
              <w:rPr>
                <w:highlight w:val="none"/>
              </w:rPr>
              <w:t>1.4073</w:t>
            </w:r>
          </w:p>
        </w:tc>
        <w:tc>
          <w:tcPr>
            <w:tcW w:w="1676" w:type="dxa"/>
            <w:tcBorders>
              <w:tl2br w:val="nil"/>
              <w:tr2bl w:val="nil"/>
            </w:tcBorders>
            <w:vAlign w:val="center"/>
          </w:tcPr>
          <w:p>
            <w:pPr>
              <w:pStyle w:val="30"/>
              <w:bidi w:val="0"/>
              <w:rPr>
                <w:highlight w:val="none"/>
              </w:rPr>
            </w:pPr>
            <w:r>
              <w:rPr>
                <w:highlight w:val="none"/>
              </w:rPr>
              <w:t>0.7036</w:t>
            </w:r>
          </w:p>
        </w:tc>
        <w:tc>
          <w:tcPr>
            <w:tcW w:w="1784" w:type="dxa"/>
            <w:tcBorders>
              <w:tl2br w:val="nil"/>
              <w:tr2bl w:val="nil"/>
            </w:tcBorders>
            <w:vAlign w:val="center"/>
          </w:tcPr>
          <w:p>
            <w:pPr>
              <w:pStyle w:val="30"/>
              <w:bidi w:val="0"/>
              <w:rPr>
                <w:highlight w:val="none"/>
              </w:rPr>
            </w:pPr>
            <w:r>
              <w:rPr>
                <w:highlight w:val="none"/>
              </w:rPr>
              <w:t>0.2879</w:t>
            </w:r>
          </w:p>
        </w:tc>
        <w:tc>
          <w:tcPr>
            <w:tcW w:w="1658" w:type="dxa"/>
            <w:tcBorders>
              <w:tl2br w:val="nil"/>
              <w:tr2bl w:val="nil"/>
            </w:tcBorders>
            <w:vAlign w:val="center"/>
          </w:tcPr>
          <w:p>
            <w:pPr>
              <w:pStyle w:val="30"/>
              <w:bidi w:val="0"/>
              <w:rPr>
                <w:highlight w:val="none"/>
              </w:rPr>
            </w:pPr>
            <w:r>
              <w:rPr>
                <w:highlight w:val="none"/>
              </w:rPr>
              <w:t>2.8786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2000.0</w:t>
            </w:r>
          </w:p>
        </w:tc>
        <w:tc>
          <w:tcPr>
            <w:tcW w:w="1801" w:type="dxa"/>
            <w:tcBorders>
              <w:tl2br w:val="nil"/>
              <w:tr2bl w:val="nil"/>
            </w:tcBorders>
            <w:vAlign w:val="center"/>
          </w:tcPr>
          <w:p>
            <w:pPr>
              <w:pStyle w:val="30"/>
              <w:bidi w:val="0"/>
              <w:rPr>
                <w:highlight w:val="none"/>
              </w:rPr>
            </w:pPr>
            <w:r>
              <w:rPr>
                <w:highlight w:val="none"/>
              </w:rPr>
              <w:t>1.3515</w:t>
            </w:r>
          </w:p>
        </w:tc>
        <w:tc>
          <w:tcPr>
            <w:tcW w:w="1676" w:type="dxa"/>
            <w:tcBorders>
              <w:tl2br w:val="nil"/>
              <w:tr2bl w:val="nil"/>
            </w:tcBorders>
            <w:vAlign w:val="center"/>
          </w:tcPr>
          <w:p>
            <w:pPr>
              <w:pStyle w:val="30"/>
              <w:bidi w:val="0"/>
              <w:rPr>
                <w:highlight w:val="none"/>
              </w:rPr>
            </w:pPr>
            <w:r>
              <w:rPr>
                <w:highlight w:val="none"/>
              </w:rPr>
              <w:t>0.6757</w:t>
            </w:r>
          </w:p>
        </w:tc>
        <w:tc>
          <w:tcPr>
            <w:tcW w:w="1784" w:type="dxa"/>
            <w:tcBorders>
              <w:tl2br w:val="nil"/>
              <w:tr2bl w:val="nil"/>
            </w:tcBorders>
            <w:vAlign w:val="center"/>
          </w:tcPr>
          <w:p>
            <w:pPr>
              <w:pStyle w:val="30"/>
              <w:bidi w:val="0"/>
              <w:rPr>
                <w:highlight w:val="none"/>
              </w:rPr>
            </w:pPr>
            <w:r>
              <w:rPr>
                <w:highlight w:val="none"/>
              </w:rPr>
              <w:t>0.2764</w:t>
            </w:r>
          </w:p>
        </w:tc>
        <w:tc>
          <w:tcPr>
            <w:tcW w:w="1658" w:type="dxa"/>
            <w:tcBorders>
              <w:tl2br w:val="nil"/>
              <w:tr2bl w:val="nil"/>
            </w:tcBorders>
            <w:vAlign w:val="center"/>
          </w:tcPr>
          <w:p>
            <w:pPr>
              <w:pStyle w:val="30"/>
              <w:bidi w:val="0"/>
              <w:rPr>
                <w:highlight w:val="none"/>
              </w:rPr>
            </w:pPr>
            <w:r>
              <w:rPr>
                <w:highlight w:val="none"/>
              </w:rPr>
              <w:t>2.7644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2500.0</w:t>
            </w:r>
          </w:p>
        </w:tc>
        <w:tc>
          <w:tcPr>
            <w:tcW w:w="1801" w:type="dxa"/>
            <w:tcBorders>
              <w:tl2br w:val="nil"/>
              <w:tr2bl w:val="nil"/>
            </w:tcBorders>
            <w:vAlign w:val="center"/>
          </w:tcPr>
          <w:p>
            <w:pPr>
              <w:pStyle w:val="30"/>
              <w:bidi w:val="0"/>
              <w:rPr>
                <w:highlight w:val="none"/>
              </w:rPr>
            </w:pPr>
            <w:r>
              <w:rPr>
                <w:highlight w:val="none"/>
              </w:rPr>
              <w:t>1.1878</w:t>
            </w:r>
          </w:p>
        </w:tc>
        <w:tc>
          <w:tcPr>
            <w:tcW w:w="1676" w:type="dxa"/>
            <w:tcBorders>
              <w:tl2br w:val="nil"/>
              <w:tr2bl w:val="nil"/>
            </w:tcBorders>
            <w:vAlign w:val="center"/>
          </w:tcPr>
          <w:p>
            <w:pPr>
              <w:pStyle w:val="30"/>
              <w:bidi w:val="0"/>
              <w:rPr>
                <w:highlight w:val="none"/>
              </w:rPr>
            </w:pPr>
            <w:r>
              <w:rPr>
                <w:highlight w:val="none"/>
              </w:rPr>
              <w:t>0.5939</w:t>
            </w:r>
          </w:p>
        </w:tc>
        <w:tc>
          <w:tcPr>
            <w:tcW w:w="1784" w:type="dxa"/>
            <w:tcBorders>
              <w:tl2br w:val="nil"/>
              <w:tr2bl w:val="nil"/>
            </w:tcBorders>
            <w:vAlign w:val="center"/>
          </w:tcPr>
          <w:p>
            <w:pPr>
              <w:pStyle w:val="30"/>
              <w:bidi w:val="0"/>
              <w:rPr>
                <w:highlight w:val="none"/>
              </w:rPr>
            </w:pPr>
            <w:r>
              <w:rPr>
                <w:highlight w:val="none"/>
              </w:rPr>
              <w:t>0.2430</w:t>
            </w:r>
          </w:p>
        </w:tc>
        <w:tc>
          <w:tcPr>
            <w:tcW w:w="1658" w:type="dxa"/>
            <w:tcBorders>
              <w:tl2br w:val="nil"/>
              <w:tr2bl w:val="nil"/>
            </w:tcBorders>
            <w:vAlign w:val="center"/>
          </w:tcPr>
          <w:p>
            <w:pPr>
              <w:pStyle w:val="30"/>
              <w:bidi w:val="0"/>
              <w:rPr>
                <w:highlight w:val="none"/>
              </w:rPr>
            </w:pPr>
            <w:r>
              <w:rPr>
                <w:highlight w:val="none"/>
              </w:rPr>
              <w:t>2.4296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3000.0</w:t>
            </w:r>
          </w:p>
        </w:tc>
        <w:tc>
          <w:tcPr>
            <w:tcW w:w="1801" w:type="dxa"/>
            <w:tcBorders>
              <w:tl2br w:val="nil"/>
              <w:tr2bl w:val="nil"/>
            </w:tcBorders>
            <w:vAlign w:val="center"/>
          </w:tcPr>
          <w:p>
            <w:pPr>
              <w:pStyle w:val="30"/>
              <w:bidi w:val="0"/>
              <w:rPr>
                <w:highlight w:val="none"/>
              </w:rPr>
            </w:pPr>
            <w:r>
              <w:rPr>
                <w:highlight w:val="none"/>
              </w:rPr>
              <w:t>1.0555</w:t>
            </w:r>
          </w:p>
        </w:tc>
        <w:tc>
          <w:tcPr>
            <w:tcW w:w="1676" w:type="dxa"/>
            <w:tcBorders>
              <w:tl2br w:val="nil"/>
              <w:tr2bl w:val="nil"/>
            </w:tcBorders>
            <w:vAlign w:val="center"/>
          </w:tcPr>
          <w:p>
            <w:pPr>
              <w:pStyle w:val="30"/>
              <w:bidi w:val="0"/>
              <w:rPr>
                <w:highlight w:val="none"/>
              </w:rPr>
            </w:pPr>
            <w:r>
              <w:rPr>
                <w:highlight w:val="none"/>
              </w:rPr>
              <w:t>0.5278</w:t>
            </w:r>
          </w:p>
        </w:tc>
        <w:tc>
          <w:tcPr>
            <w:tcW w:w="1784" w:type="dxa"/>
            <w:tcBorders>
              <w:tl2br w:val="nil"/>
              <w:tr2bl w:val="nil"/>
            </w:tcBorders>
            <w:vAlign w:val="center"/>
          </w:tcPr>
          <w:p>
            <w:pPr>
              <w:pStyle w:val="30"/>
              <w:bidi w:val="0"/>
              <w:rPr>
                <w:highlight w:val="none"/>
              </w:rPr>
            </w:pPr>
            <w:r>
              <w:rPr>
                <w:highlight w:val="none"/>
              </w:rPr>
              <w:t>0.2159</w:t>
            </w:r>
          </w:p>
        </w:tc>
        <w:tc>
          <w:tcPr>
            <w:tcW w:w="1658" w:type="dxa"/>
            <w:tcBorders>
              <w:tl2br w:val="nil"/>
              <w:tr2bl w:val="nil"/>
            </w:tcBorders>
            <w:vAlign w:val="center"/>
          </w:tcPr>
          <w:p>
            <w:pPr>
              <w:pStyle w:val="30"/>
              <w:bidi w:val="0"/>
              <w:rPr>
                <w:highlight w:val="none"/>
              </w:rPr>
            </w:pPr>
            <w:r>
              <w:rPr>
                <w:highlight w:val="none"/>
              </w:rPr>
              <w:t>2.1590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3500.0</w:t>
            </w:r>
          </w:p>
        </w:tc>
        <w:tc>
          <w:tcPr>
            <w:tcW w:w="1801" w:type="dxa"/>
            <w:tcBorders>
              <w:tl2br w:val="nil"/>
              <w:tr2bl w:val="nil"/>
            </w:tcBorders>
            <w:vAlign w:val="center"/>
          </w:tcPr>
          <w:p>
            <w:pPr>
              <w:pStyle w:val="30"/>
              <w:bidi w:val="0"/>
              <w:rPr>
                <w:highlight w:val="none"/>
              </w:rPr>
            </w:pPr>
            <w:r>
              <w:rPr>
                <w:highlight w:val="none"/>
              </w:rPr>
              <w:t>0.9468</w:t>
            </w:r>
          </w:p>
        </w:tc>
        <w:tc>
          <w:tcPr>
            <w:tcW w:w="1676" w:type="dxa"/>
            <w:tcBorders>
              <w:tl2br w:val="nil"/>
              <w:tr2bl w:val="nil"/>
            </w:tcBorders>
            <w:vAlign w:val="center"/>
          </w:tcPr>
          <w:p>
            <w:pPr>
              <w:pStyle w:val="30"/>
              <w:bidi w:val="0"/>
              <w:rPr>
                <w:highlight w:val="none"/>
              </w:rPr>
            </w:pPr>
            <w:r>
              <w:rPr>
                <w:highlight w:val="none"/>
              </w:rPr>
              <w:t>0.4734</w:t>
            </w:r>
          </w:p>
        </w:tc>
        <w:tc>
          <w:tcPr>
            <w:tcW w:w="1784" w:type="dxa"/>
            <w:tcBorders>
              <w:tl2br w:val="nil"/>
              <w:tr2bl w:val="nil"/>
            </w:tcBorders>
            <w:vAlign w:val="center"/>
          </w:tcPr>
          <w:p>
            <w:pPr>
              <w:pStyle w:val="30"/>
              <w:bidi w:val="0"/>
              <w:rPr>
                <w:highlight w:val="none"/>
              </w:rPr>
            </w:pPr>
            <w:r>
              <w:rPr>
                <w:highlight w:val="none"/>
              </w:rPr>
              <w:t>0.1937</w:t>
            </w:r>
          </w:p>
        </w:tc>
        <w:tc>
          <w:tcPr>
            <w:tcW w:w="1658" w:type="dxa"/>
            <w:tcBorders>
              <w:tl2br w:val="nil"/>
              <w:tr2bl w:val="nil"/>
            </w:tcBorders>
            <w:vAlign w:val="center"/>
          </w:tcPr>
          <w:p>
            <w:pPr>
              <w:pStyle w:val="30"/>
              <w:bidi w:val="0"/>
              <w:rPr>
                <w:highlight w:val="none"/>
              </w:rPr>
            </w:pPr>
            <w:r>
              <w:rPr>
                <w:highlight w:val="none"/>
              </w:rPr>
              <w:t>1.9366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4000.0</w:t>
            </w:r>
          </w:p>
        </w:tc>
        <w:tc>
          <w:tcPr>
            <w:tcW w:w="1801" w:type="dxa"/>
            <w:tcBorders>
              <w:tl2br w:val="nil"/>
              <w:tr2bl w:val="nil"/>
            </w:tcBorders>
            <w:vAlign w:val="center"/>
          </w:tcPr>
          <w:p>
            <w:pPr>
              <w:pStyle w:val="30"/>
              <w:bidi w:val="0"/>
              <w:rPr>
                <w:highlight w:val="none"/>
              </w:rPr>
            </w:pPr>
            <w:r>
              <w:rPr>
                <w:highlight w:val="none"/>
              </w:rPr>
              <w:t>0.8562</w:t>
            </w:r>
          </w:p>
        </w:tc>
        <w:tc>
          <w:tcPr>
            <w:tcW w:w="1676" w:type="dxa"/>
            <w:tcBorders>
              <w:tl2br w:val="nil"/>
              <w:tr2bl w:val="nil"/>
            </w:tcBorders>
            <w:vAlign w:val="center"/>
          </w:tcPr>
          <w:p>
            <w:pPr>
              <w:pStyle w:val="30"/>
              <w:bidi w:val="0"/>
              <w:rPr>
                <w:highlight w:val="none"/>
              </w:rPr>
            </w:pPr>
            <w:r>
              <w:rPr>
                <w:highlight w:val="none"/>
              </w:rPr>
              <w:t>0.4281</w:t>
            </w:r>
          </w:p>
        </w:tc>
        <w:tc>
          <w:tcPr>
            <w:tcW w:w="1784" w:type="dxa"/>
            <w:tcBorders>
              <w:tl2br w:val="nil"/>
              <w:tr2bl w:val="nil"/>
            </w:tcBorders>
            <w:vAlign w:val="center"/>
          </w:tcPr>
          <w:p>
            <w:pPr>
              <w:pStyle w:val="30"/>
              <w:bidi w:val="0"/>
              <w:rPr>
                <w:highlight w:val="none"/>
              </w:rPr>
            </w:pPr>
            <w:r>
              <w:rPr>
                <w:highlight w:val="none"/>
              </w:rPr>
              <w:t>0.1751</w:t>
            </w:r>
          </w:p>
        </w:tc>
        <w:tc>
          <w:tcPr>
            <w:tcW w:w="1658" w:type="dxa"/>
            <w:tcBorders>
              <w:tl2br w:val="nil"/>
              <w:tr2bl w:val="nil"/>
            </w:tcBorders>
            <w:vAlign w:val="center"/>
          </w:tcPr>
          <w:p>
            <w:pPr>
              <w:pStyle w:val="30"/>
              <w:bidi w:val="0"/>
              <w:rPr>
                <w:highlight w:val="none"/>
              </w:rPr>
            </w:pPr>
            <w:r>
              <w:rPr>
                <w:highlight w:val="none"/>
              </w:rPr>
              <w:t>1.7513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4500.0</w:t>
            </w:r>
          </w:p>
        </w:tc>
        <w:tc>
          <w:tcPr>
            <w:tcW w:w="1801" w:type="dxa"/>
            <w:tcBorders>
              <w:tl2br w:val="nil"/>
              <w:tr2bl w:val="nil"/>
            </w:tcBorders>
            <w:vAlign w:val="center"/>
          </w:tcPr>
          <w:p>
            <w:pPr>
              <w:pStyle w:val="30"/>
              <w:bidi w:val="0"/>
              <w:rPr>
                <w:highlight w:val="none"/>
              </w:rPr>
            </w:pPr>
            <w:r>
              <w:rPr>
                <w:highlight w:val="none"/>
              </w:rPr>
              <w:t>0.7964</w:t>
            </w:r>
          </w:p>
        </w:tc>
        <w:tc>
          <w:tcPr>
            <w:tcW w:w="1676" w:type="dxa"/>
            <w:tcBorders>
              <w:tl2br w:val="nil"/>
              <w:tr2bl w:val="nil"/>
            </w:tcBorders>
            <w:vAlign w:val="center"/>
          </w:tcPr>
          <w:p>
            <w:pPr>
              <w:pStyle w:val="30"/>
              <w:bidi w:val="0"/>
              <w:rPr>
                <w:highlight w:val="none"/>
              </w:rPr>
            </w:pPr>
            <w:r>
              <w:rPr>
                <w:highlight w:val="none"/>
              </w:rPr>
              <w:t>0.3982</w:t>
            </w:r>
          </w:p>
        </w:tc>
        <w:tc>
          <w:tcPr>
            <w:tcW w:w="1784" w:type="dxa"/>
            <w:tcBorders>
              <w:tl2br w:val="nil"/>
              <w:tr2bl w:val="nil"/>
            </w:tcBorders>
            <w:vAlign w:val="center"/>
          </w:tcPr>
          <w:p>
            <w:pPr>
              <w:pStyle w:val="30"/>
              <w:bidi w:val="0"/>
              <w:rPr>
                <w:highlight w:val="none"/>
              </w:rPr>
            </w:pPr>
            <w:r>
              <w:rPr>
                <w:highlight w:val="none"/>
              </w:rPr>
              <w:t>0.1629</w:t>
            </w:r>
          </w:p>
        </w:tc>
        <w:tc>
          <w:tcPr>
            <w:tcW w:w="1658" w:type="dxa"/>
            <w:tcBorders>
              <w:tl2br w:val="nil"/>
              <w:tr2bl w:val="nil"/>
            </w:tcBorders>
            <w:vAlign w:val="center"/>
          </w:tcPr>
          <w:p>
            <w:pPr>
              <w:pStyle w:val="30"/>
              <w:bidi w:val="0"/>
              <w:rPr>
                <w:highlight w:val="none"/>
              </w:rPr>
            </w:pPr>
            <w:r>
              <w:rPr>
                <w:highlight w:val="none"/>
              </w:rPr>
              <w:t>1.6289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5000.0</w:t>
            </w:r>
          </w:p>
        </w:tc>
        <w:tc>
          <w:tcPr>
            <w:tcW w:w="1801" w:type="dxa"/>
            <w:tcBorders>
              <w:tl2br w:val="nil"/>
              <w:tr2bl w:val="nil"/>
            </w:tcBorders>
            <w:vAlign w:val="center"/>
          </w:tcPr>
          <w:p>
            <w:pPr>
              <w:pStyle w:val="30"/>
              <w:bidi w:val="0"/>
              <w:rPr>
                <w:highlight w:val="none"/>
              </w:rPr>
            </w:pPr>
            <w:r>
              <w:rPr>
                <w:highlight w:val="none"/>
              </w:rPr>
              <w:t>0.7436</w:t>
            </w:r>
          </w:p>
        </w:tc>
        <w:tc>
          <w:tcPr>
            <w:tcW w:w="1676" w:type="dxa"/>
            <w:tcBorders>
              <w:tl2br w:val="nil"/>
              <w:tr2bl w:val="nil"/>
            </w:tcBorders>
            <w:vAlign w:val="center"/>
          </w:tcPr>
          <w:p>
            <w:pPr>
              <w:pStyle w:val="30"/>
              <w:bidi w:val="0"/>
              <w:rPr>
                <w:highlight w:val="none"/>
              </w:rPr>
            </w:pPr>
            <w:r>
              <w:rPr>
                <w:highlight w:val="none"/>
              </w:rPr>
              <w:t>0.3718</w:t>
            </w:r>
          </w:p>
        </w:tc>
        <w:tc>
          <w:tcPr>
            <w:tcW w:w="1784" w:type="dxa"/>
            <w:tcBorders>
              <w:tl2br w:val="nil"/>
              <w:tr2bl w:val="nil"/>
            </w:tcBorders>
            <w:vAlign w:val="center"/>
          </w:tcPr>
          <w:p>
            <w:pPr>
              <w:pStyle w:val="30"/>
              <w:bidi w:val="0"/>
              <w:rPr>
                <w:highlight w:val="none"/>
              </w:rPr>
            </w:pPr>
            <w:r>
              <w:rPr>
                <w:highlight w:val="none"/>
              </w:rPr>
              <w:t>0.1521</w:t>
            </w:r>
          </w:p>
        </w:tc>
        <w:tc>
          <w:tcPr>
            <w:tcW w:w="1658" w:type="dxa"/>
            <w:tcBorders>
              <w:tl2br w:val="nil"/>
              <w:tr2bl w:val="nil"/>
            </w:tcBorders>
            <w:vAlign w:val="center"/>
          </w:tcPr>
          <w:p>
            <w:pPr>
              <w:pStyle w:val="30"/>
              <w:bidi w:val="0"/>
              <w:rPr>
                <w:highlight w:val="none"/>
              </w:rPr>
            </w:pPr>
            <w:r>
              <w:rPr>
                <w:highlight w:val="none"/>
              </w:rPr>
              <w:t>1.5211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10000.0</w:t>
            </w:r>
          </w:p>
        </w:tc>
        <w:tc>
          <w:tcPr>
            <w:tcW w:w="1801" w:type="dxa"/>
            <w:tcBorders>
              <w:tl2br w:val="nil"/>
              <w:tr2bl w:val="nil"/>
            </w:tcBorders>
            <w:vAlign w:val="center"/>
          </w:tcPr>
          <w:p>
            <w:pPr>
              <w:pStyle w:val="30"/>
              <w:bidi w:val="0"/>
              <w:rPr>
                <w:highlight w:val="none"/>
              </w:rPr>
            </w:pPr>
            <w:r>
              <w:rPr>
                <w:highlight w:val="none"/>
              </w:rPr>
              <w:t>0.4516</w:t>
            </w:r>
          </w:p>
        </w:tc>
        <w:tc>
          <w:tcPr>
            <w:tcW w:w="1676" w:type="dxa"/>
            <w:tcBorders>
              <w:tl2br w:val="nil"/>
              <w:tr2bl w:val="nil"/>
            </w:tcBorders>
            <w:vAlign w:val="center"/>
          </w:tcPr>
          <w:p>
            <w:pPr>
              <w:pStyle w:val="30"/>
              <w:bidi w:val="0"/>
              <w:rPr>
                <w:highlight w:val="none"/>
              </w:rPr>
            </w:pPr>
            <w:r>
              <w:rPr>
                <w:highlight w:val="none"/>
              </w:rPr>
              <w:t>0.2258</w:t>
            </w:r>
          </w:p>
        </w:tc>
        <w:tc>
          <w:tcPr>
            <w:tcW w:w="1784" w:type="dxa"/>
            <w:tcBorders>
              <w:tl2br w:val="nil"/>
              <w:tr2bl w:val="nil"/>
            </w:tcBorders>
            <w:vAlign w:val="center"/>
          </w:tcPr>
          <w:p>
            <w:pPr>
              <w:pStyle w:val="30"/>
              <w:bidi w:val="0"/>
              <w:rPr>
                <w:highlight w:val="none"/>
              </w:rPr>
            </w:pPr>
            <w:r>
              <w:rPr>
                <w:highlight w:val="none"/>
              </w:rPr>
              <w:t>0.0924</w:t>
            </w:r>
          </w:p>
        </w:tc>
        <w:tc>
          <w:tcPr>
            <w:tcW w:w="1658" w:type="dxa"/>
            <w:tcBorders>
              <w:tl2br w:val="nil"/>
              <w:tr2bl w:val="nil"/>
            </w:tcBorders>
            <w:vAlign w:val="center"/>
          </w:tcPr>
          <w:p>
            <w:pPr>
              <w:pStyle w:val="30"/>
              <w:bidi w:val="0"/>
              <w:rPr>
                <w:highlight w:val="none"/>
              </w:rPr>
            </w:pPr>
            <w:r>
              <w:rPr>
                <w:highlight w:val="none"/>
              </w:rPr>
              <w:t>0.9238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11000.0</w:t>
            </w:r>
          </w:p>
        </w:tc>
        <w:tc>
          <w:tcPr>
            <w:tcW w:w="1801" w:type="dxa"/>
            <w:tcBorders>
              <w:tl2br w:val="nil"/>
              <w:tr2bl w:val="nil"/>
            </w:tcBorders>
            <w:vAlign w:val="center"/>
          </w:tcPr>
          <w:p>
            <w:pPr>
              <w:pStyle w:val="30"/>
              <w:bidi w:val="0"/>
              <w:rPr>
                <w:highlight w:val="none"/>
              </w:rPr>
            </w:pPr>
            <w:r>
              <w:rPr>
                <w:highlight w:val="none"/>
              </w:rPr>
              <w:t>0.4183</w:t>
            </w:r>
          </w:p>
        </w:tc>
        <w:tc>
          <w:tcPr>
            <w:tcW w:w="1676" w:type="dxa"/>
            <w:tcBorders>
              <w:tl2br w:val="nil"/>
              <w:tr2bl w:val="nil"/>
            </w:tcBorders>
            <w:vAlign w:val="center"/>
          </w:tcPr>
          <w:p>
            <w:pPr>
              <w:pStyle w:val="30"/>
              <w:bidi w:val="0"/>
              <w:rPr>
                <w:highlight w:val="none"/>
              </w:rPr>
            </w:pPr>
            <w:r>
              <w:rPr>
                <w:highlight w:val="none"/>
              </w:rPr>
              <w:t>0.2092</w:t>
            </w:r>
          </w:p>
        </w:tc>
        <w:tc>
          <w:tcPr>
            <w:tcW w:w="1784" w:type="dxa"/>
            <w:tcBorders>
              <w:tl2br w:val="nil"/>
              <w:tr2bl w:val="nil"/>
            </w:tcBorders>
            <w:vAlign w:val="center"/>
          </w:tcPr>
          <w:p>
            <w:pPr>
              <w:pStyle w:val="30"/>
              <w:bidi w:val="0"/>
              <w:rPr>
                <w:highlight w:val="none"/>
              </w:rPr>
            </w:pPr>
            <w:r>
              <w:rPr>
                <w:highlight w:val="none"/>
              </w:rPr>
              <w:t>0.0856</w:t>
            </w:r>
          </w:p>
        </w:tc>
        <w:tc>
          <w:tcPr>
            <w:tcW w:w="1658" w:type="dxa"/>
            <w:tcBorders>
              <w:tl2br w:val="nil"/>
              <w:tr2bl w:val="nil"/>
            </w:tcBorders>
            <w:vAlign w:val="center"/>
          </w:tcPr>
          <w:p>
            <w:pPr>
              <w:pStyle w:val="30"/>
              <w:bidi w:val="0"/>
              <w:rPr>
                <w:highlight w:val="none"/>
              </w:rPr>
            </w:pPr>
            <w:r>
              <w:rPr>
                <w:highlight w:val="none"/>
              </w:rPr>
              <w:t>0.8556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12000.0</w:t>
            </w:r>
          </w:p>
        </w:tc>
        <w:tc>
          <w:tcPr>
            <w:tcW w:w="1801" w:type="dxa"/>
            <w:tcBorders>
              <w:tl2br w:val="nil"/>
              <w:tr2bl w:val="nil"/>
            </w:tcBorders>
            <w:vAlign w:val="center"/>
          </w:tcPr>
          <w:p>
            <w:pPr>
              <w:pStyle w:val="30"/>
              <w:bidi w:val="0"/>
              <w:rPr>
                <w:highlight w:val="none"/>
              </w:rPr>
            </w:pPr>
            <w:r>
              <w:rPr>
                <w:highlight w:val="none"/>
              </w:rPr>
              <w:t>0.3891</w:t>
            </w:r>
          </w:p>
        </w:tc>
        <w:tc>
          <w:tcPr>
            <w:tcW w:w="1676" w:type="dxa"/>
            <w:tcBorders>
              <w:tl2br w:val="nil"/>
              <w:tr2bl w:val="nil"/>
            </w:tcBorders>
            <w:vAlign w:val="center"/>
          </w:tcPr>
          <w:p>
            <w:pPr>
              <w:pStyle w:val="30"/>
              <w:bidi w:val="0"/>
              <w:rPr>
                <w:highlight w:val="none"/>
              </w:rPr>
            </w:pPr>
            <w:r>
              <w:rPr>
                <w:highlight w:val="none"/>
              </w:rPr>
              <w:t>0.1945</w:t>
            </w:r>
          </w:p>
        </w:tc>
        <w:tc>
          <w:tcPr>
            <w:tcW w:w="1784" w:type="dxa"/>
            <w:tcBorders>
              <w:tl2br w:val="nil"/>
              <w:tr2bl w:val="nil"/>
            </w:tcBorders>
            <w:vAlign w:val="center"/>
          </w:tcPr>
          <w:p>
            <w:pPr>
              <w:pStyle w:val="30"/>
              <w:bidi w:val="0"/>
              <w:rPr>
                <w:highlight w:val="none"/>
              </w:rPr>
            </w:pPr>
            <w:r>
              <w:rPr>
                <w:highlight w:val="none"/>
              </w:rPr>
              <w:t>0.0796</w:t>
            </w:r>
          </w:p>
        </w:tc>
        <w:tc>
          <w:tcPr>
            <w:tcW w:w="1658" w:type="dxa"/>
            <w:tcBorders>
              <w:tl2br w:val="nil"/>
              <w:tr2bl w:val="nil"/>
            </w:tcBorders>
            <w:vAlign w:val="center"/>
          </w:tcPr>
          <w:p>
            <w:pPr>
              <w:pStyle w:val="30"/>
              <w:bidi w:val="0"/>
              <w:rPr>
                <w:highlight w:val="none"/>
              </w:rPr>
            </w:pPr>
            <w:r>
              <w:rPr>
                <w:highlight w:val="none"/>
              </w:rPr>
              <w:t>0.7958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13000.0</w:t>
            </w:r>
          </w:p>
        </w:tc>
        <w:tc>
          <w:tcPr>
            <w:tcW w:w="1801" w:type="dxa"/>
            <w:tcBorders>
              <w:tl2br w:val="nil"/>
              <w:tr2bl w:val="nil"/>
            </w:tcBorders>
            <w:vAlign w:val="center"/>
          </w:tcPr>
          <w:p>
            <w:pPr>
              <w:pStyle w:val="30"/>
              <w:bidi w:val="0"/>
              <w:rPr>
                <w:highlight w:val="none"/>
              </w:rPr>
            </w:pPr>
            <w:r>
              <w:rPr>
                <w:highlight w:val="none"/>
              </w:rPr>
              <w:t>0.3632</w:t>
            </w:r>
          </w:p>
        </w:tc>
        <w:tc>
          <w:tcPr>
            <w:tcW w:w="1676" w:type="dxa"/>
            <w:tcBorders>
              <w:tl2br w:val="nil"/>
              <w:tr2bl w:val="nil"/>
            </w:tcBorders>
            <w:vAlign w:val="center"/>
          </w:tcPr>
          <w:p>
            <w:pPr>
              <w:pStyle w:val="30"/>
              <w:bidi w:val="0"/>
              <w:rPr>
                <w:highlight w:val="none"/>
              </w:rPr>
            </w:pPr>
            <w:r>
              <w:rPr>
                <w:highlight w:val="none"/>
              </w:rPr>
              <w:t>0.1816</w:t>
            </w:r>
          </w:p>
        </w:tc>
        <w:tc>
          <w:tcPr>
            <w:tcW w:w="1784" w:type="dxa"/>
            <w:tcBorders>
              <w:tl2br w:val="nil"/>
              <w:tr2bl w:val="nil"/>
            </w:tcBorders>
            <w:vAlign w:val="center"/>
          </w:tcPr>
          <w:p>
            <w:pPr>
              <w:pStyle w:val="30"/>
              <w:bidi w:val="0"/>
              <w:rPr>
                <w:highlight w:val="none"/>
              </w:rPr>
            </w:pPr>
            <w:r>
              <w:rPr>
                <w:highlight w:val="none"/>
              </w:rPr>
              <w:t>0.0743</w:t>
            </w:r>
          </w:p>
        </w:tc>
        <w:tc>
          <w:tcPr>
            <w:tcW w:w="1658" w:type="dxa"/>
            <w:tcBorders>
              <w:tl2br w:val="nil"/>
              <w:tr2bl w:val="nil"/>
            </w:tcBorders>
            <w:vAlign w:val="center"/>
          </w:tcPr>
          <w:p>
            <w:pPr>
              <w:pStyle w:val="30"/>
              <w:bidi w:val="0"/>
              <w:rPr>
                <w:highlight w:val="none"/>
              </w:rPr>
            </w:pPr>
            <w:r>
              <w:rPr>
                <w:highlight w:val="none"/>
              </w:rPr>
              <w:t>0.7430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14000.0</w:t>
            </w:r>
          </w:p>
        </w:tc>
        <w:tc>
          <w:tcPr>
            <w:tcW w:w="1801" w:type="dxa"/>
            <w:tcBorders>
              <w:tl2br w:val="nil"/>
              <w:tr2bl w:val="nil"/>
            </w:tcBorders>
            <w:vAlign w:val="center"/>
          </w:tcPr>
          <w:p>
            <w:pPr>
              <w:pStyle w:val="30"/>
              <w:bidi w:val="0"/>
              <w:rPr>
                <w:highlight w:val="none"/>
              </w:rPr>
            </w:pPr>
            <w:r>
              <w:rPr>
                <w:highlight w:val="none"/>
              </w:rPr>
              <w:t>0.3403</w:t>
            </w:r>
          </w:p>
        </w:tc>
        <w:tc>
          <w:tcPr>
            <w:tcW w:w="1676" w:type="dxa"/>
            <w:tcBorders>
              <w:tl2br w:val="nil"/>
              <w:tr2bl w:val="nil"/>
            </w:tcBorders>
            <w:vAlign w:val="center"/>
          </w:tcPr>
          <w:p>
            <w:pPr>
              <w:pStyle w:val="30"/>
              <w:bidi w:val="0"/>
              <w:rPr>
                <w:highlight w:val="none"/>
              </w:rPr>
            </w:pPr>
            <w:r>
              <w:rPr>
                <w:highlight w:val="none"/>
              </w:rPr>
              <w:t>0.1701</w:t>
            </w:r>
          </w:p>
        </w:tc>
        <w:tc>
          <w:tcPr>
            <w:tcW w:w="1784" w:type="dxa"/>
            <w:tcBorders>
              <w:tl2br w:val="nil"/>
              <w:tr2bl w:val="nil"/>
            </w:tcBorders>
            <w:vAlign w:val="center"/>
          </w:tcPr>
          <w:p>
            <w:pPr>
              <w:pStyle w:val="30"/>
              <w:bidi w:val="0"/>
              <w:rPr>
                <w:highlight w:val="none"/>
              </w:rPr>
            </w:pPr>
            <w:r>
              <w:rPr>
                <w:highlight w:val="none"/>
              </w:rPr>
              <w:t>0.0696</w:t>
            </w:r>
          </w:p>
        </w:tc>
        <w:tc>
          <w:tcPr>
            <w:tcW w:w="1658" w:type="dxa"/>
            <w:tcBorders>
              <w:tl2br w:val="nil"/>
              <w:tr2bl w:val="nil"/>
            </w:tcBorders>
            <w:vAlign w:val="center"/>
          </w:tcPr>
          <w:p>
            <w:pPr>
              <w:pStyle w:val="30"/>
              <w:bidi w:val="0"/>
              <w:rPr>
                <w:highlight w:val="none"/>
              </w:rPr>
            </w:pPr>
            <w:r>
              <w:rPr>
                <w:highlight w:val="none"/>
              </w:rPr>
              <w:t>0.6960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15000.0</w:t>
            </w:r>
          </w:p>
        </w:tc>
        <w:tc>
          <w:tcPr>
            <w:tcW w:w="1801" w:type="dxa"/>
            <w:tcBorders>
              <w:tl2br w:val="nil"/>
              <w:tr2bl w:val="nil"/>
            </w:tcBorders>
            <w:vAlign w:val="center"/>
          </w:tcPr>
          <w:p>
            <w:pPr>
              <w:pStyle w:val="30"/>
              <w:bidi w:val="0"/>
              <w:rPr>
                <w:highlight w:val="none"/>
              </w:rPr>
            </w:pPr>
            <w:r>
              <w:rPr>
                <w:highlight w:val="none"/>
              </w:rPr>
              <w:t>0.3198</w:t>
            </w:r>
          </w:p>
        </w:tc>
        <w:tc>
          <w:tcPr>
            <w:tcW w:w="1676" w:type="dxa"/>
            <w:tcBorders>
              <w:tl2br w:val="nil"/>
              <w:tr2bl w:val="nil"/>
            </w:tcBorders>
            <w:vAlign w:val="center"/>
          </w:tcPr>
          <w:p>
            <w:pPr>
              <w:pStyle w:val="30"/>
              <w:bidi w:val="0"/>
              <w:rPr>
                <w:highlight w:val="none"/>
              </w:rPr>
            </w:pPr>
            <w:r>
              <w:rPr>
                <w:highlight w:val="none"/>
              </w:rPr>
              <w:t>0.1599</w:t>
            </w:r>
          </w:p>
        </w:tc>
        <w:tc>
          <w:tcPr>
            <w:tcW w:w="1784" w:type="dxa"/>
            <w:tcBorders>
              <w:tl2br w:val="nil"/>
              <w:tr2bl w:val="nil"/>
            </w:tcBorders>
            <w:vAlign w:val="center"/>
          </w:tcPr>
          <w:p>
            <w:pPr>
              <w:pStyle w:val="30"/>
              <w:bidi w:val="0"/>
              <w:rPr>
                <w:highlight w:val="none"/>
              </w:rPr>
            </w:pPr>
            <w:r>
              <w:rPr>
                <w:highlight w:val="none"/>
              </w:rPr>
              <w:t>0.0654</w:t>
            </w:r>
          </w:p>
        </w:tc>
        <w:tc>
          <w:tcPr>
            <w:tcW w:w="1658" w:type="dxa"/>
            <w:tcBorders>
              <w:tl2br w:val="nil"/>
              <w:tr2bl w:val="nil"/>
            </w:tcBorders>
            <w:vAlign w:val="center"/>
          </w:tcPr>
          <w:p>
            <w:pPr>
              <w:pStyle w:val="30"/>
              <w:bidi w:val="0"/>
              <w:rPr>
                <w:highlight w:val="none"/>
              </w:rPr>
            </w:pPr>
            <w:r>
              <w:rPr>
                <w:highlight w:val="none"/>
              </w:rPr>
              <w:t>0.6541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20000.0</w:t>
            </w:r>
          </w:p>
        </w:tc>
        <w:tc>
          <w:tcPr>
            <w:tcW w:w="1801" w:type="dxa"/>
            <w:tcBorders>
              <w:tl2br w:val="nil"/>
              <w:tr2bl w:val="nil"/>
            </w:tcBorders>
            <w:vAlign w:val="center"/>
          </w:tcPr>
          <w:p>
            <w:pPr>
              <w:pStyle w:val="30"/>
              <w:bidi w:val="0"/>
              <w:rPr>
                <w:highlight w:val="none"/>
              </w:rPr>
            </w:pPr>
            <w:r>
              <w:rPr>
                <w:highlight w:val="none"/>
              </w:rPr>
              <w:t>0.2435</w:t>
            </w:r>
          </w:p>
        </w:tc>
        <w:tc>
          <w:tcPr>
            <w:tcW w:w="1676" w:type="dxa"/>
            <w:tcBorders>
              <w:tl2br w:val="nil"/>
              <w:tr2bl w:val="nil"/>
            </w:tcBorders>
            <w:vAlign w:val="center"/>
          </w:tcPr>
          <w:p>
            <w:pPr>
              <w:pStyle w:val="30"/>
              <w:bidi w:val="0"/>
              <w:rPr>
                <w:highlight w:val="none"/>
              </w:rPr>
            </w:pPr>
            <w:r>
              <w:rPr>
                <w:highlight w:val="none"/>
              </w:rPr>
              <w:t>0.1217</w:t>
            </w:r>
          </w:p>
        </w:tc>
        <w:tc>
          <w:tcPr>
            <w:tcW w:w="1784" w:type="dxa"/>
            <w:tcBorders>
              <w:tl2br w:val="nil"/>
              <w:tr2bl w:val="nil"/>
            </w:tcBorders>
            <w:vAlign w:val="center"/>
          </w:tcPr>
          <w:p>
            <w:pPr>
              <w:pStyle w:val="30"/>
              <w:bidi w:val="0"/>
              <w:rPr>
                <w:highlight w:val="none"/>
              </w:rPr>
            </w:pPr>
            <w:r>
              <w:rPr>
                <w:highlight w:val="none"/>
              </w:rPr>
              <w:t>0.0498</w:t>
            </w:r>
          </w:p>
        </w:tc>
        <w:tc>
          <w:tcPr>
            <w:tcW w:w="1658" w:type="dxa"/>
            <w:tcBorders>
              <w:tl2br w:val="nil"/>
              <w:tr2bl w:val="nil"/>
            </w:tcBorders>
            <w:vAlign w:val="center"/>
          </w:tcPr>
          <w:p>
            <w:pPr>
              <w:pStyle w:val="30"/>
              <w:bidi w:val="0"/>
              <w:rPr>
                <w:highlight w:val="none"/>
              </w:rPr>
            </w:pPr>
            <w:r>
              <w:rPr>
                <w:highlight w:val="none"/>
              </w:rPr>
              <w:t>0.4980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25000.0</w:t>
            </w:r>
          </w:p>
        </w:tc>
        <w:tc>
          <w:tcPr>
            <w:tcW w:w="1801" w:type="dxa"/>
            <w:tcBorders>
              <w:tl2br w:val="nil"/>
              <w:tr2bl w:val="nil"/>
            </w:tcBorders>
            <w:vAlign w:val="center"/>
          </w:tcPr>
          <w:p>
            <w:pPr>
              <w:pStyle w:val="30"/>
              <w:bidi w:val="0"/>
              <w:rPr>
                <w:highlight w:val="none"/>
              </w:rPr>
            </w:pPr>
            <w:r>
              <w:rPr>
                <w:highlight w:val="none"/>
              </w:rPr>
              <w:t>0.1945</w:t>
            </w:r>
          </w:p>
        </w:tc>
        <w:tc>
          <w:tcPr>
            <w:tcW w:w="1676" w:type="dxa"/>
            <w:tcBorders>
              <w:tl2br w:val="nil"/>
              <w:tr2bl w:val="nil"/>
            </w:tcBorders>
            <w:vAlign w:val="center"/>
          </w:tcPr>
          <w:p>
            <w:pPr>
              <w:pStyle w:val="30"/>
              <w:bidi w:val="0"/>
              <w:rPr>
                <w:highlight w:val="none"/>
              </w:rPr>
            </w:pPr>
            <w:r>
              <w:rPr>
                <w:highlight w:val="none"/>
              </w:rPr>
              <w:t>0.0973</w:t>
            </w:r>
          </w:p>
        </w:tc>
        <w:tc>
          <w:tcPr>
            <w:tcW w:w="1784" w:type="dxa"/>
            <w:tcBorders>
              <w:tl2br w:val="nil"/>
              <w:tr2bl w:val="nil"/>
            </w:tcBorders>
            <w:vAlign w:val="center"/>
          </w:tcPr>
          <w:p>
            <w:pPr>
              <w:pStyle w:val="30"/>
              <w:bidi w:val="0"/>
              <w:rPr>
                <w:highlight w:val="none"/>
              </w:rPr>
            </w:pPr>
            <w:r>
              <w:rPr>
                <w:highlight w:val="none"/>
              </w:rPr>
              <w:t>0.0398</w:t>
            </w:r>
          </w:p>
        </w:tc>
        <w:tc>
          <w:tcPr>
            <w:tcW w:w="1658" w:type="dxa"/>
            <w:tcBorders>
              <w:tl2br w:val="nil"/>
              <w:tr2bl w:val="nil"/>
            </w:tcBorders>
            <w:vAlign w:val="center"/>
          </w:tcPr>
          <w:p>
            <w:pPr>
              <w:pStyle w:val="30"/>
              <w:bidi w:val="0"/>
              <w:rPr>
                <w:highlight w:val="none"/>
              </w:rPr>
            </w:pPr>
            <w:r>
              <w:rPr>
                <w:highlight w:val="none"/>
              </w:rPr>
              <w:t>0.3979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下风向最大浓度</w:t>
            </w:r>
          </w:p>
        </w:tc>
        <w:tc>
          <w:tcPr>
            <w:tcW w:w="1801" w:type="dxa"/>
            <w:tcBorders>
              <w:tl2br w:val="nil"/>
              <w:tr2bl w:val="nil"/>
            </w:tcBorders>
            <w:vAlign w:val="center"/>
          </w:tcPr>
          <w:p>
            <w:pPr>
              <w:pStyle w:val="30"/>
              <w:bidi w:val="0"/>
              <w:rPr>
                <w:highlight w:val="none"/>
              </w:rPr>
            </w:pPr>
            <w:r>
              <w:rPr>
                <w:highlight w:val="none"/>
              </w:rPr>
              <w:t>4.8957</w:t>
            </w:r>
          </w:p>
        </w:tc>
        <w:tc>
          <w:tcPr>
            <w:tcW w:w="1676" w:type="dxa"/>
            <w:tcBorders>
              <w:tl2br w:val="nil"/>
              <w:tr2bl w:val="nil"/>
            </w:tcBorders>
            <w:vAlign w:val="center"/>
          </w:tcPr>
          <w:p>
            <w:pPr>
              <w:pStyle w:val="30"/>
              <w:bidi w:val="0"/>
              <w:rPr>
                <w:highlight w:val="none"/>
              </w:rPr>
            </w:pPr>
            <w:r>
              <w:rPr>
                <w:highlight w:val="none"/>
              </w:rPr>
              <w:t>2.4478</w:t>
            </w:r>
          </w:p>
        </w:tc>
        <w:tc>
          <w:tcPr>
            <w:tcW w:w="1784" w:type="dxa"/>
            <w:tcBorders>
              <w:tl2br w:val="nil"/>
              <w:tr2bl w:val="nil"/>
            </w:tcBorders>
            <w:vAlign w:val="center"/>
          </w:tcPr>
          <w:p>
            <w:pPr>
              <w:pStyle w:val="30"/>
              <w:bidi w:val="0"/>
              <w:rPr>
                <w:highlight w:val="none"/>
              </w:rPr>
            </w:pPr>
            <w:r>
              <w:rPr>
                <w:highlight w:val="none"/>
              </w:rPr>
              <w:t>1.0014</w:t>
            </w:r>
          </w:p>
        </w:tc>
        <w:tc>
          <w:tcPr>
            <w:tcW w:w="1658" w:type="dxa"/>
            <w:tcBorders>
              <w:tl2br w:val="nil"/>
              <w:tr2bl w:val="nil"/>
            </w:tcBorders>
            <w:vAlign w:val="center"/>
          </w:tcPr>
          <w:p>
            <w:pPr>
              <w:pStyle w:val="30"/>
              <w:bidi w:val="0"/>
              <w:rPr>
                <w:rFonts w:hint="default" w:eastAsia="宋体"/>
                <w:highlight w:val="none"/>
                <w:lang w:val="en-US" w:eastAsia="zh-CN"/>
              </w:rPr>
            </w:pPr>
            <w:r>
              <w:rPr>
                <w:rFonts w:hint="eastAsia"/>
                <w:highlight w:val="none"/>
                <w:lang w:val="en-US" w:eastAsia="zh-CN"/>
              </w:rPr>
              <w:t>9.8694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下风向最大浓度出现距离</w:t>
            </w:r>
          </w:p>
        </w:tc>
        <w:tc>
          <w:tcPr>
            <w:tcW w:w="1801" w:type="dxa"/>
            <w:tcBorders>
              <w:tl2br w:val="nil"/>
              <w:tr2bl w:val="nil"/>
            </w:tcBorders>
            <w:vAlign w:val="center"/>
          </w:tcPr>
          <w:p>
            <w:pPr>
              <w:pStyle w:val="30"/>
              <w:bidi w:val="0"/>
              <w:rPr>
                <w:highlight w:val="none"/>
              </w:rPr>
            </w:pPr>
            <w:r>
              <w:rPr>
                <w:highlight w:val="none"/>
              </w:rPr>
              <w:t>118.0</w:t>
            </w:r>
          </w:p>
        </w:tc>
        <w:tc>
          <w:tcPr>
            <w:tcW w:w="1676" w:type="dxa"/>
            <w:tcBorders>
              <w:tl2br w:val="nil"/>
              <w:tr2bl w:val="nil"/>
            </w:tcBorders>
            <w:vAlign w:val="center"/>
          </w:tcPr>
          <w:p>
            <w:pPr>
              <w:pStyle w:val="30"/>
              <w:bidi w:val="0"/>
              <w:rPr>
                <w:highlight w:val="none"/>
              </w:rPr>
            </w:pPr>
            <w:r>
              <w:rPr>
                <w:highlight w:val="none"/>
              </w:rPr>
              <w:t>118.0</w:t>
            </w:r>
          </w:p>
        </w:tc>
        <w:tc>
          <w:tcPr>
            <w:tcW w:w="1784" w:type="dxa"/>
            <w:tcBorders>
              <w:tl2br w:val="nil"/>
              <w:tr2bl w:val="nil"/>
            </w:tcBorders>
            <w:vAlign w:val="center"/>
          </w:tcPr>
          <w:p>
            <w:pPr>
              <w:pStyle w:val="30"/>
              <w:bidi w:val="0"/>
              <w:rPr>
                <w:highlight w:val="none"/>
              </w:rPr>
            </w:pPr>
            <w:r>
              <w:rPr>
                <w:highlight w:val="none"/>
              </w:rPr>
              <w:t>118.0</w:t>
            </w:r>
          </w:p>
        </w:tc>
        <w:tc>
          <w:tcPr>
            <w:tcW w:w="1658" w:type="dxa"/>
            <w:tcBorders>
              <w:tl2br w:val="nil"/>
              <w:tr2bl w:val="nil"/>
            </w:tcBorders>
            <w:vAlign w:val="center"/>
          </w:tcPr>
          <w:p>
            <w:pPr>
              <w:pStyle w:val="30"/>
              <w:bidi w:val="0"/>
              <w:rPr>
                <w:highlight w:val="none"/>
              </w:rPr>
            </w:pPr>
            <w:r>
              <w:rPr>
                <w:highlight w:val="none"/>
              </w:rPr>
              <w:t>118.0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D10%最远距离</w:t>
            </w:r>
          </w:p>
        </w:tc>
        <w:tc>
          <w:tcPr>
            <w:tcW w:w="1801" w:type="dxa"/>
            <w:tcBorders>
              <w:tl2br w:val="nil"/>
              <w:tr2bl w:val="nil"/>
            </w:tcBorders>
            <w:vAlign w:val="center"/>
          </w:tcPr>
          <w:p>
            <w:pPr>
              <w:pStyle w:val="30"/>
              <w:bidi w:val="0"/>
              <w:rPr>
                <w:highlight w:val="none"/>
              </w:rPr>
            </w:pPr>
            <w:r>
              <w:rPr>
                <w:highlight w:val="none"/>
              </w:rPr>
              <w:t>/</w:t>
            </w:r>
          </w:p>
        </w:tc>
        <w:tc>
          <w:tcPr>
            <w:tcW w:w="1676" w:type="dxa"/>
            <w:tcBorders>
              <w:tl2br w:val="nil"/>
              <w:tr2bl w:val="nil"/>
            </w:tcBorders>
            <w:vAlign w:val="center"/>
          </w:tcPr>
          <w:p>
            <w:pPr>
              <w:pStyle w:val="30"/>
              <w:bidi w:val="0"/>
              <w:rPr>
                <w:highlight w:val="none"/>
              </w:rPr>
            </w:pPr>
            <w:r>
              <w:rPr>
                <w:highlight w:val="none"/>
              </w:rPr>
              <w:t>/</w:t>
            </w:r>
          </w:p>
        </w:tc>
        <w:tc>
          <w:tcPr>
            <w:tcW w:w="1784" w:type="dxa"/>
            <w:tcBorders>
              <w:tl2br w:val="nil"/>
              <w:tr2bl w:val="nil"/>
            </w:tcBorders>
            <w:vAlign w:val="center"/>
          </w:tcPr>
          <w:p>
            <w:pPr>
              <w:pStyle w:val="30"/>
              <w:bidi w:val="0"/>
              <w:rPr>
                <w:rFonts w:hint="eastAsia" w:eastAsia="宋体"/>
                <w:highlight w:val="none"/>
                <w:lang w:eastAsia="zh-CN"/>
              </w:rPr>
            </w:pPr>
            <w:r>
              <w:rPr>
                <w:rFonts w:hint="eastAsia"/>
                <w:highlight w:val="none"/>
                <w:lang w:val="en-US" w:eastAsia="zh-CN"/>
              </w:rPr>
              <w:t>/</w:t>
            </w:r>
          </w:p>
        </w:tc>
        <w:tc>
          <w:tcPr>
            <w:tcW w:w="1658" w:type="dxa"/>
            <w:tcBorders>
              <w:tl2br w:val="nil"/>
              <w:tr2bl w:val="nil"/>
            </w:tcBorders>
            <w:vAlign w:val="center"/>
          </w:tcPr>
          <w:p>
            <w:pPr>
              <w:pStyle w:val="30"/>
              <w:bidi w:val="0"/>
              <w:rPr>
                <w:rFonts w:hint="eastAsia" w:eastAsia="宋体"/>
                <w:highlight w:val="none"/>
                <w:lang w:eastAsia="zh-CN"/>
              </w:rPr>
            </w:pPr>
            <w:r>
              <w:rPr>
                <w:rFonts w:hint="eastAsia"/>
                <w:highlight w:val="none"/>
                <w:lang w:val="en-US" w:eastAsia="zh-CN"/>
              </w:rPr>
              <w:t>/</w:t>
            </w:r>
          </w:p>
        </w:tc>
      </w:tr>
    </w:tbl>
    <w:p>
      <w:pPr>
        <w:pStyle w:val="29"/>
        <w:bidi w:val="0"/>
        <w:rPr>
          <w:rFonts w:hint="default"/>
          <w:highlight w:val="none"/>
          <w:lang w:val="en-US" w:eastAsia="zh-CN"/>
        </w:rPr>
      </w:pPr>
      <w:r>
        <w:rPr>
          <w:rFonts w:hint="eastAsia"/>
          <w:highlight w:val="none"/>
          <w:lang w:val="en-US" w:eastAsia="zh-CN"/>
        </w:rPr>
        <w:t>表5.2-15  恶臭无组织（肉牛屠宰车间）排放预测计算结果</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01"/>
        <w:gridCol w:w="1801"/>
        <w:gridCol w:w="1676"/>
        <w:gridCol w:w="1784"/>
        <w:gridCol w:w="165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vMerge w:val="restart"/>
            <w:tcBorders>
              <w:tl2br w:val="nil"/>
              <w:tr2bl w:val="nil"/>
            </w:tcBorders>
            <w:vAlign w:val="center"/>
          </w:tcPr>
          <w:p>
            <w:pPr>
              <w:pStyle w:val="30"/>
              <w:bidi w:val="0"/>
              <w:rPr>
                <w:highlight w:val="none"/>
              </w:rPr>
            </w:pPr>
            <w:r>
              <w:rPr>
                <w:highlight w:val="none"/>
              </w:rPr>
              <w:t>下风向距离</w:t>
            </w:r>
          </w:p>
        </w:tc>
        <w:tc>
          <w:tcPr>
            <w:tcW w:w="0" w:type="auto"/>
            <w:gridSpan w:val="4"/>
            <w:tcBorders>
              <w:tl2br w:val="nil"/>
              <w:tr2bl w:val="nil"/>
            </w:tcBorders>
            <w:vAlign w:val="center"/>
          </w:tcPr>
          <w:p>
            <w:pPr>
              <w:pStyle w:val="30"/>
              <w:bidi w:val="0"/>
              <w:rPr>
                <w:rFonts w:hint="eastAsia" w:eastAsia="宋体"/>
                <w:highlight w:val="none"/>
                <w:lang w:val="en-US" w:eastAsia="zh-CN"/>
              </w:rPr>
            </w:pPr>
            <w:r>
              <w:rPr>
                <w:rFonts w:hint="eastAsia"/>
                <w:highlight w:val="none"/>
                <w:lang w:val="en-US" w:eastAsia="zh-CN"/>
              </w:rPr>
              <w:t>肉牛</w:t>
            </w:r>
            <w:r>
              <w:rPr>
                <w:highlight w:val="none"/>
              </w:rPr>
              <w:t>屠宰</w:t>
            </w:r>
            <w:r>
              <w:rPr>
                <w:rFonts w:hint="eastAsia"/>
                <w:highlight w:val="none"/>
                <w:lang w:val="en-US" w:eastAsia="zh-CN"/>
              </w:rPr>
              <w:t>车间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vMerge w:val="continue"/>
            <w:tcBorders>
              <w:tl2br w:val="nil"/>
              <w:tr2bl w:val="nil"/>
            </w:tcBorders>
            <w:vAlign w:val="center"/>
          </w:tcPr>
          <w:p>
            <w:pPr>
              <w:pStyle w:val="30"/>
              <w:bidi w:val="0"/>
              <w:rPr>
                <w:highlight w:val="none"/>
              </w:rPr>
            </w:pPr>
          </w:p>
        </w:tc>
        <w:tc>
          <w:tcPr>
            <w:tcW w:w="0" w:type="auto"/>
            <w:tcBorders>
              <w:tl2br w:val="nil"/>
              <w:tr2bl w:val="nil"/>
            </w:tcBorders>
            <w:vAlign w:val="center"/>
          </w:tcPr>
          <w:p>
            <w:pPr>
              <w:pStyle w:val="30"/>
              <w:bidi w:val="0"/>
              <w:rPr>
                <w:highlight w:val="none"/>
              </w:rPr>
            </w:pPr>
            <w:r>
              <w:rPr>
                <w:highlight w:val="none"/>
              </w:rPr>
              <w:t>NH</w:t>
            </w:r>
            <w:r>
              <w:rPr>
                <w:highlight w:val="none"/>
                <w:vertAlign w:val="subscript"/>
              </w:rPr>
              <w:t>3</w:t>
            </w:r>
            <w:r>
              <w:rPr>
                <w:highlight w:val="none"/>
              </w:rPr>
              <w:t>浓度(μg/m³)</w:t>
            </w:r>
          </w:p>
        </w:tc>
        <w:tc>
          <w:tcPr>
            <w:tcW w:w="0" w:type="auto"/>
            <w:tcBorders>
              <w:tl2br w:val="nil"/>
              <w:tr2bl w:val="nil"/>
            </w:tcBorders>
            <w:vAlign w:val="center"/>
          </w:tcPr>
          <w:p>
            <w:pPr>
              <w:pStyle w:val="30"/>
              <w:bidi w:val="0"/>
              <w:rPr>
                <w:highlight w:val="none"/>
              </w:rPr>
            </w:pPr>
            <w:r>
              <w:rPr>
                <w:highlight w:val="none"/>
              </w:rPr>
              <w:t>NH</w:t>
            </w:r>
            <w:r>
              <w:rPr>
                <w:highlight w:val="none"/>
                <w:vertAlign w:val="subscript"/>
              </w:rPr>
              <w:t>3</w:t>
            </w:r>
            <w:r>
              <w:rPr>
                <w:highlight w:val="none"/>
              </w:rPr>
              <w:t>占标率(%)</w:t>
            </w:r>
          </w:p>
        </w:tc>
        <w:tc>
          <w:tcPr>
            <w:tcW w:w="0" w:type="auto"/>
            <w:tcBorders>
              <w:tl2br w:val="nil"/>
              <w:tr2bl w:val="nil"/>
            </w:tcBorders>
            <w:vAlign w:val="center"/>
          </w:tcPr>
          <w:p>
            <w:pPr>
              <w:pStyle w:val="30"/>
              <w:bidi w:val="0"/>
              <w:rPr>
                <w:highlight w:val="none"/>
              </w:rPr>
            </w:pPr>
            <w:r>
              <w:rPr>
                <w:highlight w:val="none"/>
              </w:rPr>
              <w:t>H</w:t>
            </w:r>
            <w:r>
              <w:rPr>
                <w:highlight w:val="none"/>
                <w:vertAlign w:val="subscript"/>
              </w:rPr>
              <w:t>2</w:t>
            </w:r>
            <w:r>
              <w:rPr>
                <w:highlight w:val="none"/>
              </w:rPr>
              <w:t>S浓度(μg/m³)</w:t>
            </w:r>
          </w:p>
        </w:tc>
        <w:tc>
          <w:tcPr>
            <w:tcW w:w="0" w:type="auto"/>
            <w:tcBorders>
              <w:tl2br w:val="nil"/>
              <w:tr2bl w:val="nil"/>
            </w:tcBorders>
            <w:vAlign w:val="center"/>
          </w:tcPr>
          <w:p>
            <w:pPr>
              <w:pStyle w:val="30"/>
              <w:bidi w:val="0"/>
              <w:rPr>
                <w:highlight w:val="none"/>
              </w:rPr>
            </w:pPr>
            <w:r>
              <w:rPr>
                <w:highlight w:val="none"/>
              </w:rPr>
              <w:t>H</w:t>
            </w:r>
            <w:r>
              <w:rPr>
                <w:highlight w:val="none"/>
                <w:vertAlign w:val="subscript"/>
              </w:rPr>
              <w:t>2</w:t>
            </w:r>
            <w:r>
              <w:rPr>
                <w:highlight w:val="none"/>
              </w:rPr>
              <w:t>S占标率(%)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50.0</w:t>
            </w:r>
          </w:p>
        </w:tc>
        <w:tc>
          <w:tcPr>
            <w:tcW w:w="1801" w:type="dxa"/>
            <w:tcBorders>
              <w:tl2br w:val="nil"/>
              <w:tr2bl w:val="nil"/>
            </w:tcBorders>
            <w:vAlign w:val="center"/>
          </w:tcPr>
          <w:p>
            <w:pPr>
              <w:pStyle w:val="30"/>
              <w:bidi w:val="0"/>
              <w:rPr>
                <w:highlight w:val="none"/>
              </w:rPr>
            </w:pPr>
            <w:r>
              <w:rPr>
                <w:highlight w:val="none"/>
              </w:rPr>
              <w:t>8.0095</w:t>
            </w:r>
          </w:p>
        </w:tc>
        <w:tc>
          <w:tcPr>
            <w:tcW w:w="1676" w:type="dxa"/>
            <w:tcBorders>
              <w:tl2br w:val="nil"/>
              <w:tr2bl w:val="nil"/>
            </w:tcBorders>
            <w:vAlign w:val="center"/>
          </w:tcPr>
          <w:p>
            <w:pPr>
              <w:pStyle w:val="30"/>
              <w:bidi w:val="0"/>
              <w:rPr>
                <w:highlight w:val="none"/>
              </w:rPr>
            </w:pPr>
            <w:r>
              <w:rPr>
                <w:highlight w:val="none"/>
              </w:rPr>
              <w:t>4.0047</w:t>
            </w:r>
          </w:p>
        </w:tc>
        <w:tc>
          <w:tcPr>
            <w:tcW w:w="1784" w:type="dxa"/>
            <w:tcBorders>
              <w:tl2br w:val="nil"/>
              <w:tr2bl w:val="nil"/>
            </w:tcBorders>
            <w:vAlign w:val="center"/>
          </w:tcPr>
          <w:p>
            <w:pPr>
              <w:pStyle w:val="30"/>
              <w:bidi w:val="0"/>
              <w:rPr>
                <w:highlight w:val="none"/>
              </w:rPr>
            </w:pPr>
            <w:r>
              <w:rPr>
                <w:highlight w:val="none"/>
              </w:rPr>
              <w:t>0.0556</w:t>
            </w:r>
          </w:p>
        </w:tc>
        <w:tc>
          <w:tcPr>
            <w:tcW w:w="1658" w:type="dxa"/>
            <w:tcBorders>
              <w:tl2br w:val="nil"/>
              <w:tr2bl w:val="nil"/>
            </w:tcBorders>
            <w:vAlign w:val="center"/>
          </w:tcPr>
          <w:p>
            <w:pPr>
              <w:pStyle w:val="30"/>
              <w:bidi w:val="0"/>
              <w:rPr>
                <w:highlight w:val="none"/>
              </w:rPr>
            </w:pPr>
            <w:r>
              <w:rPr>
                <w:highlight w:val="none"/>
              </w:rPr>
              <w:t>0.5562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100.0</w:t>
            </w:r>
          </w:p>
        </w:tc>
        <w:tc>
          <w:tcPr>
            <w:tcW w:w="1801" w:type="dxa"/>
            <w:tcBorders>
              <w:tl2br w:val="nil"/>
              <w:tr2bl w:val="nil"/>
            </w:tcBorders>
            <w:vAlign w:val="center"/>
          </w:tcPr>
          <w:p>
            <w:pPr>
              <w:pStyle w:val="30"/>
              <w:bidi w:val="0"/>
              <w:rPr>
                <w:highlight w:val="none"/>
              </w:rPr>
            </w:pPr>
            <w:r>
              <w:rPr>
                <w:highlight w:val="none"/>
              </w:rPr>
              <w:t>6.4785</w:t>
            </w:r>
          </w:p>
        </w:tc>
        <w:tc>
          <w:tcPr>
            <w:tcW w:w="1676" w:type="dxa"/>
            <w:tcBorders>
              <w:tl2br w:val="nil"/>
              <w:tr2bl w:val="nil"/>
            </w:tcBorders>
            <w:vAlign w:val="center"/>
          </w:tcPr>
          <w:p>
            <w:pPr>
              <w:pStyle w:val="30"/>
              <w:bidi w:val="0"/>
              <w:rPr>
                <w:highlight w:val="none"/>
              </w:rPr>
            </w:pPr>
            <w:r>
              <w:rPr>
                <w:highlight w:val="none"/>
              </w:rPr>
              <w:t>3.2393</w:t>
            </w:r>
          </w:p>
        </w:tc>
        <w:tc>
          <w:tcPr>
            <w:tcW w:w="1784" w:type="dxa"/>
            <w:tcBorders>
              <w:tl2br w:val="nil"/>
              <w:tr2bl w:val="nil"/>
            </w:tcBorders>
            <w:vAlign w:val="center"/>
          </w:tcPr>
          <w:p>
            <w:pPr>
              <w:pStyle w:val="30"/>
              <w:bidi w:val="0"/>
              <w:rPr>
                <w:highlight w:val="none"/>
              </w:rPr>
            </w:pPr>
            <w:r>
              <w:rPr>
                <w:highlight w:val="none"/>
              </w:rPr>
              <w:t>0.0450</w:t>
            </w:r>
          </w:p>
        </w:tc>
        <w:tc>
          <w:tcPr>
            <w:tcW w:w="1658" w:type="dxa"/>
            <w:tcBorders>
              <w:tl2br w:val="nil"/>
              <w:tr2bl w:val="nil"/>
            </w:tcBorders>
            <w:vAlign w:val="center"/>
          </w:tcPr>
          <w:p>
            <w:pPr>
              <w:pStyle w:val="30"/>
              <w:bidi w:val="0"/>
              <w:rPr>
                <w:highlight w:val="none"/>
              </w:rPr>
            </w:pPr>
            <w:r>
              <w:rPr>
                <w:highlight w:val="none"/>
              </w:rPr>
              <w:t>0.4499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200.0</w:t>
            </w:r>
          </w:p>
        </w:tc>
        <w:tc>
          <w:tcPr>
            <w:tcW w:w="1801" w:type="dxa"/>
            <w:tcBorders>
              <w:tl2br w:val="nil"/>
              <w:tr2bl w:val="nil"/>
            </w:tcBorders>
            <w:vAlign w:val="center"/>
          </w:tcPr>
          <w:p>
            <w:pPr>
              <w:pStyle w:val="30"/>
              <w:bidi w:val="0"/>
              <w:rPr>
                <w:highlight w:val="none"/>
              </w:rPr>
            </w:pPr>
            <w:r>
              <w:rPr>
                <w:highlight w:val="none"/>
              </w:rPr>
              <w:t>4.6207</w:t>
            </w:r>
          </w:p>
        </w:tc>
        <w:tc>
          <w:tcPr>
            <w:tcW w:w="1676" w:type="dxa"/>
            <w:tcBorders>
              <w:tl2br w:val="nil"/>
              <w:tr2bl w:val="nil"/>
            </w:tcBorders>
            <w:vAlign w:val="center"/>
          </w:tcPr>
          <w:p>
            <w:pPr>
              <w:pStyle w:val="30"/>
              <w:bidi w:val="0"/>
              <w:rPr>
                <w:highlight w:val="none"/>
              </w:rPr>
            </w:pPr>
            <w:r>
              <w:rPr>
                <w:highlight w:val="none"/>
              </w:rPr>
              <w:t>2.3104</w:t>
            </w:r>
          </w:p>
        </w:tc>
        <w:tc>
          <w:tcPr>
            <w:tcW w:w="1784" w:type="dxa"/>
            <w:tcBorders>
              <w:tl2br w:val="nil"/>
              <w:tr2bl w:val="nil"/>
            </w:tcBorders>
            <w:vAlign w:val="center"/>
          </w:tcPr>
          <w:p>
            <w:pPr>
              <w:pStyle w:val="30"/>
              <w:bidi w:val="0"/>
              <w:rPr>
                <w:highlight w:val="none"/>
              </w:rPr>
            </w:pPr>
            <w:r>
              <w:rPr>
                <w:highlight w:val="none"/>
              </w:rPr>
              <w:t>0.0321</w:t>
            </w:r>
          </w:p>
        </w:tc>
        <w:tc>
          <w:tcPr>
            <w:tcW w:w="1658" w:type="dxa"/>
            <w:tcBorders>
              <w:tl2br w:val="nil"/>
              <w:tr2bl w:val="nil"/>
            </w:tcBorders>
            <w:vAlign w:val="center"/>
          </w:tcPr>
          <w:p>
            <w:pPr>
              <w:pStyle w:val="30"/>
              <w:bidi w:val="0"/>
              <w:rPr>
                <w:highlight w:val="none"/>
              </w:rPr>
            </w:pPr>
            <w:r>
              <w:rPr>
                <w:highlight w:val="none"/>
              </w:rPr>
              <w:t>0.3209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300.0</w:t>
            </w:r>
          </w:p>
        </w:tc>
        <w:tc>
          <w:tcPr>
            <w:tcW w:w="1801" w:type="dxa"/>
            <w:tcBorders>
              <w:tl2br w:val="nil"/>
              <w:tr2bl w:val="nil"/>
            </w:tcBorders>
            <w:vAlign w:val="center"/>
          </w:tcPr>
          <w:p>
            <w:pPr>
              <w:pStyle w:val="30"/>
              <w:bidi w:val="0"/>
              <w:rPr>
                <w:highlight w:val="none"/>
              </w:rPr>
            </w:pPr>
            <w:r>
              <w:rPr>
                <w:highlight w:val="none"/>
              </w:rPr>
              <w:t>3.7743</w:t>
            </w:r>
          </w:p>
        </w:tc>
        <w:tc>
          <w:tcPr>
            <w:tcW w:w="1676" w:type="dxa"/>
            <w:tcBorders>
              <w:tl2br w:val="nil"/>
              <w:tr2bl w:val="nil"/>
            </w:tcBorders>
            <w:vAlign w:val="center"/>
          </w:tcPr>
          <w:p>
            <w:pPr>
              <w:pStyle w:val="30"/>
              <w:bidi w:val="0"/>
              <w:rPr>
                <w:highlight w:val="none"/>
              </w:rPr>
            </w:pPr>
            <w:r>
              <w:rPr>
                <w:highlight w:val="none"/>
              </w:rPr>
              <w:t>1.8871</w:t>
            </w:r>
          </w:p>
        </w:tc>
        <w:tc>
          <w:tcPr>
            <w:tcW w:w="1784" w:type="dxa"/>
            <w:tcBorders>
              <w:tl2br w:val="nil"/>
              <w:tr2bl w:val="nil"/>
            </w:tcBorders>
            <w:vAlign w:val="center"/>
          </w:tcPr>
          <w:p>
            <w:pPr>
              <w:pStyle w:val="30"/>
              <w:bidi w:val="0"/>
              <w:rPr>
                <w:highlight w:val="none"/>
              </w:rPr>
            </w:pPr>
            <w:r>
              <w:rPr>
                <w:highlight w:val="none"/>
              </w:rPr>
              <w:t>0.0262</w:t>
            </w:r>
          </w:p>
        </w:tc>
        <w:tc>
          <w:tcPr>
            <w:tcW w:w="1658" w:type="dxa"/>
            <w:tcBorders>
              <w:tl2br w:val="nil"/>
              <w:tr2bl w:val="nil"/>
            </w:tcBorders>
            <w:vAlign w:val="center"/>
          </w:tcPr>
          <w:p>
            <w:pPr>
              <w:pStyle w:val="30"/>
              <w:bidi w:val="0"/>
              <w:rPr>
                <w:highlight w:val="none"/>
              </w:rPr>
            </w:pPr>
            <w:r>
              <w:rPr>
                <w:highlight w:val="none"/>
              </w:rPr>
              <w:t>0.2621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400.0</w:t>
            </w:r>
          </w:p>
        </w:tc>
        <w:tc>
          <w:tcPr>
            <w:tcW w:w="1801" w:type="dxa"/>
            <w:tcBorders>
              <w:tl2br w:val="nil"/>
              <w:tr2bl w:val="nil"/>
            </w:tcBorders>
            <w:vAlign w:val="center"/>
          </w:tcPr>
          <w:p>
            <w:pPr>
              <w:pStyle w:val="30"/>
              <w:bidi w:val="0"/>
              <w:rPr>
                <w:highlight w:val="none"/>
              </w:rPr>
            </w:pPr>
            <w:r>
              <w:rPr>
                <w:highlight w:val="none"/>
              </w:rPr>
              <w:t>3.1341</w:t>
            </w:r>
          </w:p>
        </w:tc>
        <w:tc>
          <w:tcPr>
            <w:tcW w:w="1676" w:type="dxa"/>
            <w:tcBorders>
              <w:tl2br w:val="nil"/>
              <w:tr2bl w:val="nil"/>
            </w:tcBorders>
            <w:vAlign w:val="center"/>
          </w:tcPr>
          <w:p>
            <w:pPr>
              <w:pStyle w:val="30"/>
              <w:bidi w:val="0"/>
              <w:rPr>
                <w:highlight w:val="none"/>
              </w:rPr>
            </w:pPr>
            <w:r>
              <w:rPr>
                <w:highlight w:val="none"/>
              </w:rPr>
              <w:t>1.5671</w:t>
            </w:r>
          </w:p>
        </w:tc>
        <w:tc>
          <w:tcPr>
            <w:tcW w:w="1784" w:type="dxa"/>
            <w:tcBorders>
              <w:tl2br w:val="nil"/>
              <w:tr2bl w:val="nil"/>
            </w:tcBorders>
            <w:vAlign w:val="center"/>
          </w:tcPr>
          <w:p>
            <w:pPr>
              <w:pStyle w:val="30"/>
              <w:bidi w:val="0"/>
              <w:rPr>
                <w:highlight w:val="none"/>
              </w:rPr>
            </w:pPr>
            <w:r>
              <w:rPr>
                <w:highlight w:val="none"/>
              </w:rPr>
              <w:t>0.0218</w:t>
            </w:r>
          </w:p>
        </w:tc>
        <w:tc>
          <w:tcPr>
            <w:tcW w:w="1658" w:type="dxa"/>
            <w:tcBorders>
              <w:tl2br w:val="nil"/>
              <w:tr2bl w:val="nil"/>
            </w:tcBorders>
            <w:vAlign w:val="center"/>
          </w:tcPr>
          <w:p>
            <w:pPr>
              <w:pStyle w:val="30"/>
              <w:bidi w:val="0"/>
              <w:rPr>
                <w:highlight w:val="none"/>
              </w:rPr>
            </w:pPr>
            <w:r>
              <w:rPr>
                <w:highlight w:val="none"/>
              </w:rPr>
              <w:t>0.2176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500.0</w:t>
            </w:r>
          </w:p>
        </w:tc>
        <w:tc>
          <w:tcPr>
            <w:tcW w:w="1801" w:type="dxa"/>
            <w:tcBorders>
              <w:tl2br w:val="nil"/>
              <w:tr2bl w:val="nil"/>
            </w:tcBorders>
            <w:vAlign w:val="center"/>
          </w:tcPr>
          <w:p>
            <w:pPr>
              <w:pStyle w:val="30"/>
              <w:bidi w:val="0"/>
              <w:rPr>
                <w:highlight w:val="none"/>
              </w:rPr>
            </w:pPr>
            <w:r>
              <w:rPr>
                <w:highlight w:val="none"/>
              </w:rPr>
              <w:t>2.7982</w:t>
            </w:r>
          </w:p>
        </w:tc>
        <w:tc>
          <w:tcPr>
            <w:tcW w:w="1676" w:type="dxa"/>
            <w:tcBorders>
              <w:tl2br w:val="nil"/>
              <w:tr2bl w:val="nil"/>
            </w:tcBorders>
            <w:vAlign w:val="center"/>
          </w:tcPr>
          <w:p>
            <w:pPr>
              <w:pStyle w:val="30"/>
              <w:bidi w:val="0"/>
              <w:rPr>
                <w:highlight w:val="none"/>
              </w:rPr>
            </w:pPr>
            <w:r>
              <w:rPr>
                <w:highlight w:val="none"/>
              </w:rPr>
              <w:t>1.3991</w:t>
            </w:r>
          </w:p>
        </w:tc>
        <w:tc>
          <w:tcPr>
            <w:tcW w:w="1784" w:type="dxa"/>
            <w:tcBorders>
              <w:tl2br w:val="nil"/>
              <w:tr2bl w:val="nil"/>
            </w:tcBorders>
            <w:vAlign w:val="center"/>
          </w:tcPr>
          <w:p>
            <w:pPr>
              <w:pStyle w:val="30"/>
              <w:bidi w:val="0"/>
              <w:rPr>
                <w:highlight w:val="none"/>
              </w:rPr>
            </w:pPr>
            <w:r>
              <w:rPr>
                <w:highlight w:val="none"/>
              </w:rPr>
              <w:t>0.0194</w:t>
            </w:r>
          </w:p>
        </w:tc>
        <w:tc>
          <w:tcPr>
            <w:tcW w:w="1658" w:type="dxa"/>
            <w:tcBorders>
              <w:tl2br w:val="nil"/>
              <w:tr2bl w:val="nil"/>
            </w:tcBorders>
            <w:vAlign w:val="center"/>
          </w:tcPr>
          <w:p>
            <w:pPr>
              <w:pStyle w:val="30"/>
              <w:bidi w:val="0"/>
              <w:rPr>
                <w:highlight w:val="none"/>
              </w:rPr>
            </w:pPr>
            <w:r>
              <w:rPr>
                <w:highlight w:val="none"/>
              </w:rPr>
              <w:t>0.1943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600.0</w:t>
            </w:r>
          </w:p>
        </w:tc>
        <w:tc>
          <w:tcPr>
            <w:tcW w:w="1801" w:type="dxa"/>
            <w:tcBorders>
              <w:tl2br w:val="nil"/>
              <w:tr2bl w:val="nil"/>
            </w:tcBorders>
            <w:vAlign w:val="center"/>
          </w:tcPr>
          <w:p>
            <w:pPr>
              <w:pStyle w:val="30"/>
              <w:bidi w:val="0"/>
              <w:rPr>
                <w:highlight w:val="none"/>
              </w:rPr>
            </w:pPr>
            <w:r>
              <w:rPr>
                <w:highlight w:val="none"/>
              </w:rPr>
              <w:t>2.5318</w:t>
            </w:r>
          </w:p>
        </w:tc>
        <w:tc>
          <w:tcPr>
            <w:tcW w:w="1676" w:type="dxa"/>
            <w:tcBorders>
              <w:tl2br w:val="nil"/>
              <w:tr2bl w:val="nil"/>
            </w:tcBorders>
            <w:vAlign w:val="center"/>
          </w:tcPr>
          <w:p>
            <w:pPr>
              <w:pStyle w:val="30"/>
              <w:bidi w:val="0"/>
              <w:rPr>
                <w:highlight w:val="none"/>
              </w:rPr>
            </w:pPr>
            <w:r>
              <w:rPr>
                <w:highlight w:val="none"/>
              </w:rPr>
              <w:t>1.2659</w:t>
            </w:r>
          </w:p>
        </w:tc>
        <w:tc>
          <w:tcPr>
            <w:tcW w:w="1784" w:type="dxa"/>
            <w:tcBorders>
              <w:tl2br w:val="nil"/>
              <w:tr2bl w:val="nil"/>
            </w:tcBorders>
            <w:vAlign w:val="center"/>
          </w:tcPr>
          <w:p>
            <w:pPr>
              <w:pStyle w:val="30"/>
              <w:bidi w:val="0"/>
              <w:rPr>
                <w:highlight w:val="none"/>
              </w:rPr>
            </w:pPr>
            <w:r>
              <w:rPr>
                <w:highlight w:val="none"/>
              </w:rPr>
              <w:t>0.0176</w:t>
            </w:r>
          </w:p>
        </w:tc>
        <w:tc>
          <w:tcPr>
            <w:tcW w:w="1658" w:type="dxa"/>
            <w:tcBorders>
              <w:tl2br w:val="nil"/>
              <w:tr2bl w:val="nil"/>
            </w:tcBorders>
            <w:vAlign w:val="center"/>
          </w:tcPr>
          <w:p>
            <w:pPr>
              <w:pStyle w:val="30"/>
              <w:bidi w:val="0"/>
              <w:rPr>
                <w:highlight w:val="none"/>
              </w:rPr>
            </w:pPr>
            <w:r>
              <w:rPr>
                <w:highlight w:val="none"/>
              </w:rPr>
              <w:t>0.1758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700.0</w:t>
            </w:r>
          </w:p>
        </w:tc>
        <w:tc>
          <w:tcPr>
            <w:tcW w:w="1801" w:type="dxa"/>
            <w:tcBorders>
              <w:tl2br w:val="nil"/>
              <w:tr2bl w:val="nil"/>
            </w:tcBorders>
            <w:vAlign w:val="center"/>
          </w:tcPr>
          <w:p>
            <w:pPr>
              <w:pStyle w:val="30"/>
              <w:bidi w:val="0"/>
              <w:rPr>
                <w:highlight w:val="none"/>
              </w:rPr>
            </w:pPr>
            <w:r>
              <w:rPr>
                <w:highlight w:val="none"/>
              </w:rPr>
              <w:t>2.3263</w:t>
            </w:r>
          </w:p>
        </w:tc>
        <w:tc>
          <w:tcPr>
            <w:tcW w:w="1676" w:type="dxa"/>
            <w:tcBorders>
              <w:tl2br w:val="nil"/>
              <w:tr2bl w:val="nil"/>
            </w:tcBorders>
            <w:vAlign w:val="center"/>
          </w:tcPr>
          <w:p>
            <w:pPr>
              <w:pStyle w:val="30"/>
              <w:bidi w:val="0"/>
              <w:rPr>
                <w:highlight w:val="none"/>
              </w:rPr>
            </w:pPr>
            <w:r>
              <w:rPr>
                <w:highlight w:val="none"/>
              </w:rPr>
              <w:t>1.1631</w:t>
            </w:r>
          </w:p>
        </w:tc>
        <w:tc>
          <w:tcPr>
            <w:tcW w:w="1784" w:type="dxa"/>
            <w:tcBorders>
              <w:tl2br w:val="nil"/>
              <w:tr2bl w:val="nil"/>
            </w:tcBorders>
            <w:vAlign w:val="center"/>
          </w:tcPr>
          <w:p>
            <w:pPr>
              <w:pStyle w:val="30"/>
              <w:bidi w:val="0"/>
              <w:rPr>
                <w:highlight w:val="none"/>
              </w:rPr>
            </w:pPr>
            <w:r>
              <w:rPr>
                <w:highlight w:val="none"/>
              </w:rPr>
              <w:t>0.0162</w:t>
            </w:r>
          </w:p>
        </w:tc>
        <w:tc>
          <w:tcPr>
            <w:tcW w:w="1658" w:type="dxa"/>
            <w:tcBorders>
              <w:tl2br w:val="nil"/>
              <w:tr2bl w:val="nil"/>
            </w:tcBorders>
            <w:vAlign w:val="center"/>
          </w:tcPr>
          <w:p>
            <w:pPr>
              <w:pStyle w:val="30"/>
              <w:bidi w:val="0"/>
              <w:rPr>
                <w:highlight w:val="none"/>
              </w:rPr>
            </w:pPr>
            <w:r>
              <w:rPr>
                <w:highlight w:val="none"/>
              </w:rPr>
              <w:t>0.1615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800.0</w:t>
            </w:r>
          </w:p>
        </w:tc>
        <w:tc>
          <w:tcPr>
            <w:tcW w:w="1801" w:type="dxa"/>
            <w:tcBorders>
              <w:tl2br w:val="nil"/>
              <w:tr2bl w:val="nil"/>
            </w:tcBorders>
            <w:vAlign w:val="center"/>
          </w:tcPr>
          <w:p>
            <w:pPr>
              <w:pStyle w:val="30"/>
              <w:bidi w:val="0"/>
              <w:rPr>
                <w:highlight w:val="none"/>
              </w:rPr>
            </w:pPr>
            <w:r>
              <w:rPr>
                <w:highlight w:val="none"/>
              </w:rPr>
              <w:t>2.1821</w:t>
            </w:r>
          </w:p>
        </w:tc>
        <w:tc>
          <w:tcPr>
            <w:tcW w:w="1676" w:type="dxa"/>
            <w:tcBorders>
              <w:tl2br w:val="nil"/>
              <w:tr2bl w:val="nil"/>
            </w:tcBorders>
            <w:vAlign w:val="center"/>
          </w:tcPr>
          <w:p>
            <w:pPr>
              <w:pStyle w:val="30"/>
              <w:bidi w:val="0"/>
              <w:rPr>
                <w:highlight w:val="none"/>
              </w:rPr>
            </w:pPr>
            <w:r>
              <w:rPr>
                <w:highlight w:val="none"/>
              </w:rPr>
              <w:t>1.0911</w:t>
            </w:r>
          </w:p>
        </w:tc>
        <w:tc>
          <w:tcPr>
            <w:tcW w:w="1784" w:type="dxa"/>
            <w:tcBorders>
              <w:tl2br w:val="nil"/>
              <w:tr2bl w:val="nil"/>
            </w:tcBorders>
            <w:vAlign w:val="center"/>
          </w:tcPr>
          <w:p>
            <w:pPr>
              <w:pStyle w:val="30"/>
              <w:bidi w:val="0"/>
              <w:rPr>
                <w:highlight w:val="none"/>
              </w:rPr>
            </w:pPr>
            <w:r>
              <w:rPr>
                <w:highlight w:val="none"/>
              </w:rPr>
              <w:t>0.0152</w:t>
            </w:r>
          </w:p>
        </w:tc>
        <w:tc>
          <w:tcPr>
            <w:tcW w:w="1658" w:type="dxa"/>
            <w:tcBorders>
              <w:tl2br w:val="nil"/>
              <w:tr2bl w:val="nil"/>
            </w:tcBorders>
            <w:vAlign w:val="center"/>
          </w:tcPr>
          <w:p>
            <w:pPr>
              <w:pStyle w:val="30"/>
              <w:bidi w:val="0"/>
              <w:rPr>
                <w:highlight w:val="none"/>
              </w:rPr>
            </w:pPr>
            <w:r>
              <w:rPr>
                <w:highlight w:val="none"/>
              </w:rPr>
              <w:t>0.1515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900.0</w:t>
            </w:r>
          </w:p>
        </w:tc>
        <w:tc>
          <w:tcPr>
            <w:tcW w:w="1801" w:type="dxa"/>
            <w:tcBorders>
              <w:tl2br w:val="nil"/>
              <w:tr2bl w:val="nil"/>
            </w:tcBorders>
            <w:vAlign w:val="center"/>
          </w:tcPr>
          <w:p>
            <w:pPr>
              <w:pStyle w:val="30"/>
              <w:bidi w:val="0"/>
              <w:rPr>
                <w:highlight w:val="none"/>
              </w:rPr>
            </w:pPr>
            <w:r>
              <w:rPr>
                <w:highlight w:val="none"/>
              </w:rPr>
              <w:t>2.0855</w:t>
            </w:r>
          </w:p>
        </w:tc>
        <w:tc>
          <w:tcPr>
            <w:tcW w:w="1676" w:type="dxa"/>
            <w:tcBorders>
              <w:tl2br w:val="nil"/>
              <w:tr2bl w:val="nil"/>
            </w:tcBorders>
            <w:vAlign w:val="center"/>
          </w:tcPr>
          <w:p>
            <w:pPr>
              <w:pStyle w:val="30"/>
              <w:bidi w:val="0"/>
              <w:rPr>
                <w:highlight w:val="none"/>
              </w:rPr>
            </w:pPr>
            <w:r>
              <w:rPr>
                <w:highlight w:val="none"/>
              </w:rPr>
              <w:t>1.0428</w:t>
            </w:r>
          </w:p>
        </w:tc>
        <w:tc>
          <w:tcPr>
            <w:tcW w:w="1784" w:type="dxa"/>
            <w:tcBorders>
              <w:tl2br w:val="nil"/>
              <w:tr2bl w:val="nil"/>
            </w:tcBorders>
            <w:vAlign w:val="center"/>
          </w:tcPr>
          <w:p>
            <w:pPr>
              <w:pStyle w:val="30"/>
              <w:bidi w:val="0"/>
              <w:rPr>
                <w:highlight w:val="none"/>
              </w:rPr>
            </w:pPr>
            <w:r>
              <w:rPr>
                <w:highlight w:val="none"/>
              </w:rPr>
              <w:t>0.0145</w:t>
            </w:r>
          </w:p>
        </w:tc>
        <w:tc>
          <w:tcPr>
            <w:tcW w:w="1658" w:type="dxa"/>
            <w:tcBorders>
              <w:tl2br w:val="nil"/>
              <w:tr2bl w:val="nil"/>
            </w:tcBorders>
            <w:vAlign w:val="center"/>
          </w:tcPr>
          <w:p>
            <w:pPr>
              <w:pStyle w:val="30"/>
              <w:bidi w:val="0"/>
              <w:rPr>
                <w:highlight w:val="none"/>
              </w:rPr>
            </w:pPr>
            <w:r>
              <w:rPr>
                <w:highlight w:val="none"/>
              </w:rPr>
              <w:t>0.1448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1000.0</w:t>
            </w:r>
          </w:p>
        </w:tc>
        <w:tc>
          <w:tcPr>
            <w:tcW w:w="1801" w:type="dxa"/>
            <w:tcBorders>
              <w:tl2br w:val="nil"/>
              <w:tr2bl w:val="nil"/>
            </w:tcBorders>
            <w:vAlign w:val="center"/>
          </w:tcPr>
          <w:p>
            <w:pPr>
              <w:pStyle w:val="30"/>
              <w:bidi w:val="0"/>
              <w:rPr>
                <w:highlight w:val="none"/>
              </w:rPr>
            </w:pPr>
            <w:r>
              <w:rPr>
                <w:highlight w:val="none"/>
              </w:rPr>
              <w:t>1.9745</w:t>
            </w:r>
          </w:p>
        </w:tc>
        <w:tc>
          <w:tcPr>
            <w:tcW w:w="1676" w:type="dxa"/>
            <w:tcBorders>
              <w:tl2br w:val="nil"/>
              <w:tr2bl w:val="nil"/>
            </w:tcBorders>
            <w:vAlign w:val="center"/>
          </w:tcPr>
          <w:p>
            <w:pPr>
              <w:pStyle w:val="30"/>
              <w:bidi w:val="0"/>
              <w:rPr>
                <w:highlight w:val="none"/>
              </w:rPr>
            </w:pPr>
            <w:r>
              <w:rPr>
                <w:highlight w:val="none"/>
              </w:rPr>
              <w:t>0.9872</w:t>
            </w:r>
          </w:p>
        </w:tc>
        <w:tc>
          <w:tcPr>
            <w:tcW w:w="1784" w:type="dxa"/>
            <w:tcBorders>
              <w:tl2br w:val="nil"/>
              <w:tr2bl w:val="nil"/>
            </w:tcBorders>
            <w:vAlign w:val="center"/>
          </w:tcPr>
          <w:p>
            <w:pPr>
              <w:pStyle w:val="30"/>
              <w:bidi w:val="0"/>
              <w:rPr>
                <w:highlight w:val="none"/>
              </w:rPr>
            </w:pPr>
            <w:r>
              <w:rPr>
                <w:highlight w:val="none"/>
              </w:rPr>
              <w:t>0.0137</w:t>
            </w:r>
          </w:p>
        </w:tc>
        <w:tc>
          <w:tcPr>
            <w:tcW w:w="1658" w:type="dxa"/>
            <w:tcBorders>
              <w:tl2br w:val="nil"/>
              <w:tr2bl w:val="nil"/>
            </w:tcBorders>
            <w:vAlign w:val="center"/>
          </w:tcPr>
          <w:p>
            <w:pPr>
              <w:pStyle w:val="30"/>
              <w:bidi w:val="0"/>
              <w:rPr>
                <w:highlight w:val="none"/>
              </w:rPr>
            </w:pPr>
            <w:r>
              <w:rPr>
                <w:highlight w:val="none"/>
              </w:rPr>
              <w:t>0.1371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1200.0</w:t>
            </w:r>
          </w:p>
        </w:tc>
        <w:tc>
          <w:tcPr>
            <w:tcW w:w="1801" w:type="dxa"/>
            <w:tcBorders>
              <w:tl2br w:val="nil"/>
              <w:tr2bl w:val="nil"/>
            </w:tcBorders>
            <w:vAlign w:val="center"/>
          </w:tcPr>
          <w:p>
            <w:pPr>
              <w:pStyle w:val="30"/>
              <w:bidi w:val="0"/>
              <w:rPr>
                <w:highlight w:val="none"/>
              </w:rPr>
            </w:pPr>
            <w:r>
              <w:rPr>
                <w:highlight w:val="none"/>
              </w:rPr>
              <w:t>1.7784</w:t>
            </w:r>
          </w:p>
        </w:tc>
        <w:tc>
          <w:tcPr>
            <w:tcW w:w="1676" w:type="dxa"/>
            <w:tcBorders>
              <w:tl2br w:val="nil"/>
              <w:tr2bl w:val="nil"/>
            </w:tcBorders>
            <w:vAlign w:val="center"/>
          </w:tcPr>
          <w:p>
            <w:pPr>
              <w:pStyle w:val="30"/>
              <w:bidi w:val="0"/>
              <w:rPr>
                <w:highlight w:val="none"/>
              </w:rPr>
            </w:pPr>
            <w:r>
              <w:rPr>
                <w:highlight w:val="none"/>
              </w:rPr>
              <w:t>0.8892</w:t>
            </w:r>
          </w:p>
        </w:tc>
        <w:tc>
          <w:tcPr>
            <w:tcW w:w="1784" w:type="dxa"/>
            <w:tcBorders>
              <w:tl2br w:val="nil"/>
              <w:tr2bl w:val="nil"/>
            </w:tcBorders>
            <w:vAlign w:val="center"/>
          </w:tcPr>
          <w:p>
            <w:pPr>
              <w:pStyle w:val="30"/>
              <w:bidi w:val="0"/>
              <w:rPr>
                <w:highlight w:val="none"/>
              </w:rPr>
            </w:pPr>
            <w:r>
              <w:rPr>
                <w:highlight w:val="none"/>
              </w:rPr>
              <w:t>0.0123</w:t>
            </w:r>
          </w:p>
        </w:tc>
        <w:tc>
          <w:tcPr>
            <w:tcW w:w="1658" w:type="dxa"/>
            <w:tcBorders>
              <w:tl2br w:val="nil"/>
              <w:tr2bl w:val="nil"/>
            </w:tcBorders>
            <w:vAlign w:val="center"/>
          </w:tcPr>
          <w:p>
            <w:pPr>
              <w:pStyle w:val="30"/>
              <w:bidi w:val="0"/>
              <w:rPr>
                <w:highlight w:val="none"/>
              </w:rPr>
            </w:pPr>
            <w:r>
              <w:rPr>
                <w:highlight w:val="none"/>
              </w:rPr>
              <w:t>0.1235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1400.0</w:t>
            </w:r>
          </w:p>
        </w:tc>
        <w:tc>
          <w:tcPr>
            <w:tcW w:w="1801" w:type="dxa"/>
            <w:tcBorders>
              <w:tl2br w:val="nil"/>
              <w:tr2bl w:val="nil"/>
            </w:tcBorders>
            <w:vAlign w:val="center"/>
          </w:tcPr>
          <w:p>
            <w:pPr>
              <w:pStyle w:val="30"/>
              <w:bidi w:val="0"/>
              <w:rPr>
                <w:highlight w:val="none"/>
              </w:rPr>
            </w:pPr>
            <w:r>
              <w:rPr>
                <w:highlight w:val="none"/>
              </w:rPr>
              <w:t>1.6115</w:t>
            </w:r>
          </w:p>
        </w:tc>
        <w:tc>
          <w:tcPr>
            <w:tcW w:w="1676" w:type="dxa"/>
            <w:tcBorders>
              <w:tl2br w:val="nil"/>
              <w:tr2bl w:val="nil"/>
            </w:tcBorders>
            <w:vAlign w:val="center"/>
          </w:tcPr>
          <w:p>
            <w:pPr>
              <w:pStyle w:val="30"/>
              <w:bidi w:val="0"/>
              <w:rPr>
                <w:highlight w:val="none"/>
              </w:rPr>
            </w:pPr>
            <w:r>
              <w:rPr>
                <w:highlight w:val="none"/>
              </w:rPr>
              <w:t>0.8058</w:t>
            </w:r>
          </w:p>
        </w:tc>
        <w:tc>
          <w:tcPr>
            <w:tcW w:w="1784" w:type="dxa"/>
            <w:tcBorders>
              <w:tl2br w:val="nil"/>
              <w:tr2bl w:val="nil"/>
            </w:tcBorders>
            <w:vAlign w:val="center"/>
          </w:tcPr>
          <w:p>
            <w:pPr>
              <w:pStyle w:val="30"/>
              <w:bidi w:val="0"/>
              <w:rPr>
                <w:highlight w:val="none"/>
              </w:rPr>
            </w:pPr>
            <w:r>
              <w:rPr>
                <w:highlight w:val="none"/>
              </w:rPr>
              <w:t>0.0112</w:t>
            </w:r>
          </w:p>
        </w:tc>
        <w:tc>
          <w:tcPr>
            <w:tcW w:w="1658" w:type="dxa"/>
            <w:tcBorders>
              <w:tl2br w:val="nil"/>
              <w:tr2bl w:val="nil"/>
            </w:tcBorders>
            <w:vAlign w:val="center"/>
          </w:tcPr>
          <w:p>
            <w:pPr>
              <w:pStyle w:val="30"/>
              <w:bidi w:val="0"/>
              <w:rPr>
                <w:highlight w:val="none"/>
              </w:rPr>
            </w:pPr>
            <w:r>
              <w:rPr>
                <w:highlight w:val="none"/>
              </w:rPr>
              <w:t>0.1119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1600.0</w:t>
            </w:r>
          </w:p>
        </w:tc>
        <w:tc>
          <w:tcPr>
            <w:tcW w:w="1801" w:type="dxa"/>
            <w:tcBorders>
              <w:tl2br w:val="nil"/>
              <w:tr2bl w:val="nil"/>
            </w:tcBorders>
            <w:vAlign w:val="center"/>
          </w:tcPr>
          <w:p>
            <w:pPr>
              <w:pStyle w:val="30"/>
              <w:bidi w:val="0"/>
              <w:rPr>
                <w:highlight w:val="none"/>
              </w:rPr>
            </w:pPr>
            <w:r>
              <w:rPr>
                <w:highlight w:val="none"/>
              </w:rPr>
              <w:t>1.4685</w:t>
            </w:r>
          </w:p>
        </w:tc>
        <w:tc>
          <w:tcPr>
            <w:tcW w:w="1676" w:type="dxa"/>
            <w:tcBorders>
              <w:tl2br w:val="nil"/>
              <w:tr2bl w:val="nil"/>
            </w:tcBorders>
            <w:vAlign w:val="center"/>
          </w:tcPr>
          <w:p>
            <w:pPr>
              <w:pStyle w:val="30"/>
              <w:bidi w:val="0"/>
              <w:rPr>
                <w:highlight w:val="none"/>
              </w:rPr>
            </w:pPr>
            <w:r>
              <w:rPr>
                <w:highlight w:val="none"/>
              </w:rPr>
              <w:t>0.7342</w:t>
            </w:r>
          </w:p>
        </w:tc>
        <w:tc>
          <w:tcPr>
            <w:tcW w:w="1784" w:type="dxa"/>
            <w:tcBorders>
              <w:tl2br w:val="nil"/>
              <w:tr2bl w:val="nil"/>
            </w:tcBorders>
            <w:vAlign w:val="center"/>
          </w:tcPr>
          <w:p>
            <w:pPr>
              <w:pStyle w:val="30"/>
              <w:bidi w:val="0"/>
              <w:rPr>
                <w:highlight w:val="none"/>
              </w:rPr>
            </w:pPr>
            <w:r>
              <w:rPr>
                <w:highlight w:val="none"/>
              </w:rPr>
              <w:t>0.0102</w:t>
            </w:r>
          </w:p>
        </w:tc>
        <w:tc>
          <w:tcPr>
            <w:tcW w:w="1658" w:type="dxa"/>
            <w:tcBorders>
              <w:tl2br w:val="nil"/>
              <w:tr2bl w:val="nil"/>
            </w:tcBorders>
            <w:vAlign w:val="center"/>
          </w:tcPr>
          <w:p>
            <w:pPr>
              <w:pStyle w:val="30"/>
              <w:bidi w:val="0"/>
              <w:rPr>
                <w:highlight w:val="none"/>
              </w:rPr>
            </w:pPr>
            <w:r>
              <w:rPr>
                <w:highlight w:val="none"/>
              </w:rPr>
              <w:t>0.1020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1800.0</w:t>
            </w:r>
          </w:p>
        </w:tc>
        <w:tc>
          <w:tcPr>
            <w:tcW w:w="1801" w:type="dxa"/>
            <w:tcBorders>
              <w:tl2br w:val="nil"/>
              <w:tr2bl w:val="nil"/>
            </w:tcBorders>
            <w:vAlign w:val="center"/>
          </w:tcPr>
          <w:p>
            <w:pPr>
              <w:pStyle w:val="30"/>
              <w:bidi w:val="0"/>
              <w:rPr>
                <w:highlight w:val="none"/>
              </w:rPr>
            </w:pPr>
            <w:r>
              <w:rPr>
                <w:highlight w:val="none"/>
              </w:rPr>
              <w:t>1.3483</w:t>
            </w:r>
          </w:p>
        </w:tc>
        <w:tc>
          <w:tcPr>
            <w:tcW w:w="1676" w:type="dxa"/>
            <w:tcBorders>
              <w:tl2br w:val="nil"/>
              <w:tr2bl w:val="nil"/>
            </w:tcBorders>
            <w:vAlign w:val="center"/>
          </w:tcPr>
          <w:p>
            <w:pPr>
              <w:pStyle w:val="30"/>
              <w:bidi w:val="0"/>
              <w:rPr>
                <w:highlight w:val="none"/>
              </w:rPr>
            </w:pPr>
            <w:r>
              <w:rPr>
                <w:highlight w:val="none"/>
              </w:rPr>
              <w:t>0.6742</w:t>
            </w:r>
          </w:p>
        </w:tc>
        <w:tc>
          <w:tcPr>
            <w:tcW w:w="1784" w:type="dxa"/>
            <w:tcBorders>
              <w:tl2br w:val="nil"/>
              <w:tr2bl w:val="nil"/>
            </w:tcBorders>
            <w:vAlign w:val="center"/>
          </w:tcPr>
          <w:p>
            <w:pPr>
              <w:pStyle w:val="30"/>
              <w:bidi w:val="0"/>
              <w:rPr>
                <w:highlight w:val="none"/>
              </w:rPr>
            </w:pPr>
            <w:r>
              <w:rPr>
                <w:highlight w:val="none"/>
              </w:rPr>
              <w:t>0.0094</w:t>
            </w:r>
          </w:p>
        </w:tc>
        <w:tc>
          <w:tcPr>
            <w:tcW w:w="1658" w:type="dxa"/>
            <w:tcBorders>
              <w:tl2br w:val="nil"/>
              <w:tr2bl w:val="nil"/>
            </w:tcBorders>
            <w:vAlign w:val="center"/>
          </w:tcPr>
          <w:p>
            <w:pPr>
              <w:pStyle w:val="30"/>
              <w:bidi w:val="0"/>
              <w:rPr>
                <w:highlight w:val="none"/>
              </w:rPr>
            </w:pPr>
            <w:r>
              <w:rPr>
                <w:highlight w:val="none"/>
              </w:rPr>
              <w:t>0.0936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2000.0</w:t>
            </w:r>
          </w:p>
        </w:tc>
        <w:tc>
          <w:tcPr>
            <w:tcW w:w="1801" w:type="dxa"/>
            <w:tcBorders>
              <w:tl2br w:val="nil"/>
              <w:tr2bl w:val="nil"/>
            </w:tcBorders>
            <w:vAlign w:val="center"/>
          </w:tcPr>
          <w:p>
            <w:pPr>
              <w:pStyle w:val="30"/>
              <w:bidi w:val="0"/>
              <w:rPr>
                <w:highlight w:val="none"/>
              </w:rPr>
            </w:pPr>
            <w:r>
              <w:rPr>
                <w:highlight w:val="none"/>
              </w:rPr>
              <w:t>1.2640</w:t>
            </w:r>
          </w:p>
        </w:tc>
        <w:tc>
          <w:tcPr>
            <w:tcW w:w="1676" w:type="dxa"/>
            <w:tcBorders>
              <w:tl2br w:val="nil"/>
              <w:tr2bl w:val="nil"/>
            </w:tcBorders>
            <w:vAlign w:val="center"/>
          </w:tcPr>
          <w:p>
            <w:pPr>
              <w:pStyle w:val="30"/>
              <w:bidi w:val="0"/>
              <w:rPr>
                <w:highlight w:val="none"/>
              </w:rPr>
            </w:pPr>
            <w:r>
              <w:rPr>
                <w:highlight w:val="none"/>
              </w:rPr>
              <w:t>0.6320</w:t>
            </w:r>
          </w:p>
        </w:tc>
        <w:tc>
          <w:tcPr>
            <w:tcW w:w="1784" w:type="dxa"/>
            <w:tcBorders>
              <w:tl2br w:val="nil"/>
              <w:tr2bl w:val="nil"/>
            </w:tcBorders>
            <w:vAlign w:val="center"/>
          </w:tcPr>
          <w:p>
            <w:pPr>
              <w:pStyle w:val="30"/>
              <w:bidi w:val="0"/>
              <w:rPr>
                <w:highlight w:val="none"/>
              </w:rPr>
            </w:pPr>
            <w:r>
              <w:rPr>
                <w:highlight w:val="none"/>
              </w:rPr>
              <w:t>0.0088</w:t>
            </w:r>
          </w:p>
        </w:tc>
        <w:tc>
          <w:tcPr>
            <w:tcW w:w="1658" w:type="dxa"/>
            <w:tcBorders>
              <w:tl2br w:val="nil"/>
              <w:tr2bl w:val="nil"/>
            </w:tcBorders>
            <w:vAlign w:val="center"/>
          </w:tcPr>
          <w:p>
            <w:pPr>
              <w:pStyle w:val="30"/>
              <w:bidi w:val="0"/>
              <w:rPr>
                <w:highlight w:val="none"/>
              </w:rPr>
            </w:pPr>
            <w:r>
              <w:rPr>
                <w:highlight w:val="none"/>
              </w:rPr>
              <w:t>0.0878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2500.0</w:t>
            </w:r>
          </w:p>
        </w:tc>
        <w:tc>
          <w:tcPr>
            <w:tcW w:w="1801" w:type="dxa"/>
            <w:tcBorders>
              <w:tl2br w:val="nil"/>
              <w:tr2bl w:val="nil"/>
            </w:tcBorders>
            <w:vAlign w:val="center"/>
          </w:tcPr>
          <w:p>
            <w:pPr>
              <w:pStyle w:val="30"/>
              <w:bidi w:val="0"/>
              <w:rPr>
                <w:highlight w:val="none"/>
              </w:rPr>
            </w:pPr>
            <w:r>
              <w:rPr>
                <w:highlight w:val="none"/>
              </w:rPr>
              <w:t>1.0872</w:t>
            </w:r>
          </w:p>
        </w:tc>
        <w:tc>
          <w:tcPr>
            <w:tcW w:w="1676" w:type="dxa"/>
            <w:tcBorders>
              <w:tl2br w:val="nil"/>
              <w:tr2bl w:val="nil"/>
            </w:tcBorders>
            <w:vAlign w:val="center"/>
          </w:tcPr>
          <w:p>
            <w:pPr>
              <w:pStyle w:val="30"/>
              <w:bidi w:val="0"/>
              <w:rPr>
                <w:highlight w:val="none"/>
              </w:rPr>
            </w:pPr>
            <w:r>
              <w:rPr>
                <w:highlight w:val="none"/>
              </w:rPr>
              <w:t>0.5436</w:t>
            </w:r>
          </w:p>
        </w:tc>
        <w:tc>
          <w:tcPr>
            <w:tcW w:w="1784" w:type="dxa"/>
            <w:tcBorders>
              <w:tl2br w:val="nil"/>
              <w:tr2bl w:val="nil"/>
            </w:tcBorders>
            <w:vAlign w:val="center"/>
          </w:tcPr>
          <w:p>
            <w:pPr>
              <w:pStyle w:val="30"/>
              <w:bidi w:val="0"/>
              <w:rPr>
                <w:highlight w:val="none"/>
              </w:rPr>
            </w:pPr>
            <w:r>
              <w:rPr>
                <w:highlight w:val="none"/>
              </w:rPr>
              <w:t>0.0075</w:t>
            </w:r>
          </w:p>
        </w:tc>
        <w:tc>
          <w:tcPr>
            <w:tcW w:w="1658" w:type="dxa"/>
            <w:tcBorders>
              <w:tl2br w:val="nil"/>
              <w:tr2bl w:val="nil"/>
            </w:tcBorders>
            <w:vAlign w:val="center"/>
          </w:tcPr>
          <w:p>
            <w:pPr>
              <w:pStyle w:val="30"/>
              <w:bidi w:val="0"/>
              <w:rPr>
                <w:highlight w:val="none"/>
              </w:rPr>
            </w:pPr>
            <w:r>
              <w:rPr>
                <w:highlight w:val="none"/>
              </w:rPr>
              <w:t>0.0755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3000.0</w:t>
            </w:r>
          </w:p>
        </w:tc>
        <w:tc>
          <w:tcPr>
            <w:tcW w:w="1801" w:type="dxa"/>
            <w:tcBorders>
              <w:tl2br w:val="nil"/>
              <w:tr2bl w:val="nil"/>
            </w:tcBorders>
            <w:vAlign w:val="center"/>
          </w:tcPr>
          <w:p>
            <w:pPr>
              <w:pStyle w:val="30"/>
              <w:bidi w:val="0"/>
              <w:rPr>
                <w:highlight w:val="none"/>
              </w:rPr>
            </w:pPr>
            <w:r>
              <w:rPr>
                <w:highlight w:val="none"/>
              </w:rPr>
              <w:t>0.9553</w:t>
            </w:r>
          </w:p>
        </w:tc>
        <w:tc>
          <w:tcPr>
            <w:tcW w:w="1676" w:type="dxa"/>
            <w:tcBorders>
              <w:tl2br w:val="nil"/>
              <w:tr2bl w:val="nil"/>
            </w:tcBorders>
            <w:vAlign w:val="center"/>
          </w:tcPr>
          <w:p>
            <w:pPr>
              <w:pStyle w:val="30"/>
              <w:bidi w:val="0"/>
              <w:rPr>
                <w:highlight w:val="none"/>
              </w:rPr>
            </w:pPr>
            <w:r>
              <w:rPr>
                <w:highlight w:val="none"/>
              </w:rPr>
              <w:t>0.4777</w:t>
            </w:r>
          </w:p>
        </w:tc>
        <w:tc>
          <w:tcPr>
            <w:tcW w:w="1784" w:type="dxa"/>
            <w:tcBorders>
              <w:tl2br w:val="nil"/>
              <w:tr2bl w:val="nil"/>
            </w:tcBorders>
            <w:vAlign w:val="center"/>
          </w:tcPr>
          <w:p>
            <w:pPr>
              <w:pStyle w:val="30"/>
              <w:bidi w:val="0"/>
              <w:rPr>
                <w:highlight w:val="none"/>
              </w:rPr>
            </w:pPr>
            <w:r>
              <w:rPr>
                <w:highlight w:val="none"/>
              </w:rPr>
              <w:t>0.0066</w:t>
            </w:r>
          </w:p>
        </w:tc>
        <w:tc>
          <w:tcPr>
            <w:tcW w:w="1658" w:type="dxa"/>
            <w:tcBorders>
              <w:tl2br w:val="nil"/>
              <w:tr2bl w:val="nil"/>
            </w:tcBorders>
            <w:vAlign w:val="center"/>
          </w:tcPr>
          <w:p>
            <w:pPr>
              <w:pStyle w:val="30"/>
              <w:bidi w:val="0"/>
              <w:rPr>
                <w:highlight w:val="none"/>
              </w:rPr>
            </w:pPr>
            <w:r>
              <w:rPr>
                <w:highlight w:val="none"/>
              </w:rPr>
              <w:t>0.0663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3500.0</w:t>
            </w:r>
          </w:p>
        </w:tc>
        <w:tc>
          <w:tcPr>
            <w:tcW w:w="1801" w:type="dxa"/>
            <w:tcBorders>
              <w:tl2br w:val="nil"/>
              <w:tr2bl w:val="nil"/>
            </w:tcBorders>
            <w:vAlign w:val="center"/>
          </w:tcPr>
          <w:p>
            <w:pPr>
              <w:pStyle w:val="30"/>
              <w:bidi w:val="0"/>
              <w:rPr>
                <w:highlight w:val="none"/>
              </w:rPr>
            </w:pPr>
            <w:r>
              <w:rPr>
                <w:highlight w:val="none"/>
              </w:rPr>
              <w:t>0.8545</w:t>
            </w:r>
          </w:p>
        </w:tc>
        <w:tc>
          <w:tcPr>
            <w:tcW w:w="1676" w:type="dxa"/>
            <w:tcBorders>
              <w:tl2br w:val="nil"/>
              <w:tr2bl w:val="nil"/>
            </w:tcBorders>
            <w:vAlign w:val="center"/>
          </w:tcPr>
          <w:p>
            <w:pPr>
              <w:pStyle w:val="30"/>
              <w:bidi w:val="0"/>
              <w:rPr>
                <w:highlight w:val="none"/>
              </w:rPr>
            </w:pPr>
            <w:r>
              <w:rPr>
                <w:highlight w:val="none"/>
              </w:rPr>
              <w:t>0.4273</w:t>
            </w:r>
          </w:p>
        </w:tc>
        <w:tc>
          <w:tcPr>
            <w:tcW w:w="1784" w:type="dxa"/>
            <w:tcBorders>
              <w:tl2br w:val="nil"/>
              <w:tr2bl w:val="nil"/>
            </w:tcBorders>
            <w:vAlign w:val="center"/>
          </w:tcPr>
          <w:p>
            <w:pPr>
              <w:pStyle w:val="30"/>
              <w:bidi w:val="0"/>
              <w:rPr>
                <w:highlight w:val="none"/>
              </w:rPr>
            </w:pPr>
            <w:r>
              <w:rPr>
                <w:highlight w:val="none"/>
              </w:rPr>
              <w:t>0.0059</w:t>
            </w:r>
          </w:p>
        </w:tc>
        <w:tc>
          <w:tcPr>
            <w:tcW w:w="1658" w:type="dxa"/>
            <w:tcBorders>
              <w:tl2br w:val="nil"/>
              <w:tr2bl w:val="nil"/>
            </w:tcBorders>
            <w:vAlign w:val="center"/>
          </w:tcPr>
          <w:p>
            <w:pPr>
              <w:pStyle w:val="30"/>
              <w:bidi w:val="0"/>
              <w:rPr>
                <w:highlight w:val="none"/>
              </w:rPr>
            </w:pPr>
            <w:r>
              <w:rPr>
                <w:highlight w:val="none"/>
              </w:rPr>
              <w:t>0.0593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4000.0</w:t>
            </w:r>
          </w:p>
        </w:tc>
        <w:tc>
          <w:tcPr>
            <w:tcW w:w="1801" w:type="dxa"/>
            <w:tcBorders>
              <w:tl2br w:val="nil"/>
              <w:tr2bl w:val="nil"/>
            </w:tcBorders>
            <w:vAlign w:val="center"/>
          </w:tcPr>
          <w:p>
            <w:pPr>
              <w:pStyle w:val="30"/>
              <w:bidi w:val="0"/>
              <w:rPr>
                <w:highlight w:val="none"/>
              </w:rPr>
            </w:pPr>
            <w:r>
              <w:rPr>
                <w:highlight w:val="none"/>
              </w:rPr>
              <w:t>0.7716</w:t>
            </w:r>
          </w:p>
        </w:tc>
        <w:tc>
          <w:tcPr>
            <w:tcW w:w="1676" w:type="dxa"/>
            <w:tcBorders>
              <w:tl2br w:val="nil"/>
              <w:tr2bl w:val="nil"/>
            </w:tcBorders>
            <w:vAlign w:val="center"/>
          </w:tcPr>
          <w:p>
            <w:pPr>
              <w:pStyle w:val="30"/>
              <w:bidi w:val="0"/>
              <w:rPr>
                <w:highlight w:val="none"/>
              </w:rPr>
            </w:pPr>
            <w:r>
              <w:rPr>
                <w:highlight w:val="none"/>
              </w:rPr>
              <w:t>0.3858</w:t>
            </w:r>
          </w:p>
        </w:tc>
        <w:tc>
          <w:tcPr>
            <w:tcW w:w="1784" w:type="dxa"/>
            <w:tcBorders>
              <w:tl2br w:val="nil"/>
              <w:tr2bl w:val="nil"/>
            </w:tcBorders>
            <w:vAlign w:val="center"/>
          </w:tcPr>
          <w:p>
            <w:pPr>
              <w:pStyle w:val="30"/>
              <w:bidi w:val="0"/>
              <w:rPr>
                <w:highlight w:val="none"/>
              </w:rPr>
            </w:pPr>
            <w:r>
              <w:rPr>
                <w:highlight w:val="none"/>
              </w:rPr>
              <w:t>0.0054</w:t>
            </w:r>
          </w:p>
        </w:tc>
        <w:tc>
          <w:tcPr>
            <w:tcW w:w="1658" w:type="dxa"/>
            <w:tcBorders>
              <w:tl2br w:val="nil"/>
              <w:tr2bl w:val="nil"/>
            </w:tcBorders>
            <w:vAlign w:val="center"/>
          </w:tcPr>
          <w:p>
            <w:pPr>
              <w:pStyle w:val="30"/>
              <w:bidi w:val="0"/>
              <w:rPr>
                <w:highlight w:val="none"/>
              </w:rPr>
            </w:pPr>
            <w:r>
              <w:rPr>
                <w:highlight w:val="none"/>
              </w:rPr>
              <w:t>0.0536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4500.0</w:t>
            </w:r>
          </w:p>
        </w:tc>
        <w:tc>
          <w:tcPr>
            <w:tcW w:w="1801" w:type="dxa"/>
            <w:tcBorders>
              <w:tl2br w:val="nil"/>
              <w:tr2bl w:val="nil"/>
            </w:tcBorders>
            <w:vAlign w:val="center"/>
          </w:tcPr>
          <w:p>
            <w:pPr>
              <w:pStyle w:val="30"/>
              <w:bidi w:val="0"/>
              <w:rPr>
                <w:highlight w:val="none"/>
              </w:rPr>
            </w:pPr>
            <w:r>
              <w:rPr>
                <w:highlight w:val="none"/>
              </w:rPr>
              <w:t>0.7011</w:t>
            </w:r>
          </w:p>
        </w:tc>
        <w:tc>
          <w:tcPr>
            <w:tcW w:w="1676" w:type="dxa"/>
            <w:tcBorders>
              <w:tl2br w:val="nil"/>
              <w:tr2bl w:val="nil"/>
            </w:tcBorders>
            <w:vAlign w:val="center"/>
          </w:tcPr>
          <w:p>
            <w:pPr>
              <w:pStyle w:val="30"/>
              <w:bidi w:val="0"/>
              <w:rPr>
                <w:highlight w:val="none"/>
              </w:rPr>
            </w:pPr>
            <w:r>
              <w:rPr>
                <w:highlight w:val="none"/>
              </w:rPr>
              <w:t>0.3506</w:t>
            </w:r>
          </w:p>
        </w:tc>
        <w:tc>
          <w:tcPr>
            <w:tcW w:w="1784" w:type="dxa"/>
            <w:tcBorders>
              <w:tl2br w:val="nil"/>
              <w:tr2bl w:val="nil"/>
            </w:tcBorders>
            <w:vAlign w:val="center"/>
          </w:tcPr>
          <w:p>
            <w:pPr>
              <w:pStyle w:val="30"/>
              <w:bidi w:val="0"/>
              <w:rPr>
                <w:highlight w:val="none"/>
              </w:rPr>
            </w:pPr>
            <w:r>
              <w:rPr>
                <w:highlight w:val="none"/>
              </w:rPr>
              <w:t>0.0049</w:t>
            </w:r>
          </w:p>
        </w:tc>
        <w:tc>
          <w:tcPr>
            <w:tcW w:w="1658" w:type="dxa"/>
            <w:tcBorders>
              <w:tl2br w:val="nil"/>
              <w:tr2bl w:val="nil"/>
            </w:tcBorders>
            <w:vAlign w:val="center"/>
          </w:tcPr>
          <w:p>
            <w:pPr>
              <w:pStyle w:val="30"/>
              <w:bidi w:val="0"/>
              <w:rPr>
                <w:highlight w:val="none"/>
              </w:rPr>
            </w:pPr>
            <w:r>
              <w:rPr>
                <w:highlight w:val="none"/>
              </w:rPr>
              <w:t>0.0487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5000.0</w:t>
            </w:r>
          </w:p>
        </w:tc>
        <w:tc>
          <w:tcPr>
            <w:tcW w:w="1801" w:type="dxa"/>
            <w:tcBorders>
              <w:tl2br w:val="nil"/>
              <w:tr2bl w:val="nil"/>
            </w:tcBorders>
            <w:vAlign w:val="center"/>
          </w:tcPr>
          <w:p>
            <w:pPr>
              <w:pStyle w:val="30"/>
              <w:bidi w:val="0"/>
              <w:rPr>
                <w:highlight w:val="none"/>
              </w:rPr>
            </w:pPr>
            <w:r>
              <w:rPr>
                <w:highlight w:val="none"/>
              </w:rPr>
              <w:t>0.6409</w:t>
            </w:r>
          </w:p>
        </w:tc>
        <w:tc>
          <w:tcPr>
            <w:tcW w:w="1676" w:type="dxa"/>
            <w:tcBorders>
              <w:tl2br w:val="nil"/>
              <w:tr2bl w:val="nil"/>
            </w:tcBorders>
            <w:vAlign w:val="center"/>
          </w:tcPr>
          <w:p>
            <w:pPr>
              <w:pStyle w:val="30"/>
              <w:bidi w:val="0"/>
              <w:rPr>
                <w:highlight w:val="none"/>
              </w:rPr>
            </w:pPr>
            <w:r>
              <w:rPr>
                <w:highlight w:val="none"/>
              </w:rPr>
              <w:t>0.3204</w:t>
            </w:r>
          </w:p>
        </w:tc>
        <w:tc>
          <w:tcPr>
            <w:tcW w:w="1784" w:type="dxa"/>
            <w:tcBorders>
              <w:tl2br w:val="nil"/>
              <w:tr2bl w:val="nil"/>
            </w:tcBorders>
            <w:vAlign w:val="center"/>
          </w:tcPr>
          <w:p>
            <w:pPr>
              <w:pStyle w:val="30"/>
              <w:bidi w:val="0"/>
              <w:rPr>
                <w:highlight w:val="none"/>
              </w:rPr>
            </w:pPr>
            <w:r>
              <w:rPr>
                <w:highlight w:val="none"/>
              </w:rPr>
              <w:t>0.0045</w:t>
            </w:r>
          </w:p>
        </w:tc>
        <w:tc>
          <w:tcPr>
            <w:tcW w:w="1658" w:type="dxa"/>
            <w:tcBorders>
              <w:tl2br w:val="nil"/>
              <w:tr2bl w:val="nil"/>
            </w:tcBorders>
            <w:vAlign w:val="center"/>
          </w:tcPr>
          <w:p>
            <w:pPr>
              <w:pStyle w:val="30"/>
              <w:bidi w:val="0"/>
              <w:rPr>
                <w:highlight w:val="none"/>
              </w:rPr>
            </w:pPr>
            <w:r>
              <w:rPr>
                <w:highlight w:val="none"/>
              </w:rPr>
              <w:t>0.0445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10000.0</w:t>
            </w:r>
          </w:p>
        </w:tc>
        <w:tc>
          <w:tcPr>
            <w:tcW w:w="1801" w:type="dxa"/>
            <w:tcBorders>
              <w:tl2br w:val="nil"/>
              <w:tr2bl w:val="nil"/>
            </w:tcBorders>
            <w:vAlign w:val="center"/>
          </w:tcPr>
          <w:p>
            <w:pPr>
              <w:pStyle w:val="30"/>
              <w:bidi w:val="0"/>
              <w:rPr>
                <w:highlight w:val="none"/>
              </w:rPr>
            </w:pPr>
            <w:r>
              <w:rPr>
                <w:highlight w:val="none"/>
              </w:rPr>
              <w:t>0.3255</w:t>
            </w:r>
          </w:p>
        </w:tc>
        <w:tc>
          <w:tcPr>
            <w:tcW w:w="1676" w:type="dxa"/>
            <w:tcBorders>
              <w:tl2br w:val="nil"/>
              <w:tr2bl w:val="nil"/>
            </w:tcBorders>
            <w:vAlign w:val="center"/>
          </w:tcPr>
          <w:p>
            <w:pPr>
              <w:pStyle w:val="30"/>
              <w:bidi w:val="0"/>
              <w:rPr>
                <w:highlight w:val="none"/>
              </w:rPr>
            </w:pPr>
            <w:r>
              <w:rPr>
                <w:highlight w:val="none"/>
              </w:rPr>
              <w:t>0.1628</w:t>
            </w:r>
          </w:p>
        </w:tc>
        <w:tc>
          <w:tcPr>
            <w:tcW w:w="1784" w:type="dxa"/>
            <w:tcBorders>
              <w:tl2br w:val="nil"/>
              <w:tr2bl w:val="nil"/>
            </w:tcBorders>
            <w:vAlign w:val="center"/>
          </w:tcPr>
          <w:p>
            <w:pPr>
              <w:pStyle w:val="30"/>
              <w:bidi w:val="0"/>
              <w:rPr>
                <w:highlight w:val="none"/>
              </w:rPr>
            </w:pPr>
            <w:r>
              <w:rPr>
                <w:highlight w:val="none"/>
              </w:rPr>
              <w:t>0.0023</w:t>
            </w:r>
          </w:p>
        </w:tc>
        <w:tc>
          <w:tcPr>
            <w:tcW w:w="1658" w:type="dxa"/>
            <w:tcBorders>
              <w:tl2br w:val="nil"/>
              <w:tr2bl w:val="nil"/>
            </w:tcBorders>
            <w:vAlign w:val="center"/>
          </w:tcPr>
          <w:p>
            <w:pPr>
              <w:pStyle w:val="30"/>
              <w:bidi w:val="0"/>
              <w:rPr>
                <w:highlight w:val="none"/>
              </w:rPr>
            </w:pPr>
            <w:r>
              <w:rPr>
                <w:highlight w:val="none"/>
              </w:rPr>
              <w:t>0.0226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11000.0</w:t>
            </w:r>
          </w:p>
        </w:tc>
        <w:tc>
          <w:tcPr>
            <w:tcW w:w="1801" w:type="dxa"/>
            <w:tcBorders>
              <w:tl2br w:val="nil"/>
              <w:tr2bl w:val="nil"/>
            </w:tcBorders>
            <w:vAlign w:val="center"/>
          </w:tcPr>
          <w:p>
            <w:pPr>
              <w:pStyle w:val="30"/>
              <w:bidi w:val="0"/>
              <w:rPr>
                <w:highlight w:val="none"/>
              </w:rPr>
            </w:pPr>
            <w:r>
              <w:rPr>
                <w:highlight w:val="none"/>
              </w:rPr>
              <w:t>0.2938</w:t>
            </w:r>
          </w:p>
        </w:tc>
        <w:tc>
          <w:tcPr>
            <w:tcW w:w="1676" w:type="dxa"/>
            <w:tcBorders>
              <w:tl2br w:val="nil"/>
              <w:tr2bl w:val="nil"/>
            </w:tcBorders>
            <w:vAlign w:val="center"/>
          </w:tcPr>
          <w:p>
            <w:pPr>
              <w:pStyle w:val="30"/>
              <w:bidi w:val="0"/>
              <w:rPr>
                <w:highlight w:val="none"/>
              </w:rPr>
            </w:pPr>
            <w:r>
              <w:rPr>
                <w:highlight w:val="none"/>
              </w:rPr>
              <w:t>0.1469</w:t>
            </w:r>
          </w:p>
        </w:tc>
        <w:tc>
          <w:tcPr>
            <w:tcW w:w="1784" w:type="dxa"/>
            <w:tcBorders>
              <w:tl2br w:val="nil"/>
              <w:tr2bl w:val="nil"/>
            </w:tcBorders>
            <w:vAlign w:val="center"/>
          </w:tcPr>
          <w:p>
            <w:pPr>
              <w:pStyle w:val="30"/>
              <w:bidi w:val="0"/>
              <w:rPr>
                <w:highlight w:val="none"/>
              </w:rPr>
            </w:pPr>
            <w:r>
              <w:rPr>
                <w:highlight w:val="none"/>
              </w:rPr>
              <w:t>0.0020</w:t>
            </w:r>
          </w:p>
        </w:tc>
        <w:tc>
          <w:tcPr>
            <w:tcW w:w="1658" w:type="dxa"/>
            <w:tcBorders>
              <w:tl2br w:val="nil"/>
              <w:tr2bl w:val="nil"/>
            </w:tcBorders>
            <w:vAlign w:val="center"/>
          </w:tcPr>
          <w:p>
            <w:pPr>
              <w:pStyle w:val="30"/>
              <w:bidi w:val="0"/>
              <w:rPr>
                <w:highlight w:val="none"/>
              </w:rPr>
            </w:pPr>
            <w:r>
              <w:rPr>
                <w:highlight w:val="none"/>
              </w:rPr>
              <w:t>0.0204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12000.0</w:t>
            </w:r>
          </w:p>
        </w:tc>
        <w:tc>
          <w:tcPr>
            <w:tcW w:w="1801" w:type="dxa"/>
            <w:tcBorders>
              <w:tl2br w:val="nil"/>
              <w:tr2bl w:val="nil"/>
            </w:tcBorders>
            <w:vAlign w:val="center"/>
          </w:tcPr>
          <w:p>
            <w:pPr>
              <w:pStyle w:val="30"/>
              <w:bidi w:val="0"/>
              <w:rPr>
                <w:highlight w:val="none"/>
              </w:rPr>
            </w:pPr>
            <w:r>
              <w:rPr>
                <w:highlight w:val="none"/>
              </w:rPr>
              <w:t>0.2671</w:t>
            </w:r>
          </w:p>
        </w:tc>
        <w:tc>
          <w:tcPr>
            <w:tcW w:w="1676" w:type="dxa"/>
            <w:tcBorders>
              <w:tl2br w:val="nil"/>
              <w:tr2bl w:val="nil"/>
            </w:tcBorders>
            <w:vAlign w:val="center"/>
          </w:tcPr>
          <w:p>
            <w:pPr>
              <w:pStyle w:val="30"/>
              <w:bidi w:val="0"/>
              <w:rPr>
                <w:highlight w:val="none"/>
              </w:rPr>
            </w:pPr>
            <w:r>
              <w:rPr>
                <w:highlight w:val="none"/>
              </w:rPr>
              <w:t>0.1335</w:t>
            </w:r>
          </w:p>
        </w:tc>
        <w:tc>
          <w:tcPr>
            <w:tcW w:w="1784" w:type="dxa"/>
            <w:tcBorders>
              <w:tl2br w:val="nil"/>
              <w:tr2bl w:val="nil"/>
            </w:tcBorders>
            <w:vAlign w:val="center"/>
          </w:tcPr>
          <w:p>
            <w:pPr>
              <w:pStyle w:val="30"/>
              <w:bidi w:val="0"/>
              <w:rPr>
                <w:highlight w:val="none"/>
              </w:rPr>
            </w:pPr>
            <w:r>
              <w:rPr>
                <w:highlight w:val="none"/>
              </w:rPr>
              <w:t>0.0019</w:t>
            </w:r>
          </w:p>
        </w:tc>
        <w:tc>
          <w:tcPr>
            <w:tcW w:w="1658" w:type="dxa"/>
            <w:tcBorders>
              <w:tl2br w:val="nil"/>
              <w:tr2bl w:val="nil"/>
            </w:tcBorders>
            <w:vAlign w:val="center"/>
          </w:tcPr>
          <w:p>
            <w:pPr>
              <w:pStyle w:val="30"/>
              <w:bidi w:val="0"/>
              <w:rPr>
                <w:highlight w:val="none"/>
              </w:rPr>
            </w:pPr>
            <w:r>
              <w:rPr>
                <w:highlight w:val="none"/>
              </w:rPr>
              <w:t>0.0185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13000.0</w:t>
            </w:r>
          </w:p>
        </w:tc>
        <w:tc>
          <w:tcPr>
            <w:tcW w:w="1801" w:type="dxa"/>
            <w:tcBorders>
              <w:tl2br w:val="nil"/>
              <w:tr2bl w:val="nil"/>
            </w:tcBorders>
            <w:vAlign w:val="center"/>
          </w:tcPr>
          <w:p>
            <w:pPr>
              <w:pStyle w:val="30"/>
              <w:bidi w:val="0"/>
              <w:rPr>
                <w:highlight w:val="none"/>
              </w:rPr>
            </w:pPr>
            <w:r>
              <w:rPr>
                <w:highlight w:val="none"/>
              </w:rPr>
              <w:t>0.2443</w:t>
            </w:r>
          </w:p>
        </w:tc>
        <w:tc>
          <w:tcPr>
            <w:tcW w:w="1676" w:type="dxa"/>
            <w:tcBorders>
              <w:tl2br w:val="nil"/>
              <w:tr2bl w:val="nil"/>
            </w:tcBorders>
            <w:vAlign w:val="center"/>
          </w:tcPr>
          <w:p>
            <w:pPr>
              <w:pStyle w:val="30"/>
              <w:bidi w:val="0"/>
              <w:rPr>
                <w:highlight w:val="none"/>
              </w:rPr>
            </w:pPr>
            <w:r>
              <w:rPr>
                <w:highlight w:val="none"/>
              </w:rPr>
              <w:t>0.1222</w:t>
            </w:r>
          </w:p>
        </w:tc>
        <w:tc>
          <w:tcPr>
            <w:tcW w:w="1784" w:type="dxa"/>
            <w:tcBorders>
              <w:tl2br w:val="nil"/>
              <w:tr2bl w:val="nil"/>
            </w:tcBorders>
            <w:vAlign w:val="center"/>
          </w:tcPr>
          <w:p>
            <w:pPr>
              <w:pStyle w:val="30"/>
              <w:bidi w:val="0"/>
              <w:rPr>
                <w:highlight w:val="none"/>
              </w:rPr>
            </w:pPr>
            <w:r>
              <w:rPr>
                <w:highlight w:val="none"/>
              </w:rPr>
              <w:t>0.0017</w:t>
            </w:r>
          </w:p>
        </w:tc>
        <w:tc>
          <w:tcPr>
            <w:tcW w:w="1658" w:type="dxa"/>
            <w:tcBorders>
              <w:tl2br w:val="nil"/>
              <w:tr2bl w:val="nil"/>
            </w:tcBorders>
            <w:vAlign w:val="center"/>
          </w:tcPr>
          <w:p>
            <w:pPr>
              <w:pStyle w:val="30"/>
              <w:bidi w:val="0"/>
              <w:rPr>
                <w:highlight w:val="none"/>
              </w:rPr>
            </w:pPr>
            <w:r>
              <w:rPr>
                <w:highlight w:val="none"/>
              </w:rPr>
              <w:t>0.0170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14000.0</w:t>
            </w:r>
          </w:p>
        </w:tc>
        <w:tc>
          <w:tcPr>
            <w:tcW w:w="1801" w:type="dxa"/>
            <w:tcBorders>
              <w:tl2br w:val="nil"/>
              <w:tr2bl w:val="nil"/>
            </w:tcBorders>
            <w:vAlign w:val="center"/>
          </w:tcPr>
          <w:p>
            <w:pPr>
              <w:pStyle w:val="30"/>
              <w:bidi w:val="0"/>
              <w:rPr>
                <w:highlight w:val="none"/>
              </w:rPr>
            </w:pPr>
            <w:r>
              <w:rPr>
                <w:highlight w:val="none"/>
              </w:rPr>
              <w:t>0.2248</w:t>
            </w:r>
          </w:p>
        </w:tc>
        <w:tc>
          <w:tcPr>
            <w:tcW w:w="1676" w:type="dxa"/>
            <w:tcBorders>
              <w:tl2br w:val="nil"/>
              <w:tr2bl w:val="nil"/>
            </w:tcBorders>
            <w:vAlign w:val="center"/>
          </w:tcPr>
          <w:p>
            <w:pPr>
              <w:pStyle w:val="30"/>
              <w:bidi w:val="0"/>
              <w:rPr>
                <w:highlight w:val="none"/>
              </w:rPr>
            </w:pPr>
            <w:r>
              <w:rPr>
                <w:highlight w:val="none"/>
              </w:rPr>
              <w:t>0.1124</w:t>
            </w:r>
          </w:p>
        </w:tc>
        <w:tc>
          <w:tcPr>
            <w:tcW w:w="1784" w:type="dxa"/>
            <w:tcBorders>
              <w:tl2br w:val="nil"/>
              <w:tr2bl w:val="nil"/>
            </w:tcBorders>
            <w:vAlign w:val="center"/>
          </w:tcPr>
          <w:p>
            <w:pPr>
              <w:pStyle w:val="30"/>
              <w:bidi w:val="0"/>
              <w:rPr>
                <w:highlight w:val="none"/>
              </w:rPr>
            </w:pPr>
            <w:r>
              <w:rPr>
                <w:highlight w:val="none"/>
              </w:rPr>
              <w:t>0.0016</w:t>
            </w:r>
          </w:p>
        </w:tc>
        <w:tc>
          <w:tcPr>
            <w:tcW w:w="1658" w:type="dxa"/>
            <w:tcBorders>
              <w:tl2br w:val="nil"/>
              <w:tr2bl w:val="nil"/>
            </w:tcBorders>
            <w:vAlign w:val="center"/>
          </w:tcPr>
          <w:p>
            <w:pPr>
              <w:pStyle w:val="30"/>
              <w:bidi w:val="0"/>
              <w:rPr>
                <w:highlight w:val="none"/>
              </w:rPr>
            </w:pPr>
            <w:r>
              <w:rPr>
                <w:highlight w:val="none"/>
              </w:rPr>
              <w:t>0.0156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15000.0</w:t>
            </w:r>
          </w:p>
        </w:tc>
        <w:tc>
          <w:tcPr>
            <w:tcW w:w="1801" w:type="dxa"/>
            <w:tcBorders>
              <w:tl2br w:val="nil"/>
              <w:tr2bl w:val="nil"/>
            </w:tcBorders>
            <w:vAlign w:val="center"/>
          </w:tcPr>
          <w:p>
            <w:pPr>
              <w:pStyle w:val="30"/>
              <w:bidi w:val="0"/>
              <w:rPr>
                <w:highlight w:val="none"/>
              </w:rPr>
            </w:pPr>
            <w:r>
              <w:rPr>
                <w:highlight w:val="none"/>
              </w:rPr>
              <w:t>0.2078</w:t>
            </w:r>
          </w:p>
        </w:tc>
        <w:tc>
          <w:tcPr>
            <w:tcW w:w="1676" w:type="dxa"/>
            <w:tcBorders>
              <w:tl2br w:val="nil"/>
              <w:tr2bl w:val="nil"/>
            </w:tcBorders>
            <w:vAlign w:val="center"/>
          </w:tcPr>
          <w:p>
            <w:pPr>
              <w:pStyle w:val="30"/>
              <w:bidi w:val="0"/>
              <w:rPr>
                <w:highlight w:val="none"/>
              </w:rPr>
            </w:pPr>
            <w:r>
              <w:rPr>
                <w:highlight w:val="none"/>
              </w:rPr>
              <w:t>0.1039</w:t>
            </w:r>
          </w:p>
        </w:tc>
        <w:tc>
          <w:tcPr>
            <w:tcW w:w="1784" w:type="dxa"/>
            <w:tcBorders>
              <w:tl2br w:val="nil"/>
              <w:tr2bl w:val="nil"/>
            </w:tcBorders>
            <w:vAlign w:val="center"/>
          </w:tcPr>
          <w:p>
            <w:pPr>
              <w:pStyle w:val="30"/>
              <w:bidi w:val="0"/>
              <w:rPr>
                <w:highlight w:val="none"/>
              </w:rPr>
            </w:pPr>
            <w:r>
              <w:rPr>
                <w:highlight w:val="none"/>
              </w:rPr>
              <w:t>0.0014</w:t>
            </w:r>
          </w:p>
        </w:tc>
        <w:tc>
          <w:tcPr>
            <w:tcW w:w="1658" w:type="dxa"/>
            <w:tcBorders>
              <w:tl2br w:val="nil"/>
              <w:tr2bl w:val="nil"/>
            </w:tcBorders>
            <w:vAlign w:val="center"/>
          </w:tcPr>
          <w:p>
            <w:pPr>
              <w:pStyle w:val="30"/>
              <w:bidi w:val="0"/>
              <w:rPr>
                <w:highlight w:val="none"/>
              </w:rPr>
            </w:pPr>
            <w:r>
              <w:rPr>
                <w:highlight w:val="none"/>
              </w:rPr>
              <w:t>0.0144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20000.0</w:t>
            </w:r>
          </w:p>
        </w:tc>
        <w:tc>
          <w:tcPr>
            <w:tcW w:w="1801" w:type="dxa"/>
            <w:tcBorders>
              <w:tl2br w:val="nil"/>
              <w:tr2bl w:val="nil"/>
            </w:tcBorders>
            <w:vAlign w:val="center"/>
          </w:tcPr>
          <w:p>
            <w:pPr>
              <w:pStyle w:val="30"/>
              <w:bidi w:val="0"/>
              <w:rPr>
                <w:highlight w:val="none"/>
              </w:rPr>
            </w:pPr>
            <w:r>
              <w:rPr>
                <w:highlight w:val="none"/>
              </w:rPr>
              <w:t>0.1488</w:t>
            </w:r>
          </w:p>
        </w:tc>
        <w:tc>
          <w:tcPr>
            <w:tcW w:w="1676" w:type="dxa"/>
            <w:tcBorders>
              <w:tl2br w:val="nil"/>
              <w:tr2bl w:val="nil"/>
            </w:tcBorders>
            <w:vAlign w:val="center"/>
          </w:tcPr>
          <w:p>
            <w:pPr>
              <w:pStyle w:val="30"/>
              <w:bidi w:val="0"/>
              <w:rPr>
                <w:highlight w:val="none"/>
              </w:rPr>
            </w:pPr>
            <w:r>
              <w:rPr>
                <w:highlight w:val="none"/>
              </w:rPr>
              <w:t>0.0744</w:t>
            </w:r>
          </w:p>
        </w:tc>
        <w:tc>
          <w:tcPr>
            <w:tcW w:w="1784" w:type="dxa"/>
            <w:tcBorders>
              <w:tl2br w:val="nil"/>
              <w:tr2bl w:val="nil"/>
            </w:tcBorders>
            <w:vAlign w:val="center"/>
          </w:tcPr>
          <w:p>
            <w:pPr>
              <w:pStyle w:val="30"/>
              <w:bidi w:val="0"/>
              <w:rPr>
                <w:highlight w:val="none"/>
              </w:rPr>
            </w:pPr>
            <w:r>
              <w:rPr>
                <w:highlight w:val="none"/>
              </w:rPr>
              <w:t>0.0010</w:t>
            </w:r>
          </w:p>
        </w:tc>
        <w:tc>
          <w:tcPr>
            <w:tcW w:w="1658" w:type="dxa"/>
            <w:tcBorders>
              <w:tl2br w:val="nil"/>
              <w:tr2bl w:val="nil"/>
            </w:tcBorders>
            <w:vAlign w:val="center"/>
          </w:tcPr>
          <w:p>
            <w:pPr>
              <w:pStyle w:val="30"/>
              <w:bidi w:val="0"/>
              <w:rPr>
                <w:highlight w:val="none"/>
              </w:rPr>
            </w:pPr>
            <w:r>
              <w:rPr>
                <w:highlight w:val="none"/>
              </w:rPr>
              <w:t>0.0103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25000.0</w:t>
            </w:r>
          </w:p>
        </w:tc>
        <w:tc>
          <w:tcPr>
            <w:tcW w:w="1801" w:type="dxa"/>
            <w:tcBorders>
              <w:tl2br w:val="nil"/>
              <w:tr2bl w:val="nil"/>
            </w:tcBorders>
            <w:vAlign w:val="center"/>
          </w:tcPr>
          <w:p>
            <w:pPr>
              <w:pStyle w:val="30"/>
              <w:bidi w:val="0"/>
              <w:rPr>
                <w:highlight w:val="none"/>
              </w:rPr>
            </w:pPr>
            <w:r>
              <w:rPr>
                <w:highlight w:val="none"/>
              </w:rPr>
              <w:t>0.1140</w:t>
            </w:r>
          </w:p>
        </w:tc>
        <w:tc>
          <w:tcPr>
            <w:tcW w:w="1676" w:type="dxa"/>
            <w:tcBorders>
              <w:tl2br w:val="nil"/>
              <w:tr2bl w:val="nil"/>
            </w:tcBorders>
            <w:vAlign w:val="center"/>
          </w:tcPr>
          <w:p>
            <w:pPr>
              <w:pStyle w:val="30"/>
              <w:bidi w:val="0"/>
              <w:rPr>
                <w:highlight w:val="none"/>
              </w:rPr>
            </w:pPr>
            <w:r>
              <w:rPr>
                <w:highlight w:val="none"/>
              </w:rPr>
              <w:t>0.0570</w:t>
            </w:r>
          </w:p>
        </w:tc>
        <w:tc>
          <w:tcPr>
            <w:tcW w:w="1784" w:type="dxa"/>
            <w:tcBorders>
              <w:tl2br w:val="nil"/>
              <w:tr2bl w:val="nil"/>
            </w:tcBorders>
            <w:vAlign w:val="center"/>
          </w:tcPr>
          <w:p>
            <w:pPr>
              <w:pStyle w:val="30"/>
              <w:bidi w:val="0"/>
              <w:rPr>
                <w:highlight w:val="none"/>
              </w:rPr>
            </w:pPr>
            <w:r>
              <w:rPr>
                <w:highlight w:val="none"/>
              </w:rPr>
              <w:t>0.0008</w:t>
            </w:r>
          </w:p>
        </w:tc>
        <w:tc>
          <w:tcPr>
            <w:tcW w:w="1658" w:type="dxa"/>
            <w:tcBorders>
              <w:tl2br w:val="nil"/>
              <w:tr2bl w:val="nil"/>
            </w:tcBorders>
            <w:vAlign w:val="center"/>
          </w:tcPr>
          <w:p>
            <w:pPr>
              <w:pStyle w:val="30"/>
              <w:bidi w:val="0"/>
              <w:rPr>
                <w:highlight w:val="none"/>
              </w:rPr>
            </w:pPr>
            <w:r>
              <w:rPr>
                <w:highlight w:val="none"/>
              </w:rPr>
              <w:t>0.0079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下风向最大浓度</w:t>
            </w:r>
          </w:p>
        </w:tc>
        <w:tc>
          <w:tcPr>
            <w:tcW w:w="1801" w:type="dxa"/>
            <w:tcBorders>
              <w:tl2br w:val="nil"/>
              <w:tr2bl w:val="nil"/>
            </w:tcBorders>
            <w:vAlign w:val="center"/>
          </w:tcPr>
          <w:p>
            <w:pPr>
              <w:pStyle w:val="30"/>
              <w:bidi w:val="0"/>
              <w:rPr>
                <w:highlight w:val="none"/>
              </w:rPr>
            </w:pPr>
            <w:r>
              <w:rPr>
                <w:highlight w:val="none"/>
              </w:rPr>
              <w:t>8.1598</w:t>
            </w:r>
          </w:p>
        </w:tc>
        <w:tc>
          <w:tcPr>
            <w:tcW w:w="1676" w:type="dxa"/>
            <w:tcBorders>
              <w:tl2br w:val="nil"/>
              <w:tr2bl w:val="nil"/>
            </w:tcBorders>
            <w:vAlign w:val="center"/>
          </w:tcPr>
          <w:p>
            <w:pPr>
              <w:pStyle w:val="30"/>
              <w:bidi w:val="0"/>
              <w:rPr>
                <w:highlight w:val="none"/>
              </w:rPr>
            </w:pPr>
            <w:r>
              <w:rPr>
                <w:highlight w:val="none"/>
              </w:rPr>
              <w:t>4.0799</w:t>
            </w:r>
          </w:p>
        </w:tc>
        <w:tc>
          <w:tcPr>
            <w:tcW w:w="1784" w:type="dxa"/>
            <w:tcBorders>
              <w:tl2br w:val="nil"/>
              <w:tr2bl w:val="nil"/>
            </w:tcBorders>
            <w:vAlign w:val="center"/>
          </w:tcPr>
          <w:p>
            <w:pPr>
              <w:pStyle w:val="30"/>
              <w:bidi w:val="0"/>
              <w:rPr>
                <w:highlight w:val="none"/>
              </w:rPr>
            </w:pPr>
            <w:r>
              <w:rPr>
                <w:highlight w:val="none"/>
              </w:rPr>
              <w:t>0.0567</w:t>
            </w:r>
          </w:p>
        </w:tc>
        <w:tc>
          <w:tcPr>
            <w:tcW w:w="1658" w:type="dxa"/>
            <w:tcBorders>
              <w:tl2br w:val="nil"/>
              <w:tr2bl w:val="nil"/>
            </w:tcBorders>
            <w:vAlign w:val="center"/>
          </w:tcPr>
          <w:p>
            <w:pPr>
              <w:pStyle w:val="30"/>
              <w:bidi w:val="0"/>
              <w:rPr>
                <w:highlight w:val="none"/>
              </w:rPr>
            </w:pPr>
            <w:r>
              <w:rPr>
                <w:highlight w:val="none"/>
              </w:rPr>
              <w:t>0.5667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下风向最大浓度出现距离</w:t>
            </w:r>
          </w:p>
        </w:tc>
        <w:tc>
          <w:tcPr>
            <w:tcW w:w="1801" w:type="dxa"/>
            <w:tcBorders>
              <w:tl2br w:val="nil"/>
              <w:tr2bl w:val="nil"/>
            </w:tcBorders>
            <w:vAlign w:val="center"/>
          </w:tcPr>
          <w:p>
            <w:pPr>
              <w:pStyle w:val="30"/>
              <w:bidi w:val="0"/>
              <w:rPr>
                <w:highlight w:val="none"/>
              </w:rPr>
            </w:pPr>
            <w:r>
              <w:rPr>
                <w:highlight w:val="none"/>
              </w:rPr>
              <w:t>44.0</w:t>
            </w:r>
          </w:p>
        </w:tc>
        <w:tc>
          <w:tcPr>
            <w:tcW w:w="1676" w:type="dxa"/>
            <w:tcBorders>
              <w:tl2br w:val="nil"/>
              <w:tr2bl w:val="nil"/>
            </w:tcBorders>
            <w:vAlign w:val="center"/>
          </w:tcPr>
          <w:p>
            <w:pPr>
              <w:pStyle w:val="30"/>
              <w:bidi w:val="0"/>
              <w:rPr>
                <w:highlight w:val="none"/>
              </w:rPr>
            </w:pPr>
            <w:r>
              <w:rPr>
                <w:highlight w:val="none"/>
              </w:rPr>
              <w:t>44.0</w:t>
            </w:r>
          </w:p>
        </w:tc>
        <w:tc>
          <w:tcPr>
            <w:tcW w:w="1784" w:type="dxa"/>
            <w:tcBorders>
              <w:tl2br w:val="nil"/>
              <w:tr2bl w:val="nil"/>
            </w:tcBorders>
            <w:vAlign w:val="center"/>
          </w:tcPr>
          <w:p>
            <w:pPr>
              <w:pStyle w:val="30"/>
              <w:bidi w:val="0"/>
              <w:rPr>
                <w:highlight w:val="none"/>
              </w:rPr>
            </w:pPr>
            <w:r>
              <w:rPr>
                <w:highlight w:val="none"/>
              </w:rPr>
              <w:t>44.0</w:t>
            </w:r>
          </w:p>
        </w:tc>
        <w:tc>
          <w:tcPr>
            <w:tcW w:w="1658" w:type="dxa"/>
            <w:tcBorders>
              <w:tl2br w:val="nil"/>
              <w:tr2bl w:val="nil"/>
            </w:tcBorders>
            <w:vAlign w:val="center"/>
          </w:tcPr>
          <w:p>
            <w:pPr>
              <w:pStyle w:val="30"/>
              <w:bidi w:val="0"/>
              <w:rPr>
                <w:highlight w:val="none"/>
              </w:rPr>
            </w:pPr>
            <w:r>
              <w:rPr>
                <w:highlight w:val="none"/>
              </w:rPr>
              <w:t>44.0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rPr>
                <w:highlight w:val="none"/>
              </w:rPr>
            </w:pPr>
            <w:r>
              <w:rPr>
                <w:highlight w:val="none"/>
              </w:rPr>
              <w:t>D10%最远距离</w:t>
            </w:r>
          </w:p>
        </w:tc>
        <w:tc>
          <w:tcPr>
            <w:tcW w:w="1801" w:type="dxa"/>
            <w:tcBorders>
              <w:tl2br w:val="nil"/>
              <w:tr2bl w:val="nil"/>
            </w:tcBorders>
            <w:vAlign w:val="center"/>
          </w:tcPr>
          <w:p>
            <w:pPr>
              <w:pStyle w:val="30"/>
              <w:bidi w:val="0"/>
              <w:rPr>
                <w:highlight w:val="none"/>
              </w:rPr>
            </w:pPr>
            <w:r>
              <w:rPr>
                <w:highlight w:val="none"/>
              </w:rPr>
              <w:t>/</w:t>
            </w:r>
          </w:p>
        </w:tc>
        <w:tc>
          <w:tcPr>
            <w:tcW w:w="1676" w:type="dxa"/>
            <w:tcBorders>
              <w:tl2br w:val="nil"/>
              <w:tr2bl w:val="nil"/>
            </w:tcBorders>
            <w:vAlign w:val="center"/>
          </w:tcPr>
          <w:p>
            <w:pPr>
              <w:pStyle w:val="30"/>
              <w:bidi w:val="0"/>
              <w:rPr>
                <w:highlight w:val="none"/>
              </w:rPr>
            </w:pPr>
            <w:r>
              <w:rPr>
                <w:highlight w:val="none"/>
              </w:rPr>
              <w:t>/</w:t>
            </w:r>
          </w:p>
        </w:tc>
        <w:tc>
          <w:tcPr>
            <w:tcW w:w="1784" w:type="dxa"/>
            <w:tcBorders>
              <w:tl2br w:val="nil"/>
              <w:tr2bl w:val="nil"/>
            </w:tcBorders>
            <w:vAlign w:val="center"/>
          </w:tcPr>
          <w:p>
            <w:pPr>
              <w:pStyle w:val="30"/>
              <w:bidi w:val="0"/>
              <w:rPr>
                <w:highlight w:val="none"/>
              </w:rPr>
            </w:pPr>
            <w:r>
              <w:rPr>
                <w:highlight w:val="none"/>
              </w:rPr>
              <w:t>/</w:t>
            </w:r>
          </w:p>
        </w:tc>
        <w:tc>
          <w:tcPr>
            <w:tcW w:w="1658" w:type="dxa"/>
            <w:tcBorders>
              <w:tl2br w:val="nil"/>
              <w:tr2bl w:val="nil"/>
            </w:tcBorders>
            <w:vAlign w:val="center"/>
          </w:tcPr>
          <w:p>
            <w:pPr>
              <w:pStyle w:val="30"/>
              <w:bidi w:val="0"/>
              <w:rPr>
                <w:highlight w:val="none"/>
              </w:rPr>
            </w:pPr>
            <w:r>
              <w:rPr>
                <w:highlight w:val="none"/>
              </w:rPr>
              <w:t>/</w:t>
            </w:r>
          </w:p>
        </w:tc>
      </w:tr>
    </w:tbl>
    <w:p>
      <w:pPr>
        <w:pStyle w:val="29"/>
        <w:bidi w:val="0"/>
        <w:rPr>
          <w:rFonts w:hint="default"/>
          <w:highlight w:val="none"/>
          <w:lang w:val="en-US" w:eastAsia="zh-CN"/>
        </w:rPr>
      </w:pPr>
      <w:r>
        <w:rPr>
          <w:rFonts w:hint="eastAsia"/>
          <w:highlight w:val="none"/>
          <w:lang w:val="en-US" w:eastAsia="zh-CN"/>
        </w:rPr>
        <w:t>表5.2-16  恶臭无组织（污水处理站）排放预测计算结果</w:t>
      </w:r>
    </w:p>
    <w:tbl>
      <w:tblPr>
        <w:tblStyle w:val="22"/>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01"/>
        <w:gridCol w:w="1801"/>
        <w:gridCol w:w="1676"/>
        <w:gridCol w:w="1784"/>
        <w:gridCol w:w="165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vMerge w:val="restart"/>
            <w:tcBorders>
              <w:tl2br w:val="nil"/>
              <w:tr2bl w:val="nil"/>
            </w:tcBorders>
            <w:vAlign w:val="center"/>
          </w:tcPr>
          <w:p>
            <w:pPr>
              <w:pStyle w:val="30"/>
              <w:bidi w:val="0"/>
              <w:rPr>
                <w:highlight w:val="none"/>
              </w:rPr>
            </w:pPr>
            <w:r>
              <w:rPr>
                <w:highlight w:val="none"/>
              </w:rPr>
              <w:t>下风向距离</w:t>
            </w:r>
          </w:p>
        </w:tc>
        <w:tc>
          <w:tcPr>
            <w:tcW w:w="0" w:type="auto"/>
            <w:gridSpan w:val="4"/>
            <w:tcBorders>
              <w:tl2br w:val="nil"/>
              <w:tr2bl w:val="nil"/>
            </w:tcBorders>
            <w:vAlign w:val="center"/>
          </w:tcPr>
          <w:p>
            <w:pPr>
              <w:pStyle w:val="30"/>
              <w:bidi w:val="0"/>
              <w:rPr>
                <w:rFonts w:hint="eastAsia" w:eastAsia="宋体"/>
                <w:highlight w:val="none"/>
                <w:lang w:val="en-US" w:eastAsia="zh-CN"/>
              </w:rPr>
            </w:pPr>
            <w:r>
              <w:rPr>
                <w:rFonts w:hint="eastAsia"/>
                <w:highlight w:val="none"/>
                <w:lang w:val="en-US" w:eastAsia="zh-CN"/>
              </w:rPr>
              <w:t>污水处理站</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0" w:type="auto"/>
            <w:vMerge w:val="continue"/>
            <w:tcBorders>
              <w:tl2br w:val="nil"/>
              <w:tr2bl w:val="nil"/>
            </w:tcBorders>
            <w:vAlign w:val="center"/>
          </w:tcPr>
          <w:p>
            <w:pPr>
              <w:pStyle w:val="30"/>
              <w:bidi w:val="0"/>
              <w:rPr>
                <w:highlight w:val="none"/>
              </w:rPr>
            </w:pPr>
          </w:p>
        </w:tc>
        <w:tc>
          <w:tcPr>
            <w:tcW w:w="0" w:type="auto"/>
            <w:tcBorders>
              <w:tl2br w:val="nil"/>
              <w:tr2bl w:val="nil"/>
            </w:tcBorders>
            <w:vAlign w:val="center"/>
          </w:tcPr>
          <w:p>
            <w:pPr>
              <w:pStyle w:val="30"/>
              <w:bidi w:val="0"/>
              <w:rPr>
                <w:highlight w:val="none"/>
              </w:rPr>
            </w:pPr>
            <w:r>
              <w:rPr>
                <w:highlight w:val="none"/>
              </w:rPr>
              <w:t>NH</w:t>
            </w:r>
            <w:r>
              <w:rPr>
                <w:highlight w:val="none"/>
                <w:vertAlign w:val="subscript"/>
              </w:rPr>
              <w:t>3</w:t>
            </w:r>
            <w:r>
              <w:rPr>
                <w:highlight w:val="none"/>
              </w:rPr>
              <w:t>浓度(μg/m³)</w:t>
            </w:r>
          </w:p>
        </w:tc>
        <w:tc>
          <w:tcPr>
            <w:tcW w:w="0" w:type="auto"/>
            <w:tcBorders>
              <w:tl2br w:val="nil"/>
              <w:tr2bl w:val="nil"/>
            </w:tcBorders>
            <w:vAlign w:val="center"/>
          </w:tcPr>
          <w:p>
            <w:pPr>
              <w:pStyle w:val="30"/>
              <w:bidi w:val="0"/>
              <w:rPr>
                <w:highlight w:val="none"/>
              </w:rPr>
            </w:pPr>
            <w:r>
              <w:rPr>
                <w:highlight w:val="none"/>
              </w:rPr>
              <w:t>NH</w:t>
            </w:r>
            <w:r>
              <w:rPr>
                <w:highlight w:val="none"/>
                <w:vertAlign w:val="subscript"/>
              </w:rPr>
              <w:t>3</w:t>
            </w:r>
            <w:r>
              <w:rPr>
                <w:highlight w:val="none"/>
              </w:rPr>
              <w:t>占标率(%)</w:t>
            </w:r>
          </w:p>
        </w:tc>
        <w:tc>
          <w:tcPr>
            <w:tcW w:w="0" w:type="auto"/>
            <w:tcBorders>
              <w:tl2br w:val="nil"/>
              <w:tr2bl w:val="nil"/>
            </w:tcBorders>
            <w:vAlign w:val="center"/>
          </w:tcPr>
          <w:p>
            <w:pPr>
              <w:pStyle w:val="30"/>
              <w:bidi w:val="0"/>
              <w:rPr>
                <w:highlight w:val="none"/>
              </w:rPr>
            </w:pPr>
            <w:r>
              <w:rPr>
                <w:highlight w:val="none"/>
              </w:rPr>
              <w:t>H</w:t>
            </w:r>
            <w:r>
              <w:rPr>
                <w:highlight w:val="none"/>
                <w:vertAlign w:val="subscript"/>
              </w:rPr>
              <w:t>2</w:t>
            </w:r>
            <w:r>
              <w:rPr>
                <w:highlight w:val="none"/>
              </w:rPr>
              <w:t>S浓度(μg/m³)</w:t>
            </w:r>
          </w:p>
        </w:tc>
        <w:tc>
          <w:tcPr>
            <w:tcW w:w="0" w:type="auto"/>
            <w:tcBorders>
              <w:tl2br w:val="nil"/>
              <w:tr2bl w:val="nil"/>
            </w:tcBorders>
            <w:vAlign w:val="center"/>
          </w:tcPr>
          <w:p>
            <w:pPr>
              <w:pStyle w:val="30"/>
              <w:bidi w:val="0"/>
              <w:rPr>
                <w:highlight w:val="none"/>
              </w:rPr>
            </w:pPr>
            <w:r>
              <w:rPr>
                <w:highlight w:val="none"/>
              </w:rPr>
              <w:t>H</w:t>
            </w:r>
            <w:r>
              <w:rPr>
                <w:highlight w:val="none"/>
                <w:vertAlign w:val="subscript"/>
              </w:rPr>
              <w:t>2</w:t>
            </w:r>
            <w:r>
              <w:rPr>
                <w:highlight w:val="none"/>
              </w:rPr>
              <w:t>S占标率(%)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50.0</w:t>
            </w:r>
          </w:p>
        </w:tc>
        <w:tc>
          <w:tcPr>
            <w:tcW w:w="1801" w:type="dxa"/>
            <w:tcBorders>
              <w:tl2br w:val="nil"/>
              <w:tr2bl w:val="nil"/>
            </w:tcBorders>
            <w:vAlign w:val="center"/>
          </w:tcPr>
          <w:p>
            <w:pPr>
              <w:pStyle w:val="30"/>
              <w:bidi w:val="0"/>
            </w:pPr>
            <w:r>
              <w:t>3.8533</w:t>
            </w:r>
          </w:p>
        </w:tc>
        <w:tc>
          <w:tcPr>
            <w:tcW w:w="1676" w:type="dxa"/>
            <w:tcBorders>
              <w:tl2br w:val="nil"/>
              <w:tr2bl w:val="nil"/>
            </w:tcBorders>
            <w:vAlign w:val="center"/>
          </w:tcPr>
          <w:p>
            <w:pPr>
              <w:pStyle w:val="30"/>
              <w:bidi w:val="0"/>
            </w:pPr>
            <w:r>
              <w:t>1.9266</w:t>
            </w:r>
          </w:p>
        </w:tc>
        <w:tc>
          <w:tcPr>
            <w:tcW w:w="1784" w:type="dxa"/>
            <w:tcBorders>
              <w:tl2br w:val="nil"/>
              <w:tr2bl w:val="nil"/>
            </w:tcBorders>
            <w:vAlign w:val="center"/>
          </w:tcPr>
          <w:p>
            <w:pPr>
              <w:pStyle w:val="30"/>
              <w:bidi w:val="0"/>
            </w:pPr>
            <w:r>
              <w:t>0.1445</w:t>
            </w:r>
          </w:p>
        </w:tc>
        <w:tc>
          <w:tcPr>
            <w:tcW w:w="1658" w:type="dxa"/>
            <w:tcBorders>
              <w:tl2br w:val="nil"/>
              <w:tr2bl w:val="nil"/>
            </w:tcBorders>
            <w:vAlign w:val="center"/>
          </w:tcPr>
          <w:p>
            <w:pPr>
              <w:pStyle w:val="30"/>
              <w:bidi w:val="0"/>
            </w:pPr>
            <w:r>
              <w:t>1.4450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100.0</w:t>
            </w:r>
          </w:p>
        </w:tc>
        <w:tc>
          <w:tcPr>
            <w:tcW w:w="1801" w:type="dxa"/>
            <w:tcBorders>
              <w:tl2br w:val="nil"/>
              <w:tr2bl w:val="nil"/>
            </w:tcBorders>
            <w:vAlign w:val="center"/>
          </w:tcPr>
          <w:p>
            <w:pPr>
              <w:pStyle w:val="30"/>
              <w:bidi w:val="0"/>
            </w:pPr>
            <w:r>
              <w:t>2.7587</w:t>
            </w:r>
          </w:p>
        </w:tc>
        <w:tc>
          <w:tcPr>
            <w:tcW w:w="1676" w:type="dxa"/>
            <w:tcBorders>
              <w:tl2br w:val="nil"/>
              <w:tr2bl w:val="nil"/>
            </w:tcBorders>
            <w:vAlign w:val="center"/>
          </w:tcPr>
          <w:p>
            <w:pPr>
              <w:pStyle w:val="30"/>
              <w:bidi w:val="0"/>
            </w:pPr>
            <w:r>
              <w:t>1.3794</w:t>
            </w:r>
          </w:p>
        </w:tc>
        <w:tc>
          <w:tcPr>
            <w:tcW w:w="1784" w:type="dxa"/>
            <w:tcBorders>
              <w:tl2br w:val="nil"/>
              <w:tr2bl w:val="nil"/>
            </w:tcBorders>
            <w:vAlign w:val="center"/>
          </w:tcPr>
          <w:p>
            <w:pPr>
              <w:pStyle w:val="30"/>
              <w:bidi w:val="0"/>
            </w:pPr>
            <w:r>
              <w:t>0.1035</w:t>
            </w:r>
          </w:p>
        </w:tc>
        <w:tc>
          <w:tcPr>
            <w:tcW w:w="1658" w:type="dxa"/>
            <w:tcBorders>
              <w:tl2br w:val="nil"/>
              <w:tr2bl w:val="nil"/>
            </w:tcBorders>
            <w:vAlign w:val="center"/>
          </w:tcPr>
          <w:p>
            <w:pPr>
              <w:pStyle w:val="30"/>
              <w:bidi w:val="0"/>
            </w:pPr>
            <w:r>
              <w:t>1.0345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200.0</w:t>
            </w:r>
          </w:p>
        </w:tc>
        <w:tc>
          <w:tcPr>
            <w:tcW w:w="1801" w:type="dxa"/>
            <w:tcBorders>
              <w:tl2br w:val="nil"/>
              <w:tr2bl w:val="nil"/>
            </w:tcBorders>
            <w:vAlign w:val="center"/>
          </w:tcPr>
          <w:p>
            <w:pPr>
              <w:pStyle w:val="30"/>
              <w:bidi w:val="0"/>
            </w:pPr>
            <w:r>
              <w:t>1.7660</w:t>
            </w:r>
          </w:p>
        </w:tc>
        <w:tc>
          <w:tcPr>
            <w:tcW w:w="1676" w:type="dxa"/>
            <w:tcBorders>
              <w:tl2br w:val="nil"/>
              <w:tr2bl w:val="nil"/>
            </w:tcBorders>
            <w:vAlign w:val="center"/>
          </w:tcPr>
          <w:p>
            <w:pPr>
              <w:pStyle w:val="30"/>
              <w:bidi w:val="0"/>
            </w:pPr>
            <w:r>
              <w:t>0.8830</w:t>
            </w:r>
          </w:p>
        </w:tc>
        <w:tc>
          <w:tcPr>
            <w:tcW w:w="1784" w:type="dxa"/>
            <w:tcBorders>
              <w:tl2br w:val="nil"/>
              <w:tr2bl w:val="nil"/>
            </w:tcBorders>
            <w:vAlign w:val="center"/>
          </w:tcPr>
          <w:p>
            <w:pPr>
              <w:pStyle w:val="30"/>
              <w:bidi w:val="0"/>
            </w:pPr>
            <w:r>
              <w:t>0.0662</w:t>
            </w:r>
          </w:p>
        </w:tc>
        <w:tc>
          <w:tcPr>
            <w:tcW w:w="1658" w:type="dxa"/>
            <w:tcBorders>
              <w:tl2br w:val="nil"/>
              <w:tr2bl w:val="nil"/>
            </w:tcBorders>
            <w:vAlign w:val="center"/>
          </w:tcPr>
          <w:p>
            <w:pPr>
              <w:pStyle w:val="30"/>
              <w:bidi w:val="0"/>
            </w:pPr>
            <w:r>
              <w:t>0.6622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300.0</w:t>
            </w:r>
          </w:p>
        </w:tc>
        <w:tc>
          <w:tcPr>
            <w:tcW w:w="1801" w:type="dxa"/>
            <w:tcBorders>
              <w:tl2br w:val="nil"/>
              <w:tr2bl w:val="nil"/>
            </w:tcBorders>
            <w:vAlign w:val="center"/>
          </w:tcPr>
          <w:p>
            <w:pPr>
              <w:pStyle w:val="30"/>
              <w:bidi w:val="0"/>
            </w:pPr>
            <w:r>
              <w:t>1.4066</w:t>
            </w:r>
          </w:p>
        </w:tc>
        <w:tc>
          <w:tcPr>
            <w:tcW w:w="1676" w:type="dxa"/>
            <w:tcBorders>
              <w:tl2br w:val="nil"/>
              <w:tr2bl w:val="nil"/>
            </w:tcBorders>
            <w:vAlign w:val="center"/>
          </w:tcPr>
          <w:p>
            <w:pPr>
              <w:pStyle w:val="30"/>
              <w:bidi w:val="0"/>
            </w:pPr>
            <w:r>
              <w:t>0.7033</w:t>
            </w:r>
          </w:p>
        </w:tc>
        <w:tc>
          <w:tcPr>
            <w:tcW w:w="1784" w:type="dxa"/>
            <w:tcBorders>
              <w:tl2br w:val="nil"/>
              <w:tr2bl w:val="nil"/>
            </w:tcBorders>
            <w:vAlign w:val="center"/>
          </w:tcPr>
          <w:p>
            <w:pPr>
              <w:pStyle w:val="30"/>
              <w:bidi w:val="0"/>
            </w:pPr>
            <w:r>
              <w:t>0.0527</w:t>
            </w:r>
          </w:p>
        </w:tc>
        <w:tc>
          <w:tcPr>
            <w:tcW w:w="1658" w:type="dxa"/>
            <w:tcBorders>
              <w:tl2br w:val="nil"/>
              <w:tr2bl w:val="nil"/>
            </w:tcBorders>
            <w:vAlign w:val="center"/>
          </w:tcPr>
          <w:p>
            <w:pPr>
              <w:pStyle w:val="30"/>
              <w:bidi w:val="0"/>
            </w:pPr>
            <w:r>
              <w:t>0.5275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400.0</w:t>
            </w:r>
          </w:p>
        </w:tc>
        <w:tc>
          <w:tcPr>
            <w:tcW w:w="1801" w:type="dxa"/>
            <w:tcBorders>
              <w:tl2br w:val="nil"/>
              <w:tr2bl w:val="nil"/>
            </w:tcBorders>
            <w:vAlign w:val="center"/>
          </w:tcPr>
          <w:p>
            <w:pPr>
              <w:pStyle w:val="30"/>
              <w:bidi w:val="0"/>
            </w:pPr>
            <w:r>
              <w:t>1.2001</w:t>
            </w:r>
          </w:p>
        </w:tc>
        <w:tc>
          <w:tcPr>
            <w:tcW w:w="1676" w:type="dxa"/>
            <w:tcBorders>
              <w:tl2br w:val="nil"/>
              <w:tr2bl w:val="nil"/>
            </w:tcBorders>
            <w:vAlign w:val="center"/>
          </w:tcPr>
          <w:p>
            <w:pPr>
              <w:pStyle w:val="30"/>
              <w:bidi w:val="0"/>
            </w:pPr>
            <w:r>
              <w:t>0.6000</w:t>
            </w:r>
          </w:p>
        </w:tc>
        <w:tc>
          <w:tcPr>
            <w:tcW w:w="1784" w:type="dxa"/>
            <w:tcBorders>
              <w:tl2br w:val="nil"/>
              <w:tr2bl w:val="nil"/>
            </w:tcBorders>
            <w:vAlign w:val="center"/>
          </w:tcPr>
          <w:p>
            <w:pPr>
              <w:pStyle w:val="30"/>
              <w:bidi w:val="0"/>
            </w:pPr>
            <w:r>
              <w:t>0.0450</w:t>
            </w:r>
          </w:p>
        </w:tc>
        <w:tc>
          <w:tcPr>
            <w:tcW w:w="1658" w:type="dxa"/>
            <w:tcBorders>
              <w:tl2br w:val="nil"/>
              <w:tr2bl w:val="nil"/>
            </w:tcBorders>
            <w:vAlign w:val="center"/>
          </w:tcPr>
          <w:p>
            <w:pPr>
              <w:pStyle w:val="30"/>
              <w:bidi w:val="0"/>
            </w:pPr>
            <w:r>
              <w:t>0.4500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500.0</w:t>
            </w:r>
          </w:p>
        </w:tc>
        <w:tc>
          <w:tcPr>
            <w:tcW w:w="1801" w:type="dxa"/>
            <w:tcBorders>
              <w:tl2br w:val="nil"/>
              <w:tr2bl w:val="nil"/>
            </w:tcBorders>
            <w:vAlign w:val="center"/>
          </w:tcPr>
          <w:p>
            <w:pPr>
              <w:pStyle w:val="30"/>
              <w:bidi w:val="0"/>
            </w:pPr>
            <w:r>
              <w:t>1.0669</w:t>
            </w:r>
          </w:p>
        </w:tc>
        <w:tc>
          <w:tcPr>
            <w:tcW w:w="1676" w:type="dxa"/>
            <w:tcBorders>
              <w:tl2br w:val="nil"/>
              <w:tr2bl w:val="nil"/>
            </w:tcBorders>
            <w:vAlign w:val="center"/>
          </w:tcPr>
          <w:p>
            <w:pPr>
              <w:pStyle w:val="30"/>
              <w:bidi w:val="0"/>
            </w:pPr>
            <w:r>
              <w:t>0.5334</w:t>
            </w:r>
          </w:p>
        </w:tc>
        <w:tc>
          <w:tcPr>
            <w:tcW w:w="1784" w:type="dxa"/>
            <w:tcBorders>
              <w:tl2br w:val="nil"/>
              <w:tr2bl w:val="nil"/>
            </w:tcBorders>
            <w:vAlign w:val="center"/>
          </w:tcPr>
          <w:p>
            <w:pPr>
              <w:pStyle w:val="30"/>
              <w:bidi w:val="0"/>
            </w:pPr>
            <w:r>
              <w:t>0.0400</w:t>
            </w:r>
          </w:p>
        </w:tc>
        <w:tc>
          <w:tcPr>
            <w:tcW w:w="1658" w:type="dxa"/>
            <w:tcBorders>
              <w:tl2br w:val="nil"/>
              <w:tr2bl w:val="nil"/>
            </w:tcBorders>
            <w:vAlign w:val="center"/>
          </w:tcPr>
          <w:p>
            <w:pPr>
              <w:pStyle w:val="30"/>
              <w:bidi w:val="0"/>
            </w:pPr>
            <w:r>
              <w:t>0.4001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600.0</w:t>
            </w:r>
          </w:p>
        </w:tc>
        <w:tc>
          <w:tcPr>
            <w:tcW w:w="1801" w:type="dxa"/>
            <w:tcBorders>
              <w:tl2br w:val="nil"/>
              <w:tr2bl w:val="nil"/>
            </w:tcBorders>
            <w:vAlign w:val="center"/>
          </w:tcPr>
          <w:p>
            <w:pPr>
              <w:pStyle w:val="30"/>
              <w:bidi w:val="0"/>
            </w:pPr>
            <w:r>
              <w:t>0.9624</w:t>
            </w:r>
          </w:p>
        </w:tc>
        <w:tc>
          <w:tcPr>
            <w:tcW w:w="1676" w:type="dxa"/>
            <w:tcBorders>
              <w:tl2br w:val="nil"/>
              <w:tr2bl w:val="nil"/>
            </w:tcBorders>
            <w:vAlign w:val="center"/>
          </w:tcPr>
          <w:p>
            <w:pPr>
              <w:pStyle w:val="30"/>
              <w:bidi w:val="0"/>
            </w:pPr>
            <w:r>
              <w:t>0.4812</w:t>
            </w:r>
          </w:p>
        </w:tc>
        <w:tc>
          <w:tcPr>
            <w:tcW w:w="1784" w:type="dxa"/>
            <w:tcBorders>
              <w:tl2br w:val="nil"/>
              <w:tr2bl w:val="nil"/>
            </w:tcBorders>
            <w:vAlign w:val="center"/>
          </w:tcPr>
          <w:p>
            <w:pPr>
              <w:pStyle w:val="30"/>
              <w:bidi w:val="0"/>
            </w:pPr>
            <w:r>
              <w:t>0.0361</w:t>
            </w:r>
          </w:p>
        </w:tc>
        <w:tc>
          <w:tcPr>
            <w:tcW w:w="1658" w:type="dxa"/>
            <w:tcBorders>
              <w:tl2br w:val="nil"/>
              <w:tr2bl w:val="nil"/>
            </w:tcBorders>
            <w:vAlign w:val="center"/>
          </w:tcPr>
          <w:p>
            <w:pPr>
              <w:pStyle w:val="30"/>
              <w:bidi w:val="0"/>
            </w:pPr>
            <w:r>
              <w:t>0.3609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700.0</w:t>
            </w:r>
          </w:p>
        </w:tc>
        <w:tc>
          <w:tcPr>
            <w:tcW w:w="1801" w:type="dxa"/>
            <w:tcBorders>
              <w:tl2br w:val="nil"/>
              <w:tr2bl w:val="nil"/>
            </w:tcBorders>
            <w:vAlign w:val="center"/>
          </w:tcPr>
          <w:p>
            <w:pPr>
              <w:pStyle w:val="30"/>
              <w:bidi w:val="0"/>
            </w:pPr>
            <w:r>
              <w:t>0.8786</w:t>
            </w:r>
          </w:p>
        </w:tc>
        <w:tc>
          <w:tcPr>
            <w:tcW w:w="1676" w:type="dxa"/>
            <w:tcBorders>
              <w:tl2br w:val="nil"/>
              <w:tr2bl w:val="nil"/>
            </w:tcBorders>
            <w:vAlign w:val="center"/>
          </w:tcPr>
          <w:p>
            <w:pPr>
              <w:pStyle w:val="30"/>
              <w:bidi w:val="0"/>
            </w:pPr>
            <w:r>
              <w:t>0.4393</w:t>
            </w:r>
          </w:p>
        </w:tc>
        <w:tc>
          <w:tcPr>
            <w:tcW w:w="1784" w:type="dxa"/>
            <w:tcBorders>
              <w:tl2br w:val="nil"/>
              <w:tr2bl w:val="nil"/>
            </w:tcBorders>
            <w:vAlign w:val="center"/>
          </w:tcPr>
          <w:p>
            <w:pPr>
              <w:pStyle w:val="30"/>
              <w:bidi w:val="0"/>
            </w:pPr>
            <w:r>
              <w:t>0.0329</w:t>
            </w:r>
          </w:p>
        </w:tc>
        <w:tc>
          <w:tcPr>
            <w:tcW w:w="1658" w:type="dxa"/>
            <w:tcBorders>
              <w:tl2br w:val="nil"/>
              <w:tr2bl w:val="nil"/>
            </w:tcBorders>
            <w:vAlign w:val="center"/>
          </w:tcPr>
          <w:p>
            <w:pPr>
              <w:pStyle w:val="30"/>
              <w:bidi w:val="0"/>
            </w:pPr>
            <w:r>
              <w:t>0.3295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800.0</w:t>
            </w:r>
          </w:p>
        </w:tc>
        <w:tc>
          <w:tcPr>
            <w:tcW w:w="1801" w:type="dxa"/>
            <w:tcBorders>
              <w:tl2br w:val="nil"/>
              <w:tr2bl w:val="nil"/>
            </w:tcBorders>
            <w:vAlign w:val="center"/>
          </w:tcPr>
          <w:p>
            <w:pPr>
              <w:pStyle w:val="30"/>
              <w:bidi w:val="0"/>
            </w:pPr>
            <w:r>
              <w:t>0.8227</w:t>
            </w:r>
          </w:p>
        </w:tc>
        <w:tc>
          <w:tcPr>
            <w:tcW w:w="1676" w:type="dxa"/>
            <w:tcBorders>
              <w:tl2br w:val="nil"/>
              <w:tr2bl w:val="nil"/>
            </w:tcBorders>
            <w:vAlign w:val="center"/>
          </w:tcPr>
          <w:p>
            <w:pPr>
              <w:pStyle w:val="30"/>
              <w:bidi w:val="0"/>
            </w:pPr>
            <w:r>
              <w:t>0.4113</w:t>
            </w:r>
          </w:p>
        </w:tc>
        <w:tc>
          <w:tcPr>
            <w:tcW w:w="1784" w:type="dxa"/>
            <w:tcBorders>
              <w:tl2br w:val="nil"/>
              <w:tr2bl w:val="nil"/>
            </w:tcBorders>
            <w:vAlign w:val="center"/>
          </w:tcPr>
          <w:p>
            <w:pPr>
              <w:pStyle w:val="30"/>
              <w:bidi w:val="0"/>
            </w:pPr>
            <w:r>
              <w:t>0.0309</w:t>
            </w:r>
          </w:p>
        </w:tc>
        <w:tc>
          <w:tcPr>
            <w:tcW w:w="1658" w:type="dxa"/>
            <w:tcBorders>
              <w:tl2br w:val="nil"/>
              <w:tr2bl w:val="nil"/>
            </w:tcBorders>
            <w:vAlign w:val="center"/>
          </w:tcPr>
          <w:p>
            <w:pPr>
              <w:pStyle w:val="30"/>
              <w:bidi w:val="0"/>
            </w:pPr>
            <w:r>
              <w:t>0.3085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900.0</w:t>
            </w:r>
          </w:p>
        </w:tc>
        <w:tc>
          <w:tcPr>
            <w:tcW w:w="1801" w:type="dxa"/>
            <w:tcBorders>
              <w:tl2br w:val="nil"/>
              <w:tr2bl w:val="nil"/>
            </w:tcBorders>
            <w:vAlign w:val="center"/>
          </w:tcPr>
          <w:p>
            <w:pPr>
              <w:pStyle w:val="30"/>
              <w:bidi w:val="0"/>
            </w:pPr>
            <w:r>
              <w:t>0.7718</w:t>
            </w:r>
          </w:p>
        </w:tc>
        <w:tc>
          <w:tcPr>
            <w:tcW w:w="1676" w:type="dxa"/>
            <w:tcBorders>
              <w:tl2br w:val="nil"/>
              <w:tr2bl w:val="nil"/>
            </w:tcBorders>
            <w:vAlign w:val="center"/>
          </w:tcPr>
          <w:p>
            <w:pPr>
              <w:pStyle w:val="30"/>
              <w:bidi w:val="0"/>
            </w:pPr>
            <w:r>
              <w:t>0.3859</w:t>
            </w:r>
          </w:p>
        </w:tc>
        <w:tc>
          <w:tcPr>
            <w:tcW w:w="1784" w:type="dxa"/>
            <w:tcBorders>
              <w:tl2br w:val="nil"/>
              <w:tr2bl w:val="nil"/>
            </w:tcBorders>
            <w:vAlign w:val="center"/>
          </w:tcPr>
          <w:p>
            <w:pPr>
              <w:pStyle w:val="30"/>
              <w:bidi w:val="0"/>
            </w:pPr>
            <w:r>
              <w:t>0.0289</w:t>
            </w:r>
          </w:p>
        </w:tc>
        <w:tc>
          <w:tcPr>
            <w:tcW w:w="1658" w:type="dxa"/>
            <w:tcBorders>
              <w:tl2br w:val="nil"/>
              <w:tr2bl w:val="nil"/>
            </w:tcBorders>
            <w:vAlign w:val="center"/>
          </w:tcPr>
          <w:p>
            <w:pPr>
              <w:pStyle w:val="30"/>
              <w:bidi w:val="0"/>
            </w:pPr>
            <w:r>
              <w:t>0.2894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1000.0</w:t>
            </w:r>
          </w:p>
        </w:tc>
        <w:tc>
          <w:tcPr>
            <w:tcW w:w="1801" w:type="dxa"/>
            <w:tcBorders>
              <w:tl2br w:val="nil"/>
              <w:tr2bl w:val="nil"/>
            </w:tcBorders>
            <w:vAlign w:val="center"/>
          </w:tcPr>
          <w:p>
            <w:pPr>
              <w:pStyle w:val="30"/>
              <w:bidi w:val="0"/>
            </w:pPr>
            <w:r>
              <w:t>0.7255</w:t>
            </w:r>
          </w:p>
        </w:tc>
        <w:tc>
          <w:tcPr>
            <w:tcW w:w="1676" w:type="dxa"/>
            <w:tcBorders>
              <w:tl2br w:val="nil"/>
              <w:tr2bl w:val="nil"/>
            </w:tcBorders>
            <w:vAlign w:val="center"/>
          </w:tcPr>
          <w:p>
            <w:pPr>
              <w:pStyle w:val="30"/>
              <w:bidi w:val="0"/>
            </w:pPr>
            <w:r>
              <w:t>0.3627</w:t>
            </w:r>
          </w:p>
        </w:tc>
        <w:tc>
          <w:tcPr>
            <w:tcW w:w="1784" w:type="dxa"/>
            <w:tcBorders>
              <w:tl2br w:val="nil"/>
              <w:tr2bl w:val="nil"/>
            </w:tcBorders>
            <w:vAlign w:val="center"/>
          </w:tcPr>
          <w:p>
            <w:pPr>
              <w:pStyle w:val="30"/>
              <w:bidi w:val="0"/>
            </w:pPr>
            <w:r>
              <w:t>0.0272</w:t>
            </w:r>
          </w:p>
        </w:tc>
        <w:tc>
          <w:tcPr>
            <w:tcW w:w="1658" w:type="dxa"/>
            <w:tcBorders>
              <w:tl2br w:val="nil"/>
              <w:tr2bl w:val="nil"/>
            </w:tcBorders>
            <w:vAlign w:val="center"/>
          </w:tcPr>
          <w:p>
            <w:pPr>
              <w:pStyle w:val="30"/>
              <w:bidi w:val="0"/>
            </w:pPr>
            <w:r>
              <w:t>0.2721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1200.0</w:t>
            </w:r>
          </w:p>
        </w:tc>
        <w:tc>
          <w:tcPr>
            <w:tcW w:w="1801" w:type="dxa"/>
            <w:tcBorders>
              <w:tl2br w:val="nil"/>
              <w:tr2bl w:val="nil"/>
            </w:tcBorders>
            <w:vAlign w:val="center"/>
          </w:tcPr>
          <w:p>
            <w:pPr>
              <w:pStyle w:val="30"/>
              <w:bidi w:val="0"/>
            </w:pPr>
            <w:r>
              <w:t>0.6447</w:t>
            </w:r>
          </w:p>
        </w:tc>
        <w:tc>
          <w:tcPr>
            <w:tcW w:w="1676" w:type="dxa"/>
            <w:tcBorders>
              <w:tl2br w:val="nil"/>
              <w:tr2bl w:val="nil"/>
            </w:tcBorders>
            <w:vAlign w:val="center"/>
          </w:tcPr>
          <w:p>
            <w:pPr>
              <w:pStyle w:val="30"/>
              <w:bidi w:val="0"/>
            </w:pPr>
            <w:r>
              <w:t>0.3223</w:t>
            </w:r>
          </w:p>
        </w:tc>
        <w:tc>
          <w:tcPr>
            <w:tcW w:w="1784" w:type="dxa"/>
            <w:tcBorders>
              <w:tl2br w:val="nil"/>
              <w:tr2bl w:val="nil"/>
            </w:tcBorders>
            <w:vAlign w:val="center"/>
          </w:tcPr>
          <w:p>
            <w:pPr>
              <w:pStyle w:val="30"/>
              <w:bidi w:val="0"/>
            </w:pPr>
            <w:r>
              <w:t>0.0242</w:t>
            </w:r>
          </w:p>
        </w:tc>
        <w:tc>
          <w:tcPr>
            <w:tcW w:w="1658" w:type="dxa"/>
            <w:tcBorders>
              <w:tl2br w:val="nil"/>
              <w:tr2bl w:val="nil"/>
            </w:tcBorders>
            <w:vAlign w:val="center"/>
          </w:tcPr>
          <w:p>
            <w:pPr>
              <w:pStyle w:val="30"/>
              <w:bidi w:val="0"/>
            </w:pPr>
            <w:r>
              <w:t>0.2418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1400.0</w:t>
            </w:r>
          </w:p>
        </w:tc>
        <w:tc>
          <w:tcPr>
            <w:tcW w:w="1801" w:type="dxa"/>
            <w:tcBorders>
              <w:tl2br w:val="nil"/>
              <w:tr2bl w:val="nil"/>
            </w:tcBorders>
            <w:vAlign w:val="center"/>
          </w:tcPr>
          <w:p>
            <w:pPr>
              <w:pStyle w:val="30"/>
              <w:bidi w:val="0"/>
            </w:pPr>
            <w:r>
              <w:t>0.5846</w:t>
            </w:r>
          </w:p>
        </w:tc>
        <w:tc>
          <w:tcPr>
            <w:tcW w:w="1676" w:type="dxa"/>
            <w:tcBorders>
              <w:tl2br w:val="nil"/>
              <w:tr2bl w:val="nil"/>
            </w:tcBorders>
            <w:vAlign w:val="center"/>
          </w:tcPr>
          <w:p>
            <w:pPr>
              <w:pStyle w:val="30"/>
              <w:bidi w:val="0"/>
            </w:pPr>
            <w:r>
              <w:t>0.2923</w:t>
            </w:r>
          </w:p>
        </w:tc>
        <w:tc>
          <w:tcPr>
            <w:tcW w:w="1784" w:type="dxa"/>
            <w:tcBorders>
              <w:tl2br w:val="nil"/>
              <w:tr2bl w:val="nil"/>
            </w:tcBorders>
            <w:vAlign w:val="center"/>
          </w:tcPr>
          <w:p>
            <w:pPr>
              <w:pStyle w:val="30"/>
              <w:bidi w:val="0"/>
            </w:pPr>
            <w:r>
              <w:t>0.0219</w:t>
            </w:r>
          </w:p>
        </w:tc>
        <w:tc>
          <w:tcPr>
            <w:tcW w:w="1658" w:type="dxa"/>
            <w:tcBorders>
              <w:tl2br w:val="nil"/>
              <w:tr2bl w:val="nil"/>
            </w:tcBorders>
            <w:vAlign w:val="center"/>
          </w:tcPr>
          <w:p>
            <w:pPr>
              <w:pStyle w:val="30"/>
              <w:bidi w:val="0"/>
            </w:pPr>
            <w:r>
              <w:t>0.2192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1600.0</w:t>
            </w:r>
          </w:p>
        </w:tc>
        <w:tc>
          <w:tcPr>
            <w:tcW w:w="1801" w:type="dxa"/>
            <w:tcBorders>
              <w:tl2br w:val="nil"/>
              <w:tr2bl w:val="nil"/>
            </w:tcBorders>
            <w:vAlign w:val="center"/>
          </w:tcPr>
          <w:p>
            <w:pPr>
              <w:pStyle w:val="30"/>
              <w:bidi w:val="0"/>
            </w:pPr>
            <w:r>
              <w:t>0.5502</w:t>
            </w:r>
          </w:p>
        </w:tc>
        <w:tc>
          <w:tcPr>
            <w:tcW w:w="1676" w:type="dxa"/>
            <w:tcBorders>
              <w:tl2br w:val="nil"/>
              <w:tr2bl w:val="nil"/>
            </w:tcBorders>
            <w:vAlign w:val="center"/>
          </w:tcPr>
          <w:p>
            <w:pPr>
              <w:pStyle w:val="30"/>
              <w:bidi w:val="0"/>
            </w:pPr>
            <w:r>
              <w:t>0.2751</w:t>
            </w:r>
          </w:p>
        </w:tc>
        <w:tc>
          <w:tcPr>
            <w:tcW w:w="1784" w:type="dxa"/>
            <w:tcBorders>
              <w:tl2br w:val="nil"/>
              <w:tr2bl w:val="nil"/>
            </w:tcBorders>
            <w:vAlign w:val="center"/>
          </w:tcPr>
          <w:p>
            <w:pPr>
              <w:pStyle w:val="30"/>
              <w:bidi w:val="0"/>
            </w:pPr>
            <w:r>
              <w:t>0.0206</w:t>
            </w:r>
          </w:p>
        </w:tc>
        <w:tc>
          <w:tcPr>
            <w:tcW w:w="1658" w:type="dxa"/>
            <w:tcBorders>
              <w:tl2br w:val="nil"/>
              <w:tr2bl w:val="nil"/>
            </w:tcBorders>
            <w:vAlign w:val="center"/>
          </w:tcPr>
          <w:p>
            <w:pPr>
              <w:pStyle w:val="30"/>
              <w:bidi w:val="0"/>
            </w:pPr>
            <w:r>
              <w:t>0.2063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1800.0</w:t>
            </w:r>
          </w:p>
        </w:tc>
        <w:tc>
          <w:tcPr>
            <w:tcW w:w="1801" w:type="dxa"/>
            <w:tcBorders>
              <w:tl2br w:val="nil"/>
              <w:tr2bl w:val="nil"/>
            </w:tcBorders>
            <w:vAlign w:val="center"/>
          </w:tcPr>
          <w:p>
            <w:pPr>
              <w:pStyle w:val="30"/>
              <w:bidi w:val="0"/>
            </w:pPr>
            <w:r>
              <w:t>0.5193</w:t>
            </w:r>
          </w:p>
        </w:tc>
        <w:tc>
          <w:tcPr>
            <w:tcW w:w="1676" w:type="dxa"/>
            <w:tcBorders>
              <w:tl2br w:val="nil"/>
              <w:tr2bl w:val="nil"/>
            </w:tcBorders>
            <w:vAlign w:val="center"/>
          </w:tcPr>
          <w:p>
            <w:pPr>
              <w:pStyle w:val="30"/>
              <w:bidi w:val="0"/>
            </w:pPr>
            <w:r>
              <w:t>0.2597</w:t>
            </w:r>
          </w:p>
        </w:tc>
        <w:tc>
          <w:tcPr>
            <w:tcW w:w="1784" w:type="dxa"/>
            <w:tcBorders>
              <w:tl2br w:val="nil"/>
              <w:tr2bl w:val="nil"/>
            </w:tcBorders>
            <w:vAlign w:val="center"/>
          </w:tcPr>
          <w:p>
            <w:pPr>
              <w:pStyle w:val="30"/>
              <w:bidi w:val="0"/>
            </w:pPr>
            <w:r>
              <w:t>0.0195</w:t>
            </w:r>
          </w:p>
        </w:tc>
        <w:tc>
          <w:tcPr>
            <w:tcW w:w="1658" w:type="dxa"/>
            <w:tcBorders>
              <w:tl2br w:val="nil"/>
              <w:tr2bl w:val="nil"/>
            </w:tcBorders>
            <w:vAlign w:val="center"/>
          </w:tcPr>
          <w:p>
            <w:pPr>
              <w:pStyle w:val="30"/>
              <w:bidi w:val="0"/>
            </w:pPr>
            <w:r>
              <w:t>0.1948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2000.0</w:t>
            </w:r>
          </w:p>
        </w:tc>
        <w:tc>
          <w:tcPr>
            <w:tcW w:w="1801" w:type="dxa"/>
            <w:tcBorders>
              <w:tl2br w:val="nil"/>
              <w:tr2bl w:val="nil"/>
            </w:tcBorders>
            <w:vAlign w:val="center"/>
          </w:tcPr>
          <w:p>
            <w:pPr>
              <w:pStyle w:val="30"/>
              <w:bidi w:val="0"/>
            </w:pPr>
            <w:r>
              <w:t>0.4914</w:t>
            </w:r>
          </w:p>
        </w:tc>
        <w:tc>
          <w:tcPr>
            <w:tcW w:w="1676" w:type="dxa"/>
            <w:tcBorders>
              <w:tl2br w:val="nil"/>
              <w:tr2bl w:val="nil"/>
            </w:tcBorders>
            <w:vAlign w:val="center"/>
          </w:tcPr>
          <w:p>
            <w:pPr>
              <w:pStyle w:val="30"/>
              <w:bidi w:val="0"/>
            </w:pPr>
            <w:r>
              <w:t>0.2457</w:t>
            </w:r>
          </w:p>
        </w:tc>
        <w:tc>
          <w:tcPr>
            <w:tcW w:w="1784" w:type="dxa"/>
            <w:tcBorders>
              <w:tl2br w:val="nil"/>
              <w:tr2bl w:val="nil"/>
            </w:tcBorders>
            <w:vAlign w:val="center"/>
          </w:tcPr>
          <w:p>
            <w:pPr>
              <w:pStyle w:val="30"/>
              <w:bidi w:val="0"/>
            </w:pPr>
            <w:r>
              <w:t>0.0184</w:t>
            </w:r>
          </w:p>
        </w:tc>
        <w:tc>
          <w:tcPr>
            <w:tcW w:w="1658" w:type="dxa"/>
            <w:tcBorders>
              <w:tl2br w:val="nil"/>
              <w:tr2bl w:val="nil"/>
            </w:tcBorders>
            <w:vAlign w:val="center"/>
          </w:tcPr>
          <w:p>
            <w:pPr>
              <w:pStyle w:val="30"/>
              <w:bidi w:val="0"/>
            </w:pPr>
            <w:r>
              <w:t>0.1843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2500.0</w:t>
            </w:r>
          </w:p>
        </w:tc>
        <w:tc>
          <w:tcPr>
            <w:tcW w:w="1801" w:type="dxa"/>
            <w:tcBorders>
              <w:tl2br w:val="nil"/>
              <w:tr2bl w:val="nil"/>
            </w:tcBorders>
            <w:vAlign w:val="center"/>
          </w:tcPr>
          <w:p>
            <w:pPr>
              <w:pStyle w:val="30"/>
              <w:bidi w:val="0"/>
            </w:pPr>
            <w:r>
              <w:t>0.4319</w:t>
            </w:r>
          </w:p>
        </w:tc>
        <w:tc>
          <w:tcPr>
            <w:tcW w:w="1676" w:type="dxa"/>
            <w:tcBorders>
              <w:tl2br w:val="nil"/>
              <w:tr2bl w:val="nil"/>
            </w:tcBorders>
            <w:vAlign w:val="center"/>
          </w:tcPr>
          <w:p>
            <w:pPr>
              <w:pStyle w:val="30"/>
              <w:bidi w:val="0"/>
            </w:pPr>
            <w:r>
              <w:t>0.2159</w:t>
            </w:r>
          </w:p>
        </w:tc>
        <w:tc>
          <w:tcPr>
            <w:tcW w:w="1784" w:type="dxa"/>
            <w:tcBorders>
              <w:tl2br w:val="nil"/>
              <w:tr2bl w:val="nil"/>
            </w:tcBorders>
            <w:vAlign w:val="center"/>
          </w:tcPr>
          <w:p>
            <w:pPr>
              <w:pStyle w:val="30"/>
              <w:bidi w:val="0"/>
            </w:pPr>
            <w:r>
              <w:t>0.0162</w:t>
            </w:r>
          </w:p>
        </w:tc>
        <w:tc>
          <w:tcPr>
            <w:tcW w:w="1658" w:type="dxa"/>
            <w:tcBorders>
              <w:tl2br w:val="nil"/>
              <w:tr2bl w:val="nil"/>
            </w:tcBorders>
            <w:vAlign w:val="center"/>
          </w:tcPr>
          <w:p>
            <w:pPr>
              <w:pStyle w:val="30"/>
              <w:bidi w:val="0"/>
            </w:pPr>
            <w:r>
              <w:t>0.1620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3000.0</w:t>
            </w:r>
          </w:p>
        </w:tc>
        <w:tc>
          <w:tcPr>
            <w:tcW w:w="1801" w:type="dxa"/>
            <w:tcBorders>
              <w:tl2br w:val="nil"/>
              <w:tr2bl w:val="nil"/>
            </w:tcBorders>
            <w:vAlign w:val="center"/>
          </w:tcPr>
          <w:p>
            <w:pPr>
              <w:pStyle w:val="30"/>
              <w:bidi w:val="0"/>
            </w:pPr>
            <w:r>
              <w:t>0.3838</w:t>
            </w:r>
          </w:p>
        </w:tc>
        <w:tc>
          <w:tcPr>
            <w:tcW w:w="1676" w:type="dxa"/>
            <w:tcBorders>
              <w:tl2br w:val="nil"/>
              <w:tr2bl w:val="nil"/>
            </w:tcBorders>
            <w:vAlign w:val="center"/>
          </w:tcPr>
          <w:p>
            <w:pPr>
              <w:pStyle w:val="30"/>
              <w:bidi w:val="0"/>
            </w:pPr>
            <w:r>
              <w:t>0.1919</w:t>
            </w:r>
          </w:p>
        </w:tc>
        <w:tc>
          <w:tcPr>
            <w:tcW w:w="1784" w:type="dxa"/>
            <w:tcBorders>
              <w:tl2br w:val="nil"/>
              <w:tr2bl w:val="nil"/>
            </w:tcBorders>
            <w:vAlign w:val="center"/>
          </w:tcPr>
          <w:p>
            <w:pPr>
              <w:pStyle w:val="30"/>
              <w:bidi w:val="0"/>
            </w:pPr>
            <w:r>
              <w:t>0.0144</w:t>
            </w:r>
          </w:p>
        </w:tc>
        <w:tc>
          <w:tcPr>
            <w:tcW w:w="1658" w:type="dxa"/>
            <w:tcBorders>
              <w:tl2br w:val="nil"/>
              <w:tr2bl w:val="nil"/>
            </w:tcBorders>
            <w:vAlign w:val="center"/>
          </w:tcPr>
          <w:p>
            <w:pPr>
              <w:pStyle w:val="30"/>
              <w:bidi w:val="0"/>
            </w:pPr>
            <w:r>
              <w:t>0.1439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3500.0</w:t>
            </w:r>
          </w:p>
        </w:tc>
        <w:tc>
          <w:tcPr>
            <w:tcW w:w="1801" w:type="dxa"/>
            <w:tcBorders>
              <w:tl2br w:val="nil"/>
              <w:tr2bl w:val="nil"/>
            </w:tcBorders>
            <w:vAlign w:val="center"/>
          </w:tcPr>
          <w:p>
            <w:pPr>
              <w:pStyle w:val="30"/>
              <w:bidi w:val="0"/>
            </w:pPr>
            <w:r>
              <w:t>0.3443</w:t>
            </w:r>
          </w:p>
        </w:tc>
        <w:tc>
          <w:tcPr>
            <w:tcW w:w="1676" w:type="dxa"/>
            <w:tcBorders>
              <w:tl2br w:val="nil"/>
              <w:tr2bl w:val="nil"/>
            </w:tcBorders>
            <w:vAlign w:val="center"/>
          </w:tcPr>
          <w:p>
            <w:pPr>
              <w:pStyle w:val="30"/>
              <w:bidi w:val="0"/>
            </w:pPr>
            <w:r>
              <w:t>0.1721</w:t>
            </w:r>
          </w:p>
        </w:tc>
        <w:tc>
          <w:tcPr>
            <w:tcW w:w="1784" w:type="dxa"/>
            <w:tcBorders>
              <w:tl2br w:val="nil"/>
              <w:tr2bl w:val="nil"/>
            </w:tcBorders>
            <w:vAlign w:val="center"/>
          </w:tcPr>
          <w:p>
            <w:pPr>
              <w:pStyle w:val="30"/>
              <w:bidi w:val="0"/>
            </w:pPr>
            <w:r>
              <w:t>0.0129</w:t>
            </w:r>
          </w:p>
        </w:tc>
        <w:tc>
          <w:tcPr>
            <w:tcW w:w="1658" w:type="dxa"/>
            <w:tcBorders>
              <w:tl2br w:val="nil"/>
              <w:tr2bl w:val="nil"/>
            </w:tcBorders>
            <w:vAlign w:val="center"/>
          </w:tcPr>
          <w:p>
            <w:pPr>
              <w:pStyle w:val="30"/>
              <w:bidi w:val="0"/>
            </w:pPr>
            <w:r>
              <w:t>0.1291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4000.0</w:t>
            </w:r>
          </w:p>
        </w:tc>
        <w:tc>
          <w:tcPr>
            <w:tcW w:w="1801" w:type="dxa"/>
            <w:tcBorders>
              <w:tl2br w:val="nil"/>
              <w:tr2bl w:val="nil"/>
            </w:tcBorders>
            <w:vAlign w:val="center"/>
          </w:tcPr>
          <w:p>
            <w:pPr>
              <w:pStyle w:val="30"/>
              <w:bidi w:val="0"/>
            </w:pPr>
            <w:r>
              <w:t>0.3113</w:t>
            </w:r>
          </w:p>
        </w:tc>
        <w:tc>
          <w:tcPr>
            <w:tcW w:w="1676" w:type="dxa"/>
            <w:tcBorders>
              <w:tl2br w:val="nil"/>
              <w:tr2bl w:val="nil"/>
            </w:tcBorders>
            <w:vAlign w:val="center"/>
          </w:tcPr>
          <w:p>
            <w:pPr>
              <w:pStyle w:val="30"/>
              <w:bidi w:val="0"/>
            </w:pPr>
            <w:r>
              <w:t>0.1557</w:t>
            </w:r>
          </w:p>
        </w:tc>
        <w:tc>
          <w:tcPr>
            <w:tcW w:w="1784" w:type="dxa"/>
            <w:tcBorders>
              <w:tl2br w:val="nil"/>
              <w:tr2bl w:val="nil"/>
            </w:tcBorders>
            <w:vAlign w:val="center"/>
          </w:tcPr>
          <w:p>
            <w:pPr>
              <w:pStyle w:val="30"/>
              <w:bidi w:val="0"/>
            </w:pPr>
            <w:r>
              <w:t>0.0117</w:t>
            </w:r>
          </w:p>
        </w:tc>
        <w:tc>
          <w:tcPr>
            <w:tcW w:w="1658" w:type="dxa"/>
            <w:tcBorders>
              <w:tl2br w:val="nil"/>
              <w:tr2bl w:val="nil"/>
            </w:tcBorders>
            <w:vAlign w:val="center"/>
          </w:tcPr>
          <w:p>
            <w:pPr>
              <w:pStyle w:val="30"/>
              <w:bidi w:val="0"/>
            </w:pPr>
            <w:r>
              <w:t>0.1167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4500.0</w:t>
            </w:r>
          </w:p>
        </w:tc>
        <w:tc>
          <w:tcPr>
            <w:tcW w:w="1801" w:type="dxa"/>
            <w:tcBorders>
              <w:tl2br w:val="nil"/>
              <w:tr2bl w:val="nil"/>
            </w:tcBorders>
            <w:vAlign w:val="center"/>
          </w:tcPr>
          <w:p>
            <w:pPr>
              <w:pStyle w:val="30"/>
              <w:bidi w:val="0"/>
            </w:pPr>
            <w:r>
              <w:t>0.2896</w:t>
            </w:r>
          </w:p>
        </w:tc>
        <w:tc>
          <w:tcPr>
            <w:tcW w:w="1676" w:type="dxa"/>
            <w:tcBorders>
              <w:tl2br w:val="nil"/>
              <w:tr2bl w:val="nil"/>
            </w:tcBorders>
            <w:vAlign w:val="center"/>
          </w:tcPr>
          <w:p>
            <w:pPr>
              <w:pStyle w:val="30"/>
              <w:bidi w:val="0"/>
            </w:pPr>
            <w:r>
              <w:t>0.1448</w:t>
            </w:r>
          </w:p>
        </w:tc>
        <w:tc>
          <w:tcPr>
            <w:tcW w:w="1784" w:type="dxa"/>
            <w:tcBorders>
              <w:tl2br w:val="nil"/>
              <w:tr2bl w:val="nil"/>
            </w:tcBorders>
            <w:vAlign w:val="center"/>
          </w:tcPr>
          <w:p>
            <w:pPr>
              <w:pStyle w:val="30"/>
              <w:bidi w:val="0"/>
            </w:pPr>
            <w:r>
              <w:t>0.0109</w:t>
            </w:r>
          </w:p>
        </w:tc>
        <w:tc>
          <w:tcPr>
            <w:tcW w:w="1658" w:type="dxa"/>
            <w:tcBorders>
              <w:tl2br w:val="nil"/>
              <w:tr2bl w:val="nil"/>
            </w:tcBorders>
            <w:vAlign w:val="center"/>
          </w:tcPr>
          <w:p>
            <w:pPr>
              <w:pStyle w:val="30"/>
              <w:bidi w:val="0"/>
            </w:pPr>
            <w:r>
              <w:t>0.1086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5000.0</w:t>
            </w:r>
          </w:p>
        </w:tc>
        <w:tc>
          <w:tcPr>
            <w:tcW w:w="1801" w:type="dxa"/>
            <w:tcBorders>
              <w:tl2br w:val="nil"/>
              <w:tr2bl w:val="nil"/>
            </w:tcBorders>
            <w:vAlign w:val="center"/>
          </w:tcPr>
          <w:p>
            <w:pPr>
              <w:pStyle w:val="30"/>
              <w:bidi w:val="0"/>
            </w:pPr>
            <w:r>
              <w:t>0.2704</w:t>
            </w:r>
          </w:p>
        </w:tc>
        <w:tc>
          <w:tcPr>
            <w:tcW w:w="1676" w:type="dxa"/>
            <w:tcBorders>
              <w:tl2br w:val="nil"/>
              <w:tr2bl w:val="nil"/>
            </w:tcBorders>
            <w:vAlign w:val="center"/>
          </w:tcPr>
          <w:p>
            <w:pPr>
              <w:pStyle w:val="30"/>
              <w:bidi w:val="0"/>
            </w:pPr>
            <w:r>
              <w:t>0.1352</w:t>
            </w:r>
          </w:p>
        </w:tc>
        <w:tc>
          <w:tcPr>
            <w:tcW w:w="1784" w:type="dxa"/>
            <w:tcBorders>
              <w:tl2br w:val="nil"/>
              <w:tr2bl w:val="nil"/>
            </w:tcBorders>
            <w:vAlign w:val="center"/>
          </w:tcPr>
          <w:p>
            <w:pPr>
              <w:pStyle w:val="30"/>
              <w:bidi w:val="0"/>
            </w:pPr>
            <w:r>
              <w:t>0.0101</w:t>
            </w:r>
          </w:p>
        </w:tc>
        <w:tc>
          <w:tcPr>
            <w:tcW w:w="1658" w:type="dxa"/>
            <w:tcBorders>
              <w:tl2br w:val="nil"/>
              <w:tr2bl w:val="nil"/>
            </w:tcBorders>
            <w:vAlign w:val="center"/>
          </w:tcPr>
          <w:p>
            <w:pPr>
              <w:pStyle w:val="30"/>
              <w:bidi w:val="0"/>
            </w:pPr>
            <w:r>
              <w:t>0.1014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10000.0</w:t>
            </w:r>
          </w:p>
        </w:tc>
        <w:tc>
          <w:tcPr>
            <w:tcW w:w="1801" w:type="dxa"/>
            <w:tcBorders>
              <w:tl2br w:val="nil"/>
              <w:tr2bl w:val="nil"/>
            </w:tcBorders>
            <w:vAlign w:val="center"/>
          </w:tcPr>
          <w:p>
            <w:pPr>
              <w:pStyle w:val="30"/>
              <w:bidi w:val="0"/>
            </w:pPr>
            <w:r>
              <w:t>0.1642</w:t>
            </w:r>
          </w:p>
        </w:tc>
        <w:tc>
          <w:tcPr>
            <w:tcW w:w="1676" w:type="dxa"/>
            <w:tcBorders>
              <w:tl2br w:val="nil"/>
              <w:tr2bl w:val="nil"/>
            </w:tcBorders>
            <w:vAlign w:val="center"/>
          </w:tcPr>
          <w:p>
            <w:pPr>
              <w:pStyle w:val="30"/>
              <w:bidi w:val="0"/>
            </w:pPr>
            <w:r>
              <w:t>0.0821</w:t>
            </w:r>
          </w:p>
        </w:tc>
        <w:tc>
          <w:tcPr>
            <w:tcW w:w="1784" w:type="dxa"/>
            <w:tcBorders>
              <w:tl2br w:val="nil"/>
              <w:tr2bl w:val="nil"/>
            </w:tcBorders>
            <w:vAlign w:val="center"/>
          </w:tcPr>
          <w:p>
            <w:pPr>
              <w:pStyle w:val="30"/>
              <w:bidi w:val="0"/>
            </w:pPr>
            <w:r>
              <w:t>0.0062</w:t>
            </w:r>
          </w:p>
        </w:tc>
        <w:tc>
          <w:tcPr>
            <w:tcW w:w="1658" w:type="dxa"/>
            <w:tcBorders>
              <w:tl2br w:val="nil"/>
              <w:tr2bl w:val="nil"/>
            </w:tcBorders>
            <w:vAlign w:val="center"/>
          </w:tcPr>
          <w:p>
            <w:pPr>
              <w:pStyle w:val="30"/>
              <w:bidi w:val="0"/>
            </w:pPr>
            <w:r>
              <w:t>0.0616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11000.0</w:t>
            </w:r>
          </w:p>
        </w:tc>
        <w:tc>
          <w:tcPr>
            <w:tcW w:w="1801" w:type="dxa"/>
            <w:tcBorders>
              <w:tl2br w:val="nil"/>
              <w:tr2bl w:val="nil"/>
            </w:tcBorders>
            <w:vAlign w:val="center"/>
          </w:tcPr>
          <w:p>
            <w:pPr>
              <w:pStyle w:val="30"/>
              <w:bidi w:val="0"/>
            </w:pPr>
            <w:r>
              <w:t>0.1521</w:t>
            </w:r>
          </w:p>
        </w:tc>
        <w:tc>
          <w:tcPr>
            <w:tcW w:w="1676" w:type="dxa"/>
            <w:tcBorders>
              <w:tl2br w:val="nil"/>
              <w:tr2bl w:val="nil"/>
            </w:tcBorders>
            <w:vAlign w:val="center"/>
          </w:tcPr>
          <w:p>
            <w:pPr>
              <w:pStyle w:val="30"/>
              <w:bidi w:val="0"/>
            </w:pPr>
            <w:r>
              <w:t>0.0761</w:t>
            </w:r>
          </w:p>
        </w:tc>
        <w:tc>
          <w:tcPr>
            <w:tcW w:w="1784" w:type="dxa"/>
            <w:tcBorders>
              <w:tl2br w:val="nil"/>
              <w:tr2bl w:val="nil"/>
            </w:tcBorders>
            <w:vAlign w:val="center"/>
          </w:tcPr>
          <w:p>
            <w:pPr>
              <w:pStyle w:val="30"/>
              <w:bidi w:val="0"/>
            </w:pPr>
            <w:r>
              <w:t>0.0057</w:t>
            </w:r>
          </w:p>
        </w:tc>
        <w:tc>
          <w:tcPr>
            <w:tcW w:w="1658" w:type="dxa"/>
            <w:tcBorders>
              <w:tl2br w:val="nil"/>
              <w:tr2bl w:val="nil"/>
            </w:tcBorders>
            <w:vAlign w:val="center"/>
          </w:tcPr>
          <w:p>
            <w:pPr>
              <w:pStyle w:val="30"/>
              <w:bidi w:val="0"/>
            </w:pPr>
            <w:r>
              <w:t>0.0570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12000.0</w:t>
            </w:r>
          </w:p>
        </w:tc>
        <w:tc>
          <w:tcPr>
            <w:tcW w:w="1801" w:type="dxa"/>
            <w:tcBorders>
              <w:tl2br w:val="nil"/>
              <w:tr2bl w:val="nil"/>
            </w:tcBorders>
            <w:vAlign w:val="center"/>
          </w:tcPr>
          <w:p>
            <w:pPr>
              <w:pStyle w:val="30"/>
              <w:bidi w:val="0"/>
            </w:pPr>
            <w:r>
              <w:t>0.1415</w:t>
            </w:r>
          </w:p>
        </w:tc>
        <w:tc>
          <w:tcPr>
            <w:tcW w:w="1676" w:type="dxa"/>
            <w:tcBorders>
              <w:tl2br w:val="nil"/>
              <w:tr2bl w:val="nil"/>
            </w:tcBorders>
            <w:vAlign w:val="center"/>
          </w:tcPr>
          <w:p>
            <w:pPr>
              <w:pStyle w:val="30"/>
              <w:bidi w:val="0"/>
            </w:pPr>
            <w:r>
              <w:t>0.0707</w:t>
            </w:r>
          </w:p>
        </w:tc>
        <w:tc>
          <w:tcPr>
            <w:tcW w:w="1784" w:type="dxa"/>
            <w:tcBorders>
              <w:tl2br w:val="nil"/>
              <w:tr2bl w:val="nil"/>
            </w:tcBorders>
            <w:vAlign w:val="center"/>
          </w:tcPr>
          <w:p>
            <w:pPr>
              <w:pStyle w:val="30"/>
              <w:bidi w:val="0"/>
            </w:pPr>
            <w:r>
              <w:t>0.0053</w:t>
            </w:r>
          </w:p>
        </w:tc>
        <w:tc>
          <w:tcPr>
            <w:tcW w:w="1658" w:type="dxa"/>
            <w:tcBorders>
              <w:tl2br w:val="nil"/>
              <w:tr2bl w:val="nil"/>
            </w:tcBorders>
            <w:vAlign w:val="center"/>
          </w:tcPr>
          <w:p>
            <w:pPr>
              <w:pStyle w:val="30"/>
              <w:bidi w:val="0"/>
            </w:pPr>
            <w:r>
              <w:t>0.0531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13000.0</w:t>
            </w:r>
          </w:p>
        </w:tc>
        <w:tc>
          <w:tcPr>
            <w:tcW w:w="1801" w:type="dxa"/>
            <w:tcBorders>
              <w:tl2br w:val="nil"/>
              <w:tr2bl w:val="nil"/>
            </w:tcBorders>
            <w:vAlign w:val="center"/>
          </w:tcPr>
          <w:p>
            <w:pPr>
              <w:pStyle w:val="30"/>
              <w:bidi w:val="0"/>
            </w:pPr>
            <w:r>
              <w:t>0.1321</w:t>
            </w:r>
          </w:p>
        </w:tc>
        <w:tc>
          <w:tcPr>
            <w:tcW w:w="1676" w:type="dxa"/>
            <w:tcBorders>
              <w:tl2br w:val="nil"/>
              <w:tr2bl w:val="nil"/>
            </w:tcBorders>
            <w:vAlign w:val="center"/>
          </w:tcPr>
          <w:p>
            <w:pPr>
              <w:pStyle w:val="30"/>
              <w:bidi w:val="0"/>
            </w:pPr>
            <w:r>
              <w:t>0.0660</w:t>
            </w:r>
          </w:p>
        </w:tc>
        <w:tc>
          <w:tcPr>
            <w:tcW w:w="1784" w:type="dxa"/>
            <w:tcBorders>
              <w:tl2br w:val="nil"/>
              <w:tr2bl w:val="nil"/>
            </w:tcBorders>
            <w:vAlign w:val="center"/>
          </w:tcPr>
          <w:p>
            <w:pPr>
              <w:pStyle w:val="30"/>
              <w:bidi w:val="0"/>
            </w:pPr>
            <w:r>
              <w:t>0.0050</w:t>
            </w:r>
          </w:p>
        </w:tc>
        <w:tc>
          <w:tcPr>
            <w:tcW w:w="1658" w:type="dxa"/>
            <w:tcBorders>
              <w:tl2br w:val="nil"/>
              <w:tr2bl w:val="nil"/>
            </w:tcBorders>
            <w:vAlign w:val="center"/>
          </w:tcPr>
          <w:p>
            <w:pPr>
              <w:pStyle w:val="30"/>
              <w:bidi w:val="0"/>
            </w:pPr>
            <w:r>
              <w:t>0.0495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14000.0</w:t>
            </w:r>
          </w:p>
        </w:tc>
        <w:tc>
          <w:tcPr>
            <w:tcW w:w="1801" w:type="dxa"/>
            <w:tcBorders>
              <w:tl2br w:val="nil"/>
              <w:tr2bl w:val="nil"/>
            </w:tcBorders>
            <w:vAlign w:val="center"/>
          </w:tcPr>
          <w:p>
            <w:pPr>
              <w:pStyle w:val="30"/>
              <w:bidi w:val="0"/>
            </w:pPr>
            <w:r>
              <w:t>0.1237</w:t>
            </w:r>
          </w:p>
        </w:tc>
        <w:tc>
          <w:tcPr>
            <w:tcW w:w="1676" w:type="dxa"/>
            <w:tcBorders>
              <w:tl2br w:val="nil"/>
              <w:tr2bl w:val="nil"/>
            </w:tcBorders>
            <w:vAlign w:val="center"/>
          </w:tcPr>
          <w:p>
            <w:pPr>
              <w:pStyle w:val="30"/>
              <w:bidi w:val="0"/>
            </w:pPr>
            <w:r>
              <w:t>0.0619</w:t>
            </w:r>
          </w:p>
        </w:tc>
        <w:tc>
          <w:tcPr>
            <w:tcW w:w="1784" w:type="dxa"/>
            <w:tcBorders>
              <w:tl2br w:val="nil"/>
              <w:tr2bl w:val="nil"/>
            </w:tcBorders>
            <w:vAlign w:val="center"/>
          </w:tcPr>
          <w:p>
            <w:pPr>
              <w:pStyle w:val="30"/>
              <w:bidi w:val="0"/>
            </w:pPr>
            <w:r>
              <w:t>0.0046</w:t>
            </w:r>
          </w:p>
        </w:tc>
        <w:tc>
          <w:tcPr>
            <w:tcW w:w="1658" w:type="dxa"/>
            <w:tcBorders>
              <w:tl2br w:val="nil"/>
              <w:tr2bl w:val="nil"/>
            </w:tcBorders>
            <w:vAlign w:val="center"/>
          </w:tcPr>
          <w:p>
            <w:pPr>
              <w:pStyle w:val="30"/>
              <w:bidi w:val="0"/>
            </w:pPr>
            <w:r>
              <w:t>0.0464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15000.0</w:t>
            </w:r>
          </w:p>
        </w:tc>
        <w:tc>
          <w:tcPr>
            <w:tcW w:w="1801" w:type="dxa"/>
            <w:tcBorders>
              <w:tl2br w:val="nil"/>
              <w:tr2bl w:val="nil"/>
            </w:tcBorders>
            <w:vAlign w:val="center"/>
          </w:tcPr>
          <w:p>
            <w:pPr>
              <w:pStyle w:val="30"/>
              <w:bidi w:val="0"/>
            </w:pPr>
            <w:r>
              <w:t>0.1163</w:t>
            </w:r>
          </w:p>
        </w:tc>
        <w:tc>
          <w:tcPr>
            <w:tcW w:w="1676" w:type="dxa"/>
            <w:tcBorders>
              <w:tl2br w:val="nil"/>
              <w:tr2bl w:val="nil"/>
            </w:tcBorders>
            <w:vAlign w:val="center"/>
          </w:tcPr>
          <w:p>
            <w:pPr>
              <w:pStyle w:val="30"/>
              <w:bidi w:val="0"/>
            </w:pPr>
            <w:r>
              <w:t>0.0581</w:t>
            </w:r>
          </w:p>
        </w:tc>
        <w:tc>
          <w:tcPr>
            <w:tcW w:w="1784" w:type="dxa"/>
            <w:tcBorders>
              <w:tl2br w:val="nil"/>
              <w:tr2bl w:val="nil"/>
            </w:tcBorders>
            <w:vAlign w:val="center"/>
          </w:tcPr>
          <w:p>
            <w:pPr>
              <w:pStyle w:val="30"/>
              <w:bidi w:val="0"/>
            </w:pPr>
            <w:r>
              <w:t>0.0044</w:t>
            </w:r>
          </w:p>
        </w:tc>
        <w:tc>
          <w:tcPr>
            <w:tcW w:w="1658" w:type="dxa"/>
            <w:tcBorders>
              <w:tl2br w:val="nil"/>
              <w:tr2bl w:val="nil"/>
            </w:tcBorders>
            <w:vAlign w:val="center"/>
          </w:tcPr>
          <w:p>
            <w:pPr>
              <w:pStyle w:val="30"/>
              <w:bidi w:val="0"/>
            </w:pPr>
            <w:r>
              <w:t>0.0436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20000.0</w:t>
            </w:r>
          </w:p>
        </w:tc>
        <w:tc>
          <w:tcPr>
            <w:tcW w:w="1801" w:type="dxa"/>
            <w:tcBorders>
              <w:tl2br w:val="nil"/>
              <w:tr2bl w:val="nil"/>
            </w:tcBorders>
            <w:vAlign w:val="center"/>
          </w:tcPr>
          <w:p>
            <w:pPr>
              <w:pStyle w:val="30"/>
              <w:bidi w:val="0"/>
            </w:pPr>
            <w:r>
              <w:t>0.0885</w:t>
            </w:r>
          </w:p>
        </w:tc>
        <w:tc>
          <w:tcPr>
            <w:tcW w:w="1676" w:type="dxa"/>
            <w:tcBorders>
              <w:tl2br w:val="nil"/>
              <w:tr2bl w:val="nil"/>
            </w:tcBorders>
            <w:vAlign w:val="center"/>
          </w:tcPr>
          <w:p>
            <w:pPr>
              <w:pStyle w:val="30"/>
              <w:bidi w:val="0"/>
            </w:pPr>
            <w:r>
              <w:t>0.0443</w:t>
            </w:r>
          </w:p>
        </w:tc>
        <w:tc>
          <w:tcPr>
            <w:tcW w:w="1784" w:type="dxa"/>
            <w:tcBorders>
              <w:tl2br w:val="nil"/>
              <w:tr2bl w:val="nil"/>
            </w:tcBorders>
            <w:vAlign w:val="center"/>
          </w:tcPr>
          <w:p>
            <w:pPr>
              <w:pStyle w:val="30"/>
              <w:bidi w:val="0"/>
            </w:pPr>
            <w:r>
              <w:t>0.0033</w:t>
            </w:r>
          </w:p>
        </w:tc>
        <w:tc>
          <w:tcPr>
            <w:tcW w:w="1658" w:type="dxa"/>
            <w:tcBorders>
              <w:tl2br w:val="nil"/>
              <w:tr2bl w:val="nil"/>
            </w:tcBorders>
            <w:vAlign w:val="center"/>
          </w:tcPr>
          <w:p>
            <w:pPr>
              <w:pStyle w:val="30"/>
              <w:bidi w:val="0"/>
            </w:pPr>
            <w:r>
              <w:t>0.0332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25000.0</w:t>
            </w:r>
          </w:p>
        </w:tc>
        <w:tc>
          <w:tcPr>
            <w:tcW w:w="1801" w:type="dxa"/>
            <w:tcBorders>
              <w:tl2br w:val="nil"/>
              <w:tr2bl w:val="nil"/>
            </w:tcBorders>
            <w:vAlign w:val="center"/>
          </w:tcPr>
          <w:p>
            <w:pPr>
              <w:pStyle w:val="30"/>
              <w:bidi w:val="0"/>
            </w:pPr>
            <w:r>
              <w:t>0.0707</w:t>
            </w:r>
          </w:p>
        </w:tc>
        <w:tc>
          <w:tcPr>
            <w:tcW w:w="1676" w:type="dxa"/>
            <w:tcBorders>
              <w:tl2br w:val="nil"/>
              <w:tr2bl w:val="nil"/>
            </w:tcBorders>
            <w:vAlign w:val="center"/>
          </w:tcPr>
          <w:p>
            <w:pPr>
              <w:pStyle w:val="30"/>
              <w:bidi w:val="0"/>
            </w:pPr>
            <w:r>
              <w:t>0.0354</w:t>
            </w:r>
          </w:p>
        </w:tc>
        <w:tc>
          <w:tcPr>
            <w:tcW w:w="1784" w:type="dxa"/>
            <w:tcBorders>
              <w:tl2br w:val="nil"/>
              <w:tr2bl w:val="nil"/>
            </w:tcBorders>
            <w:vAlign w:val="center"/>
          </w:tcPr>
          <w:p>
            <w:pPr>
              <w:pStyle w:val="30"/>
              <w:bidi w:val="0"/>
            </w:pPr>
            <w:r>
              <w:t>0.0027</w:t>
            </w:r>
          </w:p>
        </w:tc>
        <w:tc>
          <w:tcPr>
            <w:tcW w:w="1658" w:type="dxa"/>
            <w:tcBorders>
              <w:tl2br w:val="nil"/>
              <w:tr2bl w:val="nil"/>
            </w:tcBorders>
            <w:vAlign w:val="center"/>
          </w:tcPr>
          <w:p>
            <w:pPr>
              <w:pStyle w:val="30"/>
              <w:bidi w:val="0"/>
            </w:pPr>
            <w:r>
              <w:t>0.0265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下风向最大浓度</w:t>
            </w:r>
          </w:p>
        </w:tc>
        <w:tc>
          <w:tcPr>
            <w:tcW w:w="1801" w:type="dxa"/>
            <w:tcBorders>
              <w:tl2br w:val="nil"/>
              <w:tr2bl w:val="nil"/>
            </w:tcBorders>
            <w:vAlign w:val="center"/>
          </w:tcPr>
          <w:p>
            <w:pPr>
              <w:pStyle w:val="30"/>
              <w:bidi w:val="0"/>
            </w:pPr>
            <w:r>
              <w:t>4.0248</w:t>
            </w:r>
          </w:p>
        </w:tc>
        <w:tc>
          <w:tcPr>
            <w:tcW w:w="1676" w:type="dxa"/>
            <w:tcBorders>
              <w:tl2br w:val="nil"/>
              <w:tr2bl w:val="nil"/>
            </w:tcBorders>
            <w:vAlign w:val="center"/>
          </w:tcPr>
          <w:p>
            <w:pPr>
              <w:pStyle w:val="30"/>
              <w:bidi w:val="0"/>
            </w:pPr>
            <w:r>
              <w:t>2.0124</w:t>
            </w:r>
          </w:p>
        </w:tc>
        <w:tc>
          <w:tcPr>
            <w:tcW w:w="1784" w:type="dxa"/>
            <w:tcBorders>
              <w:tl2br w:val="nil"/>
              <w:tr2bl w:val="nil"/>
            </w:tcBorders>
            <w:vAlign w:val="center"/>
          </w:tcPr>
          <w:p>
            <w:pPr>
              <w:pStyle w:val="30"/>
              <w:bidi w:val="0"/>
            </w:pPr>
            <w:r>
              <w:t>0.1509</w:t>
            </w:r>
          </w:p>
        </w:tc>
        <w:tc>
          <w:tcPr>
            <w:tcW w:w="1658" w:type="dxa"/>
            <w:tcBorders>
              <w:tl2br w:val="nil"/>
              <w:tr2bl w:val="nil"/>
            </w:tcBorders>
            <w:vAlign w:val="center"/>
          </w:tcPr>
          <w:p>
            <w:pPr>
              <w:pStyle w:val="30"/>
              <w:bidi w:val="0"/>
            </w:pPr>
            <w:r>
              <w:t>1.5093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下风向最大浓度出现距离</w:t>
            </w:r>
          </w:p>
        </w:tc>
        <w:tc>
          <w:tcPr>
            <w:tcW w:w="1801" w:type="dxa"/>
            <w:tcBorders>
              <w:tl2br w:val="nil"/>
              <w:tr2bl w:val="nil"/>
            </w:tcBorders>
            <w:vAlign w:val="center"/>
          </w:tcPr>
          <w:p>
            <w:pPr>
              <w:pStyle w:val="30"/>
              <w:bidi w:val="0"/>
            </w:pPr>
            <w:r>
              <w:t>40.0</w:t>
            </w:r>
          </w:p>
        </w:tc>
        <w:tc>
          <w:tcPr>
            <w:tcW w:w="1676" w:type="dxa"/>
            <w:tcBorders>
              <w:tl2br w:val="nil"/>
              <w:tr2bl w:val="nil"/>
            </w:tcBorders>
            <w:vAlign w:val="center"/>
          </w:tcPr>
          <w:p>
            <w:pPr>
              <w:pStyle w:val="30"/>
              <w:bidi w:val="0"/>
            </w:pPr>
            <w:r>
              <w:t>40.0</w:t>
            </w:r>
          </w:p>
        </w:tc>
        <w:tc>
          <w:tcPr>
            <w:tcW w:w="1784" w:type="dxa"/>
            <w:tcBorders>
              <w:tl2br w:val="nil"/>
              <w:tr2bl w:val="nil"/>
            </w:tcBorders>
            <w:vAlign w:val="center"/>
          </w:tcPr>
          <w:p>
            <w:pPr>
              <w:pStyle w:val="30"/>
              <w:bidi w:val="0"/>
            </w:pPr>
            <w:r>
              <w:t>40.0</w:t>
            </w:r>
          </w:p>
        </w:tc>
        <w:tc>
          <w:tcPr>
            <w:tcW w:w="1658" w:type="dxa"/>
            <w:tcBorders>
              <w:tl2br w:val="nil"/>
              <w:tr2bl w:val="nil"/>
            </w:tcBorders>
            <w:vAlign w:val="center"/>
          </w:tcPr>
          <w:p>
            <w:pPr>
              <w:pStyle w:val="30"/>
              <w:bidi w:val="0"/>
            </w:pPr>
            <w:r>
              <w:t>40.0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2701" w:type="dxa"/>
            <w:tcBorders>
              <w:tl2br w:val="nil"/>
              <w:tr2bl w:val="nil"/>
            </w:tcBorders>
            <w:vAlign w:val="center"/>
          </w:tcPr>
          <w:p>
            <w:pPr>
              <w:pStyle w:val="30"/>
              <w:bidi w:val="0"/>
            </w:pPr>
            <w:r>
              <w:t>D10%最远距离</w:t>
            </w:r>
          </w:p>
        </w:tc>
        <w:tc>
          <w:tcPr>
            <w:tcW w:w="1801" w:type="dxa"/>
            <w:tcBorders>
              <w:tl2br w:val="nil"/>
              <w:tr2bl w:val="nil"/>
            </w:tcBorders>
            <w:vAlign w:val="center"/>
          </w:tcPr>
          <w:p>
            <w:pPr>
              <w:pStyle w:val="30"/>
              <w:bidi w:val="0"/>
              <w:rPr>
                <w:rFonts w:hint="eastAsia"/>
                <w:lang w:eastAsia="zh-CN"/>
              </w:rPr>
            </w:pPr>
            <w:r>
              <w:t>/</w:t>
            </w:r>
          </w:p>
        </w:tc>
        <w:tc>
          <w:tcPr>
            <w:tcW w:w="1676" w:type="dxa"/>
            <w:tcBorders>
              <w:tl2br w:val="nil"/>
              <w:tr2bl w:val="nil"/>
            </w:tcBorders>
            <w:vAlign w:val="center"/>
          </w:tcPr>
          <w:p>
            <w:pPr>
              <w:pStyle w:val="30"/>
              <w:bidi w:val="0"/>
              <w:rPr>
                <w:rFonts w:hint="eastAsia"/>
                <w:lang w:eastAsia="zh-CN"/>
              </w:rPr>
            </w:pPr>
            <w:r>
              <w:t>/</w:t>
            </w:r>
          </w:p>
        </w:tc>
        <w:tc>
          <w:tcPr>
            <w:tcW w:w="1784" w:type="dxa"/>
            <w:tcBorders>
              <w:tl2br w:val="nil"/>
              <w:tr2bl w:val="nil"/>
            </w:tcBorders>
            <w:vAlign w:val="center"/>
          </w:tcPr>
          <w:p>
            <w:pPr>
              <w:pStyle w:val="30"/>
              <w:bidi w:val="0"/>
            </w:pPr>
            <w:r>
              <w:t>/</w:t>
            </w:r>
          </w:p>
        </w:tc>
        <w:tc>
          <w:tcPr>
            <w:tcW w:w="1658" w:type="dxa"/>
            <w:tcBorders>
              <w:tl2br w:val="nil"/>
              <w:tr2bl w:val="nil"/>
            </w:tcBorders>
            <w:vAlign w:val="center"/>
          </w:tcPr>
          <w:p>
            <w:pPr>
              <w:pStyle w:val="30"/>
              <w:bidi w:val="0"/>
            </w:pPr>
            <w:r>
              <w:t>/</w:t>
            </w:r>
          </w:p>
        </w:tc>
      </w:tr>
    </w:tbl>
    <w:p>
      <w:pPr>
        <w:bidi w:val="0"/>
        <w:rPr>
          <w:rFonts w:hint="default" w:eastAsia="宋体"/>
          <w:highlight w:val="none"/>
          <w:vertAlign w:val="baseline"/>
          <w:lang w:val="en-US" w:eastAsia="zh-CN"/>
        </w:rPr>
      </w:pPr>
      <w:r>
        <w:rPr>
          <w:rFonts w:hint="eastAsia"/>
          <w:highlight w:val="none"/>
          <w:lang w:val="en-US" w:eastAsia="zh-CN"/>
        </w:rPr>
        <w:t>由上述预测计算结果可知，项目各项污染源污染物均满足</w:t>
      </w:r>
      <w:r>
        <w:rPr>
          <w:rFonts w:hint="eastAsia"/>
          <w:highlight w:val="none"/>
        </w:rPr>
        <w:t>《环境影响评价技术导则 大气环境》（</w:t>
      </w:r>
      <w:r>
        <w:rPr>
          <w:rFonts w:hint="default"/>
          <w:highlight w:val="none"/>
        </w:rPr>
        <w:t>HJ 2.2-2018</w:t>
      </w:r>
      <w:r>
        <w:rPr>
          <w:rFonts w:hint="eastAsia"/>
          <w:highlight w:val="none"/>
        </w:rPr>
        <w:t>）</w:t>
      </w:r>
      <w:r>
        <w:rPr>
          <w:rFonts w:hint="eastAsia"/>
          <w:highlight w:val="none"/>
          <w:lang w:val="en-US" w:eastAsia="zh-CN"/>
        </w:rPr>
        <w:t>中“附录 D.1其他污染物空气质量浓度参考限值”有关标准要求。</w:t>
      </w:r>
    </w:p>
    <w:p>
      <w:pPr>
        <w:bidi w:val="0"/>
        <w:rPr>
          <w:rFonts w:hint="eastAsia"/>
          <w:highlight w:val="none"/>
        </w:rPr>
      </w:pPr>
      <w:r>
        <w:rPr>
          <w:rFonts w:hint="eastAsia"/>
          <w:highlight w:val="none"/>
          <w:lang w:val="en-US" w:eastAsia="zh-CN"/>
        </w:rPr>
        <w:t>综上所述，本项目排放的大气污染物能够满足相关标准要求，不会改变环境空气质量现状，满足环境空气功能区划要求，项目排放的废气对环境空气质量影响较小。</w:t>
      </w:r>
    </w:p>
    <w:p>
      <w:pPr>
        <w:pStyle w:val="6"/>
        <w:bidi w:val="0"/>
        <w:rPr>
          <w:rFonts w:hint="default"/>
          <w:lang w:val="en-US" w:eastAsia="zh-CN"/>
        </w:rPr>
      </w:pPr>
      <w:r>
        <w:rPr>
          <w:rFonts w:hint="eastAsia"/>
          <w:lang w:val="en-US" w:eastAsia="zh-CN"/>
        </w:rPr>
        <w:t>污染物排放量核算</w:t>
      </w:r>
    </w:p>
    <w:p>
      <w:pPr>
        <w:bidi w:val="0"/>
        <w:rPr>
          <w:rFonts w:hint="default" w:eastAsia="宋体"/>
          <w:lang w:val="en-US" w:eastAsia="zh-CN"/>
        </w:rPr>
      </w:pPr>
      <w:r>
        <w:rPr>
          <w:rFonts w:hint="eastAsia"/>
          <w:lang w:val="en-US" w:eastAsia="zh-CN"/>
        </w:rPr>
        <w:t>根据导则HJ2.2-2018，项目废气污染物排放量核算见下表。</w:t>
      </w:r>
    </w:p>
    <w:p>
      <w:pPr>
        <w:bidi w:val="0"/>
        <w:rPr>
          <w:rFonts w:hint="default" w:eastAsia="宋体"/>
          <w:lang w:val="en-US" w:eastAsia="zh-CN"/>
        </w:rPr>
      </w:pPr>
      <w:r>
        <w:rPr>
          <w:rFonts w:hint="eastAsia"/>
          <w:lang w:val="en-US" w:eastAsia="zh-CN"/>
        </w:rPr>
        <w:t>①有组织排放量核算</w:t>
      </w:r>
    </w:p>
    <w:p>
      <w:pPr>
        <w:pStyle w:val="29"/>
        <w:bidi w:val="0"/>
        <w:rPr>
          <w:rFonts w:hint="eastAsia"/>
          <w:lang w:val="en-US" w:eastAsia="zh-CN"/>
        </w:rPr>
      </w:pPr>
      <w:r>
        <w:rPr>
          <w:rFonts w:hint="eastAsia"/>
          <w:lang w:val="en-US" w:eastAsia="zh-CN"/>
        </w:rPr>
        <w:t>5.2-14  大气污染物有组织排放量核算表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170"/>
        <w:gridCol w:w="945"/>
        <w:gridCol w:w="1485"/>
        <w:gridCol w:w="1530"/>
        <w:gridCol w:w="1500"/>
        <w:gridCol w:w="23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序号</w:t>
            </w:r>
          </w:p>
        </w:tc>
        <w:tc>
          <w:tcPr>
            <w:tcW w:w="117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排气筒编号</w:t>
            </w:r>
          </w:p>
        </w:tc>
        <w:tc>
          <w:tcPr>
            <w:tcW w:w="94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w:t>
            </w:r>
          </w:p>
        </w:tc>
        <w:tc>
          <w:tcPr>
            <w:tcW w:w="148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核算排放浓度（mg/m</w:t>
            </w:r>
            <w:r>
              <w:rPr>
                <w:rFonts w:hint="eastAsia"/>
                <w:b/>
                <w:bCs/>
                <w:vertAlign w:val="superscript"/>
                <w:lang w:val="en-US" w:eastAsia="zh-CN"/>
              </w:rPr>
              <w:t>3</w:t>
            </w:r>
            <w:r>
              <w:rPr>
                <w:rFonts w:hint="eastAsia"/>
                <w:b/>
                <w:bCs/>
                <w:vertAlign w:val="baseline"/>
                <w:lang w:val="en-US" w:eastAsia="zh-CN"/>
              </w:rPr>
              <w:t>）</w:t>
            </w:r>
          </w:p>
        </w:tc>
        <w:tc>
          <w:tcPr>
            <w:tcW w:w="153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核算排放速率（kg/h）</w:t>
            </w:r>
          </w:p>
        </w:tc>
        <w:tc>
          <w:tcPr>
            <w:tcW w:w="150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核算年排放量（t/a）</w:t>
            </w:r>
          </w:p>
        </w:tc>
        <w:tc>
          <w:tcPr>
            <w:tcW w:w="2343"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1170"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P1排气筒</w:t>
            </w:r>
          </w:p>
        </w:tc>
        <w:tc>
          <w:tcPr>
            <w:tcW w:w="94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t>NH</w:t>
            </w:r>
            <w:r>
              <w:rPr>
                <w:vertAlign w:val="subscript"/>
              </w:rPr>
              <w:t>3</w:t>
            </w:r>
          </w:p>
        </w:tc>
        <w:tc>
          <w:tcPr>
            <w:tcW w:w="148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1.59</w:t>
            </w:r>
          </w:p>
        </w:tc>
        <w:tc>
          <w:tcPr>
            <w:tcW w:w="153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0.027</w:t>
            </w:r>
          </w:p>
        </w:tc>
        <w:tc>
          <w:tcPr>
            <w:tcW w:w="150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kern w:val="2"/>
                <w:sz w:val="21"/>
                <w:vertAlign w:val="baseline"/>
                <w:lang w:val="en-US" w:eastAsia="zh-CN"/>
              </w:rPr>
              <w:t>0.185</w:t>
            </w:r>
          </w:p>
        </w:tc>
        <w:tc>
          <w:tcPr>
            <w:tcW w:w="2343"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P1排气筒为待宰圈和污水处理间排气筒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17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4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t>H</w:t>
            </w:r>
            <w:r>
              <w:rPr>
                <w:vertAlign w:val="subscript"/>
              </w:rPr>
              <w:t>2</w:t>
            </w:r>
            <w:r>
              <w:t>S</w:t>
            </w:r>
          </w:p>
        </w:tc>
        <w:tc>
          <w:tcPr>
            <w:tcW w:w="148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0.14</w:t>
            </w:r>
          </w:p>
        </w:tc>
        <w:tc>
          <w:tcPr>
            <w:tcW w:w="153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0.0023</w:t>
            </w:r>
          </w:p>
        </w:tc>
        <w:tc>
          <w:tcPr>
            <w:tcW w:w="1500"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0.011</w:t>
            </w:r>
          </w:p>
        </w:tc>
        <w:tc>
          <w:tcPr>
            <w:tcW w:w="2343" w:type="dxa"/>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w:t>
            </w:r>
          </w:p>
        </w:tc>
        <w:tc>
          <w:tcPr>
            <w:tcW w:w="1170" w:type="dxa"/>
            <w:vMerge w:val="restar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P2排气筒</w:t>
            </w:r>
          </w:p>
        </w:tc>
        <w:tc>
          <w:tcPr>
            <w:tcW w:w="94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t>NH</w:t>
            </w:r>
            <w:r>
              <w:rPr>
                <w:vertAlign w:val="subscript"/>
              </w:rPr>
              <w:t>3</w:t>
            </w:r>
          </w:p>
        </w:tc>
        <w:tc>
          <w:tcPr>
            <w:tcW w:w="148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0.33</w:t>
            </w:r>
          </w:p>
        </w:tc>
        <w:tc>
          <w:tcPr>
            <w:tcW w:w="153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0.015</w:t>
            </w:r>
          </w:p>
        </w:tc>
        <w:tc>
          <w:tcPr>
            <w:tcW w:w="150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0.017</w:t>
            </w:r>
          </w:p>
        </w:tc>
        <w:tc>
          <w:tcPr>
            <w:tcW w:w="2343"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P2排气筒为屠宰车间排气筒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1170" w:type="dxa"/>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94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t>H</w:t>
            </w:r>
            <w:r>
              <w:rPr>
                <w:vertAlign w:val="subscript"/>
              </w:rPr>
              <w:t>2</w:t>
            </w:r>
            <w:r>
              <w:t>S</w:t>
            </w:r>
          </w:p>
        </w:tc>
        <w:tc>
          <w:tcPr>
            <w:tcW w:w="148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0.003</w:t>
            </w:r>
          </w:p>
        </w:tc>
        <w:tc>
          <w:tcPr>
            <w:tcW w:w="153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0.00014</w:t>
            </w:r>
          </w:p>
        </w:tc>
        <w:tc>
          <w:tcPr>
            <w:tcW w:w="1500"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0.00016</w:t>
            </w:r>
          </w:p>
        </w:tc>
        <w:tc>
          <w:tcPr>
            <w:tcW w:w="2343" w:type="dxa"/>
            <w:vMerge w:val="continue"/>
            <w:tcBorders>
              <w:tl2br w:val="nil"/>
              <w:tr2bl w:val="nil"/>
            </w:tcBorders>
            <w:vAlign w:val="center"/>
          </w:tcPr>
          <w:p>
            <w:pPr>
              <w:pStyle w:val="30"/>
              <w:widowControl w:val="0"/>
              <w:jc w:val="center"/>
              <w:rPr>
                <w:rFonts w:hint="default"/>
                <w:vertAlign w:val="baseline"/>
                <w:lang w:val="en-US" w:eastAsia="zh-CN"/>
              </w:rPr>
            </w:pPr>
          </w:p>
        </w:tc>
      </w:tr>
    </w:tbl>
    <w:p>
      <w:pPr>
        <w:bidi w:val="0"/>
        <w:rPr>
          <w:rFonts w:hint="default"/>
          <w:lang w:val="en-US" w:eastAsia="zh-CN"/>
        </w:rPr>
      </w:pPr>
      <w:r>
        <w:rPr>
          <w:rFonts w:hint="eastAsia"/>
          <w:lang w:val="en-US" w:eastAsia="zh-CN"/>
        </w:rPr>
        <w:t>②无组织排放量核算</w:t>
      </w:r>
    </w:p>
    <w:p>
      <w:pPr>
        <w:pStyle w:val="29"/>
        <w:bidi w:val="0"/>
        <w:rPr>
          <w:rFonts w:hint="default"/>
          <w:lang w:val="en-US" w:eastAsia="zh-CN"/>
        </w:rPr>
      </w:pPr>
      <w:r>
        <w:rPr>
          <w:rFonts w:hint="eastAsia"/>
          <w:lang w:val="en-US" w:eastAsia="zh-CN"/>
        </w:rPr>
        <w:t>表5.2-15  大气污染物无组织排放量核算表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522"/>
        <w:gridCol w:w="523"/>
        <w:gridCol w:w="856"/>
        <w:gridCol w:w="2788"/>
        <w:gridCol w:w="1733"/>
        <w:gridCol w:w="1358"/>
        <w:gridCol w:w="13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restart"/>
            <w:tcBorders>
              <w:tl2br w:val="nil"/>
              <w:tr2bl w:val="nil"/>
            </w:tcBorders>
            <w:vAlign w:val="center"/>
          </w:tcPr>
          <w:p>
            <w:pPr>
              <w:pStyle w:val="30"/>
              <w:widowControl w:val="0"/>
              <w:bidi w:val="0"/>
              <w:jc w:val="center"/>
              <w:rPr>
                <w:rFonts w:hint="eastAsia" w:eastAsia="宋体"/>
                <w:b/>
                <w:bCs/>
                <w:lang w:val="en-US" w:eastAsia="zh-CN"/>
              </w:rPr>
            </w:pPr>
            <w:r>
              <w:rPr>
                <w:rFonts w:hint="eastAsia"/>
                <w:b/>
                <w:bCs/>
                <w:lang w:val="en-US" w:eastAsia="zh-CN"/>
              </w:rPr>
              <w:t>序号</w:t>
            </w:r>
          </w:p>
        </w:tc>
        <w:tc>
          <w:tcPr>
            <w:tcW w:w="1045" w:type="dxa"/>
            <w:gridSpan w:val="2"/>
            <w:vMerge w:val="restar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b/>
                <w:bCs/>
                <w:kern w:val="2"/>
                <w:sz w:val="21"/>
                <w:lang w:val="en-US" w:eastAsia="zh-CN"/>
              </w:rPr>
            </w:pPr>
            <w:r>
              <w:rPr>
                <w:rFonts w:hint="eastAsia"/>
                <w:b/>
                <w:bCs/>
                <w:lang w:val="en-US" w:eastAsia="zh-CN"/>
              </w:rPr>
              <w:t>产污环节</w:t>
            </w:r>
          </w:p>
        </w:tc>
        <w:tc>
          <w:tcPr>
            <w:tcW w:w="856" w:type="dxa"/>
            <w:vMerge w:val="restart"/>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b/>
                <w:bCs/>
                <w:kern w:val="2"/>
                <w:sz w:val="21"/>
                <w:lang w:val="en-US" w:eastAsia="zh-CN"/>
              </w:rPr>
            </w:pPr>
            <w:r>
              <w:rPr>
                <w:rFonts w:hint="eastAsia"/>
                <w:b/>
                <w:bCs/>
                <w:lang w:val="en-US" w:eastAsia="zh-CN"/>
              </w:rPr>
              <w:t>污染物</w:t>
            </w:r>
          </w:p>
        </w:tc>
        <w:tc>
          <w:tcPr>
            <w:tcW w:w="2788" w:type="dxa"/>
            <w:vMerge w:val="restart"/>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b/>
                <w:bCs/>
                <w:kern w:val="2"/>
                <w:sz w:val="21"/>
                <w:lang w:val="en-US" w:eastAsia="zh-CN"/>
              </w:rPr>
            </w:pPr>
            <w:r>
              <w:rPr>
                <w:rFonts w:hint="eastAsia"/>
                <w:b/>
                <w:bCs/>
                <w:lang w:val="en-US" w:eastAsia="zh-CN"/>
              </w:rPr>
              <w:t>主要污染防治措施</w:t>
            </w:r>
          </w:p>
        </w:tc>
        <w:tc>
          <w:tcPr>
            <w:tcW w:w="3091" w:type="dxa"/>
            <w:gridSpan w:val="2"/>
            <w:tcBorders>
              <w:tl2br w:val="nil"/>
              <w:tr2bl w:val="nil"/>
            </w:tcBorders>
            <w:vAlign w:val="center"/>
          </w:tcPr>
          <w:p>
            <w:pPr>
              <w:pStyle w:val="30"/>
              <w:widowControl w:val="0"/>
              <w:bidi w:val="0"/>
              <w:jc w:val="center"/>
              <w:rPr>
                <w:rFonts w:hint="default" w:eastAsia="宋体"/>
                <w:b/>
                <w:bCs/>
                <w:lang w:val="en-US" w:eastAsia="zh-CN"/>
              </w:rPr>
            </w:pPr>
            <w:r>
              <w:rPr>
                <w:rFonts w:hint="eastAsia"/>
                <w:b/>
                <w:bCs/>
                <w:lang w:val="en-US" w:eastAsia="zh-CN"/>
              </w:rPr>
              <w:t>国家或地方污染物排放标准</w:t>
            </w:r>
          </w:p>
        </w:tc>
        <w:tc>
          <w:tcPr>
            <w:tcW w:w="1324" w:type="dxa"/>
            <w:vMerge w:val="restart"/>
            <w:tcBorders>
              <w:tl2br w:val="nil"/>
              <w:tr2bl w:val="nil"/>
            </w:tcBorders>
            <w:vAlign w:val="center"/>
          </w:tcPr>
          <w:p>
            <w:pPr>
              <w:pStyle w:val="30"/>
              <w:widowControl w:val="0"/>
              <w:bidi w:val="0"/>
              <w:jc w:val="center"/>
              <w:rPr>
                <w:rFonts w:hint="default" w:eastAsia="宋体"/>
                <w:b/>
                <w:bCs/>
                <w:lang w:val="en-US" w:eastAsia="zh-CN"/>
              </w:rPr>
            </w:pPr>
            <w:r>
              <w:rPr>
                <w:rFonts w:hint="eastAsia"/>
                <w:b/>
                <w:bCs/>
                <w:lang w:val="en-US" w:eastAsia="zh-CN"/>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continue"/>
            <w:tcBorders>
              <w:tl2br w:val="nil"/>
              <w:tr2bl w:val="nil"/>
            </w:tcBorders>
            <w:vAlign w:val="center"/>
          </w:tcPr>
          <w:p>
            <w:pPr>
              <w:pStyle w:val="30"/>
              <w:widowControl w:val="0"/>
              <w:bidi w:val="0"/>
              <w:jc w:val="center"/>
              <w:rPr>
                <w:rFonts w:hint="eastAsia"/>
              </w:rPr>
            </w:pPr>
          </w:p>
        </w:tc>
        <w:tc>
          <w:tcPr>
            <w:tcW w:w="1045" w:type="dxa"/>
            <w:gridSpan w:val="2"/>
            <w:vMerge w:val="continue"/>
            <w:tcBorders>
              <w:tl2br w:val="nil"/>
              <w:tr2bl w:val="nil"/>
            </w:tcBorders>
            <w:vAlign w:val="center"/>
          </w:tcPr>
          <w:p>
            <w:pPr>
              <w:pStyle w:val="30"/>
              <w:widowControl w:val="0"/>
              <w:bidi w:val="0"/>
              <w:jc w:val="center"/>
              <w:rPr>
                <w:rFonts w:hint="eastAsia"/>
              </w:rPr>
            </w:pPr>
          </w:p>
        </w:tc>
        <w:tc>
          <w:tcPr>
            <w:tcW w:w="856" w:type="dxa"/>
            <w:vMerge w:val="continue"/>
            <w:tcBorders>
              <w:tl2br w:val="nil"/>
              <w:tr2bl w:val="nil"/>
            </w:tcBorders>
            <w:vAlign w:val="center"/>
          </w:tcPr>
          <w:p>
            <w:pPr>
              <w:pStyle w:val="30"/>
              <w:widowControl w:val="0"/>
              <w:bidi w:val="0"/>
              <w:jc w:val="center"/>
              <w:rPr>
                <w:rFonts w:hint="eastAsia"/>
              </w:rPr>
            </w:pPr>
          </w:p>
        </w:tc>
        <w:tc>
          <w:tcPr>
            <w:tcW w:w="2788" w:type="dxa"/>
            <w:vMerge w:val="continue"/>
            <w:tcBorders>
              <w:tl2br w:val="nil"/>
              <w:tr2bl w:val="nil"/>
            </w:tcBorders>
            <w:vAlign w:val="center"/>
          </w:tcPr>
          <w:p>
            <w:pPr>
              <w:pStyle w:val="30"/>
              <w:widowControl w:val="0"/>
              <w:bidi w:val="0"/>
              <w:jc w:val="center"/>
              <w:rPr>
                <w:rFonts w:hint="eastAsia"/>
              </w:rPr>
            </w:pPr>
          </w:p>
        </w:tc>
        <w:tc>
          <w:tcPr>
            <w:tcW w:w="1733" w:type="dxa"/>
            <w:tcBorders>
              <w:tl2br w:val="nil"/>
              <w:tr2bl w:val="nil"/>
            </w:tcBorders>
            <w:vAlign w:val="center"/>
          </w:tcPr>
          <w:p>
            <w:pPr>
              <w:pStyle w:val="30"/>
              <w:widowControl w:val="0"/>
              <w:bidi w:val="0"/>
              <w:jc w:val="center"/>
              <w:rPr>
                <w:rFonts w:hint="default" w:eastAsia="宋体"/>
                <w:b/>
                <w:bCs/>
                <w:lang w:val="en-US" w:eastAsia="zh-CN"/>
              </w:rPr>
            </w:pPr>
            <w:r>
              <w:rPr>
                <w:rFonts w:hint="eastAsia"/>
                <w:b/>
                <w:bCs/>
                <w:lang w:val="en-US" w:eastAsia="zh-CN"/>
              </w:rPr>
              <w:t>标准名称</w:t>
            </w:r>
          </w:p>
        </w:tc>
        <w:tc>
          <w:tcPr>
            <w:tcW w:w="1358" w:type="dxa"/>
            <w:tcBorders>
              <w:tl2br w:val="nil"/>
              <w:tr2bl w:val="nil"/>
            </w:tcBorders>
            <w:vAlign w:val="center"/>
          </w:tcPr>
          <w:p>
            <w:pPr>
              <w:pStyle w:val="30"/>
              <w:widowControl w:val="0"/>
              <w:bidi w:val="0"/>
              <w:jc w:val="center"/>
              <w:rPr>
                <w:rFonts w:hint="default" w:eastAsia="宋体"/>
                <w:b/>
                <w:bCs/>
                <w:lang w:val="en-US" w:eastAsia="zh-CN"/>
              </w:rPr>
            </w:pPr>
            <w:r>
              <w:rPr>
                <w:rFonts w:hint="eastAsia"/>
                <w:b/>
                <w:bCs/>
                <w:lang w:val="en-US" w:eastAsia="zh-CN"/>
              </w:rPr>
              <w:t>浓度限值（mg/m</w:t>
            </w:r>
            <w:r>
              <w:rPr>
                <w:rFonts w:hint="eastAsia"/>
                <w:b/>
                <w:bCs/>
                <w:vertAlign w:val="superscript"/>
                <w:lang w:val="en-US" w:eastAsia="zh-CN"/>
              </w:rPr>
              <w:t>3</w:t>
            </w:r>
            <w:r>
              <w:rPr>
                <w:rFonts w:hint="eastAsia"/>
                <w:b/>
                <w:bCs/>
                <w:lang w:val="en-US" w:eastAsia="zh-CN"/>
              </w:rPr>
              <w:t>）</w:t>
            </w:r>
          </w:p>
        </w:tc>
        <w:tc>
          <w:tcPr>
            <w:tcW w:w="1324" w:type="dxa"/>
            <w:vMerge w:val="continue"/>
            <w:tcBorders>
              <w:tl2br w:val="nil"/>
              <w:tr2bl w:val="nil"/>
            </w:tcBorders>
            <w:vAlign w:val="center"/>
          </w:tcPr>
          <w:p>
            <w:pPr>
              <w:pStyle w:val="30"/>
              <w:widowControl w:val="0"/>
              <w:bidi w:val="0"/>
              <w:jc w:val="center"/>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restart"/>
            <w:tcBorders>
              <w:tl2br w:val="nil"/>
              <w:tr2bl w:val="nil"/>
            </w:tcBorders>
            <w:vAlign w:val="center"/>
          </w:tcPr>
          <w:p>
            <w:pPr>
              <w:pStyle w:val="30"/>
              <w:widowControl w:val="0"/>
              <w:bidi w:val="0"/>
              <w:jc w:val="center"/>
              <w:rPr>
                <w:rFonts w:hint="eastAsia" w:eastAsia="宋体"/>
                <w:lang w:val="en-US" w:eastAsia="zh-CN"/>
              </w:rPr>
            </w:pPr>
            <w:r>
              <w:rPr>
                <w:rFonts w:hint="eastAsia"/>
                <w:lang w:val="en-US" w:eastAsia="zh-CN"/>
              </w:rPr>
              <w:t>1</w:t>
            </w:r>
          </w:p>
        </w:tc>
        <w:tc>
          <w:tcPr>
            <w:tcW w:w="522" w:type="dxa"/>
            <w:vMerge w:val="restart"/>
            <w:tcBorders>
              <w:tl2br w:val="nil"/>
              <w:tr2bl w:val="nil"/>
            </w:tcBorders>
            <w:vAlign w:val="center"/>
          </w:tcPr>
          <w:p>
            <w:pPr>
              <w:pStyle w:val="30"/>
              <w:widowControl w:val="0"/>
              <w:bidi w:val="0"/>
              <w:jc w:val="center"/>
              <w:rPr>
                <w:rFonts w:hint="eastAsia" w:eastAsia="宋体"/>
                <w:lang w:val="en-US" w:eastAsia="zh-CN"/>
              </w:rPr>
            </w:pPr>
            <w:r>
              <w:rPr>
                <w:rFonts w:hint="eastAsia"/>
                <w:lang w:val="en-US" w:eastAsia="zh-CN"/>
              </w:rPr>
              <w:t>屠宰车间</w:t>
            </w:r>
          </w:p>
        </w:tc>
        <w:tc>
          <w:tcPr>
            <w:tcW w:w="523" w:type="dxa"/>
            <w:vMerge w:val="restart"/>
            <w:tcBorders>
              <w:tl2br w:val="nil"/>
              <w:tr2bl w:val="nil"/>
            </w:tcBorders>
            <w:vAlign w:val="center"/>
          </w:tcPr>
          <w:p>
            <w:pPr>
              <w:pStyle w:val="30"/>
              <w:widowControl w:val="0"/>
              <w:bidi w:val="0"/>
              <w:jc w:val="center"/>
              <w:rPr>
                <w:rFonts w:hint="eastAsia" w:eastAsia="宋体"/>
                <w:lang w:val="en-US" w:eastAsia="zh-CN"/>
              </w:rPr>
            </w:pPr>
            <w:r>
              <w:rPr>
                <w:rFonts w:hint="eastAsia"/>
                <w:lang w:val="en-US" w:eastAsia="zh-CN"/>
              </w:rPr>
              <w:t>生猪</w:t>
            </w:r>
          </w:p>
        </w:tc>
        <w:tc>
          <w:tcPr>
            <w:tcW w:w="856" w:type="dxa"/>
            <w:tcBorders>
              <w:tl2br w:val="nil"/>
              <w:tr2bl w:val="nil"/>
            </w:tcBorders>
            <w:vAlign w:val="center"/>
          </w:tcPr>
          <w:p>
            <w:pPr>
              <w:pStyle w:val="30"/>
              <w:widowControl w:val="0"/>
              <w:ind w:firstLine="0" w:firstLineChars="0"/>
              <w:jc w:val="center"/>
              <w:rPr>
                <w:rFonts w:hint="eastAsia"/>
              </w:rPr>
            </w:pPr>
            <w:r>
              <w:rPr>
                <w:rFonts w:hint="eastAsia"/>
                <w:vertAlign w:val="baseline"/>
                <w:lang w:val="en-US" w:eastAsia="zh-CN"/>
              </w:rPr>
              <w:t>NH</w:t>
            </w:r>
            <w:r>
              <w:rPr>
                <w:rFonts w:hint="eastAsia"/>
                <w:vertAlign w:val="subscript"/>
                <w:lang w:val="en-US" w:eastAsia="zh-CN"/>
              </w:rPr>
              <w:t>3</w:t>
            </w:r>
          </w:p>
        </w:tc>
        <w:tc>
          <w:tcPr>
            <w:tcW w:w="2788" w:type="dxa"/>
            <w:vMerge w:val="restart"/>
            <w:tcBorders>
              <w:tl2br w:val="nil"/>
              <w:tr2bl w:val="nil"/>
            </w:tcBorders>
            <w:vAlign w:val="center"/>
          </w:tcPr>
          <w:p>
            <w:pPr>
              <w:pStyle w:val="30"/>
              <w:widowControl w:val="0"/>
              <w:bidi w:val="0"/>
              <w:jc w:val="both"/>
              <w:rPr>
                <w:rFonts w:hint="eastAsia"/>
              </w:rPr>
            </w:pPr>
            <w:r>
              <w:rPr>
                <w:highlight w:val="none"/>
              </w:rPr>
              <w:t>屠宰车间为全密闭，设置强制通风设施，车间每</w:t>
            </w:r>
            <w:r>
              <w:rPr>
                <w:rFonts w:hint="eastAsia"/>
                <w:highlight w:val="none"/>
                <w:lang w:val="en-US" w:eastAsia="zh-CN"/>
              </w:rPr>
              <w:t>2</w:t>
            </w:r>
            <w:r>
              <w:rPr>
                <w:highlight w:val="none"/>
              </w:rPr>
              <w:t>小时换气一次，保持车间负压；车间生产线及时清洗，肠胃内容物和猪毛等污物及时清运，保持屠宰车间清洁；定期对车间进行消毒处理</w:t>
            </w:r>
            <w:r>
              <w:rPr>
                <w:rFonts w:hint="eastAsia"/>
                <w:highlight w:val="none"/>
                <w:lang w:eastAsia="zh-CN"/>
              </w:rPr>
              <w:t>。</w:t>
            </w:r>
          </w:p>
        </w:tc>
        <w:tc>
          <w:tcPr>
            <w:tcW w:w="1733" w:type="dxa"/>
            <w:vMerge w:val="restart"/>
            <w:tcBorders>
              <w:tl2br w:val="nil"/>
              <w:tr2bl w:val="nil"/>
            </w:tcBorders>
            <w:vAlign w:val="center"/>
          </w:tcPr>
          <w:p>
            <w:pPr>
              <w:pStyle w:val="30"/>
              <w:widowControl w:val="0"/>
              <w:bidi w:val="0"/>
              <w:jc w:val="center"/>
              <w:rPr>
                <w:rFonts w:hint="eastAsia" w:eastAsia="宋体"/>
                <w:lang w:eastAsia="zh-CN"/>
              </w:rPr>
            </w:pPr>
            <w:r>
              <w:rPr>
                <w:rFonts w:hint="eastAsia"/>
              </w:rPr>
              <w:t>《.恶臭污染物排放标准》</w:t>
            </w:r>
            <w:r>
              <w:rPr>
                <w:rFonts w:hint="eastAsia"/>
                <w:lang w:eastAsia="zh-CN"/>
              </w:rPr>
              <w:t>（</w:t>
            </w:r>
            <w:r>
              <w:rPr>
                <w:rFonts w:hint="eastAsia"/>
              </w:rPr>
              <w:t>GB14554-93</w:t>
            </w:r>
            <w:r>
              <w:rPr>
                <w:rFonts w:hint="eastAsia"/>
                <w:lang w:eastAsia="zh-CN"/>
              </w:rPr>
              <w:t>）</w:t>
            </w:r>
          </w:p>
          <w:p>
            <w:pPr>
              <w:pStyle w:val="30"/>
              <w:widowControl w:val="0"/>
              <w:bidi w:val="0"/>
              <w:jc w:val="center"/>
              <w:rPr>
                <w:rFonts w:hint="eastAsia"/>
              </w:rPr>
            </w:pPr>
          </w:p>
        </w:tc>
        <w:tc>
          <w:tcPr>
            <w:tcW w:w="1358" w:type="dxa"/>
            <w:tcBorders>
              <w:tl2br w:val="nil"/>
              <w:tr2bl w:val="nil"/>
            </w:tcBorders>
            <w:vAlign w:val="center"/>
          </w:tcPr>
          <w:p>
            <w:pPr>
              <w:pStyle w:val="30"/>
              <w:widowControl w:val="0"/>
              <w:bidi w:val="0"/>
              <w:jc w:val="center"/>
              <w:rPr>
                <w:rFonts w:hint="default" w:eastAsia="宋体"/>
                <w:lang w:val="en-US" w:eastAsia="zh-CN"/>
              </w:rPr>
            </w:pPr>
            <w:r>
              <w:rPr>
                <w:rFonts w:hint="eastAsia"/>
                <w:lang w:val="en-US" w:eastAsia="zh-CN"/>
              </w:rPr>
              <w:t>1.5</w:t>
            </w:r>
          </w:p>
        </w:tc>
        <w:tc>
          <w:tcPr>
            <w:tcW w:w="1324" w:type="dxa"/>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0.00056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continue"/>
            <w:tcBorders>
              <w:tl2br w:val="nil"/>
              <w:tr2bl w:val="nil"/>
            </w:tcBorders>
            <w:vAlign w:val="center"/>
          </w:tcPr>
          <w:p>
            <w:pPr>
              <w:pStyle w:val="30"/>
              <w:widowControl w:val="0"/>
              <w:bidi w:val="0"/>
              <w:jc w:val="center"/>
              <w:rPr>
                <w:rFonts w:hint="eastAsia"/>
              </w:rPr>
            </w:pPr>
          </w:p>
        </w:tc>
        <w:tc>
          <w:tcPr>
            <w:tcW w:w="522" w:type="dxa"/>
            <w:vMerge w:val="continue"/>
            <w:tcBorders>
              <w:tl2br w:val="nil"/>
              <w:tr2bl w:val="nil"/>
            </w:tcBorders>
            <w:vAlign w:val="center"/>
          </w:tcPr>
          <w:p>
            <w:pPr>
              <w:pStyle w:val="30"/>
              <w:widowControl w:val="0"/>
              <w:bidi w:val="0"/>
              <w:jc w:val="center"/>
              <w:rPr>
                <w:rFonts w:hint="eastAsia"/>
              </w:rPr>
            </w:pPr>
          </w:p>
        </w:tc>
        <w:tc>
          <w:tcPr>
            <w:tcW w:w="523" w:type="dxa"/>
            <w:vMerge w:val="continue"/>
            <w:tcBorders>
              <w:tl2br w:val="nil"/>
              <w:tr2bl w:val="nil"/>
            </w:tcBorders>
            <w:vAlign w:val="center"/>
          </w:tcPr>
          <w:p>
            <w:pPr>
              <w:pStyle w:val="30"/>
              <w:widowControl w:val="0"/>
              <w:bidi w:val="0"/>
              <w:jc w:val="center"/>
              <w:rPr>
                <w:rFonts w:hint="eastAsia"/>
              </w:rPr>
            </w:pPr>
          </w:p>
        </w:tc>
        <w:tc>
          <w:tcPr>
            <w:tcW w:w="856" w:type="dxa"/>
            <w:tcBorders>
              <w:tl2br w:val="nil"/>
              <w:tr2bl w:val="nil"/>
            </w:tcBorders>
            <w:vAlign w:val="center"/>
          </w:tcPr>
          <w:p>
            <w:pPr>
              <w:pStyle w:val="30"/>
              <w:widowControl w:val="0"/>
              <w:ind w:firstLine="0" w:firstLineChars="0"/>
              <w:jc w:val="center"/>
              <w:rPr>
                <w:rFonts w:hint="eastAsia"/>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2788" w:type="dxa"/>
            <w:vMerge w:val="continue"/>
            <w:tcBorders>
              <w:tl2br w:val="nil"/>
              <w:tr2bl w:val="nil"/>
            </w:tcBorders>
            <w:vAlign w:val="center"/>
          </w:tcPr>
          <w:p>
            <w:pPr>
              <w:pStyle w:val="30"/>
              <w:widowControl w:val="0"/>
              <w:bidi w:val="0"/>
              <w:jc w:val="center"/>
              <w:rPr>
                <w:rFonts w:hint="eastAsia"/>
              </w:rPr>
            </w:pPr>
          </w:p>
        </w:tc>
        <w:tc>
          <w:tcPr>
            <w:tcW w:w="1733" w:type="dxa"/>
            <w:vMerge w:val="continue"/>
            <w:tcBorders>
              <w:tl2br w:val="nil"/>
              <w:tr2bl w:val="nil"/>
            </w:tcBorders>
            <w:vAlign w:val="center"/>
          </w:tcPr>
          <w:p>
            <w:pPr>
              <w:pStyle w:val="30"/>
              <w:widowControl w:val="0"/>
              <w:bidi w:val="0"/>
              <w:jc w:val="center"/>
              <w:rPr>
                <w:rFonts w:hint="eastAsia"/>
              </w:rPr>
            </w:pPr>
          </w:p>
        </w:tc>
        <w:tc>
          <w:tcPr>
            <w:tcW w:w="1358" w:type="dxa"/>
            <w:tcBorders>
              <w:tl2br w:val="nil"/>
              <w:tr2bl w:val="nil"/>
            </w:tcBorders>
            <w:vAlign w:val="center"/>
          </w:tcPr>
          <w:p>
            <w:pPr>
              <w:pStyle w:val="30"/>
              <w:widowControl w:val="0"/>
              <w:bidi w:val="0"/>
              <w:jc w:val="center"/>
              <w:rPr>
                <w:rFonts w:hint="default" w:eastAsia="宋体"/>
                <w:lang w:val="en-US" w:eastAsia="zh-CN"/>
              </w:rPr>
            </w:pPr>
            <w:r>
              <w:rPr>
                <w:rFonts w:hint="eastAsia"/>
                <w:lang w:val="en-US" w:eastAsia="zh-CN"/>
              </w:rPr>
              <w:t>0.06</w:t>
            </w:r>
          </w:p>
        </w:tc>
        <w:tc>
          <w:tcPr>
            <w:tcW w:w="1324" w:type="dxa"/>
            <w:tcBorders>
              <w:tl2br w:val="nil"/>
              <w:tr2bl w:val="nil"/>
            </w:tcBorders>
            <w:vAlign w:val="center"/>
          </w:tcPr>
          <w:p>
            <w:pPr>
              <w:pStyle w:val="30"/>
              <w:widowControl w:val="0"/>
              <w:bidi w:val="0"/>
              <w:ind w:firstLine="0" w:firstLineChars="0"/>
              <w:jc w:val="center"/>
              <w:rPr>
                <w:rFonts w:hint="default" w:ascii="Times New Roman" w:hAnsi="Times New Roman" w:eastAsia="宋体" w:cs="Times New Roman"/>
                <w:kern w:val="2"/>
                <w:sz w:val="21"/>
                <w:lang w:val="en-US" w:eastAsia="zh-CN"/>
              </w:rPr>
            </w:pPr>
            <w:r>
              <w:rPr>
                <w:rFonts w:hint="eastAsia"/>
                <w:lang w:val="en-US" w:eastAsia="zh-CN"/>
              </w:rPr>
              <w:t>0.00007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continue"/>
            <w:tcBorders>
              <w:tl2br w:val="nil"/>
              <w:tr2bl w:val="nil"/>
            </w:tcBorders>
            <w:vAlign w:val="center"/>
          </w:tcPr>
          <w:p>
            <w:pPr>
              <w:pStyle w:val="30"/>
              <w:widowControl w:val="0"/>
              <w:bidi w:val="0"/>
              <w:jc w:val="center"/>
              <w:rPr>
                <w:rFonts w:hint="eastAsia"/>
              </w:rPr>
            </w:pPr>
          </w:p>
        </w:tc>
        <w:tc>
          <w:tcPr>
            <w:tcW w:w="522" w:type="dxa"/>
            <w:vMerge w:val="continue"/>
            <w:tcBorders>
              <w:tl2br w:val="nil"/>
              <w:tr2bl w:val="nil"/>
            </w:tcBorders>
            <w:vAlign w:val="center"/>
          </w:tcPr>
          <w:p>
            <w:pPr>
              <w:pStyle w:val="30"/>
              <w:widowControl w:val="0"/>
              <w:bidi w:val="0"/>
              <w:jc w:val="center"/>
              <w:rPr>
                <w:rFonts w:hint="eastAsia"/>
              </w:rPr>
            </w:pPr>
          </w:p>
        </w:tc>
        <w:tc>
          <w:tcPr>
            <w:tcW w:w="523" w:type="dxa"/>
            <w:vMerge w:val="restart"/>
            <w:tcBorders>
              <w:tl2br w:val="nil"/>
              <w:tr2bl w:val="nil"/>
            </w:tcBorders>
            <w:vAlign w:val="center"/>
          </w:tcPr>
          <w:p>
            <w:pPr>
              <w:pStyle w:val="30"/>
              <w:widowControl w:val="0"/>
              <w:bidi w:val="0"/>
              <w:jc w:val="center"/>
              <w:rPr>
                <w:rFonts w:hint="eastAsia" w:eastAsia="宋体"/>
                <w:lang w:val="en-US" w:eastAsia="zh-CN"/>
              </w:rPr>
            </w:pPr>
            <w:r>
              <w:rPr>
                <w:rFonts w:hint="eastAsia"/>
                <w:lang w:val="en-US" w:eastAsia="zh-CN"/>
              </w:rPr>
              <w:t>肉牛</w:t>
            </w:r>
          </w:p>
        </w:tc>
        <w:tc>
          <w:tcPr>
            <w:tcW w:w="856" w:type="dxa"/>
            <w:tcBorders>
              <w:tl2br w:val="nil"/>
              <w:tr2bl w:val="nil"/>
            </w:tcBorders>
            <w:vAlign w:val="center"/>
          </w:tcPr>
          <w:p>
            <w:pPr>
              <w:pStyle w:val="30"/>
              <w:widowControl w:val="0"/>
              <w:ind w:firstLine="0" w:firstLineChars="0"/>
              <w:jc w:val="center"/>
              <w:rPr>
                <w:rFonts w:hint="eastAsia"/>
              </w:rPr>
            </w:pPr>
            <w:r>
              <w:rPr>
                <w:rFonts w:hint="eastAsia"/>
                <w:vertAlign w:val="baseline"/>
                <w:lang w:val="en-US" w:eastAsia="zh-CN"/>
              </w:rPr>
              <w:t>NH</w:t>
            </w:r>
            <w:r>
              <w:rPr>
                <w:rFonts w:hint="eastAsia"/>
                <w:vertAlign w:val="subscript"/>
                <w:lang w:val="en-US" w:eastAsia="zh-CN"/>
              </w:rPr>
              <w:t>3</w:t>
            </w:r>
          </w:p>
        </w:tc>
        <w:tc>
          <w:tcPr>
            <w:tcW w:w="2788" w:type="dxa"/>
            <w:vMerge w:val="continue"/>
            <w:tcBorders>
              <w:tl2br w:val="nil"/>
              <w:tr2bl w:val="nil"/>
            </w:tcBorders>
            <w:vAlign w:val="center"/>
          </w:tcPr>
          <w:p>
            <w:pPr>
              <w:pStyle w:val="30"/>
              <w:widowControl w:val="0"/>
              <w:bidi w:val="0"/>
              <w:jc w:val="center"/>
              <w:rPr>
                <w:rFonts w:hint="eastAsia"/>
              </w:rPr>
            </w:pPr>
          </w:p>
        </w:tc>
        <w:tc>
          <w:tcPr>
            <w:tcW w:w="1733" w:type="dxa"/>
            <w:vMerge w:val="continue"/>
            <w:tcBorders>
              <w:tl2br w:val="nil"/>
              <w:tr2bl w:val="nil"/>
            </w:tcBorders>
            <w:vAlign w:val="center"/>
          </w:tcPr>
          <w:p>
            <w:pPr>
              <w:pStyle w:val="30"/>
              <w:widowControl w:val="0"/>
              <w:bidi w:val="0"/>
              <w:jc w:val="center"/>
              <w:rPr>
                <w:rFonts w:hint="eastAsia"/>
              </w:rPr>
            </w:pPr>
          </w:p>
        </w:tc>
        <w:tc>
          <w:tcPr>
            <w:tcW w:w="1358" w:type="dxa"/>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1.5</w:t>
            </w:r>
          </w:p>
        </w:tc>
        <w:tc>
          <w:tcPr>
            <w:tcW w:w="1324" w:type="dxa"/>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0.0144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continue"/>
            <w:tcBorders>
              <w:tl2br w:val="nil"/>
              <w:tr2bl w:val="nil"/>
            </w:tcBorders>
            <w:vAlign w:val="center"/>
          </w:tcPr>
          <w:p>
            <w:pPr>
              <w:pStyle w:val="30"/>
              <w:widowControl w:val="0"/>
              <w:bidi w:val="0"/>
              <w:jc w:val="center"/>
              <w:rPr>
                <w:rFonts w:hint="eastAsia"/>
              </w:rPr>
            </w:pPr>
          </w:p>
        </w:tc>
        <w:tc>
          <w:tcPr>
            <w:tcW w:w="522" w:type="dxa"/>
            <w:vMerge w:val="continue"/>
            <w:tcBorders>
              <w:tl2br w:val="nil"/>
              <w:tr2bl w:val="nil"/>
            </w:tcBorders>
            <w:vAlign w:val="center"/>
          </w:tcPr>
          <w:p>
            <w:pPr>
              <w:pStyle w:val="30"/>
              <w:widowControl w:val="0"/>
              <w:bidi w:val="0"/>
              <w:jc w:val="center"/>
              <w:rPr>
                <w:rFonts w:hint="eastAsia"/>
              </w:rPr>
            </w:pPr>
          </w:p>
        </w:tc>
        <w:tc>
          <w:tcPr>
            <w:tcW w:w="523" w:type="dxa"/>
            <w:vMerge w:val="continue"/>
            <w:tcBorders>
              <w:tl2br w:val="nil"/>
              <w:tr2bl w:val="nil"/>
            </w:tcBorders>
            <w:vAlign w:val="center"/>
          </w:tcPr>
          <w:p>
            <w:pPr>
              <w:pStyle w:val="30"/>
              <w:widowControl w:val="0"/>
              <w:bidi w:val="0"/>
              <w:jc w:val="center"/>
              <w:rPr>
                <w:rFonts w:hint="eastAsia"/>
              </w:rPr>
            </w:pPr>
          </w:p>
        </w:tc>
        <w:tc>
          <w:tcPr>
            <w:tcW w:w="856" w:type="dxa"/>
            <w:tcBorders>
              <w:tl2br w:val="nil"/>
              <w:tr2bl w:val="nil"/>
            </w:tcBorders>
            <w:vAlign w:val="center"/>
          </w:tcPr>
          <w:p>
            <w:pPr>
              <w:pStyle w:val="30"/>
              <w:widowControl w:val="0"/>
              <w:ind w:firstLine="0" w:firstLineChars="0"/>
              <w:jc w:val="center"/>
              <w:rPr>
                <w:rFonts w:hint="eastAsia"/>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2788" w:type="dxa"/>
            <w:vMerge w:val="continue"/>
            <w:tcBorders>
              <w:tl2br w:val="nil"/>
              <w:tr2bl w:val="nil"/>
            </w:tcBorders>
            <w:vAlign w:val="center"/>
          </w:tcPr>
          <w:p>
            <w:pPr>
              <w:pStyle w:val="30"/>
              <w:widowControl w:val="0"/>
              <w:bidi w:val="0"/>
              <w:jc w:val="center"/>
              <w:rPr>
                <w:rFonts w:hint="eastAsia"/>
              </w:rPr>
            </w:pPr>
          </w:p>
        </w:tc>
        <w:tc>
          <w:tcPr>
            <w:tcW w:w="1733" w:type="dxa"/>
            <w:vMerge w:val="continue"/>
            <w:tcBorders>
              <w:tl2br w:val="nil"/>
              <w:tr2bl w:val="nil"/>
            </w:tcBorders>
            <w:vAlign w:val="center"/>
          </w:tcPr>
          <w:p>
            <w:pPr>
              <w:pStyle w:val="30"/>
              <w:widowControl w:val="0"/>
              <w:bidi w:val="0"/>
              <w:jc w:val="center"/>
              <w:rPr>
                <w:rFonts w:hint="eastAsia"/>
              </w:rPr>
            </w:pPr>
          </w:p>
        </w:tc>
        <w:tc>
          <w:tcPr>
            <w:tcW w:w="1358" w:type="dxa"/>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0.06</w:t>
            </w:r>
          </w:p>
        </w:tc>
        <w:tc>
          <w:tcPr>
            <w:tcW w:w="1324" w:type="dxa"/>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restart"/>
            <w:tcBorders>
              <w:tl2br w:val="nil"/>
              <w:tr2bl w:val="nil"/>
            </w:tcBorders>
            <w:vAlign w:val="center"/>
          </w:tcPr>
          <w:p>
            <w:pPr>
              <w:pStyle w:val="30"/>
              <w:widowControl w:val="0"/>
              <w:bidi w:val="0"/>
              <w:jc w:val="center"/>
              <w:rPr>
                <w:rFonts w:hint="eastAsia" w:eastAsia="宋体"/>
                <w:lang w:val="en-US" w:eastAsia="zh-CN"/>
              </w:rPr>
            </w:pPr>
            <w:r>
              <w:rPr>
                <w:rFonts w:hint="eastAsia"/>
                <w:lang w:val="en-US" w:eastAsia="zh-CN"/>
              </w:rPr>
              <w:t>2</w:t>
            </w:r>
          </w:p>
        </w:tc>
        <w:tc>
          <w:tcPr>
            <w:tcW w:w="1045" w:type="dxa"/>
            <w:gridSpan w:val="2"/>
            <w:vMerge w:val="restart"/>
            <w:tcBorders>
              <w:tl2br w:val="nil"/>
              <w:tr2bl w:val="nil"/>
            </w:tcBorders>
            <w:vAlign w:val="center"/>
          </w:tcPr>
          <w:p>
            <w:pPr>
              <w:pStyle w:val="30"/>
              <w:widowControl w:val="0"/>
              <w:bidi w:val="0"/>
              <w:jc w:val="center"/>
              <w:rPr>
                <w:rFonts w:hint="default" w:eastAsia="宋体"/>
                <w:lang w:val="en-US" w:eastAsia="zh-CN"/>
              </w:rPr>
            </w:pPr>
            <w:r>
              <w:rPr>
                <w:rFonts w:hint="eastAsia"/>
                <w:lang w:val="en-US" w:eastAsia="zh-CN"/>
              </w:rPr>
              <w:t>待宰圈</w:t>
            </w:r>
          </w:p>
        </w:tc>
        <w:tc>
          <w:tcPr>
            <w:tcW w:w="856" w:type="dxa"/>
            <w:tcBorders>
              <w:tl2br w:val="nil"/>
              <w:tr2bl w:val="nil"/>
            </w:tcBorders>
            <w:vAlign w:val="center"/>
          </w:tcPr>
          <w:p>
            <w:pPr>
              <w:pStyle w:val="30"/>
              <w:widowControl w:val="0"/>
              <w:ind w:firstLine="0" w:firstLineChars="0"/>
              <w:jc w:val="center"/>
              <w:rPr>
                <w:rFonts w:hint="eastAsia"/>
              </w:rPr>
            </w:pPr>
            <w:r>
              <w:rPr>
                <w:rFonts w:hint="eastAsia"/>
                <w:vertAlign w:val="baseline"/>
                <w:lang w:val="en-US" w:eastAsia="zh-CN"/>
              </w:rPr>
              <w:t>NH</w:t>
            </w:r>
            <w:r>
              <w:rPr>
                <w:rFonts w:hint="eastAsia"/>
                <w:vertAlign w:val="subscript"/>
                <w:lang w:val="en-US" w:eastAsia="zh-CN"/>
              </w:rPr>
              <w:t>3</w:t>
            </w:r>
          </w:p>
        </w:tc>
        <w:tc>
          <w:tcPr>
            <w:tcW w:w="2788" w:type="dxa"/>
            <w:vMerge w:val="restart"/>
            <w:tcBorders>
              <w:tl2br w:val="nil"/>
              <w:tr2bl w:val="nil"/>
            </w:tcBorders>
            <w:vAlign w:val="center"/>
          </w:tcPr>
          <w:p>
            <w:pPr>
              <w:pStyle w:val="30"/>
              <w:widowControl w:val="0"/>
              <w:bidi w:val="0"/>
              <w:jc w:val="center"/>
              <w:rPr>
                <w:rFonts w:hint="eastAsia"/>
              </w:rPr>
            </w:pPr>
            <w:r>
              <w:rPr>
                <w:rFonts w:hint="eastAsia"/>
                <w:lang w:eastAsia="zh-CN"/>
              </w:rPr>
              <w:t>待宰圈</w:t>
            </w:r>
            <w:r>
              <w:t>全密闭，设置强制通风设施，保持车间负压；喷洒生物除臭剂，猪粪采用水冲式，设水雾喷淋装置，保持</w:t>
            </w:r>
            <w:r>
              <w:rPr>
                <w:rFonts w:hint="eastAsia"/>
                <w:lang w:eastAsia="zh-CN"/>
              </w:rPr>
              <w:t>待宰圈</w:t>
            </w:r>
            <w:r>
              <w:t>清洁</w:t>
            </w:r>
          </w:p>
        </w:tc>
        <w:tc>
          <w:tcPr>
            <w:tcW w:w="1733" w:type="dxa"/>
            <w:vMerge w:val="restart"/>
            <w:tcBorders>
              <w:tl2br w:val="nil"/>
              <w:tr2bl w:val="nil"/>
            </w:tcBorders>
            <w:vAlign w:val="center"/>
          </w:tcPr>
          <w:p>
            <w:pPr>
              <w:pStyle w:val="30"/>
              <w:widowControl w:val="0"/>
              <w:bidi w:val="0"/>
              <w:jc w:val="center"/>
              <w:rPr>
                <w:rFonts w:hint="eastAsia" w:eastAsia="宋体"/>
                <w:lang w:eastAsia="zh-CN"/>
              </w:rPr>
            </w:pPr>
            <w:r>
              <w:rPr>
                <w:rFonts w:hint="eastAsia"/>
              </w:rPr>
              <w:t>《.恶臭污染物排放标准》</w:t>
            </w:r>
            <w:r>
              <w:rPr>
                <w:rFonts w:hint="eastAsia"/>
                <w:lang w:eastAsia="zh-CN"/>
              </w:rPr>
              <w:t>（</w:t>
            </w:r>
            <w:r>
              <w:rPr>
                <w:rFonts w:hint="eastAsia"/>
              </w:rPr>
              <w:t>GB14554-93</w:t>
            </w:r>
            <w:r>
              <w:rPr>
                <w:rFonts w:hint="eastAsia"/>
                <w:lang w:eastAsia="zh-CN"/>
              </w:rPr>
              <w:t>）</w:t>
            </w:r>
          </w:p>
          <w:p>
            <w:pPr>
              <w:pStyle w:val="30"/>
              <w:widowControl w:val="0"/>
              <w:bidi w:val="0"/>
              <w:jc w:val="center"/>
              <w:rPr>
                <w:rFonts w:hint="eastAsia"/>
              </w:rPr>
            </w:pPr>
          </w:p>
        </w:tc>
        <w:tc>
          <w:tcPr>
            <w:tcW w:w="1358" w:type="dxa"/>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1.5</w:t>
            </w:r>
          </w:p>
        </w:tc>
        <w:tc>
          <w:tcPr>
            <w:tcW w:w="1324"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continue"/>
            <w:tcBorders>
              <w:tl2br w:val="nil"/>
              <w:tr2bl w:val="nil"/>
            </w:tcBorders>
            <w:vAlign w:val="center"/>
          </w:tcPr>
          <w:p>
            <w:pPr>
              <w:pStyle w:val="30"/>
              <w:widowControl w:val="0"/>
              <w:bidi w:val="0"/>
              <w:jc w:val="center"/>
              <w:rPr>
                <w:rFonts w:hint="eastAsia"/>
                <w:lang w:val="en-US" w:eastAsia="zh-CN"/>
              </w:rPr>
            </w:pPr>
          </w:p>
        </w:tc>
        <w:tc>
          <w:tcPr>
            <w:tcW w:w="1045" w:type="dxa"/>
            <w:gridSpan w:val="2"/>
            <w:vMerge w:val="continue"/>
            <w:tcBorders>
              <w:tl2br w:val="nil"/>
              <w:tr2bl w:val="nil"/>
            </w:tcBorders>
            <w:vAlign w:val="center"/>
          </w:tcPr>
          <w:p>
            <w:pPr>
              <w:pStyle w:val="30"/>
              <w:widowControl w:val="0"/>
              <w:bidi w:val="0"/>
              <w:jc w:val="center"/>
              <w:rPr>
                <w:rFonts w:hint="eastAsia"/>
                <w:lang w:val="en-US" w:eastAsia="zh-CN"/>
              </w:rPr>
            </w:pPr>
          </w:p>
        </w:tc>
        <w:tc>
          <w:tcPr>
            <w:tcW w:w="856" w:type="dxa"/>
            <w:tcBorders>
              <w:tl2br w:val="nil"/>
              <w:tr2bl w:val="nil"/>
            </w:tcBorders>
            <w:vAlign w:val="center"/>
          </w:tcPr>
          <w:p>
            <w:pPr>
              <w:pStyle w:val="30"/>
              <w:widowControl w:val="0"/>
              <w:ind w:firstLine="0" w:firstLineChars="0"/>
              <w:jc w:val="center"/>
              <w:rPr>
                <w:rFonts w:hint="eastAsia"/>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2788" w:type="dxa"/>
            <w:vMerge w:val="continue"/>
            <w:tcBorders>
              <w:tl2br w:val="nil"/>
              <w:tr2bl w:val="nil"/>
            </w:tcBorders>
            <w:vAlign w:val="center"/>
          </w:tcPr>
          <w:p>
            <w:pPr>
              <w:pStyle w:val="30"/>
              <w:widowControl w:val="0"/>
              <w:bidi w:val="0"/>
              <w:jc w:val="center"/>
              <w:rPr>
                <w:rFonts w:hint="eastAsia"/>
              </w:rPr>
            </w:pPr>
          </w:p>
        </w:tc>
        <w:tc>
          <w:tcPr>
            <w:tcW w:w="1733" w:type="dxa"/>
            <w:vMerge w:val="continue"/>
            <w:tcBorders>
              <w:tl2br w:val="nil"/>
              <w:tr2bl w:val="nil"/>
            </w:tcBorders>
            <w:vAlign w:val="center"/>
          </w:tcPr>
          <w:p>
            <w:pPr>
              <w:pStyle w:val="30"/>
              <w:widowControl w:val="0"/>
              <w:bidi w:val="0"/>
              <w:jc w:val="center"/>
              <w:rPr>
                <w:rFonts w:hint="eastAsia"/>
              </w:rPr>
            </w:pPr>
          </w:p>
        </w:tc>
        <w:tc>
          <w:tcPr>
            <w:tcW w:w="1358" w:type="dxa"/>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0.06</w:t>
            </w:r>
          </w:p>
        </w:tc>
        <w:tc>
          <w:tcPr>
            <w:tcW w:w="1324"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w:t>
            </w:r>
          </w:p>
        </w:tc>
        <w:tc>
          <w:tcPr>
            <w:tcW w:w="1045" w:type="dxa"/>
            <w:gridSpan w:val="2"/>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污水处理站</w:t>
            </w:r>
          </w:p>
        </w:tc>
        <w:tc>
          <w:tcPr>
            <w:tcW w:w="856"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rPr>
            </w:pPr>
            <w:r>
              <w:rPr>
                <w:rFonts w:hint="eastAsia"/>
                <w:vertAlign w:val="baseline"/>
                <w:lang w:val="en-US" w:eastAsia="zh-CN"/>
              </w:rPr>
              <w:t>NH</w:t>
            </w:r>
            <w:r>
              <w:rPr>
                <w:rFonts w:hint="eastAsia"/>
                <w:vertAlign w:val="subscript"/>
                <w:lang w:val="en-US" w:eastAsia="zh-CN"/>
              </w:rPr>
              <w:t>3</w:t>
            </w:r>
          </w:p>
        </w:tc>
        <w:tc>
          <w:tcPr>
            <w:tcW w:w="2788" w:type="dxa"/>
            <w:vMerge w:val="restart"/>
            <w:tcBorders>
              <w:tl2br w:val="nil"/>
              <w:tr2bl w:val="nil"/>
            </w:tcBorders>
            <w:vAlign w:val="center"/>
          </w:tcPr>
          <w:p>
            <w:pPr>
              <w:pStyle w:val="30"/>
              <w:widowControl w:val="0"/>
              <w:bidi w:val="0"/>
              <w:jc w:val="center"/>
              <w:rPr>
                <w:rFonts w:hint="eastAsia"/>
              </w:rPr>
            </w:pPr>
            <w:r>
              <w:rPr>
                <w:rFonts w:hint="eastAsia"/>
                <w:b w:val="0"/>
                <w:bCs w:val="0"/>
                <w:lang w:val="en-US" w:eastAsia="zh-CN"/>
              </w:rPr>
              <w:t>污水处理站采用半地埋式，对整个污水处理单元进行全部密闭，地面加盖，采用微负压抽风系统收集。</w:t>
            </w:r>
          </w:p>
        </w:tc>
        <w:tc>
          <w:tcPr>
            <w:tcW w:w="1733" w:type="dxa"/>
            <w:vMerge w:val="restart"/>
            <w:tcBorders>
              <w:tl2br w:val="nil"/>
              <w:tr2bl w:val="nil"/>
            </w:tcBorders>
            <w:vAlign w:val="center"/>
          </w:tcPr>
          <w:p>
            <w:pPr>
              <w:pStyle w:val="30"/>
              <w:widowControl w:val="0"/>
              <w:bidi w:val="0"/>
              <w:jc w:val="center"/>
              <w:rPr>
                <w:rFonts w:hint="eastAsia" w:eastAsia="宋体"/>
                <w:lang w:eastAsia="zh-CN"/>
              </w:rPr>
            </w:pPr>
            <w:r>
              <w:rPr>
                <w:rFonts w:hint="eastAsia"/>
              </w:rPr>
              <w:t>《.恶臭污染物排放标准》</w:t>
            </w:r>
            <w:r>
              <w:rPr>
                <w:rFonts w:hint="eastAsia"/>
                <w:lang w:eastAsia="zh-CN"/>
              </w:rPr>
              <w:t>（</w:t>
            </w:r>
            <w:r>
              <w:rPr>
                <w:rFonts w:hint="eastAsia"/>
              </w:rPr>
              <w:t>GB14554-93</w:t>
            </w:r>
            <w:r>
              <w:rPr>
                <w:rFonts w:hint="eastAsia"/>
                <w:lang w:eastAsia="zh-CN"/>
              </w:rPr>
              <w:t>）</w:t>
            </w:r>
          </w:p>
          <w:p>
            <w:pPr>
              <w:pStyle w:val="30"/>
              <w:widowControl w:val="0"/>
              <w:bidi w:val="0"/>
              <w:jc w:val="center"/>
              <w:rPr>
                <w:rFonts w:hint="eastAsia"/>
              </w:rPr>
            </w:pPr>
          </w:p>
        </w:tc>
        <w:tc>
          <w:tcPr>
            <w:tcW w:w="1358" w:type="dxa"/>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1.5</w:t>
            </w:r>
          </w:p>
        </w:tc>
        <w:tc>
          <w:tcPr>
            <w:tcW w:w="1324"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0.056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dxa"/>
            <w:vMerge w:val="continue"/>
            <w:tcBorders>
              <w:tl2br w:val="nil"/>
              <w:tr2bl w:val="nil"/>
            </w:tcBorders>
            <w:vAlign w:val="center"/>
          </w:tcPr>
          <w:p>
            <w:pPr>
              <w:pStyle w:val="30"/>
              <w:widowControl w:val="0"/>
              <w:bidi w:val="0"/>
              <w:jc w:val="center"/>
              <w:rPr>
                <w:rFonts w:hint="eastAsia"/>
                <w:lang w:val="en-US" w:eastAsia="zh-CN"/>
              </w:rPr>
            </w:pPr>
          </w:p>
        </w:tc>
        <w:tc>
          <w:tcPr>
            <w:tcW w:w="1045" w:type="dxa"/>
            <w:gridSpan w:val="2"/>
            <w:vMerge w:val="continue"/>
            <w:tcBorders>
              <w:tl2br w:val="nil"/>
              <w:tr2bl w:val="nil"/>
            </w:tcBorders>
            <w:vAlign w:val="center"/>
          </w:tcPr>
          <w:p>
            <w:pPr>
              <w:pStyle w:val="30"/>
              <w:widowControl w:val="0"/>
              <w:bidi w:val="0"/>
              <w:jc w:val="center"/>
              <w:rPr>
                <w:rFonts w:hint="eastAsia"/>
                <w:lang w:val="en-US" w:eastAsia="zh-CN"/>
              </w:rPr>
            </w:pPr>
          </w:p>
        </w:tc>
        <w:tc>
          <w:tcPr>
            <w:tcW w:w="856"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2788" w:type="dxa"/>
            <w:vMerge w:val="continue"/>
            <w:tcBorders>
              <w:tl2br w:val="nil"/>
              <w:tr2bl w:val="nil"/>
            </w:tcBorders>
            <w:vAlign w:val="center"/>
          </w:tcPr>
          <w:p>
            <w:pPr>
              <w:pStyle w:val="30"/>
              <w:widowControl w:val="0"/>
              <w:bidi w:val="0"/>
              <w:jc w:val="center"/>
              <w:rPr>
                <w:rFonts w:hint="eastAsia"/>
              </w:rPr>
            </w:pPr>
          </w:p>
        </w:tc>
        <w:tc>
          <w:tcPr>
            <w:tcW w:w="1733" w:type="dxa"/>
            <w:vMerge w:val="continue"/>
            <w:tcBorders>
              <w:tl2br w:val="nil"/>
              <w:tr2bl w:val="nil"/>
            </w:tcBorders>
            <w:vAlign w:val="center"/>
          </w:tcPr>
          <w:p>
            <w:pPr>
              <w:pStyle w:val="30"/>
              <w:widowControl w:val="0"/>
              <w:bidi w:val="0"/>
              <w:jc w:val="center"/>
              <w:rPr>
                <w:rFonts w:hint="eastAsia"/>
              </w:rPr>
            </w:pPr>
          </w:p>
        </w:tc>
        <w:tc>
          <w:tcPr>
            <w:tcW w:w="1358" w:type="dxa"/>
            <w:tcBorders>
              <w:tl2br w:val="nil"/>
              <w:tr2bl w:val="nil"/>
            </w:tcBorders>
            <w:vAlign w:val="center"/>
          </w:tcPr>
          <w:p>
            <w:pPr>
              <w:pStyle w:val="30"/>
              <w:widowControl w:val="0"/>
              <w:bidi w:val="0"/>
              <w:ind w:firstLine="0" w:firstLineChars="0"/>
              <w:jc w:val="center"/>
              <w:rPr>
                <w:rFonts w:hint="eastAsia" w:ascii="Times New Roman" w:hAnsi="Times New Roman" w:eastAsia="宋体" w:cs="Times New Roman"/>
                <w:kern w:val="2"/>
                <w:sz w:val="21"/>
                <w:lang w:val="en-US" w:eastAsia="zh-CN"/>
              </w:rPr>
            </w:pPr>
            <w:r>
              <w:rPr>
                <w:rFonts w:hint="eastAsia"/>
                <w:lang w:val="en-US" w:eastAsia="zh-CN"/>
              </w:rPr>
              <w:t>0.06</w:t>
            </w:r>
          </w:p>
        </w:tc>
        <w:tc>
          <w:tcPr>
            <w:tcW w:w="1324" w:type="dxa"/>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vertAlign w:val="baseline"/>
                <w:lang w:val="en-US" w:eastAsia="zh-CN"/>
              </w:rPr>
            </w:pPr>
            <w:r>
              <w:rPr>
                <w:rFonts w:hint="eastAsia"/>
                <w:vertAlign w:val="baseline"/>
                <w:lang w:val="en-US" w:eastAsia="zh-CN"/>
              </w:rPr>
              <w:t>0.0022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8"/>
            <w:tcBorders>
              <w:tl2br w:val="nil"/>
              <w:tr2bl w:val="nil"/>
            </w:tcBorders>
            <w:vAlign w:val="center"/>
          </w:tcPr>
          <w:p>
            <w:pPr>
              <w:pStyle w:val="30"/>
              <w:widowControl w:val="0"/>
              <w:bidi w:val="0"/>
              <w:jc w:val="center"/>
              <w:rPr>
                <w:rFonts w:hint="default" w:eastAsia="宋体"/>
                <w:lang w:val="en-US" w:eastAsia="zh-CN"/>
              </w:rPr>
            </w:pPr>
            <w:r>
              <w:rPr>
                <w:rFonts w:hint="eastAsia"/>
                <w:lang w:val="en-US" w:eastAsia="zh-CN"/>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9" w:type="dxa"/>
            <w:gridSpan w:val="4"/>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无组织排放总计</w:t>
            </w:r>
          </w:p>
        </w:tc>
        <w:tc>
          <w:tcPr>
            <w:tcW w:w="4521" w:type="dxa"/>
            <w:gridSpan w:val="2"/>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rPr>
            </w:pPr>
            <w:r>
              <w:rPr>
                <w:rFonts w:hint="eastAsia"/>
                <w:vertAlign w:val="baseline"/>
                <w:lang w:val="en-US" w:eastAsia="zh-CN"/>
              </w:rPr>
              <w:t>NH</w:t>
            </w:r>
            <w:r>
              <w:rPr>
                <w:rFonts w:hint="eastAsia"/>
                <w:vertAlign w:val="subscript"/>
                <w:lang w:val="en-US" w:eastAsia="zh-CN"/>
              </w:rPr>
              <w:t>3</w:t>
            </w:r>
          </w:p>
        </w:tc>
        <w:tc>
          <w:tcPr>
            <w:tcW w:w="2682" w:type="dxa"/>
            <w:gridSpan w:val="2"/>
            <w:tcBorders>
              <w:tl2br w:val="nil"/>
              <w:tr2bl w:val="nil"/>
            </w:tcBorders>
            <w:vAlign w:val="center"/>
          </w:tcPr>
          <w:p>
            <w:pPr>
              <w:pStyle w:val="30"/>
              <w:widowControl w:val="0"/>
              <w:bidi w:val="0"/>
              <w:jc w:val="center"/>
              <w:rPr>
                <w:rFonts w:hint="default" w:eastAsia="宋体"/>
                <w:lang w:val="en-US" w:eastAsia="zh-CN"/>
              </w:rPr>
            </w:pPr>
            <w:r>
              <w:rPr>
                <w:rFonts w:hint="eastAsia"/>
                <w:lang w:val="en-US" w:eastAsia="zh-CN"/>
              </w:rPr>
              <w:t>0.22t/a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9" w:type="dxa"/>
            <w:gridSpan w:val="4"/>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4521" w:type="dxa"/>
            <w:gridSpan w:val="2"/>
            <w:tcBorders>
              <w:tl2br w:val="nil"/>
              <w:tr2bl w:val="nil"/>
            </w:tcBorders>
            <w:vAlign w:val="center"/>
          </w:tcPr>
          <w:p>
            <w:pPr>
              <w:pStyle w:val="30"/>
              <w:widowControl w:val="0"/>
              <w:ind w:firstLine="0" w:firstLineChars="0"/>
              <w:jc w:val="center"/>
              <w:rPr>
                <w:rFonts w:hint="eastAsia" w:ascii="Times New Roman" w:hAnsi="Times New Roman" w:eastAsia="宋体" w:cs="Times New Roman"/>
                <w:kern w:val="2"/>
                <w:sz w:val="21"/>
              </w:rPr>
            </w:pP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S</w:t>
            </w:r>
          </w:p>
        </w:tc>
        <w:tc>
          <w:tcPr>
            <w:tcW w:w="2682" w:type="dxa"/>
            <w:gridSpan w:val="2"/>
            <w:tcBorders>
              <w:tl2br w:val="nil"/>
              <w:tr2bl w:val="nil"/>
            </w:tcBorders>
            <w:vAlign w:val="center"/>
          </w:tcPr>
          <w:p>
            <w:pPr>
              <w:pStyle w:val="30"/>
              <w:widowControl w:val="0"/>
              <w:bidi w:val="0"/>
              <w:jc w:val="center"/>
              <w:rPr>
                <w:rFonts w:hint="default" w:eastAsia="宋体"/>
                <w:lang w:val="en-US" w:eastAsia="zh-CN"/>
              </w:rPr>
            </w:pPr>
            <w:r>
              <w:rPr>
                <w:rFonts w:hint="eastAsia"/>
                <w:lang w:val="en-US" w:eastAsia="zh-CN"/>
              </w:rPr>
              <w:t>0.0034t/a</w:t>
            </w:r>
          </w:p>
        </w:tc>
      </w:tr>
    </w:tbl>
    <w:p>
      <w:pPr>
        <w:pStyle w:val="6"/>
        <w:bidi w:val="0"/>
        <w:rPr>
          <w:rFonts w:hint="default"/>
          <w:lang w:val="en-US" w:eastAsia="zh-CN"/>
        </w:rPr>
      </w:pPr>
      <w:r>
        <w:rPr>
          <w:rFonts w:hint="eastAsia"/>
          <w:lang w:val="en-US" w:eastAsia="zh-CN"/>
        </w:rPr>
        <w:t>大气防护距离</w:t>
      </w:r>
    </w:p>
    <w:p>
      <w:pPr>
        <w:shd w:val="clear"/>
        <w:bidi w:val="0"/>
        <w:rPr>
          <w:rFonts w:hint="eastAsia"/>
          <w:highlight w:val="none"/>
        </w:rPr>
      </w:pPr>
      <w:r>
        <w:rPr>
          <w:rFonts w:hint="eastAsia"/>
          <w:highlight w:val="none"/>
        </w:rPr>
        <w:t>根据《环境影响评价技术导则大气环境》（</w:t>
      </w:r>
      <w:r>
        <w:rPr>
          <w:rFonts w:hint="default"/>
          <w:highlight w:val="none"/>
        </w:rPr>
        <w:t>HJ2.2-2018</w:t>
      </w:r>
      <w:r>
        <w:rPr>
          <w:rFonts w:hint="eastAsia"/>
          <w:highlight w:val="none"/>
        </w:rPr>
        <w:t>）附录</w:t>
      </w:r>
      <w:r>
        <w:rPr>
          <w:rFonts w:hint="default"/>
          <w:highlight w:val="none"/>
        </w:rPr>
        <w:t>A</w:t>
      </w:r>
      <w:r>
        <w:rPr>
          <w:rFonts w:hint="eastAsia"/>
          <w:highlight w:val="none"/>
        </w:rPr>
        <w:t>推荐模型中的</w:t>
      </w:r>
      <w:r>
        <w:rPr>
          <w:rFonts w:hint="default"/>
          <w:highlight w:val="none"/>
        </w:rPr>
        <w:t>AERSCREEN</w:t>
      </w:r>
      <w:r>
        <w:rPr>
          <w:rFonts w:hint="eastAsia"/>
          <w:highlight w:val="none"/>
        </w:rPr>
        <w:t>模式计算项目污染源的最大环境影响，计算得出本项目最大浓度占标率为生猪屠宰车间排放的</w:t>
      </w:r>
      <w:r>
        <w:rPr>
          <w:rFonts w:hint="eastAsia"/>
          <w:highlight w:val="none"/>
          <w:lang w:val="en-US" w:eastAsia="zh-CN"/>
        </w:rPr>
        <w:t>NH</w:t>
      </w:r>
      <w:r>
        <w:rPr>
          <w:rFonts w:hint="eastAsia"/>
          <w:highlight w:val="none"/>
          <w:vertAlign w:val="subscript"/>
          <w:lang w:val="en-US" w:eastAsia="zh-CN"/>
        </w:rPr>
        <w:t>3</w:t>
      </w:r>
      <w:r>
        <w:rPr>
          <w:rFonts w:hint="eastAsia"/>
          <w:highlight w:val="none"/>
        </w:rPr>
        <w:t>，</w:t>
      </w:r>
      <w:r>
        <w:rPr>
          <w:rFonts w:hint="default"/>
          <w:highlight w:val="none"/>
        </w:rPr>
        <w:t>Pmax</w:t>
      </w:r>
      <w:r>
        <w:rPr>
          <w:rFonts w:hint="eastAsia"/>
          <w:highlight w:val="none"/>
        </w:rPr>
        <w:t>值为</w:t>
      </w:r>
      <w:r>
        <w:rPr>
          <w:rFonts w:hint="eastAsia"/>
          <w:highlight w:val="none"/>
          <w:lang w:val="en-US" w:eastAsia="zh-CN"/>
        </w:rPr>
        <w:t>9.9563</w:t>
      </w:r>
      <w:r>
        <w:rPr>
          <w:rFonts w:hint="default"/>
          <w:highlight w:val="none"/>
        </w:rPr>
        <w:t>%</w:t>
      </w:r>
      <w:r>
        <w:rPr>
          <w:rFonts w:hint="eastAsia"/>
          <w:highlight w:val="none"/>
        </w:rPr>
        <w:t>，</w:t>
      </w:r>
      <w:r>
        <w:rPr>
          <w:rFonts w:hint="default"/>
          <w:highlight w:val="none"/>
        </w:rPr>
        <w:t>Cmax</w:t>
      </w:r>
      <w:r>
        <w:rPr>
          <w:rFonts w:hint="eastAsia"/>
          <w:highlight w:val="none"/>
        </w:rPr>
        <w:t>为</w:t>
      </w:r>
      <w:r>
        <w:rPr>
          <w:rFonts w:hint="eastAsia"/>
          <w:highlight w:val="none"/>
          <w:lang w:val="en-US" w:eastAsia="zh-CN"/>
        </w:rPr>
        <w:t>18.857</w:t>
      </w:r>
      <w:r>
        <w:rPr>
          <w:rFonts w:hint="default"/>
          <w:highlight w:val="none"/>
        </w:rPr>
        <w:t>mg/m</w:t>
      </w:r>
      <w:r>
        <w:rPr>
          <w:rFonts w:hint="default"/>
          <w:highlight w:val="none"/>
          <w:vertAlign w:val="superscript"/>
        </w:rPr>
        <w:t>3</w:t>
      </w:r>
      <w:r>
        <w:rPr>
          <w:rFonts w:hint="eastAsia"/>
          <w:highlight w:val="none"/>
        </w:rPr>
        <w:t>。</w:t>
      </w:r>
    </w:p>
    <w:p>
      <w:pPr>
        <w:bidi w:val="0"/>
        <w:rPr>
          <w:rFonts w:hint="eastAsia"/>
          <w:lang w:val="en-US" w:eastAsia="zh-CN"/>
        </w:rPr>
      </w:pPr>
      <w:r>
        <w:rPr>
          <w:rFonts w:hint="eastAsia"/>
        </w:rPr>
        <w:t>本项目厂界污染物浓度满足大气污染物厂界浓度限值，同时厂界外大气污染物短期贡献浓度也满足环境质量浓度限值，根据《环境影响评价技术导则大气环境》（</w:t>
      </w:r>
      <w:r>
        <w:rPr>
          <w:rFonts w:hint="default"/>
        </w:rPr>
        <w:t>HJ2.2-2018</w:t>
      </w:r>
      <w:r>
        <w:rPr>
          <w:rFonts w:hint="eastAsia"/>
        </w:rPr>
        <w:t>），无需设置大气环境防护距离。</w:t>
      </w:r>
    </w:p>
    <w:p>
      <w:pPr>
        <w:pStyle w:val="6"/>
        <w:bidi w:val="0"/>
        <w:rPr>
          <w:rFonts w:hint="eastAsia"/>
        </w:rPr>
      </w:pPr>
      <w:r>
        <w:rPr>
          <w:rFonts w:hint="eastAsia"/>
        </w:rPr>
        <w:t>卫生防护距离</w:t>
      </w:r>
    </w:p>
    <w:p>
      <w:pPr>
        <w:bidi w:val="0"/>
        <w:rPr>
          <w:rFonts w:hint="eastAsia"/>
          <w:b/>
          <w:bCs/>
        </w:rPr>
      </w:pPr>
      <w:r>
        <w:rPr>
          <w:rFonts w:hint="eastAsia"/>
          <w:b/>
          <w:bCs/>
        </w:rPr>
        <w:t>（</w:t>
      </w:r>
      <w:r>
        <w:rPr>
          <w:rFonts w:hint="default"/>
          <w:b/>
          <w:bCs/>
        </w:rPr>
        <w:t>1</w:t>
      </w:r>
      <w:r>
        <w:rPr>
          <w:rFonts w:hint="eastAsia"/>
          <w:b/>
          <w:bCs/>
        </w:rPr>
        <w:t>）卫生防护距离划定</w:t>
      </w:r>
    </w:p>
    <w:p>
      <w:pPr>
        <w:bidi w:val="0"/>
        <w:rPr>
          <w:rFonts w:hint="eastAsia"/>
        </w:rPr>
      </w:pP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《农副食品加工业卫生防护距离第一部分：屠宰及肉类加工》（</w:t>
      </w:r>
      <w:r>
        <w:rPr>
          <w:rFonts w:hint="default" w:ascii="Times New Roman" w:hAnsi="Times New Roman" w:eastAsia="TimesNewRomanPSMT" w:cs="Times New Roman"/>
          <w:color w:val="auto"/>
          <w:sz w:val="24"/>
          <w:szCs w:val="24"/>
        </w:rPr>
        <w:t>GB18078.1-2012</w:t>
      </w:r>
      <w:r>
        <w:rPr>
          <w:rFonts w:hint="default" w:ascii="Times New Roman" w:hAnsi="Times New Roman" w:eastAsia="宋体" w:cs="Times New Roman"/>
          <w:color w:val="auto"/>
          <w:sz w:val="24"/>
          <w:szCs w:val="24"/>
        </w:rPr>
        <w:t>）的相关规定，在平原地区屠宰量小于等于</w:t>
      </w:r>
      <w:r>
        <w:rPr>
          <w:rFonts w:hint="eastAsia" w:eastAsia="宋体" w:cs="Times New Roman"/>
          <w:color w:val="auto"/>
          <w:sz w:val="24"/>
          <w:szCs w:val="24"/>
          <w:lang w:eastAsia="zh-CN"/>
        </w:rPr>
        <w:t>30万头</w:t>
      </w:r>
      <w:r>
        <w:rPr>
          <w:rFonts w:hint="default" w:ascii="Times New Roman" w:hAnsi="Times New Roman" w:eastAsia="TimesNewRomanPSMT" w:cs="Times New Roman"/>
          <w:color w:val="auto"/>
          <w:sz w:val="24"/>
          <w:szCs w:val="24"/>
        </w:rPr>
        <w:t>/a</w:t>
      </w:r>
      <w:r>
        <w:rPr>
          <w:rFonts w:hint="default" w:ascii="Times New Roman" w:hAnsi="Times New Roman" w:eastAsia="宋体" w:cs="Times New Roman"/>
          <w:color w:val="auto"/>
          <w:sz w:val="24"/>
          <w:szCs w:val="24"/>
        </w:rPr>
        <w:t>和五年平均风速低于</w:t>
      </w:r>
      <w:r>
        <w:rPr>
          <w:rFonts w:hint="default" w:ascii="Times New Roman" w:hAnsi="Times New Roman" w:eastAsia="TimesNewRomanPSMT" w:cs="Times New Roman"/>
          <w:color w:val="auto"/>
          <w:sz w:val="24"/>
          <w:szCs w:val="24"/>
        </w:rPr>
        <w:t>2.0m/s</w:t>
      </w:r>
      <w:r>
        <w:rPr>
          <w:rFonts w:hint="default" w:ascii="Times New Roman" w:hAnsi="Times New Roman" w:eastAsia="宋体" w:cs="Times New Roman"/>
          <w:color w:val="auto"/>
          <w:sz w:val="24"/>
          <w:szCs w:val="24"/>
        </w:rPr>
        <w:t>的情况下，屠宰及肉类加工厂卫生防护距离为</w:t>
      </w:r>
      <w:r>
        <w:rPr>
          <w:rFonts w:hint="default" w:ascii="Times New Roman" w:hAnsi="Times New Roman" w:eastAsia="TimesNewRomanPSMT" w:cs="Times New Roman"/>
          <w:color w:val="auto"/>
          <w:sz w:val="24"/>
          <w:szCs w:val="24"/>
        </w:rPr>
        <w:t>400m</w:t>
      </w: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折算</w:t>
      </w:r>
      <w:r>
        <w:rPr>
          <w:rFonts w:hint="eastAsia" w:cs="Times New Roman"/>
          <w:color w:val="auto"/>
          <w:sz w:val="24"/>
          <w:szCs w:val="24"/>
          <w:lang w:val="en-US" w:eastAsia="zh-CN"/>
        </w:rPr>
        <w:t>生猪</w:t>
      </w:r>
      <w:r>
        <w:rPr>
          <w:rFonts w:hint="default" w:ascii="Times New Roman" w:hAnsi="Times New Roman" w:eastAsia="宋体" w:cs="Times New Roman"/>
          <w:color w:val="auto"/>
          <w:sz w:val="24"/>
          <w:szCs w:val="24"/>
        </w:rPr>
        <w:t>最大最屠宰量为</w:t>
      </w:r>
      <w:r>
        <w:rPr>
          <w:rFonts w:hint="eastAsia" w:cs="Times New Roman"/>
          <w:color w:val="auto"/>
          <w:sz w:val="24"/>
          <w:szCs w:val="24"/>
          <w:lang w:val="en-US" w:eastAsia="zh-CN"/>
        </w:rPr>
        <w:t>30万头</w:t>
      </w:r>
      <w:r>
        <w:rPr>
          <w:rFonts w:hint="default" w:ascii="Times New Roman" w:hAnsi="Times New Roman" w:eastAsia="TimesNewRomanPSMT" w:cs="Times New Roman"/>
          <w:color w:val="auto"/>
          <w:sz w:val="24"/>
          <w:szCs w:val="24"/>
        </w:rPr>
        <w:t>/a</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肉牛</w:t>
      </w:r>
      <w:r>
        <w:rPr>
          <w:rFonts w:hint="eastAsia" w:cs="Times New Roman"/>
          <w:color w:val="auto"/>
          <w:sz w:val="24"/>
          <w:szCs w:val="24"/>
          <w:lang w:val="en-US" w:eastAsia="zh-CN"/>
        </w:rPr>
        <w:t>1万头</w:t>
      </w:r>
      <w:r>
        <w:rPr>
          <w:rFonts w:hint="eastAsia" w:eastAsia="宋体" w:cs="Times New Roman"/>
          <w:color w:val="auto"/>
          <w:sz w:val="24"/>
          <w:szCs w:val="24"/>
          <w:lang w:val="en-US" w:eastAsia="zh-CN"/>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平昌县</w:t>
      </w:r>
      <w:r>
        <w:rPr>
          <w:rFonts w:hint="default" w:ascii="Times New Roman" w:hAnsi="Times New Roman" w:eastAsia="宋体" w:cs="Times New Roman"/>
          <w:color w:val="auto"/>
          <w:sz w:val="24"/>
          <w:szCs w:val="24"/>
        </w:rPr>
        <w:t>近五年风速为</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TimesNewRomanPSMT" w:cs="Times New Roman"/>
          <w:color w:val="auto"/>
          <w:sz w:val="24"/>
          <w:szCs w:val="24"/>
        </w:rPr>
        <w:t>m/s</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b w:val="0"/>
          <w:bCs w:val="0"/>
          <w:color w:val="auto"/>
          <w:sz w:val="24"/>
          <w:szCs w:val="24"/>
          <w:lang w:val="en-US" w:eastAsia="zh-CN"/>
        </w:rPr>
        <w:t>其</w:t>
      </w:r>
      <w:r>
        <w:rPr>
          <w:rFonts w:hint="default" w:ascii="Times New Roman" w:hAnsi="Times New Roman" w:eastAsia="宋体" w:cs="Times New Roman"/>
          <w:color w:val="auto"/>
          <w:sz w:val="24"/>
          <w:szCs w:val="24"/>
          <w:lang w:eastAsia="zh-CN"/>
        </w:rPr>
        <w:t>适用范围</w:t>
      </w:r>
      <w:r>
        <w:rPr>
          <w:rFonts w:hint="eastAsia" w:ascii="Times New Roman" w:hAnsi="Times New Roman" w:eastAsia="宋体" w:cs="Times New Roman"/>
          <w:color w:val="auto"/>
          <w:sz w:val="24"/>
          <w:szCs w:val="24"/>
          <w:lang w:val="en-US" w:eastAsia="zh-CN"/>
        </w:rPr>
        <w:t>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适用于地处平原地区的屠宰及肉类加工生产企业的新建、改建、扩建工程”</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
          <w:bCs/>
          <w:color w:val="auto"/>
          <w:sz w:val="24"/>
          <w:szCs w:val="24"/>
          <w:lang w:eastAsia="zh-CN"/>
        </w:rPr>
        <w:t>本项目位于</w:t>
      </w:r>
      <w:r>
        <w:rPr>
          <w:rFonts w:hint="eastAsia" w:eastAsia="宋体" w:cs="Times New Roman"/>
          <w:b/>
          <w:bCs/>
          <w:color w:val="auto"/>
          <w:sz w:val="24"/>
          <w:szCs w:val="24"/>
          <w:lang w:val="en-US" w:eastAsia="zh-CN"/>
        </w:rPr>
        <w:t>平昌县响滩镇</w:t>
      </w:r>
      <w:r>
        <w:rPr>
          <w:rFonts w:hint="default" w:ascii="Times New Roman" w:hAnsi="Times New Roman" w:eastAsia="宋体" w:cs="Times New Roman"/>
          <w:b/>
          <w:bCs/>
          <w:color w:val="auto"/>
          <w:sz w:val="24"/>
          <w:szCs w:val="24"/>
          <w:lang w:eastAsia="zh-CN"/>
        </w:rPr>
        <w:t>，属于</w:t>
      </w:r>
      <w:r>
        <w:rPr>
          <w:rFonts w:hint="eastAsia" w:eastAsia="宋体" w:cs="Times New Roman"/>
          <w:b/>
          <w:bCs/>
          <w:color w:val="auto"/>
          <w:sz w:val="24"/>
          <w:szCs w:val="24"/>
          <w:lang w:val="en-US" w:eastAsia="zh-CN"/>
        </w:rPr>
        <w:t>丘陵</w:t>
      </w:r>
      <w:r>
        <w:rPr>
          <w:rFonts w:hint="default" w:ascii="Times New Roman" w:hAnsi="Times New Roman" w:eastAsia="宋体" w:cs="Times New Roman"/>
          <w:b/>
          <w:bCs/>
          <w:color w:val="auto"/>
          <w:sz w:val="24"/>
          <w:szCs w:val="24"/>
          <w:lang w:eastAsia="zh-CN"/>
        </w:rPr>
        <w:t>地区，且项目</w:t>
      </w:r>
      <w:r>
        <w:rPr>
          <w:rFonts w:hint="eastAsia" w:eastAsia="宋体" w:cs="Times New Roman"/>
          <w:b/>
          <w:bCs/>
          <w:color w:val="auto"/>
          <w:sz w:val="24"/>
          <w:szCs w:val="24"/>
          <w:lang w:val="en-US" w:eastAsia="zh-CN"/>
        </w:rPr>
        <w:t>区域四周含多个小山丘</w:t>
      </w:r>
      <w:r>
        <w:rPr>
          <w:rFonts w:hint="default" w:ascii="Times New Roman" w:hAnsi="Times New Roman" w:eastAsia="宋体" w:cs="Times New Roman"/>
          <w:b/>
          <w:bCs/>
          <w:color w:val="auto"/>
          <w:sz w:val="24"/>
          <w:szCs w:val="24"/>
          <w:lang w:eastAsia="zh-CN"/>
        </w:rPr>
        <w:t>，</w:t>
      </w:r>
      <w:r>
        <w:rPr>
          <w:rFonts w:hint="eastAsia" w:cs="Times New Roman"/>
          <w:b/>
          <w:bCs/>
          <w:color w:val="auto"/>
          <w:sz w:val="24"/>
          <w:szCs w:val="24"/>
          <w:lang w:val="en-US" w:eastAsia="zh-CN"/>
        </w:rPr>
        <w:t>山丘高度高于本项目排气筒，因此项目区域属于复杂地形，</w:t>
      </w:r>
      <w:r>
        <w:rPr>
          <w:rFonts w:hint="eastAsia" w:ascii="Times New Roman" w:hAnsi="Times New Roman" w:eastAsia="宋体" w:cs="Times New Roman"/>
          <w:b/>
          <w:bCs/>
          <w:color w:val="auto"/>
          <w:sz w:val="24"/>
          <w:szCs w:val="24"/>
          <w:lang w:val="en-US" w:eastAsia="zh-CN"/>
        </w:rPr>
        <w:t>固</w:t>
      </w:r>
      <w:r>
        <w:rPr>
          <w:rFonts w:hint="default" w:ascii="Times New Roman" w:hAnsi="Times New Roman" w:eastAsia="宋体" w:cs="Times New Roman"/>
          <w:b/>
          <w:bCs/>
          <w:color w:val="auto"/>
          <w:sz w:val="24"/>
          <w:szCs w:val="24"/>
        </w:rPr>
        <w:t>农副食品加工业卫生防护距离</w:t>
      </w:r>
      <w:r>
        <w:rPr>
          <w:rFonts w:hint="eastAsia" w:ascii="Times New Roman" w:hAnsi="Times New Roman" w:eastAsia="宋体" w:cs="Times New Roman"/>
          <w:b/>
          <w:bCs/>
          <w:color w:val="auto"/>
          <w:sz w:val="24"/>
          <w:szCs w:val="24"/>
          <w:lang w:val="en-US" w:eastAsia="zh-CN"/>
        </w:rPr>
        <w:t>卫生防护距离</w:t>
      </w:r>
      <w:r>
        <w:rPr>
          <w:rFonts w:hint="default" w:ascii="Times New Roman" w:hAnsi="Times New Roman" w:eastAsia="宋体" w:cs="Times New Roman"/>
          <w:b/>
          <w:bCs/>
          <w:color w:val="auto"/>
          <w:sz w:val="24"/>
          <w:szCs w:val="24"/>
          <w:lang w:eastAsia="zh-CN"/>
        </w:rPr>
        <w:t>不适用于本项目。</w:t>
      </w:r>
    </w:p>
    <w:p>
      <w:pPr>
        <w:bidi w:val="0"/>
        <w:rPr>
          <w:rFonts w:hint="eastAsia"/>
        </w:rPr>
      </w:pPr>
      <w:r>
        <w:rPr>
          <w:rFonts w:hint="eastAsia"/>
        </w:rPr>
        <w:t>根据工程分析，项目主要恶臭源为屠宰车间、</w:t>
      </w:r>
      <w:r>
        <w:rPr>
          <w:rFonts w:hint="eastAsia"/>
          <w:lang w:eastAsia="zh-CN"/>
        </w:rPr>
        <w:t>待宰圈</w:t>
      </w:r>
      <w:r>
        <w:rPr>
          <w:rFonts w:hint="eastAsia"/>
        </w:rPr>
        <w:t>、污水处理站。</w:t>
      </w:r>
    </w:p>
    <w:p>
      <w:pPr>
        <w:bidi w:val="0"/>
        <w:rPr>
          <w:rFonts w:hint="eastAsia"/>
          <w:lang w:val="en-US" w:eastAsia="zh-CN"/>
        </w:rPr>
      </w:pPr>
      <w:r>
        <w:rPr>
          <w:rFonts w:hint="eastAsia"/>
        </w:rPr>
        <w:t>根据《大气有害物质无组织排放卫生防护距离推导技术导则》（GB/T 39499-2020）规定，卫生防护距离初值计算公式为：</w:t>
      </w:r>
    </w:p>
    <w:p>
      <w:pPr>
        <w:rPr>
          <w:rFonts w:hint="eastAsia" w:hAnsi="Cambria Math"/>
          <w:i w:val="0"/>
          <w:lang w:val="en-US" w:eastAsia="zh-CN"/>
        </w:rPr>
      </w:pPr>
      <m:oMathPara>
        <m:oMath>
          <m:f>
            <m:fPr>
              <m:ctrlPr>
                <w:rPr>
                  <w:rFonts w:ascii="Cambria Math" w:hAnsi="Cambria Math"/>
                  <w:i/>
                  <w:lang w:val="en-US"/>
                </w:rPr>
              </m:ctrlPr>
            </m:fPr>
            <m:num>
              <m:sSub>
                <m:sSubPr>
                  <m:ctrlPr>
                    <w:rPr>
                      <w:rFonts w:ascii="Cambria Math" w:hAnsi="Cambria Math"/>
                      <w:i/>
                      <w:lang w:val="en-US"/>
                    </w:rPr>
                  </m:ctrlPr>
                </m:sSubPr>
                <m:e>
                  <m:r>
                    <m:rPr/>
                    <w:rPr>
                      <w:rFonts w:hint="default" w:ascii="Cambria Math" w:hAnsi="Cambria Math"/>
                      <w:lang w:val="en-US" w:eastAsia="zh-CN"/>
                    </w:rPr>
                    <m:t>Q</m:t>
                  </m:r>
                  <m:ctrlPr>
                    <w:rPr>
                      <w:rFonts w:ascii="Cambria Math" w:hAnsi="Cambria Math"/>
                      <w:i/>
                      <w:lang w:val="en-US"/>
                    </w:rPr>
                  </m:ctrlPr>
                </m:e>
                <m:sub>
                  <m:r>
                    <m:rPr/>
                    <w:rPr>
                      <w:rFonts w:hint="default" w:ascii="Cambria Math" w:hAnsi="Cambria Math"/>
                      <w:lang w:val="en-US" w:eastAsia="zh-CN"/>
                    </w:rPr>
                    <m:t>c</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hint="default" w:ascii="Cambria Math" w:hAnsi="Cambria Math"/>
                      <w:lang w:val="en-US" w:eastAsia="zh-CN"/>
                    </w:rPr>
                    <m:t>C</m:t>
                  </m:r>
                  <m:ctrlPr>
                    <w:rPr>
                      <w:rFonts w:ascii="Cambria Math" w:hAnsi="Cambria Math"/>
                      <w:i/>
                      <w:lang w:val="en-US"/>
                    </w:rPr>
                  </m:ctrlPr>
                </m:e>
                <m:sub>
                  <m:r>
                    <m:rPr/>
                    <w:rPr>
                      <w:rFonts w:hint="default" w:ascii="Cambria Math" w:hAnsi="Cambria Math"/>
                      <w:lang w:val="en-US" w:eastAsia="zh-CN"/>
                    </w:rPr>
                    <m:t>m</m:t>
                  </m:r>
                  <m:ctrlPr>
                    <w:rPr>
                      <w:rFonts w:ascii="Cambria Math" w:hAnsi="Cambria Math"/>
                      <w:i/>
                      <w:lang w:val="en-US"/>
                    </w:rPr>
                  </m:ctrlPr>
                </m:sub>
              </m:sSub>
              <m:ctrlPr>
                <w:rPr>
                  <w:rFonts w:ascii="Cambria Math" w:hAnsi="Cambria Math"/>
                  <w:i/>
                  <w:lang w:val="en-US"/>
                </w:rPr>
              </m:ctrlPr>
            </m:den>
          </m:f>
          <m:r>
            <m:rPr/>
            <w:rPr>
              <w:rFonts w:hint="default" w:ascii="Cambria Math" w:hAnsi="Cambria Math"/>
              <w:lang w:val="en-US" w:eastAsia="zh-CN"/>
            </w:rPr>
            <m:t>=</m:t>
          </m:r>
          <m:f>
            <m:fPr>
              <m:ctrlPr>
                <w:rPr>
                  <w:rFonts w:hint="default" w:ascii="Cambria Math" w:hAnsi="Cambria Math"/>
                  <w:i/>
                  <w:lang w:val="en-US" w:eastAsia="zh-CN"/>
                </w:rPr>
              </m:ctrlPr>
            </m:fPr>
            <m:num>
              <m:r>
                <m:rPr/>
                <w:rPr>
                  <w:rFonts w:hint="default" w:ascii="Cambria Math" w:hAnsi="Cambria Math"/>
                  <w:lang w:val="en-US" w:eastAsia="zh-CN"/>
                </w:rPr>
                <m:t>1</m:t>
              </m:r>
              <m:ctrlPr>
                <w:rPr>
                  <w:rFonts w:hint="default" w:ascii="Cambria Math" w:hAnsi="Cambria Math"/>
                  <w:i/>
                  <w:lang w:val="en-US" w:eastAsia="zh-CN"/>
                </w:rPr>
              </m:ctrlPr>
            </m:num>
            <m:den>
              <m:r>
                <m:rPr/>
                <w:rPr>
                  <w:rFonts w:hint="default" w:ascii="Cambria Math" w:hAnsi="Cambria Math"/>
                  <w:lang w:val="en-US" w:eastAsia="zh-CN"/>
                </w:rPr>
                <m:t>A</m:t>
              </m:r>
              <m:ctrlPr>
                <w:rPr>
                  <w:rFonts w:hint="default" w:ascii="Cambria Math" w:hAnsi="Cambria Math"/>
                  <w:i/>
                  <w:lang w:val="en-US" w:eastAsia="zh-CN"/>
                </w:rPr>
              </m:ctrlPr>
            </m:den>
          </m:f>
          <m:sSup>
            <m:sSupPr>
              <m:ctrlPr>
                <w:rPr>
                  <w:rFonts w:hint="default" w:ascii="Cambria Math" w:hAnsi="Cambria Math"/>
                  <w:i/>
                  <w:lang w:val="en-US" w:eastAsia="zh-CN"/>
                </w:rPr>
              </m:ctrlPr>
            </m:sSupPr>
            <m:e>
              <m:d>
                <m:dPr>
                  <m:ctrlPr>
                    <w:rPr>
                      <w:rFonts w:hint="default" w:ascii="Cambria Math" w:hAnsi="Cambria Math"/>
                      <w:i/>
                      <w:lang w:val="en-US" w:eastAsia="zh-CN"/>
                    </w:rPr>
                  </m:ctrlPr>
                </m:dPr>
                <m:e>
                  <m:r>
                    <m:rPr/>
                    <w:rPr>
                      <w:rFonts w:hint="default" w:ascii="Cambria Math" w:hAnsi="Cambria Math"/>
                      <w:lang w:val="en-US" w:eastAsia="zh-CN"/>
                    </w:rPr>
                    <m:t>B</m:t>
                  </m:r>
                  <m:sSup>
                    <m:sSupPr>
                      <m:ctrlPr>
                        <w:rPr>
                          <w:rFonts w:hint="default" w:ascii="Cambria Math" w:hAnsi="Cambria Math"/>
                          <w:i/>
                          <w:lang w:val="en-US" w:eastAsia="zh-CN"/>
                        </w:rPr>
                      </m:ctrlPr>
                    </m:sSupPr>
                    <m:e>
                      <m:r>
                        <m:rPr/>
                        <w:rPr>
                          <w:rFonts w:hint="default" w:ascii="Cambria Math" w:hAnsi="Cambria Math"/>
                          <w:lang w:val="en-US" w:eastAsia="zh-CN"/>
                        </w:rPr>
                        <m:t>L</m:t>
                      </m:r>
                      <m:ctrlPr>
                        <w:rPr>
                          <w:rFonts w:hint="default" w:ascii="Cambria Math" w:hAnsi="Cambria Math"/>
                          <w:i/>
                          <w:lang w:val="en-US" w:eastAsia="zh-CN"/>
                        </w:rPr>
                      </m:ctrlPr>
                    </m:e>
                    <m:sup>
                      <m:r>
                        <m:rPr/>
                        <w:rPr>
                          <w:rFonts w:hint="default" w:ascii="Cambria Math" w:hAnsi="Cambria Math"/>
                          <w:lang w:val="en-US" w:eastAsia="zh-CN"/>
                        </w:rPr>
                        <m:t>C</m:t>
                      </m:r>
                      <m:ctrlPr>
                        <w:rPr>
                          <w:rFonts w:hint="default" w:ascii="Cambria Math" w:hAnsi="Cambria Math"/>
                          <w:i/>
                          <w:lang w:val="en-US" w:eastAsia="zh-CN"/>
                        </w:rPr>
                      </m:ctrlPr>
                    </m:sup>
                  </m:sSup>
                  <m:r>
                    <m:rPr/>
                    <w:rPr>
                      <w:rFonts w:hint="default" w:ascii="Cambria Math" w:hAnsi="Cambria Math"/>
                      <w:lang w:val="en-US" w:eastAsia="zh-CN"/>
                    </w:rPr>
                    <m:t>+0.25</m:t>
                  </m:r>
                  <m:sSup>
                    <m:sSupPr>
                      <m:ctrlPr>
                        <w:rPr>
                          <w:rFonts w:hint="default" w:ascii="Cambria Math" w:hAnsi="Cambria Math"/>
                          <w:i/>
                          <w:lang w:val="en-US" w:eastAsia="zh-CN"/>
                        </w:rPr>
                      </m:ctrlPr>
                    </m:sSupPr>
                    <m:e>
                      <m:r>
                        <m:rPr/>
                        <w:rPr>
                          <w:rFonts w:hint="default" w:ascii="Cambria Math" w:hAnsi="Cambria Math"/>
                          <w:lang w:val="en-US" w:eastAsia="zh-CN"/>
                        </w:rPr>
                        <m:t>r</m:t>
                      </m:r>
                      <m:ctrlPr>
                        <w:rPr>
                          <w:rFonts w:hint="default" w:ascii="Cambria Math" w:hAnsi="Cambria Math"/>
                          <w:i/>
                          <w:lang w:val="en-US" w:eastAsia="zh-CN"/>
                        </w:rPr>
                      </m:ctrlPr>
                    </m:e>
                    <m:sup>
                      <m:r>
                        <m:rPr/>
                        <w:rPr>
                          <w:rFonts w:hint="default" w:ascii="Cambria Math" w:hAnsi="Cambria Math"/>
                          <w:lang w:val="en-US" w:eastAsia="zh-CN"/>
                        </w:rPr>
                        <m:t>2</m:t>
                      </m:r>
                      <m:ctrlPr>
                        <w:rPr>
                          <w:rFonts w:hint="default" w:ascii="Cambria Math" w:hAnsi="Cambria Math"/>
                          <w:i/>
                          <w:lang w:val="en-US" w:eastAsia="zh-CN"/>
                        </w:rPr>
                      </m:ctrlPr>
                    </m:sup>
                  </m:sSup>
                  <m:ctrlPr>
                    <w:rPr>
                      <w:rFonts w:hint="default" w:ascii="Cambria Math" w:hAnsi="Cambria Math"/>
                      <w:i/>
                      <w:lang w:val="en-US" w:eastAsia="zh-CN"/>
                    </w:rPr>
                  </m:ctrlPr>
                </m:e>
              </m:d>
              <m:ctrlPr>
                <w:rPr>
                  <w:rFonts w:hint="default" w:ascii="Cambria Math" w:hAnsi="Cambria Math"/>
                  <w:i/>
                  <w:lang w:val="en-US" w:eastAsia="zh-CN"/>
                </w:rPr>
              </m:ctrlPr>
            </m:e>
            <m:sup>
              <m:r>
                <m:rPr/>
                <w:rPr>
                  <w:rFonts w:hint="default" w:ascii="Cambria Math" w:hAnsi="Cambria Math"/>
                  <w:lang w:val="en-US" w:eastAsia="zh-CN"/>
                </w:rPr>
                <m:t>0.50</m:t>
              </m:r>
              <m:ctrlPr>
                <w:rPr>
                  <w:rFonts w:hint="default" w:ascii="Cambria Math" w:hAnsi="Cambria Math"/>
                  <w:i/>
                  <w:lang w:val="en-US" w:eastAsia="zh-CN"/>
                </w:rPr>
              </m:ctrlPr>
            </m:sup>
          </m:sSup>
          <m:sSup>
            <m:sSupPr>
              <m:ctrlPr>
                <w:rPr>
                  <w:rFonts w:hint="default" w:ascii="Cambria Math" w:hAnsi="Cambria Math"/>
                  <w:i/>
                  <w:lang w:val="en-US" w:eastAsia="zh-CN"/>
                </w:rPr>
              </m:ctrlPr>
            </m:sSupPr>
            <m:e>
              <m:r>
                <m:rPr/>
                <w:rPr>
                  <w:rFonts w:hint="default" w:ascii="Cambria Math" w:hAnsi="Cambria Math"/>
                  <w:lang w:val="en-US" w:eastAsia="zh-CN"/>
                </w:rPr>
                <m:t>L</m:t>
              </m:r>
              <m:ctrlPr>
                <w:rPr>
                  <w:rFonts w:hint="default" w:ascii="Cambria Math" w:hAnsi="Cambria Math"/>
                  <w:i/>
                  <w:lang w:val="en-US" w:eastAsia="zh-CN"/>
                </w:rPr>
              </m:ctrlPr>
            </m:e>
            <m:sup>
              <m:r>
                <m:rPr/>
                <w:rPr>
                  <w:rFonts w:hint="default" w:ascii="Cambria Math" w:hAnsi="Cambria Math"/>
                  <w:lang w:val="en-US" w:eastAsia="zh-CN"/>
                </w:rPr>
                <m:t>D</m:t>
              </m:r>
              <m:ctrlPr>
                <w:rPr>
                  <w:rFonts w:hint="default" w:ascii="Cambria Math" w:hAnsi="Cambria Math"/>
                  <w:i/>
                  <w:lang w:val="en-US" w:eastAsia="zh-CN"/>
                </w:rPr>
              </m:ctrlPr>
            </m:sup>
          </m:sSup>
        </m:oMath>
      </m:oMathPara>
    </w:p>
    <w:p>
      <w:pPr>
        <w:spacing w:beforeLines="0" w:afterLines="0"/>
        <w:jc w:val="left"/>
        <w:rPr>
          <w:rFonts w:hint="eastAsia" w:ascii="宋体" w:hAnsi="宋体" w:eastAsia="宋体"/>
          <w:sz w:val="24"/>
          <w:szCs w:val="24"/>
        </w:rPr>
      </w:pPr>
      <w:r>
        <w:rPr>
          <w:rFonts w:hint="eastAsia" w:ascii="宋体" w:hAnsi="宋体" w:eastAsia="宋体"/>
          <w:sz w:val="24"/>
          <w:szCs w:val="24"/>
        </w:rPr>
        <w:t>式中：</w:t>
      </w:r>
      <w:r>
        <w:rPr>
          <w:rFonts w:hint="eastAsia" w:ascii="TimesNewRomanPSMT" w:hAnsi="TimesNewRomanPSMT" w:eastAsia="TimesNewRomanPSMT"/>
          <w:sz w:val="24"/>
          <w:szCs w:val="24"/>
        </w:rPr>
        <w:t>Cm――</w:t>
      </w:r>
      <w:r>
        <w:rPr>
          <w:rFonts w:hint="eastAsia" w:ascii="宋体" w:hAnsi="宋体" w:eastAsia="宋体"/>
          <w:sz w:val="24"/>
          <w:szCs w:val="24"/>
        </w:rPr>
        <w:t>标准浓度限值，</w:t>
      </w:r>
      <w:r>
        <w:rPr>
          <w:rFonts w:hint="default" w:ascii="Times New Roman" w:hAnsi="Times New Roman" w:eastAsia="Times New Roman"/>
          <w:sz w:val="24"/>
          <w:szCs w:val="24"/>
        </w:rPr>
        <w:t>mg/Nm</w:t>
      </w:r>
      <w:r>
        <w:rPr>
          <w:rFonts w:hint="eastAsia" w:ascii="Times New Roman" w:hAnsi="Times New Roman" w:eastAsia="宋体"/>
          <w:sz w:val="24"/>
          <w:szCs w:val="24"/>
          <w:vertAlign w:val="superscript"/>
          <w:lang w:val="en-US" w:eastAsia="zh-CN"/>
        </w:rPr>
        <w:t>3</w:t>
      </w:r>
      <w:r>
        <w:rPr>
          <w:rFonts w:hint="eastAsia" w:ascii="宋体" w:hAnsi="宋体" w:eastAsia="宋体"/>
          <w:sz w:val="24"/>
          <w:szCs w:val="24"/>
        </w:rPr>
        <w:t>；</w:t>
      </w:r>
    </w:p>
    <w:p>
      <w:pPr>
        <w:ind w:firstLine="1200" w:firstLineChars="500"/>
        <w:rPr>
          <w:rFonts w:hint="default" w:hAnsi="Cambria Math"/>
          <w:i w:val="0"/>
          <w:lang w:val="en-US" w:eastAsia="zh-CN"/>
        </w:rPr>
      </w:pPr>
      <w:r>
        <w:rPr>
          <w:rFonts w:hint="eastAsia" w:ascii="TimesNewRomanPSMT" w:hAnsi="TimesNewRomanPSMT" w:eastAsia="TimesNewRomanPSMT"/>
          <w:sz w:val="24"/>
          <w:szCs w:val="24"/>
        </w:rPr>
        <w:t>L――</w:t>
      </w:r>
      <w:r>
        <w:rPr>
          <w:rFonts w:hint="eastAsia" w:ascii="宋体" w:hAnsi="宋体" w:eastAsia="宋体"/>
          <w:sz w:val="24"/>
          <w:szCs w:val="24"/>
        </w:rPr>
        <w:t>工业企业所需卫生防护距离，</w:t>
      </w:r>
      <w:r>
        <w:rPr>
          <w:rFonts w:hint="default" w:ascii="Times New Roman" w:hAnsi="Times New Roman" w:eastAsia="Times New Roman"/>
          <w:sz w:val="24"/>
          <w:szCs w:val="24"/>
        </w:rPr>
        <w:t>m</w:t>
      </w:r>
      <w:r>
        <w:rPr>
          <w:rFonts w:hint="eastAsia" w:ascii="宋体" w:hAnsi="宋体" w:eastAsia="宋体"/>
          <w:sz w:val="24"/>
          <w:szCs w:val="24"/>
        </w:rPr>
        <w:t>；</w:t>
      </w:r>
    </w:p>
    <w:p>
      <w:pPr>
        <w:spacing w:beforeLines="0" w:afterLines="0"/>
        <w:ind w:firstLine="1200" w:firstLineChars="500"/>
        <w:jc w:val="left"/>
        <w:rPr>
          <w:rFonts w:hint="eastAsia" w:ascii="宋体" w:hAnsi="宋体" w:eastAsia="宋体"/>
          <w:sz w:val="24"/>
          <w:szCs w:val="24"/>
        </w:rPr>
      </w:pPr>
      <w:r>
        <w:rPr>
          <w:rFonts w:hint="eastAsia" w:ascii="TimesNewRomanPSMT" w:hAnsi="TimesNewRomanPSMT" w:eastAsia="TimesNewRomanPSMT"/>
          <w:sz w:val="24"/>
          <w:szCs w:val="24"/>
        </w:rPr>
        <w:t>r――</w:t>
      </w:r>
      <w:r>
        <w:rPr>
          <w:rFonts w:hint="eastAsia" w:ascii="宋体" w:hAnsi="宋体" w:eastAsia="宋体"/>
          <w:sz w:val="24"/>
          <w:szCs w:val="24"/>
        </w:rPr>
        <w:t>有害气体无组织排放源所在生产单元的等效半径，</w:t>
      </w:r>
      <w:r>
        <w:rPr>
          <w:rFonts w:hint="default" w:ascii="Times New Roman" w:hAnsi="Times New Roman" w:eastAsia="Times New Roman"/>
          <w:sz w:val="24"/>
          <w:szCs w:val="24"/>
        </w:rPr>
        <w:t>m</w:t>
      </w:r>
      <w:r>
        <w:rPr>
          <w:rFonts w:hint="eastAsia" w:ascii="宋体" w:hAnsi="宋体" w:eastAsia="宋体"/>
          <w:sz w:val="24"/>
          <w:szCs w:val="24"/>
        </w:rPr>
        <w:t>。根据该生产单元占地面积</w:t>
      </w:r>
      <w:r>
        <w:rPr>
          <w:rFonts w:hint="default" w:ascii="Times New Roman" w:hAnsi="Times New Roman" w:eastAsia="Times New Roman"/>
          <w:sz w:val="24"/>
          <w:szCs w:val="24"/>
        </w:rPr>
        <w:t>S</w:t>
      </w:r>
      <w:r>
        <w:rPr>
          <w:rFonts w:hint="eastAsia" w:ascii="Times New Roman" w:hAnsi="Times New Roman" w:eastAsia="宋体"/>
          <w:sz w:val="24"/>
          <w:szCs w:val="24"/>
          <w:lang w:eastAsia="zh-CN"/>
        </w:rPr>
        <w:t>（</w:t>
      </w:r>
      <w:r>
        <w:rPr>
          <w:rFonts w:hint="default" w:ascii="Times New Roman" w:hAnsi="Times New Roman" w:eastAsia="Times New Roman"/>
          <w:sz w:val="24"/>
          <w:szCs w:val="24"/>
        </w:rPr>
        <w:t>m</w:t>
      </w:r>
      <w:r>
        <w:rPr>
          <w:rFonts w:hint="eastAsia" w:ascii="Times New Roman" w:hAnsi="Times New Roman" w:eastAsia="宋体"/>
          <w:sz w:val="24"/>
          <w:szCs w:val="24"/>
          <w:vertAlign w:val="superscript"/>
          <w:lang w:val="en-US" w:eastAsia="zh-CN"/>
        </w:rPr>
        <w:t>2</w:t>
      </w:r>
      <w:r>
        <w:rPr>
          <w:rFonts w:hint="eastAsia" w:ascii="Times New Roman" w:hAnsi="Times New Roman" w:eastAsia="宋体"/>
          <w:sz w:val="24"/>
          <w:szCs w:val="24"/>
          <w:lang w:eastAsia="zh-CN"/>
        </w:rPr>
        <w:t>）</w:t>
      </w:r>
      <w:r>
        <w:rPr>
          <w:rFonts w:hint="eastAsia" w:ascii="宋体" w:hAnsi="宋体" w:eastAsia="宋体"/>
          <w:sz w:val="24"/>
          <w:szCs w:val="24"/>
        </w:rPr>
        <w:t>计算，</w:t>
      </w:r>
      <m:oMath>
        <m:r>
          <m:rPr>
            <m:sty m:val="p"/>
          </m:rPr>
          <w:rPr>
            <w:rFonts w:hint="default" w:ascii="Cambria Math" w:hAnsi="Cambria Math" w:eastAsia="宋体" w:cs="Times New Roman"/>
            <w:kern w:val="2"/>
            <w:sz w:val="24"/>
            <w:szCs w:val="24"/>
            <w:lang w:eastAsia="zh-CN"/>
          </w:rPr>
          <m:t>r</m:t>
        </m:r>
        <m:r>
          <m:rPr>
            <m:sty m:val="p"/>
          </m:rPr>
          <w:rPr>
            <w:rFonts w:hint="default" w:ascii="Cambria Math" w:hAnsi="Cambria Math" w:eastAsia="宋体" w:cs="Times New Roman"/>
            <w:kern w:val="2"/>
            <w:sz w:val="24"/>
            <w:szCs w:val="24"/>
            <w:lang w:val="en-US" w:eastAsia="zh-CN"/>
          </w:rPr>
          <m:t>=</m:t>
        </m:r>
        <m:sSup>
          <m:sSupPr>
            <m:ctrlPr>
              <w:rPr>
                <w:rFonts w:hint="default" w:ascii="Cambria Math" w:hAnsi="Cambria Math" w:eastAsia="宋体" w:cs="Times New Roman"/>
                <w:kern w:val="2"/>
                <w:sz w:val="24"/>
                <w:szCs w:val="24"/>
                <w:lang w:val="en-US" w:eastAsia="zh-CN"/>
              </w:rPr>
            </m:ctrlPr>
          </m:sSupPr>
          <m:e>
            <m:d>
              <m:dPr>
                <m:ctrlPr>
                  <w:rPr>
                    <w:rFonts w:hint="default" w:ascii="Cambria Math" w:hAnsi="Cambria Math" w:eastAsia="宋体" w:cs="Times New Roman"/>
                    <w:kern w:val="2"/>
                    <w:sz w:val="24"/>
                    <w:szCs w:val="24"/>
                    <w:lang w:val="en-US" w:eastAsia="zh-CN"/>
                  </w:rPr>
                </m:ctrlPr>
              </m:dPr>
              <m:e>
                <m:r>
                  <m:rPr>
                    <m:sty m:val="p"/>
                  </m:rPr>
                  <w:rPr>
                    <w:rFonts w:hint="default" w:ascii="Cambria Math" w:hAnsi="Cambria Math" w:eastAsia="宋体" w:cs="Times New Roman"/>
                    <w:kern w:val="2"/>
                    <w:sz w:val="24"/>
                    <w:szCs w:val="24"/>
                    <w:lang w:val="en-US" w:eastAsia="zh-CN"/>
                  </w:rPr>
                  <m:t>S/</m:t>
                </m:r>
                <m:r>
                  <m:rPr>
                    <m:sty m:val="p"/>
                  </m:rPr>
                  <w:rPr>
                    <w:rFonts w:ascii="Cambria Math" w:hAnsi="Cambria Math" w:cs="Times New Roman"/>
                    <w:kern w:val="2"/>
                    <w:sz w:val="24"/>
                    <w:szCs w:val="24"/>
                    <w:lang w:val="en-US"/>
                  </w:rPr>
                  <m:t>π</m:t>
                </m:r>
                <m:ctrlPr>
                  <w:rPr>
                    <w:rFonts w:hint="default" w:ascii="Cambria Math" w:hAnsi="Cambria Math" w:eastAsia="宋体" w:cs="Times New Roman"/>
                    <w:kern w:val="2"/>
                    <w:sz w:val="24"/>
                    <w:szCs w:val="24"/>
                    <w:lang w:val="en-US" w:eastAsia="zh-CN"/>
                  </w:rPr>
                </m:ctrlPr>
              </m:e>
            </m:d>
            <m:ctrlPr>
              <w:rPr>
                <w:rFonts w:hint="default" w:ascii="Cambria Math" w:hAnsi="Cambria Math" w:eastAsia="宋体" w:cs="Times New Roman"/>
                <w:kern w:val="2"/>
                <w:sz w:val="24"/>
                <w:szCs w:val="24"/>
                <w:lang w:val="en-US" w:eastAsia="zh-CN"/>
              </w:rPr>
            </m:ctrlPr>
          </m:e>
          <m:sup>
            <m:r>
              <m:rPr>
                <m:sty m:val="p"/>
              </m:rPr>
              <w:rPr>
                <w:rFonts w:hint="default" w:ascii="Cambria Math" w:hAnsi="Cambria Math" w:eastAsia="宋体" w:cs="Times New Roman"/>
                <w:kern w:val="2"/>
                <w:sz w:val="24"/>
                <w:szCs w:val="24"/>
                <w:lang w:val="en-US" w:eastAsia="zh-CN"/>
              </w:rPr>
              <m:t>0.5</m:t>
            </m:r>
            <m:ctrlPr>
              <w:rPr>
                <w:rFonts w:hint="default" w:ascii="Cambria Math" w:hAnsi="Cambria Math" w:eastAsia="宋体" w:cs="Times New Roman"/>
                <w:kern w:val="2"/>
                <w:sz w:val="24"/>
                <w:szCs w:val="24"/>
                <w:lang w:val="en-US" w:eastAsia="zh-CN"/>
              </w:rPr>
            </m:ctrlPr>
          </m:sup>
        </m:sSup>
      </m:oMath>
      <w:r>
        <w:rPr>
          <w:rFonts w:hint="eastAsia" w:ascii="宋体" w:hAnsi="宋体" w:eastAsia="宋体"/>
          <w:sz w:val="24"/>
          <w:szCs w:val="24"/>
        </w:rPr>
        <w:t>；</w:t>
      </w:r>
    </w:p>
    <w:p>
      <w:pPr>
        <w:spacing w:beforeLines="0" w:afterLines="0"/>
        <w:ind w:firstLine="1200" w:firstLineChars="500"/>
        <w:jc w:val="left"/>
        <w:rPr>
          <w:rFonts w:hint="eastAsia" w:ascii="宋体" w:hAnsi="宋体" w:eastAsia="宋体"/>
          <w:sz w:val="24"/>
          <w:szCs w:val="24"/>
        </w:rPr>
      </w:pPr>
      <w:r>
        <w:rPr>
          <w:rFonts w:hint="default" w:ascii="Times New Roman" w:hAnsi="Times New Roman" w:eastAsia="Times New Roman"/>
          <w:sz w:val="24"/>
          <w:szCs w:val="24"/>
        </w:rPr>
        <w:t>A</w:t>
      </w:r>
      <w:r>
        <w:rPr>
          <w:rFonts w:hint="eastAsia" w:ascii="宋体" w:hAnsi="宋体" w:eastAsia="宋体"/>
          <w:sz w:val="24"/>
          <w:szCs w:val="24"/>
        </w:rPr>
        <w:t>、</w:t>
      </w:r>
      <w:r>
        <w:rPr>
          <w:rFonts w:hint="default" w:ascii="Times New Roman" w:hAnsi="Times New Roman" w:eastAsia="Times New Roman"/>
          <w:sz w:val="24"/>
          <w:szCs w:val="24"/>
        </w:rPr>
        <w:t>B</w:t>
      </w:r>
      <w:r>
        <w:rPr>
          <w:rFonts w:hint="eastAsia" w:ascii="宋体" w:hAnsi="宋体" w:eastAsia="宋体"/>
          <w:sz w:val="24"/>
          <w:szCs w:val="24"/>
        </w:rPr>
        <w:t>、</w:t>
      </w:r>
      <w:r>
        <w:rPr>
          <w:rFonts w:hint="default" w:ascii="Times New Roman" w:hAnsi="Times New Roman" w:eastAsia="Times New Roman"/>
          <w:sz w:val="24"/>
          <w:szCs w:val="24"/>
        </w:rPr>
        <w:t>C</w:t>
      </w:r>
      <w:r>
        <w:rPr>
          <w:rFonts w:hint="eastAsia" w:ascii="宋体" w:hAnsi="宋体" w:eastAsia="宋体"/>
          <w:sz w:val="24"/>
          <w:szCs w:val="24"/>
        </w:rPr>
        <w:t>、</w:t>
      </w:r>
      <w:r>
        <w:rPr>
          <w:rFonts w:hint="eastAsia" w:ascii="TimesNewRomanPSMT" w:hAnsi="TimesNewRomanPSMT" w:eastAsia="TimesNewRomanPSMT"/>
          <w:sz w:val="24"/>
          <w:szCs w:val="24"/>
        </w:rPr>
        <w:t>D――</w:t>
      </w:r>
      <w:r>
        <w:rPr>
          <w:rFonts w:hint="eastAsia" w:ascii="宋体" w:hAnsi="宋体" w:eastAsia="宋体"/>
          <w:sz w:val="24"/>
          <w:szCs w:val="24"/>
        </w:rPr>
        <w:t>卫生防护距离计算数，无因次，根据工业企业所在地近五年平均风速及工业企业大气污染源构成类别从</w:t>
      </w:r>
      <w:r>
        <w:rPr>
          <w:rFonts w:hint="default" w:ascii="Times New Roman" w:hAnsi="Times New Roman" w:eastAsia="Times New Roman"/>
          <w:sz w:val="24"/>
          <w:szCs w:val="24"/>
        </w:rPr>
        <w:t>GB/T13201-91</w:t>
      </w:r>
      <w:r>
        <w:rPr>
          <w:rFonts w:hint="eastAsia" w:ascii="宋体" w:hAnsi="宋体" w:eastAsia="宋体"/>
          <w:sz w:val="24"/>
          <w:szCs w:val="24"/>
        </w:rPr>
        <w:t>《制定地方大气污染物排放标准的技术方法》中</w:t>
      </w:r>
      <w:r>
        <w:rPr>
          <w:rFonts w:hint="default" w:ascii="Times New Roman" w:hAnsi="Times New Roman" w:eastAsia="Times New Roman"/>
          <w:sz w:val="24"/>
          <w:szCs w:val="24"/>
        </w:rPr>
        <w:t>7</w:t>
      </w:r>
      <w:r>
        <w:rPr>
          <w:rFonts w:hint="eastAsia" w:ascii="宋体" w:hAnsi="宋体" w:eastAsia="宋体"/>
          <w:sz w:val="24"/>
          <w:szCs w:val="24"/>
        </w:rPr>
        <w:t>条规定的表</w:t>
      </w:r>
      <w:r>
        <w:rPr>
          <w:rFonts w:hint="default" w:ascii="Times New Roman" w:hAnsi="Times New Roman" w:eastAsia="Times New Roman"/>
          <w:sz w:val="24"/>
          <w:szCs w:val="24"/>
        </w:rPr>
        <w:t>5</w:t>
      </w:r>
      <w:r>
        <w:rPr>
          <w:rFonts w:hint="eastAsia" w:ascii="宋体" w:hAnsi="宋体" w:eastAsia="宋体"/>
          <w:sz w:val="24"/>
          <w:szCs w:val="24"/>
        </w:rPr>
        <w:t>中查取；</w:t>
      </w:r>
    </w:p>
    <w:p>
      <w:pPr>
        <w:ind w:firstLine="1200" w:firstLineChars="500"/>
        <w:rPr>
          <w:rFonts w:hint="eastAsia"/>
          <w:lang w:val="en-US" w:eastAsia="zh-CN"/>
        </w:rPr>
      </w:pPr>
      <w:r>
        <w:rPr>
          <w:rFonts w:hint="eastAsia" w:ascii="TimesNewRomanPSMT" w:hAnsi="TimesNewRomanPSMT" w:eastAsia="TimesNewRomanPSMT"/>
          <w:sz w:val="24"/>
          <w:szCs w:val="24"/>
        </w:rPr>
        <w:t>Qc――</w:t>
      </w:r>
      <w:r>
        <w:rPr>
          <w:rFonts w:hint="eastAsia" w:ascii="宋体" w:hAnsi="宋体" w:eastAsia="宋体"/>
          <w:sz w:val="24"/>
          <w:szCs w:val="24"/>
        </w:rPr>
        <w:t>工业企业有害气体无组织排放量可以达到的控制水平，</w:t>
      </w:r>
      <w:r>
        <w:rPr>
          <w:rFonts w:hint="default" w:ascii="Times New Roman" w:hAnsi="Times New Roman" w:eastAsia="Times New Roman"/>
          <w:sz w:val="24"/>
          <w:szCs w:val="24"/>
        </w:rPr>
        <w:t>kg/h</w:t>
      </w:r>
      <w:r>
        <w:rPr>
          <w:rFonts w:hint="eastAsia" w:ascii="宋体" w:hAnsi="宋体" w:eastAsia="宋体"/>
          <w:sz w:val="24"/>
          <w:szCs w:val="24"/>
        </w:rPr>
        <w:t>。</w:t>
      </w:r>
    </w:p>
    <w:p>
      <w:pPr>
        <w:bidi w:val="0"/>
        <w:rPr>
          <w:rFonts w:hint="eastAsia" w:eastAsia="宋体"/>
          <w:lang w:eastAsia="zh-CN"/>
        </w:rPr>
      </w:pPr>
      <w:r>
        <w:rPr>
          <w:rFonts w:hint="eastAsia"/>
        </w:rPr>
        <w:t>根据《制定地方大气污染物排放标准原则与方法》的规定，对于无组织氨、硫化氢执行《环境影响评价技术导则大气环境》</w:t>
      </w:r>
      <w:r>
        <w:rPr>
          <w:rFonts w:hint="eastAsia"/>
          <w:lang w:eastAsia="zh-CN"/>
        </w:rPr>
        <w:t>（</w:t>
      </w:r>
      <w:r>
        <w:rPr>
          <w:rFonts w:hint="eastAsia"/>
        </w:rPr>
        <w:t>HJ2.2-2018）附录D中表D.1确定的环境质量标准0.2mg/m</w:t>
      </w:r>
      <w:r>
        <w:rPr>
          <w:rFonts w:hint="eastAsia"/>
          <w:vertAlign w:val="superscript"/>
        </w:rPr>
        <w:t>3</w:t>
      </w:r>
      <w:r>
        <w:rPr>
          <w:rFonts w:hint="eastAsia"/>
          <w:lang w:eastAsia="zh-CN"/>
        </w:rPr>
        <w:t>，</w:t>
      </w:r>
      <w:r>
        <w:rPr>
          <w:rFonts w:hint="eastAsia"/>
          <w:lang w:val="en-US" w:eastAsia="zh-CN"/>
        </w:rPr>
        <w:t>0.</w:t>
      </w:r>
      <w:r>
        <w:rPr>
          <w:rFonts w:hint="eastAsia"/>
        </w:rPr>
        <w:t>01mg/m</w:t>
      </w:r>
      <w:r>
        <w:rPr>
          <w:rFonts w:hint="eastAsia"/>
          <w:vertAlign w:val="superscript"/>
        </w:rPr>
        <w:t>3</w:t>
      </w:r>
      <w:r>
        <w:rPr>
          <w:rFonts w:hint="eastAsia"/>
          <w:lang w:eastAsia="zh-CN"/>
        </w:rPr>
        <w:t>。</w:t>
      </w:r>
    </w:p>
    <w:p>
      <w:pPr>
        <w:bidi w:val="0"/>
        <w:rPr>
          <w:rFonts w:hint="eastAsia"/>
        </w:rPr>
      </w:pPr>
      <w:r>
        <w:rPr>
          <w:rFonts w:hint="eastAsia"/>
        </w:rPr>
        <w:t>对于参数的选择</w:t>
      </w:r>
      <w:r>
        <w:rPr>
          <w:rFonts w:hint="eastAsia"/>
          <w:lang w:eastAsia="zh-CN"/>
        </w:rPr>
        <w:t>：</w:t>
      </w:r>
      <w:r>
        <w:rPr>
          <w:rFonts w:hint="eastAsia"/>
        </w:rPr>
        <w:t>按照《制定地方大气污染物排放标准原则与方法》的规定，项目存在有组织排放以及无组织排放</w:t>
      </w:r>
      <w:r>
        <w:rPr>
          <w:rFonts w:hint="eastAsia"/>
          <w:lang w:eastAsia="zh-CN"/>
        </w:rPr>
        <w:t>，</w:t>
      </w:r>
      <w:r>
        <w:rPr>
          <w:rFonts w:hint="eastAsia"/>
        </w:rPr>
        <w:t>按Ⅱ类取值</w:t>
      </w:r>
      <w:r>
        <w:rPr>
          <w:rFonts w:hint="eastAsia"/>
          <w:lang w:eastAsia="zh-CN"/>
        </w:rPr>
        <w:t>，</w:t>
      </w:r>
      <w:r>
        <w:rPr>
          <w:rFonts w:hint="eastAsia"/>
        </w:rPr>
        <w:t>即</w:t>
      </w:r>
      <w:r>
        <w:rPr>
          <w:rFonts w:hint="eastAsia"/>
          <w:lang w:eastAsia="zh-CN"/>
        </w:rPr>
        <w:t>：</w:t>
      </w:r>
      <w:r>
        <w:rPr>
          <w:rFonts w:hint="eastAsia"/>
        </w:rPr>
        <w:t>A=470、B=0.021、C=1.85、D=0.84。代入公式计算后得到卫生防护距离结果见下表。</w:t>
      </w:r>
    </w:p>
    <w:p>
      <w:pPr>
        <w:pStyle w:val="29"/>
        <w:bidi w:val="0"/>
        <w:rPr>
          <w:rFonts w:hint="eastAsia"/>
          <w:lang w:val="en-US" w:eastAsia="zh-CN"/>
        </w:rPr>
      </w:pPr>
      <w:r>
        <w:rPr>
          <w:rFonts w:hint="eastAsia"/>
          <w:lang w:val="en-US" w:eastAsia="zh-CN"/>
        </w:rPr>
        <w:t>表5.2-16  卫生防护距离计算结果表</w:t>
      </w:r>
    </w:p>
    <w:tbl>
      <w:tblPr>
        <w:tblStyle w:val="2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810"/>
        <w:gridCol w:w="1350"/>
        <w:gridCol w:w="734"/>
        <w:gridCol w:w="1335"/>
        <w:gridCol w:w="1140"/>
        <w:gridCol w:w="870"/>
        <w:gridCol w:w="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3" w:type="pct"/>
            <w:noWrap w:val="0"/>
            <w:vAlign w:val="center"/>
          </w:tcPr>
          <w:p>
            <w:pPr>
              <w:pStyle w:val="30"/>
              <w:bidi w:val="0"/>
            </w:pPr>
            <w:r>
              <w:t>无组织源</w:t>
            </w:r>
          </w:p>
        </w:tc>
        <w:tc>
          <w:tcPr>
            <w:tcW w:w="421" w:type="pct"/>
            <w:noWrap w:val="0"/>
            <w:vAlign w:val="center"/>
          </w:tcPr>
          <w:p>
            <w:pPr>
              <w:pStyle w:val="30"/>
              <w:bidi w:val="0"/>
            </w:pPr>
            <w:r>
              <w:t>污染物</w:t>
            </w:r>
          </w:p>
        </w:tc>
        <w:tc>
          <w:tcPr>
            <w:tcW w:w="702" w:type="pct"/>
            <w:noWrap w:val="0"/>
            <w:vAlign w:val="center"/>
          </w:tcPr>
          <w:p>
            <w:pPr>
              <w:pStyle w:val="30"/>
              <w:bidi w:val="0"/>
            </w:pPr>
            <w:r>
              <w:t>无组织排放量（kg/h）</w:t>
            </w:r>
          </w:p>
        </w:tc>
        <w:tc>
          <w:tcPr>
            <w:tcW w:w="381" w:type="pct"/>
            <w:noWrap w:val="0"/>
            <w:vAlign w:val="center"/>
          </w:tcPr>
          <w:p>
            <w:pPr>
              <w:pStyle w:val="30"/>
              <w:bidi w:val="0"/>
            </w:pPr>
            <w:r>
              <w:t>平均风速</w:t>
            </w:r>
          </w:p>
        </w:tc>
        <w:tc>
          <w:tcPr>
            <w:tcW w:w="694" w:type="pct"/>
            <w:noWrap w:val="0"/>
            <w:vAlign w:val="center"/>
          </w:tcPr>
          <w:p>
            <w:pPr>
              <w:pStyle w:val="30"/>
              <w:bidi w:val="0"/>
            </w:pPr>
            <w:r>
              <w:t>无组织排放面积（m</w:t>
            </w:r>
            <w:r>
              <w:rPr>
                <w:vertAlign w:val="superscript"/>
              </w:rPr>
              <w:t>2</w:t>
            </w:r>
            <w:r>
              <w:t>）</w:t>
            </w:r>
          </w:p>
        </w:tc>
        <w:tc>
          <w:tcPr>
            <w:tcW w:w="593" w:type="pct"/>
            <w:noWrap w:val="0"/>
            <w:vAlign w:val="center"/>
          </w:tcPr>
          <w:p>
            <w:pPr>
              <w:pStyle w:val="30"/>
              <w:bidi w:val="0"/>
            </w:pPr>
            <w:r>
              <w:t>评价标准（mg/m</w:t>
            </w:r>
            <w:r>
              <w:rPr>
                <w:vertAlign w:val="superscript"/>
              </w:rPr>
              <w:t>3</w:t>
            </w:r>
            <w:r>
              <w:t>）</w:t>
            </w:r>
          </w:p>
        </w:tc>
        <w:tc>
          <w:tcPr>
            <w:tcW w:w="452" w:type="pct"/>
            <w:noWrap w:val="0"/>
            <w:vAlign w:val="center"/>
          </w:tcPr>
          <w:p>
            <w:pPr>
              <w:pStyle w:val="30"/>
              <w:bidi w:val="0"/>
            </w:pPr>
            <w:r>
              <w:t>计算结果</w:t>
            </w:r>
          </w:p>
        </w:tc>
        <w:tc>
          <w:tcPr>
            <w:tcW w:w="490" w:type="pct"/>
            <w:noWrap w:val="0"/>
            <w:vAlign w:val="center"/>
          </w:tcPr>
          <w:p>
            <w:pPr>
              <w:pStyle w:val="30"/>
              <w:bidi w:val="0"/>
            </w:pPr>
            <w:r>
              <w:t>卫生防护距离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263" w:type="pct"/>
            <w:vMerge w:val="restart"/>
            <w:noWrap w:val="0"/>
            <w:vAlign w:val="center"/>
          </w:tcPr>
          <w:p>
            <w:pPr>
              <w:pStyle w:val="30"/>
              <w:bidi w:val="0"/>
              <w:rPr>
                <w:rFonts w:hint="default" w:eastAsia="宋体"/>
                <w:lang w:val="en-US" w:eastAsia="zh-CN"/>
              </w:rPr>
            </w:pPr>
            <w:r>
              <w:rPr>
                <w:rFonts w:hint="eastAsia"/>
                <w:lang w:val="en-US" w:eastAsia="zh-CN"/>
              </w:rPr>
              <w:t>待宰圈、屠宰车间、污水处理站等整个生产区（视为一个面源排放源）</w:t>
            </w:r>
          </w:p>
        </w:tc>
        <w:tc>
          <w:tcPr>
            <w:tcW w:w="421" w:type="pct"/>
            <w:noWrap w:val="0"/>
            <w:vAlign w:val="center"/>
          </w:tcPr>
          <w:p>
            <w:pPr>
              <w:pStyle w:val="30"/>
              <w:bidi w:val="0"/>
              <w:rPr>
                <w:rFonts w:hint="default" w:eastAsia="宋体"/>
                <w:vertAlign w:val="subscript"/>
                <w:lang w:val="en-US" w:eastAsia="zh-CN"/>
              </w:rPr>
            </w:pPr>
            <w:r>
              <w:rPr>
                <w:rFonts w:hint="eastAsia"/>
                <w:lang w:val="en-US" w:eastAsia="zh-CN"/>
              </w:rPr>
              <w:t>NH</w:t>
            </w:r>
            <w:r>
              <w:rPr>
                <w:rFonts w:hint="eastAsia"/>
                <w:vertAlign w:val="subscript"/>
                <w:lang w:val="en-US" w:eastAsia="zh-CN"/>
              </w:rPr>
              <w:t>3</w:t>
            </w:r>
          </w:p>
        </w:tc>
        <w:tc>
          <w:tcPr>
            <w:tcW w:w="702" w:type="pct"/>
            <w:noWrap w:val="0"/>
            <w:vAlign w:val="center"/>
          </w:tcPr>
          <w:p>
            <w:pPr>
              <w:pStyle w:val="30"/>
              <w:bidi w:val="0"/>
              <w:rPr>
                <w:rFonts w:hint="default"/>
                <w:lang w:val="en-US" w:eastAsia="zh-CN"/>
              </w:rPr>
            </w:pPr>
            <w:r>
              <w:rPr>
                <w:rFonts w:hint="eastAsia"/>
                <w:lang w:val="en-US" w:eastAsia="zh-CN"/>
              </w:rPr>
              <w:t>0.7</w:t>
            </w:r>
          </w:p>
        </w:tc>
        <w:tc>
          <w:tcPr>
            <w:tcW w:w="381" w:type="pct"/>
            <w:vMerge w:val="restart"/>
            <w:noWrap w:val="0"/>
            <w:vAlign w:val="center"/>
          </w:tcPr>
          <w:p>
            <w:pPr>
              <w:pStyle w:val="30"/>
              <w:bidi w:val="0"/>
              <w:rPr>
                <w:rFonts w:hint="default" w:eastAsia="宋体"/>
                <w:lang w:val="en-US" w:eastAsia="zh-CN"/>
              </w:rPr>
            </w:pPr>
            <w:r>
              <w:rPr>
                <w:rFonts w:hint="eastAsia"/>
                <w:lang w:val="en-US" w:eastAsia="zh-CN"/>
              </w:rPr>
              <w:t>0.5</w:t>
            </w:r>
          </w:p>
        </w:tc>
        <w:tc>
          <w:tcPr>
            <w:tcW w:w="694" w:type="pct"/>
            <w:vMerge w:val="restart"/>
            <w:noWrap w:val="0"/>
            <w:vAlign w:val="center"/>
          </w:tcPr>
          <w:p>
            <w:pPr>
              <w:pStyle w:val="30"/>
              <w:bidi w:val="0"/>
              <w:rPr>
                <w:rFonts w:hint="default" w:eastAsia="宋体"/>
                <w:lang w:val="en-US" w:eastAsia="zh-CN"/>
              </w:rPr>
            </w:pPr>
            <w:r>
              <w:rPr>
                <w:rFonts w:hint="eastAsia"/>
                <w:lang w:val="en-US" w:eastAsia="zh-CN"/>
              </w:rPr>
              <w:t>110000</w:t>
            </w:r>
          </w:p>
        </w:tc>
        <w:tc>
          <w:tcPr>
            <w:tcW w:w="593" w:type="pct"/>
            <w:noWrap w:val="0"/>
            <w:vAlign w:val="center"/>
          </w:tcPr>
          <w:p>
            <w:pPr>
              <w:pStyle w:val="30"/>
              <w:bidi w:val="0"/>
              <w:rPr>
                <w:rFonts w:hint="default" w:eastAsia="宋体"/>
                <w:lang w:val="en-US" w:eastAsia="zh-CN"/>
              </w:rPr>
            </w:pPr>
            <w:r>
              <w:rPr>
                <w:rFonts w:hint="eastAsia"/>
                <w:lang w:val="en-US" w:eastAsia="zh-CN"/>
              </w:rPr>
              <w:t>1.5</w:t>
            </w:r>
          </w:p>
        </w:tc>
        <w:tc>
          <w:tcPr>
            <w:tcW w:w="452" w:type="pct"/>
            <w:noWrap w:val="0"/>
            <w:vAlign w:val="center"/>
          </w:tcPr>
          <w:p>
            <w:pPr>
              <w:pStyle w:val="30"/>
              <w:bidi w:val="0"/>
              <w:rPr>
                <w:rFonts w:hint="default" w:eastAsia="宋体"/>
                <w:highlight w:val="none"/>
                <w:lang w:val="en-US" w:eastAsia="zh-CN"/>
              </w:rPr>
            </w:pPr>
            <w:r>
              <w:rPr>
                <w:rFonts w:hint="eastAsia"/>
                <w:highlight w:val="none"/>
                <w:lang w:val="en-US" w:eastAsia="zh-CN"/>
              </w:rPr>
              <w:t>2.424m</w:t>
            </w:r>
          </w:p>
        </w:tc>
        <w:tc>
          <w:tcPr>
            <w:tcW w:w="490" w:type="pct"/>
            <w:noWrap w:val="0"/>
            <w:vAlign w:val="center"/>
          </w:tcPr>
          <w:p>
            <w:pPr>
              <w:pStyle w:val="30"/>
              <w:bidi w:val="0"/>
            </w:pPr>
            <w: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3" w:type="pct"/>
            <w:vMerge w:val="continue"/>
            <w:noWrap w:val="0"/>
            <w:vAlign w:val="center"/>
          </w:tcPr>
          <w:p>
            <w:pPr>
              <w:pStyle w:val="30"/>
              <w:bidi w:val="0"/>
            </w:pPr>
          </w:p>
        </w:tc>
        <w:tc>
          <w:tcPr>
            <w:tcW w:w="421" w:type="pct"/>
            <w:noWrap w:val="0"/>
            <w:vAlign w:val="center"/>
          </w:tcPr>
          <w:p>
            <w:pPr>
              <w:pStyle w:val="30"/>
              <w:bidi w:val="0"/>
              <w:rPr>
                <w:rFonts w:hint="default" w:eastAsia="宋体"/>
                <w:vertAlign w:val="baseline"/>
                <w:lang w:val="en-US" w:eastAsia="zh-CN"/>
              </w:rPr>
            </w:pPr>
            <w:r>
              <w:rPr>
                <w:rFonts w:hint="eastAsia"/>
                <w:lang w:val="en-US" w:eastAsia="zh-CN"/>
              </w:rPr>
              <w:t>H</w:t>
            </w:r>
            <w:r>
              <w:rPr>
                <w:rFonts w:hint="eastAsia"/>
                <w:vertAlign w:val="subscript"/>
                <w:lang w:val="en-US" w:eastAsia="zh-CN"/>
              </w:rPr>
              <w:t>2</w:t>
            </w:r>
            <w:r>
              <w:rPr>
                <w:rFonts w:hint="eastAsia"/>
                <w:vertAlign w:val="baseline"/>
                <w:lang w:val="en-US" w:eastAsia="zh-CN"/>
              </w:rPr>
              <w:t>S</w:t>
            </w:r>
          </w:p>
        </w:tc>
        <w:tc>
          <w:tcPr>
            <w:tcW w:w="702" w:type="pct"/>
            <w:noWrap w:val="0"/>
            <w:vAlign w:val="center"/>
          </w:tcPr>
          <w:p>
            <w:pPr>
              <w:pStyle w:val="30"/>
              <w:bidi w:val="0"/>
              <w:rPr>
                <w:rFonts w:hint="default"/>
                <w:lang w:val="en-US" w:eastAsia="zh-CN"/>
              </w:rPr>
            </w:pPr>
            <w:r>
              <w:rPr>
                <w:rFonts w:hint="eastAsia"/>
                <w:lang w:val="en-US" w:eastAsia="zh-CN"/>
              </w:rPr>
              <w:t>0.007</w:t>
            </w:r>
          </w:p>
        </w:tc>
        <w:tc>
          <w:tcPr>
            <w:tcW w:w="381" w:type="pct"/>
            <w:vMerge w:val="continue"/>
            <w:noWrap w:val="0"/>
            <w:vAlign w:val="center"/>
          </w:tcPr>
          <w:p>
            <w:pPr>
              <w:pStyle w:val="30"/>
              <w:bidi w:val="0"/>
            </w:pPr>
          </w:p>
        </w:tc>
        <w:tc>
          <w:tcPr>
            <w:tcW w:w="694" w:type="pct"/>
            <w:vMerge w:val="continue"/>
            <w:noWrap w:val="0"/>
            <w:vAlign w:val="center"/>
          </w:tcPr>
          <w:p>
            <w:pPr>
              <w:pStyle w:val="30"/>
              <w:bidi w:val="0"/>
              <w:rPr>
                <w:rFonts w:hint="default" w:eastAsia="宋体"/>
                <w:lang w:val="en-US" w:eastAsia="zh-CN"/>
              </w:rPr>
            </w:pPr>
          </w:p>
        </w:tc>
        <w:tc>
          <w:tcPr>
            <w:tcW w:w="593" w:type="pct"/>
            <w:noWrap w:val="0"/>
            <w:vAlign w:val="center"/>
          </w:tcPr>
          <w:p>
            <w:pPr>
              <w:pStyle w:val="30"/>
              <w:bidi w:val="0"/>
              <w:rPr>
                <w:rFonts w:hint="default" w:eastAsia="宋体"/>
                <w:lang w:val="en-US" w:eastAsia="zh-CN"/>
              </w:rPr>
            </w:pPr>
            <w:r>
              <w:rPr>
                <w:rFonts w:hint="eastAsia"/>
                <w:lang w:val="en-US" w:eastAsia="zh-CN"/>
              </w:rPr>
              <w:t>0.06</w:t>
            </w:r>
          </w:p>
        </w:tc>
        <w:tc>
          <w:tcPr>
            <w:tcW w:w="452" w:type="pct"/>
            <w:noWrap w:val="0"/>
            <w:vAlign w:val="center"/>
          </w:tcPr>
          <w:p>
            <w:pPr>
              <w:pStyle w:val="30"/>
              <w:bidi w:val="0"/>
              <w:rPr>
                <w:rFonts w:hint="default" w:eastAsia="宋体"/>
                <w:highlight w:val="none"/>
                <w:lang w:val="en-US" w:eastAsia="zh-CN"/>
              </w:rPr>
            </w:pPr>
            <w:r>
              <w:rPr>
                <w:rFonts w:hint="eastAsia"/>
                <w:highlight w:val="none"/>
                <w:lang w:val="en-US" w:eastAsia="zh-CN"/>
              </w:rPr>
              <w:t>0.410m</w:t>
            </w:r>
          </w:p>
        </w:tc>
        <w:tc>
          <w:tcPr>
            <w:tcW w:w="490" w:type="pct"/>
            <w:noWrap w:val="0"/>
            <w:vAlign w:val="center"/>
          </w:tcPr>
          <w:p>
            <w:pPr>
              <w:pStyle w:val="30"/>
              <w:bidi w:val="0"/>
            </w:pPr>
            <w:r>
              <w:t>50</w:t>
            </w:r>
          </w:p>
        </w:tc>
      </w:tr>
    </w:tbl>
    <w:p>
      <w:pPr>
        <w:bidi w:val="0"/>
        <w:rPr>
          <w:rFonts w:hint="eastAsia" w:eastAsia="宋体"/>
          <w:lang w:eastAsia="zh-CN"/>
        </w:rPr>
      </w:pPr>
      <w:r>
        <w:rPr>
          <w:rFonts w:hint="eastAsia"/>
        </w:rPr>
        <w:t>根据标准中的规定</w:t>
      </w:r>
      <w:r>
        <w:rPr>
          <w:rFonts w:hint="eastAsia"/>
          <w:lang w:eastAsia="zh-CN"/>
        </w:rPr>
        <w:t>“</w:t>
      </w:r>
      <w:r>
        <w:rPr>
          <w:rFonts w:hint="eastAsia"/>
        </w:rPr>
        <w:t>卫生防护距离在100m以内时，级差为50m</w:t>
      </w:r>
      <w:r>
        <w:rPr>
          <w:rFonts w:hint="eastAsia"/>
          <w:lang w:eastAsia="zh-CN"/>
        </w:rPr>
        <w:t>；</w:t>
      </w:r>
      <w:r>
        <w:rPr>
          <w:rFonts w:hint="eastAsia"/>
        </w:rPr>
        <w:t>超过100m</w:t>
      </w:r>
      <w:r>
        <w:rPr>
          <w:rFonts w:hint="eastAsia"/>
          <w:lang w:eastAsia="zh-CN"/>
        </w:rPr>
        <w:t>，</w:t>
      </w:r>
      <w:r>
        <w:rPr>
          <w:rFonts w:hint="eastAsia"/>
        </w:rPr>
        <w:t>但小于或等于1000m时，级差为100m</w:t>
      </w:r>
      <w:r>
        <w:rPr>
          <w:rFonts w:hint="eastAsia"/>
          <w:lang w:eastAsia="zh-CN"/>
        </w:rPr>
        <w:t>；</w:t>
      </w:r>
      <w:r>
        <w:rPr>
          <w:rFonts w:hint="eastAsia"/>
        </w:rPr>
        <w:t>无组织排放多种有害气体的工业企业，按Qc/Qm的最大值计算所需卫生防护距离</w:t>
      </w:r>
      <w:r>
        <w:rPr>
          <w:rFonts w:hint="eastAsia"/>
          <w:lang w:eastAsia="zh-CN"/>
        </w:rPr>
        <w:t>；</w:t>
      </w:r>
      <w:r>
        <w:rPr>
          <w:rFonts w:hint="eastAsia"/>
        </w:rPr>
        <w:t>但当按两种或两种以上的有害气体的Qc/Qm值计算的卫生防护距离在同一级别时，该类工业企业的卫生防护距离级别应高一级</w:t>
      </w:r>
      <w:r>
        <w:rPr>
          <w:rFonts w:hint="eastAsia"/>
          <w:lang w:eastAsia="zh-CN"/>
        </w:rPr>
        <w:t>”</w:t>
      </w:r>
      <w:r>
        <w:rPr>
          <w:rFonts w:hint="eastAsia"/>
        </w:rPr>
        <w:t>。因此，最终确定本项目无组织排放单元的卫生防护距离为</w:t>
      </w:r>
      <w:r>
        <w:rPr>
          <w:rFonts w:hint="eastAsia"/>
          <w:lang w:eastAsia="zh-CN"/>
        </w:rPr>
        <w:t>：</w:t>
      </w:r>
      <w:r>
        <w:rPr>
          <w:rFonts w:hint="eastAsia"/>
        </w:rPr>
        <w:t>以本项目恶臭气体产污单元（</w:t>
      </w:r>
      <w:r>
        <w:rPr>
          <w:rFonts w:hint="eastAsia"/>
          <w:lang w:eastAsia="zh-CN"/>
        </w:rPr>
        <w:t>待宰圈</w:t>
      </w:r>
      <w:r>
        <w:rPr>
          <w:rFonts w:hint="eastAsia"/>
        </w:rPr>
        <w:t>、屠宰车间和污水处理站）为无组织单元，向外延伸100m</w:t>
      </w:r>
      <w:r>
        <w:rPr>
          <w:rFonts w:hint="eastAsia"/>
          <w:lang w:eastAsia="zh-CN"/>
        </w:rPr>
        <w:t>。</w:t>
      </w:r>
    </w:p>
    <w:p>
      <w:pPr>
        <w:bidi w:val="0"/>
        <w:rPr>
          <w:rFonts w:hint="eastAsia"/>
          <w:lang w:val="en-US" w:eastAsia="zh-CN"/>
        </w:rPr>
      </w:pPr>
      <w:r>
        <w:rPr>
          <w:rFonts w:hint="eastAsia"/>
          <w:lang w:val="en-US" w:eastAsia="zh-CN"/>
        </w:rPr>
        <w:t>与本项目恶臭气体产无单元最近的敏感点为东北侧120m处的石泉村散户，不在项目的卫生防护距离范围内。因此，本项目卫生防护距离范围内无村庄、住宅、学校等敏感点，现状周边外环境可以满足卫生防护距离要求。</w:t>
      </w:r>
    </w:p>
    <w:p>
      <w:pPr>
        <w:pStyle w:val="6"/>
        <w:bidi w:val="0"/>
        <w:rPr>
          <w:lang w:val="en-US"/>
        </w:rPr>
      </w:pPr>
      <w:r>
        <w:rPr>
          <w:rFonts w:hint="eastAsia"/>
          <w:lang w:val="en-US" w:eastAsia="zh-CN"/>
        </w:rPr>
        <w:t>对敏感点的大气环境影响分析</w:t>
      </w:r>
    </w:p>
    <w:p>
      <w:pPr>
        <w:keepNext w:val="0"/>
        <w:keepLines w:val="0"/>
        <w:widowControl w:val="0"/>
        <w:suppressLineNumbers w:val="0"/>
        <w:wordWrap w:val="0"/>
        <w:autoSpaceDE w:val="0"/>
        <w:autoSpaceDN w:val="0"/>
        <w:adjustRightInd w:val="0"/>
        <w:spacing w:before="0" w:beforeAutospacing="0" w:after="0" w:afterAutospacing="0" w:line="360" w:lineRule="auto"/>
        <w:ind w:left="0" w:right="0" w:firstLine="480" w:firstLineChars="200"/>
        <w:jc w:val="left"/>
        <w:rPr>
          <w:sz w:val="24"/>
          <w:szCs w:val="24"/>
          <w:lang w:val="en-US"/>
        </w:rPr>
      </w:pPr>
      <w:r>
        <w:rPr>
          <w:rFonts w:hint="eastAsia" w:ascii="Times New Roman" w:hAnsi="Times New Roman" w:eastAsia="宋体" w:cs="宋体"/>
          <w:kern w:val="0"/>
          <w:sz w:val="24"/>
          <w:szCs w:val="24"/>
          <w:lang w:val="en-US" w:eastAsia="zh-CN" w:bidi="ar"/>
        </w:rPr>
        <w:t>考虑相同污染物在评价范围内相同敏感点的叠加值后，营运期项目无组织排放的恶臭污染物</w:t>
      </w:r>
      <w:r>
        <w:rPr>
          <w:rFonts w:hint="default" w:ascii="Times New Roman" w:hAnsi="Times New Roman" w:eastAsia="宋体" w:cs="Times New Roman"/>
          <w:kern w:val="0"/>
          <w:sz w:val="24"/>
          <w:szCs w:val="24"/>
          <w:lang w:val="en-US" w:eastAsia="zh-CN" w:bidi="ar"/>
        </w:rPr>
        <w:t>NH</w:t>
      </w:r>
      <w:r>
        <w:rPr>
          <w:rFonts w:hint="default" w:ascii="Times New Roman" w:hAnsi="Times New Roman" w:eastAsia="宋体" w:cs="Times New Roman"/>
          <w:kern w:val="0"/>
          <w:sz w:val="24"/>
          <w:szCs w:val="24"/>
          <w:vertAlign w:val="subscript"/>
          <w:lang w:val="en-US" w:eastAsia="zh-CN" w:bidi="ar"/>
        </w:rPr>
        <w:t>3</w:t>
      </w:r>
      <w:r>
        <w:rPr>
          <w:rFonts w:hint="eastAsia" w:ascii="Times New Roman" w:hAnsi="Times New Roman" w:eastAsia="宋体" w:cs="宋体"/>
          <w:kern w:val="0"/>
          <w:sz w:val="24"/>
          <w:szCs w:val="24"/>
          <w:lang w:val="en-US" w:eastAsia="zh-CN" w:bidi="ar"/>
        </w:rPr>
        <w:t>、</w:t>
      </w:r>
      <w:r>
        <w:rPr>
          <w:rFonts w:hint="default" w:ascii="Times New Roman" w:hAnsi="Times New Roman" w:eastAsia="宋体" w:cs="Times New Roman"/>
          <w:kern w:val="0"/>
          <w:sz w:val="24"/>
          <w:szCs w:val="24"/>
          <w:lang w:val="en-US" w:eastAsia="zh-CN" w:bidi="ar"/>
        </w:rPr>
        <w:t>H</w:t>
      </w:r>
      <w:r>
        <w:rPr>
          <w:rFonts w:hint="default" w:ascii="Times New Roman" w:hAnsi="Times New Roman" w:eastAsia="宋体" w:cs="Times New Roman"/>
          <w:kern w:val="0"/>
          <w:sz w:val="24"/>
          <w:szCs w:val="24"/>
          <w:vertAlign w:val="subscript"/>
          <w:lang w:val="en-US" w:eastAsia="zh-CN" w:bidi="ar"/>
        </w:rPr>
        <w:t>2</w:t>
      </w:r>
      <w:r>
        <w:rPr>
          <w:rFonts w:hint="default" w:ascii="Times New Roman" w:hAnsi="Times New Roman" w:eastAsia="宋体" w:cs="Times New Roman"/>
          <w:kern w:val="0"/>
          <w:sz w:val="24"/>
          <w:szCs w:val="24"/>
          <w:lang w:val="en-US" w:eastAsia="zh-CN" w:bidi="ar"/>
        </w:rPr>
        <w:t>S</w:t>
      </w:r>
      <w:r>
        <w:rPr>
          <w:rFonts w:hint="eastAsia" w:ascii="Times New Roman" w:hAnsi="Times New Roman" w:eastAsia="宋体" w:cs="宋体"/>
          <w:kern w:val="0"/>
          <w:sz w:val="24"/>
          <w:szCs w:val="24"/>
          <w:lang w:val="en-US" w:eastAsia="zh-CN" w:bidi="ar"/>
        </w:rPr>
        <w:t>对周边较近敏感点的影响分析</w:t>
      </w:r>
      <w:r>
        <w:rPr>
          <w:rFonts w:hint="eastAsia" w:ascii="Times New Roman" w:hAnsi="Times New Roman" w:eastAsia="宋体" w:cs="宋体"/>
          <w:kern w:val="2"/>
          <w:sz w:val="24"/>
          <w:szCs w:val="24"/>
          <w:lang w:val="en-US" w:eastAsia="zh-CN" w:bidi="ar"/>
        </w:rPr>
        <w:t>可达《</w:t>
      </w:r>
      <w:r>
        <w:rPr>
          <w:rFonts w:hint="eastAsia" w:ascii="Times New Roman" w:hAnsi="Times New Roman" w:eastAsia="宋体" w:cs="宋体"/>
          <w:kern w:val="0"/>
          <w:sz w:val="24"/>
          <w:szCs w:val="24"/>
          <w:lang w:val="en-US" w:eastAsia="zh-CN" w:bidi="ar"/>
        </w:rPr>
        <w:t>环境影响评价技术导则</w:t>
      </w:r>
      <w:r>
        <w:rPr>
          <w:rFonts w:hint="default" w:ascii="Times New Roman" w:hAnsi="Times New Roman" w:eastAsia="宋体" w:cs="Times New Roman"/>
          <w:kern w:val="0"/>
          <w:sz w:val="24"/>
          <w:szCs w:val="24"/>
          <w:lang w:val="en-US" w:eastAsia="zh-CN" w:bidi="ar"/>
        </w:rPr>
        <w:t xml:space="preserve">  </w:t>
      </w:r>
      <w:r>
        <w:rPr>
          <w:rFonts w:hint="eastAsia" w:ascii="Times New Roman" w:hAnsi="Times New Roman" w:eastAsia="宋体" w:cs="宋体"/>
          <w:kern w:val="0"/>
          <w:sz w:val="24"/>
          <w:szCs w:val="24"/>
          <w:lang w:val="en-US" w:eastAsia="zh-CN" w:bidi="ar"/>
        </w:rPr>
        <w:t>大气环境》（</w:t>
      </w:r>
      <w:r>
        <w:rPr>
          <w:rFonts w:hint="default" w:ascii="Times New Roman" w:hAnsi="Times New Roman" w:eastAsia="宋体" w:cs="Times New Roman"/>
          <w:kern w:val="0"/>
          <w:sz w:val="24"/>
          <w:szCs w:val="24"/>
          <w:lang w:val="en-US" w:eastAsia="zh-CN" w:bidi="ar"/>
        </w:rPr>
        <w:t>HJ2.2-2018</w:t>
      </w:r>
      <w:r>
        <w:rPr>
          <w:rFonts w:hint="eastAsia" w:ascii="Times New Roman" w:hAnsi="Times New Roman" w:eastAsia="宋体" w:cs="宋体"/>
          <w:kern w:val="0"/>
          <w:sz w:val="24"/>
          <w:szCs w:val="24"/>
          <w:lang w:val="en-US" w:eastAsia="zh-CN" w:bidi="ar"/>
        </w:rPr>
        <w:t>）</w:t>
      </w:r>
      <w:r>
        <w:rPr>
          <w:rFonts w:hint="eastAsia" w:ascii="Times New Roman" w:hAnsi="Times New Roman" w:eastAsia="宋体" w:cs="宋体"/>
          <w:kern w:val="2"/>
          <w:sz w:val="24"/>
          <w:szCs w:val="24"/>
          <w:lang w:val="en-US" w:eastAsia="zh-CN" w:bidi="ar"/>
        </w:rPr>
        <w:t>附录</w:t>
      </w:r>
      <w:r>
        <w:rPr>
          <w:rFonts w:hint="default" w:ascii="Times New Roman" w:hAnsi="Times New Roman" w:eastAsia="宋体" w:cs="Times New Roman"/>
          <w:kern w:val="2"/>
          <w:sz w:val="24"/>
          <w:szCs w:val="24"/>
          <w:lang w:val="en-US" w:eastAsia="zh-CN" w:bidi="ar"/>
        </w:rPr>
        <w:t>D</w:t>
      </w:r>
      <w:r>
        <w:rPr>
          <w:rFonts w:hint="eastAsia" w:ascii="Times New Roman" w:hAnsi="Times New Roman" w:eastAsia="宋体" w:cs="宋体"/>
          <w:kern w:val="2"/>
          <w:sz w:val="24"/>
          <w:szCs w:val="24"/>
          <w:lang w:val="en-US" w:eastAsia="zh-CN" w:bidi="ar"/>
        </w:rPr>
        <w:t>浓度限值。对周边敏感点的恶臭影响较小。项目营运期排放的恶臭污染物对评价范围内的敏感点环境空气质量影响不大。</w:t>
      </w:r>
    </w:p>
    <w:p>
      <w:pPr>
        <w:pStyle w:val="6"/>
        <w:bidi w:val="0"/>
        <w:rPr>
          <w:lang w:val="en-US"/>
        </w:rPr>
      </w:pPr>
      <w:r>
        <w:rPr>
          <w:rFonts w:hint="eastAsia"/>
          <w:lang w:val="en-US" w:eastAsia="zh-CN"/>
        </w:rPr>
        <w:t>对厂界的影响分析</w:t>
      </w:r>
    </w:p>
    <w:p>
      <w:pPr>
        <w:keepNext w:val="0"/>
        <w:keepLines w:val="0"/>
        <w:widowControl w:val="0"/>
        <w:suppressLineNumbers w:val="0"/>
        <w:spacing w:before="0" w:beforeAutospacing="0" w:after="0" w:afterAutospacing="0" w:line="360" w:lineRule="auto"/>
        <w:ind w:left="0" w:right="0" w:firstLine="480"/>
        <w:jc w:val="both"/>
        <w:rPr>
          <w:sz w:val="24"/>
          <w:szCs w:val="24"/>
          <w:lang w:val="en-US"/>
        </w:rPr>
      </w:pPr>
      <w:r>
        <w:rPr>
          <w:rFonts w:hint="eastAsia" w:ascii="Times New Roman" w:hAnsi="Times New Roman" w:eastAsia="宋体" w:cs="宋体"/>
          <w:kern w:val="2"/>
          <w:sz w:val="24"/>
          <w:szCs w:val="24"/>
          <w:lang w:val="en-US" w:eastAsia="zh-CN" w:bidi="ar"/>
        </w:rPr>
        <w:t>根据厂区布局，考虑同种污染落地浓度叠加，评价根据导则推荐的估算模式估算结果，项目厂界可达《恶臭污染物排放标准》（</w:t>
      </w:r>
      <w:r>
        <w:rPr>
          <w:rFonts w:hint="default" w:ascii="Times New Roman" w:hAnsi="Times New Roman" w:eastAsia="宋体" w:cs="Times New Roman"/>
          <w:kern w:val="2"/>
          <w:sz w:val="24"/>
          <w:szCs w:val="24"/>
          <w:lang w:val="en-US" w:eastAsia="zh-CN" w:bidi="ar"/>
        </w:rPr>
        <w:t>GB14554-93</w:t>
      </w:r>
      <w:r>
        <w:rPr>
          <w:rFonts w:hint="eastAsia" w:ascii="Times New Roman" w:hAnsi="Times New Roman" w:eastAsia="宋体" w:cs="宋体"/>
          <w:kern w:val="2"/>
          <w:sz w:val="24"/>
          <w:szCs w:val="24"/>
          <w:lang w:val="en-US" w:eastAsia="zh-CN" w:bidi="ar"/>
        </w:rPr>
        <w:t>）表</w:t>
      </w:r>
      <w:r>
        <w:rPr>
          <w:rFonts w:hint="default" w:ascii="Times New Roman" w:hAnsi="Times New Roman" w:eastAsia="宋体" w:cs="Times New Roman"/>
          <w:kern w:val="2"/>
          <w:sz w:val="24"/>
          <w:szCs w:val="24"/>
          <w:lang w:val="en-US" w:eastAsia="zh-CN" w:bidi="ar"/>
        </w:rPr>
        <w:t>1</w:t>
      </w:r>
      <w:r>
        <w:rPr>
          <w:rFonts w:hint="eastAsia" w:ascii="Times New Roman" w:hAnsi="Times New Roman" w:eastAsia="宋体" w:cs="宋体"/>
          <w:kern w:val="2"/>
          <w:sz w:val="24"/>
          <w:szCs w:val="24"/>
          <w:lang w:val="en-US" w:eastAsia="zh-CN" w:bidi="ar"/>
        </w:rPr>
        <w:t>新扩改建厂界二级标准值的要求（即</w:t>
      </w:r>
      <w:r>
        <w:rPr>
          <w:rFonts w:hint="default" w:ascii="Times New Roman" w:hAnsi="Times New Roman" w:eastAsia="宋体" w:cs="Times New Roman"/>
          <w:kern w:val="2"/>
          <w:sz w:val="24"/>
          <w:szCs w:val="24"/>
          <w:lang w:val="en-US" w:eastAsia="zh-CN" w:bidi="ar"/>
        </w:rPr>
        <w:t>NH</w:t>
      </w:r>
      <w:r>
        <w:rPr>
          <w:rFonts w:hint="default" w:ascii="Times New Roman" w:hAnsi="Times New Roman" w:eastAsia="宋体" w:cs="Times New Roman"/>
          <w:kern w:val="2"/>
          <w:sz w:val="24"/>
          <w:szCs w:val="24"/>
          <w:vertAlign w:val="subscript"/>
          <w:lang w:val="en-US" w:eastAsia="zh-CN" w:bidi="ar"/>
        </w:rPr>
        <w:t>3</w:t>
      </w:r>
      <w:r>
        <w:rPr>
          <w:rFonts w:hint="eastAsia" w:ascii="Times New Roman" w:hAnsi="Times New Roman" w:eastAsia="宋体" w:cs="宋体"/>
          <w:kern w:val="2"/>
          <w:sz w:val="24"/>
          <w:szCs w:val="24"/>
          <w:lang w:val="en-US" w:eastAsia="zh-CN" w:bidi="ar"/>
        </w:rPr>
        <w:t>为</w:t>
      </w:r>
      <w:r>
        <w:rPr>
          <w:rFonts w:hint="default" w:ascii="Times New Roman" w:hAnsi="Times New Roman" w:eastAsia="宋体" w:cs="Times New Roman"/>
          <w:kern w:val="2"/>
          <w:sz w:val="24"/>
          <w:szCs w:val="24"/>
          <w:lang w:val="en-US" w:eastAsia="zh-CN" w:bidi="ar"/>
        </w:rPr>
        <w:t>1.5mg/m</w:t>
      </w:r>
      <w:r>
        <w:rPr>
          <w:rFonts w:hint="default" w:ascii="Times New Roman" w:hAnsi="Times New Roman" w:eastAsia="宋体" w:cs="Times New Roman"/>
          <w:kern w:val="2"/>
          <w:sz w:val="24"/>
          <w:szCs w:val="24"/>
          <w:vertAlign w:val="superscript"/>
          <w:lang w:val="en-US" w:eastAsia="zh-CN" w:bidi="ar"/>
        </w:rPr>
        <w:t>3</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H</w:t>
      </w:r>
      <w:r>
        <w:rPr>
          <w:rFonts w:hint="default" w:ascii="Times New Roman" w:hAnsi="Times New Roman" w:eastAsia="宋体" w:cs="Times New Roman"/>
          <w:kern w:val="2"/>
          <w:sz w:val="24"/>
          <w:szCs w:val="24"/>
          <w:vertAlign w:val="subscript"/>
          <w:lang w:val="en-US" w:eastAsia="zh-CN" w:bidi="ar"/>
        </w:rPr>
        <w:t>2</w:t>
      </w:r>
      <w:r>
        <w:rPr>
          <w:rFonts w:hint="default" w:ascii="Times New Roman" w:hAnsi="Times New Roman" w:eastAsia="宋体" w:cs="Times New Roman"/>
          <w:kern w:val="2"/>
          <w:sz w:val="24"/>
          <w:szCs w:val="24"/>
          <w:lang w:val="en-US" w:eastAsia="zh-CN" w:bidi="ar"/>
        </w:rPr>
        <w:t>S</w:t>
      </w:r>
      <w:r>
        <w:rPr>
          <w:rFonts w:hint="eastAsia" w:ascii="Times New Roman" w:hAnsi="Times New Roman" w:eastAsia="宋体" w:cs="宋体"/>
          <w:kern w:val="2"/>
          <w:sz w:val="24"/>
          <w:szCs w:val="24"/>
          <w:lang w:val="en-US" w:eastAsia="zh-CN" w:bidi="ar"/>
        </w:rPr>
        <w:t>为</w:t>
      </w:r>
      <w:r>
        <w:rPr>
          <w:rFonts w:hint="default" w:ascii="Times New Roman" w:hAnsi="Times New Roman" w:eastAsia="宋体" w:cs="Times New Roman"/>
          <w:kern w:val="2"/>
          <w:sz w:val="24"/>
          <w:szCs w:val="24"/>
          <w:lang w:val="en-US" w:eastAsia="zh-CN" w:bidi="ar"/>
        </w:rPr>
        <w:t>0.06mg/m</w:t>
      </w:r>
      <w:r>
        <w:rPr>
          <w:rFonts w:hint="default" w:ascii="Times New Roman" w:hAnsi="Times New Roman" w:eastAsia="宋体" w:cs="Times New Roman"/>
          <w:kern w:val="2"/>
          <w:sz w:val="24"/>
          <w:szCs w:val="24"/>
          <w:vertAlign w:val="superscript"/>
          <w:lang w:val="en-US" w:eastAsia="zh-CN" w:bidi="ar"/>
        </w:rPr>
        <w:t>3</w:t>
      </w:r>
      <w:r>
        <w:rPr>
          <w:rFonts w:hint="eastAsia" w:ascii="Times New Roman" w:hAnsi="Times New Roman" w:eastAsia="宋体" w:cs="宋体"/>
          <w:kern w:val="2"/>
          <w:sz w:val="24"/>
          <w:szCs w:val="24"/>
          <w:lang w:val="en-US" w:eastAsia="zh-CN" w:bidi="ar"/>
        </w:rPr>
        <w:t>）。</w:t>
      </w:r>
    </w:p>
    <w:p>
      <w:pPr>
        <w:pStyle w:val="6"/>
        <w:bidi w:val="0"/>
        <w:rPr>
          <w:rFonts w:hint="default"/>
          <w:lang w:val="en-US" w:eastAsia="zh-CN"/>
        </w:rPr>
      </w:pPr>
      <w:r>
        <w:rPr>
          <w:rFonts w:hint="eastAsia"/>
          <w:lang w:val="en-US" w:eastAsia="zh-CN"/>
        </w:rPr>
        <w:t>恶臭对周边环境的影响</w:t>
      </w:r>
    </w:p>
    <w:p>
      <w:pPr>
        <w:keepNext w:val="0"/>
        <w:keepLines w:val="0"/>
        <w:widowControl w:val="0"/>
        <w:suppressLineNumbers w:val="0"/>
        <w:spacing w:before="0" w:beforeAutospacing="0" w:after="0" w:afterAutospacing="0" w:line="360" w:lineRule="auto"/>
        <w:ind w:left="0" w:right="0" w:firstLine="480" w:firstLineChars="200"/>
        <w:jc w:val="both"/>
        <w:rPr>
          <w:sz w:val="24"/>
          <w:szCs w:val="20"/>
          <w:lang w:val="en-US"/>
        </w:rPr>
      </w:pPr>
      <w:r>
        <w:rPr>
          <w:rFonts w:hint="eastAsia" w:ascii="Times New Roman" w:hAnsi="Times New Roman" w:eastAsia="宋体" w:cs="宋体"/>
          <w:kern w:val="2"/>
          <w:sz w:val="24"/>
          <w:szCs w:val="20"/>
          <w:lang w:val="en-US" w:eastAsia="zh-CN" w:bidi="ar"/>
        </w:rPr>
        <w:t>恶臭气体浓度对人体的影响大致可以分为四种情况：</w:t>
      </w:r>
    </w:p>
    <w:p>
      <w:pPr>
        <w:keepNext w:val="0"/>
        <w:keepLines w:val="0"/>
        <w:widowControl w:val="0"/>
        <w:suppressLineNumbers w:val="0"/>
        <w:spacing w:before="0" w:beforeAutospacing="0" w:after="0" w:afterAutospacing="0" w:line="360" w:lineRule="auto"/>
        <w:ind w:left="0" w:right="0" w:firstLine="480" w:firstLineChars="200"/>
        <w:jc w:val="both"/>
        <w:rPr>
          <w:sz w:val="24"/>
          <w:szCs w:val="20"/>
          <w:lang w:val="en-US"/>
        </w:rPr>
      </w:pPr>
      <w:r>
        <w:rPr>
          <w:rFonts w:hint="default" w:ascii="Times New Roman" w:hAnsi="Times New Roman" w:eastAsia="宋体" w:cs="Times New Roman"/>
          <w:kern w:val="2"/>
          <w:sz w:val="24"/>
          <w:szCs w:val="20"/>
          <w:lang w:val="en-US" w:eastAsia="zh-CN" w:bidi="ar"/>
        </w:rPr>
        <w:t>①</w:t>
      </w:r>
      <w:r>
        <w:rPr>
          <w:rFonts w:hint="eastAsia" w:ascii="Times New Roman" w:hAnsi="Times New Roman" w:eastAsia="宋体" w:cs="宋体"/>
          <w:kern w:val="2"/>
          <w:sz w:val="24"/>
          <w:szCs w:val="20"/>
          <w:lang w:val="en-US" w:eastAsia="zh-CN" w:bidi="ar"/>
        </w:rPr>
        <w:t>不产生直接或间接的影响；</w:t>
      </w:r>
    </w:p>
    <w:p>
      <w:pPr>
        <w:keepNext w:val="0"/>
        <w:keepLines w:val="0"/>
        <w:widowControl w:val="0"/>
        <w:suppressLineNumbers w:val="0"/>
        <w:spacing w:before="0" w:beforeAutospacing="0" w:after="0" w:afterAutospacing="0" w:line="360" w:lineRule="auto"/>
        <w:ind w:left="0" w:right="0" w:firstLine="480" w:firstLineChars="200"/>
        <w:jc w:val="both"/>
        <w:rPr>
          <w:sz w:val="24"/>
          <w:szCs w:val="20"/>
          <w:lang w:val="en-US"/>
        </w:rPr>
      </w:pPr>
      <w:r>
        <w:rPr>
          <w:rFonts w:hint="default" w:ascii="Times New Roman" w:hAnsi="Times New Roman" w:eastAsia="宋体" w:cs="Times New Roman"/>
          <w:kern w:val="2"/>
          <w:sz w:val="24"/>
          <w:szCs w:val="20"/>
          <w:lang w:val="en-US" w:eastAsia="zh-CN" w:bidi="ar"/>
        </w:rPr>
        <w:t>②</w:t>
      </w:r>
      <w:r>
        <w:rPr>
          <w:rFonts w:hint="eastAsia" w:ascii="Times New Roman" w:hAnsi="Times New Roman" w:eastAsia="宋体" w:cs="宋体"/>
          <w:kern w:val="2"/>
          <w:sz w:val="24"/>
          <w:szCs w:val="20"/>
          <w:lang w:val="en-US" w:eastAsia="zh-CN" w:bidi="ar"/>
        </w:rPr>
        <w:t>恶臭气体的浓度已对植物产生危害，则将影响人的眼睛，使其视力下降；</w:t>
      </w:r>
    </w:p>
    <w:p>
      <w:pPr>
        <w:keepNext w:val="0"/>
        <w:keepLines w:val="0"/>
        <w:widowControl w:val="0"/>
        <w:suppressLineNumbers w:val="0"/>
        <w:spacing w:before="0" w:beforeAutospacing="0" w:after="0" w:afterAutospacing="0" w:line="360" w:lineRule="auto"/>
        <w:ind w:left="0" w:right="0" w:firstLine="480" w:firstLineChars="200"/>
        <w:jc w:val="both"/>
        <w:rPr>
          <w:sz w:val="24"/>
          <w:szCs w:val="20"/>
          <w:lang w:val="en-US"/>
        </w:rPr>
      </w:pPr>
      <w:r>
        <w:rPr>
          <w:rFonts w:hint="default" w:ascii="Times New Roman" w:hAnsi="Times New Roman" w:eastAsia="宋体" w:cs="Times New Roman"/>
          <w:kern w:val="2"/>
          <w:sz w:val="24"/>
          <w:szCs w:val="20"/>
          <w:lang w:val="en-US" w:eastAsia="zh-CN" w:bidi="ar"/>
        </w:rPr>
        <w:t>③</w:t>
      </w:r>
      <w:r>
        <w:rPr>
          <w:rFonts w:hint="eastAsia" w:ascii="Times New Roman" w:hAnsi="Times New Roman" w:eastAsia="宋体" w:cs="宋体"/>
          <w:kern w:val="2"/>
          <w:sz w:val="24"/>
          <w:szCs w:val="20"/>
          <w:lang w:val="en-US" w:eastAsia="zh-CN" w:bidi="ar"/>
        </w:rPr>
        <w:t>对人的中枢神经产生障碍和病变，并引起慢性病及缩短生命。</w:t>
      </w:r>
    </w:p>
    <w:p>
      <w:pPr>
        <w:keepNext w:val="0"/>
        <w:keepLines w:val="0"/>
        <w:widowControl w:val="0"/>
        <w:suppressLineNumbers w:val="0"/>
        <w:spacing w:before="0" w:beforeAutospacing="0" w:after="0" w:afterAutospacing="0" w:line="360" w:lineRule="auto"/>
        <w:ind w:left="0" w:right="0" w:firstLine="480" w:firstLineChars="200"/>
        <w:jc w:val="both"/>
        <w:rPr>
          <w:sz w:val="24"/>
          <w:szCs w:val="20"/>
          <w:lang w:val="en-US"/>
        </w:rPr>
      </w:pPr>
      <w:r>
        <w:rPr>
          <w:rFonts w:hint="default" w:ascii="Times New Roman" w:hAnsi="Times New Roman" w:eastAsia="宋体" w:cs="Times New Roman"/>
          <w:kern w:val="2"/>
          <w:sz w:val="24"/>
          <w:szCs w:val="20"/>
          <w:lang w:val="en-US" w:eastAsia="zh-CN" w:bidi="ar"/>
        </w:rPr>
        <w:t>④</w:t>
      </w:r>
      <w:r>
        <w:rPr>
          <w:rFonts w:hint="eastAsia" w:ascii="Times New Roman" w:hAnsi="Times New Roman" w:eastAsia="宋体" w:cs="宋体"/>
          <w:kern w:val="2"/>
          <w:sz w:val="24"/>
          <w:szCs w:val="20"/>
          <w:lang w:val="en-US" w:eastAsia="zh-CN" w:bidi="ar"/>
        </w:rPr>
        <w:t>引发急性病，并有可能引起死亡。</w:t>
      </w:r>
    </w:p>
    <w:p>
      <w:pPr>
        <w:keepNext w:val="0"/>
        <w:keepLines w:val="0"/>
        <w:widowControl w:val="0"/>
        <w:suppressLineNumbers w:val="0"/>
        <w:spacing w:before="0" w:beforeAutospacing="0" w:after="0" w:afterAutospacing="0" w:line="360" w:lineRule="auto"/>
        <w:ind w:left="0" w:right="0" w:firstLine="480" w:firstLineChars="200"/>
        <w:jc w:val="both"/>
        <w:rPr>
          <w:sz w:val="24"/>
          <w:szCs w:val="20"/>
          <w:lang w:val="en-US"/>
        </w:rPr>
      </w:pPr>
      <w:r>
        <w:rPr>
          <w:rFonts w:hint="eastAsia" w:ascii="Times New Roman" w:hAnsi="Times New Roman" w:eastAsia="宋体" w:cs="宋体"/>
          <w:kern w:val="2"/>
          <w:sz w:val="24"/>
          <w:szCs w:val="20"/>
          <w:lang w:val="en-US" w:eastAsia="zh-CN" w:bidi="ar"/>
        </w:rPr>
        <w:t>恶臭气体污染对人体的影响一般仅停留在</w:t>
      </w:r>
      <w:r>
        <w:rPr>
          <w:rFonts w:hint="default" w:ascii="Times New Roman" w:hAnsi="Times New Roman" w:eastAsia="宋体" w:cs="Times New Roman"/>
          <w:kern w:val="2"/>
          <w:sz w:val="24"/>
          <w:szCs w:val="20"/>
          <w:lang w:val="en-US" w:eastAsia="zh-CN" w:bidi="ar"/>
        </w:rPr>
        <w:t>①</w:t>
      </w:r>
      <w:r>
        <w:rPr>
          <w:rFonts w:hint="eastAsia" w:ascii="Times New Roman" w:hAnsi="Times New Roman" w:eastAsia="宋体" w:cs="宋体"/>
          <w:kern w:val="2"/>
          <w:sz w:val="24"/>
          <w:szCs w:val="20"/>
          <w:lang w:val="en-US" w:eastAsia="zh-CN" w:bidi="ar"/>
        </w:rPr>
        <w:t>、</w:t>
      </w:r>
      <w:r>
        <w:rPr>
          <w:rFonts w:hint="default" w:ascii="Times New Roman" w:hAnsi="Times New Roman" w:eastAsia="宋体" w:cs="Times New Roman"/>
          <w:kern w:val="2"/>
          <w:sz w:val="24"/>
          <w:szCs w:val="20"/>
          <w:lang w:val="en-US" w:eastAsia="zh-CN" w:bidi="ar"/>
        </w:rPr>
        <w:t>②</w:t>
      </w:r>
      <w:r>
        <w:rPr>
          <w:rFonts w:hint="eastAsia" w:ascii="Times New Roman" w:hAnsi="Times New Roman" w:eastAsia="宋体" w:cs="宋体"/>
          <w:kern w:val="2"/>
          <w:sz w:val="24"/>
          <w:szCs w:val="20"/>
          <w:lang w:val="en-US" w:eastAsia="zh-CN" w:bidi="ar"/>
        </w:rPr>
        <w:t>浓度水平。当然，如果发生大规模恶臭污染事件，会使恶臭气体污染的浓度达到</w:t>
      </w:r>
      <w:r>
        <w:rPr>
          <w:rFonts w:hint="default" w:ascii="Times New Roman" w:hAnsi="Times New Roman" w:eastAsia="宋体" w:cs="Times New Roman"/>
          <w:kern w:val="2"/>
          <w:sz w:val="24"/>
          <w:szCs w:val="20"/>
          <w:lang w:val="en-US" w:eastAsia="zh-CN" w:bidi="ar"/>
        </w:rPr>
        <w:t>③</w:t>
      </w:r>
      <w:r>
        <w:rPr>
          <w:rFonts w:hint="eastAsia" w:ascii="Times New Roman" w:hAnsi="Times New Roman" w:eastAsia="宋体" w:cs="宋体"/>
          <w:kern w:val="2"/>
          <w:sz w:val="24"/>
          <w:szCs w:val="20"/>
          <w:lang w:val="en-US" w:eastAsia="zh-CN" w:bidi="ar"/>
        </w:rPr>
        <w:t>、</w:t>
      </w:r>
      <w:r>
        <w:rPr>
          <w:rFonts w:hint="default" w:ascii="Times New Roman" w:hAnsi="Times New Roman" w:eastAsia="宋体" w:cs="Times New Roman"/>
          <w:kern w:val="2"/>
          <w:sz w:val="24"/>
          <w:szCs w:val="20"/>
          <w:lang w:val="en-US" w:eastAsia="zh-CN" w:bidi="ar"/>
        </w:rPr>
        <w:t>④</w:t>
      </w:r>
      <w:r>
        <w:rPr>
          <w:rFonts w:hint="eastAsia" w:ascii="Times New Roman" w:hAnsi="Times New Roman" w:eastAsia="宋体" w:cs="宋体"/>
          <w:kern w:val="2"/>
          <w:sz w:val="24"/>
          <w:szCs w:val="20"/>
          <w:lang w:val="en-US" w:eastAsia="zh-CN" w:bidi="ar"/>
        </w:rPr>
        <w:t>水平。</w:t>
      </w:r>
    </w:p>
    <w:p>
      <w:pPr>
        <w:keepNext w:val="0"/>
        <w:keepLines w:val="0"/>
        <w:widowControl w:val="0"/>
        <w:suppressLineNumbers w:val="0"/>
        <w:spacing w:before="0" w:beforeAutospacing="0" w:after="0" w:afterAutospacing="0" w:line="360" w:lineRule="auto"/>
        <w:ind w:left="0" w:right="0" w:firstLine="480" w:firstLineChars="200"/>
        <w:jc w:val="both"/>
        <w:rPr>
          <w:sz w:val="24"/>
          <w:szCs w:val="20"/>
          <w:lang w:val="en-US"/>
        </w:rPr>
      </w:pPr>
      <w:r>
        <w:rPr>
          <w:rFonts w:hint="eastAsia" w:ascii="Times New Roman" w:hAnsi="Times New Roman" w:eastAsia="宋体" w:cs="宋体"/>
          <w:kern w:val="2"/>
          <w:sz w:val="24"/>
          <w:szCs w:val="20"/>
          <w:lang w:val="en-US" w:eastAsia="zh-CN" w:bidi="ar"/>
        </w:rPr>
        <w:t>恶臭污染影响一般有两个方面：</w:t>
      </w:r>
    </w:p>
    <w:p>
      <w:pPr>
        <w:keepNext w:val="0"/>
        <w:keepLines w:val="0"/>
        <w:widowControl w:val="0"/>
        <w:suppressLineNumbers w:val="0"/>
        <w:spacing w:before="0" w:beforeAutospacing="0" w:after="0" w:afterAutospacing="0" w:line="360" w:lineRule="auto"/>
        <w:ind w:left="0" w:right="0" w:firstLine="480" w:firstLineChars="200"/>
        <w:jc w:val="both"/>
        <w:rPr>
          <w:sz w:val="24"/>
          <w:szCs w:val="20"/>
          <w:lang w:val="en-US"/>
        </w:rPr>
      </w:pPr>
      <w:r>
        <w:rPr>
          <w:rFonts w:hint="default" w:ascii="Times New Roman" w:hAnsi="Times New Roman" w:eastAsia="宋体" w:cs="Times New Roman"/>
          <w:kern w:val="2"/>
          <w:sz w:val="24"/>
          <w:szCs w:val="20"/>
          <w:lang w:val="en-US" w:eastAsia="zh-CN" w:bidi="ar"/>
        </w:rPr>
        <w:t>①</w:t>
      </w:r>
      <w:r>
        <w:rPr>
          <w:rFonts w:hint="eastAsia" w:ascii="Times New Roman" w:hAnsi="Times New Roman" w:eastAsia="宋体" w:cs="宋体"/>
          <w:kern w:val="2"/>
          <w:sz w:val="24"/>
          <w:szCs w:val="20"/>
          <w:lang w:val="en-US" w:eastAsia="zh-CN" w:bidi="ar"/>
        </w:rPr>
        <w:t>使人感到不快、恶心、头疼、食欲不振、营养不良。喝水减少、妨碍睡眠、嗅觉失调、情绪不振，爱发脾气以及诱发哮喘。</w:t>
      </w:r>
    </w:p>
    <w:p>
      <w:pPr>
        <w:bidi w:val="0"/>
        <w:rPr>
          <w:rFonts w:hint="eastAsia"/>
          <w:lang w:val="en-US" w:eastAsia="zh-CN"/>
        </w:rPr>
      </w:pPr>
      <w:r>
        <w:rPr>
          <w:rFonts w:hint="default" w:ascii="Times New Roman" w:hAnsi="Times New Roman" w:eastAsia="宋体" w:cs="Times New Roman"/>
          <w:kern w:val="2"/>
          <w:sz w:val="24"/>
          <w:szCs w:val="20"/>
          <w:lang w:val="en-US" w:eastAsia="zh-CN" w:bidi="ar"/>
        </w:rPr>
        <w:t>②</w:t>
      </w:r>
      <w:r>
        <w:rPr>
          <w:rFonts w:hint="eastAsia" w:ascii="Times New Roman" w:hAnsi="Times New Roman" w:eastAsia="宋体" w:cs="宋体"/>
          <w:kern w:val="2"/>
          <w:sz w:val="24"/>
          <w:szCs w:val="20"/>
          <w:lang w:val="en-US" w:eastAsia="zh-CN" w:bidi="ar"/>
        </w:rPr>
        <w:t>社会经济受到损害，如由于恶臭污染使工作人员工作效率降低，受到恶臭污染的地区经济建设商业销售额、旅游事业将受到影响，从而使经济效益受到影响。</w:t>
      </w:r>
    </w:p>
    <w:p>
      <w:pPr>
        <w:bidi w:val="0"/>
        <w:rPr>
          <w:rFonts w:hint="eastAsia" w:ascii="Times New Roman" w:hAnsi="Times New Roman" w:eastAsia="宋体" w:cs="宋体"/>
          <w:kern w:val="2"/>
          <w:sz w:val="24"/>
          <w:szCs w:val="20"/>
          <w:lang w:val="en-US" w:eastAsia="zh-CN" w:bidi="ar"/>
        </w:rPr>
      </w:pPr>
      <w:r>
        <w:rPr>
          <w:rFonts w:hint="eastAsia" w:ascii="Times New Roman" w:hAnsi="Times New Roman" w:eastAsia="宋体" w:cs="宋体"/>
          <w:kern w:val="2"/>
          <w:sz w:val="24"/>
          <w:szCs w:val="20"/>
          <w:lang w:val="en-US" w:eastAsia="zh-CN" w:bidi="ar"/>
        </w:rPr>
        <w:t>单项恶臭气体对人体影响，如硫化氢（</w:t>
      </w:r>
      <w:r>
        <w:rPr>
          <w:rFonts w:hint="default" w:ascii="Times New Roman" w:hAnsi="Times New Roman" w:eastAsia="宋体" w:cs="Times New Roman"/>
          <w:kern w:val="2"/>
          <w:sz w:val="24"/>
          <w:szCs w:val="20"/>
          <w:lang w:val="en-US" w:eastAsia="zh-CN" w:bidi="ar"/>
        </w:rPr>
        <w:t>H</w:t>
      </w:r>
      <w:r>
        <w:rPr>
          <w:rFonts w:hint="default" w:ascii="Times New Roman" w:hAnsi="Times New Roman" w:eastAsia="宋体" w:cs="Times New Roman"/>
          <w:kern w:val="2"/>
          <w:sz w:val="24"/>
          <w:szCs w:val="20"/>
          <w:vertAlign w:val="subscript"/>
          <w:lang w:val="en-US" w:eastAsia="zh-CN" w:bidi="ar"/>
        </w:rPr>
        <w:t>2</w:t>
      </w:r>
      <w:r>
        <w:rPr>
          <w:rFonts w:hint="default" w:ascii="Times New Roman" w:hAnsi="Times New Roman" w:eastAsia="宋体" w:cs="Times New Roman"/>
          <w:kern w:val="2"/>
          <w:sz w:val="24"/>
          <w:szCs w:val="20"/>
          <w:lang w:val="en-US" w:eastAsia="zh-CN" w:bidi="ar"/>
        </w:rPr>
        <w:t>S</w:t>
      </w:r>
      <w:r>
        <w:rPr>
          <w:rFonts w:hint="eastAsia" w:ascii="Times New Roman" w:hAnsi="Times New Roman" w:eastAsia="宋体" w:cs="宋体"/>
          <w:kern w:val="2"/>
          <w:sz w:val="24"/>
          <w:szCs w:val="20"/>
          <w:lang w:val="en-US" w:eastAsia="zh-CN" w:bidi="ar"/>
        </w:rPr>
        <w:t>）气体浓度为</w:t>
      </w:r>
      <w:r>
        <w:rPr>
          <w:rFonts w:hint="default" w:ascii="Times New Roman" w:hAnsi="Times New Roman" w:eastAsia="宋体" w:cs="Times New Roman"/>
          <w:kern w:val="2"/>
          <w:sz w:val="24"/>
          <w:szCs w:val="20"/>
          <w:lang w:val="en-US" w:eastAsia="zh-CN" w:bidi="ar"/>
        </w:rPr>
        <w:t>0.007ppm</w:t>
      </w:r>
      <w:r>
        <w:rPr>
          <w:rFonts w:hint="eastAsia" w:ascii="Times New Roman" w:hAnsi="Times New Roman" w:eastAsia="宋体" w:cs="宋体"/>
          <w:kern w:val="2"/>
          <w:sz w:val="24"/>
          <w:szCs w:val="20"/>
          <w:lang w:val="en-US" w:eastAsia="zh-CN" w:bidi="ar"/>
        </w:rPr>
        <w:t>时，影响人眼睛对光的反射。硫化氢气体浓度为</w:t>
      </w:r>
      <w:r>
        <w:rPr>
          <w:rFonts w:hint="default" w:ascii="Times New Roman" w:hAnsi="Times New Roman" w:eastAsia="宋体" w:cs="Times New Roman"/>
          <w:kern w:val="2"/>
          <w:sz w:val="24"/>
          <w:szCs w:val="20"/>
          <w:lang w:val="en-US" w:eastAsia="zh-CN" w:bidi="ar"/>
        </w:rPr>
        <w:t>10ppm</w:t>
      </w:r>
      <w:r>
        <w:rPr>
          <w:rFonts w:hint="eastAsia" w:ascii="Times New Roman" w:hAnsi="Times New Roman" w:eastAsia="宋体" w:cs="宋体"/>
          <w:kern w:val="2"/>
          <w:sz w:val="24"/>
          <w:szCs w:val="20"/>
          <w:lang w:val="en-US" w:eastAsia="zh-CN" w:bidi="ar"/>
        </w:rPr>
        <w:t>是刺激人眼睛的最小浓度。又如氨气浓度为</w:t>
      </w:r>
      <w:r>
        <w:rPr>
          <w:rFonts w:hint="default" w:ascii="Times New Roman" w:hAnsi="Times New Roman" w:eastAsia="宋体" w:cs="Times New Roman"/>
          <w:kern w:val="2"/>
          <w:sz w:val="24"/>
          <w:szCs w:val="20"/>
          <w:lang w:val="en-US" w:eastAsia="zh-CN" w:bidi="ar"/>
        </w:rPr>
        <w:t>17ppm</w:t>
      </w:r>
      <w:r>
        <w:rPr>
          <w:rFonts w:hint="eastAsia" w:ascii="Times New Roman" w:hAnsi="Times New Roman" w:eastAsia="宋体" w:cs="宋体"/>
          <w:kern w:val="2"/>
          <w:sz w:val="24"/>
          <w:szCs w:val="20"/>
          <w:lang w:val="en-US" w:eastAsia="zh-CN" w:bidi="ar"/>
        </w:rPr>
        <w:t>时，人在此环境中暴露</w:t>
      </w:r>
      <w:r>
        <w:rPr>
          <w:rFonts w:hint="default" w:ascii="Times New Roman" w:hAnsi="Times New Roman" w:eastAsia="宋体" w:cs="Times New Roman"/>
          <w:kern w:val="2"/>
          <w:sz w:val="24"/>
          <w:szCs w:val="20"/>
          <w:lang w:val="en-US" w:eastAsia="zh-CN" w:bidi="ar"/>
        </w:rPr>
        <w:t>7-8</w:t>
      </w:r>
      <w:r>
        <w:rPr>
          <w:rFonts w:hint="eastAsia" w:ascii="Times New Roman" w:hAnsi="Times New Roman" w:eastAsia="宋体" w:cs="宋体"/>
          <w:kern w:val="2"/>
          <w:sz w:val="24"/>
          <w:szCs w:val="20"/>
          <w:lang w:val="en-US" w:eastAsia="zh-CN" w:bidi="ar"/>
        </w:rPr>
        <w:t>小时，则尿中的</w:t>
      </w:r>
      <w:r>
        <w:rPr>
          <w:rFonts w:hint="default" w:ascii="Times New Roman" w:hAnsi="Times New Roman" w:eastAsia="宋体" w:cs="Times New Roman"/>
          <w:kern w:val="2"/>
          <w:sz w:val="24"/>
          <w:szCs w:val="20"/>
          <w:lang w:val="en-US" w:eastAsia="zh-CN" w:bidi="ar"/>
        </w:rPr>
        <w:t>NH</w:t>
      </w:r>
      <w:r>
        <w:rPr>
          <w:rFonts w:hint="default" w:ascii="Times New Roman" w:hAnsi="Times New Roman" w:eastAsia="宋体" w:cs="Times New Roman"/>
          <w:kern w:val="2"/>
          <w:sz w:val="24"/>
          <w:szCs w:val="20"/>
          <w:vertAlign w:val="subscript"/>
          <w:lang w:val="en-US" w:eastAsia="zh-CN" w:bidi="ar"/>
        </w:rPr>
        <w:t>3</w:t>
      </w:r>
      <w:r>
        <w:rPr>
          <w:rFonts w:hint="eastAsia" w:ascii="Times New Roman" w:hAnsi="Times New Roman" w:eastAsia="宋体" w:cs="宋体"/>
          <w:kern w:val="2"/>
          <w:sz w:val="24"/>
          <w:szCs w:val="20"/>
          <w:lang w:val="en-US" w:eastAsia="zh-CN" w:bidi="ar"/>
        </w:rPr>
        <w:t>量增加，同时氧的消耗量降低，呼吸频率下降。如在高浓度三甲胺气体暴露下，会刺激眼睛、催泪并患结膜炎等。项目位于山区丘陵地区，各生产线较为分散，防疫条件好，总平面布局合理。</w:t>
      </w:r>
    </w:p>
    <w:p>
      <w:pPr>
        <w:bidi w:val="0"/>
        <w:rPr>
          <w:rFonts w:hint="eastAsia" w:ascii="Times New Roman" w:hAnsi="Times New Roman" w:eastAsia="宋体" w:cs="宋体"/>
          <w:kern w:val="2"/>
          <w:sz w:val="24"/>
          <w:szCs w:val="20"/>
          <w:lang w:val="en-US" w:eastAsia="zh-CN" w:bidi="ar"/>
        </w:rPr>
      </w:pPr>
      <w:r>
        <w:rPr>
          <w:rFonts w:hint="eastAsia" w:ascii="Times New Roman" w:hAnsi="Times New Roman" w:eastAsia="宋体" w:cs="宋体"/>
          <w:kern w:val="2"/>
          <w:sz w:val="24"/>
          <w:szCs w:val="20"/>
          <w:lang w:val="en-US" w:eastAsia="zh-CN" w:bidi="ar"/>
        </w:rPr>
        <w:t>对此项目采取了对恶臭气体的控制及处理措施，见下表。</w:t>
      </w:r>
    </w:p>
    <w:p>
      <w:pPr>
        <w:pStyle w:val="29"/>
        <w:bidi w:val="0"/>
        <w:rPr>
          <w:rFonts w:hint="eastAsia"/>
          <w:lang w:val="en-US" w:eastAsia="zh-CN"/>
        </w:rPr>
      </w:pPr>
      <w:r>
        <w:rPr>
          <w:rFonts w:hint="eastAsia"/>
          <w:lang w:val="en-US" w:eastAsia="zh-CN"/>
        </w:rPr>
        <w:t>表5.2-17  恶臭控制措施及处理处理措施一览表</w:t>
      </w:r>
    </w:p>
    <w:tbl>
      <w:tblPr>
        <w:tblStyle w:val="2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80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1"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恶臭产生源</w:t>
            </w:r>
          </w:p>
        </w:tc>
        <w:tc>
          <w:tcPr>
            <w:tcW w:w="4188"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控制及处理措施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待宰圈、污水处理站</w:t>
            </w:r>
          </w:p>
        </w:tc>
        <w:tc>
          <w:tcPr>
            <w:tcW w:w="4188" w:type="pct"/>
            <w:tcBorders>
              <w:tl2br w:val="nil"/>
              <w:tr2bl w:val="nil"/>
            </w:tcBorders>
            <w:vAlign w:val="center"/>
          </w:tcPr>
          <w:p>
            <w:pPr>
              <w:pStyle w:val="30"/>
              <w:widowControl w:val="0"/>
              <w:jc w:val="both"/>
              <w:rPr>
                <w:rFonts w:hint="eastAsia"/>
                <w:vertAlign w:val="baseline"/>
                <w:lang w:val="en-US" w:eastAsia="zh-CN"/>
              </w:rPr>
            </w:pPr>
            <w:r>
              <w:rPr>
                <w:rFonts w:hint="eastAsia"/>
                <w:vertAlign w:val="baseline"/>
                <w:lang w:val="en-US" w:eastAsia="zh-CN"/>
              </w:rPr>
              <w:t>污染控制措施：</w:t>
            </w:r>
          </w:p>
          <w:p>
            <w:pPr>
              <w:pStyle w:val="30"/>
              <w:widowControl w:val="0"/>
              <w:jc w:val="both"/>
              <w:rPr>
                <w:rFonts w:hint="eastAsia"/>
                <w:lang w:val="en-US" w:eastAsia="zh-CN"/>
              </w:rPr>
            </w:pPr>
            <w:r>
              <w:rPr>
                <w:rFonts w:hint="eastAsia"/>
                <w:lang w:eastAsia="zh-CN"/>
              </w:rPr>
              <w:t>待宰圈</w:t>
            </w:r>
            <w:r>
              <w:t>全密闭，设置强制通风设施，保持车间负压；喷洒生物除臭剂，猪粪采用水冲式，设水雾喷淋装置，保持</w:t>
            </w:r>
            <w:r>
              <w:rPr>
                <w:rFonts w:hint="eastAsia"/>
                <w:lang w:eastAsia="zh-CN"/>
              </w:rPr>
              <w:t>待宰圈</w:t>
            </w:r>
            <w:r>
              <w:t>清洁；可以减少80%的产生量</w:t>
            </w:r>
            <w:r>
              <w:rPr>
                <w:rFonts w:hint="eastAsia"/>
                <w:lang w:eastAsia="zh-CN"/>
              </w:rPr>
              <w:t>；</w:t>
            </w:r>
            <w:r>
              <w:rPr>
                <w:rFonts w:hint="eastAsia"/>
                <w:b w:val="0"/>
                <w:bCs w:val="0"/>
                <w:lang w:val="en-US" w:eastAsia="zh-CN"/>
              </w:rPr>
              <w:t>污水处理站采用半地埋式，对整个污水处理单元进行全部密闭，地面加盖，采用微负压抽风系统收集。</w:t>
            </w:r>
          </w:p>
          <w:p>
            <w:pPr>
              <w:pStyle w:val="30"/>
              <w:widowControl w:val="0"/>
              <w:jc w:val="both"/>
              <w:rPr>
                <w:rFonts w:hint="default"/>
                <w:vertAlign w:val="baseline"/>
                <w:lang w:val="en-US" w:eastAsia="zh-CN"/>
              </w:rPr>
            </w:pPr>
            <w:r>
              <w:rPr>
                <w:rFonts w:hint="eastAsia"/>
                <w:vertAlign w:val="baseline"/>
                <w:lang w:val="en-US" w:eastAsia="zh-CN"/>
              </w:rPr>
              <w:t>污染治理措施：</w:t>
            </w:r>
          </w:p>
          <w:p>
            <w:pPr>
              <w:pStyle w:val="30"/>
              <w:widowControl w:val="0"/>
              <w:jc w:val="left"/>
              <w:rPr>
                <w:rFonts w:hint="default"/>
                <w:vertAlign w:val="baseline"/>
                <w:lang w:val="en-US" w:eastAsia="zh-CN"/>
              </w:rPr>
            </w:pPr>
            <w:r>
              <w:rPr>
                <w:rFonts w:hint="eastAsia"/>
                <w:vertAlign w:val="baseline"/>
                <w:lang w:val="en-US" w:eastAsia="zh-CN"/>
              </w:rPr>
              <w:t>臭气收集后采用1套UV光解+生物洗涤塔处理后15m排气筒（P1）排放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屠宰车间</w:t>
            </w:r>
          </w:p>
        </w:tc>
        <w:tc>
          <w:tcPr>
            <w:tcW w:w="4188" w:type="pct"/>
            <w:tcBorders>
              <w:tl2br w:val="nil"/>
              <w:tr2bl w:val="nil"/>
            </w:tcBorders>
            <w:vAlign w:val="center"/>
          </w:tcPr>
          <w:p>
            <w:pPr>
              <w:pStyle w:val="30"/>
              <w:widowControl w:val="0"/>
              <w:jc w:val="both"/>
              <w:rPr>
                <w:rFonts w:hint="eastAsia"/>
                <w:vertAlign w:val="baseline"/>
                <w:lang w:val="en-US" w:eastAsia="zh-CN"/>
              </w:rPr>
            </w:pPr>
            <w:r>
              <w:rPr>
                <w:rFonts w:hint="eastAsia"/>
                <w:vertAlign w:val="baseline"/>
                <w:lang w:val="en-US" w:eastAsia="zh-CN"/>
              </w:rPr>
              <w:t>污染控制措施：</w:t>
            </w:r>
          </w:p>
          <w:p>
            <w:pPr>
              <w:pStyle w:val="30"/>
              <w:widowControl w:val="0"/>
              <w:jc w:val="both"/>
              <w:rPr>
                <w:rFonts w:hint="eastAsia"/>
                <w:highlight w:val="none"/>
                <w:vertAlign w:val="baseline"/>
                <w:lang w:val="en-US" w:eastAsia="zh-CN"/>
              </w:rPr>
            </w:pPr>
            <w:r>
              <w:rPr>
                <w:highlight w:val="none"/>
              </w:rPr>
              <w:t>屠宰车间为全密闭，设置强制通风设施，车间每</w:t>
            </w:r>
            <w:r>
              <w:rPr>
                <w:rFonts w:hint="eastAsia"/>
                <w:highlight w:val="none"/>
                <w:lang w:val="en-US" w:eastAsia="zh-CN"/>
              </w:rPr>
              <w:t>2</w:t>
            </w:r>
            <w:r>
              <w:rPr>
                <w:highlight w:val="none"/>
              </w:rPr>
              <w:t>小时换气一次，保持车间负压；车间生产线及时清洗，肠胃内容物和猪毛等污物及时清运，保持屠宰车间清洁；定期对车间进行消毒处理，可以减少80%的产生量</w:t>
            </w:r>
            <w:r>
              <w:rPr>
                <w:rFonts w:hint="eastAsia"/>
                <w:highlight w:val="none"/>
                <w:lang w:eastAsia="zh-CN"/>
              </w:rPr>
              <w:t>。</w:t>
            </w:r>
          </w:p>
          <w:p>
            <w:pPr>
              <w:pStyle w:val="30"/>
              <w:widowControl w:val="0"/>
              <w:jc w:val="both"/>
              <w:rPr>
                <w:rFonts w:hint="default"/>
                <w:vertAlign w:val="baseline"/>
                <w:lang w:val="en-US" w:eastAsia="zh-CN"/>
              </w:rPr>
            </w:pPr>
            <w:r>
              <w:rPr>
                <w:rFonts w:hint="eastAsia"/>
                <w:vertAlign w:val="baseline"/>
                <w:lang w:val="en-US" w:eastAsia="zh-CN"/>
              </w:rPr>
              <w:t>污染治理措施：</w:t>
            </w:r>
          </w:p>
          <w:p>
            <w:pPr>
              <w:pStyle w:val="30"/>
              <w:widowControl w:val="0"/>
              <w:jc w:val="left"/>
              <w:rPr>
                <w:rFonts w:hint="default"/>
                <w:vertAlign w:val="baseline"/>
                <w:lang w:val="en-US" w:eastAsia="zh-CN"/>
              </w:rPr>
            </w:pPr>
            <w:r>
              <w:rPr>
                <w:rFonts w:hint="eastAsia"/>
                <w:vertAlign w:val="baseline"/>
                <w:lang w:val="en-US" w:eastAsia="zh-CN"/>
              </w:rPr>
              <w:t>臭气收集后采用1套UV光解+生物洗涤塔处理后15m排气筒（P2）排放</w:t>
            </w:r>
          </w:p>
        </w:tc>
      </w:tr>
    </w:tbl>
    <w:p>
      <w:pPr>
        <w:bidi w:val="0"/>
        <w:rPr>
          <w:rFonts w:hint="default"/>
          <w:lang w:val="en-US" w:eastAsia="zh-CN"/>
        </w:rPr>
      </w:pPr>
      <w:r>
        <w:rPr>
          <w:rFonts w:hint="eastAsia" w:ascii="Times New Roman" w:hAnsi="Times New Roman" w:eastAsia="宋体" w:cs="宋体"/>
          <w:kern w:val="2"/>
          <w:sz w:val="24"/>
          <w:szCs w:val="24"/>
          <w:lang w:val="en-US" w:eastAsia="zh-CN" w:bidi="ar"/>
        </w:rPr>
        <w:t>通过以上措施，项目各单元产生的恶臭气体均能实现达标排放，对周边环境影响较小，经实地调查，</w:t>
      </w:r>
      <w:r>
        <w:rPr>
          <w:rFonts w:hint="eastAsia" w:ascii="Times New Roman" w:hAnsi="Times New Roman" w:eastAsia="宋体" w:cs="宋体"/>
          <w:color w:val="auto"/>
          <w:kern w:val="2"/>
          <w:sz w:val="24"/>
          <w:szCs w:val="24"/>
          <w:lang w:val="en-US" w:eastAsia="zh-CN" w:bidi="ar"/>
        </w:rPr>
        <w:t>本项目核算卫生防护距离范围内有无住户，</w:t>
      </w:r>
      <w:r>
        <w:rPr>
          <w:rFonts w:hint="eastAsia" w:ascii="Times New Roman" w:hAnsi="Times New Roman" w:eastAsia="宋体" w:cs="宋体"/>
          <w:kern w:val="2"/>
          <w:sz w:val="24"/>
          <w:szCs w:val="24"/>
          <w:lang w:val="en-US" w:eastAsia="zh-CN" w:bidi="ar"/>
        </w:rPr>
        <w:t>无城镇居民区，满足卫生防护距离要求</w:t>
      </w:r>
      <w:r>
        <w:rPr>
          <w:rFonts w:hint="eastAsia" w:ascii="Times New Roman" w:hAnsi="Times New Roman" w:eastAsia="宋体" w:cs="宋体"/>
          <w:kern w:val="2"/>
          <w:sz w:val="24"/>
          <w:szCs w:val="20"/>
          <w:lang w:val="en-US" w:eastAsia="zh-CN" w:bidi="ar"/>
        </w:rPr>
        <w:t>，恶臭经一段距离后，臭气对环境影响甚微。</w:t>
      </w:r>
      <w:r>
        <w:rPr>
          <w:rFonts w:hint="eastAsia" w:ascii="Times New Roman" w:hAnsi="Times New Roman" w:eastAsia="宋体" w:cs="宋体"/>
          <w:kern w:val="2"/>
          <w:sz w:val="24"/>
          <w:szCs w:val="24"/>
          <w:lang w:val="en-US" w:eastAsia="zh-CN" w:bidi="ar"/>
        </w:rPr>
        <w:t>项目</w:t>
      </w:r>
      <w:r>
        <w:rPr>
          <w:rFonts w:hint="eastAsia"/>
          <w:lang w:val="en-US" w:eastAsia="zh-CN"/>
        </w:rPr>
        <w:t>东北侧120m处的石泉村散户，虽不在</w:t>
      </w:r>
      <w:r>
        <w:rPr>
          <w:rFonts w:hint="eastAsia" w:ascii="Times New Roman" w:hAnsi="Times New Roman" w:eastAsia="宋体" w:cs="宋体"/>
          <w:kern w:val="2"/>
          <w:sz w:val="24"/>
          <w:szCs w:val="24"/>
          <w:lang w:val="en-US" w:eastAsia="zh-CN" w:bidi="ar"/>
        </w:rPr>
        <w:t>本项目卫生防护距离范围内，但为了散户健康考虑，项目对其零散住户全部签订房屋了租赁协议，使用功能进行置换，进一步减小了项目恶臭对周边环境的影响。</w:t>
      </w:r>
    </w:p>
    <w:p>
      <w:pPr>
        <w:pStyle w:val="6"/>
        <w:bidi w:val="0"/>
        <w:rPr>
          <w:lang w:val="zh-CN" w:eastAsia="zh-CN"/>
        </w:rPr>
      </w:pPr>
      <w:r>
        <w:rPr>
          <w:rFonts w:hint="eastAsia"/>
          <w:lang w:val="zh-CN" w:eastAsia="zh-CN"/>
        </w:rPr>
        <w:t>食堂油烟影响分析</w:t>
      </w:r>
    </w:p>
    <w:p>
      <w:pPr>
        <w:keepNext w:val="0"/>
        <w:keepLines w:val="0"/>
        <w:widowControl w:val="0"/>
        <w:suppressLineNumbers w:val="0"/>
        <w:spacing w:before="0" w:beforeAutospacing="0" w:after="0" w:afterAutospacing="0" w:line="360" w:lineRule="auto"/>
        <w:ind w:left="0" w:right="0" w:firstLine="520" w:firstLineChars="200"/>
        <w:jc w:val="both"/>
        <w:rPr>
          <w:spacing w:val="10"/>
          <w:sz w:val="24"/>
          <w:szCs w:val="24"/>
          <w:lang w:val="en-US"/>
        </w:rPr>
      </w:pPr>
      <w:r>
        <w:rPr>
          <w:rFonts w:hint="eastAsia" w:ascii="Times New Roman" w:hAnsi="Times New Roman" w:eastAsia="宋体" w:cs="宋体"/>
          <w:spacing w:val="10"/>
          <w:kern w:val="2"/>
          <w:sz w:val="24"/>
          <w:szCs w:val="24"/>
          <w:lang w:val="en-US" w:eastAsia="zh-CN" w:bidi="ar"/>
        </w:rPr>
        <w:t>项目食堂油烟</w:t>
      </w:r>
      <w:r>
        <w:rPr>
          <w:rFonts w:hint="eastAsia" w:ascii="Times New Roman" w:hAnsi="Times New Roman" w:eastAsia="宋体" w:cs="宋体"/>
          <w:spacing w:val="10"/>
          <w:kern w:val="2"/>
          <w:sz w:val="24"/>
          <w:szCs w:val="20"/>
          <w:lang w:val="en-US" w:eastAsia="zh-CN" w:bidi="ar"/>
        </w:rPr>
        <w:t>经油烟净化处理后，油烟排放浓度为</w:t>
      </w:r>
      <w:r>
        <w:rPr>
          <w:rFonts w:hint="eastAsia" w:ascii="Times New Roman" w:hAnsi="Times New Roman" w:eastAsia="宋体" w:cs="Times New Roman"/>
          <w:spacing w:val="10"/>
          <w:kern w:val="2"/>
          <w:sz w:val="24"/>
          <w:szCs w:val="20"/>
          <w:lang w:val="en-US" w:eastAsia="zh-CN" w:bidi="ar"/>
        </w:rPr>
        <w:t>1.2</w:t>
      </w:r>
      <w:r>
        <w:rPr>
          <w:rFonts w:hint="default" w:ascii="Times New Roman" w:hAnsi="Times New Roman" w:eastAsia="宋体" w:cs="Times New Roman"/>
          <w:spacing w:val="10"/>
          <w:kern w:val="2"/>
          <w:sz w:val="24"/>
          <w:szCs w:val="20"/>
          <w:lang w:val="en-US" w:eastAsia="zh-CN" w:bidi="ar"/>
        </w:rPr>
        <w:t>mg/m</w:t>
      </w:r>
      <w:r>
        <w:rPr>
          <w:rFonts w:hint="default" w:ascii="Times New Roman" w:hAnsi="Times New Roman" w:eastAsia="宋体" w:cs="Times New Roman"/>
          <w:spacing w:val="10"/>
          <w:kern w:val="2"/>
          <w:sz w:val="24"/>
          <w:szCs w:val="20"/>
          <w:vertAlign w:val="superscript"/>
          <w:lang w:val="en-US" w:eastAsia="zh-CN" w:bidi="ar"/>
        </w:rPr>
        <w:t>3</w:t>
      </w:r>
      <w:r>
        <w:rPr>
          <w:rFonts w:hint="eastAsia" w:ascii="Times New Roman" w:hAnsi="Times New Roman" w:eastAsia="宋体" w:cs="宋体"/>
          <w:spacing w:val="10"/>
          <w:kern w:val="2"/>
          <w:sz w:val="24"/>
          <w:szCs w:val="24"/>
          <w:lang w:val="en-US" w:eastAsia="zh-CN" w:bidi="ar"/>
        </w:rPr>
        <w:t>，符合《饮食业油烟排放标准》（</w:t>
      </w:r>
      <w:r>
        <w:rPr>
          <w:rFonts w:hint="default" w:ascii="Times New Roman" w:hAnsi="Times New Roman" w:eastAsia="宋体" w:cs="Times New Roman"/>
          <w:spacing w:val="10"/>
          <w:kern w:val="2"/>
          <w:sz w:val="24"/>
          <w:szCs w:val="24"/>
          <w:lang w:val="en-US" w:eastAsia="zh-CN" w:bidi="ar"/>
        </w:rPr>
        <w:t>GB18483-2001</w:t>
      </w:r>
      <w:r>
        <w:rPr>
          <w:rFonts w:hint="eastAsia" w:ascii="Times New Roman" w:hAnsi="Times New Roman" w:eastAsia="宋体" w:cs="宋体"/>
          <w:spacing w:val="10"/>
          <w:kern w:val="2"/>
          <w:sz w:val="24"/>
          <w:szCs w:val="24"/>
          <w:lang w:val="en-US" w:eastAsia="zh-CN" w:bidi="ar"/>
        </w:rPr>
        <w:t>）小型的排放标准</w:t>
      </w:r>
      <w:r>
        <w:rPr>
          <w:rFonts w:hint="default" w:ascii="Times New Roman" w:hAnsi="Times New Roman" w:eastAsia="宋体" w:cs="Times New Roman"/>
          <w:spacing w:val="10"/>
          <w:kern w:val="2"/>
          <w:sz w:val="24"/>
          <w:szCs w:val="24"/>
          <w:lang w:val="en-US" w:eastAsia="zh-CN" w:bidi="ar"/>
        </w:rPr>
        <w:t>2.0mg/m</w:t>
      </w:r>
      <w:r>
        <w:rPr>
          <w:rFonts w:hint="default" w:ascii="Times New Roman" w:hAnsi="Times New Roman" w:eastAsia="宋体" w:cs="Times New Roman"/>
          <w:spacing w:val="10"/>
          <w:kern w:val="2"/>
          <w:sz w:val="24"/>
          <w:szCs w:val="24"/>
          <w:vertAlign w:val="superscript"/>
          <w:lang w:val="en-US" w:eastAsia="zh-CN" w:bidi="ar"/>
        </w:rPr>
        <w:t>3</w:t>
      </w:r>
      <w:r>
        <w:rPr>
          <w:rFonts w:hint="eastAsia" w:ascii="Times New Roman" w:hAnsi="Times New Roman" w:eastAsia="宋体" w:cs="宋体"/>
          <w:spacing w:val="10"/>
          <w:kern w:val="2"/>
          <w:sz w:val="24"/>
          <w:szCs w:val="24"/>
          <w:lang w:val="en-US" w:eastAsia="zh-CN" w:bidi="ar"/>
        </w:rPr>
        <w:t>的要求。油烟经风机引入屋顶排放，经大气稀释扩散后对周边环境影响较小。</w:t>
      </w:r>
    </w:p>
    <w:p>
      <w:pPr>
        <w:pStyle w:val="6"/>
        <w:bidi w:val="0"/>
        <w:rPr>
          <w:lang w:val="zh-CN" w:eastAsia="zh-CN"/>
        </w:rPr>
      </w:pPr>
      <w:r>
        <w:rPr>
          <w:rFonts w:hint="eastAsia"/>
          <w:lang w:val="zh-CN" w:eastAsia="zh-CN"/>
        </w:rPr>
        <w:t>柴油发电机烟气影响分析</w:t>
      </w:r>
    </w:p>
    <w:p>
      <w:pPr>
        <w:bidi w:val="0"/>
        <w:rPr>
          <w:rFonts w:hint="eastAsia"/>
          <w:lang w:val="en-US" w:eastAsia="zh-CN"/>
        </w:rPr>
      </w:pPr>
      <w:r>
        <w:rPr>
          <w:rFonts w:hint="eastAsia" w:ascii="Times New Roman" w:hAnsi="Times New Roman" w:eastAsia="宋体" w:cs="宋体"/>
          <w:spacing w:val="10"/>
          <w:kern w:val="2"/>
          <w:sz w:val="24"/>
          <w:szCs w:val="24"/>
          <w:lang w:val="en-US" w:eastAsia="zh-CN" w:bidi="ar"/>
        </w:rPr>
        <w:t>项目发电机房内保持着良好的通风性，柴油发电机烟气经“自带烟气净化器”处理后于屋顶排放。由于应急柴油发电机只有在停电时使用，使用的频率很小、排放量少、排放间断性强，采用上述措施后完全能够做到达标排放，对周围环境影响很小。</w:t>
      </w:r>
    </w:p>
    <w:p>
      <w:pPr>
        <w:pStyle w:val="6"/>
        <w:bidi w:val="0"/>
        <w:rPr>
          <w:rFonts w:hint="default"/>
          <w:lang w:val="en-US" w:eastAsia="zh-CN"/>
        </w:rPr>
      </w:pPr>
      <w:r>
        <w:rPr>
          <w:rFonts w:hint="eastAsia"/>
          <w:lang w:val="en-US" w:eastAsia="zh-CN"/>
        </w:rPr>
        <w:t>锅炉天然气燃烧废气影响分析</w:t>
      </w:r>
    </w:p>
    <w:p>
      <w:pPr>
        <w:rPr>
          <w:rFonts w:hint="eastAsia"/>
          <w:highlight w:val="none"/>
          <w:lang w:val="en-US" w:eastAsia="zh-CN"/>
        </w:rPr>
      </w:pPr>
      <w:r>
        <w:rPr>
          <w:rFonts w:hint="eastAsia"/>
          <w:highlight w:val="none"/>
          <w:lang w:val="en-US" w:eastAsia="zh-CN"/>
        </w:rPr>
        <w:t>天然气属清洁能源，产生的燃烧废气，对周边环境影响较小，项目采取增强厂区绿化，排气筒设置远离居民敏感点，采取上述措施后，天然气产生的燃烧废气影响较小。</w:t>
      </w:r>
    </w:p>
    <w:p>
      <w:pPr>
        <w:pStyle w:val="6"/>
        <w:bidi w:val="0"/>
        <w:rPr>
          <w:rFonts w:hint="default"/>
          <w:lang w:val="en-US" w:eastAsia="zh-CN"/>
        </w:rPr>
      </w:pPr>
      <w:r>
        <w:rPr>
          <w:rFonts w:hint="eastAsia"/>
          <w:lang w:val="en-US" w:eastAsia="zh-CN"/>
        </w:rPr>
        <w:t>小结</w:t>
      </w:r>
    </w:p>
    <w:p>
      <w:pPr>
        <w:keepNext w:val="0"/>
        <w:keepLines w:val="0"/>
        <w:widowControl w:val="0"/>
        <w:suppressLineNumbers w:val="0"/>
        <w:spacing w:before="0" w:beforeAutospacing="0" w:after="0" w:afterAutospacing="0" w:line="360" w:lineRule="auto"/>
        <w:ind w:left="0" w:right="0" w:firstLine="520" w:firstLineChars="200"/>
        <w:jc w:val="both"/>
        <w:rPr>
          <w:spacing w:val="10"/>
          <w:sz w:val="24"/>
          <w:szCs w:val="24"/>
          <w:lang w:val="en-US"/>
        </w:rPr>
      </w:pPr>
      <w:r>
        <w:rPr>
          <w:rFonts w:hint="eastAsia" w:ascii="Times New Roman" w:hAnsi="Times New Roman" w:eastAsia="宋体" w:cs="宋体"/>
          <w:spacing w:val="10"/>
          <w:kern w:val="2"/>
          <w:sz w:val="24"/>
          <w:szCs w:val="24"/>
          <w:lang w:val="en-US" w:eastAsia="zh-CN" w:bidi="ar"/>
        </w:rPr>
        <w:t>（</w:t>
      </w:r>
      <w:r>
        <w:rPr>
          <w:rFonts w:hint="default" w:ascii="Times New Roman" w:hAnsi="Times New Roman" w:eastAsia="宋体" w:cs="Times New Roman"/>
          <w:spacing w:val="10"/>
          <w:kern w:val="2"/>
          <w:sz w:val="24"/>
          <w:szCs w:val="24"/>
          <w:lang w:val="en-US" w:eastAsia="zh-CN" w:bidi="ar"/>
        </w:rPr>
        <w:t>1</w:t>
      </w:r>
      <w:r>
        <w:rPr>
          <w:rFonts w:hint="eastAsia" w:ascii="Times New Roman" w:hAnsi="Times New Roman" w:eastAsia="宋体" w:cs="宋体"/>
          <w:spacing w:val="10"/>
          <w:kern w:val="2"/>
          <w:sz w:val="24"/>
          <w:szCs w:val="24"/>
          <w:lang w:val="en-US" w:eastAsia="zh-CN" w:bidi="ar"/>
        </w:rPr>
        <w:t>）项目NH</w:t>
      </w:r>
      <w:r>
        <w:rPr>
          <w:rFonts w:hint="eastAsia" w:ascii="Times New Roman" w:hAnsi="Times New Roman" w:eastAsia="宋体" w:cs="宋体"/>
          <w:spacing w:val="10"/>
          <w:kern w:val="2"/>
          <w:sz w:val="24"/>
          <w:szCs w:val="24"/>
          <w:vertAlign w:val="subscript"/>
          <w:lang w:val="en-US" w:eastAsia="zh-CN" w:bidi="ar"/>
        </w:rPr>
        <w:t>3</w:t>
      </w:r>
      <w:r>
        <w:rPr>
          <w:rFonts w:hint="eastAsia" w:ascii="Times New Roman" w:hAnsi="Times New Roman" w:eastAsia="宋体" w:cs="宋体"/>
          <w:spacing w:val="10"/>
          <w:kern w:val="2"/>
          <w:sz w:val="24"/>
          <w:szCs w:val="24"/>
          <w:vertAlign w:val="baseline"/>
          <w:lang w:val="en-US" w:eastAsia="zh-CN" w:bidi="ar"/>
        </w:rPr>
        <w:t>-N、H</w:t>
      </w:r>
      <w:r>
        <w:rPr>
          <w:rFonts w:hint="eastAsia" w:ascii="Times New Roman" w:hAnsi="Times New Roman" w:eastAsia="宋体" w:cs="宋体"/>
          <w:spacing w:val="10"/>
          <w:kern w:val="2"/>
          <w:sz w:val="24"/>
          <w:szCs w:val="24"/>
          <w:vertAlign w:val="subscript"/>
          <w:lang w:val="en-US" w:eastAsia="zh-CN" w:bidi="ar"/>
        </w:rPr>
        <w:t>2</w:t>
      </w:r>
      <w:r>
        <w:rPr>
          <w:rFonts w:hint="eastAsia" w:ascii="Times New Roman" w:hAnsi="Times New Roman" w:eastAsia="宋体" w:cs="宋体"/>
          <w:spacing w:val="10"/>
          <w:kern w:val="2"/>
          <w:sz w:val="24"/>
          <w:szCs w:val="24"/>
          <w:vertAlign w:val="baseline"/>
          <w:lang w:val="en-US" w:eastAsia="zh-CN" w:bidi="ar"/>
        </w:rPr>
        <w:t>S</w:t>
      </w:r>
      <w:r>
        <w:rPr>
          <w:rFonts w:hint="eastAsia" w:ascii="Times New Roman" w:hAnsi="Times New Roman" w:eastAsia="宋体" w:cs="宋体"/>
          <w:kern w:val="2"/>
          <w:sz w:val="24"/>
          <w:szCs w:val="24"/>
          <w:lang w:val="en-US" w:eastAsia="zh-CN" w:bidi="ar"/>
        </w:rPr>
        <w:t>落地浓度均能达到《</w:t>
      </w:r>
      <w:r>
        <w:rPr>
          <w:rFonts w:hint="eastAsia" w:ascii="Times New Roman" w:hAnsi="Times New Roman" w:eastAsia="宋体" w:cs="宋体"/>
          <w:kern w:val="0"/>
          <w:sz w:val="24"/>
          <w:szCs w:val="24"/>
          <w:lang w:val="en-US" w:eastAsia="zh-CN" w:bidi="ar"/>
        </w:rPr>
        <w:t>环境影响评价技术导则  大气环境》（</w:t>
      </w:r>
      <w:r>
        <w:rPr>
          <w:rFonts w:hint="default" w:ascii="Times New Roman" w:hAnsi="Times New Roman" w:eastAsia="宋体" w:cs="Times New Roman"/>
          <w:kern w:val="0"/>
          <w:sz w:val="24"/>
          <w:szCs w:val="24"/>
          <w:lang w:val="en-US" w:eastAsia="zh-CN" w:bidi="ar"/>
        </w:rPr>
        <w:t>HJ2.2-2018</w:t>
      </w:r>
      <w:r>
        <w:rPr>
          <w:rFonts w:hint="eastAsia" w:ascii="Times New Roman" w:hAnsi="Times New Roman" w:eastAsia="宋体" w:cs="宋体"/>
          <w:kern w:val="0"/>
          <w:sz w:val="24"/>
          <w:szCs w:val="24"/>
          <w:lang w:val="en-US" w:eastAsia="zh-CN" w:bidi="ar"/>
        </w:rPr>
        <w:t>）</w:t>
      </w:r>
      <w:r>
        <w:rPr>
          <w:rFonts w:hint="eastAsia" w:ascii="Times New Roman" w:hAnsi="Times New Roman" w:eastAsia="宋体" w:cs="宋体"/>
          <w:kern w:val="2"/>
          <w:sz w:val="24"/>
          <w:szCs w:val="24"/>
          <w:lang w:val="en-US" w:eastAsia="zh-CN" w:bidi="ar"/>
        </w:rPr>
        <w:t>附录</w:t>
      </w:r>
      <w:r>
        <w:rPr>
          <w:rFonts w:hint="default" w:ascii="Times New Roman" w:hAnsi="Times New Roman" w:eastAsia="宋体" w:cs="Times New Roman"/>
          <w:kern w:val="2"/>
          <w:sz w:val="24"/>
          <w:szCs w:val="24"/>
          <w:lang w:val="en-US" w:eastAsia="zh-CN" w:bidi="ar"/>
        </w:rPr>
        <w:t>D</w:t>
      </w:r>
      <w:r>
        <w:rPr>
          <w:rFonts w:hint="eastAsia" w:ascii="Times New Roman" w:hAnsi="Times New Roman" w:eastAsia="宋体" w:cs="宋体"/>
          <w:kern w:val="2"/>
          <w:sz w:val="24"/>
          <w:szCs w:val="24"/>
          <w:lang w:val="en-US" w:eastAsia="zh-CN" w:bidi="ar"/>
        </w:rPr>
        <w:t>浓度限值（</w:t>
      </w:r>
      <w:r>
        <w:rPr>
          <w:rFonts w:hint="default" w:ascii="Times New Roman" w:hAnsi="Times New Roman" w:eastAsia="宋体" w:cs="Times New Roman"/>
          <w:kern w:val="2"/>
          <w:sz w:val="24"/>
          <w:szCs w:val="24"/>
          <w:lang w:val="en-US" w:eastAsia="zh-CN" w:bidi="ar"/>
        </w:rPr>
        <w:t>H</w:t>
      </w:r>
      <w:r>
        <w:rPr>
          <w:rFonts w:hint="default" w:ascii="Times New Roman" w:hAnsi="Times New Roman" w:eastAsia="宋体" w:cs="Times New Roman"/>
          <w:kern w:val="2"/>
          <w:sz w:val="24"/>
          <w:szCs w:val="24"/>
          <w:vertAlign w:val="subscript"/>
          <w:lang w:val="en-US" w:eastAsia="zh-CN" w:bidi="ar"/>
        </w:rPr>
        <w:t>2</w:t>
      </w:r>
      <w:r>
        <w:rPr>
          <w:rFonts w:hint="default" w:ascii="Times New Roman" w:hAnsi="Times New Roman" w:eastAsia="宋体" w:cs="Times New Roman"/>
          <w:kern w:val="2"/>
          <w:sz w:val="24"/>
          <w:szCs w:val="24"/>
          <w:lang w:val="en-US" w:eastAsia="zh-CN" w:bidi="ar"/>
        </w:rPr>
        <w:t>S≤10µg/m</w:t>
      </w:r>
      <w:r>
        <w:rPr>
          <w:rFonts w:hint="default" w:ascii="Times New Roman" w:hAnsi="Times New Roman" w:eastAsia="宋体" w:cs="Times New Roman"/>
          <w:kern w:val="2"/>
          <w:sz w:val="24"/>
          <w:szCs w:val="24"/>
          <w:vertAlign w:val="superscript"/>
          <w:lang w:val="en-US" w:eastAsia="zh-CN" w:bidi="ar"/>
        </w:rPr>
        <w:t>3</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NH</w:t>
      </w:r>
      <w:r>
        <w:rPr>
          <w:rFonts w:hint="default" w:ascii="Times New Roman" w:hAnsi="Times New Roman" w:eastAsia="宋体" w:cs="Times New Roman"/>
          <w:kern w:val="2"/>
          <w:sz w:val="24"/>
          <w:szCs w:val="24"/>
          <w:vertAlign w:val="subscript"/>
          <w:lang w:val="en-US" w:eastAsia="zh-CN" w:bidi="ar"/>
        </w:rPr>
        <w:t>3</w:t>
      </w:r>
      <w:r>
        <w:rPr>
          <w:rFonts w:hint="default" w:ascii="Times New Roman" w:hAnsi="Times New Roman" w:eastAsia="宋体" w:cs="Times New Roman"/>
          <w:kern w:val="2"/>
          <w:sz w:val="24"/>
          <w:szCs w:val="24"/>
          <w:lang w:val="en-US" w:eastAsia="zh-CN" w:bidi="ar"/>
        </w:rPr>
        <w:t>≤200µg/m</w:t>
      </w:r>
      <w:r>
        <w:rPr>
          <w:rFonts w:hint="default" w:ascii="Times New Roman" w:hAnsi="Times New Roman" w:eastAsia="宋体" w:cs="Times New Roman"/>
          <w:kern w:val="2"/>
          <w:sz w:val="24"/>
          <w:szCs w:val="24"/>
          <w:vertAlign w:val="superscript"/>
          <w:lang w:val="en-US" w:eastAsia="zh-CN" w:bidi="ar"/>
        </w:rPr>
        <w:t>3</w:t>
      </w:r>
      <w:r>
        <w:rPr>
          <w:rFonts w:hint="eastAsia" w:ascii="Times New Roman" w:hAnsi="Times New Roman" w:eastAsia="宋体" w:cs="宋体"/>
          <w:kern w:val="2"/>
          <w:sz w:val="24"/>
          <w:szCs w:val="24"/>
          <w:lang w:val="en-US" w:eastAsia="zh-CN" w:bidi="ar"/>
        </w:rPr>
        <w:t>），周边</w:t>
      </w:r>
      <w:r>
        <w:rPr>
          <w:rFonts w:hint="default" w:ascii="Times New Roman" w:hAnsi="Times New Roman" w:eastAsia="宋体" w:cs="Times New Roman"/>
          <w:kern w:val="2"/>
          <w:sz w:val="24"/>
          <w:szCs w:val="24"/>
          <w:lang w:val="en-US" w:eastAsia="zh-CN" w:bidi="ar"/>
        </w:rPr>
        <w:t>500m</w:t>
      </w:r>
      <w:r>
        <w:rPr>
          <w:rFonts w:hint="eastAsia" w:ascii="Times New Roman" w:hAnsi="Times New Roman" w:eastAsia="宋体" w:cs="宋体"/>
          <w:kern w:val="2"/>
          <w:sz w:val="24"/>
          <w:szCs w:val="24"/>
          <w:lang w:val="en-US" w:eastAsia="zh-CN" w:bidi="ar"/>
        </w:rPr>
        <w:t>范围内无城市和城镇居民集中区，恶臭对周边环境影响不大。</w:t>
      </w:r>
    </w:p>
    <w:p>
      <w:pPr>
        <w:keepNext w:val="0"/>
        <w:keepLines w:val="0"/>
        <w:widowControl w:val="0"/>
        <w:suppressLineNumbers w:val="0"/>
        <w:spacing w:before="0" w:beforeAutospacing="0" w:after="0" w:afterAutospacing="0" w:line="360" w:lineRule="auto"/>
        <w:ind w:left="0" w:right="0" w:firstLine="520" w:firstLineChars="200"/>
        <w:jc w:val="both"/>
        <w:rPr>
          <w:color w:val="auto"/>
          <w:sz w:val="24"/>
          <w:szCs w:val="24"/>
          <w:lang w:val="en-US"/>
        </w:rPr>
      </w:pPr>
      <w:r>
        <w:rPr>
          <w:rFonts w:hint="eastAsia" w:ascii="Times New Roman" w:hAnsi="Times New Roman" w:eastAsia="宋体" w:cs="宋体"/>
          <w:color w:val="auto"/>
          <w:spacing w:val="10"/>
          <w:kern w:val="2"/>
          <w:sz w:val="24"/>
          <w:szCs w:val="24"/>
          <w:lang w:val="en-US" w:eastAsia="zh-CN" w:bidi="ar"/>
        </w:rPr>
        <w:t>（</w:t>
      </w:r>
      <w:r>
        <w:rPr>
          <w:rFonts w:hint="default" w:ascii="Times New Roman" w:hAnsi="Times New Roman" w:eastAsia="宋体" w:cs="Times New Roman"/>
          <w:color w:val="auto"/>
          <w:spacing w:val="10"/>
          <w:kern w:val="2"/>
          <w:sz w:val="24"/>
          <w:szCs w:val="24"/>
          <w:lang w:val="en-US" w:eastAsia="zh-CN" w:bidi="ar"/>
        </w:rPr>
        <w:t>2</w:t>
      </w:r>
      <w:r>
        <w:rPr>
          <w:rFonts w:hint="eastAsia" w:ascii="Times New Roman" w:hAnsi="Times New Roman" w:eastAsia="宋体" w:cs="宋体"/>
          <w:color w:val="auto"/>
          <w:spacing w:val="10"/>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本项目的卫生防护距离划定1</w:t>
      </w:r>
      <w:r>
        <w:rPr>
          <w:rFonts w:hint="default" w:ascii="Times New Roman" w:hAnsi="Times New Roman" w:eastAsia="宋体" w:cs="Times New Roman"/>
          <w:color w:val="auto"/>
          <w:kern w:val="2"/>
          <w:sz w:val="24"/>
          <w:szCs w:val="24"/>
          <w:lang w:val="en-US" w:eastAsia="zh-CN" w:bidi="ar"/>
        </w:rPr>
        <w:t>00m</w:t>
      </w:r>
      <w:r>
        <w:rPr>
          <w:rFonts w:hint="eastAsia" w:ascii="Times New Roman" w:hAnsi="Times New Roman" w:eastAsia="宋体" w:cs="宋体"/>
          <w:color w:val="auto"/>
          <w:kern w:val="2"/>
          <w:sz w:val="24"/>
          <w:szCs w:val="24"/>
          <w:lang w:val="en-US" w:eastAsia="zh-CN" w:bidi="ar"/>
        </w:rPr>
        <w:t>范围，供有关规划部门参考。经实地调查，本项目核算卫生防护距离范围内无住户，无城镇居民区，满足卫生防护距离要求。</w:t>
      </w:r>
    </w:p>
    <w:p>
      <w:pPr>
        <w:keepNext w:val="0"/>
        <w:keepLines w:val="0"/>
        <w:widowControl w:val="0"/>
        <w:suppressLineNumbers w:val="0"/>
        <w:spacing w:before="0" w:beforeAutospacing="0" w:after="0" w:afterAutospacing="0" w:line="360" w:lineRule="auto"/>
        <w:ind w:left="0" w:right="0" w:firstLine="520" w:firstLineChars="200"/>
        <w:jc w:val="both"/>
        <w:rPr>
          <w:spacing w:val="10"/>
          <w:sz w:val="24"/>
          <w:szCs w:val="24"/>
          <w:lang w:val="en-US"/>
        </w:rPr>
      </w:pPr>
      <w:r>
        <w:rPr>
          <w:rFonts w:hint="eastAsia" w:ascii="Times New Roman" w:hAnsi="Times New Roman" w:eastAsia="宋体" w:cs="宋体"/>
          <w:spacing w:val="10"/>
          <w:kern w:val="2"/>
          <w:sz w:val="24"/>
          <w:szCs w:val="24"/>
          <w:lang w:val="en-US" w:eastAsia="zh-CN" w:bidi="ar"/>
        </w:rPr>
        <w:t>（</w:t>
      </w:r>
      <w:r>
        <w:rPr>
          <w:rFonts w:hint="default" w:ascii="Times New Roman" w:hAnsi="Times New Roman" w:eastAsia="宋体" w:cs="Times New Roman"/>
          <w:spacing w:val="10"/>
          <w:kern w:val="2"/>
          <w:sz w:val="24"/>
          <w:szCs w:val="24"/>
          <w:lang w:val="en-US" w:eastAsia="zh-CN" w:bidi="ar"/>
        </w:rPr>
        <w:t>3</w:t>
      </w:r>
      <w:r>
        <w:rPr>
          <w:rFonts w:hint="eastAsia" w:ascii="Times New Roman" w:hAnsi="Times New Roman" w:eastAsia="宋体" w:cs="宋体"/>
          <w:spacing w:val="10"/>
          <w:kern w:val="2"/>
          <w:sz w:val="24"/>
          <w:szCs w:val="24"/>
          <w:lang w:val="en-US" w:eastAsia="zh-CN" w:bidi="ar"/>
        </w:rPr>
        <w:t>）食堂油烟经油烟净化处理器处理并引到屋顶排放，对周边环境影响很小。</w:t>
      </w:r>
    </w:p>
    <w:p>
      <w:pPr>
        <w:keepNext w:val="0"/>
        <w:keepLines w:val="0"/>
        <w:widowControl w:val="0"/>
        <w:suppressLineNumbers w:val="0"/>
        <w:spacing w:before="0" w:beforeAutospacing="0" w:after="0" w:afterAutospacing="0" w:line="360" w:lineRule="auto"/>
        <w:ind w:left="0" w:right="0" w:firstLine="520" w:firstLineChars="200"/>
        <w:jc w:val="both"/>
        <w:rPr>
          <w:sz w:val="24"/>
          <w:szCs w:val="24"/>
          <w:lang w:val="en-US"/>
        </w:rPr>
      </w:pPr>
      <w:r>
        <w:rPr>
          <w:rFonts w:hint="eastAsia" w:ascii="Times New Roman" w:hAnsi="Times New Roman" w:eastAsia="宋体" w:cs="宋体"/>
          <w:spacing w:val="10"/>
          <w:kern w:val="2"/>
          <w:sz w:val="24"/>
          <w:szCs w:val="24"/>
          <w:lang w:val="en-US" w:eastAsia="zh-CN" w:bidi="ar"/>
        </w:rPr>
        <w:t>（</w:t>
      </w:r>
      <w:r>
        <w:rPr>
          <w:rFonts w:hint="default" w:ascii="Times New Roman" w:hAnsi="Times New Roman" w:eastAsia="宋体" w:cs="Times New Roman"/>
          <w:spacing w:val="10"/>
          <w:kern w:val="2"/>
          <w:sz w:val="24"/>
          <w:szCs w:val="24"/>
          <w:lang w:val="en-US" w:eastAsia="zh-CN" w:bidi="ar"/>
        </w:rPr>
        <w:t>4</w:t>
      </w:r>
      <w:r>
        <w:rPr>
          <w:rFonts w:hint="eastAsia" w:ascii="Times New Roman" w:hAnsi="Times New Roman" w:eastAsia="宋体" w:cs="宋体"/>
          <w:spacing w:val="10"/>
          <w:kern w:val="2"/>
          <w:sz w:val="24"/>
          <w:szCs w:val="24"/>
          <w:lang w:val="en-US" w:eastAsia="zh-CN" w:bidi="ar"/>
        </w:rPr>
        <w:t>）柴油发电机烟气经</w:t>
      </w:r>
      <w:r>
        <w:rPr>
          <w:rFonts w:hint="default" w:ascii="Times New Roman" w:hAnsi="Times New Roman" w:eastAsia="宋体" w:cs="Times New Roman"/>
          <w:spacing w:val="10"/>
          <w:kern w:val="2"/>
          <w:sz w:val="24"/>
          <w:szCs w:val="24"/>
          <w:lang w:val="en-US" w:eastAsia="zh-CN" w:bidi="ar"/>
        </w:rPr>
        <w:t>“</w:t>
      </w:r>
      <w:r>
        <w:rPr>
          <w:rFonts w:hint="eastAsia" w:ascii="Times New Roman" w:hAnsi="Times New Roman" w:eastAsia="宋体" w:cs="宋体"/>
          <w:spacing w:val="10"/>
          <w:kern w:val="2"/>
          <w:sz w:val="24"/>
          <w:szCs w:val="24"/>
          <w:lang w:val="en-US" w:eastAsia="zh-CN" w:bidi="ar"/>
        </w:rPr>
        <w:t>自带烟气净化器</w:t>
      </w:r>
      <w:r>
        <w:rPr>
          <w:rFonts w:hint="default" w:ascii="Times New Roman" w:hAnsi="Times New Roman" w:eastAsia="宋体" w:cs="Times New Roman"/>
          <w:spacing w:val="10"/>
          <w:kern w:val="2"/>
          <w:sz w:val="24"/>
          <w:szCs w:val="24"/>
          <w:lang w:val="en-US" w:eastAsia="zh-CN" w:bidi="ar"/>
        </w:rPr>
        <w:t>”</w:t>
      </w:r>
      <w:r>
        <w:rPr>
          <w:rFonts w:hint="eastAsia" w:ascii="Times New Roman" w:hAnsi="Times New Roman" w:eastAsia="宋体" w:cs="宋体"/>
          <w:spacing w:val="10"/>
          <w:kern w:val="2"/>
          <w:sz w:val="24"/>
          <w:szCs w:val="24"/>
          <w:lang w:val="en-US" w:eastAsia="zh-CN" w:bidi="ar"/>
        </w:rPr>
        <w:t>处理后于屋顶排放，能够做到达标排放，对周围环境影响很小。</w:t>
      </w:r>
    </w:p>
    <w:p>
      <w:pPr>
        <w:bidi w:val="0"/>
        <w:rPr>
          <w:rFonts w:hint="default"/>
          <w:lang w:val="en-US" w:eastAsia="zh-CN"/>
        </w:rPr>
      </w:pPr>
      <w:r>
        <w:rPr>
          <w:rFonts w:hint="eastAsia"/>
          <w:lang w:val="en-US" w:eastAsia="zh-CN"/>
        </w:rPr>
        <w:t>（5）锅炉天然气燃烧废气经排气筒高空排放，对周围环境影响很小。</w:t>
      </w:r>
    </w:p>
    <w:p>
      <w:pPr>
        <w:pStyle w:val="5"/>
        <w:bidi w:val="0"/>
        <w:rPr>
          <w:rFonts w:hint="default"/>
          <w:lang w:val="en-US" w:eastAsia="zh-CN"/>
        </w:rPr>
      </w:pPr>
      <w:r>
        <w:rPr>
          <w:rFonts w:hint="eastAsia"/>
          <w:lang w:val="en-US" w:eastAsia="zh-CN"/>
        </w:rPr>
        <w:t>噪声环境影响预测及评价</w:t>
      </w:r>
    </w:p>
    <w:p>
      <w:pPr>
        <w:pStyle w:val="6"/>
        <w:bidi w:val="0"/>
        <w:rPr>
          <w:rFonts w:hint="eastAsia"/>
        </w:rPr>
      </w:pPr>
      <w:r>
        <w:rPr>
          <w:rFonts w:hint="eastAsia"/>
        </w:rPr>
        <w:t>主要噪声源</w:t>
      </w:r>
    </w:p>
    <w:p>
      <w:pPr>
        <w:bidi w:val="0"/>
        <w:rPr>
          <w:rFonts w:hint="eastAsia"/>
          <w:lang w:val="en-US" w:eastAsia="zh-CN"/>
        </w:rPr>
      </w:pPr>
      <w:r>
        <w:rPr>
          <w:rFonts w:hint="eastAsia"/>
        </w:rPr>
        <w:t>本项目营运期主要噪声源来自猪叫声、屠宰设备及配套设备噪声，噪声值约在</w:t>
      </w:r>
      <w:r>
        <w:rPr>
          <w:rFonts w:hint="default"/>
        </w:rPr>
        <w:t>70~105dB</w:t>
      </w:r>
      <w:r>
        <w:rPr>
          <w:rFonts w:hint="eastAsia"/>
        </w:rPr>
        <w:t>（</w:t>
      </w:r>
      <w:r>
        <w:rPr>
          <w:rFonts w:hint="default"/>
        </w:rPr>
        <w:t>A</w:t>
      </w:r>
      <w:r>
        <w:rPr>
          <w:rFonts w:hint="eastAsia"/>
        </w:rPr>
        <w:t>）范围，项目在采取减震、减震隔声、风机加消声器等措施后，声功率减小。</w:t>
      </w:r>
    </w:p>
    <w:p>
      <w:pPr>
        <w:pStyle w:val="6"/>
        <w:bidi w:val="0"/>
        <w:rPr>
          <w:rFonts w:hint="default"/>
          <w:lang w:val="en-US" w:eastAsia="zh-CN"/>
        </w:rPr>
      </w:pPr>
      <w:r>
        <w:rPr>
          <w:rFonts w:hint="eastAsia"/>
          <w:lang w:val="en-US" w:eastAsia="zh-CN"/>
        </w:rPr>
        <w:t>预测内容</w:t>
      </w:r>
    </w:p>
    <w:p>
      <w:pPr>
        <w:rPr>
          <w:rFonts w:hint="eastAsia"/>
          <w:lang w:val="en-US" w:eastAsia="zh-CN"/>
        </w:rPr>
      </w:pPr>
      <w:r>
        <w:rPr>
          <w:rFonts w:hint="eastAsia" w:ascii="宋体" w:hAnsi="宋体" w:eastAsia="宋体"/>
          <w:sz w:val="24"/>
          <w:szCs w:val="24"/>
        </w:rPr>
        <w:t>根据工程特征和项目地区规划，预测因子为厂界噪声和</w:t>
      </w:r>
      <w:r>
        <w:rPr>
          <w:rFonts w:hint="eastAsia" w:ascii="宋体" w:hAnsi="宋体"/>
          <w:sz w:val="24"/>
          <w:szCs w:val="24"/>
          <w:lang w:val="en-US" w:eastAsia="zh-CN"/>
        </w:rPr>
        <w:t>项目东侧居民环境敏感点</w:t>
      </w:r>
      <w:r>
        <w:rPr>
          <w:rFonts w:hint="eastAsia" w:ascii="宋体" w:hAnsi="宋体" w:eastAsia="宋体"/>
          <w:sz w:val="24"/>
          <w:szCs w:val="24"/>
        </w:rPr>
        <w:t>。</w:t>
      </w:r>
    </w:p>
    <w:p>
      <w:pPr>
        <w:pStyle w:val="6"/>
        <w:bidi w:val="0"/>
        <w:rPr>
          <w:rFonts w:hint="default"/>
          <w:lang w:val="en-US" w:eastAsia="zh-CN"/>
        </w:rPr>
      </w:pPr>
      <w:r>
        <w:rPr>
          <w:rFonts w:hint="eastAsia"/>
          <w:lang w:val="en-US" w:eastAsia="zh-CN"/>
        </w:rPr>
        <w:t>预测模式</w:t>
      </w:r>
    </w:p>
    <w:p>
      <w:pPr>
        <w:bidi w:val="0"/>
        <w:rPr>
          <w:rFonts w:hint="eastAsia"/>
          <w:b/>
          <w:bCs/>
          <w:lang w:val="en-US" w:eastAsia="zh-CN"/>
        </w:rPr>
      </w:pPr>
      <w:r>
        <w:rPr>
          <w:rFonts w:hint="eastAsia"/>
          <w:b/>
          <w:bCs/>
        </w:rPr>
        <w:t>（</w:t>
      </w:r>
      <w:r>
        <w:rPr>
          <w:rFonts w:hint="default"/>
          <w:b/>
          <w:bCs/>
        </w:rPr>
        <w:t>1</w:t>
      </w:r>
      <w:r>
        <w:rPr>
          <w:rFonts w:hint="eastAsia"/>
          <w:b/>
          <w:bCs/>
        </w:rPr>
        <w:t>）噪声衰减公式</w:t>
      </w:r>
    </w:p>
    <w:p>
      <w:pPr>
        <w:rPr>
          <w:rFonts w:hint="eastAsia" w:eastAsia="宋体"/>
          <w:lang w:val="en-US" w:eastAsia="zh-CN"/>
        </w:rPr>
      </w:pPr>
      <m:oMathPara>
        <m:oMath>
          <m:sSub>
            <m:sSubPr>
              <m:ctrlPr>
                <w:rPr>
                  <w:rFonts w:ascii="Cambria Math" w:hAnsi="Cambria Math"/>
                  <w:i/>
                  <w:lang w:val="en-US"/>
                </w:rPr>
              </m:ctrlPr>
            </m:sSubPr>
            <m:e>
              <m:r>
                <m:rPr/>
                <w:rPr>
                  <w:rFonts w:hint="default" w:ascii="Cambria Math" w:hAnsi="Cambria Math"/>
                  <w:lang w:val="en-US" w:eastAsia="zh-CN"/>
                </w:rPr>
                <m:t>L</m:t>
              </m:r>
              <m:ctrlPr>
                <w:rPr>
                  <w:rFonts w:ascii="Cambria Math" w:hAnsi="Cambria Math"/>
                  <w:i/>
                  <w:lang w:val="en-US"/>
                </w:rPr>
              </m:ctrlPr>
            </m:e>
            <m:sub>
              <m:r>
                <m:rPr/>
                <w:rPr>
                  <w:rFonts w:hint="default" w:ascii="Cambria Math" w:hAnsi="Cambria Math"/>
                  <w:lang w:val="en-US" w:eastAsia="zh-CN"/>
                </w:rPr>
                <m:t>2</m:t>
              </m:r>
              <m:ctrlPr>
                <w:rPr>
                  <w:rFonts w:ascii="Cambria Math" w:hAnsi="Cambria Math"/>
                  <w:i/>
                  <w:lang w:val="en-US"/>
                </w:rPr>
              </m:ctrlPr>
            </m:sub>
          </m:sSub>
          <m:r>
            <m:rPr/>
            <w:rPr>
              <w:rFonts w:hint="default" w:ascii="Cambria Math" w:hAnsi="Cambria Math"/>
              <w:lang w:val="en-US" w:eastAsia="zh-CN"/>
            </w:rPr>
            <m:t>=</m:t>
          </m:r>
          <m:sSub>
            <m:sSubPr>
              <m:ctrlPr>
                <w:rPr>
                  <w:rFonts w:hint="default" w:ascii="Cambria Math" w:hAnsi="Cambria Math"/>
                  <w:i/>
                  <w:lang w:val="en-US" w:eastAsia="zh-CN"/>
                </w:rPr>
              </m:ctrlPr>
            </m:sSubPr>
            <m:e>
              <m:r>
                <m:rPr/>
                <w:rPr>
                  <w:rFonts w:hint="default" w:ascii="Cambria Math" w:hAnsi="Cambria Math"/>
                  <w:lang w:val="en-US" w:eastAsia="zh-CN"/>
                </w:rPr>
                <m:t>L</m:t>
              </m:r>
              <m:ctrlPr>
                <w:rPr>
                  <w:rFonts w:hint="default" w:ascii="Cambria Math" w:hAnsi="Cambria Math"/>
                  <w:i/>
                  <w:lang w:val="en-US" w:eastAsia="zh-CN"/>
                </w:rPr>
              </m:ctrlPr>
            </m:e>
            <m:sub>
              <m:r>
                <m:rPr/>
                <w:rPr>
                  <w:rFonts w:hint="default" w:ascii="Cambria Math" w:hAnsi="Cambria Math"/>
                  <w:lang w:val="en-US" w:eastAsia="zh-CN"/>
                </w:rPr>
                <m:t>1</m:t>
              </m:r>
              <m:ctrlPr>
                <w:rPr>
                  <w:rFonts w:hint="default" w:ascii="Cambria Math" w:hAnsi="Cambria Math"/>
                  <w:i/>
                  <w:lang w:val="en-US" w:eastAsia="zh-CN"/>
                </w:rPr>
              </m:ctrlPr>
            </m:sub>
          </m:sSub>
          <m:r>
            <m:rPr/>
            <w:rPr>
              <w:rFonts w:hint="default" w:ascii="Cambria Math" w:hAnsi="Cambria Math"/>
              <w:lang w:val="en-US" w:eastAsia="zh-CN"/>
            </w:rPr>
            <m:t>−20lg</m:t>
          </m:r>
          <m:sSub>
            <m:sSubPr>
              <m:ctrlPr>
                <w:rPr>
                  <w:rFonts w:hint="default" w:ascii="Cambria Math" w:hAnsi="Cambria Math"/>
                  <w:i/>
                  <w:lang w:val="en-US" w:eastAsia="zh-CN"/>
                </w:rPr>
              </m:ctrlPr>
            </m:sSubPr>
            <m:e>
              <m:r>
                <m:rPr/>
                <w:rPr>
                  <w:rFonts w:hint="default" w:ascii="Cambria Math" w:hAnsi="Cambria Math"/>
                  <w:lang w:val="en-US" w:eastAsia="zh-CN"/>
                </w:rPr>
                <m:t>r</m:t>
              </m:r>
              <m:ctrlPr>
                <w:rPr>
                  <w:rFonts w:hint="default" w:ascii="Cambria Math" w:hAnsi="Cambria Math"/>
                  <w:i/>
                  <w:lang w:val="en-US" w:eastAsia="zh-CN"/>
                </w:rPr>
              </m:ctrlPr>
            </m:e>
            <m:sub>
              <m:r>
                <m:rPr/>
                <w:rPr>
                  <w:rFonts w:hint="default" w:ascii="Cambria Math" w:hAnsi="Cambria Math"/>
                  <w:lang w:val="en-US" w:eastAsia="zh-CN"/>
                </w:rPr>
                <m:t>1</m:t>
              </m:r>
              <m:ctrlPr>
                <w:rPr>
                  <w:rFonts w:hint="default" w:ascii="Cambria Math" w:hAnsi="Cambria Math"/>
                  <w:i/>
                  <w:lang w:val="en-US" w:eastAsia="zh-CN"/>
                </w:rPr>
              </m:ctrlPr>
            </m:sub>
          </m:sSub>
          <m:r>
            <m:rPr/>
            <w:rPr>
              <w:rFonts w:hint="default" w:ascii="Cambria Math" w:hAnsi="Cambria Math"/>
              <w:lang w:val="en-US" w:eastAsia="zh-CN"/>
            </w:rPr>
            <m:t>/</m:t>
          </m:r>
          <m:sSub>
            <m:sSubPr>
              <m:ctrlPr>
                <w:rPr>
                  <w:rFonts w:hint="default" w:ascii="Cambria Math" w:hAnsi="Cambria Math"/>
                  <w:i/>
                  <w:lang w:val="en-US" w:eastAsia="zh-CN"/>
                </w:rPr>
              </m:ctrlPr>
            </m:sSubPr>
            <m:e>
              <m:r>
                <m:rPr/>
                <w:rPr>
                  <w:rFonts w:hint="default" w:ascii="Cambria Math" w:hAnsi="Cambria Math"/>
                  <w:lang w:val="en-US" w:eastAsia="zh-CN"/>
                </w:rPr>
                <m:t>r</m:t>
              </m:r>
              <m:ctrlPr>
                <w:rPr>
                  <w:rFonts w:hint="default" w:ascii="Cambria Math" w:hAnsi="Cambria Math"/>
                  <w:i/>
                  <w:lang w:val="en-US" w:eastAsia="zh-CN"/>
                </w:rPr>
              </m:ctrlPr>
            </m:e>
            <m:sub>
              <m:r>
                <m:rPr/>
                <w:rPr>
                  <w:rFonts w:hint="default" w:ascii="Cambria Math" w:hAnsi="Cambria Math"/>
                  <w:lang w:val="en-US" w:eastAsia="zh-CN"/>
                </w:rPr>
                <m:t>1</m:t>
              </m:r>
              <m:ctrlPr>
                <w:rPr>
                  <w:rFonts w:hint="default" w:ascii="Cambria Math" w:hAnsi="Cambria Math"/>
                  <w:i/>
                  <w:lang w:val="en-US" w:eastAsia="zh-CN"/>
                </w:rPr>
              </m:ctrlPr>
            </m:sub>
          </m:sSub>
          <m:r>
            <m:rPr/>
            <w:rPr>
              <w:rFonts w:hint="default" w:ascii="Cambria Math" w:hAnsi="Cambria Math"/>
              <w:lang w:val="en-US" w:eastAsia="zh-CN"/>
            </w:rPr>
            <m:t>−</m:t>
          </m:r>
          <m:r>
            <m:rPr/>
            <w:rPr>
              <w:rFonts w:ascii="Cambria Math" w:hAnsi="Cambria Math"/>
              <w:lang w:val="en-US"/>
            </w:rPr>
            <m:t>∆</m:t>
          </m:r>
          <m:r>
            <m:rPr/>
            <w:rPr>
              <w:rFonts w:hint="default" w:ascii="Cambria Math" w:hAnsi="Cambria Math"/>
              <w:lang w:val="en-US" w:eastAsia="zh-CN"/>
            </w:rPr>
            <m:t>L</m:t>
          </m:r>
        </m:oMath>
      </m:oMathPara>
    </w:p>
    <w:p>
      <w:pPr>
        <w:spacing w:beforeLines="0" w:afterLines="0"/>
        <w:jc w:val="left"/>
        <w:rPr>
          <w:rFonts w:hint="eastAsia" w:ascii="宋体" w:hAnsi="宋体" w:eastAsia="宋体"/>
          <w:sz w:val="24"/>
          <w:szCs w:val="24"/>
        </w:rPr>
      </w:pPr>
      <w:r>
        <w:rPr>
          <w:rFonts w:hint="eastAsia" w:ascii="宋体" w:hAnsi="宋体" w:eastAsia="宋体"/>
          <w:sz w:val="24"/>
          <w:szCs w:val="24"/>
        </w:rPr>
        <w:t>式中：</w:t>
      </w:r>
    </w:p>
    <w:p>
      <w:pPr>
        <w:spacing w:beforeLines="0" w:afterLines="0"/>
        <w:ind w:firstLine="1200" w:firstLineChars="500"/>
        <w:jc w:val="left"/>
        <w:rPr>
          <w:rFonts w:hint="eastAsia" w:ascii="宋体" w:hAnsi="宋体" w:eastAsia="宋体"/>
          <w:sz w:val="24"/>
          <w:szCs w:val="24"/>
        </w:rPr>
      </w:pPr>
      <w:r>
        <w:rPr>
          <w:rFonts w:hint="default" w:ascii="Times New Roman" w:hAnsi="Times New Roman" w:eastAsia="Times New Roman"/>
          <w:sz w:val="24"/>
          <w:szCs w:val="24"/>
        </w:rPr>
        <w:t>L</w:t>
      </w:r>
      <w:r>
        <w:rPr>
          <w:rFonts w:hint="default" w:ascii="Times New Roman" w:hAnsi="Times New Roman" w:eastAsia="Times New Roman"/>
          <w:sz w:val="16"/>
          <w:szCs w:val="24"/>
        </w:rPr>
        <w:t>2</w:t>
      </w:r>
      <w:r>
        <w:rPr>
          <w:rFonts w:hint="eastAsia" w:ascii="TimesNewRomanPSMT" w:hAnsi="TimesNewRomanPSMT" w:eastAsia="宋体"/>
          <w:sz w:val="24"/>
          <w:szCs w:val="24"/>
          <w:lang w:eastAsia="zh-CN"/>
        </w:rPr>
        <w:t>——</w:t>
      </w:r>
      <w:r>
        <w:rPr>
          <w:rFonts w:hint="eastAsia" w:ascii="宋体" w:hAnsi="宋体" w:eastAsia="宋体"/>
          <w:sz w:val="24"/>
          <w:szCs w:val="24"/>
        </w:rPr>
        <w:t>距声源</w:t>
      </w:r>
      <w:r>
        <w:rPr>
          <w:rFonts w:hint="default" w:ascii="Times New Roman" w:hAnsi="Times New Roman" w:eastAsia="Times New Roman"/>
          <w:sz w:val="24"/>
          <w:szCs w:val="24"/>
        </w:rPr>
        <w:t>r</w:t>
      </w:r>
      <w:r>
        <w:rPr>
          <w:rFonts w:hint="default" w:ascii="Times New Roman" w:hAnsi="Times New Roman" w:eastAsia="Times New Roman"/>
          <w:sz w:val="16"/>
          <w:szCs w:val="24"/>
        </w:rPr>
        <w:t>2</w:t>
      </w:r>
      <w:r>
        <w:rPr>
          <w:rFonts w:hint="eastAsia" w:ascii="宋体" w:hAnsi="宋体" w:eastAsia="宋体"/>
          <w:sz w:val="24"/>
          <w:szCs w:val="24"/>
        </w:rPr>
        <w:t>处声源值</w:t>
      </w:r>
      <w:r>
        <w:rPr>
          <w:rFonts w:hint="default" w:ascii="Times New Roman" w:hAnsi="Times New Roman" w:eastAsia="Times New Roman"/>
          <w:sz w:val="24"/>
          <w:szCs w:val="24"/>
        </w:rPr>
        <w:t>[dB</w:t>
      </w:r>
      <w:r>
        <w:rPr>
          <w:rFonts w:hint="eastAsia" w:eastAsia="宋体"/>
          <w:sz w:val="24"/>
          <w:szCs w:val="24"/>
          <w:lang w:eastAsia="zh-CN"/>
        </w:rPr>
        <w:t>（</w:t>
      </w:r>
      <w:r>
        <w:rPr>
          <w:rFonts w:hint="default" w:ascii="Times New Roman" w:hAnsi="Times New Roman" w:eastAsia="Times New Roman"/>
          <w:sz w:val="24"/>
          <w:szCs w:val="24"/>
        </w:rPr>
        <w:t>A</w:t>
      </w:r>
      <w:r>
        <w:rPr>
          <w:rFonts w:hint="eastAsia" w:eastAsia="宋体"/>
          <w:sz w:val="24"/>
          <w:szCs w:val="24"/>
          <w:lang w:eastAsia="zh-CN"/>
        </w:rPr>
        <w:t>）</w:t>
      </w:r>
      <w:r>
        <w:rPr>
          <w:rFonts w:hint="default" w:ascii="Times New Roman" w:hAnsi="Times New Roman" w:eastAsia="Times New Roman"/>
          <w:sz w:val="24"/>
          <w:szCs w:val="24"/>
        </w:rPr>
        <w:t>]</w:t>
      </w:r>
      <w:r>
        <w:rPr>
          <w:rFonts w:hint="eastAsia" w:ascii="宋体" w:hAnsi="宋体" w:eastAsia="宋体"/>
          <w:sz w:val="24"/>
          <w:szCs w:val="24"/>
        </w:rPr>
        <w:t>；</w:t>
      </w:r>
    </w:p>
    <w:p>
      <w:pPr>
        <w:spacing w:beforeLines="0" w:afterLines="0"/>
        <w:ind w:firstLine="1200" w:firstLineChars="500"/>
        <w:jc w:val="left"/>
        <w:rPr>
          <w:rFonts w:hint="eastAsia" w:ascii="宋体" w:hAnsi="宋体" w:eastAsia="宋体"/>
          <w:sz w:val="24"/>
          <w:szCs w:val="24"/>
        </w:rPr>
      </w:pPr>
      <w:r>
        <w:rPr>
          <w:rFonts w:hint="default" w:ascii="Times New Roman" w:hAnsi="Times New Roman" w:eastAsia="Times New Roman"/>
          <w:sz w:val="24"/>
          <w:szCs w:val="24"/>
        </w:rPr>
        <w:t>L</w:t>
      </w:r>
      <w:r>
        <w:rPr>
          <w:rFonts w:hint="default" w:ascii="Times New Roman" w:hAnsi="Times New Roman" w:eastAsia="Times New Roman"/>
          <w:sz w:val="16"/>
          <w:szCs w:val="24"/>
        </w:rPr>
        <w:t>1</w:t>
      </w:r>
      <w:r>
        <w:rPr>
          <w:rFonts w:hint="eastAsia" w:ascii="TimesNewRomanPSMT" w:hAnsi="TimesNewRomanPSMT" w:eastAsia="宋体"/>
          <w:sz w:val="24"/>
          <w:szCs w:val="24"/>
          <w:lang w:eastAsia="zh-CN"/>
        </w:rPr>
        <w:t>——</w:t>
      </w:r>
      <w:r>
        <w:rPr>
          <w:rFonts w:hint="eastAsia" w:ascii="宋体" w:hAnsi="宋体" w:eastAsia="宋体"/>
          <w:sz w:val="24"/>
          <w:szCs w:val="24"/>
        </w:rPr>
        <w:t>距声源</w:t>
      </w:r>
      <w:r>
        <w:rPr>
          <w:rFonts w:hint="default" w:ascii="Times New Roman" w:hAnsi="Times New Roman" w:eastAsia="Times New Roman"/>
          <w:sz w:val="24"/>
          <w:szCs w:val="24"/>
        </w:rPr>
        <w:t>r</w:t>
      </w:r>
      <w:r>
        <w:rPr>
          <w:rFonts w:hint="default" w:ascii="Times New Roman" w:hAnsi="Times New Roman" w:eastAsia="Times New Roman"/>
          <w:sz w:val="16"/>
          <w:szCs w:val="24"/>
        </w:rPr>
        <w:t>1</w:t>
      </w:r>
      <w:r>
        <w:rPr>
          <w:rFonts w:hint="eastAsia" w:ascii="宋体" w:hAnsi="宋体" w:eastAsia="宋体"/>
          <w:sz w:val="24"/>
          <w:szCs w:val="24"/>
        </w:rPr>
        <w:t>处声源值</w:t>
      </w:r>
      <w:r>
        <w:rPr>
          <w:rFonts w:hint="default" w:ascii="Times New Roman" w:hAnsi="Times New Roman" w:eastAsia="Times New Roman"/>
          <w:sz w:val="24"/>
          <w:szCs w:val="24"/>
        </w:rPr>
        <w:t>[dB</w:t>
      </w:r>
      <w:r>
        <w:rPr>
          <w:rFonts w:hint="eastAsia" w:eastAsia="宋体"/>
          <w:sz w:val="24"/>
          <w:szCs w:val="24"/>
          <w:lang w:eastAsia="zh-CN"/>
        </w:rPr>
        <w:t>（</w:t>
      </w:r>
      <w:r>
        <w:rPr>
          <w:rFonts w:hint="default" w:ascii="Times New Roman" w:hAnsi="Times New Roman" w:eastAsia="Times New Roman"/>
          <w:sz w:val="24"/>
          <w:szCs w:val="24"/>
        </w:rPr>
        <w:t>A</w:t>
      </w:r>
      <w:r>
        <w:rPr>
          <w:rFonts w:hint="eastAsia" w:eastAsia="宋体"/>
          <w:sz w:val="24"/>
          <w:szCs w:val="24"/>
          <w:lang w:eastAsia="zh-CN"/>
        </w:rPr>
        <w:t>）</w:t>
      </w:r>
      <w:r>
        <w:rPr>
          <w:rFonts w:hint="default" w:ascii="Times New Roman" w:hAnsi="Times New Roman" w:eastAsia="Times New Roman"/>
          <w:sz w:val="24"/>
          <w:szCs w:val="24"/>
        </w:rPr>
        <w:t>]</w:t>
      </w:r>
      <w:r>
        <w:rPr>
          <w:rFonts w:hint="eastAsia" w:ascii="宋体" w:hAnsi="宋体" w:eastAsia="宋体"/>
          <w:sz w:val="24"/>
          <w:szCs w:val="24"/>
        </w:rPr>
        <w:t>；</w:t>
      </w:r>
    </w:p>
    <w:p>
      <w:pPr>
        <w:spacing w:beforeLines="0" w:afterLines="0"/>
        <w:ind w:firstLine="1200" w:firstLineChars="500"/>
        <w:jc w:val="left"/>
        <w:rPr>
          <w:rFonts w:hint="eastAsia" w:ascii="宋体" w:hAnsi="宋体" w:eastAsia="宋体"/>
          <w:sz w:val="24"/>
          <w:szCs w:val="24"/>
        </w:rPr>
      </w:pPr>
      <w:r>
        <w:rPr>
          <w:rFonts w:hint="default" w:ascii="Times New Roman" w:hAnsi="Times New Roman" w:eastAsia="Times New Roman"/>
          <w:sz w:val="24"/>
          <w:szCs w:val="24"/>
        </w:rPr>
        <w:t>r</w:t>
      </w:r>
      <w:r>
        <w:rPr>
          <w:rFonts w:hint="default" w:ascii="Times New Roman" w:hAnsi="Times New Roman" w:eastAsia="Times New Roman"/>
          <w:sz w:val="16"/>
          <w:szCs w:val="24"/>
        </w:rPr>
        <w:t>2</w:t>
      </w:r>
      <w:r>
        <w:rPr>
          <w:rFonts w:hint="eastAsia" w:ascii="宋体" w:hAnsi="宋体" w:eastAsia="宋体"/>
          <w:sz w:val="24"/>
          <w:szCs w:val="24"/>
        </w:rPr>
        <w:t>、</w:t>
      </w:r>
      <w:r>
        <w:rPr>
          <w:rFonts w:hint="default" w:ascii="Times New Roman" w:hAnsi="Times New Roman" w:eastAsia="Times New Roman"/>
          <w:sz w:val="24"/>
          <w:szCs w:val="24"/>
        </w:rPr>
        <w:t>r</w:t>
      </w:r>
      <w:r>
        <w:rPr>
          <w:rFonts w:hint="default" w:ascii="Times New Roman" w:hAnsi="Times New Roman" w:eastAsia="Times New Roman"/>
          <w:sz w:val="16"/>
          <w:szCs w:val="24"/>
        </w:rPr>
        <w:t>1</w:t>
      </w:r>
      <w:r>
        <w:rPr>
          <w:rFonts w:hint="eastAsia" w:ascii="TimesNewRomanPSMT" w:hAnsi="TimesNewRomanPSMT" w:eastAsia="宋体"/>
          <w:sz w:val="24"/>
          <w:szCs w:val="24"/>
          <w:lang w:eastAsia="zh-CN"/>
        </w:rPr>
        <w:t>——</w:t>
      </w:r>
      <w:r>
        <w:rPr>
          <w:rFonts w:hint="eastAsia" w:ascii="宋体" w:hAnsi="宋体" w:eastAsia="宋体"/>
          <w:sz w:val="24"/>
          <w:szCs w:val="24"/>
        </w:rPr>
        <w:t>与声源的距离</w:t>
      </w:r>
      <w:r>
        <w:rPr>
          <w:rFonts w:hint="eastAsia" w:eastAsia="宋体"/>
          <w:sz w:val="24"/>
          <w:szCs w:val="24"/>
          <w:lang w:eastAsia="zh-CN"/>
        </w:rPr>
        <w:t>（</w:t>
      </w:r>
      <w:r>
        <w:rPr>
          <w:rFonts w:hint="default" w:ascii="Times New Roman" w:hAnsi="Times New Roman" w:eastAsia="Times New Roman"/>
          <w:sz w:val="24"/>
          <w:szCs w:val="24"/>
        </w:rPr>
        <w:t>m</w:t>
      </w:r>
      <w:r>
        <w:rPr>
          <w:rFonts w:hint="eastAsia" w:eastAsia="宋体"/>
          <w:sz w:val="24"/>
          <w:szCs w:val="24"/>
          <w:lang w:eastAsia="zh-CN"/>
        </w:rPr>
        <w:t>）</w:t>
      </w:r>
      <w:r>
        <w:rPr>
          <w:rFonts w:hint="eastAsia" w:ascii="宋体" w:hAnsi="宋体" w:eastAsia="宋体"/>
          <w:sz w:val="24"/>
          <w:szCs w:val="24"/>
        </w:rPr>
        <w:t>；</w:t>
      </w:r>
    </w:p>
    <w:p>
      <w:pPr>
        <w:ind w:firstLine="1200" w:firstLineChars="500"/>
        <w:rPr>
          <w:rFonts w:hint="eastAsia"/>
          <w:lang w:val="en-US" w:eastAsia="zh-CN"/>
        </w:rPr>
      </w:pPr>
      <w:r>
        <w:rPr>
          <w:rFonts w:hint="eastAsia" w:ascii="CambriaMath" w:hAnsi="CambriaMath" w:eastAsia="CambriaMath"/>
          <w:sz w:val="24"/>
          <w:szCs w:val="24"/>
        </w:rPr>
        <w:t>△</w:t>
      </w:r>
      <w:r>
        <w:rPr>
          <w:rFonts w:hint="default" w:ascii="Times New Roman" w:hAnsi="Times New Roman" w:eastAsia="Times New Roman"/>
          <w:sz w:val="24"/>
          <w:szCs w:val="24"/>
        </w:rPr>
        <w:t>L</w:t>
      </w:r>
      <w:r>
        <w:rPr>
          <w:rFonts w:hint="eastAsia" w:ascii="TimesNewRomanPSMT" w:hAnsi="TimesNewRomanPSMT" w:eastAsia="宋体"/>
          <w:sz w:val="24"/>
          <w:szCs w:val="24"/>
          <w:lang w:eastAsia="zh-CN"/>
        </w:rPr>
        <w:t>——</w:t>
      </w:r>
      <w:r>
        <w:rPr>
          <w:rFonts w:hint="eastAsia" w:ascii="宋体" w:hAnsi="宋体" w:eastAsia="宋体"/>
          <w:sz w:val="24"/>
          <w:szCs w:val="24"/>
        </w:rPr>
        <w:t>采取各种措施后的噪声衰减量。</w:t>
      </w:r>
    </w:p>
    <w:p>
      <w:pPr>
        <w:bidi w:val="0"/>
        <w:rPr>
          <w:rFonts w:hint="eastAsia"/>
          <w:b/>
          <w:bCs/>
          <w:lang w:val="en-US" w:eastAsia="zh-CN"/>
        </w:rPr>
      </w:pPr>
      <w:r>
        <w:rPr>
          <w:rFonts w:hint="eastAsia"/>
          <w:b/>
          <w:bCs/>
        </w:rPr>
        <w:t>（</w:t>
      </w:r>
      <w:r>
        <w:rPr>
          <w:rFonts w:hint="default"/>
          <w:b/>
          <w:bCs/>
        </w:rPr>
        <w:t>2</w:t>
      </w:r>
      <w:r>
        <w:rPr>
          <w:rFonts w:hint="eastAsia"/>
          <w:b/>
          <w:bCs/>
        </w:rPr>
        <w:t>）噪声叠加公式</w:t>
      </w:r>
    </w:p>
    <w:p>
      <w:pPr>
        <w:rPr>
          <w:rFonts w:hint="default"/>
          <w:lang w:val="en-US" w:eastAsia="zh-CN"/>
        </w:rPr>
      </w:pPr>
      <m:oMathPara>
        <m:oMath>
          <m:r>
            <m:rPr>
              <m:sty m:val="p"/>
            </m:rPr>
            <w:rPr>
              <w:rFonts w:hint="default" w:ascii="Cambria Math" w:hAnsi="Cambria Math" w:cs="Times New Roman"/>
              <w:kern w:val="2"/>
              <w:sz w:val="24"/>
              <w:lang w:val="en-US" w:eastAsia="zh-CN"/>
            </w:rPr>
            <m:t>L=10lg</m:t>
          </m:r>
          <m:nary>
            <m:naryPr>
              <m:chr m:val="∑"/>
              <m:limLoc m:val="undOvr"/>
              <m:ctrlPr>
                <w:rPr>
                  <w:rFonts w:hint="default" w:ascii="Cambria Math" w:hAnsi="Cambria Math" w:cs="Times New Roman"/>
                  <w:kern w:val="2"/>
                  <w:sz w:val="24"/>
                  <w:lang w:val="en-US" w:eastAsia="zh-CN"/>
                </w:rPr>
              </m:ctrlPr>
            </m:naryPr>
            <m:sub>
              <m:r>
                <m:rPr>
                  <m:sty m:val="p"/>
                </m:rPr>
                <w:rPr>
                  <w:rFonts w:hint="default" w:ascii="Cambria Math" w:hAnsi="Cambria Math" w:cs="Times New Roman"/>
                  <w:kern w:val="2"/>
                  <w:sz w:val="24"/>
                  <w:lang w:val="en-US" w:eastAsia="zh-CN"/>
                </w:rPr>
                <m:t>i=1</m:t>
              </m:r>
              <m:ctrlPr>
                <w:rPr>
                  <w:rFonts w:hint="default" w:ascii="Cambria Math" w:hAnsi="Cambria Math" w:cs="Times New Roman"/>
                  <w:kern w:val="2"/>
                  <w:sz w:val="24"/>
                  <w:lang w:val="en-US" w:eastAsia="zh-CN"/>
                </w:rPr>
              </m:ctrlPr>
            </m:sub>
            <m:sup>
              <m:r>
                <m:rPr>
                  <m:sty m:val="p"/>
                </m:rPr>
                <w:rPr>
                  <w:rFonts w:hint="default" w:ascii="Cambria Math" w:hAnsi="Cambria Math" w:cs="Times New Roman"/>
                  <w:kern w:val="2"/>
                  <w:sz w:val="24"/>
                  <w:lang w:val="en-US" w:eastAsia="zh-CN"/>
                </w:rPr>
                <m:t>n</m:t>
              </m:r>
              <m:ctrlPr>
                <w:rPr>
                  <w:rFonts w:hint="default" w:ascii="Cambria Math" w:hAnsi="Cambria Math" w:cs="Times New Roman"/>
                  <w:kern w:val="2"/>
                  <w:sz w:val="24"/>
                  <w:lang w:val="en-US" w:eastAsia="zh-CN"/>
                </w:rPr>
              </m:ctrlPr>
            </m:sup>
            <m:e>
              <m:sSup>
                <m:sSupPr>
                  <m:ctrlPr>
                    <w:rPr>
                      <w:rFonts w:hint="default" w:ascii="Cambria Math" w:hAnsi="Cambria Math" w:cs="Times New Roman"/>
                      <w:kern w:val="2"/>
                      <w:sz w:val="24"/>
                      <w:lang w:val="en-US" w:eastAsia="zh-CN"/>
                    </w:rPr>
                  </m:ctrlPr>
                </m:sSupPr>
                <m:e>
                  <m:r>
                    <m:rPr>
                      <m:sty m:val="p"/>
                    </m:rPr>
                    <w:rPr>
                      <w:rFonts w:hint="default" w:ascii="Cambria Math" w:hAnsi="Cambria Math" w:cs="Times New Roman"/>
                      <w:kern w:val="2"/>
                      <w:sz w:val="24"/>
                      <w:lang w:val="en-US" w:eastAsia="zh-CN"/>
                    </w:rPr>
                    <m:t>10</m:t>
                  </m:r>
                  <m:ctrlPr>
                    <w:rPr>
                      <w:rFonts w:hint="default" w:ascii="Cambria Math" w:hAnsi="Cambria Math" w:cs="Times New Roman"/>
                      <w:kern w:val="2"/>
                      <w:sz w:val="24"/>
                      <w:lang w:val="en-US" w:eastAsia="zh-CN"/>
                    </w:rPr>
                  </m:ctrlPr>
                </m:e>
                <m:sup>
                  <m:r>
                    <m:rPr>
                      <m:sty m:val="p"/>
                    </m:rPr>
                    <w:rPr>
                      <w:rFonts w:hint="default" w:ascii="Cambria Math" w:hAnsi="Cambria Math" w:cs="Times New Roman"/>
                      <w:kern w:val="2"/>
                      <w:sz w:val="24"/>
                      <w:lang w:val="en-US" w:eastAsia="zh-CN"/>
                    </w:rPr>
                    <m:t>Li/10</m:t>
                  </m:r>
                  <m:ctrlPr>
                    <w:rPr>
                      <w:rFonts w:hint="default" w:ascii="Cambria Math" w:hAnsi="Cambria Math" w:cs="Times New Roman"/>
                      <w:kern w:val="2"/>
                      <w:sz w:val="24"/>
                      <w:lang w:val="en-US" w:eastAsia="zh-CN"/>
                    </w:rPr>
                  </m:ctrlPr>
                </m:sup>
              </m:sSup>
              <m:ctrlPr>
                <w:rPr>
                  <w:rFonts w:hint="default" w:ascii="Cambria Math" w:hAnsi="Cambria Math" w:cs="Times New Roman"/>
                  <w:kern w:val="2"/>
                  <w:sz w:val="24"/>
                  <w:lang w:val="en-US" w:eastAsia="zh-CN"/>
                </w:rPr>
              </m:ctrlPr>
            </m:e>
          </m:nary>
        </m:oMath>
      </m:oMathPara>
    </w:p>
    <w:p>
      <w:pPr>
        <w:bidi w:val="0"/>
        <w:rPr>
          <w:rFonts w:hint="eastAsia"/>
        </w:rPr>
      </w:pPr>
      <w:r>
        <w:rPr>
          <w:rFonts w:hint="eastAsia"/>
        </w:rPr>
        <w:t>式中：</w:t>
      </w:r>
    </w:p>
    <w:p>
      <w:pPr>
        <w:bidi w:val="0"/>
        <w:ind w:firstLine="1200" w:firstLineChars="500"/>
        <w:rPr>
          <w:rFonts w:hint="eastAsia"/>
        </w:rPr>
      </w:pPr>
      <w:r>
        <w:rPr>
          <w:rFonts w:hint="default"/>
        </w:rPr>
        <w:t>L</w:t>
      </w:r>
      <w:r>
        <w:rPr>
          <w:rFonts w:hint="default"/>
          <w:vertAlign w:val="subscript"/>
        </w:rPr>
        <w:t>i</w:t>
      </w:r>
      <w:r>
        <w:rPr>
          <w:rFonts w:hint="eastAsia"/>
          <w:lang w:eastAsia="zh-CN"/>
        </w:rPr>
        <w:t>——</w:t>
      </w:r>
      <w:r>
        <w:rPr>
          <w:rFonts w:hint="eastAsia"/>
        </w:rPr>
        <w:t>第</w:t>
      </w:r>
      <w:r>
        <w:rPr>
          <w:rFonts w:hint="default"/>
        </w:rPr>
        <w:t>i</w:t>
      </w:r>
      <w:r>
        <w:rPr>
          <w:rFonts w:hint="eastAsia"/>
        </w:rPr>
        <w:t>个声源的噪声值，</w:t>
      </w:r>
      <w:r>
        <w:rPr>
          <w:rFonts w:hint="default"/>
        </w:rPr>
        <w:t>dB</w:t>
      </w:r>
      <w:r>
        <w:rPr>
          <w:rFonts w:hint="eastAsia"/>
          <w:lang w:eastAsia="zh-CN"/>
        </w:rPr>
        <w:t>（</w:t>
      </w:r>
      <w:r>
        <w:rPr>
          <w:rFonts w:hint="default"/>
        </w:rPr>
        <w:t>A</w:t>
      </w:r>
      <w:r>
        <w:rPr>
          <w:rFonts w:hint="eastAsia"/>
          <w:lang w:eastAsia="zh-CN"/>
        </w:rPr>
        <w:t>）</w:t>
      </w:r>
      <w:r>
        <w:rPr>
          <w:rFonts w:hint="eastAsia"/>
        </w:rPr>
        <w:t>；</w:t>
      </w:r>
    </w:p>
    <w:p>
      <w:pPr>
        <w:bidi w:val="0"/>
        <w:ind w:firstLine="1200" w:firstLineChars="500"/>
        <w:rPr>
          <w:rFonts w:hint="eastAsia"/>
        </w:rPr>
      </w:pPr>
      <w:r>
        <w:rPr>
          <w:rFonts w:hint="default"/>
        </w:rPr>
        <w:t>L</w:t>
      </w:r>
      <w:r>
        <w:rPr>
          <w:rFonts w:hint="eastAsia"/>
          <w:lang w:eastAsia="zh-CN"/>
        </w:rPr>
        <w:t>——</w:t>
      </w:r>
      <w:r>
        <w:rPr>
          <w:rFonts w:hint="eastAsia"/>
        </w:rPr>
        <w:t>某点噪声总迭加值，</w:t>
      </w:r>
      <w:r>
        <w:rPr>
          <w:rFonts w:hint="default"/>
        </w:rPr>
        <w:t>dB</w:t>
      </w:r>
      <w:r>
        <w:rPr>
          <w:rFonts w:hint="eastAsia"/>
          <w:lang w:eastAsia="zh-CN"/>
        </w:rPr>
        <w:t>（</w:t>
      </w:r>
      <w:r>
        <w:rPr>
          <w:rFonts w:hint="default"/>
        </w:rPr>
        <w:t>A</w:t>
      </w:r>
      <w:r>
        <w:rPr>
          <w:rFonts w:hint="eastAsia"/>
          <w:lang w:eastAsia="zh-CN"/>
        </w:rPr>
        <w:t>）</w:t>
      </w:r>
      <w:r>
        <w:rPr>
          <w:rFonts w:hint="eastAsia"/>
        </w:rPr>
        <w:t>；</w:t>
      </w:r>
    </w:p>
    <w:p>
      <w:pPr>
        <w:bidi w:val="0"/>
        <w:ind w:firstLine="1200" w:firstLineChars="500"/>
        <w:rPr>
          <w:rFonts w:hint="eastAsia"/>
          <w:lang w:val="en-US" w:eastAsia="zh-CN"/>
        </w:rPr>
      </w:pPr>
      <w:r>
        <w:rPr>
          <w:rFonts w:hint="default"/>
        </w:rPr>
        <w:t>n</w:t>
      </w:r>
      <w:r>
        <w:rPr>
          <w:rFonts w:hint="eastAsia"/>
          <w:lang w:eastAsia="zh-CN"/>
        </w:rPr>
        <w:t>——</w:t>
      </w:r>
      <w:r>
        <w:rPr>
          <w:rFonts w:hint="eastAsia"/>
        </w:rPr>
        <w:t>声源个数。</w:t>
      </w:r>
    </w:p>
    <w:p>
      <w:pPr>
        <w:pStyle w:val="6"/>
        <w:bidi w:val="0"/>
        <w:rPr>
          <w:rFonts w:hint="default"/>
          <w:lang w:val="en-US" w:eastAsia="zh-CN"/>
        </w:rPr>
      </w:pPr>
      <w:r>
        <w:rPr>
          <w:rFonts w:hint="eastAsia"/>
          <w:lang w:val="en-US" w:eastAsia="zh-CN"/>
        </w:rPr>
        <w:t>噪声预测结果</w:t>
      </w:r>
    </w:p>
    <w:p>
      <w:pPr>
        <w:bidi w:val="0"/>
        <w:rPr>
          <w:rFonts w:hint="default" w:eastAsia="宋体"/>
          <w:b/>
          <w:bCs/>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厂界噪声预测值</w:t>
      </w:r>
    </w:p>
    <w:p>
      <w:pPr>
        <w:bidi w:val="0"/>
        <w:rPr>
          <w:rFonts w:hint="eastAsia"/>
          <w:lang w:val="en-US" w:eastAsia="zh-CN"/>
        </w:rPr>
      </w:pPr>
      <w:r>
        <w:rPr>
          <w:rFonts w:hint="eastAsia"/>
        </w:rPr>
        <w:t>正常运行时厂界噪声预测值见下表。</w:t>
      </w:r>
    </w:p>
    <w:p>
      <w:pPr>
        <w:pStyle w:val="29"/>
        <w:bidi w:val="0"/>
        <w:rPr>
          <w:rFonts w:hint="eastAsia"/>
        </w:rPr>
      </w:pPr>
      <w:r>
        <w:rPr>
          <w:rFonts w:hint="eastAsia"/>
        </w:rPr>
        <w:t>表</w:t>
      </w:r>
      <w:r>
        <w:rPr>
          <w:rFonts w:hint="default"/>
        </w:rPr>
        <w:t>5.2-17</w:t>
      </w:r>
      <w:r>
        <w:rPr>
          <w:rFonts w:hint="eastAsia"/>
          <w:lang w:val="en-US" w:eastAsia="zh-CN"/>
        </w:rPr>
        <w:t xml:space="preserve">  </w:t>
      </w:r>
      <w:r>
        <w:rPr>
          <w:rFonts w:hint="eastAsia"/>
        </w:rPr>
        <w:t>噪声预测值（单位：</w:t>
      </w:r>
      <w:r>
        <w:rPr>
          <w:rFonts w:hint="default"/>
        </w:rPr>
        <w:t>dB</w:t>
      </w:r>
      <w:r>
        <w:rPr>
          <w:rFonts w:hint="eastAsia"/>
          <w:lang w:eastAsia="zh-CN"/>
        </w:rPr>
        <w:t>（</w:t>
      </w:r>
      <w:r>
        <w:rPr>
          <w:rFonts w:hint="default"/>
        </w:rPr>
        <w:t>A</w:t>
      </w:r>
      <w:r>
        <w:rPr>
          <w:rFonts w:hint="eastAsia"/>
          <w:lang w:eastAsia="zh-CN"/>
        </w:rPr>
        <w:t>）</w:t>
      </w:r>
      <w:r>
        <w:rPr>
          <w:rFonts w:hint="eastAsia"/>
        </w:rPr>
        <w:t>）</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1005"/>
        <w:gridCol w:w="1230"/>
        <w:gridCol w:w="1395"/>
        <w:gridCol w:w="1185"/>
        <w:gridCol w:w="1549"/>
        <w:gridCol w:w="1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预测点</w:t>
            </w:r>
          </w:p>
        </w:tc>
        <w:tc>
          <w:tcPr>
            <w:tcW w:w="100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时段</w:t>
            </w:r>
          </w:p>
        </w:tc>
        <w:tc>
          <w:tcPr>
            <w:tcW w:w="1230" w:type="dxa"/>
            <w:tcBorders>
              <w:tl2br w:val="nil"/>
              <w:tr2bl w:val="nil"/>
            </w:tcBorders>
            <w:vAlign w:val="center"/>
          </w:tcPr>
          <w:p>
            <w:pPr>
              <w:pStyle w:val="30"/>
              <w:widowControl w:val="0"/>
              <w:jc w:val="center"/>
              <w:rPr>
                <w:rFonts w:hint="eastAsia"/>
                <w:b/>
                <w:bCs/>
                <w:vertAlign w:val="baseline"/>
                <w:lang w:val="en-US" w:eastAsia="zh-CN"/>
              </w:rPr>
            </w:pPr>
            <w:r>
              <w:rPr>
                <w:rFonts w:hint="eastAsia"/>
                <w:b/>
                <w:bCs/>
                <w:vertAlign w:val="baseline"/>
                <w:lang w:val="en-US" w:eastAsia="zh-CN"/>
              </w:rPr>
              <w:t>源强</w:t>
            </w:r>
          </w:p>
          <w:p>
            <w:pPr>
              <w:pStyle w:val="30"/>
              <w:widowControl w:val="0"/>
              <w:jc w:val="center"/>
              <w:rPr>
                <w:rFonts w:hint="default"/>
                <w:b/>
                <w:bCs/>
                <w:vertAlign w:val="baseline"/>
                <w:lang w:val="en-US" w:eastAsia="zh-CN"/>
              </w:rPr>
            </w:pPr>
            <w:r>
              <w:rPr>
                <w:rFonts w:hint="default" w:ascii="Times New Roman" w:hAnsi="Times New Roman" w:eastAsia="宋体" w:cs="Times New Roman"/>
                <w:b/>
                <w:bCs/>
                <w:kern w:val="2"/>
                <w:sz w:val="21"/>
                <w:szCs w:val="21"/>
                <w:lang w:val="en-US" w:eastAsia="zh-CN" w:bidi="ar"/>
              </w:rPr>
              <w:t>dB</w:t>
            </w:r>
            <w:r>
              <w:rPr>
                <w:rFonts w:hint="eastAsia" w:ascii="Times New Roman" w:hAnsi="Times New Roman" w:eastAsia="宋体" w:cs="宋体"/>
                <w:b/>
                <w:bCs/>
                <w:kern w:val="2"/>
                <w:sz w:val="21"/>
                <w:szCs w:val="21"/>
                <w:lang w:val="en-US" w:eastAsia="zh-CN" w:bidi="ar"/>
              </w:rPr>
              <w:t>（</w:t>
            </w:r>
            <w:r>
              <w:rPr>
                <w:rFonts w:hint="default" w:ascii="Times New Roman" w:hAnsi="Times New Roman" w:eastAsia="宋体" w:cs="Times New Roman"/>
                <w:b/>
                <w:bCs/>
                <w:kern w:val="2"/>
                <w:sz w:val="21"/>
                <w:szCs w:val="21"/>
                <w:lang w:val="en-US" w:eastAsia="zh-CN" w:bidi="ar"/>
              </w:rPr>
              <w:t>A</w:t>
            </w:r>
            <w:r>
              <w:rPr>
                <w:rFonts w:hint="eastAsia" w:ascii="Times New Roman" w:hAnsi="Times New Roman" w:eastAsia="宋体" w:cs="宋体"/>
                <w:b/>
                <w:bCs/>
                <w:kern w:val="2"/>
                <w:sz w:val="21"/>
                <w:szCs w:val="21"/>
                <w:lang w:val="en-US" w:eastAsia="zh-CN" w:bidi="ar"/>
              </w:rPr>
              <w:t>）</w:t>
            </w:r>
          </w:p>
        </w:tc>
        <w:tc>
          <w:tcPr>
            <w:tcW w:w="1395" w:type="dxa"/>
            <w:tcBorders>
              <w:tl2br w:val="nil"/>
              <w:tr2bl w:val="nil"/>
            </w:tcBorders>
            <w:vAlign w:val="center"/>
          </w:tcPr>
          <w:p>
            <w:pPr>
              <w:pStyle w:val="30"/>
              <w:widowControl w:val="0"/>
              <w:bidi w:val="0"/>
              <w:rPr>
                <w:rFonts w:hint="eastAsia"/>
                <w:lang w:val="en-US" w:eastAsia="zh-CN"/>
              </w:rPr>
            </w:pPr>
            <w:r>
              <w:rPr>
                <w:rFonts w:hint="eastAsia"/>
                <w:b/>
                <w:bCs/>
                <w:lang w:val="en-US" w:eastAsia="zh-CN"/>
              </w:rPr>
              <w:t>距离</w:t>
            </w:r>
            <w:r>
              <w:rPr>
                <w:rFonts w:hint="default"/>
                <w:b/>
                <w:bCs/>
                <w:lang w:val="en-US" w:eastAsia="zh-CN"/>
              </w:rPr>
              <w:t>m</w:t>
            </w:r>
          </w:p>
        </w:tc>
        <w:tc>
          <w:tcPr>
            <w:tcW w:w="118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预测值</w:t>
            </w:r>
          </w:p>
        </w:tc>
        <w:tc>
          <w:tcPr>
            <w:tcW w:w="1549"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标准值</w:t>
            </w:r>
          </w:p>
        </w:tc>
        <w:tc>
          <w:tcPr>
            <w:tcW w:w="192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东厂界</w:t>
            </w:r>
          </w:p>
        </w:tc>
        <w:tc>
          <w:tcPr>
            <w:tcW w:w="100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昼间</w:t>
            </w:r>
          </w:p>
        </w:tc>
        <w:tc>
          <w:tcPr>
            <w:tcW w:w="1230"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75</w:t>
            </w:r>
          </w:p>
        </w:tc>
        <w:tc>
          <w:tcPr>
            <w:tcW w:w="139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35</w:t>
            </w:r>
          </w:p>
        </w:tc>
        <w:tc>
          <w:tcPr>
            <w:tcW w:w="1185"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54.34</w:t>
            </w:r>
          </w:p>
        </w:tc>
        <w:tc>
          <w:tcPr>
            <w:tcW w:w="154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60</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00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夜间</w:t>
            </w:r>
          </w:p>
        </w:tc>
        <w:tc>
          <w:tcPr>
            <w:tcW w:w="1230"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39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185"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40.36</w:t>
            </w:r>
          </w:p>
        </w:tc>
        <w:tc>
          <w:tcPr>
            <w:tcW w:w="154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50</w:t>
            </w:r>
          </w:p>
        </w:tc>
        <w:tc>
          <w:tcPr>
            <w:tcW w:w="192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南厂界</w:t>
            </w:r>
          </w:p>
        </w:tc>
        <w:tc>
          <w:tcPr>
            <w:tcW w:w="100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昼间</w:t>
            </w:r>
          </w:p>
        </w:tc>
        <w:tc>
          <w:tcPr>
            <w:tcW w:w="1230" w:type="dxa"/>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1395" w:type="dxa"/>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20</w:t>
            </w:r>
          </w:p>
        </w:tc>
        <w:tc>
          <w:tcPr>
            <w:tcW w:w="118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56.11</w:t>
            </w:r>
          </w:p>
        </w:tc>
        <w:tc>
          <w:tcPr>
            <w:tcW w:w="1549"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60</w:t>
            </w:r>
          </w:p>
        </w:tc>
        <w:tc>
          <w:tcPr>
            <w:tcW w:w="192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00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夜间</w:t>
            </w:r>
          </w:p>
        </w:tc>
        <w:tc>
          <w:tcPr>
            <w:tcW w:w="1230" w:type="dxa"/>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1395" w:type="dxa"/>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118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42.38</w:t>
            </w:r>
          </w:p>
        </w:tc>
        <w:tc>
          <w:tcPr>
            <w:tcW w:w="1549"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50</w:t>
            </w:r>
          </w:p>
        </w:tc>
        <w:tc>
          <w:tcPr>
            <w:tcW w:w="192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西厂界</w:t>
            </w:r>
          </w:p>
        </w:tc>
        <w:tc>
          <w:tcPr>
            <w:tcW w:w="100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昼间</w:t>
            </w:r>
          </w:p>
        </w:tc>
        <w:tc>
          <w:tcPr>
            <w:tcW w:w="1230" w:type="dxa"/>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1395" w:type="dxa"/>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48</w:t>
            </w:r>
          </w:p>
        </w:tc>
        <w:tc>
          <w:tcPr>
            <w:tcW w:w="118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cs="Times New Roman"/>
                <w:kern w:val="2"/>
                <w:sz w:val="21"/>
                <w:vertAlign w:val="baseline"/>
                <w:lang w:val="en-US" w:eastAsia="zh-CN"/>
              </w:rPr>
              <w:t>50.66</w:t>
            </w:r>
          </w:p>
        </w:tc>
        <w:tc>
          <w:tcPr>
            <w:tcW w:w="1549"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60</w:t>
            </w:r>
          </w:p>
        </w:tc>
        <w:tc>
          <w:tcPr>
            <w:tcW w:w="192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00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夜间</w:t>
            </w:r>
          </w:p>
        </w:tc>
        <w:tc>
          <w:tcPr>
            <w:tcW w:w="1230" w:type="dxa"/>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1395" w:type="dxa"/>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1185"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39.68</w:t>
            </w:r>
          </w:p>
        </w:tc>
        <w:tc>
          <w:tcPr>
            <w:tcW w:w="1549"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50</w:t>
            </w:r>
          </w:p>
        </w:tc>
        <w:tc>
          <w:tcPr>
            <w:tcW w:w="192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北厂界</w:t>
            </w:r>
          </w:p>
        </w:tc>
        <w:tc>
          <w:tcPr>
            <w:tcW w:w="100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昼间</w:t>
            </w:r>
          </w:p>
        </w:tc>
        <w:tc>
          <w:tcPr>
            <w:tcW w:w="1230" w:type="dxa"/>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1395" w:type="dxa"/>
            <w:vMerge w:val="restart"/>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80</w:t>
            </w:r>
          </w:p>
        </w:tc>
        <w:tc>
          <w:tcPr>
            <w:tcW w:w="118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42.38</w:t>
            </w:r>
          </w:p>
        </w:tc>
        <w:tc>
          <w:tcPr>
            <w:tcW w:w="1549"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60</w:t>
            </w:r>
          </w:p>
        </w:tc>
        <w:tc>
          <w:tcPr>
            <w:tcW w:w="192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00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夜间</w:t>
            </w:r>
          </w:p>
        </w:tc>
        <w:tc>
          <w:tcPr>
            <w:tcW w:w="1230" w:type="dxa"/>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1395" w:type="dxa"/>
            <w:vMerge w:val="continue"/>
            <w:tcBorders>
              <w:tl2br w:val="nil"/>
              <w:tr2bl w:val="nil"/>
            </w:tcBorders>
            <w:vAlign w:val="center"/>
          </w:tcPr>
          <w:p>
            <w:pPr>
              <w:pStyle w:val="30"/>
              <w:widowControl w:val="0"/>
              <w:ind w:firstLine="0" w:firstLineChars="0"/>
              <w:jc w:val="center"/>
              <w:rPr>
                <w:rFonts w:hint="eastAsia"/>
                <w:vertAlign w:val="baseline"/>
                <w:lang w:val="en-US" w:eastAsia="zh-CN"/>
              </w:rPr>
            </w:pPr>
          </w:p>
        </w:tc>
        <w:tc>
          <w:tcPr>
            <w:tcW w:w="118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35.43</w:t>
            </w:r>
          </w:p>
        </w:tc>
        <w:tc>
          <w:tcPr>
            <w:tcW w:w="1549"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50</w:t>
            </w:r>
          </w:p>
        </w:tc>
        <w:tc>
          <w:tcPr>
            <w:tcW w:w="1925" w:type="dxa"/>
            <w:tcBorders>
              <w:tl2br w:val="nil"/>
              <w:tr2bl w:val="nil"/>
            </w:tcBorders>
            <w:vAlign w:val="center"/>
          </w:tcPr>
          <w:p>
            <w:pPr>
              <w:pStyle w:val="30"/>
              <w:widowControl w:val="0"/>
              <w:ind w:firstLine="0" w:firstLineChars="0"/>
              <w:jc w:val="center"/>
              <w:rPr>
                <w:rFonts w:hint="eastAsia"/>
                <w:vertAlign w:val="baseline"/>
                <w:lang w:val="en-US" w:eastAsia="zh-CN"/>
              </w:rPr>
            </w:pPr>
            <w:r>
              <w:rPr>
                <w:rFonts w:hint="eastAsia"/>
                <w:vertAlign w:val="baseline"/>
                <w:lang w:val="en-US" w:eastAsia="zh-CN"/>
              </w:rPr>
              <w:t>达标</w:t>
            </w:r>
          </w:p>
        </w:tc>
      </w:tr>
    </w:tbl>
    <w:p>
      <w:pPr>
        <w:bidi w:val="0"/>
        <w:rPr>
          <w:rFonts w:hint="eastAsia"/>
        </w:rPr>
      </w:pPr>
      <w:r>
        <w:rPr>
          <w:rFonts w:hint="eastAsia"/>
        </w:rPr>
        <w:t>根据上表可知，本项目运营期间，在采取减振、消声、隔声等措施后，四周厂界噪声夜间均满足《工业企业厂界环境噪声排放标准》（</w:t>
      </w:r>
      <w:r>
        <w:rPr>
          <w:rFonts w:hint="default"/>
        </w:rPr>
        <w:t>GB12348-2008</w:t>
      </w:r>
      <w:r>
        <w:rPr>
          <w:rFonts w:hint="eastAsia"/>
        </w:rPr>
        <w:t>）</w:t>
      </w:r>
      <w:r>
        <w:rPr>
          <w:rFonts w:hint="default"/>
        </w:rPr>
        <w:t>2</w:t>
      </w:r>
      <w:r>
        <w:rPr>
          <w:rFonts w:hint="eastAsia"/>
        </w:rPr>
        <w:t>类标准。</w:t>
      </w:r>
    </w:p>
    <w:p>
      <w:pPr>
        <w:bidi w:val="0"/>
        <w:rPr>
          <w:rFonts w:hint="default" w:eastAsia="宋体"/>
          <w:b/>
          <w:bCs/>
          <w:lang w:val="en-US" w:eastAsia="zh-CN"/>
        </w:rPr>
      </w:pPr>
      <w:r>
        <w:rPr>
          <w:rFonts w:hint="eastAsia"/>
          <w:b/>
          <w:bCs/>
          <w:lang w:eastAsia="zh-CN"/>
        </w:rPr>
        <w:t>（</w:t>
      </w:r>
      <w:r>
        <w:rPr>
          <w:rFonts w:hint="eastAsia"/>
          <w:b/>
          <w:bCs/>
          <w:lang w:val="en-US" w:eastAsia="zh-CN"/>
        </w:rPr>
        <w:t>2</w:t>
      </w:r>
      <w:r>
        <w:rPr>
          <w:rFonts w:hint="eastAsia"/>
          <w:b/>
          <w:bCs/>
          <w:lang w:eastAsia="zh-CN"/>
        </w:rPr>
        <w:t>）</w:t>
      </w:r>
      <w:r>
        <w:rPr>
          <w:rFonts w:hint="eastAsia"/>
          <w:b/>
          <w:bCs/>
          <w:lang w:val="en-US" w:eastAsia="zh-CN"/>
        </w:rPr>
        <w:t>敏感点噪声预测</w:t>
      </w:r>
    </w:p>
    <w:p>
      <w:pPr>
        <w:bidi w:val="0"/>
        <w:rPr>
          <w:rFonts w:hint="default"/>
          <w:lang w:val="en-US" w:eastAsia="zh-CN"/>
        </w:rPr>
      </w:pPr>
      <w:r>
        <w:rPr>
          <w:rFonts w:hint="eastAsia"/>
          <w:lang w:val="en-US" w:eastAsia="zh-CN"/>
        </w:rPr>
        <w:t>正常运行时敏感点噪声预测值见下表。</w:t>
      </w:r>
    </w:p>
    <w:p>
      <w:pPr>
        <w:pStyle w:val="29"/>
        <w:rPr>
          <w:rFonts w:hint="eastAsia"/>
        </w:rPr>
      </w:pPr>
      <w:r>
        <w:rPr>
          <w:rFonts w:hint="eastAsia"/>
          <w:lang w:val="en-US" w:eastAsia="zh-CN"/>
        </w:rPr>
        <w:t>表5.2-18  敏感点噪声预测值</w:t>
      </w:r>
      <w:r>
        <w:rPr>
          <w:rFonts w:hint="eastAsia"/>
        </w:rPr>
        <w:t>（单位：</w:t>
      </w:r>
      <w:r>
        <w:rPr>
          <w:rFonts w:hint="default"/>
        </w:rPr>
        <w:t>dB</w:t>
      </w:r>
      <w:r>
        <w:rPr>
          <w:rFonts w:hint="eastAsia"/>
          <w:lang w:eastAsia="zh-CN"/>
        </w:rPr>
        <w:t>（</w:t>
      </w:r>
      <w:r>
        <w:rPr>
          <w:rFonts w:hint="default"/>
        </w:rPr>
        <w:t>A</w:t>
      </w:r>
      <w:r>
        <w:rPr>
          <w:rFonts w:hint="eastAsia"/>
          <w:lang w:eastAsia="zh-CN"/>
        </w:rPr>
        <w:t>）</w:t>
      </w:r>
      <w:r>
        <w:rPr>
          <w:rFonts w:hint="eastAsia"/>
        </w:rPr>
        <w:t>）</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71"/>
        <w:gridCol w:w="1373"/>
        <w:gridCol w:w="1373"/>
        <w:gridCol w:w="1373"/>
        <w:gridCol w:w="1374"/>
        <w:gridCol w:w="13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13" w:type="pct"/>
            <w:tcBorders>
              <w:tl2br w:val="nil"/>
              <w:tr2bl w:val="nil"/>
            </w:tcBorders>
            <w:vAlign w:val="center"/>
          </w:tcPr>
          <w:p>
            <w:pPr>
              <w:pStyle w:val="30"/>
              <w:widowControl w:val="0"/>
              <w:rPr>
                <w:rFonts w:hint="default"/>
                <w:b/>
                <w:bCs/>
                <w:vertAlign w:val="baseline"/>
                <w:lang w:val="en-US" w:eastAsia="zh-CN"/>
              </w:rPr>
            </w:pPr>
            <w:r>
              <w:rPr>
                <w:rFonts w:hint="eastAsia"/>
                <w:b/>
                <w:bCs/>
                <w:vertAlign w:val="baseline"/>
                <w:lang w:val="en-US" w:eastAsia="zh-CN"/>
              </w:rPr>
              <w:t>敏感点名称</w:t>
            </w:r>
          </w:p>
        </w:tc>
        <w:tc>
          <w:tcPr>
            <w:tcW w:w="713" w:type="pct"/>
            <w:tcBorders>
              <w:tl2br w:val="nil"/>
              <w:tr2bl w:val="nil"/>
            </w:tcBorders>
            <w:vAlign w:val="center"/>
          </w:tcPr>
          <w:p>
            <w:pPr>
              <w:pStyle w:val="30"/>
              <w:widowControl w:val="0"/>
              <w:rPr>
                <w:rFonts w:hint="default"/>
                <w:b/>
                <w:bCs/>
                <w:vertAlign w:val="baseline"/>
                <w:lang w:val="en-US" w:eastAsia="zh-CN"/>
              </w:rPr>
            </w:pPr>
            <w:r>
              <w:rPr>
                <w:rFonts w:hint="eastAsia"/>
                <w:b/>
                <w:bCs/>
                <w:vertAlign w:val="baseline"/>
                <w:lang w:val="en-US" w:eastAsia="zh-CN"/>
              </w:rPr>
              <w:t>距厂界距离</w:t>
            </w:r>
          </w:p>
        </w:tc>
        <w:tc>
          <w:tcPr>
            <w:tcW w:w="714" w:type="pct"/>
            <w:tcBorders>
              <w:tl2br w:val="nil"/>
              <w:tr2bl w:val="nil"/>
            </w:tcBorders>
            <w:vAlign w:val="center"/>
          </w:tcPr>
          <w:p>
            <w:pPr>
              <w:pStyle w:val="30"/>
              <w:widowControl w:val="0"/>
              <w:rPr>
                <w:rFonts w:hint="default"/>
                <w:b/>
                <w:bCs/>
                <w:vertAlign w:val="baseline"/>
                <w:lang w:val="en-US" w:eastAsia="zh-CN"/>
              </w:rPr>
            </w:pPr>
            <w:r>
              <w:rPr>
                <w:rFonts w:hint="eastAsia"/>
                <w:b/>
                <w:bCs/>
                <w:vertAlign w:val="baseline"/>
                <w:lang w:val="en-US" w:eastAsia="zh-CN"/>
              </w:rPr>
              <w:t>时段</w:t>
            </w:r>
          </w:p>
        </w:tc>
        <w:tc>
          <w:tcPr>
            <w:tcW w:w="714" w:type="pct"/>
            <w:tcBorders>
              <w:tl2br w:val="nil"/>
              <w:tr2bl w:val="nil"/>
            </w:tcBorders>
            <w:vAlign w:val="center"/>
          </w:tcPr>
          <w:p>
            <w:pPr>
              <w:pStyle w:val="30"/>
              <w:widowControl w:val="0"/>
              <w:rPr>
                <w:rFonts w:hint="default"/>
                <w:b/>
                <w:bCs/>
                <w:vertAlign w:val="baseline"/>
                <w:lang w:val="en-US" w:eastAsia="zh-CN"/>
              </w:rPr>
            </w:pPr>
            <w:r>
              <w:rPr>
                <w:rFonts w:hint="eastAsia"/>
                <w:b/>
                <w:bCs/>
                <w:vertAlign w:val="baseline"/>
                <w:lang w:val="en-US" w:eastAsia="zh-CN"/>
              </w:rPr>
              <w:t>背景值</w:t>
            </w:r>
          </w:p>
        </w:tc>
        <w:tc>
          <w:tcPr>
            <w:tcW w:w="714" w:type="pct"/>
            <w:tcBorders>
              <w:tl2br w:val="nil"/>
              <w:tr2bl w:val="nil"/>
            </w:tcBorders>
            <w:vAlign w:val="center"/>
          </w:tcPr>
          <w:p>
            <w:pPr>
              <w:pStyle w:val="30"/>
              <w:widowControl w:val="0"/>
              <w:rPr>
                <w:rFonts w:hint="default"/>
                <w:b/>
                <w:bCs/>
                <w:vertAlign w:val="baseline"/>
                <w:lang w:val="en-US" w:eastAsia="zh-CN"/>
              </w:rPr>
            </w:pPr>
            <w:r>
              <w:rPr>
                <w:rFonts w:hint="eastAsia"/>
                <w:b/>
                <w:bCs/>
                <w:vertAlign w:val="baseline"/>
                <w:lang w:val="en-US" w:eastAsia="zh-CN"/>
              </w:rPr>
              <w:t>预测值</w:t>
            </w:r>
          </w:p>
        </w:tc>
        <w:tc>
          <w:tcPr>
            <w:tcW w:w="714" w:type="pct"/>
            <w:tcBorders>
              <w:tl2br w:val="nil"/>
              <w:tr2bl w:val="nil"/>
            </w:tcBorders>
            <w:vAlign w:val="center"/>
          </w:tcPr>
          <w:p>
            <w:pPr>
              <w:pStyle w:val="30"/>
              <w:widowControl w:val="0"/>
              <w:rPr>
                <w:rFonts w:hint="default"/>
                <w:b/>
                <w:bCs/>
                <w:vertAlign w:val="baseline"/>
                <w:lang w:val="en-US" w:eastAsia="zh-CN"/>
              </w:rPr>
            </w:pPr>
            <w:r>
              <w:rPr>
                <w:rFonts w:hint="eastAsia"/>
                <w:b/>
                <w:bCs/>
                <w:vertAlign w:val="baseline"/>
                <w:lang w:val="en-US" w:eastAsia="zh-CN"/>
              </w:rPr>
              <w:t>标准值</w:t>
            </w:r>
          </w:p>
        </w:tc>
        <w:tc>
          <w:tcPr>
            <w:tcW w:w="714" w:type="pct"/>
            <w:tcBorders>
              <w:tl2br w:val="nil"/>
              <w:tr2bl w:val="nil"/>
            </w:tcBorders>
            <w:vAlign w:val="center"/>
          </w:tcPr>
          <w:p>
            <w:pPr>
              <w:pStyle w:val="30"/>
              <w:widowControl w:val="0"/>
              <w:rPr>
                <w:rFonts w:hint="default"/>
                <w:b/>
                <w:bCs/>
                <w:vertAlign w:val="baseline"/>
                <w:lang w:val="en-US" w:eastAsia="zh-CN"/>
              </w:rPr>
            </w:pPr>
            <w:r>
              <w:rPr>
                <w:rFonts w:hint="eastAsia"/>
                <w:b/>
                <w:bCs/>
                <w:vertAlign w:val="baseli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13" w:type="pct"/>
            <w:vMerge w:val="restart"/>
            <w:tcBorders>
              <w:tl2br w:val="nil"/>
              <w:tr2bl w:val="nil"/>
            </w:tcBorders>
            <w:vAlign w:val="center"/>
          </w:tcPr>
          <w:p>
            <w:pPr>
              <w:pStyle w:val="30"/>
              <w:widowControl w:val="0"/>
              <w:rPr>
                <w:rFonts w:hint="default"/>
                <w:vertAlign w:val="baseline"/>
                <w:lang w:val="en-US" w:eastAsia="zh-CN"/>
              </w:rPr>
            </w:pPr>
            <w:r>
              <w:rPr>
                <w:rFonts w:hint="eastAsia"/>
                <w:vertAlign w:val="baseline"/>
                <w:lang w:val="en-US" w:eastAsia="zh-CN"/>
              </w:rPr>
              <w:t>石泉村居民</w:t>
            </w:r>
          </w:p>
        </w:tc>
        <w:tc>
          <w:tcPr>
            <w:tcW w:w="713" w:type="pct"/>
            <w:vMerge w:val="restart"/>
            <w:tcBorders>
              <w:tl2br w:val="nil"/>
              <w:tr2bl w:val="nil"/>
            </w:tcBorders>
            <w:vAlign w:val="center"/>
          </w:tcPr>
          <w:p>
            <w:pPr>
              <w:pStyle w:val="30"/>
              <w:widowControl w:val="0"/>
              <w:rPr>
                <w:rFonts w:hint="eastAsia" w:eastAsia="宋体"/>
                <w:vertAlign w:val="baseline"/>
                <w:lang w:val="en-US" w:eastAsia="zh-CN"/>
              </w:rPr>
            </w:pPr>
            <w:r>
              <w:rPr>
                <w:rFonts w:hint="eastAsia"/>
                <w:vertAlign w:val="baseline"/>
                <w:lang w:val="en-US" w:eastAsia="zh-CN"/>
              </w:rPr>
              <w:t>120</w:t>
            </w:r>
            <w:r>
              <w:rPr>
                <w:rFonts w:hint="eastAsia"/>
                <w:lang w:val="en-US" w:eastAsia="zh-CN"/>
              </w:rPr>
              <w:t>m</w:t>
            </w:r>
          </w:p>
        </w:tc>
        <w:tc>
          <w:tcPr>
            <w:tcW w:w="714" w:type="pct"/>
            <w:tcBorders>
              <w:tl2br w:val="nil"/>
              <w:tr2bl w:val="nil"/>
            </w:tcBorders>
            <w:vAlign w:val="center"/>
          </w:tcPr>
          <w:p>
            <w:pPr>
              <w:pStyle w:val="30"/>
              <w:widowControl w:val="0"/>
              <w:rPr>
                <w:rFonts w:hint="default"/>
                <w:vertAlign w:val="baseline"/>
                <w:lang w:val="en-US" w:eastAsia="zh-CN"/>
              </w:rPr>
            </w:pPr>
            <w:r>
              <w:rPr>
                <w:rFonts w:hint="eastAsia"/>
                <w:vertAlign w:val="baseline"/>
                <w:lang w:val="en-US" w:eastAsia="zh-CN"/>
              </w:rPr>
              <w:t>昼间</w:t>
            </w:r>
          </w:p>
        </w:tc>
        <w:tc>
          <w:tcPr>
            <w:tcW w:w="714" w:type="pct"/>
            <w:tcBorders>
              <w:tl2br w:val="nil"/>
              <w:tr2bl w:val="nil"/>
            </w:tcBorders>
            <w:vAlign w:val="center"/>
          </w:tcPr>
          <w:p>
            <w:pPr>
              <w:pStyle w:val="30"/>
              <w:widowControl w:val="0"/>
              <w:rPr>
                <w:rFonts w:hint="default"/>
                <w:vertAlign w:val="baseline"/>
                <w:lang w:val="en-US" w:eastAsia="zh-CN"/>
              </w:rPr>
            </w:pPr>
            <w:r>
              <w:rPr>
                <w:rFonts w:hint="eastAsia"/>
                <w:vertAlign w:val="baseline"/>
                <w:lang w:val="en-US" w:eastAsia="zh-CN"/>
              </w:rPr>
              <w:t>54</w:t>
            </w:r>
          </w:p>
        </w:tc>
        <w:tc>
          <w:tcPr>
            <w:tcW w:w="714" w:type="pct"/>
            <w:tcBorders>
              <w:tl2br w:val="nil"/>
              <w:tr2bl w:val="nil"/>
            </w:tcBorders>
            <w:vAlign w:val="center"/>
          </w:tcPr>
          <w:p>
            <w:pPr>
              <w:pStyle w:val="30"/>
              <w:widowControl w:val="0"/>
              <w:rPr>
                <w:rFonts w:hint="default"/>
                <w:vertAlign w:val="baseline"/>
                <w:lang w:val="en-US" w:eastAsia="zh-CN"/>
              </w:rPr>
            </w:pPr>
            <w:r>
              <w:rPr>
                <w:rFonts w:hint="eastAsia"/>
                <w:vertAlign w:val="baseline"/>
                <w:lang w:val="en-US" w:eastAsia="zh-CN"/>
              </w:rPr>
              <w:t>55.4</w:t>
            </w:r>
          </w:p>
        </w:tc>
        <w:tc>
          <w:tcPr>
            <w:tcW w:w="714" w:type="pct"/>
            <w:tcBorders>
              <w:tl2br w:val="nil"/>
              <w:tr2bl w:val="nil"/>
            </w:tcBorders>
            <w:vAlign w:val="center"/>
          </w:tcPr>
          <w:p>
            <w:pPr>
              <w:pStyle w:val="30"/>
              <w:widowControl w:val="0"/>
              <w:rPr>
                <w:rFonts w:hint="default"/>
                <w:vertAlign w:val="baseline"/>
                <w:lang w:val="en-US" w:eastAsia="zh-CN"/>
              </w:rPr>
            </w:pPr>
            <w:r>
              <w:rPr>
                <w:rFonts w:hint="eastAsia"/>
                <w:vertAlign w:val="baseline"/>
                <w:lang w:val="en-US" w:eastAsia="zh-CN"/>
              </w:rPr>
              <w:t>60</w:t>
            </w:r>
          </w:p>
        </w:tc>
        <w:tc>
          <w:tcPr>
            <w:tcW w:w="714" w:type="pct"/>
            <w:tcBorders>
              <w:tl2br w:val="nil"/>
              <w:tr2bl w:val="nil"/>
            </w:tcBorders>
            <w:vAlign w:val="center"/>
          </w:tcPr>
          <w:p>
            <w:pPr>
              <w:pStyle w:val="30"/>
              <w:widowControl w:val="0"/>
              <w:rPr>
                <w:rFonts w:hint="default"/>
                <w:vertAlign w:val="baseline"/>
                <w:lang w:val="en-US" w:eastAsia="zh-CN"/>
              </w:rPr>
            </w:pPr>
            <w:r>
              <w:rPr>
                <w:rFonts w:hint="eastAsia"/>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13" w:type="pct"/>
            <w:vMerge w:val="continue"/>
            <w:tcBorders>
              <w:tl2br w:val="nil"/>
              <w:tr2bl w:val="nil"/>
            </w:tcBorders>
            <w:vAlign w:val="center"/>
          </w:tcPr>
          <w:p>
            <w:pPr>
              <w:pStyle w:val="30"/>
              <w:widowControl w:val="0"/>
              <w:rPr>
                <w:rFonts w:hint="default"/>
                <w:vertAlign w:val="baseline"/>
                <w:lang w:val="en-US" w:eastAsia="zh-CN"/>
              </w:rPr>
            </w:pPr>
          </w:p>
        </w:tc>
        <w:tc>
          <w:tcPr>
            <w:tcW w:w="713" w:type="pct"/>
            <w:vMerge w:val="continue"/>
            <w:tcBorders>
              <w:tl2br w:val="nil"/>
              <w:tr2bl w:val="nil"/>
            </w:tcBorders>
            <w:vAlign w:val="center"/>
          </w:tcPr>
          <w:p>
            <w:pPr>
              <w:pStyle w:val="30"/>
              <w:widowControl w:val="0"/>
              <w:rPr>
                <w:rFonts w:hint="default"/>
                <w:vertAlign w:val="baseline"/>
                <w:lang w:val="en-US" w:eastAsia="zh-CN"/>
              </w:rPr>
            </w:pPr>
          </w:p>
        </w:tc>
        <w:tc>
          <w:tcPr>
            <w:tcW w:w="714" w:type="pct"/>
            <w:tcBorders>
              <w:tl2br w:val="nil"/>
              <w:tr2bl w:val="nil"/>
            </w:tcBorders>
            <w:vAlign w:val="center"/>
          </w:tcPr>
          <w:p>
            <w:pPr>
              <w:pStyle w:val="30"/>
              <w:widowControl w:val="0"/>
              <w:rPr>
                <w:rFonts w:hint="default"/>
                <w:vertAlign w:val="baseline"/>
                <w:lang w:val="en-US" w:eastAsia="zh-CN"/>
              </w:rPr>
            </w:pPr>
            <w:r>
              <w:rPr>
                <w:rFonts w:hint="eastAsia"/>
                <w:vertAlign w:val="baseline"/>
                <w:lang w:val="en-US" w:eastAsia="zh-CN"/>
              </w:rPr>
              <w:t>夜间</w:t>
            </w:r>
          </w:p>
        </w:tc>
        <w:tc>
          <w:tcPr>
            <w:tcW w:w="714" w:type="pct"/>
            <w:tcBorders>
              <w:tl2br w:val="nil"/>
              <w:tr2bl w:val="nil"/>
            </w:tcBorders>
            <w:vAlign w:val="center"/>
          </w:tcPr>
          <w:p>
            <w:pPr>
              <w:pStyle w:val="30"/>
              <w:widowControl w:val="0"/>
              <w:rPr>
                <w:rFonts w:hint="default"/>
                <w:vertAlign w:val="baseline"/>
                <w:lang w:val="en-US" w:eastAsia="zh-CN"/>
              </w:rPr>
            </w:pPr>
            <w:r>
              <w:rPr>
                <w:rFonts w:hint="eastAsia"/>
                <w:vertAlign w:val="baseline"/>
                <w:lang w:val="en-US" w:eastAsia="zh-CN"/>
              </w:rPr>
              <w:t>43</w:t>
            </w:r>
          </w:p>
        </w:tc>
        <w:tc>
          <w:tcPr>
            <w:tcW w:w="714" w:type="pct"/>
            <w:tcBorders>
              <w:tl2br w:val="nil"/>
              <w:tr2bl w:val="nil"/>
            </w:tcBorders>
            <w:vAlign w:val="center"/>
          </w:tcPr>
          <w:p>
            <w:pPr>
              <w:pStyle w:val="30"/>
              <w:widowControl w:val="0"/>
              <w:rPr>
                <w:rFonts w:hint="default"/>
                <w:vertAlign w:val="baseline"/>
                <w:lang w:val="en-US" w:eastAsia="zh-CN"/>
              </w:rPr>
            </w:pPr>
            <w:r>
              <w:rPr>
                <w:rFonts w:hint="eastAsia"/>
                <w:vertAlign w:val="baseline"/>
                <w:lang w:val="en-US" w:eastAsia="zh-CN"/>
              </w:rPr>
              <w:t>44.8</w:t>
            </w:r>
          </w:p>
        </w:tc>
        <w:tc>
          <w:tcPr>
            <w:tcW w:w="714" w:type="pct"/>
            <w:tcBorders>
              <w:tl2br w:val="nil"/>
              <w:tr2bl w:val="nil"/>
            </w:tcBorders>
            <w:vAlign w:val="center"/>
          </w:tcPr>
          <w:p>
            <w:pPr>
              <w:pStyle w:val="30"/>
              <w:widowControl w:val="0"/>
              <w:rPr>
                <w:rFonts w:hint="default"/>
                <w:vertAlign w:val="baseline"/>
                <w:lang w:val="en-US" w:eastAsia="zh-CN"/>
              </w:rPr>
            </w:pPr>
            <w:r>
              <w:rPr>
                <w:rFonts w:hint="eastAsia"/>
                <w:vertAlign w:val="baseline"/>
                <w:lang w:val="en-US" w:eastAsia="zh-CN"/>
              </w:rPr>
              <w:t>50</w:t>
            </w:r>
          </w:p>
        </w:tc>
        <w:tc>
          <w:tcPr>
            <w:tcW w:w="714" w:type="pct"/>
            <w:tcBorders>
              <w:tl2br w:val="nil"/>
              <w:tr2bl w:val="nil"/>
            </w:tcBorders>
            <w:vAlign w:val="center"/>
          </w:tcPr>
          <w:p>
            <w:pPr>
              <w:pStyle w:val="30"/>
              <w:widowControl w:val="0"/>
              <w:ind w:firstLine="0" w:firstLineChars="0"/>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达标</w:t>
            </w:r>
          </w:p>
        </w:tc>
      </w:tr>
    </w:tbl>
    <w:p>
      <w:pPr>
        <w:spacing w:beforeLines="0" w:afterLines="0"/>
        <w:jc w:val="left"/>
      </w:pPr>
      <w:r>
        <w:rPr>
          <w:rFonts w:hint="eastAsia" w:ascii="宋体" w:hAnsi="宋体" w:eastAsia="宋体"/>
          <w:sz w:val="24"/>
          <w:szCs w:val="24"/>
        </w:rPr>
        <w:t>根据预测结果可知，本项目周围各敏感点昼、夜间噪声预测值均符合《声环境质量标准》（</w:t>
      </w:r>
      <w:r>
        <w:rPr>
          <w:rFonts w:hint="default" w:ascii="Times New Roman" w:hAnsi="Times New Roman" w:eastAsia="Times New Roman"/>
          <w:sz w:val="24"/>
          <w:szCs w:val="24"/>
        </w:rPr>
        <w:t>GB3096-2008</w:t>
      </w:r>
      <w:r>
        <w:rPr>
          <w:rFonts w:hint="eastAsia" w:ascii="宋体" w:hAnsi="宋体" w:eastAsia="宋体"/>
          <w:sz w:val="24"/>
          <w:szCs w:val="24"/>
        </w:rPr>
        <w:t>）</w:t>
      </w:r>
      <w:r>
        <w:rPr>
          <w:rFonts w:hint="default" w:ascii="Times New Roman" w:hAnsi="Times New Roman" w:eastAsia="Times New Roman"/>
          <w:sz w:val="24"/>
          <w:szCs w:val="24"/>
        </w:rPr>
        <w:t xml:space="preserve">2 </w:t>
      </w:r>
      <w:r>
        <w:rPr>
          <w:rFonts w:hint="eastAsia" w:ascii="宋体" w:hAnsi="宋体" w:eastAsia="宋体"/>
          <w:sz w:val="24"/>
          <w:szCs w:val="24"/>
        </w:rPr>
        <w:t>类区标准。</w:t>
      </w:r>
    </w:p>
    <w:p>
      <w:pPr>
        <w:pStyle w:val="2"/>
        <w:keepNext w:val="0"/>
        <w:keepLines w:val="0"/>
        <w:pageBreakBefore w:val="0"/>
        <w:widowControl/>
        <w:kinsoku/>
        <w:wordWrap/>
        <w:overflowPunct/>
        <w:topLinePunct w:val="0"/>
        <w:autoSpaceDE/>
        <w:autoSpaceDN/>
        <w:bidi w:val="0"/>
        <w:adjustRightInd/>
        <w:snapToGrid/>
        <w:ind w:left="0" w:leftChars="0" w:firstLine="0"/>
        <w:jc w:val="center"/>
        <w:textAlignment w:val="auto"/>
        <w:rPr>
          <w:rFonts w:hint="eastAsia" w:eastAsia="宋体"/>
          <w:lang w:eastAsia="zh-CN"/>
        </w:rPr>
      </w:pPr>
      <w:r>
        <w:rPr>
          <w:rFonts w:hint="eastAsia" w:eastAsia="宋体"/>
          <w:lang w:eastAsia="zh-CN"/>
        </w:rPr>
        <w:drawing>
          <wp:inline distT="0" distB="0" distL="114300" distR="114300">
            <wp:extent cx="4029075" cy="3162300"/>
            <wp:effectExtent l="0" t="0" r="9525" b="0"/>
            <wp:docPr id="38" name="图片 38" descr="43c98e34a39d0ae9bca86efec9d0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3c98e34a39d0ae9bca86efec9d0f6a"/>
                    <pic:cNvPicPr>
                      <a:picLocks noChangeAspect="1"/>
                    </pic:cNvPicPr>
                  </pic:nvPicPr>
                  <pic:blipFill>
                    <a:blip r:embed="rId49"/>
                    <a:stretch>
                      <a:fillRect/>
                    </a:stretch>
                  </pic:blipFill>
                  <pic:spPr>
                    <a:xfrm>
                      <a:off x="0" y="0"/>
                      <a:ext cx="4029075" cy="3162300"/>
                    </a:xfrm>
                    <a:prstGeom prst="rect">
                      <a:avLst/>
                    </a:prstGeom>
                  </pic:spPr>
                </pic:pic>
              </a:graphicData>
            </a:graphic>
          </wp:inline>
        </w:drawing>
      </w:r>
    </w:p>
    <w:p>
      <w:pPr>
        <w:pStyle w:val="29"/>
        <w:bidi w:val="0"/>
        <w:rPr>
          <w:rFonts w:hint="default"/>
          <w:lang w:val="en-US" w:eastAsia="zh-CN"/>
        </w:rPr>
      </w:pPr>
      <w:r>
        <w:rPr>
          <w:rFonts w:hint="eastAsia"/>
          <w:lang w:val="en-US" w:eastAsia="zh-CN"/>
        </w:rPr>
        <w:t>图5.2-9  项目噪声等效声级图</w:t>
      </w:r>
    </w:p>
    <w:p>
      <w:pPr>
        <w:pStyle w:val="6"/>
        <w:bidi w:val="0"/>
        <w:rPr>
          <w:rFonts w:hint="default"/>
          <w:lang w:val="en-US" w:eastAsia="zh-CN"/>
        </w:rPr>
      </w:pPr>
      <w:r>
        <w:rPr>
          <w:rFonts w:hint="eastAsia"/>
          <w:lang w:val="en-US" w:eastAsia="zh-CN"/>
        </w:rPr>
        <w:t>噪声预测结论</w:t>
      </w:r>
    </w:p>
    <w:p>
      <w:pPr>
        <w:bidi w:val="0"/>
        <w:rPr>
          <w:rFonts w:hint="eastAsia"/>
          <w:lang w:val="en-US" w:eastAsia="zh-CN"/>
        </w:rPr>
      </w:pPr>
      <w:r>
        <w:rPr>
          <w:rFonts w:hint="eastAsia"/>
        </w:rPr>
        <w:t>由上述分析可知，本项目采取有效的工程措施减少噪声排放，项目对周边声环境影响不大。</w:t>
      </w:r>
    </w:p>
    <w:p>
      <w:pPr>
        <w:pStyle w:val="5"/>
        <w:bidi w:val="0"/>
        <w:rPr>
          <w:rFonts w:hint="default"/>
          <w:lang w:val="en-US" w:eastAsia="zh-CN"/>
        </w:rPr>
      </w:pPr>
      <w:r>
        <w:rPr>
          <w:rFonts w:hint="eastAsia"/>
          <w:lang w:val="en-US" w:eastAsia="zh-CN"/>
        </w:rPr>
        <w:t>固废影响分析及评价</w:t>
      </w:r>
    </w:p>
    <w:p>
      <w:pPr>
        <w:bidi w:val="0"/>
        <w:rPr>
          <w:rFonts w:hint="eastAsia"/>
        </w:rPr>
      </w:pPr>
      <w:r>
        <w:rPr>
          <w:rFonts w:hint="eastAsia"/>
        </w:rPr>
        <w:t>项目营运期产生的固废主要为一般工业固废（检疫不合格猪及病胴体、病内脏，不可食用内脏，猪粪及肠胃内容物，检验后残渣、废弃动物组织及碎肉碎骨等，污水处理站栅渣、废油脂和污泥、废包装材料、废胶皮手套）、生活垃圾、餐厨垃圾和危险固废（废润滑油及废油桶、废试纸、废</w:t>
      </w:r>
      <w:r>
        <w:rPr>
          <w:rFonts w:hint="default"/>
        </w:rPr>
        <w:t>PCR</w:t>
      </w:r>
      <w:r>
        <w:rPr>
          <w:rFonts w:hint="eastAsia"/>
        </w:rPr>
        <w:t>试剂盒）。</w:t>
      </w:r>
    </w:p>
    <w:p>
      <w:pPr>
        <w:bidi w:val="0"/>
        <w:rPr>
          <w:rFonts w:hint="eastAsia"/>
        </w:rPr>
      </w:pPr>
      <w:r>
        <w:rPr>
          <w:rFonts w:hint="eastAsia"/>
        </w:rPr>
        <w:t>根据工程分析，本项目营运期产生的检疫不合格猪及病胴体、病内脏、不可食用内脏、检验后残渣、废弃动物组织及碎肉碎骨等</w:t>
      </w:r>
      <w:r>
        <w:rPr>
          <w:rFonts w:hint="eastAsia"/>
          <w:lang w:val="en-US" w:eastAsia="zh-CN"/>
        </w:rPr>
        <w:t>送至无害化暂存间</w:t>
      </w:r>
      <w:r>
        <w:rPr>
          <w:rFonts w:hint="eastAsia"/>
        </w:rPr>
        <w:t>进行处置；猪粪及肠胃内容物和污水处理站栅渣交由生产有机肥料的单位进行处置；污水处理站产生的废油脂委托有资质的单位定期清掏处置；生活垃圾和污水处理站产生的污泥交由环卫部门统一清运；餐厨垃圾收集后由经城管部门许可的餐厨垃圾收运单位处置；设备维护产生的废润滑油、废油桶、废试纸、废</w:t>
      </w:r>
      <w:r>
        <w:rPr>
          <w:rFonts w:hint="default"/>
        </w:rPr>
        <w:t>PCR</w:t>
      </w:r>
      <w:r>
        <w:rPr>
          <w:rFonts w:hint="eastAsia"/>
        </w:rPr>
        <w:t>试剂盒分别交由具有相应资质的单位进行处置。</w:t>
      </w:r>
    </w:p>
    <w:p>
      <w:pPr>
        <w:bidi w:val="0"/>
        <w:rPr>
          <w:rFonts w:hint="eastAsia"/>
          <w:b/>
          <w:bCs/>
        </w:rPr>
      </w:pPr>
      <w:r>
        <w:rPr>
          <w:rFonts w:hint="eastAsia"/>
          <w:b/>
          <w:bCs/>
        </w:rPr>
        <w:t>固体废物场区管理要求：</w:t>
      </w:r>
    </w:p>
    <w:p>
      <w:pPr>
        <w:numPr>
          <w:ilvl w:val="0"/>
          <w:numId w:val="9"/>
        </w:numPr>
        <w:bidi w:val="0"/>
        <w:rPr>
          <w:rFonts w:hint="eastAsia"/>
          <w:b/>
          <w:bCs/>
        </w:rPr>
      </w:pPr>
      <w:r>
        <w:rPr>
          <w:rFonts w:hint="eastAsia"/>
          <w:b/>
          <w:bCs/>
        </w:rPr>
        <w:t>无害化暂存间</w:t>
      </w:r>
    </w:p>
    <w:p>
      <w:pPr>
        <w:bidi w:val="0"/>
        <w:rPr>
          <w:rFonts w:hint="eastAsia"/>
        </w:rPr>
      </w:pPr>
      <w:r>
        <w:rPr>
          <w:rFonts w:hint="eastAsia"/>
        </w:rPr>
        <w:t>病猪在急宰间急宰后暂存于无害化暂存间，胴体、病内脏、不可食用内脏、检验后残渣、废弃动物组织及碎肉碎骨等分类收集桶装后暂存于无害化暂存间内，检疫不合格猪及病胴体、病内脏在当地防疫部门的指导下，按《病害动物和病害动物产品生物安全处理规程》</w:t>
      </w:r>
      <w:r>
        <w:rPr>
          <w:rFonts w:hint="default"/>
        </w:rPr>
        <w:t>(GB16548-2006)</w:t>
      </w:r>
      <w:r>
        <w:rPr>
          <w:rFonts w:hint="eastAsia"/>
        </w:rPr>
        <w:t>》处理交由</w:t>
      </w:r>
      <w:r>
        <w:rPr>
          <w:rFonts w:hint="eastAsia"/>
          <w:lang w:eastAsia="zh-CN"/>
        </w:rPr>
        <w:t>成都市科农动物无害化处置有限公司</w:t>
      </w:r>
      <w:r>
        <w:rPr>
          <w:rFonts w:hint="eastAsia"/>
        </w:rPr>
        <w:t>进行处理，不可食用内脏、废弃动物组织及碎肉碎骨等一并交由</w:t>
      </w:r>
      <w:r>
        <w:rPr>
          <w:rFonts w:hint="eastAsia"/>
          <w:lang w:eastAsia="zh-CN"/>
        </w:rPr>
        <w:t>成都市科农动物无害化处置有限公司</w:t>
      </w:r>
      <w:r>
        <w:rPr>
          <w:rFonts w:hint="eastAsia"/>
        </w:rPr>
        <w:t>进行处理，日产日清。无害化暂存间按冻库标准建设，实施冷冻存放，同时进行重点防渗。</w:t>
      </w:r>
    </w:p>
    <w:p>
      <w:pPr>
        <w:bidi w:val="0"/>
        <w:rPr>
          <w:rFonts w:hint="eastAsia"/>
          <w:b/>
          <w:bCs/>
        </w:rPr>
      </w:pPr>
      <w:r>
        <w:rPr>
          <w:rFonts w:hint="eastAsia"/>
          <w:b/>
          <w:bCs/>
        </w:rPr>
        <w:t>（</w:t>
      </w:r>
      <w:r>
        <w:rPr>
          <w:rFonts w:hint="default"/>
          <w:b/>
          <w:bCs/>
        </w:rPr>
        <w:t>2</w:t>
      </w:r>
      <w:r>
        <w:rPr>
          <w:rFonts w:hint="eastAsia"/>
          <w:b/>
          <w:bCs/>
        </w:rPr>
        <w:t>）</w:t>
      </w:r>
      <w:r>
        <w:rPr>
          <w:rFonts w:hint="eastAsia"/>
          <w:b/>
          <w:bCs/>
          <w:lang w:val="en-US" w:eastAsia="zh-CN"/>
        </w:rPr>
        <w:t>粪便</w:t>
      </w:r>
      <w:r>
        <w:rPr>
          <w:rFonts w:hint="eastAsia"/>
          <w:b/>
          <w:bCs/>
        </w:rPr>
        <w:t>及肠胃内容物暂存设施</w:t>
      </w:r>
    </w:p>
    <w:p>
      <w:pPr>
        <w:bidi w:val="0"/>
        <w:rPr>
          <w:rFonts w:hint="eastAsia"/>
        </w:rPr>
      </w:pPr>
      <w:r>
        <w:rPr>
          <w:rFonts w:hint="eastAsia"/>
        </w:rPr>
        <w:t>待宰间内设置单独设置一处粪便收集区，并设置</w:t>
      </w:r>
      <w:r>
        <w:rPr>
          <w:rFonts w:hint="default"/>
        </w:rPr>
        <w:t>1</w:t>
      </w:r>
      <w:r>
        <w:rPr>
          <w:rFonts w:hint="eastAsia"/>
        </w:rPr>
        <w:t>个</w:t>
      </w:r>
      <w:r>
        <w:rPr>
          <w:rFonts w:hint="default"/>
        </w:rPr>
        <w:t>5m</w:t>
      </w:r>
      <w:r>
        <w:rPr>
          <w:rFonts w:hint="eastAsia"/>
          <w:vertAlign w:val="superscript"/>
          <w:lang w:val="en-US" w:eastAsia="zh-CN"/>
        </w:rPr>
        <w:t>3</w:t>
      </w:r>
      <w:r>
        <w:rPr>
          <w:rFonts w:hint="eastAsia"/>
        </w:rPr>
        <w:t>的封闭垃圾箱，每日产生的猪粪直接暂存至垃圾箱内，每日屠宰完毕后交由生产有机肥料的单位进行处置。</w:t>
      </w:r>
    </w:p>
    <w:p>
      <w:pPr>
        <w:bidi w:val="0"/>
        <w:rPr>
          <w:rFonts w:hint="eastAsia"/>
        </w:rPr>
      </w:pPr>
      <w:r>
        <w:rPr>
          <w:rFonts w:hint="eastAsia"/>
        </w:rPr>
        <w:t>肠胃内容物产生于屠宰车间的内脏处理间，建设单位在红白内脏处理间各设置</w:t>
      </w:r>
      <w:r>
        <w:rPr>
          <w:rFonts w:hint="default"/>
        </w:rPr>
        <w:t xml:space="preserve">1 </w:t>
      </w:r>
      <w:r>
        <w:rPr>
          <w:rFonts w:hint="eastAsia"/>
        </w:rPr>
        <w:t>个垃圾桶专门收集肠胃内容物，每日与猪粪一并交由生产有机肥料的单位进行处置。</w:t>
      </w:r>
    </w:p>
    <w:p>
      <w:pPr>
        <w:bidi w:val="0"/>
        <w:rPr>
          <w:rFonts w:hint="eastAsia"/>
          <w:b/>
          <w:bCs/>
        </w:rPr>
      </w:pPr>
      <w:r>
        <w:rPr>
          <w:rFonts w:hint="eastAsia"/>
          <w:b/>
          <w:bCs/>
        </w:rPr>
        <w:t>（</w:t>
      </w:r>
      <w:r>
        <w:rPr>
          <w:rFonts w:hint="default"/>
          <w:b/>
          <w:bCs/>
        </w:rPr>
        <w:t>3</w:t>
      </w:r>
      <w:r>
        <w:rPr>
          <w:rFonts w:hint="eastAsia"/>
          <w:b/>
          <w:bCs/>
        </w:rPr>
        <w:t>）废油脂处理措施</w:t>
      </w:r>
    </w:p>
    <w:p>
      <w:pPr>
        <w:bidi w:val="0"/>
        <w:rPr>
          <w:rFonts w:hint="eastAsia"/>
        </w:rPr>
      </w:pPr>
      <w:r>
        <w:rPr>
          <w:rFonts w:hint="eastAsia"/>
        </w:rPr>
        <w:t>污水处理站格栅隔油池产生的废油脂委托有资质的单位定期进行处置，不暂存。</w:t>
      </w:r>
    </w:p>
    <w:p>
      <w:pPr>
        <w:bidi w:val="0"/>
        <w:rPr>
          <w:rFonts w:hint="eastAsia"/>
          <w:b/>
          <w:bCs/>
        </w:rPr>
      </w:pPr>
      <w:r>
        <w:rPr>
          <w:rFonts w:hint="eastAsia"/>
          <w:b/>
          <w:bCs/>
        </w:rPr>
        <w:t>（</w:t>
      </w:r>
      <w:r>
        <w:rPr>
          <w:rFonts w:hint="default"/>
          <w:b/>
          <w:bCs/>
        </w:rPr>
        <w:t>4</w:t>
      </w:r>
      <w:r>
        <w:rPr>
          <w:rFonts w:hint="eastAsia"/>
          <w:b/>
          <w:bCs/>
        </w:rPr>
        <w:t>）生活垃圾暂存点</w:t>
      </w:r>
    </w:p>
    <w:p>
      <w:pPr>
        <w:bidi w:val="0"/>
        <w:rPr>
          <w:rFonts w:hint="eastAsia"/>
        </w:rPr>
      </w:pPr>
      <w:r>
        <w:rPr>
          <w:rFonts w:hint="eastAsia"/>
        </w:rPr>
        <w:t>项目产生的生活垃圾经袋装后暂存于生活垃圾暂存点，每日交由环卫部门统一清运。</w:t>
      </w:r>
    </w:p>
    <w:p>
      <w:pPr>
        <w:bidi w:val="0"/>
        <w:rPr>
          <w:rFonts w:hint="eastAsia"/>
          <w:b/>
          <w:bCs/>
        </w:rPr>
      </w:pPr>
      <w:r>
        <w:rPr>
          <w:rFonts w:hint="eastAsia"/>
          <w:b/>
          <w:bCs/>
        </w:rPr>
        <w:t>（</w:t>
      </w:r>
      <w:r>
        <w:rPr>
          <w:rFonts w:hint="default"/>
          <w:b/>
          <w:bCs/>
        </w:rPr>
        <w:t>6</w:t>
      </w:r>
      <w:r>
        <w:rPr>
          <w:rFonts w:hint="eastAsia"/>
          <w:b/>
          <w:bCs/>
        </w:rPr>
        <w:t>）危废暂存设施</w:t>
      </w:r>
    </w:p>
    <w:p>
      <w:pPr>
        <w:bidi w:val="0"/>
        <w:rPr>
          <w:rFonts w:hint="eastAsia"/>
        </w:rPr>
      </w:pPr>
      <w:r>
        <w:rPr>
          <w:rFonts w:hint="eastAsia"/>
        </w:rPr>
        <w:t>本项目要求设置</w:t>
      </w:r>
      <w:r>
        <w:rPr>
          <w:rFonts w:hint="default"/>
        </w:rPr>
        <w:t xml:space="preserve">1 </w:t>
      </w:r>
      <w:r>
        <w:rPr>
          <w:rFonts w:hint="eastAsia"/>
        </w:rPr>
        <w:t>处危废暂存间用于存废润滑油</w:t>
      </w:r>
      <w:r>
        <w:rPr>
          <w:rFonts w:hint="eastAsia"/>
          <w:lang w:val="en-US" w:eastAsia="zh-CN"/>
        </w:rPr>
        <w:t>及废油桶</w:t>
      </w:r>
      <w:r>
        <w:rPr>
          <w:rFonts w:hint="eastAsia"/>
        </w:rPr>
        <w:t>，危废分类收集后暂存至危废暂存间，定期交由有危废资质的单位进行处置，危废暂存间按</w:t>
      </w:r>
      <w:r>
        <w:rPr>
          <w:rFonts w:hint="default"/>
        </w:rPr>
        <w:t>GB18597</w:t>
      </w:r>
      <w:r>
        <w:rPr>
          <w:rFonts w:hint="eastAsia"/>
        </w:rPr>
        <w:t>规定采取相应的防渗措施，渗透系数≤</w:t>
      </w:r>
      <w:r>
        <w:rPr>
          <w:rFonts w:hint="default"/>
        </w:rPr>
        <w:t>10</w:t>
      </w:r>
      <w:r>
        <w:rPr>
          <w:rFonts w:hint="default"/>
          <w:vertAlign w:val="superscript"/>
        </w:rPr>
        <w:t>-10</w:t>
      </w:r>
      <w:r>
        <w:rPr>
          <w:rFonts w:hint="default"/>
        </w:rPr>
        <w:t>cm/s</w:t>
      </w:r>
      <w:r>
        <w:rPr>
          <w:rFonts w:hint="eastAsia"/>
        </w:rPr>
        <w:t>。</w:t>
      </w:r>
    </w:p>
    <w:p>
      <w:pPr>
        <w:spacing w:beforeLines="0" w:afterLines="0"/>
        <w:jc w:val="left"/>
        <w:rPr>
          <w:rFonts w:hint="eastAsia" w:ascii="宋体" w:hAnsi="宋体" w:eastAsia="宋体"/>
          <w:b/>
          <w:bCs/>
          <w:sz w:val="24"/>
          <w:szCs w:val="24"/>
        </w:rPr>
      </w:pPr>
      <w:r>
        <w:rPr>
          <w:rFonts w:hint="eastAsia" w:ascii="宋体" w:hAnsi="宋体" w:eastAsia="宋体"/>
          <w:b/>
          <w:bCs/>
          <w:sz w:val="24"/>
          <w:szCs w:val="24"/>
        </w:rPr>
        <w:t>（</w:t>
      </w:r>
      <w:r>
        <w:rPr>
          <w:rFonts w:hint="default" w:ascii="Times New Roman" w:hAnsi="Times New Roman" w:eastAsia="Times New Roman"/>
          <w:b/>
          <w:bCs/>
          <w:sz w:val="24"/>
          <w:szCs w:val="24"/>
        </w:rPr>
        <w:t>7</w:t>
      </w:r>
      <w:r>
        <w:rPr>
          <w:rFonts w:hint="eastAsia" w:ascii="宋体" w:hAnsi="宋体" w:eastAsia="宋体"/>
          <w:b/>
          <w:bCs/>
          <w:sz w:val="24"/>
          <w:szCs w:val="24"/>
        </w:rPr>
        <w:t>）危废暂存间要求：</w:t>
      </w:r>
    </w:p>
    <w:p>
      <w:pPr>
        <w:bidi w:val="0"/>
        <w:rPr>
          <w:rFonts w:hint="eastAsia"/>
        </w:rPr>
      </w:pPr>
      <w:r>
        <w:rPr>
          <w:rFonts w:hint="eastAsia"/>
        </w:rPr>
        <w:t>本项目危废暂存间建筑面积为</w:t>
      </w:r>
      <w:r>
        <w:rPr>
          <w:rFonts w:hint="eastAsia"/>
          <w:lang w:val="en-US" w:eastAsia="zh-CN"/>
        </w:rPr>
        <w:t>4</w:t>
      </w:r>
      <w:r>
        <w:rPr>
          <w:rFonts w:hint="default"/>
        </w:rPr>
        <w:t>0m</w:t>
      </w:r>
      <w:r>
        <w:rPr>
          <w:rFonts w:hint="eastAsia"/>
          <w:vertAlign w:val="superscript"/>
          <w:lang w:val="en-US" w:eastAsia="zh-CN"/>
        </w:rPr>
        <w:t>2</w:t>
      </w:r>
      <w:r>
        <w:rPr>
          <w:rFonts w:hint="eastAsia"/>
        </w:rPr>
        <w:t>，内设收集桶，位于项目待宰间东侧，根据危险废物特性，交由具有相应资质的单位进行处置。</w:t>
      </w:r>
    </w:p>
    <w:p>
      <w:pPr>
        <w:bidi w:val="0"/>
        <w:rPr>
          <w:rFonts w:hint="eastAsia"/>
        </w:rPr>
      </w:pPr>
      <w:r>
        <w:rPr>
          <w:rFonts w:hint="eastAsia"/>
        </w:rPr>
        <w:t>本项目的危险废物暂存间必须按照《危险废物贮存污染控制标准》（</w:t>
      </w:r>
      <w:r>
        <w:rPr>
          <w:rFonts w:hint="default"/>
        </w:rPr>
        <w:t>GB18597-2001</w:t>
      </w:r>
      <w:r>
        <w:rPr>
          <w:rFonts w:hint="eastAsia"/>
        </w:rPr>
        <w:t>）及</w:t>
      </w:r>
      <w:r>
        <w:rPr>
          <w:rFonts w:hint="default"/>
        </w:rPr>
        <w:t>2013</w:t>
      </w:r>
      <w:r>
        <w:rPr>
          <w:rFonts w:hint="eastAsia"/>
        </w:rPr>
        <w:t>年修改单的要求执行；危废处置过程必须按照国家《危险废物转移联单管理办法》（</w:t>
      </w:r>
      <w:r>
        <w:rPr>
          <w:rFonts w:hint="eastAsia"/>
          <w:lang w:val="en-US" w:eastAsia="zh-CN"/>
        </w:rPr>
        <w:t>2021</w:t>
      </w:r>
      <w:r>
        <w:rPr>
          <w:rFonts w:hint="eastAsia"/>
        </w:rPr>
        <w:t>年</w:t>
      </w:r>
      <w:r>
        <w:rPr>
          <w:rFonts w:hint="eastAsia"/>
          <w:lang w:val="en-US" w:eastAsia="zh-CN"/>
        </w:rPr>
        <w:t>12</w:t>
      </w:r>
      <w:r>
        <w:rPr>
          <w:rFonts w:hint="eastAsia"/>
        </w:rPr>
        <w:t>月</w:t>
      </w:r>
      <w:r>
        <w:rPr>
          <w:rFonts w:hint="eastAsia"/>
          <w:lang w:val="en-US" w:eastAsia="zh-CN"/>
        </w:rPr>
        <w:t>03</w:t>
      </w:r>
      <w:r>
        <w:rPr>
          <w:rFonts w:hint="eastAsia"/>
        </w:rPr>
        <w:t>日）执行，相关要求为：</w:t>
      </w:r>
    </w:p>
    <w:p>
      <w:pPr>
        <w:bidi w:val="0"/>
        <w:rPr>
          <w:rFonts w:hint="eastAsia"/>
        </w:rPr>
      </w:pPr>
      <w:r>
        <w:rPr>
          <w:rFonts w:hint="default"/>
        </w:rPr>
        <w:t>1</w:t>
      </w:r>
      <w:r>
        <w:rPr>
          <w:rFonts w:hint="eastAsia"/>
        </w:rPr>
        <w:t>）在常温常压下不水解、不挥发的固体危险废物可在贮存设施内分别堆放。危险废物贮存设施都必须按</w:t>
      </w:r>
      <w:r>
        <w:rPr>
          <w:rFonts w:hint="default"/>
        </w:rPr>
        <w:t xml:space="preserve">GB15562.2 </w:t>
      </w:r>
      <w:r>
        <w:rPr>
          <w:rFonts w:hint="eastAsia"/>
        </w:rPr>
        <w:t>的规定设置警示标志。</w:t>
      </w:r>
    </w:p>
    <w:p>
      <w:pPr>
        <w:bidi w:val="0"/>
        <w:rPr>
          <w:rFonts w:hint="eastAsia"/>
        </w:rPr>
      </w:pPr>
      <w:r>
        <w:rPr>
          <w:rFonts w:hint="default"/>
        </w:rPr>
        <w:t>2</w:t>
      </w:r>
      <w:r>
        <w:rPr>
          <w:rFonts w:hint="eastAsia"/>
        </w:rPr>
        <w:t>）堆放危险废物的高度应根据地面承载能力确定。应建在易燃、易爆等危险品仓库、高压输电线路防护区域以外。</w:t>
      </w:r>
    </w:p>
    <w:p>
      <w:pPr>
        <w:spacing w:beforeLines="0" w:afterLines="0"/>
        <w:jc w:val="left"/>
        <w:rPr>
          <w:rFonts w:hint="eastAsia" w:ascii="宋体" w:hAnsi="宋体" w:eastAsia="宋体"/>
          <w:sz w:val="24"/>
          <w:szCs w:val="24"/>
        </w:rPr>
      </w:pPr>
      <w:r>
        <w:rPr>
          <w:rFonts w:hint="default" w:ascii="Times New Roman" w:hAnsi="Times New Roman" w:eastAsia="Times New Roman"/>
          <w:sz w:val="24"/>
          <w:szCs w:val="24"/>
        </w:rPr>
        <w:t>3</w:t>
      </w:r>
      <w:r>
        <w:rPr>
          <w:rFonts w:hint="eastAsia" w:ascii="宋体" w:hAnsi="宋体" w:eastAsia="宋体"/>
          <w:sz w:val="24"/>
          <w:szCs w:val="24"/>
        </w:rPr>
        <w:t>）必须定期对所贮存的容器设施进行检查，发现破损，应及时采取措施清理更换。</w:t>
      </w:r>
    </w:p>
    <w:p>
      <w:pPr>
        <w:bidi w:val="0"/>
        <w:rPr>
          <w:rFonts w:hint="eastAsia"/>
        </w:rPr>
      </w:pPr>
      <w:r>
        <w:rPr>
          <w:rFonts w:hint="default"/>
        </w:rPr>
        <w:t>4</w:t>
      </w:r>
      <w:r>
        <w:rPr>
          <w:rFonts w:hint="eastAsia"/>
        </w:rPr>
        <w:t>）门地面与裙脚要用坚固、防渗的材料建造，材料必须与危险废物相容。设施底部必须高于地下水最高水位。基础必须防渗，</w:t>
      </w:r>
      <w:r>
        <w:rPr>
          <w:rFonts w:hint="eastAsia"/>
          <w:lang w:val="en-US" w:eastAsia="zh-CN"/>
        </w:rPr>
        <w:t>满足</w:t>
      </w:r>
      <w:r>
        <w:rPr>
          <w:rFonts w:hint="eastAsia"/>
        </w:rPr>
        <w:t>渗透系数≤</w:t>
      </w:r>
      <w:r>
        <w:rPr>
          <w:rFonts w:hint="default"/>
        </w:rPr>
        <w:t>10</w:t>
      </w:r>
      <w:r>
        <w:rPr>
          <w:rFonts w:hint="default"/>
          <w:vertAlign w:val="superscript"/>
        </w:rPr>
        <w:t>-10</w:t>
      </w:r>
      <w:r>
        <w:rPr>
          <w:rFonts w:hint="default"/>
        </w:rPr>
        <w:t>cm/s</w:t>
      </w:r>
      <w:r>
        <w:rPr>
          <w:rFonts w:hint="eastAsia"/>
        </w:rPr>
        <w:t>。危废暂存间周围设有雨水沟，保证</w:t>
      </w:r>
      <w:r>
        <w:rPr>
          <w:rFonts w:hint="default"/>
        </w:rPr>
        <w:t>25</w:t>
      </w:r>
      <w:r>
        <w:rPr>
          <w:rFonts w:hint="eastAsia"/>
          <w:lang w:val="en-US" w:eastAsia="zh-CN"/>
        </w:rPr>
        <w:t>年</w:t>
      </w:r>
      <w:r>
        <w:rPr>
          <w:rFonts w:hint="eastAsia"/>
        </w:rPr>
        <w:t>一遇的暴雨不会流到危险废物堆里。</w:t>
      </w:r>
    </w:p>
    <w:p>
      <w:pPr>
        <w:bidi w:val="0"/>
        <w:rPr>
          <w:rFonts w:hint="eastAsia"/>
        </w:rPr>
      </w:pPr>
      <w:r>
        <w:rPr>
          <w:rFonts w:hint="default"/>
        </w:rPr>
        <w:t>5</w:t>
      </w:r>
      <w:r>
        <w:rPr>
          <w:rFonts w:hint="eastAsia"/>
        </w:rPr>
        <w:t>）危险废物贮存设施周围应设置围墙或其他防护栅栏。危险废物贮存设施应配备通讯设备、照明设施、安全防护服装及工具，并设有应急防护设施。</w:t>
      </w:r>
    </w:p>
    <w:p>
      <w:pPr>
        <w:bidi w:val="0"/>
        <w:rPr>
          <w:rFonts w:hint="eastAsia"/>
        </w:rPr>
      </w:pPr>
      <w:r>
        <w:rPr>
          <w:rFonts w:hint="default"/>
        </w:rPr>
        <w:t>6</w:t>
      </w:r>
      <w:r>
        <w:rPr>
          <w:rFonts w:hint="eastAsia"/>
        </w:rPr>
        <w:t>）危险废物贮存设施内清理出来的废渣，一律按危险废物处理。</w:t>
      </w:r>
    </w:p>
    <w:p>
      <w:pPr>
        <w:bidi w:val="0"/>
        <w:rPr>
          <w:rFonts w:hint="eastAsia"/>
        </w:rPr>
      </w:pPr>
      <w:r>
        <w:rPr>
          <w:rFonts w:hint="default"/>
        </w:rPr>
        <w:t>7</w:t>
      </w:r>
      <w:r>
        <w:rPr>
          <w:rFonts w:hint="eastAsia"/>
        </w:rPr>
        <w:t>）危废暂存间内设置围堰，并设置托盘放置收集桶。</w:t>
      </w:r>
    </w:p>
    <w:p>
      <w:pPr>
        <w:bidi w:val="0"/>
        <w:rPr>
          <w:rFonts w:hint="eastAsia"/>
        </w:rPr>
      </w:pPr>
      <w:r>
        <w:rPr>
          <w:rFonts w:hint="default"/>
        </w:rPr>
        <w:t>8</w:t>
      </w:r>
      <w:r>
        <w:rPr>
          <w:rFonts w:hint="eastAsia"/>
        </w:rPr>
        <w:t>）按国家污染源管理要求对危险废物贮存设施进行监测。</w:t>
      </w:r>
    </w:p>
    <w:p>
      <w:pPr>
        <w:bidi w:val="0"/>
        <w:rPr>
          <w:rFonts w:hint="eastAsia"/>
        </w:rPr>
      </w:pPr>
      <w:r>
        <w:rPr>
          <w:rFonts w:hint="default"/>
        </w:rPr>
        <w:t>9</w:t>
      </w:r>
      <w:r>
        <w:rPr>
          <w:rFonts w:hint="eastAsia"/>
        </w:rPr>
        <w:t>）建设单位必须做好危险废物的记录，记录上须注明危险废物的名称、来源、数量、特性和包装容器的类别、入库日期、存放库位、废物出库日期及接收单位名称。且记录和货单在危险废物回收后应继续保留三年。</w:t>
      </w:r>
    </w:p>
    <w:p>
      <w:pPr>
        <w:bidi w:val="0"/>
        <w:rPr>
          <w:rFonts w:hint="eastAsia"/>
        </w:rPr>
      </w:pPr>
      <w:r>
        <w:rPr>
          <w:rFonts w:hint="eastAsia"/>
        </w:rPr>
        <w:t>此外，危险废物处置过程必须按照国家《危险废物转移联单管理办法》（</w:t>
      </w:r>
      <w:r>
        <w:rPr>
          <w:rFonts w:hint="eastAsia"/>
          <w:lang w:val="en-US" w:eastAsia="zh-CN"/>
        </w:rPr>
        <w:t>2021</w:t>
      </w:r>
      <w:r>
        <w:rPr>
          <w:rFonts w:hint="eastAsia"/>
        </w:rPr>
        <w:t>年）执行，相关要求为：危险废物运输单位应当如实填写联单的运输单位栏目，按照国家有关危险物品运输的规定，将危险废物安全运抵联单载明的接受地点，并将联单第一联、第二联副联、第三联、第四联、第五联随转移的危险废物交付危险废物接受单位。联单保存期限为五年；贮存危险废物的，其联单保存期限与危险废物贮存期限相同。</w:t>
      </w:r>
    </w:p>
    <w:p>
      <w:pPr>
        <w:bidi w:val="0"/>
        <w:rPr>
          <w:rFonts w:hint="eastAsia"/>
        </w:rPr>
      </w:pPr>
      <w:r>
        <w:rPr>
          <w:rFonts w:hint="eastAsia"/>
        </w:rPr>
        <w:t>采取以上措施后，项目运营期产生的危险废物防治措施合理、可行。</w:t>
      </w:r>
    </w:p>
    <w:p>
      <w:pPr>
        <w:bidi w:val="0"/>
        <w:rPr>
          <w:rFonts w:hint="eastAsia"/>
          <w:b/>
          <w:bCs/>
        </w:rPr>
      </w:pPr>
      <w:r>
        <w:rPr>
          <w:rFonts w:hint="eastAsia"/>
          <w:b/>
          <w:bCs/>
        </w:rPr>
        <w:t>（</w:t>
      </w:r>
      <w:r>
        <w:rPr>
          <w:rFonts w:hint="default"/>
          <w:b/>
          <w:bCs/>
        </w:rPr>
        <w:t>7</w:t>
      </w:r>
      <w:r>
        <w:rPr>
          <w:rFonts w:hint="eastAsia"/>
          <w:b/>
          <w:bCs/>
        </w:rPr>
        <w:t>）固废暂存设施要求</w:t>
      </w:r>
    </w:p>
    <w:p>
      <w:pPr>
        <w:bidi w:val="0"/>
        <w:rPr>
          <w:rFonts w:hint="eastAsia"/>
          <w:b/>
          <w:bCs/>
        </w:rPr>
      </w:pPr>
      <w:r>
        <w:rPr>
          <w:rFonts w:hint="eastAsia"/>
          <w:b/>
          <w:bCs/>
        </w:rPr>
        <w:t>①时间要求：</w:t>
      </w:r>
    </w:p>
    <w:p>
      <w:pPr>
        <w:bidi w:val="0"/>
        <w:rPr>
          <w:rFonts w:hint="eastAsia"/>
        </w:rPr>
      </w:pPr>
      <w:r>
        <w:rPr>
          <w:rFonts w:hint="eastAsia"/>
        </w:rPr>
        <w:t>应做到日产日清；在春节、国庆等屠宰旺季应提高清运频率，尽量减少猪粪及猪胃内溶物在厂区堆存时间。</w:t>
      </w:r>
    </w:p>
    <w:p>
      <w:pPr>
        <w:bidi w:val="0"/>
        <w:rPr>
          <w:rFonts w:hint="eastAsia"/>
          <w:b/>
          <w:bCs/>
        </w:rPr>
      </w:pPr>
      <w:r>
        <w:rPr>
          <w:rFonts w:hint="eastAsia"/>
          <w:b/>
          <w:bCs/>
        </w:rPr>
        <w:t>②地点要求：</w:t>
      </w:r>
    </w:p>
    <w:p>
      <w:pPr>
        <w:bidi w:val="0"/>
        <w:rPr>
          <w:rFonts w:hint="eastAsia"/>
        </w:rPr>
      </w:pPr>
      <w:r>
        <w:rPr>
          <w:rFonts w:hint="default"/>
        </w:rPr>
        <w:t>A</w:t>
      </w:r>
      <w:r>
        <w:rPr>
          <w:rFonts w:hint="eastAsia"/>
        </w:rPr>
        <w:t>、必须与生活垃圾存放地分开，有防雨淋的装置，地基高度应确保设施内不受雨洪冲击或浸泡；</w:t>
      </w:r>
    </w:p>
    <w:p>
      <w:pPr>
        <w:bidi w:val="0"/>
        <w:rPr>
          <w:rFonts w:hint="eastAsia"/>
        </w:rPr>
      </w:pPr>
      <w:r>
        <w:rPr>
          <w:rFonts w:hint="default"/>
        </w:rPr>
        <w:t>B</w:t>
      </w:r>
      <w:r>
        <w:rPr>
          <w:rFonts w:hint="eastAsia"/>
        </w:rPr>
        <w:t>、应有严密的封闭措施，且应地表硬化，做好防渗处理。以及防鼠、防蚊蝇、防蟑螂；</w:t>
      </w:r>
    </w:p>
    <w:p>
      <w:pPr>
        <w:bidi w:val="0"/>
        <w:rPr>
          <w:rFonts w:hint="eastAsia"/>
        </w:rPr>
      </w:pPr>
      <w:r>
        <w:rPr>
          <w:rFonts w:hint="eastAsia"/>
        </w:rPr>
        <w:t>此外，生活垃圾堆放场地、垃圾集中箱放置场地要做好防渗处理，及时清运，禁止露天堆放、填埋垃圾渣土；对产生的各类固废要求及时清运，做到日产日清；对固废堆场要经常打药防蚊蝇。</w:t>
      </w:r>
    </w:p>
    <w:p>
      <w:pPr>
        <w:bidi w:val="0"/>
        <w:rPr>
          <w:rFonts w:hint="eastAsia"/>
        </w:rPr>
      </w:pPr>
      <w:r>
        <w:rPr>
          <w:rFonts w:hint="eastAsia"/>
          <w:b/>
          <w:bCs/>
        </w:rPr>
        <w:t>综上分析可见，以上固体废弃物处置措施合理，去向明确，采取的防范措施合理，能有效防止固废对环境造成二次污染，不会对周围环境造成影响。</w:t>
      </w:r>
    </w:p>
    <w:p>
      <w:pPr>
        <w:pStyle w:val="5"/>
        <w:bidi w:val="0"/>
        <w:rPr>
          <w:rFonts w:hint="default"/>
          <w:lang w:val="en-US" w:eastAsia="zh-CN"/>
        </w:rPr>
      </w:pPr>
      <w:r>
        <w:rPr>
          <w:rFonts w:hint="eastAsia"/>
          <w:lang w:val="en-US" w:eastAsia="zh-CN"/>
        </w:rPr>
        <w:t>生态环境影响分析</w:t>
      </w:r>
    </w:p>
    <w:p>
      <w:pPr>
        <w:bidi w:val="0"/>
        <w:rPr>
          <w:rFonts w:hint="eastAsia"/>
          <w:lang w:val="en-US" w:eastAsia="zh-CN"/>
        </w:rPr>
      </w:pPr>
      <w:r>
        <w:rPr>
          <w:rFonts w:hint="eastAsia"/>
        </w:rPr>
        <w:t>根据现状勘查，本项目周边属于农村生态系统，项目评价区内植被以自然植被为主，但其结构相对简单，物种组成数量少。</w:t>
      </w:r>
    </w:p>
    <w:p>
      <w:pPr>
        <w:bidi w:val="0"/>
        <w:rPr>
          <w:rFonts w:hint="eastAsia"/>
        </w:rPr>
      </w:pPr>
      <w:r>
        <w:rPr>
          <w:rFonts w:hint="eastAsia"/>
        </w:rPr>
        <w:t>评价范围内植被主要以杂草和灌木为主的植被，动物主要以小型的麻雀、斑鸠、蛇、老鼠等为主，区域内未发现保护国家及地方珍稀动植物。</w:t>
      </w:r>
    </w:p>
    <w:p>
      <w:pPr>
        <w:bidi w:val="0"/>
        <w:rPr>
          <w:rFonts w:hint="eastAsia"/>
          <w:lang w:val="en-US" w:eastAsia="zh-CN"/>
        </w:rPr>
      </w:pPr>
      <w:r>
        <w:rPr>
          <w:rFonts w:hint="eastAsia"/>
        </w:rPr>
        <w:t>项目营运期产生的污染物通过防治措施后，对区域环境影响可以接受，同时由于屠宰场附近人为活动频繁，区域偶尔会有鸟类、小型蛇、老鼠等动物出现，且动物的生活习性已和人类活动相适应，因此迁建项目的运营不会对区域动物造成影响。同时通过加强场界绿化植被的建设，栽种常见绿化吸臭植物，也不会对区域植被造成影响。</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br w:type="page"/>
      </w:r>
    </w:p>
    <w:p>
      <w:pPr>
        <w:pStyle w:val="3"/>
        <w:bidi w:val="0"/>
        <w:rPr>
          <w:rFonts w:hint="default"/>
          <w:lang w:val="en-US" w:eastAsia="zh-CN"/>
        </w:rPr>
      </w:pPr>
      <w:bookmarkStart w:id="55" w:name="_Toc11780"/>
      <w:r>
        <w:rPr>
          <w:rFonts w:hint="eastAsia"/>
          <w:lang w:val="en-US" w:eastAsia="zh-CN"/>
        </w:rPr>
        <w:t>环境风险评价</w:t>
      </w:r>
      <w:bookmarkEnd w:id="55"/>
    </w:p>
    <w:p>
      <w:pPr>
        <w:bidi w:val="0"/>
        <w:rPr>
          <w:rFonts w:hint="eastAsia"/>
          <w:lang w:val="en-US" w:eastAsia="zh-CN"/>
        </w:rPr>
      </w:pPr>
      <w:r>
        <w:rPr>
          <w:rFonts w:hint="eastAsia"/>
        </w:rPr>
        <w:t>根据《环境影响评价技术导则 环境风险》（</w:t>
      </w:r>
      <w:r>
        <w:rPr>
          <w:rFonts w:hint="default"/>
        </w:rPr>
        <w:t>HJ 169</w:t>
      </w:r>
      <w:r>
        <w:rPr>
          <w:rFonts w:hint="eastAsia"/>
        </w:rPr>
        <w:t>－</w:t>
      </w:r>
      <w:r>
        <w:rPr>
          <w:rFonts w:hint="default"/>
        </w:rPr>
        <w:t>2018</w:t>
      </w:r>
      <w:r>
        <w:rPr>
          <w:rFonts w:hint="eastAsia"/>
        </w:rPr>
        <w:t>），结合项目生产工艺、污染物性质和所在地环境特点，对建设项目建设和运行期间发生的可预测突发性事件或事故（一般不包括人为破坏及自然灾害）引起有毒有害、易燃易爆等物质泄漏，或突发事件产生新的有毒有害物质，所造成的对人身安全与环境的影响和损害，进行评估，提出防范、应急与减缓措施，以使建设项目事故率、损失和环境影响达到可接受水平。</w:t>
      </w:r>
    </w:p>
    <w:p>
      <w:pPr>
        <w:pStyle w:val="4"/>
        <w:bidi w:val="0"/>
        <w:rPr>
          <w:rFonts w:hint="default"/>
          <w:lang w:val="en-US" w:eastAsia="zh-CN"/>
        </w:rPr>
      </w:pPr>
      <w:bookmarkStart w:id="56" w:name="_Toc28673"/>
      <w:r>
        <w:rPr>
          <w:rFonts w:hint="eastAsia"/>
          <w:lang w:val="en-US" w:eastAsia="zh-CN"/>
        </w:rPr>
        <w:t>评价依据</w:t>
      </w:r>
      <w:bookmarkEnd w:id="56"/>
    </w:p>
    <w:p>
      <w:pPr>
        <w:pStyle w:val="5"/>
        <w:bidi w:val="0"/>
        <w:rPr>
          <w:rFonts w:hint="default"/>
          <w:lang w:val="en-US" w:eastAsia="zh-CN"/>
        </w:rPr>
      </w:pPr>
      <w:r>
        <w:rPr>
          <w:rFonts w:hint="eastAsia"/>
          <w:lang w:val="en-US" w:eastAsia="zh-CN"/>
        </w:rPr>
        <w:t>风险调查</w:t>
      </w:r>
    </w:p>
    <w:p>
      <w:pPr>
        <w:pStyle w:val="6"/>
        <w:bidi w:val="0"/>
        <w:rPr>
          <w:rFonts w:hint="default"/>
          <w:lang w:val="en-US" w:eastAsia="zh-CN"/>
        </w:rPr>
      </w:pPr>
      <w:r>
        <w:rPr>
          <w:rFonts w:hint="eastAsia"/>
          <w:lang w:val="en-US" w:eastAsia="zh-CN"/>
        </w:rPr>
        <w:t>物料风险调查</w:t>
      </w:r>
    </w:p>
    <w:p>
      <w:pPr>
        <w:bidi w:val="0"/>
        <w:rPr>
          <w:rFonts w:hint="eastAsia"/>
          <w:lang w:val="en-US" w:eastAsia="zh-CN"/>
        </w:rPr>
      </w:pPr>
      <w:r>
        <w:rPr>
          <w:rFonts w:hint="eastAsia"/>
        </w:rPr>
        <w:t>本项目生产过程中使用的原辅材料有</w:t>
      </w:r>
      <w:r>
        <w:rPr>
          <w:rFonts w:hint="default"/>
        </w:rPr>
        <w:t>R507a</w:t>
      </w:r>
      <w:r>
        <w:rPr>
          <w:rFonts w:hint="eastAsia"/>
        </w:rPr>
        <w:t>、二氯异氰尿酸钠、聚维酮碘溶液</w:t>
      </w:r>
      <w:r>
        <w:rPr>
          <w:rFonts w:hint="eastAsia"/>
          <w:lang w:eastAsia="zh-CN"/>
        </w:rPr>
        <w:t>、</w:t>
      </w:r>
      <w:r>
        <w:rPr>
          <w:rFonts w:hint="eastAsia"/>
        </w:rPr>
        <w:t>柴油，物料理化性质见下表。</w:t>
      </w:r>
    </w:p>
    <w:p>
      <w:pPr>
        <w:pStyle w:val="29"/>
        <w:bidi w:val="0"/>
        <w:rPr>
          <w:rFonts w:hint="eastAsia"/>
          <w:lang w:val="en-US" w:eastAsia="zh-CN"/>
        </w:rPr>
      </w:pPr>
      <w:r>
        <w:rPr>
          <w:rFonts w:hint="eastAsia"/>
          <w:lang w:val="en-US" w:eastAsia="zh-CN"/>
        </w:rPr>
        <w:t>表6.1-1  项目物料理化性质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85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4"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名称</w:t>
            </w:r>
          </w:p>
        </w:tc>
        <w:tc>
          <w:tcPr>
            <w:tcW w:w="8538"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08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R507A</w:t>
            </w:r>
          </w:p>
        </w:tc>
        <w:tc>
          <w:tcPr>
            <w:tcW w:w="8538" w:type="dxa"/>
            <w:tcBorders>
              <w:tl2br w:val="nil"/>
              <w:tr2bl w:val="nil"/>
            </w:tcBorders>
          </w:tcPr>
          <w:p>
            <w:pPr>
              <w:pStyle w:val="30"/>
              <w:widowControl w:val="0"/>
              <w:bidi w:val="0"/>
              <w:rPr>
                <w:rFonts w:hint="default"/>
                <w:lang w:val="en-US" w:eastAsia="zh-CN"/>
              </w:rPr>
            </w:pPr>
            <w:r>
              <w:rPr>
                <w:rFonts w:hint="eastAsia"/>
                <w:lang w:val="en-US" w:eastAsia="zh-CN"/>
              </w:rPr>
              <w:t>由R-125和R-143a混合而成，在常温下为无色气体，在自身压力下为无色透明液体，无毒不易燃，属于HFC型非共沸环保制冷剂，不会对臭氧层造成破坏，具有清洁、无毒、不燃、制冷效果好等特点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二氯异氰尿酸钠</w:t>
            </w:r>
          </w:p>
        </w:tc>
        <w:tc>
          <w:tcPr>
            <w:tcW w:w="8538" w:type="dxa"/>
            <w:tcBorders>
              <w:tl2br w:val="nil"/>
              <w:tr2bl w:val="nil"/>
            </w:tcBorders>
          </w:tcPr>
          <w:p>
            <w:pPr>
              <w:pStyle w:val="30"/>
              <w:widowControl w:val="0"/>
              <w:bidi w:val="0"/>
              <w:rPr>
                <w:rFonts w:hint="default"/>
                <w:lang w:val="en-US" w:eastAsia="zh-CN"/>
              </w:rPr>
            </w:pPr>
            <w:r>
              <w:rPr>
                <w:rFonts w:hint="eastAsia"/>
                <w:lang w:val="en-US" w:eastAsia="zh-CN"/>
              </w:rPr>
              <w:t>白色结晶，有氯气味。熔点230~250</w:t>
            </w:r>
            <w:r>
              <w:rPr>
                <w:rFonts w:hint="default"/>
                <w:lang w:val="en-US" w:eastAsia="zh-CN"/>
              </w:rPr>
              <w:t>℃</w:t>
            </w:r>
            <w:r>
              <w:rPr>
                <w:rFonts w:hint="eastAsia"/>
                <w:lang w:val="en-US" w:eastAsia="zh-CN"/>
              </w:rPr>
              <w:t>，溶于水，用于漂白、消毒、清洗等。急性毒性：LD50：1420mgkg（大鼠经口）；刺激性：家兔经皮：500mg，重点刺激；家兔经眼：10mg/24h，中毒刺激。禁配物：易燃或可燃物、铵盐、含氮化合物、强氧化剂、强碱、潮湿空气。接触潮气可分解。助燃，具有强刺激性。强氧化剂。与易燃物、有机物接触易着火燃烧。与含氮化合物（如氨、尿素等）反应生成易爆炸的三氯化氮。受热或遇潮易分解释出剧毒的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聚维酮碘溶液</w:t>
            </w:r>
          </w:p>
        </w:tc>
        <w:tc>
          <w:tcPr>
            <w:tcW w:w="8538" w:type="dxa"/>
            <w:tcBorders>
              <w:tl2br w:val="nil"/>
              <w:tr2bl w:val="nil"/>
            </w:tcBorders>
          </w:tcPr>
          <w:p>
            <w:pPr>
              <w:pStyle w:val="30"/>
              <w:widowControl w:val="0"/>
              <w:bidi w:val="0"/>
              <w:rPr>
                <w:rFonts w:hint="default"/>
                <w:lang w:val="en-US" w:eastAsia="zh-CN"/>
              </w:rPr>
            </w:pPr>
            <w:r>
              <w:rPr>
                <w:rFonts w:hint="eastAsia"/>
                <w:lang w:val="en-US" w:eastAsia="zh-CN"/>
              </w:rPr>
              <w:t>红棕色液体，主要成分为聚维酮碘，辅料为乙二胺四乙酸二钠、碘酸钾、碘化钾、氢氧化钠、纯化水。用于小面积皮肤、黏膜创口的消毒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柴油</w:t>
            </w:r>
          </w:p>
        </w:tc>
        <w:tc>
          <w:tcPr>
            <w:tcW w:w="8538" w:type="dxa"/>
            <w:tcBorders>
              <w:tl2br w:val="nil"/>
              <w:tr2bl w:val="nil"/>
            </w:tcBorders>
          </w:tcPr>
          <w:p>
            <w:pPr>
              <w:pStyle w:val="30"/>
              <w:widowControl w:val="0"/>
              <w:bidi w:val="0"/>
              <w:rPr>
                <w:rFonts w:hint="default"/>
                <w:vertAlign w:val="baseline"/>
                <w:lang w:val="en-US" w:eastAsia="zh-CN"/>
              </w:rPr>
            </w:pPr>
            <w:r>
              <w:rPr>
                <w:rFonts w:hint="eastAsia"/>
              </w:rPr>
              <w:t>稍有粘性的棕色液体，熔点</w:t>
            </w:r>
            <w:r>
              <w:rPr>
                <w:rFonts w:hint="eastAsia"/>
                <w:lang w:eastAsia="zh-CN"/>
              </w:rPr>
              <w:t>（</w:t>
            </w:r>
            <w:r>
              <w:rPr>
                <w:rFonts w:hint="default" w:ascii="Times New Roman" w:hAnsi="Times New Roman" w:cs="Times New Roman"/>
                <w:lang w:val="en-US" w:eastAsia="zh-CN"/>
              </w:rPr>
              <w:t>℃</w:t>
            </w:r>
            <w:r>
              <w:rPr>
                <w:rFonts w:hint="eastAsia" w:ascii="Times New Roman" w:hAnsi="Times New Roman" w:cs="Times New Roman"/>
                <w:lang w:eastAsia="zh-CN"/>
              </w:rPr>
              <w:t>）</w:t>
            </w:r>
            <w:r>
              <w:rPr>
                <w:rFonts w:hint="eastAsia"/>
              </w:rPr>
              <w:t>：</w:t>
            </w:r>
            <w:r>
              <w:rPr>
                <w:rFonts w:hint="eastAsia"/>
                <w:lang w:eastAsia="zh-CN"/>
              </w:rPr>
              <w:t>&lt;</w:t>
            </w:r>
            <w:r>
              <w:rPr>
                <w:rFonts w:hint="default"/>
              </w:rPr>
              <w:t>-18</w:t>
            </w:r>
            <w:r>
              <w:rPr>
                <w:rFonts w:hint="eastAsia"/>
              </w:rPr>
              <w:t>，沸点</w:t>
            </w:r>
            <w:r>
              <w:rPr>
                <w:rFonts w:hint="eastAsia"/>
                <w:lang w:eastAsia="zh-CN"/>
              </w:rPr>
              <w:t>（</w:t>
            </w:r>
            <w:r>
              <w:rPr>
                <w:rFonts w:hint="default" w:ascii="Times New Roman" w:hAnsi="Times New Roman" w:cs="Times New Roman"/>
                <w:lang w:val="en-US" w:eastAsia="zh-CN"/>
              </w:rPr>
              <w:t>℃</w:t>
            </w:r>
            <w:r>
              <w:rPr>
                <w:rFonts w:hint="eastAsia" w:cs="Times New Roman"/>
                <w:lang w:eastAsia="zh-CN"/>
              </w:rPr>
              <w:t>）</w:t>
            </w:r>
            <w:r>
              <w:rPr>
                <w:rFonts w:hint="eastAsia"/>
                <w:lang w:eastAsia="zh-CN"/>
              </w:rPr>
              <w:t>）</w:t>
            </w:r>
            <w:r>
              <w:rPr>
                <w:rFonts w:hint="eastAsia"/>
              </w:rPr>
              <w:t>：</w:t>
            </w:r>
            <w:r>
              <w:rPr>
                <w:rFonts w:hint="default"/>
              </w:rPr>
              <w:t>282~338</w:t>
            </w:r>
            <w:r>
              <w:rPr>
                <w:rFonts w:hint="eastAsia"/>
              </w:rPr>
              <w:t>，相对密度</w:t>
            </w:r>
            <w:r>
              <w:rPr>
                <w:rFonts w:hint="eastAsia"/>
                <w:lang w:eastAsia="zh-CN"/>
              </w:rPr>
              <w:t>（</w:t>
            </w:r>
            <w:r>
              <w:rPr>
                <w:rFonts w:hint="eastAsia"/>
              </w:rPr>
              <w:t>空气</w:t>
            </w:r>
            <w:r>
              <w:rPr>
                <w:rFonts w:hint="default"/>
              </w:rPr>
              <w:t>=1</w:t>
            </w:r>
            <w:r>
              <w:rPr>
                <w:rFonts w:hint="eastAsia"/>
                <w:lang w:eastAsia="zh-CN"/>
              </w:rPr>
              <w:t>）</w:t>
            </w:r>
            <w:r>
              <w:rPr>
                <w:rFonts w:hint="eastAsia"/>
              </w:rPr>
              <w:t>：</w:t>
            </w:r>
            <w:r>
              <w:rPr>
                <w:rFonts w:hint="default"/>
              </w:rPr>
              <w:t>4</w:t>
            </w:r>
            <w:r>
              <w:rPr>
                <w:rFonts w:hint="eastAsia"/>
              </w:rPr>
              <w:t>，相对密度</w:t>
            </w:r>
            <w:r>
              <w:rPr>
                <w:rFonts w:hint="eastAsia"/>
                <w:lang w:eastAsia="zh-CN"/>
              </w:rPr>
              <w:t>（</w:t>
            </w:r>
            <w:r>
              <w:rPr>
                <w:rFonts w:hint="eastAsia"/>
              </w:rPr>
              <w:t>水＝</w:t>
            </w:r>
            <w:r>
              <w:rPr>
                <w:rFonts w:hint="default"/>
              </w:rPr>
              <w:t>1</w:t>
            </w:r>
            <w:r>
              <w:rPr>
                <w:rFonts w:hint="eastAsia"/>
              </w:rPr>
              <w:t>：</w:t>
            </w:r>
            <w:r>
              <w:rPr>
                <w:rFonts w:hint="default"/>
              </w:rPr>
              <w:t>0.87~0.9</w:t>
            </w:r>
            <w:r>
              <w:rPr>
                <w:rFonts w:hint="eastAsia"/>
              </w:rPr>
              <w:t>，燃烧性：易燃，蒸汽压</w:t>
            </w:r>
            <w:r>
              <w:rPr>
                <w:rFonts w:hint="eastAsia"/>
                <w:lang w:eastAsia="zh-CN"/>
              </w:rPr>
              <w:t>（</w:t>
            </w:r>
            <w:r>
              <w:rPr>
                <w:rFonts w:hint="default"/>
              </w:rPr>
              <w:t>kPa</w:t>
            </w:r>
            <w:r>
              <w:rPr>
                <w:rFonts w:hint="eastAsia"/>
                <w:lang w:eastAsia="zh-CN"/>
              </w:rPr>
              <w:t>）</w:t>
            </w:r>
            <w:r>
              <w:rPr>
                <w:rFonts w:hint="eastAsia"/>
              </w:rPr>
              <w:t>：</w:t>
            </w:r>
            <w:r>
              <w:rPr>
                <w:rFonts w:hint="default"/>
              </w:rPr>
              <w:t>4.0</w:t>
            </w:r>
            <w:r>
              <w:rPr>
                <w:rFonts w:hint="eastAsia"/>
              </w:rPr>
              <w:t>，引燃温度</w:t>
            </w:r>
            <w:r>
              <w:rPr>
                <w:rFonts w:hint="eastAsia"/>
                <w:lang w:eastAsia="zh-CN"/>
              </w:rPr>
              <w:t>（</w:t>
            </w:r>
            <w:r>
              <w:rPr>
                <w:rFonts w:hint="default" w:ascii="Times New Roman" w:hAnsi="Times New Roman" w:cs="Times New Roman"/>
                <w:lang w:val="en-US" w:eastAsia="zh-CN"/>
              </w:rPr>
              <w:t>℃</w:t>
            </w:r>
            <w:r>
              <w:rPr>
                <w:rFonts w:hint="eastAsia"/>
                <w:lang w:eastAsia="zh-CN"/>
              </w:rPr>
              <w:t>）</w:t>
            </w:r>
            <w:r>
              <w:rPr>
                <w:rFonts w:hint="eastAsia"/>
              </w:rPr>
              <w:t>：</w:t>
            </w:r>
            <w:r>
              <w:rPr>
                <w:rFonts w:hint="default"/>
              </w:rPr>
              <w:t>257</w:t>
            </w:r>
            <w:r>
              <w:rPr>
                <w:rFonts w:hint="eastAsia"/>
              </w:rPr>
              <w:t>，闪点</w:t>
            </w:r>
            <w:r>
              <w:rPr>
                <w:rFonts w:hint="eastAsia"/>
                <w:lang w:eastAsia="zh-CN"/>
              </w:rPr>
              <w:t>（</w:t>
            </w:r>
            <w:r>
              <w:rPr>
                <w:rFonts w:hint="default" w:ascii="Times New Roman" w:hAnsi="Times New Roman" w:cs="Times New Roman"/>
                <w:lang w:eastAsia="zh-CN"/>
              </w:rPr>
              <w:t>℃</w:t>
            </w:r>
            <w:r>
              <w:rPr>
                <w:rFonts w:hint="eastAsia"/>
                <w:lang w:eastAsia="zh-CN"/>
              </w:rPr>
              <w:t>）</w:t>
            </w:r>
            <w:r>
              <w:rPr>
                <w:rFonts w:hint="eastAsia"/>
              </w:rPr>
              <w:t>：</w:t>
            </w:r>
            <w:r>
              <w:rPr>
                <w:rFonts w:hint="default"/>
              </w:rPr>
              <w:t>55</w:t>
            </w:r>
            <w:r>
              <w:rPr>
                <w:rFonts w:hint="eastAsia"/>
              </w:rPr>
              <w:t>，易燃。遇明火、高热或与氧化剂接触，有引起燃烧爆炸的危险。若遇高热，容器内压增大，有开裂和爆炸的危险。燃烧</w:t>
            </w:r>
            <w:r>
              <w:rPr>
                <w:rFonts w:hint="eastAsia"/>
                <w:lang w:eastAsia="zh-CN"/>
              </w:rPr>
              <w:t>（</w:t>
            </w:r>
            <w:r>
              <w:rPr>
                <w:rFonts w:hint="eastAsia"/>
              </w:rPr>
              <w:t>分解</w:t>
            </w:r>
            <w:r>
              <w:rPr>
                <w:rFonts w:hint="eastAsia"/>
                <w:lang w:eastAsia="zh-CN"/>
              </w:rPr>
              <w:t>）</w:t>
            </w:r>
            <w:r>
              <w:rPr>
                <w:rFonts w:hint="eastAsia"/>
              </w:rPr>
              <w:t>产物：一氧化碳、二氧化碳、硫氧化物。第</w:t>
            </w:r>
            <w:r>
              <w:rPr>
                <w:rFonts w:hint="default"/>
              </w:rPr>
              <w:t>3.3</w:t>
            </w:r>
            <w:r>
              <w:rPr>
                <w:rFonts w:hint="eastAsia"/>
              </w:rPr>
              <w:t>类高闪点易燃液体。</w:t>
            </w:r>
          </w:p>
        </w:tc>
      </w:tr>
    </w:tbl>
    <w:p>
      <w:pPr>
        <w:bidi w:val="0"/>
        <w:rPr>
          <w:rFonts w:hint="default"/>
          <w:lang w:val="en-US" w:eastAsia="zh-CN"/>
        </w:rPr>
      </w:pPr>
      <w:r>
        <w:rPr>
          <w:rFonts w:hint="eastAsia" w:ascii="宋体" w:hAnsi="宋体" w:eastAsia="宋体"/>
          <w:sz w:val="24"/>
          <w:szCs w:val="24"/>
        </w:rPr>
        <w:t>根据《建设项目环境风险评价技术导则》（</w:t>
      </w:r>
      <w:r>
        <w:rPr>
          <w:rFonts w:hint="default" w:ascii="Times New Roman" w:hAnsi="Times New Roman" w:eastAsia="Times New Roman"/>
          <w:sz w:val="24"/>
          <w:szCs w:val="24"/>
        </w:rPr>
        <w:t>HJ 169-2018</w:t>
      </w:r>
      <w:r>
        <w:rPr>
          <w:rFonts w:hint="eastAsia" w:ascii="宋体" w:hAnsi="宋体" w:eastAsia="宋体"/>
          <w:sz w:val="24"/>
          <w:szCs w:val="24"/>
        </w:rPr>
        <w:t>）附录</w:t>
      </w:r>
      <w:r>
        <w:rPr>
          <w:rFonts w:hint="default" w:ascii="Times New Roman" w:hAnsi="Times New Roman" w:eastAsia="Times New Roman"/>
          <w:sz w:val="24"/>
          <w:szCs w:val="24"/>
        </w:rPr>
        <w:t>B</w:t>
      </w:r>
      <w:r>
        <w:rPr>
          <w:rFonts w:hint="eastAsia" w:ascii="宋体" w:hAnsi="宋体" w:eastAsia="宋体"/>
          <w:sz w:val="24"/>
          <w:szCs w:val="24"/>
        </w:rPr>
        <w:t>，本项目涉及的环境风险物质为二氯异氰尿酸钠和柴油。</w:t>
      </w:r>
    </w:p>
    <w:p>
      <w:pPr>
        <w:rPr>
          <w:rFonts w:hint="default"/>
          <w:lang w:val="en-US" w:eastAsia="zh-CN"/>
        </w:rPr>
      </w:pPr>
    </w:p>
    <w:p>
      <w:pPr>
        <w:pStyle w:val="5"/>
        <w:bidi w:val="0"/>
        <w:rPr>
          <w:rFonts w:hint="default"/>
          <w:lang w:val="en-US" w:eastAsia="zh-CN"/>
        </w:rPr>
      </w:pPr>
      <w:r>
        <w:rPr>
          <w:rFonts w:hint="eastAsia"/>
          <w:lang w:val="en-US" w:eastAsia="zh-CN"/>
        </w:rPr>
        <w:t>风险潜势初判</w:t>
      </w:r>
    </w:p>
    <w:p>
      <w:pPr>
        <w:pStyle w:val="6"/>
        <w:bidi w:val="0"/>
        <w:rPr>
          <w:rFonts w:hint="default"/>
          <w:lang w:val="en-US" w:eastAsia="zh-CN"/>
        </w:rPr>
      </w:pPr>
      <w:r>
        <w:rPr>
          <w:rFonts w:hint="eastAsia"/>
          <w:lang w:val="en-US" w:eastAsia="zh-CN"/>
        </w:rPr>
        <w:t>环境风险潜势划分</w:t>
      </w:r>
    </w:p>
    <w:p>
      <w:pPr>
        <w:spacing w:beforeLines="0" w:afterLines="0"/>
        <w:jc w:val="left"/>
        <w:rPr>
          <w:rFonts w:hint="eastAsia" w:ascii="宋体" w:hAnsi="宋体" w:eastAsia="宋体"/>
          <w:sz w:val="24"/>
          <w:szCs w:val="24"/>
        </w:rPr>
      </w:pPr>
      <w:r>
        <w:rPr>
          <w:rFonts w:hint="eastAsia" w:ascii="宋体" w:hAnsi="宋体" w:eastAsia="宋体"/>
          <w:sz w:val="24"/>
          <w:szCs w:val="24"/>
        </w:rPr>
        <w:t>建设项目环境风险潜势划分为Ⅰ、Ⅱ、Ⅲ、Ⅳ</w:t>
      </w:r>
      <w:r>
        <w:rPr>
          <w:rFonts w:hint="eastAsia" w:eastAsia="宋体"/>
          <w:sz w:val="24"/>
          <w:szCs w:val="24"/>
          <w:lang w:eastAsia="zh-CN"/>
        </w:rPr>
        <w:t>、</w:t>
      </w:r>
      <w:r>
        <w:rPr>
          <w:rFonts w:hint="eastAsia" w:ascii="宋体" w:hAnsi="宋体" w:eastAsia="宋体"/>
          <w:sz w:val="24"/>
          <w:szCs w:val="24"/>
        </w:rPr>
        <w:t>Ⅳ</w:t>
      </w:r>
      <w:r>
        <w:rPr>
          <w:rFonts w:hint="default" w:ascii="Times New Roman" w:hAnsi="Times New Roman" w:eastAsia="Times New Roman"/>
          <w:sz w:val="24"/>
          <w:szCs w:val="24"/>
        </w:rPr>
        <w:t>+</w:t>
      </w:r>
      <w:r>
        <w:rPr>
          <w:rFonts w:hint="eastAsia" w:ascii="宋体" w:hAnsi="宋体" w:eastAsia="宋体"/>
          <w:sz w:val="24"/>
          <w:szCs w:val="24"/>
        </w:rPr>
        <w:t>级。根据建设项目涉及的物质和工艺系统的危险性及其所在地的环境敏感程度，结合事故情形下环境影响途径，对建设项目潜在环境危害程度进行概化分析，按照下表确定环境风险潜势。</w:t>
      </w:r>
    </w:p>
    <w:p>
      <w:pPr>
        <w:pStyle w:val="29"/>
        <w:bidi w:val="0"/>
        <w:rPr>
          <w:rFonts w:hint="eastAsia"/>
        </w:rPr>
      </w:pPr>
      <w:r>
        <w:rPr>
          <w:rFonts w:hint="eastAsia"/>
        </w:rPr>
        <w:t>表</w:t>
      </w:r>
      <w:r>
        <w:rPr>
          <w:rFonts w:hint="eastAsia"/>
          <w:lang w:val="en-US" w:eastAsia="zh-CN"/>
        </w:rPr>
        <w:t xml:space="preserve">6.1-2  </w:t>
      </w:r>
      <w:r>
        <w:rPr>
          <w:rFonts w:hint="eastAsia"/>
        </w:rPr>
        <w:t>建设项目环境风险潜势划分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1853"/>
        <w:gridCol w:w="1853"/>
        <w:gridCol w:w="1853"/>
        <w:gridCol w:w="1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9" w:type="dxa"/>
            <w:vMerge w:val="restar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环境敏感程度（E）</w:t>
            </w:r>
          </w:p>
        </w:tc>
        <w:tc>
          <w:tcPr>
            <w:tcW w:w="7413" w:type="dxa"/>
            <w:gridSpan w:val="4"/>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9" w:type="dxa"/>
            <w:vMerge w:val="continue"/>
            <w:tcBorders>
              <w:tl2br w:val="nil"/>
              <w:tr2bl w:val="nil"/>
            </w:tcBorders>
            <w:vAlign w:val="center"/>
          </w:tcPr>
          <w:p>
            <w:pPr>
              <w:pStyle w:val="30"/>
              <w:widowControl w:val="0"/>
              <w:jc w:val="center"/>
              <w:rPr>
                <w:rFonts w:hint="default"/>
                <w:b/>
                <w:bCs/>
                <w:vertAlign w:val="baseline"/>
                <w:lang w:val="en-US" w:eastAsia="zh-CN"/>
              </w:rPr>
            </w:pPr>
          </w:p>
        </w:tc>
        <w:tc>
          <w:tcPr>
            <w:tcW w:w="1853"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极高危害（P1）</w:t>
            </w:r>
          </w:p>
        </w:tc>
        <w:tc>
          <w:tcPr>
            <w:tcW w:w="1853"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高度危害（P2）</w:t>
            </w:r>
          </w:p>
        </w:tc>
        <w:tc>
          <w:tcPr>
            <w:tcW w:w="1853"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中度危害（P3）</w:t>
            </w:r>
          </w:p>
        </w:tc>
        <w:tc>
          <w:tcPr>
            <w:tcW w:w="1854"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轻度危害（P4）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环境高度敏感区（E1）</w:t>
            </w:r>
          </w:p>
        </w:tc>
        <w:tc>
          <w:tcPr>
            <w:tcW w:w="1853"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Ⅳ</w:t>
            </w:r>
            <w:r>
              <w:rPr>
                <w:rFonts w:hint="eastAsia"/>
                <w:vertAlign w:val="baseline"/>
                <w:lang w:val="en-US" w:eastAsia="zh-CN"/>
              </w:rPr>
              <w:t>+</w:t>
            </w:r>
          </w:p>
        </w:tc>
        <w:tc>
          <w:tcPr>
            <w:tcW w:w="1853"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Ⅳ</w:t>
            </w:r>
          </w:p>
        </w:tc>
        <w:tc>
          <w:tcPr>
            <w:tcW w:w="1853"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Ⅲ</w:t>
            </w:r>
          </w:p>
        </w:tc>
        <w:tc>
          <w:tcPr>
            <w:tcW w:w="185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9"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环境中度敏感区（E2）</w:t>
            </w:r>
          </w:p>
        </w:tc>
        <w:tc>
          <w:tcPr>
            <w:tcW w:w="1853"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Ⅳ</w:t>
            </w:r>
          </w:p>
        </w:tc>
        <w:tc>
          <w:tcPr>
            <w:tcW w:w="1853"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Ⅲ</w:t>
            </w:r>
          </w:p>
        </w:tc>
        <w:tc>
          <w:tcPr>
            <w:tcW w:w="1853"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Ⅲ</w:t>
            </w:r>
          </w:p>
        </w:tc>
        <w:tc>
          <w:tcPr>
            <w:tcW w:w="185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9"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环境低度敏感区（E3）</w:t>
            </w:r>
          </w:p>
        </w:tc>
        <w:tc>
          <w:tcPr>
            <w:tcW w:w="1853"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Ⅲ</w:t>
            </w:r>
          </w:p>
        </w:tc>
        <w:tc>
          <w:tcPr>
            <w:tcW w:w="1853"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Ⅲ</w:t>
            </w:r>
          </w:p>
        </w:tc>
        <w:tc>
          <w:tcPr>
            <w:tcW w:w="1853"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Ⅱ</w:t>
            </w:r>
          </w:p>
        </w:tc>
        <w:tc>
          <w:tcPr>
            <w:tcW w:w="1854"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30"/>
              <w:widowControl w:val="0"/>
              <w:jc w:val="both"/>
              <w:rPr>
                <w:rFonts w:hint="default"/>
                <w:vertAlign w:val="baseline"/>
                <w:lang w:val="en-US" w:eastAsia="zh-CN"/>
              </w:rPr>
            </w:pPr>
            <w:r>
              <w:rPr>
                <w:rFonts w:hint="eastAsia"/>
                <w:vertAlign w:val="baseline"/>
                <w:lang w:val="en-US" w:eastAsia="zh-CN"/>
              </w:rPr>
              <w:t>注：</w:t>
            </w:r>
            <w:r>
              <w:rPr>
                <w:rFonts w:hint="default"/>
                <w:vertAlign w:val="baseline"/>
                <w:lang w:val="en-US" w:eastAsia="zh-CN"/>
              </w:rPr>
              <w:t>Ⅳ</w:t>
            </w:r>
            <w:r>
              <w:rPr>
                <w:rFonts w:hint="eastAsia"/>
                <w:vertAlign w:val="baseline"/>
                <w:lang w:val="en-US" w:eastAsia="zh-CN"/>
              </w:rPr>
              <w:t>+为极高环境风险</w:t>
            </w:r>
          </w:p>
        </w:tc>
      </w:tr>
    </w:tbl>
    <w:p>
      <w:pPr>
        <w:pStyle w:val="6"/>
        <w:bidi w:val="0"/>
        <w:rPr>
          <w:rFonts w:hint="default"/>
          <w:lang w:val="en-US" w:eastAsia="zh-CN"/>
        </w:rPr>
      </w:pPr>
      <w:r>
        <w:rPr>
          <w:rFonts w:hint="eastAsia"/>
          <w:lang w:val="en-US" w:eastAsia="zh-CN"/>
        </w:rPr>
        <w:t>风险潜势判断</w:t>
      </w:r>
    </w:p>
    <w:p>
      <w:pPr>
        <w:bidi w:val="0"/>
        <w:rPr>
          <w:rFonts w:hint="eastAsia"/>
        </w:rPr>
      </w:pPr>
      <w:r>
        <w:rPr>
          <w:rFonts w:hint="eastAsia"/>
        </w:rPr>
        <w:t>依据导则附录</w:t>
      </w:r>
      <w:r>
        <w:rPr>
          <w:rFonts w:hint="default"/>
        </w:rPr>
        <w:t>B</w:t>
      </w:r>
      <w:r>
        <w:rPr>
          <w:rFonts w:hint="eastAsia"/>
        </w:rPr>
        <w:t>，确定项目涉及的危险物质，并且以危险物质使用情况和贮存情况</w:t>
      </w:r>
      <w:r>
        <w:rPr>
          <w:rFonts w:hint="eastAsia"/>
          <w:lang w:eastAsia="zh-CN"/>
        </w:rPr>
        <w:t>为</w:t>
      </w:r>
      <w:r>
        <w:rPr>
          <w:rFonts w:hint="eastAsia"/>
        </w:rPr>
        <w:t>基础，根据导则附录</w:t>
      </w:r>
      <w:r>
        <w:rPr>
          <w:rFonts w:hint="default"/>
        </w:rPr>
        <w:t>C</w:t>
      </w:r>
      <w:r>
        <w:rPr>
          <w:rFonts w:hint="eastAsia"/>
        </w:rPr>
        <w:t>进行危险物质存在量（如存在量呈动态变化，则按年度内最大存在量计算）与临界量比值（</w:t>
      </w:r>
      <w:r>
        <w:rPr>
          <w:rFonts w:hint="default"/>
        </w:rPr>
        <w:t>Q</w:t>
      </w:r>
      <w:r>
        <w:rPr>
          <w:rFonts w:hint="eastAsia"/>
        </w:rPr>
        <w:t>）的定量估算。</w:t>
      </w:r>
    </w:p>
    <w:p>
      <w:pPr>
        <w:bidi w:val="0"/>
        <w:rPr>
          <w:rFonts w:hint="eastAsia"/>
        </w:rPr>
      </w:pPr>
      <w:r>
        <w:rPr>
          <w:rFonts w:hint="eastAsia"/>
        </w:rPr>
        <w:t>当只涉及一种危险物质时，计算该物质的总量与其临界量的比值，即为</w:t>
      </w:r>
      <w:r>
        <w:rPr>
          <w:rFonts w:hint="default"/>
        </w:rPr>
        <w:t>Q</w:t>
      </w:r>
      <w:r>
        <w:rPr>
          <w:rFonts w:hint="eastAsia"/>
        </w:rPr>
        <w:t>。</w:t>
      </w:r>
    </w:p>
    <w:p>
      <w:pPr>
        <w:bidi w:val="0"/>
        <w:rPr>
          <w:rFonts w:hint="eastAsia"/>
        </w:rPr>
      </w:pPr>
      <w:r>
        <w:rPr>
          <w:rFonts w:hint="eastAsia"/>
        </w:rPr>
        <w:t>当存在多种危险物质时，则按下式计算物质数量与临界量比值（</w:t>
      </w:r>
      <w:r>
        <w:rPr>
          <w:rFonts w:hint="default"/>
        </w:rPr>
        <w:t>Q</w:t>
      </w:r>
      <w:r>
        <w:rPr>
          <w:rFonts w:hint="eastAsia"/>
        </w:rPr>
        <w:t>）：</w:t>
      </w:r>
    </w:p>
    <w:p>
      <w:pPr>
        <w:spacing w:beforeLines="0" w:afterLines="0"/>
        <w:ind w:left="0" w:leftChars="0" w:firstLine="0" w:firstLineChars="0"/>
        <w:jc w:val="left"/>
        <w:rPr>
          <w:rFonts w:hint="eastAsia" w:ascii="宋体" w:hAnsi="宋体" w:eastAsia="宋体"/>
          <w:sz w:val="24"/>
          <w:szCs w:val="24"/>
          <w:lang w:val="en-US" w:eastAsia="zh-CN"/>
        </w:rPr>
      </w:pPr>
      <m:oMathPara>
        <m:oMath>
          <m:r>
            <m:rPr>
              <m:sty m:val="p"/>
            </m:rPr>
            <w:rPr>
              <w:rFonts w:hint="default" w:ascii="Cambria Math" w:hAnsi="Cambria Math" w:eastAsia="宋体" w:cs="Times New Roman"/>
              <w:kern w:val="2"/>
              <w:sz w:val="24"/>
              <w:szCs w:val="24"/>
              <w:lang w:eastAsia="zh-CN"/>
            </w:rPr>
            <m:t>Q</m:t>
          </m:r>
          <m:r>
            <m:rPr>
              <m:sty m:val="p"/>
            </m:rPr>
            <w:rPr>
              <w:rFonts w:ascii="Cambria Math" w:hAnsi="Cambria Math" w:cs="Times New Roman"/>
              <w:kern w:val="2"/>
              <w:sz w:val="24"/>
              <w:szCs w:val="24"/>
            </w:rPr>
            <m:t>=</m:t>
          </m:r>
          <m:f>
            <m:fPr>
              <m:ctrlPr>
                <w:rPr>
                  <w:rFonts w:ascii="Cambria Math" w:hAnsi="Cambria Math" w:cs="Times New Roman"/>
                  <w:kern w:val="2"/>
                  <w:sz w:val="24"/>
                  <w:szCs w:val="24"/>
                </w:rPr>
              </m:ctrlPr>
            </m:fPr>
            <m:num>
              <m:sSub>
                <m:sSubPr>
                  <m:ctrlPr>
                    <w:rPr>
                      <w:rFonts w:hint="default" w:ascii="Cambria Math" w:hAnsi="Cambria Math" w:cs="Times New Roman"/>
                      <w:kern w:val="2"/>
                      <w:sz w:val="24"/>
                      <w:szCs w:val="24"/>
                      <w:lang w:val="en-US" w:eastAsia="zh-CN"/>
                    </w:rPr>
                  </m:ctrlPr>
                </m:sSubPr>
                <m:e>
                  <m:r>
                    <m:rPr>
                      <m:sty m:val="p"/>
                    </m:rPr>
                    <w:rPr>
                      <w:rFonts w:hint="default" w:ascii="Cambria Math" w:hAnsi="Cambria Math" w:cs="Times New Roman"/>
                      <w:kern w:val="2"/>
                      <w:sz w:val="24"/>
                      <w:szCs w:val="24"/>
                      <w:lang w:val="en-US" w:eastAsia="zh-CN"/>
                    </w:rPr>
                    <m:t>q</m:t>
                  </m:r>
                  <m:ctrlPr>
                    <w:rPr>
                      <w:rFonts w:hint="default" w:ascii="Cambria Math" w:hAnsi="Cambria Math" w:cs="Times New Roman"/>
                      <w:kern w:val="2"/>
                      <w:sz w:val="24"/>
                      <w:szCs w:val="24"/>
                      <w:lang w:val="en-US" w:eastAsia="zh-CN"/>
                    </w:rPr>
                  </m:ctrlPr>
                </m:e>
                <m:sub>
                  <m:r>
                    <m:rPr>
                      <m:sty m:val="p"/>
                    </m:rPr>
                    <w:rPr>
                      <w:rFonts w:hint="default" w:ascii="Cambria Math" w:hAnsi="Cambria Math" w:cs="Times New Roman"/>
                      <w:kern w:val="2"/>
                      <w:sz w:val="24"/>
                      <w:szCs w:val="24"/>
                      <w:lang w:val="en-US" w:eastAsia="zh-CN"/>
                    </w:rPr>
                    <m:t>1</m:t>
                  </m:r>
                  <m:ctrlPr>
                    <w:rPr>
                      <w:rFonts w:hint="default" w:ascii="Cambria Math" w:hAnsi="Cambria Math" w:cs="Times New Roman"/>
                      <w:kern w:val="2"/>
                      <w:sz w:val="24"/>
                      <w:szCs w:val="24"/>
                      <w:lang w:val="en-US" w:eastAsia="zh-CN"/>
                    </w:rPr>
                  </m:ctrlPr>
                </m:sub>
              </m:sSub>
              <m:ctrlPr>
                <w:rPr>
                  <w:rFonts w:ascii="Cambria Math" w:hAnsi="Cambria Math" w:cs="Times New Roman"/>
                  <w:kern w:val="2"/>
                  <w:sz w:val="24"/>
                  <w:szCs w:val="24"/>
                </w:rPr>
              </m:ctrlPr>
            </m:num>
            <m:den>
              <m:sSub>
                <m:sSubPr>
                  <m:ctrlPr>
                    <w:rPr>
                      <w:rFonts w:ascii="Cambria Math" w:hAnsi="Cambria Math" w:cs="Times New Roman"/>
                      <w:kern w:val="2"/>
                      <w:sz w:val="24"/>
                      <w:szCs w:val="24"/>
                    </w:rPr>
                  </m:ctrlPr>
                </m:sSubPr>
                <m:e>
                  <m:r>
                    <m:rPr>
                      <m:sty m:val="p"/>
                    </m:rPr>
                    <w:rPr>
                      <w:rFonts w:hint="default" w:ascii="Cambria Math" w:hAnsi="Cambria Math" w:cs="Times New Roman"/>
                      <w:kern w:val="2"/>
                      <w:sz w:val="24"/>
                      <w:szCs w:val="24"/>
                      <w:lang w:val="en-US" w:eastAsia="zh-CN"/>
                    </w:rPr>
                    <m:t>Q</m:t>
                  </m:r>
                  <m:ctrlPr>
                    <w:rPr>
                      <w:rFonts w:ascii="Cambria Math" w:hAnsi="Cambria Math" w:cs="Times New Roman"/>
                      <w:kern w:val="2"/>
                      <w:sz w:val="24"/>
                      <w:szCs w:val="24"/>
                    </w:rPr>
                  </m:ctrlPr>
                </m:e>
                <m:sub>
                  <m:r>
                    <m:rPr>
                      <m:sty m:val="p"/>
                    </m:rPr>
                    <w:rPr>
                      <w:rFonts w:hint="default" w:ascii="Cambria Math" w:hAnsi="Cambria Math" w:cs="Times New Roman"/>
                      <w:kern w:val="2"/>
                      <w:sz w:val="24"/>
                      <w:szCs w:val="24"/>
                      <w:lang w:val="en-US" w:eastAsia="zh-CN"/>
                    </w:rPr>
                    <m:t>1</m:t>
                  </m:r>
                  <m:ctrlPr>
                    <w:rPr>
                      <w:rFonts w:ascii="Cambria Math" w:hAnsi="Cambria Math" w:cs="Times New Roman"/>
                      <w:kern w:val="2"/>
                      <w:sz w:val="24"/>
                      <w:szCs w:val="24"/>
                    </w:rPr>
                  </m:ctrlPr>
                </m:sub>
              </m:sSub>
              <m:ctrlPr>
                <w:rPr>
                  <w:rFonts w:ascii="Cambria Math" w:hAnsi="Cambria Math" w:cs="Times New Roman"/>
                  <w:kern w:val="2"/>
                  <w:sz w:val="24"/>
                  <w:szCs w:val="24"/>
                </w:rPr>
              </m:ctrlPr>
            </m:den>
          </m:f>
          <m:r>
            <m:rPr>
              <m:sty m:val="p"/>
            </m:rPr>
            <w:rPr>
              <w:rFonts w:hint="default" w:ascii="Cambria Math" w:hAnsi="Cambria Math" w:cs="Times New Roman"/>
              <w:kern w:val="2"/>
              <w:sz w:val="24"/>
              <w:szCs w:val="24"/>
              <w:lang w:val="en-US" w:eastAsia="zh-CN"/>
            </w:rPr>
            <m:t>+</m:t>
          </m:r>
          <m:f>
            <m:fPr>
              <m:ctrlPr>
                <w:rPr>
                  <w:rFonts w:hint="default" w:ascii="Cambria Math" w:hAnsi="Cambria Math" w:cs="Times New Roman"/>
                  <w:kern w:val="2"/>
                  <w:sz w:val="24"/>
                  <w:szCs w:val="24"/>
                  <w:lang w:val="en-US" w:eastAsia="zh-CN"/>
                </w:rPr>
              </m:ctrlPr>
            </m:fPr>
            <m:num>
              <m:sSub>
                <m:sSubPr>
                  <m:ctrlPr>
                    <w:rPr>
                      <w:rFonts w:hint="default" w:ascii="Cambria Math" w:hAnsi="Cambria Math" w:cs="Times New Roman"/>
                      <w:kern w:val="2"/>
                      <w:sz w:val="24"/>
                      <w:szCs w:val="24"/>
                      <w:lang w:val="en-US" w:eastAsia="zh-CN"/>
                    </w:rPr>
                  </m:ctrlPr>
                </m:sSubPr>
                <m:e>
                  <m:r>
                    <m:rPr>
                      <m:sty m:val="p"/>
                    </m:rPr>
                    <w:rPr>
                      <w:rFonts w:hint="eastAsia" w:ascii="Cambria Math" w:hAnsi="Cambria Math" w:cs="Times New Roman"/>
                      <w:kern w:val="2"/>
                      <w:sz w:val="24"/>
                      <w:szCs w:val="24"/>
                      <w:lang w:val="en-US" w:eastAsia="zh-CN"/>
                    </w:rPr>
                    <m:t>q</m:t>
                  </m:r>
                  <m:ctrlPr>
                    <w:rPr>
                      <w:rFonts w:hint="default" w:ascii="Cambria Math" w:hAnsi="Cambria Math" w:cs="Times New Roman"/>
                      <w:kern w:val="2"/>
                      <w:sz w:val="24"/>
                      <w:szCs w:val="24"/>
                      <w:lang w:val="en-US" w:eastAsia="zh-CN"/>
                    </w:rPr>
                  </m:ctrlPr>
                </m:e>
                <m:sub>
                  <m:r>
                    <m:rPr>
                      <m:sty m:val="p"/>
                    </m:rPr>
                    <w:rPr>
                      <w:rFonts w:hint="default" w:ascii="Cambria Math" w:hAnsi="Cambria Math" w:cs="Times New Roman"/>
                      <w:kern w:val="2"/>
                      <w:sz w:val="24"/>
                      <w:szCs w:val="24"/>
                      <w:lang w:val="en-US" w:eastAsia="zh-CN"/>
                    </w:rPr>
                    <m:t>2</m:t>
                  </m:r>
                  <m:ctrlPr>
                    <w:rPr>
                      <w:rFonts w:hint="default" w:ascii="Cambria Math" w:hAnsi="Cambria Math" w:cs="Times New Roman"/>
                      <w:kern w:val="2"/>
                      <w:sz w:val="24"/>
                      <w:szCs w:val="24"/>
                      <w:lang w:val="en-US" w:eastAsia="zh-CN"/>
                    </w:rPr>
                  </m:ctrlPr>
                </m:sub>
              </m:sSub>
              <m:ctrlPr>
                <w:rPr>
                  <w:rFonts w:hint="default" w:ascii="Cambria Math" w:hAnsi="Cambria Math" w:cs="Times New Roman"/>
                  <w:kern w:val="2"/>
                  <w:sz w:val="24"/>
                  <w:szCs w:val="24"/>
                  <w:lang w:val="en-US" w:eastAsia="zh-CN"/>
                </w:rPr>
              </m:ctrlPr>
            </m:num>
            <m:den>
              <m:sSub>
                <m:sSubPr>
                  <m:ctrlPr>
                    <w:rPr>
                      <w:rFonts w:hint="default" w:ascii="Cambria Math" w:hAnsi="Cambria Math" w:cs="Times New Roman"/>
                      <w:kern w:val="2"/>
                      <w:sz w:val="24"/>
                      <w:szCs w:val="24"/>
                      <w:lang w:val="en-US" w:eastAsia="zh-CN"/>
                    </w:rPr>
                  </m:ctrlPr>
                </m:sSubPr>
                <m:e>
                  <m:r>
                    <m:rPr>
                      <m:sty m:val="p"/>
                    </m:rPr>
                    <w:rPr>
                      <w:rFonts w:hint="default" w:ascii="Cambria Math" w:hAnsi="Cambria Math" w:cs="Times New Roman"/>
                      <w:kern w:val="2"/>
                      <w:sz w:val="24"/>
                      <w:szCs w:val="24"/>
                      <w:lang w:val="en-US" w:eastAsia="zh-CN"/>
                    </w:rPr>
                    <m:t>Q</m:t>
                  </m:r>
                  <m:ctrlPr>
                    <w:rPr>
                      <w:rFonts w:hint="default" w:ascii="Cambria Math" w:hAnsi="Cambria Math" w:cs="Times New Roman"/>
                      <w:kern w:val="2"/>
                      <w:sz w:val="24"/>
                      <w:szCs w:val="24"/>
                      <w:lang w:val="en-US" w:eastAsia="zh-CN"/>
                    </w:rPr>
                  </m:ctrlPr>
                </m:e>
                <m:sub>
                  <m:r>
                    <m:rPr>
                      <m:sty m:val="p"/>
                    </m:rPr>
                    <w:rPr>
                      <w:rFonts w:hint="default" w:ascii="Cambria Math" w:hAnsi="Cambria Math" w:cs="Times New Roman"/>
                      <w:kern w:val="2"/>
                      <w:sz w:val="24"/>
                      <w:szCs w:val="24"/>
                      <w:lang w:val="en-US" w:eastAsia="zh-CN"/>
                    </w:rPr>
                    <m:t>2</m:t>
                  </m:r>
                  <m:ctrlPr>
                    <w:rPr>
                      <w:rFonts w:hint="default" w:ascii="Cambria Math" w:hAnsi="Cambria Math" w:cs="Times New Roman"/>
                      <w:kern w:val="2"/>
                      <w:sz w:val="24"/>
                      <w:szCs w:val="24"/>
                      <w:lang w:val="en-US" w:eastAsia="zh-CN"/>
                    </w:rPr>
                  </m:ctrlPr>
                </m:sub>
              </m:sSub>
              <m:ctrlPr>
                <w:rPr>
                  <w:rFonts w:hint="default" w:ascii="Cambria Math" w:hAnsi="Cambria Math" w:cs="Times New Roman"/>
                  <w:kern w:val="2"/>
                  <w:sz w:val="24"/>
                  <w:szCs w:val="24"/>
                  <w:lang w:val="en-US" w:eastAsia="zh-CN"/>
                </w:rPr>
              </m:ctrlPr>
            </m:den>
          </m:f>
          <m:r>
            <m:rPr>
              <m:sty m:val="p"/>
            </m:rPr>
            <w:rPr>
              <w:rFonts w:hint="default" w:ascii="Cambria Math" w:hAnsi="Cambria Math" w:cs="Times New Roman"/>
              <w:kern w:val="2"/>
              <w:sz w:val="24"/>
              <w:szCs w:val="24"/>
              <w:lang w:val="en-US" w:eastAsia="zh-CN"/>
            </w:rPr>
            <m:t>+</m:t>
          </m:r>
          <m:r>
            <m:rPr>
              <m:sty m:val="p"/>
            </m:rPr>
            <w:rPr>
              <w:rFonts w:ascii="Cambria Math" w:hAnsi="Cambria Math" w:cs="Times New Roman"/>
              <w:kern w:val="2"/>
              <w:sz w:val="24"/>
              <w:szCs w:val="24"/>
              <w:lang w:val="en-US"/>
            </w:rPr>
            <m:t>⋯</m:t>
          </m:r>
          <m:r>
            <m:rPr>
              <m:sty m:val="p"/>
            </m:rPr>
            <w:rPr>
              <w:rFonts w:hint="default" w:ascii="Cambria Math" w:hAnsi="Cambria Math" w:cs="Times New Roman"/>
              <w:kern w:val="2"/>
              <w:sz w:val="24"/>
              <w:szCs w:val="24"/>
              <w:lang w:val="en-US" w:eastAsia="zh-CN"/>
            </w:rPr>
            <m:t>+</m:t>
          </m:r>
          <m:f>
            <m:fPr>
              <m:ctrlPr>
                <w:rPr>
                  <w:rFonts w:hint="default" w:ascii="Cambria Math" w:hAnsi="Cambria Math" w:cs="Times New Roman"/>
                  <w:kern w:val="2"/>
                  <w:sz w:val="24"/>
                  <w:szCs w:val="24"/>
                  <w:lang w:val="en-US" w:eastAsia="zh-CN"/>
                </w:rPr>
              </m:ctrlPr>
            </m:fPr>
            <m:num>
              <m:sSub>
                <m:sSubPr>
                  <m:ctrlPr>
                    <w:rPr>
                      <w:rFonts w:hint="default" w:ascii="Cambria Math" w:hAnsi="Cambria Math" w:cs="Times New Roman"/>
                      <w:kern w:val="2"/>
                      <w:sz w:val="24"/>
                      <w:szCs w:val="24"/>
                      <w:lang w:val="en-US" w:eastAsia="zh-CN"/>
                    </w:rPr>
                  </m:ctrlPr>
                </m:sSubPr>
                <m:e>
                  <m:r>
                    <m:rPr>
                      <m:sty m:val="p"/>
                    </m:rPr>
                    <w:rPr>
                      <w:rFonts w:hint="eastAsia" w:ascii="Cambria Math" w:hAnsi="Cambria Math" w:cs="Times New Roman"/>
                      <w:kern w:val="2"/>
                      <w:sz w:val="24"/>
                      <w:szCs w:val="24"/>
                      <w:lang w:val="en-US" w:eastAsia="zh-CN"/>
                    </w:rPr>
                    <m:t>q</m:t>
                  </m:r>
                  <m:ctrlPr>
                    <w:rPr>
                      <w:rFonts w:hint="default" w:ascii="Cambria Math" w:hAnsi="Cambria Math" w:cs="Times New Roman"/>
                      <w:kern w:val="2"/>
                      <w:sz w:val="24"/>
                      <w:szCs w:val="24"/>
                      <w:lang w:val="en-US" w:eastAsia="zh-CN"/>
                    </w:rPr>
                  </m:ctrlPr>
                </m:e>
                <m:sub>
                  <m:r>
                    <m:rPr>
                      <m:sty m:val="p"/>
                    </m:rPr>
                    <w:rPr>
                      <w:rFonts w:hint="default" w:ascii="Cambria Math" w:hAnsi="Cambria Math" w:cs="Times New Roman"/>
                      <w:kern w:val="2"/>
                      <w:sz w:val="24"/>
                      <w:szCs w:val="24"/>
                      <w:lang w:val="en-US" w:eastAsia="zh-CN"/>
                    </w:rPr>
                    <m:t>n</m:t>
                  </m:r>
                  <m:ctrlPr>
                    <w:rPr>
                      <w:rFonts w:hint="default" w:ascii="Cambria Math" w:hAnsi="Cambria Math" w:cs="Times New Roman"/>
                      <w:kern w:val="2"/>
                      <w:sz w:val="24"/>
                      <w:szCs w:val="24"/>
                      <w:lang w:val="en-US" w:eastAsia="zh-CN"/>
                    </w:rPr>
                  </m:ctrlPr>
                </m:sub>
              </m:sSub>
              <m:ctrlPr>
                <w:rPr>
                  <w:rFonts w:hint="default" w:ascii="Cambria Math" w:hAnsi="Cambria Math" w:cs="Times New Roman"/>
                  <w:kern w:val="2"/>
                  <w:sz w:val="24"/>
                  <w:szCs w:val="24"/>
                  <w:lang w:val="en-US" w:eastAsia="zh-CN"/>
                </w:rPr>
              </m:ctrlPr>
            </m:num>
            <m:den>
              <m:sSub>
                <m:sSubPr>
                  <m:ctrlPr>
                    <w:rPr>
                      <w:rFonts w:hint="default" w:ascii="Cambria Math" w:hAnsi="Cambria Math" w:cs="Times New Roman"/>
                      <w:kern w:val="2"/>
                      <w:sz w:val="24"/>
                      <w:szCs w:val="24"/>
                      <w:lang w:val="en-US" w:eastAsia="zh-CN"/>
                    </w:rPr>
                  </m:ctrlPr>
                </m:sSubPr>
                <m:e>
                  <m:r>
                    <m:rPr>
                      <m:sty m:val="p"/>
                    </m:rPr>
                    <w:rPr>
                      <w:rFonts w:hint="default" w:ascii="Cambria Math" w:hAnsi="Cambria Math" w:cs="Times New Roman"/>
                      <w:kern w:val="2"/>
                      <w:sz w:val="24"/>
                      <w:szCs w:val="24"/>
                      <w:lang w:val="en-US" w:eastAsia="zh-CN"/>
                    </w:rPr>
                    <m:t>Q</m:t>
                  </m:r>
                  <m:ctrlPr>
                    <w:rPr>
                      <w:rFonts w:hint="default" w:ascii="Cambria Math" w:hAnsi="Cambria Math" w:cs="Times New Roman"/>
                      <w:kern w:val="2"/>
                      <w:sz w:val="24"/>
                      <w:szCs w:val="24"/>
                      <w:lang w:val="en-US" w:eastAsia="zh-CN"/>
                    </w:rPr>
                  </m:ctrlPr>
                </m:e>
                <m:sub>
                  <m:r>
                    <m:rPr>
                      <m:sty m:val="p"/>
                    </m:rPr>
                    <w:rPr>
                      <w:rFonts w:hint="default" w:ascii="Cambria Math" w:hAnsi="Cambria Math" w:cs="Times New Roman"/>
                      <w:kern w:val="2"/>
                      <w:sz w:val="24"/>
                      <w:szCs w:val="24"/>
                      <w:lang w:val="en-US" w:eastAsia="zh-CN"/>
                    </w:rPr>
                    <m:t>n</m:t>
                  </m:r>
                  <m:ctrlPr>
                    <w:rPr>
                      <w:rFonts w:hint="default" w:ascii="Cambria Math" w:hAnsi="Cambria Math" w:cs="Times New Roman"/>
                      <w:kern w:val="2"/>
                      <w:sz w:val="24"/>
                      <w:szCs w:val="24"/>
                      <w:lang w:val="en-US" w:eastAsia="zh-CN"/>
                    </w:rPr>
                  </m:ctrlPr>
                </m:sub>
              </m:sSub>
              <m:ctrlPr>
                <w:rPr>
                  <w:rFonts w:hint="default" w:ascii="Cambria Math" w:hAnsi="Cambria Math" w:cs="Times New Roman"/>
                  <w:kern w:val="2"/>
                  <w:sz w:val="24"/>
                  <w:szCs w:val="24"/>
                  <w:lang w:val="en-US" w:eastAsia="zh-CN"/>
                </w:rPr>
              </m:ctrlPr>
            </m:den>
          </m:f>
        </m:oMath>
      </m:oMathPara>
    </w:p>
    <w:p>
      <w:pPr>
        <w:spacing w:beforeLines="0" w:afterLines="0"/>
        <w:jc w:val="left"/>
        <w:rPr>
          <w:rFonts w:hint="eastAsia" w:ascii="宋体" w:hAnsi="宋体" w:eastAsia="宋体"/>
          <w:sz w:val="24"/>
          <w:szCs w:val="24"/>
        </w:rPr>
      </w:pPr>
      <w:r>
        <w:rPr>
          <w:rFonts w:hint="eastAsia" w:ascii="宋体" w:hAnsi="宋体" w:eastAsia="宋体"/>
          <w:sz w:val="24"/>
          <w:szCs w:val="24"/>
        </w:rPr>
        <w:t>式中：</w:t>
      </w:r>
      <w:r>
        <w:rPr>
          <w:rFonts w:hint="default" w:ascii="Times New Roman" w:hAnsi="Times New Roman" w:eastAsia="Times New Roman"/>
          <w:sz w:val="24"/>
          <w:szCs w:val="24"/>
        </w:rPr>
        <w:t>q</w:t>
      </w:r>
      <w:r>
        <w:rPr>
          <w:rFonts w:hint="default" w:ascii="Times New Roman" w:hAnsi="Times New Roman" w:eastAsia="Times New Roman"/>
          <w:sz w:val="16"/>
          <w:szCs w:val="24"/>
        </w:rPr>
        <w:t>1</w:t>
      </w:r>
      <w:r>
        <w:rPr>
          <w:rFonts w:hint="eastAsia" w:ascii="宋体" w:hAnsi="宋体" w:eastAsia="宋体"/>
          <w:sz w:val="24"/>
          <w:szCs w:val="24"/>
        </w:rPr>
        <w:t>，</w:t>
      </w:r>
      <w:r>
        <w:rPr>
          <w:rFonts w:hint="default" w:ascii="Times New Roman" w:hAnsi="Times New Roman" w:eastAsia="Times New Roman"/>
          <w:sz w:val="24"/>
          <w:szCs w:val="24"/>
        </w:rPr>
        <w:t>q</w:t>
      </w:r>
      <w:r>
        <w:rPr>
          <w:rFonts w:hint="default" w:ascii="Times New Roman" w:hAnsi="Times New Roman" w:eastAsia="Times New Roman"/>
          <w:sz w:val="16"/>
          <w:szCs w:val="24"/>
        </w:rPr>
        <w:t>2</w:t>
      </w:r>
      <w:r>
        <w:rPr>
          <w:rFonts w:hint="eastAsia" w:eastAsia="宋体"/>
          <w:sz w:val="16"/>
          <w:szCs w:val="24"/>
          <w:lang w:eastAsia="zh-CN"/>
        </w:rPr>
        <w:t>……</w:t>
      </w:r>
      <w:r>
        <w:rPr>
          <w:rFonts w:hint="default" w:ascii="Times New Roman" w:hAnsi="Times New Roman" w:eastAsia="Times New Roman"/>
          <w:sz w:val="24"/>
          <w:szCs w:val="24"/>
        </w:rPr>
        <w:t>q</w:t>
      </w:r>
      <w:r>
        <w:rPr>
          <w:rFonts w:hint="default" w:ascii="Times New Roman" w:hAnsi="Times New Roman" w:eastAsia="Times New Roman"/>
          <w:sz w:val="16"/>
          <w:szCs w:val="24"/>
        </w:rPr>
        <w:t>n</w:t>
      </w:r>
      <w:r>
        <w:rPr>
          <w:rFonts w:hint="eastAsia" w:ascii="宋体" w:hAnsi="宋体"/>
          <w:sz w:val="24"/>
          <w:szCs w:val="24"/>
          <w:lang w:eastAsia="zh-CN"/>
        </w:rPr>
        <w:t>——</w:t>
      </w:r>
      <w:r>
        <w:rPr>
          <w:rFonts w:hint="eastAsia" w:ascii="宋体" w:hAnsi="宋体" w:eastAsia="宋体"/>
          <w:sz w:val="24"/>
          <w:szCs w:val="24"/>
        </w:rPr>
        <w:t>每种危险物质的最大存在总量，</w:t>
      </w:r>
      <w:r>
        <w:rPr>
          <w:rFonts w:hint="default" w:ascii="Times New Roman" w:hAnsi="Times New Roman" w:eastAsia="Times New Roman"/>
          <w:sz w:val="24"/>
          <w:szCs w:val="24"/>
        </w:rPr>
        <w:t>t</w:t>
      </w:r>
      <w:r>
        <w:rPr>
          <w:rFonts w:hint="eastAsia" w:ascii="宋体" w:hAnsi="宋体" w:eastAsia="宋体"/>
          <w:sz w:val="24"/>
          <w:szCs w:val="24"/>
        </w:rPr>
        <w:t>；</w:t>
      </w:r>
    </w:p>
    <w:p>
      <w:pPr>
        <w:spacing w:beforeLines="0" w:afterLines="0"/>
        <w:jc w:val="left"/>
        <w:rPr>
          <w:rFonts w:hint="eastAsia" w:ascii="宋体" w:hAnsi="宋体" w:eastAsia="宋体"/>
          <w:sz w:val="24"/>
          <w:szCs w:val="24"/>
        </w:rPr>
      </w:pPr>
      <w:r>
        <w:rPr>
          <w:rFonts w:hint="default" w:ascii="Times New Roman" w:hAnsi="Times New Roman" w:eastAsia="Times New Roman"/>
          <w:sz w:val="24"/>
          <w:szCs w:val="24"/>
        </w:rPr>
        <w:t>Q</w:t>
      </w:r>
      <w:r>
        <w:rPr>
          <w:rFonts w:hint="default" w:ascii="Times New Roman" w:hAnsi="Times New Roman" w:eastAsia="Times New Roman"/>
          <w:sz w:val="16"/>
          <w:szCs w:val="24"/>
        </w:rPr>
        <w:t>1</w:t>
      </w:r>
      <w:r>
        <w:rPr>
          <w:rFonts w:hint="eastAsia" w:ascii="宋体" w:hAnsi="宋体" w:eastAsia="宋体"/>
          <w:sz w:val="24"/>
          <w:szCs w:val="24"/>
        </w:rPr>
        <w:t>，</w:t>
      </w:r>
      <w:r>
        <w:rPr>
          <w:rFonts w:hint="default" w:ascii="Times New Roman" w:hAnsi="Times New Roman" w:eastAsia="Times New Roman"/>
          <w:sz w:val="24"/>
          <w:szCs w:val="24"/>
        </w:rPr>
        <w:t>Q</w:t>
      </w:r>
      <w:r>
        <w:rPr>
          <w:rFonts w:hint="default" w:ascii="Times New Roman" w:hAnsi="Times New Roman" w:eastAsia="Times New Roman"/>
          <w:sz w:val="16"/>
          <w:szCs w:val="24"/>
        </w:rPr>
        <w:t>2</w:t>
      </w:r>
      <w:r>
        <w:rPr>
          <w:rFonts w:hint="eastAsia" w:eastAsia="宋体"/>
          <w:sz w:val="16"/>
          <w:szCs w:val="24"/>
          <w:lang w:eastAsia="zh-CN"/>
        </w:rPr>
        <w:t>……</w:t>
      </w:r>
      <w:r>
        <w:rPr>
          <w:rFonts w:hint="default" w:ascii="Times New Roman" w:hAnsi="Times New Roman" w:eastAsia="Times New Roman"/>
          <w:sz w:val="24"/>
          <w:szCs w:val="24"/>
        </w:rPr>
        <w:t>Q</w:t>
      </w:r>
      <w:r>
        <w:rPr>
          <w:rFonts w:hint="default" w:ascii="Times New Roman" w:hAnsi="Times New Roman" w:eastAsia="Times New Roman"/>
          <w:sz w:val="16"/>
          <w:szCs w:val="24"/>
        </w:rPr>
        <w:t>n</w:t>
      </w:r>
      <w:r>
        <w:rPr>
          <w:rFonts w:hint="eastAsia" w:ascii="宋体" w:hAnsi="宋体"/>
          <w:sz w:val="24"/>
          <w:szCs w:val="24"/>
          <w:lang w:eastAsia="zh-CN"/>
        </w:rPr>
        <w:t>——</w:t>
      </w:r>
      <w:r>
        <w:rPr>
          <w:rFonts w:hint="eastAsia" w:ascii="宋体" w:hAnsi="宋体" w:eastAsia="宋体"/>
          <w:sz w:val="24"/>
          <w:szCs w:val="24"/>
        </w:rPr>
        <w:t>每种危险物质的临界量，</w:t>
      </w:r>
      <w:r>
        <w:rPr>
          <w:rFonts w:hint="default" w:ascii="Times New Roman" w:hAnsi="Times New Roman" w:eastAsia="Times New Roman"/>
          <w:sz w:val="24"/>
          <w:szCs w:val="24"/>
        </w:rPr>
        <w:t>t</w:t>
      </w:r>
      <w:r>
        <w:rPr>
          <w:rFonts w:hint="eastAsia" w:ascii="宋体" w:hAnsi="宋体" w:eastAsia="宋体"/>
          <w:sz w:val="24"/>
          <w:szCs w:val="24"/>
        </w:rPr>
        <w:t>。</w:t>
      </w:r>
    </w:p>
    <w:p>
      <w:pPr>
        <w:spacing w:beforeLines="0" w:afterLines="0"/>
        <w:jc w:val="left"/>
        <w:rPr>
          <w:rFonts w:hint="eastAsia" w:ascii="宋体" w:hAnsi="宋体" w:eastAsia="宋体"/>
          <w:sz w:val="24"/>
          <w:szCs w:val="24"/>
        </w:rPr>
      </w:pPr>
      <w:r>
        <w:rPr>
          <w:rFonts w:hint="default" w:ascii="Times New Roman" w:hAnsi="Times New Roman" w:eastAsia="Times New Roman"/>
          <w:sz w:val="24"/>
          <w:szCs w:val="24"/>
        </w:rPr>
        <w:t>Q&lt;1</w:t>
      </w:r>
      <w:r>
        <w:rPr>
          <w:rFonts w:hint="eastAsia" w:ascii="宋体" w:hAnsi="宋体" w:eastAsia="宋体"/>
          <w:sz w:val="24"/>
          <w:szCs w:val="24"/>
        </w:rPr>
        <w:t>时，该项目环境风险潜势为Ⅰ。</w:t>
      </w:r>
    </w:p>
    <w:p>
      <w:pPr>
        <w:rPr>
          <w:rFonts w:hint="eastAsia"/>
          <w:lang w:val="en-US" w:eastAsia="zh-CN"/>
        </w:rPr>
      </w:pPr>
      <w:r>
        <w:rPr>
          <w:rFonts w:hint="eastAsia" w:ascii="宋体" w:hAnsi="宋体" w:eastAsia="宋体"/>
          <w:sz w:val="24"/>
          <w:szCs w:val="24"/>
        </w:rPr>
        <w:t>当</w:t>
      </w:r>
      <w:r>
        <w:rPr>
          <w:rFonts w:hint="default" w:ascii="Times New Roman" w:hAnsi="Times New Roman" w:eastAsia="Times New Roman"/>
          <w:sz w:val="24"/>
          <w:szCs w:val="24"/>
        </w:rPr>
        <w:t>Q</w:t>
      </w:r>
      <w:r>
        <w:rPr>
          <w:rFonts w:hint="eastAsia" w:ascii="宋体" w:hAnsi="宋体" w:eastAsia="宋体"/>
          <w:sz w:val="24"/>
          <w:szCs w:val="24"/>
        </w:rPr>
        <w:t>≥</w:t>
      </w:r>
      <w:r>
        <w:rPr>
          <w:rFonts w:hint="default" w:ascii="Times New Roman" w:hAnsi="Times New Roman" w:eastAsia="Times New Roman"/>
          <w:sz w:val="24"/>
          <w:szCs w:val="24"/>
        </w:rPr>
        <w:t>1</w:t>
      </w:r>
      <w:r>
        <w:rPr>
          <w:rFonts w:hint="eastAsia" w:ascii="宋体" w:hAnsi="宋体" w:eastAsia="宋体"/>
          <w:sz w:val="24"/>
          <w:szCs w:val="24"/>
        </w:rPr>
        <w:t>时，将</w:t>
      </w:r>
      <w:r>
        <w:rPr>
          <w:rFonts w:hint="default" w:ascii="Times New Roman" w:hAnsi="Times New Roman" w:eastAsia="Times New Roman"/>
          <w:sz w:val="24"/>
          <w:szCs w:val="24"/>
        </w:rPr>
        <w:t>Q</w:t>
      </w:r>
      <w:r>
        <w:rPr>
          <w:rFonts w:hint="eastAsia" w:ascii="宋体" w:hAnsi="宋体" w:eastAsia="宋体"/>
          <w:sz w:val="24"/>
          <w:szCs w:val="24"/>
        </w:rPr>
        <w:t>值划分为：（</w:t>
      </w:r>
      <w:r>
        <w:rPr>
          <w:rFonts w:hint="default" w:ascii="Times New Roman" w:hAnsi="Times New Roman" w:eastAsia="Times New Roman"/>
          <w:sz w:val="24"/>
          <w:szCs w:val="24"/>
        </w:rPr>
        <w:t>1</w:t>
      </w:r>
      <w:r>
        <w:rPr>
          <w:rFonts w:hint="eastAsia" w:ascii="宋体" w:hAnsi="宋体" w:eastAsia="宋体"/>
          <w:sz w:val="24"/>
          <w:szCs w:val="24"/>
        </w:rPr>
        <w:t>）</w:t>
      </w:r>
      <w:r>
        <w:rPr>
          <w:rFonts w:hint="default" w:ascii="Times New Roman" w:hAnsi="Times New Roman" w:eastAsia="Times New Roman" w:cs="Times New Roman"/>
          <w:sz w:val="24"/>
          <w:szCs w:val="24"/>
        </w:rPr>
        <w:t>1</w:t>
      </w:r>
      <w:r>
        <w:rPr>
          <w:rFonts w:hint="default" w:ascii="Times New Roman" w:hAnsi="Times New Roman" w:eastAsia="宋体" w:cs="Times New Roman"/>
          <w:sz w:val="24"/>
          <w:szCs w:val="24"/>
        </w:rPr>
        <w:t>≤</w:t>
      </w:r>
      <w:r>
        <w:rPr>
          <w:rFonts w:hint="default" w:ascii="Times New Roman" w:hAnsi="Times New Roman" w:eastAsia="Times New Roman" w:cs="Times New Roman"/>
          <w:sz w:val="24"/>
          <w:szCs w:val="24"/>
        </w:rPr>
        <w:t>Q</w:t>
      </w:r>
      <w:r>
        <w:rPr>
          <w:rFonts w:hint="eastAsia" w:ascii="Times New Roman" w:hAnsi="Times New Roman" w:eastAsia="宋体" w:cs="Times New Roman"/>
          <w:sz w:val="24"/>
          <w:szCs w:val="24"/>
          <w:lang w:val="en-US" w:eastAsia="zh-CN"/>
        </w:rPr>
        <w:t>&lt;</w:t>
      </w:r>
      <w:r>
        <w:rPr>
          <w:rFonts w:hint="default" w:ascii="Times New Roman" w:hAnsi="Times New Roman" w:eastAsia="Times New Roman" w:cs="Times New Roman"/>
          <w:sz w:val="24"/>
          <w:szCs w:val="24"/>
        </w:rPr>
        <w:t>10</w:t>
      </w:r>
      <w:r>
        <w:rPr>
          <w:rFonts w:hint="eastAsia" w:ascii="宋体" w:hAnsi="宋体" w:eastAsia="宋体"/>
          <w:sz w:val="24"/>
          <w:szCs w:val="24"/>
        </w:rPr>
        <w:t>；（</w:t>
      </w:r>
      <w:r>
        <w:rPr>
          <w:rFonts w:hint="default" w:ascii="Times New Roman" w:hAnsi="Times New Roman" w:eastAsia="Times New Roman"/>
          <w:sz w:val="24"/>
          <w:szCs w:val="24"/>
        </w:rPr>
        <w:t>2</w:t>
      </w:r>
      <w:r>
        <w:rPr>
          <w:rFonts w:hint="eastAsia" w:ascii="宋体" w:hAnsi="宋体" w:eastAsia="宋体"/>
          <w:sz w:val="24"/>
          <w:szCs w:val="24"/>
        </w:rPr>
        <w:t>）</w:t>
      </w:r>
      <w:r>
        <w:rPr>
          <w:rFonts w:hint="default" w:ascii="Times New Roman" w:hAnsi="Times New Roman" w:eastAsia="Times New Roman" w:cs="Times New Roman"/>
          <w:sz w:val="24"/>
          <w:szCs w:val="24"/>
        </w:rPr>
        <w:t>10</w:t>
      </w:r>
      <w:r>
        <w:rPr>
          <w:rFonts w:hint="default" w:ascii="Times New Roman" w:hAnsi="Times New Roman" w:eastAsia="宋体" w:cs="Times New Roman"/>
          <w:sz w:val="24"/>
          <w:szCs w:val="24"/>
        </w:rPr>
        <w:t>≤</w:t>
      </w:r>
      <w:r>
        <w:rPr>
          <w:rFonts w:hint="default" w:ascii="Times New Roman" w:hAnsi="Times New Roman" w:eastAsia="Times New Roman" w:cs="Times New Roman"/>
          <w:sz w:val="24"/>
          <w:szCs w:val="24"/>
        </w:rPr>
        <w:t>Q</w:t>
      </w:r>
      <w:r>
        <w:rPr>
          <w:rFonts w:hint="eastAsia" w:ascii="Times New Roman" w:hAnsi="Times New Roman" w:eastAsia="宋体" w:cs="Times New Roman"/>
          <w:sz w:val="24"/>
          <w:szCs w:val="24"/>
          <w:lang w:val="en-US" w:eastAsia="zh-CN"/>
        </w:rPr>
        <w:t>&lt;</w:t>
      </w:r>
      <w:r>
        <w:rPr>
          <w:rFonts w:hint="default" w:ascii="Times New Roman" w:hAnsi="Times New Roman" w:eastAsia="Times New Roman" w:cs="Times New Roman"/>
          <w:sz w:val="24"/>
          <w:szCs w:val="24"/>
        </w:rPr>
        <w:t>100</w:t>
      </w:r>
      <w:r>
        <w:rPr>
          <w:rFonts w:hint="eastAsia" w:ascii="宋体" w:hAnsi="宋体" w:eastAsia="宋体"/>
          <w:sz w:val="24"/>
          <w:szCs w:val="24"/>
        </w:rPr>
        <w:t>；（</w:t>
      </w:r>
      <w:r>
        <w:rPr>
          <w:rFonts w:hint="default" w:ascii="Times New Roman" w:hAnsi="Times New Roman" w:eastAsia="Times New Roman"/>
          <w:sz w:val="24"/>
          <w:szCs w:val="24"/>
        </w:rPr>
        <w:t>3</w:t>
      </w:r>
      <w:r>
        <w:rPr>
          <w:rFonts w:hint="eastAsia" w:ascii="宋体" w:hAnsi="宋体" w:eastAsia="宋体"/>
          <w:sz w:val="24"/>
          <w:szCs w:val="24"/>
        </w:rPr>
        <w:t>）</w:t>
      </w:r>
      <w:r>
        <w:rPr>
          <w:rFonts w:hint="default" w:ascii="Times New Roman" w:hAnsi="Times New Roman" w:eastAsia="Times New Roman" w:cs="Times New Roman"/>
          <w:sz w:val="24"/>
          <w:szCs w:val="24"/>
        </w:rPr>
        <w:t>Q</w:t>
      </w:r>
      <w:r>
        <w:rPr>
          <w:rFonts w:hint="default" w:ascii="Times New Roman" w:hAnsi="Times New Roman" w:eastAsia="宋体" w:cs="Times New Roman"/>
          <w:sz w:val="24"/>
          <w:szCs w:val="24"/>
        </w:rPr>
        <w:t>≥</w:t>
      </w:r>
      <w:r>
        <w:rPr>
          <w:rFonts w:hint="default" w:ascii="Times New Roman" w:hAnsi="Times New Roman" w:eastAsia="Times New Roman" w:cs="Times New Roman"/>
          <w:sz w:val="24"/>
          <w:szCs w:val="24"/>
        </w:rPr>
        <w:t>100</w:t>
      </w:r>
      <w:r>
        <w:rPr>
          <w:rFonts w:hint="eastAsia" w:ascii="宋体" w:hAnsi="宋体" w:eastAsia="宋体"/>
          <w:sz w:val="24"/>
          <w:szCs w:val="24"/>
        </w:rPr>
        <w:t>。</w:t>
      </w:r>
    </w:p>
    <w:p>
      <w:pPr>
        <w:spacing w:beforeLines="0" w:afterLines="0"/>
        <w:jc w:val="left"/>
        <w:rPr>
          <w:rFonts w:hint="eastAsia"/>
          <w:lang w:val="en-US" w:eastAsia="zh-CN"/>
        </w:rPr>
      </w:pPr>
      <w:r>
        <w:rPr>
          <w:rFonts w:hint="eastAsia" w:ascii="宋体" w:hAnsi="宋体" w:eastAsia="宋体"/>
          <w:sz w:val="24"/>
          <w:szCs w:val="24"/>
        </w:rPr>
        <w:t>本项目危险物质主要为二氯异氰尿酸钠和柴油，根据表</w:t>
      </w:r>
      <w:r>
        <w:rPr>
          <w:rFonts w:hint="default" w:ascii="Times New Roman" w:hAnsi="Times New Roman" w:eastAsia="Times New Roman"/>
          <w:sz w:val="24"/>
          <w:szCs w:val="24"/>
        </w:rPr>
        <w:t>6.1-3</w:t>
      </w:r>
      <w:r>
        <w:rPr>
          <w:rFonts w:hint="eastAsia" w:ascii="宋体" w:hAnsi="宋体" w:eastAsia="宋体"/>
          <w:sz w:val="24"/>
          <w:szCs w:val="24"/>
        </w:rPr>
        <w:t>，危险物质储存量与临界量比值</w:t>
      </w:r>
      <w:r>
        <w:rPr>
          <w:rFonts w:hint="default" w:ascii="Times New Roman" w:hAnsi="Times New Roman" w:eastAsia="Times New Roman"/>
          <w:sz w:val="24"/>
          <w:szCs w:val="24"/>
        </w:rPr>
        <w:t>Q</w:t>
      </w:r>
      <w:r>
        <w:rPr>
          <w:rFonts w:hint="eastAsia" w:ascii="宋体" w:hAnsi="宋体" w:eastAsia="宋体"/>
          <w:sz w:val="24"/>
          <w:szCs w:val="24"/>
        </w:rPr>
        <w:t>为</w:t>
      </w:r>
      <w:r>
        <w:rPr>
          <w:rFonts w:hint="eastAsia" w:eastAsia="宋体"/>
          <w:sz w:val="24"/>
          <w:szCs w:val="24"/>
          <w:lang w:eastAsia="zh-CN"/>
        </w:rPr>
        <w:t>0.0</w:t>
      </w:r>
      <w:r>
        <w:rPr>
          <w:rFonts w:hint="eastAsia"/>
          <w:sz w:val="24"/>
          <w:szCs w:val="24"/>
          <w:lang w:val="en-US" w:eastAsia="zh-CN"/>
        </w:rPr>
        <w:t>0</w:t>
      </w:r>
      <w:r>
        <w:rPr>
          <w:rFonts w:hint="eastAsia" w:eastAsia="宋体"/>
          <w:sz w:val="24"/>
          <w:szCs w:val="24"/>
          <w:lang w:eastAsia="zh-CN"/>
        </w:rPr>
        <w:t>4</w:t>
      </w:r>
      <w:r>
        <w:rPr>
          <w:rFonts w:hint="default" w:ascii="Times New Roman" w:hAnsi="Times New Roman" w:eastAsia="Times New Roman"/>
          <w:sz w:val="24"/>
          <w:szCs w:val="24"/>
        </w:rPr>
        <w:t>004&lt;1.0</w:t>
      </w:r>
      <w:r>
        <w:rPr>
          <w:rFonts w:hint="eastAsia" w:ascii="宋体" w:hAnsi="宋体" w:eastAsia="宋体"/>
          <w:sz w:val="24"/>
          <w:szCs w:val="24"/>
        </w:rPr>
        <w:t>。故本项目环境风险潜势为</w:t>
      </w:r>
      <w:r>
        <w:rPr>
          <w:rFonts w:hint="default" w:ascii="Times New Roman" w:hAnsi="Times New Roman" w:eastAsia="宋体" w:cs="Times New Roman"/>
          <w:sz w:val="24"/>
          <w:szCs w:val="24"/>
        </w:rPr>
        <w:t>Ⅰ</w:t>
      </w:r>
      <w:r>
        <w:rPr>
          <w:rFonts w:hint="eastAsia" w:ascii="宋体" w:hAnsi="宋体" w:eastAsia="宋体"/>
          <w:sz w:val="24"/>
          <w:szCs w:val="24"/>
        </w:rPr>
        <w:t>级。</w:t>
      </w:r>
    </w:p>
    <w:p>
      <w:pPr>
        <w:pStyle w:val="29"/>
        <w:bidi w:val="0"/>
        <w:rPr>
          <w:rFonts w:hint="eastAsia"/>
          <w:lang w:val="en-US" w:eastAsia="zh-CN"/>
        </w:rPr>
      </w:pPr>
      <w:r>
        <w:rPr>
          <w:rFonts w:hint="eastAsia"/>
          <w:lang w:val="en-US" w:eastAsia="zh-CN"/>
        </w:rPr>
        <w:t>表6.1-3  项目危险物质情况一览表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957"/>
        <w:gridCol w:w="1279"/>
        <w:gridCol w:w="1093"/>
        <w:gridCol w:w="876"/>
        <w:gridCol w:w="1548"/>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3"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物质名称</w:t>
            </w:r>
          </w:p>
        </w:tc>
        <w:tc>
          <w:tcPr>
            <w:tcW w:w="1957"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储存区</w:t>
            </w:r>
          </w:p>
        </w:tc>
        <w:tc>
          <w:tcPr>
            <w:tcW w:w="1279"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状态</w:t>
            </w:r>
          </w:p>
        </w:tc>
        <w:tc>
          <w:tcPr>
            <w:tcW w:w="1093"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危险类别</w:t>
            </w:r>
          </w:p>
        </w:tc>
        <w:tc>
          <w:tcPr>
            <w:tcW w:w="876"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临界量</w:t>
            </w:r>
          </w:p>
        </w:tc>
        <w:tc>
          <w:tcPr>
            <w:tcW w:w="1548"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一次最大储存量（t）</w:t>
            </w:r>
          </w:p>
        </w:tc>
        <w:tc>
          <w:tcPr>
            <w:tcW w:w="1654" w:type="dxa"/>
            <w:tcBorders>
              <w:tl2br w:val="nil"/>
              <w:tr2bl w:val="nil"/>
            </w:tcBorders>
            <w:vAlign w:val="center"/>
          </w:tcPr>
          <w:p>
            <w:pPr>
              <w:pStyle w:val="30"/>
              <w:widowControl w:val="0"/>
              <w:bidi w:val="0"/>
              <w:jc w:val="center"/>
              <w:rPr>
                <w:rFonts w:hint="eastAsia"/>
                <w:b/>
                <w:bCs/>
                <w:lang w:val="en-US" w:eastAsia="zh-CN"/>
              </w:rPr>
            </w:pPr>
            <w:r>
              <w:rPr>
                <w:rFonts w:hint="eastAsia"/>
                <w:b/>
                <w:bCs/>
                <w:vertAlign w:val="baseline"/>
                <w:lang w:val="en-US" w:eastAsia="zh-CN"/>
              </w:rPr>
              <w:t>该种危险物质Q值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3" w:type="dxa"/>
            <w:tcBorders>
              <w:tl2br w:val="nil"/>
              <w:tr2bl w:val="nil"/>
            </w:tcBorders>
            <w:vAlign w:val="center"/>
          </w:tcPr>
          <w:p>
            <w:pPr>
              <w:pStyle w:val="30"/>
              <w:widowControl w:val="0"/>
              <w:bidi w:val="0"/>
              <w:jc w:val="center"/>
              <w:rPr>
                <w:rFonts w:hint="default"/>
                <w:lang w:val="en-US" w:eastAsia="zh-CN"/>
              </w:rPr>
            </w:pPr>
            <w:r>
              <w:rPr>
                <w:rFonts w:hint="eastAsia"/>
              </w:rPr>
              <w:t>二氯异氰尿酸钠</w:t>
            </w:r>
          </w:p>
        </w:tc>
        <w:tc>
          <w:tcPr>
            <w:tcW w:w="195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消毒间</w:t>
            </w:r>
          </w:p>
        </w:tc>
        <w:tc>
          <w:tcPr>
            <w:tcW w:w="127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固体粉状</w:t>
            </w:r>
          </w:p>
        </w:tc>
        <w:tc>
          <w:tcPr>
            <w:tcW w:w="1093"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毒性</w:t>
            </w:r>
          </w:p>
        </w:tc>
        <w:tc>
          <w:tcPr>
            <w:tcW w:w="8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w:t>
            </w:r>
          </w:p>
        </w:tc>
        <w:tc>
          <w:tcPr>
            <w:tcW w:w="1548"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0.02</w:t>
            </w:r>
          </w:p>
        </w:tc>
        <w:tc>
          <w:tcPr>
            <w:tcW w:w="165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3" w:type="dxa"/>
            <w:tcBorders>
              <w:tl2br w:val="nil"/>
              <w:tr2bl w:val="nil"/>
            </w:tcBorders>
            <w:vAlign w:val="center"/>
          </w:tcPr>
          <w:p>
            <w:pPr>
              <w:pStyle w:val="30"/>
              <w:widowControl w:val="0"/>
              <w:bidi w:val="0"/>
              <w:jc w:val="center"/>
              <w:rPr>
                <w:rFonts w:hint="default"/>
                <w:lang w:val="en-US" w:eastAsia="zh-CN"/>
              </w:rPr>
            </w:pPr>
            <w:r>
              <w:rPr>
                <w:rFonts w:hint="eastAsia"/>
              </w:rPr>
              <w:t>柴油</w:t>
            </w:r>
          </w:p>
        </w:tc>
        <w:tc>
          <w:tcPr>
            <w:tcW w:w="1957"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配电房</w:t>
            </w:r>
          </w:p>
        </w:tc>
        <w:tc>
          <w:tcPr>
            <w:tcW w:w="1279"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液体</w:t>
            </w:r>
          </w:p>
        </w:tc>
        <w:tc>
          <w:tcPr>
            <w:tcW w:w="1093"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易燃</w:t>
            </w:r>
          </w:p>
        </w:tc>
        <w:tc>
          <w:tcPr>
            <w:tcW w:w="876"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2500</w:t>
            </w:r>
          </w:p>
        </w:tc>
        <w:tc>
          <w:tcPr>
            <w:tcW w:w="1548"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0.01</w:t>
            </w:r>
          </w:p>
        </w:tc>
        <w:tc>
          <w:tcPr>
            <w:tcW w:w="165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0.000004</w:t>
            </w:r>
          </w:p>
        </w:tc>
      </w:tr>
    </w:tbl>
    <w:p>
      <w:pPr>
        <w:pStyle w:val="5"/>
        <w:bidi w:val="0"/>
        <w:rPr>
          <w:rFonts w:hint="default"/>
          <w:lang w:val="en-US" w:eastAsia="zh-CN"/>
        </w:rPr>
      </w:pPr>
      <w:r>
        <w:rPr>
          <w:rFonts w:hint="eastAsia"/>
          <w:lang w:val="en-US" w:eastAsia="zh-CN"/>
        </w:rPr>
        <w:t>环境风险评价等级</w:t>
      </w:r>
    </w:p>
    <w:p>
      <w:pPr>
        <w:rPr>
          <w:rFonts w:hint="default"/>
          <w:lang w:val="en-US" w:eastAsia="zh-CN"/>
        </w:rPr>
      </w:pPr>
      <w:r>
        <w:rPr>
          <w:rFonts w:hint="eastAsia"/>
          <w:lang w:val="en-US" w:eastAsia="zh-CN"/>
        </w:rPr>
        <w:t>本项目风险评价等级见下表。</w:t>
      </w:r>
    </w:p>
    <w:p>
      <w:pPr>
        <w:pStyle w:val="29"/>
        <w:bidi w:val="0"/>
        <w:rPr>
          <w:rFonts w:hint="eastAsia"/>
          <w:lang w:val="en-US" w:eastAsia="zh-CN"/>
        </w:rPr>
      </w:pPr>
      <w:r>
        <w:rPr>
          <w:rFonts w:hint="eastAsia"/>
          <w:lang w:val="en-US" w:eastAsia="zh-CN"/>
        </w:rPr>
        <w:t>表6.1-4  评价工作等级划分</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1924"/>
        <w:gridCol w:w="1924"/>
        <w:gridCol w:w="1925"/>
        <w:gridCol w:w="1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4"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环境风险潜势</w:t>
            </w:r>
          </w:p>
        </w:tc>
        <w:tc>
          <w:tcPr>
            <w:tcW w:w="1924" w:type="dxa"/>
            <w:tcBorders>
              <w:tl2br w:val="nil"/>
              <w:tr2bl w:val="nil"/>
            </w:tcBorders>
            <w:vAlign w:val="center"/>
          </w:tcPr>
          <w:p>
            <w:pPr>
              <w:pStyle w:val="30"/>
              <w:widowControl w:val="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sz w:val="22"/>
                <w:szCs w:val="24"/>
              </w:rPr>
              <w:t>Ⅳ、Ⅳ</w:t>
            </w:r>
            <w:r>
              <w:rPr>
                <w:rFonts w:hint="default" w:ascii="Times New Roman" w:hAnsi="Times New Roman" w:eastAsia="宋体" w:cs="Times New Roman"/>
                <w:b/>
                <w:bCs/>
                <w:sz w:val="22"/>
                <w:szCs w:val="24"/>
                <w:lang w:val="en-US" w:eastAsia="zh-CN"/>
              </w:rPr>
              <w:t>+</w:t>
            </w:r>
          </w:p>
        </w:tc>
        <w:tc>
          <w:tcPr>
            <w:tcW w:w="1924" w:type="dxa"/>
            <w:tcBorders>
              <w:tl2br w:val="nil"/>
              <w:tr2bl w:val="nil"/>
            </w:tcBorders>
            <w:vAlign w:val="center"/>
          </w:tcPr>
          <w:p>
            <w:pPr>
              <w:pStyle w:val="30"/>
              <w:widowControl w:val="0"/>
              <w:jc w:val="center"/>
              <w:rPr>
                <w:rFonts w:hint="default" w:ascii="Times New Roman" w:hAnsi="Times New Roman" w:cs="Times New Roman"/>
                <w:b/>
                <w:bCs/>
                <w:vertAlign w:val="baseline"/>
                <w:lang w:val="en-US" w:eastAsia="zh-CN"/>
              </w:rPr>
            </w:pPr>
            <w:r>
              <w:rPr>
                <w:rFonts w:hint="default" w:ascii="Times New Roman" w:hAnsi="Times New Roman" w:eastAsia="宋体" w:cs="Times New Roman"/>
                <w:b/>
                <w:bCs/>
                <w:sz w:val="22"/>
                <w:szCs w:val="24"/>
              </w:rPr>
              <w:t>Ⅲ</w:t>
            </w:r>
          </w:p>
        </w:tc>
        <w:tc>
          <w:tcPr>
            <w:tcW w:w="1925" w:type="dxa"/>
            <w:tcBorders>
              <w:tl2br w:val="nil"/>
              <w:tr2bl w:val="nil"/>
            </w:tcBorders>
            <w:vAlign w:val="center"/>
          </w:tcPr>
          <w:p>
            <w:pPr>
              <w:pStyle w:val="30"/>
              <w:widowControl w:val="0"/>
              <w:jc w:val="center"/>
              <w:rPr>
                <w:rFonts w:hint="default" w:ascii="Times New Roman" w:hAnsi="Times New Roman" w:cs="Times New Roman"/>
                <w:b/>
                <w:bCs/>
                <w:vertAlign w:val="baseline"/>
                <w:lang w:val="en-US" w:eastAsia="zh-CN"/>
              </w:rPr>
            </w:pPr>
            <w:r>
              <w:rPr>
                <w:rFonts w:hint="default" w:ascii="Times New Roman" w:hAnsi="Times New Roman" w:eastAsia="宋体" w:cs="Times New Roman"/>
                <w:b/>
                <w:bCs/>
                <w:sz w:val="22"/>
                <w:szCs w:val="24"/>
              </w:rPr>
              <w:t>Ⅱ</w:t>
            </w:r>
          </w:p>
        </w:tc>
        <w:tc>
          <w:tcPr>
            <w:tcW w:w="1925" w:type="dxa"/>
            <w:tcBorders>
              <w:tl2br w:val="nil"/>
              <w:tr2bl w:val="nil"/>
            </w:tcBorders>
            <w:vAlign w:val="center"/>
          </w:tcPr>
          <w:p>
            <w:pPr>
              <w:pStyle w:val="30"/>
              <w:widowControl w:val="0"/>
              <w:jc w:val="center"/>
              <w:rPr>
                <w:rFonts w:hint="default" w:ascii="Times New Roman" w:hAnsi="Times New Roman" w:cs="Times New Roman"/>
                <w:b/>
                <w:bCs/>
                <w:vertAlign w:val="baseline"/>
                <w:lang w:val="en-US" w:eastAsia="zh-CN"/>
              </w:rPr>
            </w:pPr>
            <w:r>
              <w:rPr>
                <w:rFonts w:hint="default" w:ascii="Times New Roman" w:hAnsi="Times New Roman" w:eastAsia="宋体" w:cs="Times New Roman"/>
                <w:b/>
                <w:bCs/>
                <w:sz w:val="22"/>
                <w:szCs w:val="24"/>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评价工作等级</w:t>
            </w:r>
          </w:p>
        </w:tc>
        <w:tc>
          <w:tcPr>
            <w:tcW w:w="192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一</w:t>
            </w:r>
          </w:p>
        </w:tc>
        <w:tc>
          <w:tcPr>
            <w:tcW w:w="1924"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二</w:t>
            </w:r>
          </w:p>
        </w:tc>
        <w:tc>
          <w:tcPr>
            <w:tcW w:w="1925"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三</w:t>
            </w:r>
          </w:p>
        </w:tc>
        <w:tc>
          <w:tcPr>
            <w:tcW w:w="1925" w:type="dxa"/>
            <w:tcBorders>
              <w:tl2br w:val="nil"/>
              <w:tr2bl w:val="nil"/>
            </w:tcBorders>
            <w:vAlign w:val="center"/>
          </w:tcPr>
          <w:p>
            <w:pPr>
              <w:pStyle w:val="30"/>
              <w:widowControl w:val="0"/>
              <w:jc w:val="center"/>
              <w:rPr>
                <w:rFonts w:hint="default"/>
                <w:vertAlign w:val="superscript"/>
                <w:lang w:val="en-US" w:eastAsia="zh-CN"/>
              </w:rPr>
            </w:pPr>
            <w:r>
              <w:rPr>
                <w:rFonts w:hint="eastAsia"/>
                <w:vertAlign w:val="baseline"/>
                <w:lang w:val="en-US" w:eastAsia="zh-CN"/>
              </w:rPr>
              <w:t>简单分析</w:t>
            </w:r>
            <w:r>
              <w:rPr>
                <w:rFonts w:hint="eastAsia"/>
                <w:vertAlign w:val="superscript"/>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22" w:type="dxa"/>
            <w:gridSpan w:val="5"/>
            <w:tcBorders>
              <w:tl2br w:val="nil"/>
              <w:tr2bl w:val="nil"/>
            </w:tcBorders>
            <w:vAlign w:val="center"/>
          </w:tcPr>
          <w:p>
            <w:pPr>
              <w:pStyle w:val="30"/>
              <w:widowControl w:val="0"/>
              <w:bidi w:val="0"/>
              <w:rPr>
                <w:rFonts w:hint="default"/>
                <w:vertAlign w:val="baseline"/>
                <w:lang w:val="en-US" w:eastAsia="zh-CN"/>
              </w:rPr>
            </w:pPr>
            <w:r>
              <w:rPr>
                <w:rFonts w:hint="eastAsia"/>
                <w:vertAlign w:val="superscript"/>
                <w:lang w:val="en-US" w:eastAsia="zh-CN"/>
              </w:rPr>
              <w:t>a</w:t>
            </w:r>
            <w:r>
              <w:rPr>
                <w:rFonts w:hint="eastAsia"/>
              </w:rPr>
              <w:t>是相对于详细评价工作内容而言，在描述危险物质、环境影响途径、环境危害后果、风险防范措施等方面给出定性的说明。</w:t>
            </w:r>
          </w:p>
        </w:tc>
      </w:tr>
    </w:tbl>
    <w:p>
      <w:pPr>
        <w:bidi w:val="0"/>
        <w:rPr>
          <w:rFonts w:hint="default"/>
          <w:lang w:val="en-US" w:eastAsia="zh-CN"/>
        </w:rPr>
      </w:pPr>
      <w:r>
        <w:rPr>
          <w:rFonts w:hint="eastAsia"/>
          <w:lang w:val="en-US" w:eastAsia="zh-CN"/>
        </w:rPr>
        <w:t>本项目环境风险潜势为</w:t>
      </w:r>
      <w:r>
        <w:rPr>
          <w:rFonts w:hint="default"/>
        </w:rPr>
        <w:t>Ⅰ</w:t>
      </w:r>
      <w:r>
        <w:rPr>
          <w:rFonts w:hint="eastAsia"/>
          <w:lang w:eastAsia="zh-CN"/>
        </w:rPr>
        <w:t>，</w:t>
      </w:r>
      <w:r>
        <w:rPr>
          <w:rFonts w:hint="eastAsia"/>
          <w:lang w:val="en-US" w:eastAsia="zh-CN"/>
        </w:rPr>
        <w:t>根据上表评价工作等级划分，本项目环境风险可开展简单分析。</w:t>
      </w:r>
    </w:p>
    <w:p>
      <w:pPr>
        <w:pStyle w:val="4"/>
        <w:bidi w:val="0"/>
        <w:rPr>
          <w:rFonts w:hint="default"/>
          <w:highlight w:val="none"/>
          <w:lang w:val="en-US" w:eastAsia="zh-CN"/>
        </w:rPr>
      </w:pPr>
      <w:bookmarkStart w:id="57" w:name="_Toc4910"/>
      <w:r>
        <w:rPr>
          <w:rFonts w:hint="eastAsia"/>
          <w:highlight w:val="none"/>
          <w:lang w:val="en-US" w:eastAsia="zh-CN"/>
        </w:rPr>
        <w:t>环境风险识别</w:t>
      </w:r>
      <w:bookmarkEnd w:id="57"/>
    </w:p>
    <w:p>
      <w:pPr>
        <w:pStyle w:val="5"/>
        <w:bidi w:val="0"/>
        <w:rPr>
          <w:rFonts w:hint="default"/>
          <w:highlight w:val="none"/>
          <w:lang w:val="en-US" w:eastAsia="zh-CN"/>
        </w:rPr>
      </w:pPr>
      <w:r>
        <w:rPr>
          <w:rFonts w:hint="eastAsia"/>
          <w:highlight w:val="none"/>
          <w:lang w:val="en-US" w:eastAsia="zh-CN"/>
        </w:rPr>
        <w:t>物质危险性识别</w:t>
      </w:r>
    </w:p>
    <w:p>
      <w:pPr>
        <w:bidi w:val="0"/>
        <w:rPr>
          <w:rFonts w:hint="eastAsia"/>
          <w:highlight w:val="none"/>
          <w:lang w:val="en-US" w:eastAsia="zh-CN"/>
        </w:rPr>
      </w:pPr>
      <w:r>
        <w:rPr>
          <w:rFonts w:hint="eastAsia"/>
          <w:highlight w:val="none"/>
        </w:rPr>
        <w:t>根据《建设项目环境风险评价技术导则》（</w:t>
      </w:r>
      <w:r>
        <w:rPr>
          <w:rFonts w:hint="default"/>
          <w:highlight w:val="none"/>
        </w:rPr>
        <w:t>HJ 169</w:t>
      </w:r>
      <w:r>
        <w:rPr>
          <w:rFonts w:hint="eastAsia"/>
          <w:highlight w:val="none"/>
        </w:rPr>
        <w:t>—</w:t>
      </w:r>
      <w:r>
        <w:rPr>
          <w:rFonts w:hint="default"/>
          <w:highlight w:val="none"/>
        </w:rPr>
        <w:t>2018</w:t>
      </w:r>
      <w:r>
        <w:rPr>
          <w:rFonts w:hint="eastAsia"/>
          <w:highlight w:val="none"/>
        </w:rPr>
        <w:t>）附录</w:t>
      </w:r>
      <w:r>
        <w:rPr>
          <w:rFonts w:hint="default"/>
          <w:highlight w:val="none"/>
        </w:rPr>
        <w:t>B</w:t>
      </w:r>
      <w:r>
        <w:rPr>
          <w:rFonts w:hint="eastAsia"/>
          <w:highlight w:val="none"/>
        </w:rPr>
        <w:t>，本项目涉及的物质理化性质见下表。</w:t>
      </w:r>
    </w:p>
    <w:p>
      <w:pPr>
        <w:pStyle w:val="29"/>
        <w:bidi w:val="0"/>
        <w:rPr>
          <w:rFonts w:hint="eastAsia"/>
          <w:lang w:val="en-US" w:eastAsia="zh-CN"/>
        </w:rPr>
      </w:pPr>
      <w:r>
        <w:rPr>
          <w:rFonts w:hint="eastAsia"/>
          <w:lang w:val="en-US" w:eastAsia="zh-CN"/>
        </w:rPr>
        <w:t>表6.2-1  项目所涉及的危险物质的理化性质</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088"/>
        <w:gridCol w:w="694"/>
        <w:gridCol w:w="1215"/>
        <w:gridCol w:w="1050"/>
        <w:gridCol w:w="1095"/>
        <w:gridCol w:w="1206"/>
        <w:gridCol w:w="28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序号</w:t>
            </w:r>
          </w:p>
        </w:tc>
        <w:tc>
          <w:tcPr>
            <w:tcW w:w="566"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物质名称</w:t>
            </w:r>
          </w:p>
        </w:tc>
        <w:tc>
          <w:tcPr>
            <w:tcW w:w="361"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性状</w:t>
            </w:r>
          </w:p>
        </w:tc>
        <w:tc>
          <w:tcPr>
            <w:tcW w:w="63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熔点（</w:t>
            </w:r>
            <w:r>
              <w:rPr>
                <w:rFonts w:hint="default" w:ascii="Times New Roman" w:hAnsi="Times New Roman" w:cs="Times New Roman"/>
                <w:b/>
                <w:bCs/>
                <w:vertAlign w:val="baseline"/>
                <w:lang w:val="en-US" w:eastAsia="zh-CN"/>
              </w:rPr>
              <w:t>℃</w:t>
            </w:r>
            <w:r>
              <w:rPr>
                <w:rFonts w:hint="eastAsia"/>
                <w:b/>
                <w:bCs/>
                <w:vertAlign w:val="baseline"/>
                <w:lang w:val="en-US" w:eastAsia="zh-CN"/>
              </w:rPr>
              <w:t>）</w:t>
            </w:r>
          </w:p>
        </w:tc>
        <w:tc>
          <w:tcPr>
            <w:tcW w:w="546"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爆炸极限（V%）</w:t>
            </w:r>
          </w:p>
        </w:tc>
        <w:tc>
          <w:tcPr>
            <w:tcW w:w="569"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LD</w:t>
            </w:r>
            <w:r>
              <w:rPr>
                <w:rFonts w:hint="eastAsia"/>
                <w:b/>
                <w:bCs/>
                <w:vertAlign w:val="subscript"/>
                <w:lang w:val="en-US" w:eastAsia="zh-CN"/>
              </w:rPr>
              <w:t>50</w:t>
            </w:r>
            <w:r>
              <w:rPr>
                <w:rFonts w:hint="eastAsia"/>
                <w:b/>
                <w:bCs/>
                <w:vertAlign w:val="baseline"/>
                <w:lang w:val="en-US" w:eastAsia="zh-CN"/>
              </w:rPr>
              <w:t>（mg/kg）</w:t>
            </w:r>
          </w:p>
        </w:tc>
        <w:tc>
          <w:tcPr>
            <w:tcW w:w="627"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CAS号</w:t>
            </w:r>
          </w:p>
        </w:tc>
        <w:tc>
          <w:tcPr>
            <w:tcW w:w="1474"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危险特性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w:t>
            </w:r>
          </w:p>
        </w:tc>
        <w:tc>
          <w:tcPr>
            <w:tcW w:w="56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柴油</w:t>
            </w:r>
          </w:p>
        </w:tc>
        <w:tc>
          <w:tcPr>
            <w:tcW w:w="36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有色透明液体</w:t>
            </w:r>
          </w:p>
        </w:tc>
        <w:tc>
          <w:tcPr>
            <w:tcW w:w="63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-18</w:t>
            </w:r>
          </w:p>
        </w:tc>
        <w:tc>
          <w:tcPr>
            <w:tcW w:w="54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5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62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68334-30-5</w:t>
            </w:r>
          </w:p>
        </w:tc>
        <w:tc>
          <w:tcPr>
            <w:tcW w:w="1474" w:type="pct"/>
            <w:tcBorders>
              <w:tl2br w:val="nil"/>
              <w:tr2bl w:val="nil"/>
            </w:tcBorders>
            <w:vAlign w:val="center"/>
          </w:tcPr>
          <w:p>
            <w:pPr>
              <w:pStyle w:val="30"/>
              <w:widowControl w:val="0"/>
              <w:bidi w:val="0"/>
              <w:rPr>
                <w:rFonts w:hint="default"/>
                <w:lang w:val="en-US" w:eastAsia="zh-CN"/>
              </w:rPr>
            </w:pPr>
            <w:r>
              <w:rPr>
                <w:rFonts w:hint="eastAsia"/>
              </w:rPr>
              <w:t>遇明火、高热或与氧化剂接触，有引起燃烧爆炸的危险。若遇高热，容器内压增大，有开裂和爆炸的危险。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w:t>
            </w:r>
          </w:p>
        </w:tc>
        <w:tc>
          <w:tcPr>
            <w:tcW w:w="566" w:type="pct"/>
            <w:tcBorders>
              <w:tl2br w:val="nil"/>
              <w:tr2bl w:val="nil"/>
            </w:tcBorders>
            <w:vAlign w:val="center"/>
          </w:tcPr>
          <w:p>
            <w:pPr>
              <w:pStyle w:val="30"/>
              <w:widowControl w:val="0"/>
              <w:jc w:val="center"/>
              <w:rPr>
                <w:rFonts w:hint="default"/>
                <w:vertAlign w:val="baseline"/>
                <w:lang w:val="en-US" w:eastAsia="zh-CN"/>
              </w:rPr>
            </w:pPr>
            <w:r>
              <w:rPr>
                <w:rFonts w:hint="eastAsia"/>
              </w:rPr>
              <w:t>二氯异氰尿酸钠</w:t>
            </w:r>
          </w:p>
        </w:tc>
        <w:tc>
          <w:tcPr>
            <w:tcW w:w="36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微黄色溶液</w:t>
            </w:r>
          </w:p>
        </w:tc>
        <w:tc>
          <w:tcPr>
            <w:tcW w:w="632" w:type="pct"/>
            <w:tcBorders>
              <w:tl2br w:val="nil"/>
              <w:tr2bl w:val="nil"/>
            </w:tcBorders>
            <w:vAlign w:val="center"/>
          </w:tcPr>
          <w:p>
            <w:pPr>
              <w:pStyle w:val="30"/>
              <w:widowControl w:val="0"/>
              <w:jc w:val="center"/>
              <w:rPr>
                <w:rFonts w:hint="default"/>
                <w:vertAlign w:val="baseline"/>
                <w:lang w:val="en-US" w:eastAsia="zh-CN"/>
              </w:rPr>
            </w:pPr>
            <w:r>
              <w:rPr>
                <w:rFonts w:hint="eastAsia"/>
                <w:b w:val="0"/>
                <w:bCs w:val="0"/>
                <w:vertAlign w:val="baseline"/>
                <w:lang w:val="en-US" w:eastAsia="zh-CN"/>
              </w:rPr>
              <w:t>230~250</w:t>
            </w:r>
            <w:r>
              <w:rPr>
                <w:rFonts w:hint="default" w:ascii="Times New Roman" w:hAnsi="Times New Roman" w:cs="Times New Roman"/>
                <w:b w:val="0"/>
                <w:bCs w:val="0"/>
                <w:vertAlign w:val="baseline"/>
                <w:lang w:val="en-US" w:eastAsia="zh-CN"/>
              </w:rPr>
              <w:t>℃</w:t>
            </w:r>
          </w:p>
        </w:tc>
        <w:tc>
          <w:tcPr>
            <w:tcW w:w="54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569"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1420</w:t>
            </w:r>
          </w:p>
        </w:tc>
        <w:tc>
          <w:tcPr>
            <w:tcW w:w="627"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2893-78-9</w:t>
            </w:r>
          </w:p>
        </w:tc>
        <w:tc>
          <w:tcPr>
            <w:tcW w:w="1474" w:type="pct"/>
            <w:tcBorders>
              <w:tl2br w:val="nil"/>
              <w:tr2bl w:val="nil"/>
            </w:tcBorders>
            <w:vAlign w:val="center"/>
          </w:tcPr>
          <w:p>
            <w:pPr>
              <w:pStyle w:val="30"/>
              <w:widowControl w:val="0"/>
              <w:bidi w:val="0"/>
              <w:rPr>
                <w:rFonts w:hint="default"/>
                <w:lang w:val="en-US" w:eastAsia="zh-CN"/>
              </w:rPr>
            </w:pPr>
            <w:r>
              <w:rPr>
                <w:rFonts w:hint="eastAsia"/>
              </w:rPr>
              <w:t>与易燃物、有机物接触易着火燃烧。与含氮化合物（如氨、尿素等）反应生成易爆炸的三氯化氮。</w:t>
            </w:r>
          </w:p>
        </w:tc>
      </w:tr>
    </w:tbl>
    <w:p>
      <w:pPr>
        <w:pStyle w:val="5"/>
        <w:bidi w:val="0"/>
        <w:rPr>
          <w:rFonts w:hint="default"/>
          <w:lang w:val="en-US" w:eastAsia="zh-CN"/>
        </w:rPr>
      </w:pPr>
      <w:r>
        <w:rPr>
          <w:rFonts w:hint="eastAsia"/>
          <w:lang w:val="en-US" w:eastAsia="zh-CN"/>
        </w:rPr>
        <w:t>生产系统危险性识别</w:t>
      </w:r>
    </w:p>
    <w:p>
      <w:pPr>
        <w:rPr>
          <w:rFonts w:hint="default"/>
          <w:lang w:val="en-US" w:eastAsia="zh-CN"/>
        </w:rPr>
      </w:pPr>
      <w:r>
        <w:rPr>
          <w:rFonts w:hint="eastAsia"/>
          <w:lang w:val="en-US" w:eastAsia="zh-CN"/>
        </w:rPr>
        <w:t>本项目主要生产系统危险性来源于环境保护设备的不正常运营。</w:t>
      </w:r>
    </w:p>
    <w:p>
      <w:pPr>
        <w:pStyle w:val="6"/>
        <w:bidi w:val="0"/>
        <w:rPr>
          <w:rFonts w:hint="default"/>
          <w:lang w:val="en-US" w:eastAsia="zh-CN"/>
        </w:rPr>
      </w:pPr>
      <w:r>
        <w:rPr>
          <w:rFonts w:hint="eastAsia"/>
          <w:lang w:val="en-US" w:eastAsia="zh-CN"/>
        </w:rPr>
        <w:t>污水处理站</w:t>
      </w:r>
    </w:p>
    <w:p>
      <w:pPr>
        <w:bidi w:val="0"/>
        <w:rPr>
          <w:rFonts w:hint="eastAsia"/>
        </w:rPr>
      </w:pPr>
      <w:r>
        <w:rPr>
          <w:rFonts w:hint="eastAsia"/>
        </w:rPr>
        <w:t>本工程污水处理设施及污水处理站可能发生的事故有：</w:t>
      </w:r>
    </w:p>
    <w:p>
      <w:pPr>
        <w:bidi w:val="0"/>
        <w:rPr>
          <w:rFonts w:hint="eastAsia"/>
        </w:rPr>
      </w:pPr>
      <w:r>
        <w:rPr>
          <w:rFonts w:hint="eastAsia"/>
        </w:rPr>
        <w:t>（</w:t>
      </w:r>
      <w:r>
        <w:rPr>
          <w:rFonts w:hint="default"/>
        </w:rPr>
        <w:t>1</w:t>
      </w:r>
      <w:r>
        <w:rPr>
          <w:rFonts w:hint="eastAsia"/>
        </w:rPr>
        <w:t>）管网系统由于管道堵塞、管道破裂和管道接头处的破损，会造成大量污水外溢，污染地表水和地下水。</w:t>
      </w:r>
    </w:p>
    <w:p>
      <w:pPr>
        <w:bidi w:val="0"/>
        <w:rPr>
          <w:rFonts w:hint="default"/>
          <w:lang w:val="en-US" w:eastAsia="zh-CN"/>
        </w:rPr>
      </w:pPr>
      <w:r>
        <w:rPr>
          <w:rFonts w:hint="eastAsia"/>
        </w:rPr>
        <w:t>（</w:t>
      </w:r>
      <w:r>
        <w:rPr>
          <w:rFonts w:hint="default"/>
        </w:rPr>
        <w:t>2</w:t>
      </w:r>
      <w:r>
        <w:rPr>
          <w:rFonts w:hint="eastAsia"/>
        </w:rPr>
        <w:t>）由于管理不当等原因，污水处理站处理效率降低。污水处理站发生事故时，污水不能得到及时处理，可能出现污水超标排放。</w:t>
      </w:r>
    </w:p>
    <w:p>
      <w:pPr>
        <w:pStyle w:val="6"/>
        <w:bidi w:val="0"/>
        <w:rPr>
          <w:rFonts w:hint="default"/>
          <w:lang w:val="en-US" w:eastAsia="zh-CN"/>
        </w:rPr>
      </w:pPr>
      <w:r>
        <w:rPr>
          <w:rFonts w:hint="eastAsia"/>
          <w:lang w:val="en-US" w:eastAsia="zh-CN"/>
        </w:rPr>
        <w:t>恶臭处理设备</w:t>
      </w:r>
    </w:p>
    <w:p>
      <w:pPr>
        <w:spacing w:beforeLines="0" w:afterLines="0"/>
        <w:jc w:val="left"/>
        <w:rPr>
          <w:rFonts w:hint="eastAsia" w:ascii="宋体" w:hAnsi="宋体" w:eastAsia="宋体"/>
          <w:sz w:val="24"/>
          <w:szCs w:val="24"/>
        </w:rPr>
      </w:pPr>
      <w:r>
        <w:rPr>
          <w:rFonts w:hint="eastAsia" w:ascii="宋体" w:hAnsi="宋体" w:eastAsia="宋体"/>
          <w:sz w:val="24"/>
          <w:szCs w:val="24"/>
        </w:rPr>
        <w:t>（</w:t>
      </w:r>
      <w:r>
        <w:rPr>
          <w:rFonts w:hint="default" w:ascii="Times New Roman" w:hAnsi="Times New Roman" w:eastAsia="Times New Roman"/>
          <w:sz w:val="24"/>
          <w:szCs w:val="24"/>
        </w:rPr>
        <w:t>1</w:t>
      </w:r>
      <w:r>
        <w:rPr>
          <w:rFonts w:hint="eastAsia" w:ascii="宋体" w:hAnsi="宋体" w:eastAsia="宋体"/>
          <w:sz w:val="24"/>
          <w:szCs w:val="24"/>
        </w:rPr>
        <w:t>）废气集气管道破损、风机故障导致无法收集废气，出现废气事故排放。</w:t>
      </w:r>
    </w:p>
    <w:p>
      <w:pPr>
        <w:rPr>
          <w:rFonts w:hint="default"/>
          <w:lang w:val="en-US" w:eastAsia="zh-CN"/>
        </w:rPr>
      </w:pPr>
      <w:r>
        <w:rPr>
          <w:rFonts w:hint="eastAsia" w:ascii="宋体" w:hAnsi="宋体" w:eastAsia="宋体"/>
          <w:sz w:val="24"/>
          <w:szCs w:val="24"/>
        </w:rPr>
        <w:t>（</w:t>
      </w:r>
      <w:r>
        <w:rPr>
          <w:rFonts w:hint="default" w:ascii="Times New Roman" w:hAnsi="Times New Roman" w:eastAsia="Times New Roman"/>
          <w:sz w:val="24"/>
          <w:szCs w:val="24"/>
        </w:rPr>
        <w:t>2</w:t>
      </w:r>
      <w:r>
        <w:rPr>
          <w:rFonts w:hint="eastAsia" w:ascii="宋体" w:hAnsi="宋体" w:eastAsia="宋体"/>
          <w:sz w:val="24"/>
          <w:szCs w:val="24"/>
        </w:rPr>
        <w:t>）由于管理不当等原因，废气处理效率降低，导致废气超标排放。</w:t>
      </w:r>
    </w:p>
    <w:p>
      <w:pPr>
        <w:pStyle w:val="6"/>
        <w:bidi w:val="0"/>
        <w:rPr>
          <w:rFonts w:hint="default"/>
          <w:lang w:val="en-US" w:eastAsia="zh-CN"/>
        </w:rPr>
      </w:pPr>
      <w:r>
        <w:rPr>
          <w:rFonts w:hint="eastAsia"/>
          <w:lang w:val="en-US" w:eastAsia="zh-CN"/>
        </w:rPr>
        <w:t>病死猪、粪便等固废</w:t>
      </w:r>
    </w:p>
    <w:p>
      <w:pPr>
        <w:rPr>
          <w:rFonts w:hint="default"/>
          <w:lang w:val="en-US" w:eastAsia="zh-CN"/>
        </w:rPr>
      </w:pPr>
      <w:r>
        <w:rPr>
          <w:rFonts w:hint="eastAsia" w:ascii="宋体" w:hAnsi="宋体" w:eastAsia="宋体"/>
          <w:sz w:val="24"/>
          <w:szCs w:val="24"/>
        </w:rPr>
        <w:t>项目产生的病死猪、粪便等固废，由于特殊原因不能及时清运，存在着污染环境的风险。</w:t>
      </w:r>
    </w:p>
    <w:p>
      <w:pPr>
        <w:pStyle w:val="6"/>
        <w:bidi w:val="0"/>
        <w:rPr>
          <w:rFonts w:hint="eastAsia" w:ascii="宋体" w:hAnsi="宋体" w:eastAsia="宋体"/>
          <w:sz w:val="24"/>
          <w:szCs w:val="24"/>
        </w:rPr>
      </w:pPr>
      <w:r>
        <w:rPr>
          <w:rFonts w:hint="eastAsia" w:ascii="宋体" w:hAnsi="宋体" w:eastAsia="宋体"/>
          <w:sz w:val="24"/>
          <w:szCs w:val="24"/>
        </w:rPr>
        <w:t>柴油</w:t>
      </w:r>
    </w:p>
    <w:p>
      <w:pPr>
        <w:bidi w:val="0"/>
        <w:rPr>
          <w:rFonts w:hint="eastAsia"/>
        </w:rPr>
      </w:pPr>
      <w:r>
        <w:rPr>
          <w:rFonts w:hint="eastAsia"/>
        </w:rPr>
        <w:t>本工程备用柴油发电机燃料为</w:t>
      </w:r>
      <w:r>
        <w:rPr>
          <w:rFonts w:hint="default"/>
        </w:rPr>
        <w:t>0#</w:t>
      </w:r>
      <w:r>
        <w:rPr>
          <w:rFonts w:hint="eastAsia"/>
        </w:rPr>
        <w:t>轻柴油，不设油库，油箱容积为</w:t>
      </w:r>
      <w:r>
        <w:rPr>
          <w:rFonts w:hint="default"/>
        </w:rPr>
        <w:t>0.5m</w:t>
      </w:r>
      <w:r>
        <w:rPr>
          <w:rFonts w:hint="eastAsia"/>
          <w:vertAlign w:val="superscript"/>
          <w:lang w:val="en-US" w:eastAsia="zh-CN"/>
        </w:rPr>
        <w:t>3</w:t>
      </w:r>
      <w:r>
        <w:rPr>
          <w:rFonts w:hint="eastAsia"/>
        </w:rPr>
        <w:t>。柴油在运输、储存和使用过程中，如遇到管阀失效、操作不当等，会引发泄漏，并可能引发火灾。柴油发生泄漏可能对地表水体和地下水体造成污染。火灾会造成烟尘污染，还可能造成人员伤亡。</w:t>
      </w:r>
    </w:p>
    <w:p>
      <w:pPr>
        <w:pStyle w:val="6"/>
        <w:bidi w:val="0"/>
        <w:rPr>
          <w:rFonts w:hint="eastAsia"/>
        </w:rPr>
      </w:pPr>
      <w:r>
        <w:rPr>
          <w:rFonts w:hint="eastAsia"/>
        </w:rPr>
        <w:t>生猪疫情</w:t>
      </w:r>
    </w:p>
    <w:p>
      <w:pPr>
        <w:bidi w:val="0"/>
        <w:rPr>
          <w:rFonts w:hint="eastAsia"/>
        </w:rPr>
      </w:pPr>
      <w:r>
        <w:rPr>
          <w:rFonts w:hint="eastAsia"/>
        </w:rPr>
        <w:t>在项目运营过程中，爆发生猪流行疾病，造成人畜共患疫情。</w:t>
      </w:r>
    </w:p>
    <w:p>
      <w:pPr>
        <w:pStyle w:val="6"/>
        <w:bidi w:val="0"/>
        <w:rPr>
          <w:rFonts w:hint="eastAsia"/>
        </w:rPr>
      </w:pPr>
      <w:r>
        <w:rPr>
          <w:rFonts w:hint="eastAsia"/>
        </w:rPr>
        <w:t>化学品贮存、使用过程</w:t>
      </w:r>
    </w:p>
    <w:p>
      <w:pPr>
        <w:bidi w:val="0"/>
        <w:rPr>
          <w:rFonts w:hint="eastAsia"/>
        </w:rPr>
      </w:pPr>
      <w:r>
        <w:rPr>
          <w:rFonts w:hint="eastAsia"/>
        </w:rPr>
        <w:t>本项目使用化学品由人工输送至使用点，在贮存、使用过程可能潜在的风险事故如：</w:t>
      </w:r>
    </w:p>
    <w:p>
      <w:pPr>
        <w:bidi w:val="0"/>
        <w:rPr>
          <w:rFonts w:hint="eastAsia"/>
        </w:rPr>
      </w:pPr>
      <w:r>
        <w:rPr>
          <w:rFonts w:hint="eastAsia"/>
        </w:rPr>
        <w:t>（</w:t>
      </w:r>
      <w:r>
        <w:rPr>
          <w:rFonts w:hint="default"/>
        </w:rPr>
        <w:t>1</w:t>
      </w:r>
      <w:r>
        <w:rPr>
          <w:rFonts w:hint="eastAsia"/>
        </w:rPr>
        <w:t>）由于贮存装置破裂</w:t>
      </w:r>
      <w:r>
        <w:rPr>
          <w:rFonts w:hint="eastAsia"/>
          <w:lang w:eastAsia="zh-CN"/>
        </w:rPr>
        <w:t>或</w:t>
      </w:r>
      <w:r>
        <w:rPr>
          <w:rFonts w:hint="eastAsia"/>
        </w:rPr>
        <w:t>操作不当，造成泄漏，导致人员中毒和环境污染。</w:t>
      </w:r>
    </w:p>
    <w:p>
      <w:pPr>
        <w:bidi w:val="0"/>
        <w:rPr>
          <w:rFonts w:hint="eastAsia"/>
        </w:rPr>
      </w:pPr>
      <w:r>
        <w:rPr>
          <w:rFonts w:hint="eastAsia"/>
        </w:rPr>
        <w:t>（</w:t>
      </w:r>
      <w:r>
        <w:rPr>
          <w:rFonts w:hint="default"/>
        </w:rPr>
        <w:t>2</w:t>
      </w:r>
      <w:r>
        <w:rPr>
          <w:rFonts w:hint="eastAsia"/>
        </w:rPr>
        <w:t>）在使用过程中由于操作人员工作不当造成化学品泄露。</w:t>
      </w:r>
    </w:p>
    <w:p>
      <w:pPr>
        <w:pStyle w:val="6"/>
        <w:bidi w:val="0"/>
        <w:rPr>
          <w:rFonts w:hint="eastAsia"/>
        </w:rPr>
      </w:pPr>
      <w:r>
        <w:rPr>
          <w:rFonts w:hint="eastAsia"/>
        </w:rPr>
        <w:t>冷藏库、速冻库及空气源热泵机</w:t>
      </w:r>
    </w:p>
    <w:p>
      <w:pPr>
        <w:bidi w:val="0"/>
        <w:rPr>
          <w:rFonts w:hint="default"/>
          <w:lang w:val="en-US" w:eastAsia="zh-CN"/>
        </w:rPr>
      </w:pPr>
      <w:r>
        <w:rPr>
          <w:rFonts w:hint="eastAsia"/>
        </w:rPr>
        <w:t>制冷剂泄露，冻库及车间受到污染，对工作人员的身体健康造成影响。</w:t>
      </w:r>
    </w:p>
    <w:p>
      <w:pPr>
        <w:pStyle w:val="4"/>
        <w:bidi w:val="0"/>
        <w:rPr>
          <w:rFonts w:hint="default"/>
          <w:lang w:val="en-US" w:eastAsia="zh-CN"/>
        </w:rPr>
      </w:pPr>
      <w:bookmarkStart w:id="58" w:name="_Toc20267"/>
      <w:r>
        <w:rPr>
          <w:rFonts w:hint="eastAsia"/>
          <w:lang w:val="en-US" w:eastAsia="zh-CN"/>
        </w:rPr>
        <w:t>环境风险分析</w:t>
      </w:r>
      <w:bookmarkEnd w:id="58"/>
    </w:p>
    <w:p>
      <w:pPr>
        <w:pStyle w:val="5"/>
        <w:bidi w:val="0"/>
        <w:rPr>
          <w:rFonts w:hint="default"/>
          <w:lang w:val="en-US" w:eastAsia="zh-CN"/>
        </w:rPr>
      </w:pPr>
      <w:r>
        <w:rPr>
          <w:rFonts w:hint="eastAsia"/>
          <w:lang w:val="en-US" w:eastAsia="zh-CN"/>
        </w:rPr>
        <w:t>地表水环境风险分析</w:t>
      </w:r>
    </w:p>
    <w:p>
      <w:pPr>
        <w:bidi w:val="0"/>
        <w:rPr>
          <w:rFonts w:hint="default"/>
          <w:lang w:val="en-US" w:eastAsia="zh-CN"/>
        </w:rPr>
      </w:pPr>
      <w:r>
        <w:rPr>
          <w:rFonts w:hint="eastAsia"/>
        </w:rPr>
        <w:t>当项目污水处理站出现故障时，未经处理达标的废水将直接</w:t>
      </w:r>
      <w:r>
        <w:rPr>
          <w:rFonts w:hint="eastAsia"/>
          <w:lang w:val="en-US" w:eastAsia="zh-CN"/>
        </w:rPr>
        <w:t>用于农田灌溉，对农作物影响较大</w:t>
      </w:r>
      <w:r>
        <w:rPr>
          <w:rFonts w:hint="eastAsia"/>
        </w:rPr>
        <w:t>。</w:t>
      </w:r>
    </w:p>
    <w:p>
      <w:pPr>
        <w:pStyle w:val="5"/>
        <w:bidi w:val="0"/>
        <w:rPr>
          <w:rFonts w:hint="default"/>
          <w:lang w:val="en-US" w:eastAsia="zh-CN"/>
        </w:rPr>
      </w:pPr>
      <w:r>
        <w:rPr>
          <w:rFonts w:hint="eastAsia"/>
          <w:lang w:val="en-US" w:eastAsia="zh-CN"/>
        </w:rPr>
        <w:t>地下水环境风险分析</w:t>
      </w:r>
    </w:p>
    <w:p>
      <w:pPr>
        <w:bidi w:val="0"/>
        <w:rPr>
          <w:rFonts w:hint="default"/>
          <w:lang w:val="en-US" w:eastAsia="zh-CN"/>
        </w:rPr>
      </w:pPr>
      <w:r>
        <w:rPr>
          <w:rFonts w:hint="eastAsia"/>
        </w:rPr>
        <w:t>（</w:t>
      </w:r>
      <w:r>
        <w:rPr>
          <w:rFonts w:hint="default"/>
        </w:rPr>
        <w:t>1</w:t>
      </w:r>
      <w:r>
        <w:rPr>
          <w:rFonts w:hint="eastAsia"/>
        </w:rPr>
        <w:t>）污水处理站管网系统由于管道堵塞、管道破裂和管道接头处的破损，会造成大量污水外溢，污染地下水。</w:t>
      </w:r>
    </w:p>
    <w:p>
      <w:pPr>
        <w:bidi w:val="0"/>
        <w:rPr>
          <w:rFonts w:hint="eastAsia"/>
        </w:rPr>
      </w:pPr>
      <w:r>
        <w:rPr>
          <w:rFonts w:hint="eastAsia"/>
        </w:rPr>
        <w:t>（</w:t>
      </w:r>
      <w:r>
        <w:rPr>
          <w:rFonts w:hint="default"/>
        </w:rPr>
        <w:t>2</w:t>
      </w:r>
      <w:r>
        <w:rPr>
          <w:rFonts w:hint="eastAsia"/>
        </w:rPr>
        <w:t>）柴油发电机油管泄漏，且防渗层破坏，导致对地下水污染。</w:t>
      </w:r>
    </w:p>
    <w:p>
      <w:pPr>
        <w:pStyle w:val="5"/>
        <w:bidi w:val="0"/>
        <w:rPr>
          <w:rFonts w:hint="default"/>
          <w:lang w:val="en-US" w:eastAsia="zh-CN"/>
        </w:rPr>
      </w:pPr>
      <w:r>
        <w:rPr>
          <w:rFonts w:hint="eastAsia"/>
          <w:lang w:val="en-US" w:eastAsia="zh-CN"/>
        </w:rPr>
        <w:t>大气环境风险分析</w:t>
      </w:r>
    </w:p>
    <w:p>
      <w:pPr>
        <w:bidi w:val="0"/>
        <w:rPr>
          <w:rFonts w:hint="eastAsia"/>
        </w:rPr>
      </w:pPr>
      <w:r>
        <w:rPr>
          <w:rFonts w:hint="eastAsia"/>
        </w:rPr>
        <w:t>（</w:t>
      </w:r>
      <w:r>
        <w:rPr>
          <w:rFonts w:hint="default"/>
        </w:rPr>
        <w:t>1</w:t>
      </w:r>
      <w:r>
        <w:rPr>
          <w:rFonts w:hint="eastAsia"/>
        </w:rPr>
        <w:t>）项目恶臭集气管道破损、引风机故障导致无法收集废气，出现废气事故排放，以及废气处理设施管理不当，微生物活性降低，造成废气超标排放，对外界环境空气质量造成影响。</w:t>
      </w:r>
    </w:p>
    <w:p>
      <w:pPr>
        <w:bidi w:val="0"/>
        <w:rPr>
          <w:rFonts w:hint="eastAsia"/>
        </w:rPr>
      </w:pPr>
      <w:r>
        <w:rPr>
          <w:rFonts w:hint="eastAsia"/>
        </w:rPr>
        <w:t>（</w:t>
      </w:r>
      <w:r>
        <w:rPr>
          <w:rFonts w:hint="default"/>
        </w:rPr>
        <w:t>2</w:t>
      </w:r>
      <w:r>
        <w:rPr>
          <w:rFonts w:hint="eastAsia"/>
        </w:rPr>
        <w:t>）项目产生的病死猪、粪便等固废，由于特殊原因不能及时清运，会造成废物暂存间内病菌滋生。</w:t>
      </w:r>
    </w:p>
    <w:p>
      <w:pPr>
        <w:bidi w:val="0"/>
        <w:rPr>
          <w:rFonts w:hint="default"/>
          <w:lang w:val="en-US" w:eastAsia="zh-CN"/>
        </w:rPr>
      </w:pPr>
      <w:r>
        <w:rPr>
          <w:rFonts w:hint="eastAsia"/>
        </w:rPr>
        <w:t>（</w:t>
      </w:r>
      <w:r>
        <w:rPr>
          <w:rFonts w:hint="default"/>
        </w:rPr>
        <w:t>3</w:t>
      </w:r>
      <w:r>
        <w:rPr>
          <w:rFonts w:hint="eastAsia"/>
        </w:rPr>
        <w:t>）本项目制冷剂泄露，冻库及车间受到污染，对工作人员的身体健康造成影响。</w:t>
      </w:r>
    </w:p>
    <w:p>
      <w:pPr>
        <w:pStyle w:val="5"/>
        <w:bidi w:val="0"/>
        <w:rPr>
          <w:rFonts w:hint="default"/>
          <w:lang w:val="en-US" w:eastAsia="zh-CN"/>
        </w:rPr>
      </w:pPr>
      <w:r>
        <w:rPr>
          <w:rFonts w:hint="eastAsia"/>
          <w:lang w:val="en-US" w:eastAsia="zh-CN"/>
        </w:rPr>
        <w:t>火灾风险分析</w:t>
      </w:r>
    </w:p>
    <w:p>
      <w:pPr>
        <w:bidi w:val="0"/>
        <w:rPr>
          <w:rFonts w:hint="default"/>
          <w:lang w:val="en-US" w:eastAsia="zh-CN"/>
        </w:rPr>
      </w:pPr>
      <w:r>
        <w:rPr>
          <w:rFonts w:hint="eastAsia" w:ascii="宋体" w:hAnsi="宋体" w:eastAsia="宋体"/>
          <w:sz w:val="24"/>
          <w:szCs w:val="24"/>
        </w:rPr>
        <w:t>项目由于操作不当造成火灾，经消防水浇灭后会产生大量消防废水，本项目室外消火栓用水量：</w:t>
      </w:r>
      <w:r>
        <w:rPr>
          <w:rFonts w:hint="default" w:ascii="Times New Roman" w:hAnsi="Times New Roman" w:eastAsia="Times New Roman"/>
          <w:sz w:val="24"/>
          <w:szCs w:val="24"/>
        </w:rPr>
        <w:t>40L/s</w:t>
      </w:r>
      <w:r>
        <w:rPr>
          <w:rFonts w:hint="eastAsia" w:ascii="宋体" w:hAnsi="宋体" w:eastAsia="宋体"/>
          <w:sz w:val="24"/>
          <w:szCs w:val="24"/>
        </w:rPr>
        <w:t>，室内消火栓用水量：</w:t>
      </w:r>
      <w:r>
        <w:rPr>
          <w:rFonts w:hint="default" w:ascii="Times New Roman" w:hAnsi="Times New Roman" w:eastAsia="Times New Roman"/>
          <w:sz w:val="24"/>
          <w:szCs w:val="24"/>
        </w:rPr>
        <w:t>20L/s</w:t>
      </w:r>
      <w:r>
        <w:rPr>
          <w:rFonts w:hint="eastAsia" w:ascii="宋体" w:hAnsi="宋体" w:eastAsia="宋体"/>
          <w:sz w:val="24"/>
          <w:szCs w:val="24"/>
        </w:rPr>
        <w:t>。室内、外消火栓火灾延续时间：</w:t>
      </w:r>
      <w:r>
        <w:rPr>
          <w:rFonts w:hint="default" w:ascii="Times New Roman" w:hAnsi="Times New Roman" w:eastAsia="Times New Roman"/>
          <w:sz w:val="24"/>
          <w:szCs w:val="24"/>
        </w:rPr>
        <w:t>3h</w:t>
      </w:r>
      <w:r>
        <w:rPr>
          <w:rFonts w:hint="eastAsia" w:ascii="宋体" w:hAnsi="宋体" w:eastAsia="宋体"/>
          <w:sz w:val="24"/>
          <w:szCs w:val="24"/>
        </w:rPr>
        <w:t>，消防用水量按最大时间计为</w:t>
      </w:r>
      <w:r>
        <w:rPr>
          <w:rFonts w:hint="default" w:ascii="Times New Roman" w:hAnsi="Times New Roman" w:eastAsia="Times New Roman"/>
          <w:sz w:val="24"/>
          <w:szCs w:val="24"/>
        </w:rPr>
        <w:t>648m</w:t>
      </w:r>
      <w:r>
        <w:rPr>
          <w:rFonts w:hint="eastAsia" w:ascii="Times New Roman" w:hAnsi="Times New Roman" w:eastAsia="宋体"/>
          <w:sz w:val="24"/>
          <w:szCs w:val="24"/>
          <w:vertAlign w:val="superscript"/>
          <w:lang w:val="en-US" w:eastAsia="zh-CN"/>
        </w:rPr>
        <w:t>3</w:t>
      </w:r>
      <w:r>
        <w:rPr>
          <w:rFonts w:hint="eastAsia" w:ascii="宋体" w:hAnsi="宋体" w:eastAsia="宋体"/>
          <w:sz w:val="24"/>
          <w:szCs w:val="24"/>
        </w:rPr>
        <w:t>。本项目为屠宰企业，消防废水主要污染物为</w:t>
      </w:r>
      <w:r>
        <w:rPr>
          <w:rFonts w:hint="default" w:ascii="Times New Roman" w:hAnsi="Times New Roman" w:eastAsia="Times New Roman"/>
          <w:sz w:val="24"/>
          <w:szCs w:val="24"/>
        </w:rPr>
        <w:t>SS</w:t>
      </w:r>
      <w:r>
        <w:rPr>
          <w:rFonts w:hint="eastAsia" w:ascii="宋体" w:hAnsi="宋体" w:eastAsia="宋体"/>
          <w:sz w:val="24"/>
          <w:szCs w:val="24"/>
        </w:rPr>
        <w:t>、</w:t>
      </w:r>
      <w:r>
        <w:rPr>
          <w:rFonts w:hint="default" w:ascii="Times New Roman" w:hAnsi="Times New Roman" w:eastAsia="Times New Roman"/>
          <w:sz w:val="24"/>
          <w:szCs w:val="24"/>
        </w:rPr>
        <w:t>COD</w:t>
      </w:r>
      <w:r>
        <w:rPr>
          <w:rFonts w:hint="eastAsia" w:ascii="宋体" w:hAnsi="宋体" w:eastAsia="宋体"/>
          <w:sz w:val="24"/>
          <w:szCs w:val="24"/>
        </w:rPr>
        <w:t>、</w:t>
      </w:r>
      <w:r>
        <w:rPr>
          <w:rFonts w:hint="default" w:ascii="Times New Roman" w:hAnsi="Times New Roman" w:eastAsia="Times New Roman"/>
          <w:sz w:val="24"/>
          <w:szCs w:val="24"/>
        </w:rPr>
        <w:t>BOD</w:t>
      </w:r>
      <w:r>
        <w:rPr>
          <w:rFonts w:hint="default" w:ascii="Times New Roman" w:hAnsi="Times New Roman" w:eastAsia="Times New Roman"/>
          <w:sz w:val="16"/>
          <w:szCs w:val="24"/>
        </w:rPr>
        <w:t>5</w:t>
      </w:r>
      <w:r>
        <w:rPr>
          <w:rFonts w:hint="eastAsia" w:ascii="宋体" w:hAnsi="宋体" w:eastAsia="宋体"/>
          <w:sz w:val="24"/>
          <w:szCs w:val="24"/>
        </w:rPr>
        <w:t>、</w:t>
      </w:r>
      <w:r>
        <w:rPr>
          <w:rFonts w:hint="default" w:ascii="Times New Roman" w:hAnsi="Times New Roman" w:eastAsia="Times New Roman"/>
          <w:sz w:val="24"/>
          <w:szCs w:val="24"/>
        </w:rPr>
        <w:t>NH</w:t>
      </w:r>
      <w:r>
        <w:rPr>
          <w:rFonts w:hint="default" w:ascii="Times New Roman" w:hAnsi="Times New Roman" w:eastAsia="Times New Roman"/>
          <w:sz w:val="16"/>
          <w:szCs w:val="24"/>
        </w:rPr>
        <w:t>3</w:t>
      </w:r>
      <w:r>
        <w:rPr>
          <w:rFonts w:hint="default" w:ascii="Times New Roman" w:hAnsi="Times New Roman" w:eastAsia="Times New Roman"/>
          <w:sz w:val="24"/>
          <w:szCs w:val="24"/>
        </w:rPr>
        <w:t>-N</w:t>
      </w:r>
      <w:r>
        <w:rPr>
          <w:rFonts w:hint="eastAsia" w:ascii="宋体" w:hAnsi="宋体" w:eastAsia="宋体"/>
          <w:sz w:val="24"/>
          <w:szCs w:val="24"/>
        </w:rPr>
        <w:t>等，不含有毒有害物质，且由于水量大，除</w:t>
      </w:r>
      <w:r>
        <w:rPr>
          <w:rFonts w:hint="default" w:ascii="Times New Roman" w:hAnsi="Times New Roman" w:eastAsia="Times New Roman"/>
          <w:sz w:val="24"/>
          <w:szCs w:val="24"/>
        </w:rPr>
        <w:t>SS</w:t>
      </w:r>
      <w:r>
        <w:rPr>
          <w:rFonts w:hint="eastAsia" w:ascii="宋体" w:hAnsi="宋体" w:eastAsia="宋体"/>
          <w:sz w:val="24"/>
          <w:szCs w:val="24"/>
        </w:rPr>
        <w:t>外浓度较小，可经截水沟收集后经污水管道进入项目污水处理站处理后排入</w:t>
      </w:r>
      <w:r>
        <w:rPr>
          <w:rFonts w:hint="eastAsia" w:ascii="宋体" w:hAnsi="宋体"/>
          <w:sz w:val="24"/>
          <w:szCs w:val="24"/>
          <w:lang w:val="en-US" w:eastAsia="zh-CN"/>
        </w:rPr>
        <w:t>市政污水管网</w:t>
      </w:r>
      <w:r>
        <w:rPr>
          <w:rFonts w:hint="eastAsia" w:ascii="宋体" w:hAnsi="宋体" w:eastAsia="宋体"/>
          <w:sz w:val="24"/>
          <w:szCs w:val="24"/>
        </w:rPr>
        <w:t>。项目建成后厂内地坪均在同一水平面，同时地面微倾斜于截水沟，可收集消防事故废水，截水沟内设计坡度，可自流入阀门控制的污水管道内，通过污水管道进入污水处理站。</w:t>
      </w:r>
    </w:p>
    <w:p>
      <w:pPr>
        <w:pStyle w:val="5"/>
        <w:bidi w:val="0"/>
        <w:rPr>
          <w:rFonts w:hint="default"/>
          <w:lang w:val="en-US" w:eastAsia="zh-CN"/>
        </w:rPr>
      </w:pPr>
      <w:r>
        <w:rPr>
          <w:rFonts w:hint="eastAsia"/>
          <w:lang w:val="en-US" w:eastAsia="zh-CN"/>
        </w:rPr>
        <w:t>卫生防疫风险事故分析</w:t>
      </w:r>
    </w:p>
    <w:p>
      <w:pPr>
        <w:bidi w:val="0"/>
        <w:rPr>
          <w:rFonts w:hint="eastAsia"/>
        </w:rPr>
      </w:pPr>
      <w:r>
        <w:rPr>
          <w:rFonts w:hint="eastAsia"/>
        </w:rPr>
        <w:t>生猪肉牛发生疫情是指生猪肉牛发生传染病或大面积致病，生猪肉牛一旦发生传染病将会大量传染，带来不可估量的经济损失，尤其是禽流感，甚至造成社会恐慌。</w:t>
      </w:r>
    </w:p>
    <w:p>
      <w:pPr>
        <w:bidi w:val="0"/>
        <w:rPr>
          <w:rFonts w:hint="eastAsia"/>
        </w:rPr>
      </w:pPr>
      <w:r>
        <w:rPr>
          <w:rFonts w:hint="eastAsia"/>
        </w:rPr>
        <w:t>常见流行性疾病包括：</w:t>
      </w:r>
    </w:p>
    <w:p>
      <w:pPr>
        <w:spacing w:beforeLines="0" w:afterLines="0"/>
        <w:jc w:val="left"/>
        <w:rPr>
          <w:rFonts w:hint="default"/>
          <w:lang w:val="en-US" w:eastAsia="zh-CN"/>
        </w:rPr>
      </w:pPr>
      <w:r>
        <w:rPr>
          <w:rFonts w:hint="eastAsia"/>
          <w:lang w:val="en-US" w:eastAsia="zh-CN"/>
        </w:rPr>
        <w:t>①</w:t>
      </w:r>
      <w:r>
        <w:rPr>
          <w:rFonts w:hint="eastAsia"/>
        </w:rPr>
        <w:t>猪瘟：猪瘟是由一种黄病毒科瘟病毒属的猪瘟病毒引起的一种高传染性</w:t>
      </w:r>
      <w:r>
        <w:rPr>
          <w:rFonts w:hint="eastAsia" w:ascii="宋体" w:hAnsi="宋体" w:eastAsia="宋体"/>
          <w:sz w:val="24"/>
          <w:szCs w:val="24"/>
        </w:rPr>
        <w:t>疾病。病猪是主要传染源，主要感染途径是消化道。该病一年四季都有发生，有高传染性，不同年龄和品种的猪都会发生。</w:t>
      </w:r>
    </w:p>
    <w:p>
      <w:pPr>
        <w:bidi w:val="0"/>
        <w:rPr>
          <w:rFonts w:hint="eastAsia"/>
        </w:rPr>
      </w:pPr>
      <w:r>
        <w:rPr>
          <w:rFonts w:hint="eastAsia"/>
          <w:lang w:val="en-US" w:eastAsia="zh-CN"/>
        </w:rPr>
        <w:t>②</w:t>
      </w:r>
      <w:r>
        <w:rPr>
          <w:rFonts w:hint="eastAsia"/>
        </w:rPr>
        <w:t>猪丹毒：是由红斑猪丹毒丝菌引起的一种传染病。主要通过消化道和皮肤伤口感染。急性多见于初期，个别健康猪突然死亡。多数猪食欲减退，眼有分泌物，病初粪便干结，呈球状附着粘膜，随后下痢，耳、胸、颈、腹部皮肤出现指压易褪色红斑，多呈菱形或方形，病猪3-4天后死亡。</w:t>
      </w:r>
    </w:p>
    <w:p>
      <w:pPr>
        <w:bidi w:val="0"/>
        <w:rPr>
          <w:rFonts w:hint="eastAsia"/>
        </w:rPr>
      </w:pPr>
      <w:r>
        <w:rPr>
          <w:rFonts w:hint="eastAsia"/>
          <w:lang w:val="en-US" w:eastAsia="zh-CN"/>
        </w:rPr>
        <w:t>③</w:t>
      </w:r>
      <w:r>
        <w:rPr>
          <w:rFonts w:hint="eastAsia"/>
        </w:rPr>
        <w:t>猪肺疫：是由多杀性巴氏杆菌引起的一种常见的猪呼吸道病。本病多发于春初秋末季节。是常见的病型，除了败血症还表现出呼吸困难，咳嗽，流鼻涕，皮肤出现血红紫斑等症状。</w:t>
      </w:r>
    </w:p>
    <w:p>
      <w:pPr>
        <w:bidi w:val="0"/>
        <w:rPr>
          <w:rFonts w:hint="default"/>
          <w:lang w:val="en-US" w:eastAsia="zh-CN"/>
        </w:rPr>
      </w:pPr>
      <w:r>
        <w:rPr>
          <w:rFonts w:hint="eastAsia"/>
          <w:lang w:val="en-US" w:eastAsia="zh-CN"/>
        </w:rPr>
        <w:t>④</w:t>
      </w:r>
      <w:r>
        <w:rPr>
          <w:rFonts w:hint="eastAsia"/>
        </w:rPr>
        <w:t>猪流行性腹泻：由病毒引起的一种高度接触性传染病。多发生在冬季。不同年龄、品种和性别的猪都易感，哺乳猪和架子猪及肥育猪的发病率通常为100%，母猪为10-90%，主要经消化道传播，也可经呼吸道传染。一般流行过程延续4-5周，可自然平息。</w:t>
      </w:r>
    </w:p>
    <w:p>
      <w:pPr>
        <w:bidi w:val="0"/>
        <w:rPr>
          <w:rFonts w:hint="eastAsia"/>
        </w:rPr>
      </w:pPr>
      <w:r>
        <w:rPr>
          <w:rFonts w:hint="eastAsia"/>
          <w:lang w:val="en-US" w:eastAsia="zh-CN"/>
        </w:rPr>
        <w:t>⑤</w:t>
      </w:r>
      <w:r>
        <w:rPr>
          <w:rFonts w:hint="eastAsia"/>
        </w:rPr>
        <w:t>猪副伤寒：本病是由猪霍乱和沙门氏菌引起的仔猪传染性病。本病主要发生于密集饲养的2～4月龄仔猪，尤其在天气寒冷气候多变，断乳过早及疾病等条件下，使猪抵抗力下降从而导致发病。</w:t>
      </w:r>
    </w:p>
    <w:p>
      <w:pPr>
        <w:bidi w:val="0"/>
        <w:rPr>
          <w:rFonts w:hint="eastAsia"/>
        </w:rPr>
      </w:pPr>
      <w:r>
        <w:rPr>
          <w:rFonts w:hint="eastAsia"/>
          <w:lang w:val="en-US" w:eastAsia="zh-CN"/>
        </w:rPr>
        <w:t>⑥</w:t>
      </w:r>
      <w:r>
        <w:rPr>
          <w:rFonts w:hint="eastAsia"/>
        </w:rPr>
        <w:t>猪水肿病：本病由病原性大肠杆菌产生的毒素引起。主要发生于断奶后肥胖的体格强壮的仔猪，常突然发生，头部水肿，供给失调。迅速死亡，致死率高，在硒缺乏地区易发生本病。</w:t>
      </w:r>
    </w:p>
    <w:p>
      <w:pPr>
        <w:bidi w:val="0"/>
        <w:rPr>
          <w:rFonts w:hint="eastAsia"/>
        </w:rPr>
      </w:pPr>
      <w:r>
        <w:rPr>
          <w:rFonts w:hint="eastAsia"/>
          <w:lang w:val="en-US" w:eastAsia="zh-CN"/>
        </w:rPr>
        <w:t>⑦</w:t>
      </w:r>
      <w:r>
        <w:rPr>
          <w:rFonts w:hint="eastAsia"/>
        </w:rPr>
        <w:t>猪蛔虫病：猪蛔虫病是造成养殖业巨大经济损失的最重要的寄生虫病，主要危害断奶后的猪，能使幼猪生长发育不良，严重者形成僵猪，甚至引起死亡。</w:t>
      </w:r>
    </w:p>
    <w:p>
      <w:pPr>
        <w:bidi w:val="0"/>
        <w:rPr>
          <w:rFonts w:hint="default"/>
          <w:lang w:val="en-US" w:eastAsia="zh-CN"/>
        </w:rPr>
      </w:pPr>
      <w:r>
        <w:rPr>
          <w:rFonts w:hint="eastAsia"/>
          <w:lang w:val="en-US" w:eastAsia="zh-CN"/>
        </w:rPr>
        <w:t>⑧</w:t>
      </w:r>
      <w:r>
        <w:rPr>
          <w:rFonts w:hint="eastAsia"/>
        </w:rPr>
        <w:t>猪传染性胃肠炎：本病由冠状病毒引起，是一种急性、接触性传染病，10日龄以内猪的发病率和病死率均很高，5周龄以上的猪病死率很低，病猪和带毒猪是主要传染源，经消化道呼吸道感染，本病多发生于冬季。各种年龄的猪都以呕吐、严重腹泻、脱水、厌食为特征。此外，猪群中还可能流行猪流感、口蹄疫等人畜共患疫情。一旦项目宰杀生猪中出现疫情，将可能感染项目区周边、运输线路周边及消费者周边人畜。</w:t>
      </w:r>
    </w:p>
    <w:p>
      <w:pPr>
        <w:pStyle w:val="4"/>
        <w:bidi w:val="0"/>
        <w:rPr>
          <w:rFonts w:hint="default"/>
          <w:lang w:val="en-US" w:eastAsia="zh-CN"/>
        </w:rPr>
      </w:pPr>
      <w:bookmarkStart w:id="59" w:name="_Toc18389"/>
      <w:r>
        <w:rPr>
          <w:rFonts w:hint="eastAsia"/>
          <w:lang w:val="en-US" w:eastAsia="zh-CN"/>
        </w:rPr>
        <w:t>环境风险防范措施及应急要求</w:t>
      </w:r>
      <w:bookmarkEnd w:id="59"/>
    </w:p>
    <w:p>
      <w:pPr>
        <w:pStyle w:val="5"/>
        <w:bidi w:val="0"/>
        <w:rPr>
          <w:rFonts w:hint="default"/>
          <w:lang w:val="en-US" w:eastAsia="zh-CN"/>
        </w:rPr>
      </w:pPr>
      <w:r>
        <w:rPr>
          <w:rFonts w:hint="eastAsia"/>
          <w:lang w:val="en-US" w:eastAsia="zh-CN"/>
        </w:rPr>
        <w:t>环境风险防范措施</w:t>
      </w:r>
    </w:p>
    <w:p>
      <w:pPr>
        <w:pStyle w:val="6"/>
        <w:bidi w:val="0"/>
        <w:rPr>
          <w:rFonts w:hint="default"/>
          <w:lang w:val="en-US" w:eastAsia="zh-CN"/>
        </w:rPr>
      </w:pPr>
      <w:r>
        <w:rPr>
          <w:rFonts w:hint="eastAsia"/>
          <w:lang w:val="en-US" w:eastAsia="zh-CN"/>
        </w:rPr>
        <w:t>大气环境风险防范措施</w:t>
      </w:r>
    </w:p>
    <w:p>
      <w:pPr>
        <w:bidi w:val="0"/>
        <w:rPr>
          <w:rFonts w:hint="eastAsia"/>
        </w:rPr>
      </w:pPr>
      <w:r>
        <w:rPr>
          <w:rFonts w:hint="eastAsia"/>
        </w:rPr>
        <w:t>（</w:t>
      </w:r>
      <w:r>
        <w:rPr>
          <w:rFonts w:hint="default"/>
        </w:rPr>
        <w:t>1</w:t>
      </w:r>
      <w:r>
        <w:rPr>
          <w:rFonts w:hint="eastAsia"/>
        </w:rPr>
        <w:t>）臭气处理设施设专人负责管理设备，平日加强对设备的维护，发生事故及时进行维修、更换。</w:t>
      </w:r>
    </w:p>
    <w:p>
      <w:pPr>
        <w:bidi w:val="0"/>
        <w:rPr>
          <w:rFonts w:hint="eastAsia"/>
        </w:rPr>
      </w:pPr>
      <w:r>
        <w:rPr>
          <w:rFonts w:hint="eastAsia"/>
        </w:rPr>
        <w:t>（</w:t>
      </w:r>
      <w:r>
        <w:rPr>
          <w:rFonts w:hint="default"/>
        </w:rPr>
        <w:t>2</w:t>
      </w:r>
      <w:r>
        <w:rPr>
          <w:rFonts w:hint="eastAsia"/>
        </w:rPr>
        <w:t>）燃气管网需经专业公司设计安装，并经吹扫、试压测试合格，并设置气体泄露报警装置。燃气管道采用单母管设计，引入炉灶的燃气母管上安装总截止阀，燃气干管上安装快速切断阀及气体泄漏报警器。</w:t>
      </w:r>
    </w:p>
    <w:p>
      <w:pPr>
        <w:bidi w:val="0"/>
        <w:rPr>
          <w:rFonts w:hint="default"/>
          <w:lang w:val="en-US" w:eastAsia="zh-CN"/>
        </w:rPr>
      </w:pPr>
      <w:r>
        <w:rPr>
          <w:rFonts w:hint="eastAsia"/>
        </w:rPr>
        <w:t>（</w:t>
      </w:r>
      <w:r>
        <w:rPr>
          <w:rFonts w:hint="default"/>
        </w:rPr>
        <w:t>3</w:t>
      </w:r>
      <w:r>
        <w:rPr>
          <w:rFonts w:hint="eastAsia"/>
        </w:rPr>
        <w:t>）本项目采用的制冷剂为</w:t>
      </w:r>
      <w:r>
        <w:rPr>
          <w:rFonts w:hint="default"/>
        </w:rPr>
        <w:t>R507A</w:t>
      </w:r>
      <w:r>
        <w:rPr>
          <w:rFonts w:hint="eastAsia"/>
        </w:rPr>
        <w:t>，均为无色无味气体，泄漏不易察觉，本项目制冷剂添加专利蒜臭味泄漏警示剂，一旦泄漏很快会被察觉；采用制冷剂的设备由专职人员负责管理，并有专业人员补充自然损失量，非专业人员禁止操作。</w:t>
      </w:r>
    </w:p>
    <w:p>
      <w:pPr>
        <w:pStyle w:val="6"/>
        <w:bidi w:val="0"/>
        <w:rPr>
          <w:rFonts w:hint="default"/>
          <w:lang w:val="en-US" w:eastAsia="zh-CN"/>
        </w:rPr>
      </w:pPr>
      <w:r>
        <w:rPr>
          <w:rFonts w:hint="eastAsia"/>
          <w:lang w:val="en-US" w:eastAsia="zh-CN"/>
        </w:rPr>
        <w:t>地表水风险防范措施</w:t>
      </w:r>
    </w:p>
    <w:p>
      <w:pPr>
        <w:spacing w:beforeLines="0" w:afterLines="0"/>
        <w:jc w:val="left"/>
        <w:rPr>
          <w:rFonts w:hint="eastAsia" w:ascii="宋体" w:hAnsi="宋体" w:eastAsia="宋体"/>
          <w:sz w:val="24"/>
          <w:szCs w:val="24"/>
        </w:rPr>
      </w:pPr>
      <w:r>
        <w:rPr>
          <w:rFonts w:hint="eastAsia" w:ascii="宋体" w:hAnsi="宋体" w:eastAsia="宋体"/>
          <w:sz w:val="24"/>
          <w:szCs w:val="24"/>
        </w:rPr>
        <w:t>（</w:t>
      </w:r>
      <w:r>
        <w:rPr>
          <w:rFonts w:hint="default" w:ascii="Times New Roman" w:hAnsi="Times New Roman" w:eastAsia="Times New Roman"/>
          <w:sz w:val="24"/>
          <w:szCs w:val="24"/>
        </w:rPr>
        <w:t>1</w:t>
      </w:r>
      <w:r>
        <w:rPr>
          <w:rFonts w:hint="eastAsia" w:ascii="宋体" w:hAnsi="宋体" w:eastAsia="宋体"/>
          <w:sz w:val="24"/>
          <w:szCs w:val="24"/>
        </w:rPr>
        <w:t>）设置</w:t>
      </w:r>
      <w:r>
        <w:rPr>
          <w:rFonts w:hint="eastAsia" w:ascii="宋体" w:hAnsi="宋体"/>
          <w:sz w:val="24"/>
          <w:szCs w:val="24"/>
          <w:lang w:val="en-US" w:eastAsia="zh-CN"/>
        </w:rPr>
        <w:t>事故</w:t>
      </w:r>
      <w:r>
        <w:rPr>
          <w:rFonts w:hint="eastAsia" w:ascii="宋体" w:hAnsi="宋体" w:eastAsia="宋体"/>
          <w:sz w:val="24"/>
          <w:szCs w:val="24"/>
        </w:rPr>
        <w:t>调节池</w:t>
      </w:r>
    </w:p>
    <w:p>
      <w:pPr>
        <w:bidi w:val="0"/>
        <w:rPr>
          <w:rFonts w:hint="eastAsia" w:ascii="宋体" w:hAnsi="宋体" w:eastAsia="宋体"/>
          <w:sz w:val="24"/>
          <w:szCs w:val="24"/>
          <w:highlight w:val="none"/>
        </w:rPr>
      </w:pPr>
      <w:r>
        <w:rPr>
          <w:rFonts w:hint="eastAsia" w:ascii="宋体" w:hAnsi="宋体" w:eastAsia="宋体"/>
          <w:sz w:val="24"/>
          <w:szCs w:val="24"/>
          <w:highlight w:val="none"/>
        </w:rPr>
        <w:t>为防止废水事故排放影响</w:t>
      </w:r>
      <w:r>
        <w:rPr>
          <w:rFonts w:hint="eastAsia" w:ascii="宋体" w:hAnsi="宋体"/>
          <w:sz w:val="24"/>
          <w:szCs w:val="24"/>
          <w:highlight w:val="none"/>
          <w:lang w:val="en-US" w:eastAsia="zh-CN"/>
        </w:rPr>
        <w:t>磴子河水环境</w:t>
      </w:r>
      <w:r>
        <w:rPr>
          <w:rFonts w:hint="eastAsia" w:ascii="宋体" w:hAnsi="宋体" w:eastAsia="宋体"/>
          <w:sz w:val="24"/>
          <w:szCs w:val="24"/>
          <w:highlight w:val="none"/>
        </w:rPr>
        <w:t>，当污水处理站发生故障时，应立即停止作业，将废水暂存于</w:t>
      </w:r>
      <w:r>
        <w:rPr>
          <w:rFonts w:hint="eastAsia" w:ascii="宋体" w:hAnsi="宋体"/>
          <w:sz w:val="24"/>
          <w:szCs w:val="24"/>
          <w:highlight w:val="none"/>
          <w:lang w:val="en-US" w:eastAsia="zh-CN"/>
        </w:rPr>
        <w:t>应急事故池</w:t>
      </w:r>
      <w:r>
        <w:rPr>
          <w:rFonts w:hint="eastAsia" w:ascii="宋体" w:hAnsi="宋体" w:eastAsia="宋体"/>
          <w:sz w:val="24"/>
          <w:szCs w:val="24"/>
          <w:highlight w:val="none"/>
        </w:rPr>
        <w:t>（</w:t>
      </w:r>
      <w:r>
        <w:rPr>
          <w:rFonts w:hint="default" w:ascii="Times New Roman" w:hAnsi="Times New Roman" w:eastAsia="Times New Roman"/>
          <w:sz w:val="24"/>
          <w:szCs w:val="24"/>
          <w:highlight w:val="none"/>
        </w:rPr>
        <w:t>1</w:t>
      </w:r>
      <w:r>
        <w:rPr>
          <w:rFonts w:hint="eastAsia" w:ascii="宋体" w:hAnsi="宋体" w:eastAsia="宋体"/>
          <w:sz w:val="24"/>
          <w:szCs w:val="24"/>
          <w:highlight w:val="none"/>
        </w:rPr>
        <w:t>个，</w:t>
      </w:r>
      <w:r>
        <w:rPr>
          <w:rFonts w:hint="eastAsia" w:eastAsia="宋体"/>
          <w:sz w:val="24"/>
          <w:szCs w:val="24"/>
          <w:highlight w:val="none"/>
          <w:lang w:val="en-US" w:eastAsia="zh-CN"/>
        </w:rPr>
        <w:t>2500</w:t>
      </w:r>
      <w:r>
        <w:rPr>
          <w:rFonts w:hint="default" w:ascii="Times New Roman" w:hAnsi="Times New Roman" w:eastAsia="Times New Roman"/>
          <w:sz w:val="24"/>
          <w:szCs w:val="24"/>
          <w:highlight w:val="none"/>
        </w:rPr>
        <w:t>m</w:t>
      </w:r>
      <w:r>
        <w:rPr>
          <w:rFonts w:hint="eastAsia" w:ascii="Times New Roman" w:hAnsi="Times New Roman" w:eastAsia="宋体"/>
          <w:sz w:val="24"/>
          <w:szCs w:val="24"/>
          <w:highlight w:val="none"/>
          <w:vertAlign w:val="superscript"/>
          <w:lang w:val="en-US" w:eastAsia="zh-CN"/>
        </w:rPr>
        <w:t>3</w:t>
      </w:r>
      <w:r>
        <w:rPr>
          <w:rFonts w:hint="eastAsia" w:ascii="宋体" w:hAnsi="宋体" w:eastAsia="宋体"/>
          <w:sz w:val="24"/>
          <w:szCs w:val="24"/>
          <w:highlight w:val="none"/>
        </w:rPr>
        <w:t>，钢混结构），待污水处理站正常运行后，再引入废水处理系统处理达标后排放。污水处理站设备故障或检修期间禁止作业，</w:t>
      </w:r>
      <w:r>
        <w:rPr>
          <w:rFonts w:hint="eastAsia" w:eastAsia="宋体"/>
          <w:sz w:val="24"/>
          <w:szCs w:val="24"/>
          <w:highlight w:val="none"/>
          <w:lang w:val="en-US" w:eastAsia="zh-CN"/>
        </w:rPr>
        <w:t>2</w:t>
      </w:r>
      <w:r>
        <w:rPr>
          <w:rFonts w:hint="default" w:ascii="Times New Roman" w:hAnsi="Times New Roman" w:eastAsia="Times New Roman"/>
          <w:sz w:val="24"/>
          <w:szCs w:val="24"/>
          <w:highlight w:val="none"/>
        </w:rPr>
        <w:t>h</w:t>
      </w:r>
      <w:r>
        <w:rPr>
          <w:rFonts w:hint="eastAsia" w:ascii="宋体" w:hAnsi="宋体" w:eastAsia="宋体"/>
          <w:sz w:val="24"/>
          <w:szCs w:val="24"/>
          <w:highlight w:val="none"/>
        </w:rPr>
        <w:t>内停止排放废水，按旺季屠宰时</w:t>
      </w:r>
      <w:r>
        <w:rPr>
          <w:rFonts w:hint="eastAsia" w:eastAsia="宋体"/>
          <w:sz w:val="24"/>
          <w:szCs w:val="24"/>
          <w:highlight w:val="none"/>
          <w:lang w:val="en-US" w:eastAsia="zh-CN"/>
        </w:rPr>
        <w:t>2</w:t>
      </w:r>
      <w:r>
        <w:rPr>
          <w:rFonts w:hint="default" w:ascii="Times New Roman" w:hAnsi="Times New Roman" w:eastAsia="Times New Roman"/>
          <w:sz w:val="24"/>
          <w:szCs w:val="24"/>
          <w:highlight w:val="none"/>
        </w:rPr>
        <w:t>h</w:t>
      </w:r>
      <w:r>
        <w:rPr>
          <w:rFonts w:hint="eastAsia" w:ascii="宋体" w:hAnsi="宋体" w:eastAsia="宋体"/>
          <w:sz w:val="24"/>
          <w:szCs w:val="24"/>
          <w:highlight w:val="none"/>
        </w:rPr>
        <w:t>内污水量约</w:t>
      </w:r>
      <w:r>
        <w:rPr>
          <w:rFonts w:hint="default" w:ascii="Times New Roman" w:hAnsi="Times New Roman" w:eastAsia="Times New Roman"/>
          <w:sz w:val="24"/>
          <w:szCs w:val="24"/>
          <w:highlight w:val="none"/>
        </w:rPr>
        <w:t>200m</w:t>
      </w:r>
      <w:r>
        <w:rPr>
          <w:rFonts w:hint="eastAsia" w:ascii="Times New Roman" w:hAnsi="Times New Roman" w:eastAsia="宋体"/>
          <w:sz w:val="24"/>
          <w:szCs w:val="24"/>
          <w:highlight w:val="none"/>
          <w:vertAlign w:val="superscript"/>
          <w:lang w:val="en-US" w:eastAsia="zh-CN"/>
        </w:rPr>
        <w:t>3</w:t>
      </w:r>
      <w:r>
        <w:rPr>
          <w:rFonts w:hint="eastAsia" w:ascii="宋体" w:hAnsi="宋体" w:eastAsia="宋体"/>
          <w:sz w:val="24"/>
          <w:szCs w:val="24"/>
          <w:highlight w:val="none"/>
        </w:rPr>
        <w:t>，保障满足事故暂存要求。</w:t>
      </w:r>
    </w:p>
    <w:p>
      <w:pPr>
        <w:bidi w:val="0"/>
        <w:rPr>
          <w:rFonts w:hint="eastAsia"/>
        </w:rPr>
      </w:pPr>
      <w:r>
        <w:rPr>
          <w:rFonts w:hint="eastAsia"/>
        </w:rPr>
        <w:t>（</w:t>
      </w:r>
      <w:r>
        <w:rPr>
          <w:rFonts w:hint="default"/>
        </w:rPr>
        <w:t>2</w:t>
      </w:r>
      <w:r>
        <w:rPr>
          <w:rFonts w:hint="eastAsia"/>
        </w:rPr>
        <w:t>）修建截水沟针对生产车间（</w:t>
      </w:r>
      <w:r>
        <w:rPr>
          <w:rFonts w:hint="eastAsia"/>
          <w:lang w:eastAsia="zh-CN"/>
        </w:rPr>
        <w:t>待宰圈</w:t>
      </w:r>
      <w:r>
        <w:rPr>
          <w:rFonts w:hint="eastAsia"/>
        </w:rPr>
        <w:t>、屠宰车间、冻库在同一建筑内）四周设置截水沟，且与项目污水处理站相连，同时设置控制阀门。</w:t>
      </w:r>
    </w:p>
    <w:p>
      <w:pPr>
        <w:bidi w:val="0"/>
        <w:rPr>
          <w:rFonts w:hint="eastAsia"/>
        </w:rPr>
      </w:pPr>
      <w:r>
        <w:rPr>
          <w:rFonts w:hint="eastAsia"/>
        </w:rPr>
        <w:t>（</w:t>
      </w:r>
      <w:r>
        <w:rPr>
          <w:rFonts w:hint="default"/>
        </w:rPr>
        <w:t>3</w:t>
      </w:r>
      <w:r>
        <w:rPr>
          <w:rFonts w:hint="eastAsia"/>
        </w:rPr>
        <w:t>）设置在线监测装置，避免污废水出现超标排放情况；</w:t>
      </w:r>
    </w:p>
    <w:p>
      <w:pPr>
        <w:bidi w:val="0"/>
        <w:rPr>
          <w:rFonts w:hint="eastAsia"/>
        </w:rPr>
      </w:pPr>
      <w:r>
        <w:rPr>
          <w:rFonts w:hint="eastAsia"/>
        </w:rPr>
        <w:t>（</w:t>
      </w:r>
      <w:r>
        <w:rPr>
          <w:rFonts w:hint="default"/>
        </w:rPr>
        <w:t>4</w:t>
      </w:r>
      <w:r>
        <w:rPr>
          <w:rFonts w:hint="eastAsia"/>
        </w:rPr>
        <w:t>）泵站与污水处理站采用双路供电，水泵设计考虑备用，机械设备采用性能可靠优质产品。</w:t>
      </w:r>
    </w:p>
    <w:p>
      <w:pPr>
        <w:bidi w:val="0"/>
        <w:rPr>
          <w:rFonts w:hint="eastAsia"/>
        </w:rPr>
      </w:pPr>
      <w:r>
        <w:rPr>
          <w:rFonts w:hint="eastAsia"/>
        </w:rPr>
        <w:t>（</w:t>
      </w:r>
      <w:r>
        <w:rPr>
          <w:rFonts w:hint="default"/>
        </w:rPr>
        <w:t>5</w:t>
      </w:r>
      <w:r>
        <w:rPr>
          <w:rFonts w:hint="eastAsia"/>
        </w:rPr>
        <w:t>）选用优质机械电器、仪表等设备。关键设备一备一用，易损部件要有备用件，在出现事故时能及时更换。</w:t>
      </w:r>
    </w:p>
    <w:p>
      <w:pPr>
        <w:bidi w:val="0"/>
        <w:rPr>
          <w:rFonts w:hint="eastAsia"/>
        </w:rPr>
      </w:pPr>
      <w:r>
        <w:rPr>
          <w:rFonts w:hint="eastAsia"/>
        </w:rPr>
        <w:t>（</w:t>
      </w:r>
      <w:r>
        <w:rPr>
          <w:rFonts w:hint="default"/>
        </w:rPr>
        <w:t>6</w:t>
      </w:r>
      <w:r>
        <w:rPr>
          <w:rFonts w:hint="eastAsia"/>
        </w:rPr>
        <w:t>）加强事故苗头监控，定期巡检、调节、保养、维修。及时发现有可能引起事故的异常运行苗头，消除事故隐患。</w:t>
      </w:r>
    </w:p>
    <w:p>
      <w:pPr>
        <w:bidi w:val="0"/>
        <w:rPr>
          <w:rFonts w:hint="default"/>
          <w:lang w:val="en-US" w:eastAsia="zh-CN"/>
        </w:rPr>
      </w:pPr>
      <w:r>
        <w:rPr>
          <w:rFonts w:hint="eastAsia"/>
        </w:rPr>
        <w:t>（</w:t>
      </w:r>
      <w:r>
        <w:rPr>
          <w:rFonts w:hint="default"/>
        </w:rPr>
        <w:t>7</w:t>
      </w:r>
      <w:r>
        <w:rPr>
          <w:rFonts w:hint="eastAsia"/>
        </w:rPr>
        <w:t>）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pPr>
        <w:bidi w:val="0"/>
        <w:rPr>
          <w:rFonts w:hint="eastAsia"/>
        </w:rPr>
      </w:pPr>
      <w:r>
        <w:rPr>
          <w:rFonts w:hint="eastAsia"/>
        </w:rPr>
        <w:t>（</w:t>
      </w:r>
      <w:r>
        <w:rPr>
          <w:rFonts w:hint="default"/>
        </w:rPr>
        <w:t>8</w:t>
      </w:r>
      <w:r>
        <w:rPr>
          <w:rFonts w:hint="eastAsia"/>
        </w:rPr>
        <w:t>）建立安全操作规程，在平时严格按规程办事，定期对污水处理站人员的理论知识和操作技能进行培训和检查。</w:t>
      </w:r>
    </w:p>
    <w:p>
      <w:pPr>
        <w:bidi w:val="0"/>
        <w:rPr>
          <w:rFonts w:hint="eastAsia"/>
        </w:rPr>
      </w:pPr>
      <w:r>
        <w:rPr>
          <w:rFonts w:hint="eastAsia"/>
        </w:rPr>
        <w:t>（</w:t>
      </w:r>
      <w:r>
        <w:rPr>
          <w:rFonts w:hint="default"/>
        </w:rPr>
        <w:t>9</w:t>
      </w:r>
      <w:r>
        <w:rPr>
          <w:rFonts w:hint="eastAsia"/>
        </w:rPr>
        <w:t>）加强运行管理和进出水的监测工作，未经处理达标的污水严禁外排。</w:t>
      </w:r>
    </w:p>
    <w:p>
      <w:pPr>
        <w:bidi w:val="0"/>
        <w:rPr>
          <w:rFonts w:hint="eastAsia"/>
        </w:rPr>
      </w:pPr>
      <w:r>
        <w:rPr>
          <w:rFonts w:hint="eastAsia"/>
        </w:rPr>
        <w:t>（</w:t>
      </w:r>
      <w:r>
        <w:rPr>
          <w:rFonts w:hint="default"/>
        </w:rPr>
        <w:t>10</w:t>
      </w:r>
      <w:r>
        <w:rPr>
          <w:rFonts w:hint="eastAsia"/>
        </w:rPr>
        <w:t>）建立安全责任制度，在日常的工作管理方面建立一套完整的制度，落实到人、明确职责、定期检查。</w:t>
      </w:r>
      <w:r>
        <w:rPr>
          <w:rFonts w:hint="eastAsia"/>
          <w:lang w:eastAsia="zh-CN"/>
        </w:rPr>
        <w:t>制定</w:t>
      </w:r>
      <w:r>
        <w:rPr>
          <w:rFonts w:hint="eastAsia"/>
        </w:rPr>
        <w:t>风险事故的应急措施，明确事故发生时的应急、抢险操作制度。</w:t>
      </w:r>
    </w:p>
    <w:p>
      <w:pPr>
        <w:bidi w:val="0"/>
        <w:rPr>
          <w:rFonts w:hint="eastAsia"/>
        </w:rPr>
      </w:pPr>
      <w:r>
        <w:rPr>
          <w:rFonts w:hint="eastAsia"/>
        </w:rPr>
        <w:t>（</w:t>
      </w:r>
      <w:r>
        <w:rPr>
          <w:rFonts w:hint="default"/>
        </w:rPr>
        <w:t>11</w:t>
      </w:r>
      <w:r>
        <w:rPr>
          <w:rFonts w:hint="eastAsia"/>
        </w:rPr>
        <w:t>）规范项目排污口，同时加强院内管网铺设工作，硬化其管道附近地面，切实做好管道及其地面的防渗工作。</w:t>
      </w:r>
    </w:p>
    <w:p>
      <w:pPr>
        <w:pStyle w:val="6"/>
        <w:bidi w:val="0"/>
        <w:rPr>
          <w:rFonts w:hint="default"/>
          <w:lang w:val="en-US" w:eastAsia="zh-CN"/>
        </w:rPr>
      </w:pPr>
      <w:r>
        <w:rPr>
          <w:rFonts w:hint="eastAsia"/>
          <w:lang w:val="en-US" w:eastAsia="zh-CN"/>
        </w:rPr>
        <w:t>地下水环境风险防范措施</w:t>
      </w:r>
    </w:p>
    <w:p>
      <w:pPr>
        <w:bidi w:val="0"/>
        <w:rPr>
          <w:rFonts w:hint="eastAsia"/>
        </w:rPr>
      </w:pPr>
      <w:r>
        <w:rPr>
          <w:rFonts w:hint="eastAsia"/>
        </w:rPr>
        <w:t>（</w:t>
      </w:r>
      <w:r>
        <w:rPr>
          <w:rFonts w:hint="default"/>
        </w:rPr>
        <w:t>1</w:t>
      </w:r>
      <w:r>
        <w:rPr>
          <w:rFonts w:hint="eastAsia"/>
        </w:rPr>
        <w:t>）</w:t>
      </w:r>
      <w:r>
        <w:rPr>
          <w:rFonts w:hint="eastAsia"/>
          <w:lang w:val="en-US" w:eastAsia="zh-CN"/>
        </w:rPr>
        <w:t>重点防渗：</w:t>
      </w:r>
      <w:r>
        <w:rPr>
          <w:rFonts w:hint="eastAsia"/>
        </w:rPr>
        <w:t>危废暂存间</w:t>
      </w:r>
      <w:r>
        <w:rPr>
          <w:rFonts w:hint="eastAsia"/>
          <w:lang w:val="en-US" w:eastAsia="zh-CN"/>
        </w:rPr>
        <w:t>采用防渗</w:t>
      </w:r>
      <w:r>
        <w:rPr>
          <w:rFonts w:hint="eastAsia"/>
        </w:rPr>
        <w:t>混凝土</w:t>
      </w:r>
      <w:r>
        <w:rPr>
          <w:rFonts w:hint="default"/>
        </w:rPr>
        <w:t>+2mmHDPE</w:t>
      </w:r>
      <w:r>
        <w:rPr>
          <w:rFonts w:hint="eastAsia"/>
          <w:lang w:val="en-US" w:eastAsia="zh-CN"/>
        </w:rPr>
        <w:t>防渗膜+金属托盘，可满足</w:t>
      </w:r>
      <w:r>
        <w:rPr>
          <w:rFonts w:hint="eastAsia"/>
        </w:rPr>
        <w:t>等效粘土防渗层Mb</w:t>
      </w:r>
      <w:r>
        <w:rPr>
          <w:rFonts w:hint="default" w:ascii="Times New Roman" w:hAnsi="Times New Roman" w:cs="Times New Roman"/>
        </w:rPr>
        <w:t>≥</w:t>
      </w:r>
      <w:r>
        <w:rPr>
          <w:rFonts w:hint="eastAsia" w:cs="Times New Roman"/>
          <w:lang w:val="en-US" w:eastAsia="zh-CN"/>
        </w:rPr>
        <w:t>6.0</w:t>
      </w:r>
      <w:r>
        <w:rPr>
          <w:rFonts w:hint="eastAsia"/>
        </w:rPr>
        <w:t>m，K</w:t>
      </w:r>
      <w:r>
        <w:rPr>
          <w:rFonts w:hint="default" w:ascii="Times New Roman" w:hAnsi="Times New Roman" w:cs="Times New Roman"/>
        </w:rPr>
        <w:t>≤</w:t>
      </w:r>
      <w:r>
        <w:rPr>
          <w:rFonts w:hint="eastAsia"/>
        </w:rPr>
        <w:t>10</w:t>
      </w:r>
      <w:r>
        <w:rPr>
          <w:rFonts w:hint="eastAsia"/>
          <w:vertAlign w:val="superscript"/>
        </w:rPr>
        <w:t>-</w:t>
      </w:r>
      <w:r>
        <w:rPr>
          <w:rFonts w:hint="eastAsia"/>
          <w:vertAlign w:val="superscript"/>
          <w:lang w:val="en-US" w:eastAsia="zh-CN"/>
        </w:rPr>
        <w:t>10</w:t>
      </w:r>
      <w:r>
        <w:rPr>
          <w:rFonts w:hint="eastAsia"/>
        </w:rPr>
        <w:t>cm/s</w:t>
      </w:r>
      <w:r>
        <w:rPr>
          <w:rFonts w:hint="eastAsia"/>
          <w:lang w:val="en-US" w:eastAsia="zh-CN"/>
        </w:rPr>
        <w:t>的要求；</w:t>
      </w:r>
      <w:r>
        <w:rPr>
          <w:rFonts w:hint="eastAsia"/>
        </w:rPr>
        <w:t>药品库、污水处理站及污水管网、污水处理站加药间、无害化暂存间均</w:t>
      </w:r>
      <w:r>
        <w:rPr>
          <w:rFonts w:hint="eastAsia"/>
          <w:lang w:val="en-US" w:eastAsia="zh-CN"/>
        </w:rPr>
        <w:t>采用防渗混凝土+</w:t>
      </w:r>
      <w:r>
        <w:rPr>
          <w:rFonts w:hint="default"/>
        </w:rPr>
        <w:t>2mmHDPE</w:t>
      </w:r>
      <w:r>
        <w:rPr>
          <w:rFonts w:hint="eastAsia"/>
          <w:lang w:val="en-US" w:eastAsia="zh-CN"/>
        </w:rPr>
        <w:t>防渗膜可满足</w:t>
      </w:r>
      <w:r>
        <w:rPr>
          <w:rFonts w:hint="eastAsia"/>
        </w:rPr>
        <w:t>等效粘土防渗层Mb</w:t>
      </w:r>
      <w:r>
        <w:rPr>
          <w:rFonts w:hint="default" w:ascii="Times New Roman" w:hAnsi="Times New Roman" w:cs="Times New Roman"/>
        </w:rPr>
        <w:t>≥</w:t>
      </w:r>
      <w:r>
        <w:rPr>
          <w:rFonts w:hint="eastAsia"/>
          <w:lang w:val="en-US" w:eastAsia="zh-CN"/>
        </w:rPr>
        <w:t>6.0</w:t>
      </w:r>
      <w:r>
        <w:rPr>
          <w:rFonts w:hint="eastAsia"/>
        </w:rPr>
        <w:t>m，K</w:t>
      </w:r>
      <w:r>
        <w:rPr>
          <w:rFonts w:hint="default" w:ascii="Times New Roman" w:hAnsi="Times New Roman" w:cs="Times New Roman"/>
        </w:rPr>
        <w:t>≤</w:t>
      </w:r>
      <w:r>
        <w:rPr>
          <w:rFonts w:hint="eastAsia"/>
        </w:rPr>
        <w:t>10</w:t>
      </w:r>
      <w:r>
        <w:rPr>
          <w:rFonts w:hint="eastAsia"/>
          <w:vertAlign w:val="superscript"/>
        </w:rPr>
        <w:t>-</w:t>
      </w:r>
      <w:r>
        <w:rPr>
          <w:rFonts w:hint="eastAsia"/>
          <w:vertAlign w:val="superscript"/>
          <w:lang w:val="en-US" w:eastAsia="zh-CN"/>
        </w:rPr>
        <w:t>7</w:t>
      </w:r>
      <w:r>
        <w:rPr>
          <w:rFonts w:hint="eastAsia"/>
        </w:rPr>
        <w:t>cm/s</w:t>
      </w:r>
      <w:r>
        <w:rPr>
          <w:rFonts w:hint="eastAsia"/>
          <w:lang w:val="en-US" w:eastAsia="zh-CN"/>
        </w:rPr>
        <w:t>的要求。</w:t>
      </w:r>
    </w:p>
    <w:p>
      <w:pPr>
        <w:bidi w:val="0"/>
        <w:rPr>
          <w:rFonts w:hint="eastAsia"/>
        </w:rPr>
      </w:pPr>
      <w:r>
        <w:rPr>
          <w:rFonts w:hint="eastAsia"/>
        </w:rPr>
        <w:t>（</w:t>
      </w:r>
      <w:r>
        <w:rPr>
          <w:rFonts w:hint="default"/>
        </w:rPr>
        <w:t>2</w:t>
      </w:r>
      <w:r>
        <w:rPr>
          <w:rFonts w:hint="eastAsia"/>
        </w:rPr>
        <w:t>）</w:t>
      </w:r>
      <w:r>
        <w:rPr>
          <w:rFonts w:hint="eastAsia"/>
          <w:lang w:val="en-US" w:eastAsia="zh-CN"/>
        </w:rPr>
        <w:t>一般防渗：</w:t>
      </w:r>
      <w:r>
        <w:rPr>
          <w:rFonts w:hint="eastAsia"/>
          <w:lang w:eastAsia="zh-CN"/>
        </w:rPr>
        <w:t>待宰圈</w:t>
      </w:r>
      <w:r>
        <w:rPr>
          <w:rFonts w:hint="eastAsia"/>
        </w:rPr>
        <w:t>、屠宰车间、急宰间、隔离间、观察室、检疫室、垃圾回收站要求进行一般防渗，防渗技术</w:t>
      </w:r>
      <w:r>
        <w:rPr>
          <w:rFonts w:hint="eastAsia"/>
          <w:lang w:val="en-US" w:eastAsia="zh-CN"/>
        </w:rPr>
        <w:t>采用防渗混凝土可满足</w:t>
      </w:r>
      <w:r>
        <w:rPr>
          <w:rFonts w:hint="eastAsia"/>
        </w:rPr>
        <w:t>等效粘土防渗层</w:t>
      </w:r>
      <w:r>
        <w:rPr>
          <w:rFonts w:hint="default"/>
        </w:rPr>
        <w:t>Mb</w:t>
      </w:r>
      <w:r>
        <w:rPr>
          <w:rFonts w:hint="default" w:ascii="Times New Roman" w:hAnsi="Times New Roman" w:cs="Times New Roman"/>
        </w:rPr>
        <w:t>≥</w:t>
      </w:r>
      <w:r>
        <w:rPr>
          <w:rFonts w:hint="default"/>
        </w:rPr>
        <w:t>1.5m</w:t>
      </w:r>
      <w:r>
        <w:rPr>
          <w:rFonts w:hint="eastAsia"/>
        </w:rPr>
        <w:t>，</w:t>
      </w:r>
      <w:r>
        <w:rPr>
          <w:rFonts w:hint="default"/>
        </w:rPr>
        <w:t>K</w:t>
      </w:r>
      <w:r>
        <w:rPr>
          <w:rFonts w:hint="default" w:ascii="Times New Roman" w:hAnsi="Times New Roman" w:cs="Times New Roman"/>
        </w:rPr>
        <w:t>≤</w:t>
      </w:r>
      <w:r>
        <w:rPr>
          <w:rFonts w:hint="default"/>
        </w:rPr>
        <w:t>10</w:t>
      </w:r>
      <w:r>
        <w:rPr>
          <w:rFonts w:hint="default"/>
          <w:vertAlign w:val="superscript"/>
        </w:rPr>
        <w:t>-7</w:t>
      </w:r>
      <w:r>
        <w:rPr>
          <w:rFonts w:hint="default"/>
        </w:rPr>
        <w:t>cm/s</w:t>
      </w:r>
      <w:r>
        <w:rPr>
          <w:rFonts w:hint="eastAsia"/>
          <w:lang w:val="en-US" w:eastAsia="zh-CN"/>
        </w:rPr>
        <w:t>的要求</w:t>
      </w:r>
      <w:r>
        <w:rPr>
          <w:rFonts w:hint="eastAsia"/>
        </w:rPr>
        <w:t>。</w:t>
      </w:r>
    </w:p>
    <w:p>
      <w:pPr>
        <w:bidi w:val="0"/>
        <w:rPr>
          <w:rFonts w:hint="eastAsia"/>
        </w:rPr>
      </w:pPr>
      <w:r>
        <w:rPr>
          <w:rFonts w:hint="eastAsia"/>
        </w:rPr>
        <w:t>（</w:t>
      </w:r>
      <w:r>
        <w:rPr>
          <w:rFonts w:hint="default"/>
        </w:rPr>
        <w:t>3</w:t>
      </w:r>
      <w:r>
        <w:rPr>
          <w:rFonts w:hint="eastAsia"/>
        </w:rPr>
        <w:t>）</w:t>
      </w:r>
      <w:r>
        <w:rPr>
          <w:rFonts w:hint="eastAsia"/>
          <w:lang w:val="en-US" w:eastAsia="zh-CN"/>
        </w:rPr>
        <w:t>简单防渗：</w:t>
      </w:r>
      <w:r>
        <w:rPr>
          <w:rFonts w:hint="eastAsia"/>
        </w:rPr>
        <w:t>倒班房、道路等除重点防渗区和一般防渗区以外的区域。防渗技术要求为一般地面硬化。</w:t>
      </w:r>
    </w:p>
    <w:p>
      <w:pPr>
        <w:pStyle w:val="6"/>
        <w:bidi w:val="0"/>
        <w:rPr>
          <w:rFonts w:hint="default"/>
          <w:lang w:val="en-US" w:eastAsia="zh-CN"/>
        </w:rPr>
      </w:pPr>
      <w:r>
        <w:rPr>
          <w:rFonts w:hint="eastAsia"/>
          <w:lang w:val="en-US" w:eastAsia="zh-CN"/>
        </w:rPr>
        <w:t>牲畜疫情</w:t>
      </w:r>
    </w:p>
    <w:p>
      <w:pPr>
        <w:bidi w:val="0"/>
        <w:rPr>
          <w:rFonts w:hint="eastAsia"/>
        </w:rPr>
      </w:pPr>
      <w:r>
        <w:rPr>
          <w:rFonts w:hint="eastAsia"/>
        </w:rPr>
        <w:t>疫情一旦爆发，在短时间内将造成巨大损失。因此，做好疫情防范是避免损失的前提保障。屠宰场防疫的措施包括：</w:t>
      </w:r>
    </w:p>
    <w:p>
      <w:pPr>
        <w:bidi w:val="0"/>
        <w:rPr>
          <w:rFonts w:hint="eastAsia"/>
        </w:rPr>
      </w:pPr>
      <w:r>
        <w:rPr>
          <w:rFonts w:hint="eastAsia"/>
        </w:rPr>
        <w:t>（</w:t>
      </w:r>
      <w:r>
        <w:rPr>
          <w:rFonts w:hint="default"/>
        </w:rPr>
        <w:t>1</w:t>
      </w:r>
      <w:r>
        <w:rPr>
          <w:rFonts w:hint="eastAsia"/>
        </w:rPr>
        <w:t>）日常疫情防范</w:t>
      </w:r>
    </w:p>
    <w:p>
      <w:pPr>
        <w:bidi w:val="0"/>
        <w:rPr>
          <w:rFonts w:hint="eastAsia"/>
        </w:rPr>
      </w:pPr>
      <w:r>
        <w:rPr>
          <w:rFonts w:hint="eastAsia"/>
        </w:rPr>
        <w:t>针对屠宰场和牲畜发病特点，凡进入项目区的人员，无论是进入生产区或生活区，一律先经消毒、洗手方可入内。外来车辆严禁入内，若生产或业务必需，车身经过全面消毒后方可入内。本场生产区的车辆、用具，一律不得外借。定期对厂区进行消毒。</w:t>
      </w:r>
    </w:p>
    <w:p>
      <w:pPr>
        <w:bidi w:val="0"/>
        <w:rPr>
          <w:rFonts w:hint="eastAsia"/>
        </w:rPr>
      </w:pPr>
      <w:r>
        <w:rPr>
          <w:rFonts w:hint="eastAsia"/>
        </w:rPr>
        <w:t>（</w:t>
      </w:r>
      <w:r>
        <w:rPr>
          <w:rFonts w:hint="default"/>
        </w:rPr>
        <w:t>2</w:t>
      </w:r>
      <w:r>
        <w:rPr>
          <w:rFonts w:hint="eastAsia"/>
        </w:rPr>
        <w:t>）防止疫情由外传入</w:t>
      </w:r>
    </w:p>
    <w:p>
      <w:pPr>
        <w:bidi w:val="0"/>
        <w:rPr>
          <w:rFonts w:hint="eastAsia"/>
        </w:rPr>
      </w:pPr>
      <w:r>
        <w:rPr>
          <w:rFonts w:hint="eastAsia"/>
        </w:rPr>
        <w:t>外购牲畜应逐只检查，对可疑牲畜应隔离观察，排除感染可能后方能进场宰杀。禁止将生肉及含肉制品的食物带入场内。</w:t>
      </w:r>
    </w:p>
    <w:p>
      <w:pPr>
        <w:bidi w:val="0"/>
        <w:rPr>
          <w:rFonts w:hint="eastAsia"/>
        </w:rPr>
      </w:pPr>
      <w:r>
        <w:rPr>
          <w:rFonts w:hint="eastAsia"/>
        </w:rPr>
        <w:t>（</w:t>
      </w:r>
      <w:r>
        <w:rPr>
          <w:rFonts w:hint="default"/>
        </w:rPr>
        <w:t>3</w:t>
      </w:r>
      <w:r>
        <w:rPr>
          <w:rFonts w:hint="eastAsia"/>
        </w:rPr>
        <w:t>）发生疫情尽快扑灭</w:t>
      </w:r>
    </w:p>
    <w:p>
      <w:pPr>
        <w:bidi w:val="0"/>
        <w:rPr>
          <w:rFonts w:hint="eastAsia"/>
        </w:rPr>
      </w:pPr>
      <w:r>
        <w:rPr>
          <w:rFonts w:hint="eastAsia"/>
        </w:rPr>
        <w:t>①及时宰杀。发现疫情后，应迅速隔离病猪，并将病猪送至急宰间宰杀。宰杀后与猪血送</w:t>
      </w:r>
      <w:r>
        <w:rPr>
          <w:rFonts w:hint="eastAsia"/>
          <w:lang w:val="en-US" w:eastAsia="zh-CN"/>
        </w:rPr>
        <w:t>无害化暂存间</w:t>
      </w:r>
      <w:r>
        <w:rPr>
          <w:rFonts w:hint="eastAsia"/>
        </w:rPr>
        <w:t>进行处置。</w:t>
      </w:r>
    </w:p>
    <w:p>
      <w:pPr>
        <w:bidi w:val="0"/>
        <w:rPr>
          <w:rFonts w:hint="eastAsia"/>
        </w:rPr>
      </w:pPr>
      <w:r>
        <w:rPr>
          <w:rFonts w:hint="eastAsia"/>
        </w:rPr>
        <w:t>②及时报告疫情。发现应该上报疫情的传染病时，应及时向上级业务部门报告疫情，包括病畜种类、发病时间地点、发病只数、死亡只数、临床症状、剖检病变、初诊病名及已经采取的防治措施。必要时应通报邻近地区，以便共同防治，防止疫情扩散。</w:t>
      </w:r>
    </w:p>
    <w:p>
      <w:pPr>
        <w:bidi w:val="0"/>
        <w:rPr>
          <w:rFonts w:hint="eastAsia"/>
        </w:rPr>
      </w:pPr>
      <w:r>
        <w:rPr>
          <w:rFonts w:hint="eastAsia"/>
        </w:rPr>
        <w:t>③全面彻底消毒。对病猪所在的圈舍及活动过的圈舍、接触过的用具进行严格消毒，病猪污染的饲料要进行销毁，病猪排出的粪便应集中到指定地点堆积发酵和消毒。</w:t>
      </w:r>
    </w:p>
    <w:p>
      <w:pPr>
        <w:bidi w:val="0"/>
        <w:rPr>
          <w:rFonts w:hint="eastAsia"/>
        </w:rPr>
      </w:pPr>
      <w:r>
        <w:rPr>
          <w:rFonts w:hint="eastAsia"/>
        </w:rPr>
        <w:t>④逐只临床检查。对同圈舍或同群的其它猪要逐只多次进行详细临床检查，必要时进行血清学诊断，以便尽早发现病猪。</w:t>
      </w:r>
    </w:p>
    <w:p>
      <w:pPr>
        <w:bidi w:val="0"/>
        <w:rPr>
          <w:rFonts w:hint="eastAsia"/>
        </w:rPr>
      </w:pPr>
      <w:r>
        <w:rPr>
          <w:rFonts w:hint="eastAsia"/>
        </w:rPr>
        <w:t>⑤紧急预防接种。对多次检查无临床症状或血清学诊断为阴性的假健猪进行紧急预防接种，以防止疫病扩散。</w:t>
      </w:r>
    </w:p>
    <w:p>
      <w:pPr>
        <w:bidi w:val="0"/>
        <w:rPr>
          <w:rFonts w:hint="eastAsia"/>
        </w:rPr>
      </w:pPr>
      <w:r>
        <w:rPr>
          <w:rFonts w:hint="eastAsia"/>
        </w:rPr>
        <w:t>⑥酌情实行封锁。发生危害严重的传染病时，应报请政府有关部门划定疫区、疫点，实行封锁。必要时，应配合相关部门对屠宰场内及周边疫区范围内牲畜进行扑杀。</w:t>
      </w:r>
    </w:p>
    <w:p>
      <w:pPr>
        <w:bidi w:val="0"/>
        <w:rPr>
          <w:rFonts w:hint="eastAsia"/>
          <w:b/>
          <w:bCs/>
        </w:rPr>
      </w:pPr>
      <w:r>
        <w:rPr>
          <w:rFonts w:hint="eastAsia"/>
          <w:b/>
          <w:bCs/>
        </w:rPr>
        <w:t>同时，在日常管理，对于</w:t>
      </w:r>
      <w:r>
        <w:rPr>
          <w:rFonts w:hint="eastAsia"/>
          <w:b/>
          <w:bCs/>
          <w:lang w:val="en-US" w:eastAsia="zh-CN"/>
        </w:rPr>
        <w:t>牲畜</w:t>
      </w:r>
      <w:r>
        <w:rPr>
          <w:rFonts w:hint="eastAsia"/>
          <w:b/>
          <w:bCs/>
        </w:rPr>
        <w:t>疫情的防治措施应注意以下几点：</w:t>
      </w:r>
    </w:p>
    <w:p>
      <w:pPr>
        <w:bidi w:val="0"/>
        <w:rPr>
          <w:rFonts w:hint="eastAsia"/>
        </w:rPr>
      </w:pPr>
      <w:r>
        <w:rPr>
          <w:rFonts w:hint="eastAsia"/>
        </w:rPr>
        <w:t>（</w:t>
      </w:r>
      <w:r>
        <w:rPr>
          <w:rFonts w:hint="default"/>
        </w:rPr>
        <w:t>1</w:t>
      </w:r>
      <w:r>
        <w:rPr>
          <w:rFonts w:hint="eastAsia"/>
        </w:rPr>
        <w:t>）提高员工专业素质，增强防病观念</w:t>
      </w:r>
    </w:p>
    <w:p>
      <w:pPr>
        <w:bidi w:val="0"/>
        <w:rPr>
          <w:rFonts w:hint="eastAsia"/>
        </w:rPr>
      </w:pPr>
      <w:r>
        <w:rPr>
          <w:rFonts w:hint="eastAsia"/>
        </w:rPr>
        <w:t>在预防传染的措施上，首先应从人员的管理着手做起，提高员工的专业素质，经常进行思想教育和技术培训等工作，逐步提高他们对传染病的警惕意识，并自觉遵守防疫制度，厂区设专人负责防疫工作。</w:t>
      </w:r>
    </w:p>
    <w:p>
      <w:pPr>
        <w:bidi w:val="0"/>
        <w:rPr>
          <w:rFonts w:hint="eastAsia"/>
        </w:rPr>
      </w:pPr>
      <w:r>
        <w:rPr>
          <w:rFonts w:hint="eastAsia"/>
        </w:rPr>
        <w:t>（</w:t>
      </w:r>
      <w:r>
        <w:rPr>
          <w:rFonts w:hint="default"/>
        </w:rPr>
        <w:t>2</w:t>
      </w:r>
      <w:r>
        <w:rPr>
          <w:rFonts w:hint="eastAsia"/>
        </w:rPr>
        <w:t>）卫生管理和环境消毒</w:t>
      </w:r>
    </w:p>
    <w:p>
      <w:pPr>
        <w:bidi w:val="0"/>
        <w:rPr>
          <w:rFonts w:hint="eastAsia"/>
        </w:rPr>
      </w:pPr>
      <w:r>
        <w:rPr>
          <w:rFonts w:hint="eastAsia"/>
        </w:rPr>
        <w:t>传染病源一般抵抗力较强，受污染的场地难以彻底将其消灭。因此，坚持做好日常的环境清洁和消毒工作，定期进行全厂彻底大消毒，减少或消灭环境中的病毒和其它有害因素。厂区门口设置消毒池，专人执行消毒工作。消毒药可选用强力消毒灵、烧碱、百毒杀等，工作人员进舍前应换上已消毒的服装鞋帽，外来人员及车辆等必须严格消毒后进场。</w:t>
      </w:r>
    </w:p>
    <w:p>
      <w:pPr>
        <w:bidi w:val="0"/>
        <w:rPr>
          <w:rFonts w:hint="eastAsia"/>
        </w:rPr>
      </w:pPr>
      <w:r>
        <w:rPr>
          <w:rFonts w:hint="eastAsia"/>
        </w:rPr>
        <w:t>待宰圈要定期彻底清扫、冲洗和消毒，动物防疫监督部门要到场检疫，认真做好生猪检疫工作，做到及早发现疫情，并把疫情控制在最小范围内，防止传染源进入市场流通渠道。</w:t>
      </w:r>
    </w:p>
    <w:p>
      <w:pPr>
        <w:bidi w:val="0"/>
        <w:rPr>
          <w:rFonts w:hint="eastAsia"/>
        </w:rPr>
      </w:pPr>
      <w:r>
        <w:rPr>
          <w:rFonts w:hint="eastAsia"/>
        </w:rPr>
        <w:t>（</w:t>
      </w:r>
      <w:r>
        <w:rPr>
          <w:rFonts w:hint="default"/>
        </w:rPr>
        <w:t>3</w:t>
      </w:r>
      <w:r>
        <w:rPr>
          <w:rFonts w:hint="eastAsia"/>
        </w:rPr>
        <w:t>）建立疫病报告制度</w:t>
      </w:r>
    </w:p>
    <w:p>
      <w:pPr>
        <w:bidi w:val="0"/>
        <w:rPr>
          <w:rFonts w:hint="eastAsia"/>
        </w:rPr>
      </w:pPr>
      <w:r>
        <w:rPr>
          <w:rFonts w:hint="eastAsia"/>
        </w:rPr>
        <w:t>实行规范化管理，待宰圈内的数量、精神状况、发病死亡情况、粪便性状每天都应加以记载，发现有病猪、死猪及时无害化处理的同时，尽快向当地兽医部门报告，以便及早确诊，采取适当措施，减少损失。</w:t>
      </w:r>
    </w:p>
    <w:p>
      <w:pPr>
        <w:bidi w:val="0"/>
        <w:rPr>
          <w:rFonts w:hint="eastAsia"/>
        </w:rPr>
      </w:pPr>
      <w:r>
        <w:rPr>
          <w:rFonts w:hint="eastAsia"/>
        </w:rPr>
        <w:t>为及时控制事故发生情况，环评要求本项目应编制突发环境事件应急预案。</w:t>
      </w:r>
    </w:p>
    <w:p>
      <w:pPr>
        <w:pStyle w:val="5"/>
        <w:bidi w:val="0"/>
        <w:rPr>
          <w:rFonts w:hint="default"/>
          <w:lang w:val="en-US" w:eastAsia="zh-CN"/>
        </w:rPr>
      </w:pPr>
      <w:r>
        <w:rPr>
          <w:rFonts w:hint="eastAsia"/>
          <w:lang w:val="en-US" w:eastAsia="zh-CN"/>
        </w:rPr>
        <w:t>应急要求</w:t>
      </w:r>
    </w:p>
    <w:p>
      <w:pPr>
        <w:pStyle w:val="6"/>
        <w:bidi w:val="0"/>
        <w:rPr>
          <w:rFonts w:hint="eastAsia"/>
          <w:lang w:val="en-US" w:eastAsia="zh-CN"/>
        </w:rPr>
      </w:pPr>
      <w:r>
        <w:rPr>
          <w:rFonts w:hint="eastAsia"/>
          <w:lang w:val="en-US" w:eastAsia="zh-CN"/>
        </w:rPr>
        <w:t>火灾爆炸</w:t>
      </w:r>
    </w:p>
    <w:p>
      <w:pPr>
        <w:bidi w:val="0"/>
        <w:rPr>
          <w:rFonts w:hint="eastAsia"/>
        </w:rPr>
      </w:pPr>
      <w:r>
        <w:rPr>
          <w:rFonts w:hint="eastAsia"/>
        </w:rPr>
        <w:t>在消毒剂、柴油贮存及运输使用过程中，如发生火灾、爆炸应采取以下措施：</w:t>
      </w:r>
    </w:p>
    <w:p>
      <w:pPr>
        <w:bidi w:val="0"/>
        <w:rPr>
          <w:rFonts w:hint="eastAsia"/>
        </w:rPr>
      </w:pPr>
      <w:r>
        <w:rPr>
          <w:rFonts w:hint="eastAsia"/>
        </w:rPr>
        <w:t>（</w:t>
      </w:r>
      <w:r>
        <w:rPr>
          <w:rFonts w:hint="default"/>
        </w:rPr>
        <w:t>1</w:t>
      </w:r>
      <w:r>
        <w:rPr>
          <w:rFonts w:hint="eastAsia"/>
        </w:rPr>
        <w:t>）报警：迅速向当地</w:t>
      </w:r>
      <w:r>
        <w:rPr>
          <w:rFonts w:hint="default"/>
        </w:rPr>
        <w:t>119</w:t>
      </w:r>
      <w:r>
        <w:rPr>
          <w:rFonts w:hint="eastAsia"/>
        </w:rPr>
        <w:t>消防、政府报警并申请紧急救援。由消防、医疗、工程技术人员及厂领导共同组成事故应急救援领导小组统一指挥事故现场的火灾扑救，并根据火势和风向划定安全距离组织周围公众的疏散撤退，及受伤人员的救助。</w:t>
      </w:r>
    </w:p>
    <w:p>
      <w:pPr>
        <w:bidi w:val="0"/>
        <w:rPr>
          <w:rFonts w:hint="eastAsia"/>
        </w:rPr>
      </w:pPr>
      <w:r>
        <w:rPr>
          <w:rFonts w:hint="eastAsia"/>
        </w:rPr>
        <w:t>（</w:t>
      </w:r>
      <w:r>
        <w:rPr>
          <w:rFonts w:hint="default"/>
        </w:rPr>
        <w:t>2</w:t>
      </w:r>
      <w:r>
        <w:rPr>
          <w:rFonts w:hint="eastAsia"/>
        </w:rPr>
        <w:t>）隔离、疏散、转移遇险人员到安全区域，建立不小于</w:t>
      </w:r>
      <w:r>
        <w:rPr>
          <w:rFonts w:hint="default"/>
        </w:rPr>
        <w:t>500m</w:t>
      </w:r>
      <w:r>
        <w:rPr>
          <w:rFonts w:hint="eastAsia"/>
        </w:rPr>
        <w:t>的警戒区，并在通往事故现场的主要干道上实行交通管制，除消防及应急处理人员外，其他人员禁止进入警戒区，并迅速撤离无关人员。</w:t>
      </w:r>
    </w:p>
    <w:p>
      <w:pPr>
        <w:bidi w:val="0"/>
        <w:rPr>
          <w:rFonts w:hint="eastAsia"/>
        </w:rPr>
      </w:pPr>
      <w:r>
        <w:rPr>
          <w:rFonts w:hint="eastAsia"/>
        </w:rPr>
        <w:t>（</w:t>
      </w:r>
      <w:r>
        <w:rPr>
          <w:rFonts w:hint="default"/>
        </w:rPr>
        <w:t>3</w:t>
      </w:r>
      <w:r>
        <w:rPr>
          <w:rFonts w:hint="eastAsia"/>
        </w:rPr>
        <w:t>）事故应急救援领导小组应立即查明原因，及时组织指挥各方面力量处理污染事故，控制事故的蔓延和扩大。</w:t>
      </w:r>
    </w:p>
    <w:p>
      <w:pPr>
        <w:pStyle w:val="6"/>
        <w:bidi w:val="0"/>
        <w:rPr>
          <w:rFonts w:hint="default"/>
          <w:lang w:val="en-US" w:eastAsia="zh-CN"/>
        </w:rPr>
      </w:pPr>
      <w:r>
        <w:rPr>
          <w:rFonts w:hint="eastAsia"/>
          <w:lang w:val="en-US" w:eastAsia="zh-CN"/>
        </w:rPr>
        <w:t>应急撤离</w:t>
      </w:r>
    </w:p>
    <w:p>
      <w:pPr>
        <w:bidi w:val="0"/>
        <w:rPr>
          <w:rFonts w:hint="eastAsia"/>
        </w:rPr>
      </w:pPr>
      <w:r>
        <w:rPr>
          <w:rFonts w:hint="eastAsia"/>
        </w:rPr>
        <w:t>根据事故情况，建立警戒区域，并迅速将警戒区内与事故处理无关人员撤离。应急撤离应注意以下几点：</w:t>
      </w:r>
    </w:p>
    <w:p>
      <w:pPr>
        <w:bidi w:val="0"/>
        <w:rPr>
          <w:rFonts w:hint="eastAsia"/>
        </w:rPr>
      </w:pPr>
      <w:r>
        <w:rPr>
          <w:rFonts w:hint="eastAsia"/>
        </w:rPr>
        <w:t>（</w:t>
      </w:r>
      <w:r>
        <w:rPr>
          <w:rFonts w:hint="default"/>
        </w:rPr>
        <w:t>1</w:t>
      </w:r>
      <w:r>
        <w:rPr>
          <w:rFonts w:hint="eastAsia"/>
        </w:rPr>
        <w:t>）警戒区域的边界应设警示标志并有专人警戒；</w:t>
      </w:r>
    </w:p>
    <w:p>
      <w:pPr>
        <w:bidi w:val="0"/>
        <w:rPr>
          <w:rFonts w:hint="eastAsia"/>
        </w:rPr>
      </w:pPr>
      <w:r>
        <w:rPr>
          <w:rFonts w:hint="eastAsia"/>
        </w:rPr>
        <w:t>（</w:t>
      </w:r>
      <w:r>
        <w:rPr>
          <w:rFonts w:hint="default"/>
        </w:rPr>
        <w:t>2</w:t>
      </w:r>
      <w:r>
        <w:rPr>
          <w:rFonts w:hint="eastAsia"/>
        </w:rPr>
        <w:t>）除消防及应急处理人员外，其他人员禁止进入警戒区；</w:t>
      </w:r>
    </w:p>
    <w:p>
      <w:pPr>
        <w:bidi w:val="0"/>
        <w:rPr>
          <w:rFonts w:hint="eastAsia"/>
        </w:rPr>
      </w:pPr>
      <w:r>
        <w:rPr>
          <w:rFonts w:hint="eastAsia"/>
        </w:rPr>
        <w:t>（</w:t>
      </w:r>
      <w:r>
        <w:rPr>
          <w:rFonts w:hint="default"/>
        </w:rPr>
        <w:t>3</w:t>
      </w:r>
      <w:r>
        <w:rPr>
          <w:rFonts w:hint="eastAsia"/>
        </w:rPr>
        <w:t>）应向上风向转移；明确专人引导和护送疏散人员到安全区；</w:t>
      </w:r>
    </w:p>
    <w:p>
      <w:pPr>
        <w:bidi w:val="0"/>
        <w:rPr>
          <w:rFonts w:hint="eastAsia"/>
        </w:rPr>
      </w:pPr>
      <w:r>
        <w:rPr>
          <w:rFonts w:hint="eastAsia"/>
        </w:rPr>
        <w:t>（</w:t>
      </w:r>
      <w:r>
        <w:rPr>
          <w:rFonts w:hint="default"/>
        </w:rPr>
        <w:t>4</w:t>
      </w:r>
      <w:r>
        <w:rPr>
          <w:rFonts w:hint="eastAsia"/>
        </w:rPr>
        <w:t>）不要在低洼处滞留；</w:t>
      </w:r>
    </w:p>
    <w:p>
      <w:pPr>
        <w:bidi w:val="0"/>
        <w:rPr>
          <w:rFonts w:hint="eastAsia"/>
        </w:rPr>
      </w:pPr>
      <w:r>
        <w:rPr>
          <w:rFonts w:hint="eastAsia"/>
        </w:rPr>
        <w:t>（</w:t>
      </w:r>
      <w:r>
        <w:rPr>
          <w:rFonts w:hint="default"/>
        </w:rPr>
        <w:t>5</w:t>
      </w:r>
      <w:r>
        <w:rPr>
          <w:rFonts w:hint="eastAsia"/>
        </w:rPr>
        <w:t>）要查清是否有人留在污染区与着火区；</w:t>
      </w:r>
    </w:p>
    <w:p>
      <w:pPr>
        <w:bidi w:val="0"/>
        <w:rPr>
          <w:rFonts w:hint="eastAsia"/>
        </w:rPr>
      </w:pPr>
      <w:r>
        <w:rPr>
          <w:rFonts w:hint="eastAsia"/>
        </w:rPr>
        <w:t>（</w:t>
      </w:r>
      <w:r>
        <w:rPr>
          <w:rFonts w:hint="default"/>
        </w:rPr>
        <w:t>6</w:t>
      </w:r>
      <w:r>
        <w:rPr>
          <w:rFonts w:hint="eastAsia"/>
        </w:rPr>
        <w:t>）为使疏散工作顺利进行，每个工段应至少有两个畅通无阻的紧急出口，并有明显标志；</w:t>
      </w:r>
    </w:p>
    <w:p>
      <w:pPr>
        <w:bidi w:val="0"/>
        <w:rPr>
          <w:rFonts w:hint="eastAsia"/>
        </w:rPr>
      </w:pPr>
      <w:r>
        <w:rPr>
          <w:rFonts w:hint="eastAsia"/>
        </w:rPr>
        <w:t>（</w:t>
      </w:r>
      <w:r>
        <w:rPr>
          <w:rFonts w:hint="default"/>
        </w:rPr>
        <w:t>7</w:t>
      </w:r>
      <w:r>
        <w:rPr>
          <w:rFonts w:hint="eastAsia"/>
        </w:rPr>
        <w:t>）厂外区域应根据事故发生情况及当时风向、风速，由指挥部决定通知扩散区域内的群众撤离，并做好疏散、道路管制工作。</w:t>
      </w:r>
    </w:p>
    <w:p>
      <w:pPr>
        <w:pStyle w:val="6"/>
        <w:bidi w:val="0"/>
        <w:rPr>
          <w:rFonts w:hint="default"/>
          <w:lang w:val="en-US" w:eastAsia="zh-CN"/>
        </w:rPr>
      </w:pPr>
      <w:r>
        <w:rPr>
          <w:rFonts w:hint="eastAsia"/>
          <w:lang w:val="en-US" w:eastAsia="zh-CN"/>
        </w:rPr>
        <w:t>应急设施、设备与器材</w:t>
      </w:r>
    </w:p>
    <w:p>
      <w:pPr>
        <w:bidi w:val="0"/>
        <w:rPr>
          <w:rFonts w:hint="eastAsia"/>
        </w:rPr>
      </w:pPr>
      <w:r>
        <w:rPr>
          <w:rFonts w:hint="eastAsia"/>
        </w:rPr>
        <w:t>（</w:t>
      </w:r>
      <w:r>
        <w:rPr>
          <w:rFonts w:hint="default"/>
        </w:rPr>
        <w:t>1</w:t>
      </w:r>
      <w:r>
        <w:rPr>
          <w:rFonts w:hint="eastAsia"/>
        </w:rPr>
        <w:t>）配备一定的消防器材，如泡沫、二氧化碳灭火器及喷水冷却设施；</w:t>
      </w:r>
    </w:p>
    <w:p>
      <w:pPr>
        <w:bidi w:val="0"/>
        <w:rPr>
          <w:rFonts w:hint="eastAsia"/>
        </w:rPr>
      </w:pPr>
      <w:r>
        <w:rPr>
          <w:rFonts w:hint="eastAsia"/>
        </w:rPr>
        <w:t>（</w:t>
      </w:r>
      <w:r>
        <w:rPr>
          <w:rFonts w:hint="default"/>
        </w:rPr>
        <w:t>2</w:t>
      </w:r>
      <w:r>
        <w:rPr>
          <w:rFonts w:hint="eastAsia"/>
        </w:rPr>
        <w:t>）配备一定的防毒面具；</w:t>
      </w:r>
    </w:p>
    <w:p>
      <w:pPr>
        <w:bidi w:val="0"/>
        <w:rPr>
          <w:rFonts w:hint="eastAsia"/>
        </w:rPr>
      </w:pPr>
      <w:r>
        <w:rPr>
          <w:rFonts w:hint="eastAsia"/>
        </w:rPr>
        <w:t>（</w:t>
      </w:r>
      <w:r>
        <w:rPr>
          <w:rFonts w:hint="default"/>
        </w:rPr>
        <w:t>3</w:t>
      </w:r>
      <w:r>
        <w:rPr>
          <w:rFonts w:hint="eastAsia"/>
        </w:rPr>
        <w:t>）应规定应急状态下的报警通讯方式、通知方式和交通保障。</w:t>
      </w:r>
    </w:p>
    <w:p>
      <w:pPr>
        <w:pStyle w:val="4"/>
        <w:bidi w:val="0"/>
        <w:rPr>
          <w:rFonts w:hint="default"/>
          <w:lang w:val="en-US" w:eastAsia="zh-CN"/>
        </w:rPr>
      </w:pPr>
      <w:bookmarkStart w:id="60" w:name="_Toc16489"/>
      <w:r>
        <w:rPr>
          <w:rFonts w:hint="eastAsia"/>
          <w:lang w:val="en-US" w:eastAsia="zh-CN"/>
        </w:rPr>
        <w:t>环境风险评价结论</w:t>
      </w:r>
      <w:bookmarkEnd w:id="60"/>
    </w:p>
    <w:p>
      <w:pPr>
        <w:bidi w:val="0"/>
        <w:rPr>
          <w:rFonts w:hint="eastAsia"/>
        </w:rPr>
      </w:pPr>
      <w:r>
        <w:rPr>
          <w:rFonts w:hint="eastAsia"/>
        </w:rPr>
        <w:t>本项目风险潜势为</w:t>
      </w:r>
      <w:r>
        <w:rPr>
          <w:rFonts w:hint="default" w:ascii="Times New Roman" w:hAnsi="Times New Roman" w:cs="Times New Roman"/>
        </w:rPr>
        <w:t>Ⅰ</w:t>
      </w:r>
      <w:r>
        <w:rPr>
          <w:rFonts w:hint="eastAsia"/>
        </w:rPr>
        <w:t>，环境分析可接受，通过对项目运营期可能发生的环境风险事故进行定性分析，在采取安全防范措施、综合管理措施、制定风险应急预案等措施后，可将火灾等事故对环境的影响减少到最低和可接受范围，避免使项目本身及周边环境遭受损失。</w:t>
      </w:r>
    </w:p>
    <w:p>
      <w:pPr>
        <w:bidi w:val="0"/>
        <w:rPr>
          <w:rFonts w:hint="eastAsia"/>
        </w:rPr>
      </w:pPr>
      <w:r>
        <w:rPr>
          <w:rFonts w:hint="eastAsia"/>
        </w:rPr>
        <w:t>因此，在加强对各类风险的管理，做到各项管理措施及要求后，本项目风险处于可接受水平，风险管理措施有效、可靠，从风险角度而言是可行的。</w:t>
      </w:r>
    </w:p>
    <w:p>
      <w:pPr>
        <w:bidi w:val="0"/>
        <w:rPr>
          <w:rFonts w:hint="eastAsia"/>
        </w:rPr>
      </w:pPr>
      <w:r>
        <w:rPr>
          <w:rFonts w:hint="eastAsia"/>
        </w:rPr>
        <w:t>项目环境风险简单分析表如下：</w:t>
      </w:r>
    </w:p>
    <w:p>
      <w:pPr>
        <w:pStyle w:val="29"/>
        <w:bidi w:val="0"/>
        <w:rPr>
          <w:rFonts w:hint="eastAsia"/>
          <w:lang w:val="en-US" w:eastAsia="zh-CN"/>
        </w:rPr>
      </w:pPr>
      <w:r>
        <w:rPr>
          <w:rFonts w:hint="eastAsia"/>
          <w:lang w:val="en-US" w:eastAsia="zh-CN"/>
        </w:rPr>
        <w:t>表6.5-1  建设项目环境风险简单分析内容表</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1659"/>
        <w:gridCol w:w="1918"/>
        <w:gridCol w:w="1918"/>
        <w:gridCol w:w="1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建设项目名称</w:t>
            </w:r>
          </w:p>
        </w:tc>
        <w:tc>
          <w:tcPr>
            <w:tcW w:w="3873" w:type="pct"/>
            <w:gridSpan w:val="4"/>
            <w:tcBorders>
              <w:tl2br w:val="nil"/>
              <w:tr2bl w:val="nil"/>
            </w:tcBorders>
            <w:vAlign w:val="center"/>
          </w:tcPr>
          <w:p>
            <w:pPr>
              <w:pStyle w:val="30"/>
              <w:widowControl w:val="0"/>
              <w:jc w:val="center"/>
              <w:rPr>
                <w:rFonts w:hint="default"/>
                <w:vertAlign w:val="baseline"/>
                <w:lang w:val="en-US" w:eastAsia="zh-CN"/>
              </w:rPr>
            </w:pPr>
            <w:r>
              <w:rPr>
                <w:rFonts w:hint="eastAsia"/>
              </w:rPr>
              <w:t>平昌县乐顺现代牲畜屠宰冷链物流一体化建设项目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2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建设地点</w:t>
            </w:r>
          </w:p>
        </w:tc>
        <w:tc>
          <w:tcPr>
            <w:tcW w:w="86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四川省</w:t>
            </w:r>
          </w:p>
        </w:tc>
        <w:tc>
          <w:tcPr>
            <w:tcW w:w="99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巴中市</w:t>
            </w:r>
          </w:p>
        </w:tc>
        <w:tc>
          <w:tcPr>
            <w:tcW w:w="99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平昌县</w:t>
            </w:r>
          </w:p>
        </w:tc>
        <w:tc>
          <w:tcPr>
            <w:tcW w:w="1014" w:type="pct"/>
            <w:tcBorders>
              <w:tl2br w:val="nil"/>
              <w:tr2bl w:val="nil"/>
            </w:tcBorders>
            <w:vAlign w:val="center"/>
          </w:tcPr>
          <w:p>
            <w:pPr>
              <w:pStyle w:val="30"/>
              <w:widowControl w:val="0"/>
              <w:jc w:val="center"/>
              <w:rPr>
                <w:rFonts w:hint="default"/>
                <w:vertAlign w:val="baseline"/>
                <w:lang w:val="en-US" w:eastAsia="zh-CN"/>
              </w:rPr>
            </w:pPr>
            <w:r>
              <w:rPr>
                <w:rFonts w:hint="eastAsia"/>
              </w:rPr>
              <w:t>石泉村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地理坐标</w:t>
            </w:r>
          </w:p>
        </w:tc>
        <w:tc>
          <w:tcPr>
            <w:tcW w:w="86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经度</w:t>
            </w:r>
          </w:p>
        </w:tc>
        <w:tc>
          <w:tcPr>
            <w:tcW w:w="998" w:type="pct"/>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106°57′59.69″</w:t>
            </w:r>
          </w:p>
        </w:tc>
        <w:tc>
          <w:tcPr>
            <w:tcW w:w="998"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纬度</w:t>
            </w:r>
          </w:p>
        </w:tc>
        <w:tc>
          <w:tcPr>
            <w:tcW w:w="1014" w:type="pct"/>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31°28′46.64″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主要危险物质及分布</w:t>
            </w:r>
          </w:p>
        </w:tc>
        <w:tc>
          <w:tcPr>
            <w:tcW w:w="3873" w:type="pct"/>
            <w:gridSpan w:val="4"/>
            <w:tcBorders>
              <w:tl2br w:val="nil"/>
              <w:tr2bl w:val="nil"/>
            </w:tcBorders>
            <w:vAlign w:val="center"/>
          </w:tcPr>
          <w:p>
            <w:pPr>
              <w:pStyle w:val="30"/>
              <w:widowControl w:val="0"/>
              <w:bidi w:val="0"/>
              <w:jc w:val="both"/>
              <w:rPr>
                <w:rFonts w:hint="eastAsia"/>
              </w:rPr>
            </w:pPr>
            <w:r>
              <w:rPr>
                <w:rFonts w:hint="eastAsia"/>
              </w:rPr>
              <w:t>主要危险物质：柴油、二氯异氰尿酸钠</w:t>
            </w:r>
          </w:p>
          <w:p>
            <w:pPr>
              <w:pStyle w:val="30"/>
              <w:widowControl w:val="0"/>
              <w:bidi w:val="0"/>
              <w:jc w:val="both"/>
              <w:rPr>
                <w:rFonts w:hint="default"/>
                <w:lang w:val="en-US" w:eastAsia="zh-CN"/>
              </w:rPr>
            </w:pPr>
            <w:r>
              <w:rPr>
                <w:rFonts w:hint="eastAsia"/>
              </w:rPr>
              <w:t>分布：柴油储存于配电房内，二氯异氰尿酸钠储存于</w:t>
            </w:r>
            <w:r>
              <w:rPr>
                <w:rFonts w:hint="eastAsia"/>
                <w:lang w:val="en-US" w:eastAsia="zh-CN"/>
              </w:rPr>
              <w:t>药品库</w:t>
            </w:r>
            <w:r>
              <w:rPr>
                <w:rFonts w:hint="eastAsia"/>
              </w:rPr>
              <w:t>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12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环境影响途径及危害结果（大气、地表水、地下水等）</w:t>
            </w:r>
          </w:p>
        </w:tc>
        <w:tc>
          <w:tcPr>
            <w:tcW w:w="3873" w:type="pct"/>
            <w:gridSpan w:val="4"/>
            <w:tcBorders>
              <w:tl2br w:val="nil"/>
              <w:tr2bl w:val="nil"/>
            </w:tcBorders>
            <w:vAlign w:val="center"/>
          </w:tcPr>
          <w:p>
            <w:pPr>
              <w:pStyle w:val="30"/>
              <w:widowControl w:val="0"/>
              <w:bidi w:val="0"/>
              <w:jc w:val="both"/>
              <w:rPr>
                <w:rFonts w:hint="default"/>
                <w:lang w:val="en-US" w:eastAsia="zh-CN"/>
              </w:rPr>
            </w:pPr>
            <w:r>
              <w:rPr>
                <w:rFonts w:hint="eastAsia"/>
              </w:rPr>
              <w:t>柴油、二氯异氰尿酸钠以及危险废物在储存或使用过程中发生泄漏会引起大气、地表水和地下水污染。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风险防范措施要求</w:t>
            </w:r>
          </w:p>
        </w:tc>
        <w:tc>
          <w:tcPr>
            <w:tcW w:w="3873" w:type="pct"/>
            <w:gridSpan w:val="4"/>
            <w:tcBorders>
              <w:tl2br w:val="nil"/>
              <w:tr2bl w:val="nil"/>
            </w:tcBorders>
            <w:vAlign w:val="center"/>
          </w:tcPr>
          <w:p>
            <w:pPr>
              <w:pStyle w:val="30"/>
              <w:widowControl w:val="0"/>
              <w:bidi w:val="0"/>
              <w:jc w:val="both"/>
              <w:rPr>
                <w:rFonts w:hint="eastAsia"/>
              </w:rPr>
            </w:pPr>
            <w:r>
              <w:rPr>
                <w:rFonts w:hint="default"/>
              </w:rPr>
              <w:t>1</w:t>
            </w:r>
            <w:r>
              <w:rPr>
                <w:rFonts w:hint="eastAsia"/>
              </w:rPr>
              <w:t>、危废暂存间设置</w:t>
            </w:r>
            <w:r>
              <w:rPr>
                <w:rFonts w:hint="eastAsia"/>
                <w:lang w:eastAsia="zh-CN"/>
              </w:rPr>
              <w:t>待宰圈</w:t>
            </w:r>
            <w:r>
              <w:rPr>
                <w:rFonts w:hint="eastAsia"/>
              </w:rPr>
              <w:t>东侧，须满足《危险废物贮存污染控制标准》</w:t>
            </w:r>
          </w:p>
          <w:p>
            <w:pPr>
              <w:pStyle w:val="30"/>
              <w:widowControl w:val="0"/>
              <w:bidi w:val="0"/>
              <w:jc w:val="both"/>
              <w:rPr>
                <w:rFonts w:hint="eastAsia"/>
              </w:rPr>
            </w:pPr>
            <w:r>
              <w:rPr>
                <w:rFonts w:hint="eastAsia"/>
                <w:lang w:eastAsia="zh-CN"/>
              </w:rPr>
              <w:t>（</w:t>
            </w:r>
            <w:r>
              <w:rPr>
                <w:rFonts w:hint="default"/>
              </w:rPr>
              <w:t>GB18597-2001</w:t>
            </w:r>
            <w:r>
              <w:rPr>
                <w:rFonts w:hint="eastAsia"/>
                <w:lang w:eastAsia="zh-CN"/>
              </w:rPr>
              <w:t>）</w:t>
            </w:r>
            <w:r>
              <w:rPr>
                <w:rFonts w:hint="eastAsia"/>
              </w:rPr>
              <w:t>及期</w:t>
            </w:r>
            <w:r>
              <w:rPr>
                <w:rFonts w:hint="default"/>
              </w:rPr>
              <w:t>2013</w:t>
            </w:r>
            <w:r>
              <w:rPr>
                <w:rFonts w:hint="eastAsia"/>
              </w:rPr>
              <w:t>年修改单的要求；尤其是暂存间内地面做重点防渗，做到防风、防雨、防晒、防渗透；及时办理转移手续，尽可能减少现场贮存量和缩短贮存周期。</w:t>
            </w:r>
          </w:p>
          <w:p>
            <w:pPr>
              <w:pStyle w:val="30"/>
              <w:widowControl w:val="0"/>
              <w:bidi w:val="0"/>
              <w:jc w:val="both"/>
              <w:rPr>
                <w:rFonts w:hint="eastAsia"/>
              </w:rPr>
            </w:pPr>
            <w:r>
              <w:rPr>
                <w:rFonts w:hint="default"/>
              </w:rPr>
              <w:t>2</w:t>
            </w:r>
            <w:r>
              <w:rPr>
                <w:rFonts w:hint="eastAsia"/>
              </w:rPr>
              <w:t>、项目液态物质为桶装成品，存放区域地面做重点防渗处理，同时设置专用防渗托盘放置，万一发生包装材料破裂而发生泄漏时，泄漏的物料可被截留在托盘内。</w:t>
            </w:r>
          </w:p>
          <w:p>
            <w:pPr>
              <w:pStyle w:val="30"/>
              <w:widowControl w:val="0"/>
              <w:bidi w:val="0"/>
              <w:jc w:val="both"/>
              <w:rPr>
                <w:rFonts w:hint="eastAsia"/>
              </w:rPr>
            </w:pPr>
            <w:r>
              <w:rPr>
                <w:rFonts w:hint="default"/>
              </w:rPr>
              <w:t>3</w:t>
            </w:r>
            <w:r>
              <w:rPr>
                <w:rFonts w:hint="eastAsia"/>
              </w:rPr>
              <w:t>、污水处理站调节池兼做事故应急池。</w:t>
            </w:r>
          </w:p>
          <w:p>
            <w:pPr>
              <w:pStyle w:val="30"/>
              <w:widowControl w:val="0"/>
              <w:bidi w:val="0"/>
              <w:jc w:val="both"/>
              <w:rPr>
                <w:rFonts w:hint="default"/>
                <w:lang w:val="en-US" w:eastAsia="zh-CN"/>
              </w:rPr>
            </w:pPr>
            <w:r>
              <w:rPr>
                <w:rFonts w:hint="default"/>
              </w:rPr>
              <w:t>4</w:t>
            </w:r>
            <w:r>
              <w:rPr>
                <w:rFonts w:hint="eastAsia"/>
              </w:rPr>
              <w:t>、建立环境风险应急预案，开展环境应急预案的培训、宣传和必要的应急演练。将制定好的环境应急预案报送当地生态环境部门备案。</w:t>
            </w:r>
          </w:p>
        </w:tc>
      </w:tr>
    </w:tbl>
    <w:p>
      <w:pPr>
        <w:bidi w:val="0"/>
        <w:rPr>
          <w:rFonts w:hint="default"/>
          <w:lang w:val="en-US" w:eastAsia="zh-CN"/>
        </w:rPr>
      </w:pPr>
      <w:r>
        <w:rPr>
          <w:rFonts w:hint="eastAsia"/>
        </w:rPr>
        <w:t>环境风险评价自查表见附表。</w:t>
      </w:r>
    </w:p>
    <w:p>
      <w:pPr>
        <w:rPr>
          <w:rFonts w:hint="eastAsia"/>
        </w:rPr>
      </w:pPr>
      <w:r>
        <w:rPr>
          <w:rFonts w:hint="eastAsia"/>
        </w:rPr>
        <w:br w:type="page"/>
      </w:r>
    </w:p>
    <w:p>
      <w:pPr>
        <w:pStyle w:val="3"/>
        <w:bidi w:val="0"/>
        <w:rPr>
          <w:rFonts w:hint="default"/>
          <w:lang w:val="en-US" w:eastAsia="zh-CN"/>
        </w:rPr>
      </w:pPr>
      <w:bookmarkStart w:id="61" w:name="_Toc13734"/>
      <w:r>
        <w:rPr>
          <w:rFonts w:hint="eastAsia"/>
          <w:lang w:val="en-US" w:eastAsia="zh-CN"/>
        </w:rPr>
        <w:t>环境保护措施及其可行性论证</w:t>
      </w:r>
      <w:bookmarkEnd w:id="61"/>
    </w:p>
    <w:p>
      <w:pPr>
        <w:pStyle w:val="4"/>
        <w:bidi w:val="0"/>
        <w:rPr>
          <w:rFonts w:hint="default"/>
          <w:lang w:val="en-US" w:eastAsia="zh-CN"/>
        </w:rPr>
      </w:pPr>
      <w:bookmarkStart w:id="62" w:name="_Toc25842"/>
      <w:r>
        <w:rPr>
          <w:rFonts w:hint="eastAsia"/>
          <w:lang w:val="en-US" w:eastAsia="zh-CN"/>
        </w:rPr>
        <w:t>施工期环境保护措施</w:t>
      </w:r>
      <w:bookmarkEnd w:id="62"/>
    </w:p>
    <w:p>
      <w:pPr>
        <w:pStyle w:val="5"/>
        <w:bidi w:val="0"/>
        <w:rPr>
          <w:rFonts w:hint="default"/>
          <w:lang w:val="en-US" w:eastAsia="zh-CN"/>
        </w:rPr>
      </w:pPr>
      <w:r>
        <w:rPr>
          <w:rFonts w:hint="eastAsia"/>
          <w:lang w:val="en-US" w:eastAsia="zh-CN"/>
        </w:rPr>
        <w:t>大气污染防治措施</w:t>
      </w:r>
    </w:p>
    <w:p>
      <w:pPr>
        <w:pStyle w:val="6"/>
        <w:bidi w:val="0"/>
        <w:rPr>
          <w:rFonts w:hint="default"/>
          <w:lang w:val="en-US" w:eastAsia="zh-CN"/>
        </w:rPr>
      </w:pPr>
      <w:r>
        <w:rPr>
          <w:rFonts w:hint="eastAsia"/>
          <w:lang w:val="en-US" w:eastAsia="zh-CN"/>
        </w:rPr>
        <w:t>扬尘防治措施</w:t>
      </w:r>
    </w:p>
    <w:p>
      <w:pPr>
        <w:bidi w:val="0"/>
        <w:rPr>
          <w:rFonts w:hint="eastAsia"/>
        </w:rPr>
      </w:pPr>
      <w:r>
        <w:rPr>
          <w:rFonts w:hint="eastAsia"/>
        </w:rPr>
        <w:t>①文明施工，定期对地面洒水，并对</w:t>
      </w:r>
      <w:r>
        <w:rPr>
          <w:rFonts w:hint="eastAsia"/>
          <w:lang w:eastAsia="zh-CN"/>
        </w:rPr>
        <w:t>散落</w:t>
      </w:r>
      <w:r>
        <w:rPr>
          <w:rFonts w:hint="eastAsia"/>
        </w:rPr>
        <w:t>在路面的渣土尽快清除。</w:t>
      </w:r>
    </w:p>
    <w:p>
      <w:pPr>
        <w:bidi w:val="0"/>
        <w:rPr>
          <w:rFonts w:hint="eastAsia"/>
        </w:rPr>
      </w:pPr>
      <w:r>
        <w:rPr>
          <w:rFonts w:hint="eastAsia"/>
        </w:rPr>
        <w:t>②在施工场地对施工车辆实施限速行驶，同时施工现场主要运输道路尽量采用硬化路面并进行洒水抑尘；在施工场地出口放置防尘垫，对运输车辆现场用水清洗车体和轮胎，清洗用水进行统一收集，循环利用，不得向水体排放。</w:t>
      </w:r>
    </w:p>
    <w:p>
      <w:pPr>
        <w:bidi w:val="0"/>
        <w:rPr>
          <w:rFonts w:hint="eastAsia"/>
        </w:rPr>
      </w:pPr>
      <w:r>
        <w:rPr>
          <w:rFonts w:hint="eastAsia"/>
        </w:rPr>
        <w:t>③禁止在风天进行渣土堆放作业，建材堆放地点相对集中，临时废弃土石堆场及时清运，并对堆场必须以毡布覆盖，不得有裸土，并且裸露地面进行硬化和绿化，减少建材的露天堆放时间；开挖出的土石方应加强围栏，表面用毡布覆盖，并及时将回填开挖土石方。</w:t>
      </w:r>
    </w:p>
    <w:p>
      <w:pPr>
        <w:bidi w:val="0"/>
        <w:rPr>
          <w:rFonts w:hint="eastAsia"/>
        </w:rPr>
      </w:pPr>
      <w:r>
        <w:rPr>
          <w:rFonts w:hint="eastAsia"/>
        </w:rPr>
        <w:t>④施工建设应使用商品混凝土。因条件限制确需设置搅拌机或人工搅拌的工地，必须采取防尘措施。</w:t>
      </w:r>
    </w:p>
    <w:p>
      <w:pPr>
        <w:bidi w:val="0"/>
        <w:rPr>
          <w:rFonts w:hint="eastAsia"/>
        </w:rPr>
      </w:pPr>
      <w:r>
        <w:rPr>
          <w:rFonts w:hint="eastAsia"/>
        </w:rPr>
        <w:t>⑤场地内道路进行硬化处理，并对场地内周边暂未利用的裸土区域尽快进行绿化覆盖。</w:t>
      </w:r>
    </w:p>
    <w:p>
      <w:pPr>
        <w:bidi w:val="0"/>
        <w:rPr>
          <w:rFonts w:hint="eastAsia"/>
        </w:rPr>
      </w:pPr>
      <w:r>
        <w:rPr>
          <w:rFonts w:hint="eastAsia"/>
        </w:rPr>
        <w:t>⑥管网工程施工沿线围挡作业，围挡采用的立板高度宜控制在不低于</w:t>
      </w:r>
      <w:r>
        <w:rPr>
          <w:rFonts w:hint="default"/>
        </w:rPr>
        <w:t>2m</w:t>
      </w:r>
      <w:r>
        <w:rPr>
          <w:rFonts w:hint="eastAsia"/>
        </w:rPr>
        <w:t>，围挡上安装雾状喷淋装置。</w:t>
      </w:r>
    </w:p>
    <w:p>
      <w:pPr>
        <w:bidi w:val="0"/>
        <w:rPr>
          <w:rFonts w:hint="eastAsia"/>
        </w:rPr>
      </w:pPr>
      <w:r>
        <w:rPr>
          <w:rFonts w:hint="eastAsia"/>
        </w:rPr>
        <w:t>除上述措施外，项目在施工过程中还需采取以下扬尘防治措施：</w:t>
      </w:r>
    </w:p>
    <w:p>
      <w:pPr>
        <w:bidi w:val="0"/>
        <w:rPr>
          <w:rFonts w:hint="eastAsia"/>
        </w:rPr>
      </w:pPr>
      <w:r>
        <w:rPr>
          <w:rFonts w:hint="eastAsia"/>
        </w:rPr>
        <w:t>①施工期应严格按照相关规定做好扬尘防治工作：强化工地抑尘设备配备，房屋工程、场平工程、地铁站点工程等每</w:t>
      </w:r>
      <w:r>
        <w:rPr>
          <w:rFonts w:hint="default"/>
        </w:rPr>
        <w:t>5000</w:t>
      </w:r>
      <w:r>
        <w:rPr>
          <w:rFonts w:hint="eastAsia"/>
        </w:rPr>
        <w:t>平方米占地面积配套一台雾炮设施；加强社会监督，要求各施工单位制作</w:t>
      </w:r>
      <w:r>
        <w:rPr>
          <w:rFonts w:hint="eastAsia"/>
          <w:lang w:eastAsia="zh-CN"/>
        </w:rPr>
        <w:t>“</w:t>
      </w:r>
      <w:r>
        <w:rPr>
          <w:rFonts w:hint="eastAsia"/>
        </w:rPr>
        <w:t>扬尘投诉公示牌</w:t>
      </w:r>
      <w:r>
        <w:rPr>
          <w:rFonts w:hint="eastAsia"/>
          <w:lang w:eastAsia="zh-CN"/>
        </w:rPr>
        <w:t>”</w:t>
      </w:r>
      <w:r>
        <w:rPr>
          <w:rFonts w:hint="eastAsia"/>
        </w:rPr>
        <w:t>，并悬挂于工地出入口外部醒目位置等措施。</w:t>
      </w:r>
    </w:p>
    <w:p>
      <w:pPr>
        <w:bidi w:val="0"/>
        <w:rPr>
          <w:rFonts w:hint="eastAsia"/>
        </w:rPr>
      </w:pPr>
      <w:r>
        <w:rPr>
          <w:rFonts w:hint="eastAsia"/>
        </w:rPr>
        <w:t>②施工单位必须严格按照</w:t>
      </w:r>
      <w:r>
        <w:rPr>
          <w:rFonts w:hint="eastAsia"/>
          <w:lang w:eastAsia="zh-CN"/>
        </w:rPr>
        <w:t>“</w:t>
      </w:r>
      <w:r>
        <w:rPr>
          <w:rFonts w:hint="eastAsia"/>
        </w:rPr>
        <w:t>六必须</w:t>
      </w:r>
      <w:r>
        <w:rPr>
          <w:rFonts w:hint="eastAsia"/>
          <w:lang w:eastAsia="zh-CN"/>
        </w:rPr>
        <w:t>”</w:t>
      </w:r>
      <w:r>
        <w:rPr>
          <w:rFonts w:hint="eastAsia"/>
        </w:rPr>
        <w:t>和</w:t>
      </w:r>
      <w:r>
        <w:rPr>
          <w:rFonts w:hint="eastAsia"/>
          <w:lang w:eastAsia="zh-CN"/>
        </w:rPr>
        <w:t>“</w:t>
      </w:r>
      <w:r>
        <w:rPr>
          <w:rFonts w:hint="eastAsia"/>
        </w:rPr>
        <w:t>六不准</w:t>
      </w:r>
      <w:r>
        <w:rPr>
          <w:rFonts w:hint="eastAsia"/>
          <w:lang w:eastAsia="zh-CN"/>
        </w:rPr>
        <w:t>”</w:t>
      </w:r>
      <w:r>
        <w:rPr>
          <w:rFonts w:hint="eastAsia"/>
        </w:rPr>
        <w:t>要求做好防尘。</w:t>
      </w:r>
      <w:r>
        <w:rPr>
          <w:rFonts w:hint="eastAsia"/>
          <w:lang w:eastAsia="zh-CN"/>
        </w:rPr>
        <w:t>“</w:t>
      </w:r>
      <w:r>
        <w:rPr>
          <w:rFonts w:hint="eastAsia"/>
        </w:rPr>
        <w:t>六必须</w:t>
      </w:r>
      <w:r>
        <w:rPr>
          <w:rFonts w:hint="eastAsia"/>
          <w:lang w:eastAsia="zh-CN"/>
        </w:rPr>
        <w:t>”</w:t>
      </w:r>
      <w:r>
        <w:rPr>
          <w:rFonts w:hint="eastAsia"/>
        </w:rPr>
        <w:t>：必须打围作业、必须硬化道路、必须设置冲洗设施、必须湿法作业、必须配齐保洁人员、必须定时清扫施工现场；</w:t>
      </w:r>
      <w:r>
        <w:rPr>
          <w:rFonts w:hint="eastAsia"/>
          <w:lang w:eastAsia="zh-CN"/>
        </w:rPr>
        <w:t>“</w:t>
      </w:r>
      <w:r>
        <w:rPr>
          <w:rFonts w:hint="eastAsia"/>
        </w:rPr>
        <w:t>六不准</w:t>
      </w:r>
      <w:r>
        <w:rPr>
          <w:rFonts w:hint="eastAsia"/>
          <w:lang w:eastAsia="zh-CN"/>
        </w:rPr>
        <w:t>”</w:t>
      </w:r>
      <w:r>
        <w:rPr>
          <w:rFonts w:hint="eastAsia"/>
        </w:rPr>
        <w:t>：不准露天搅拌混凝土、不准车辆带泥出门，不准运渣车辆超载、冒载，不准高空抛撒建渣、不准场地积水、不准现场焚烧废弃物。在项目开工前，建设单位与施工单位应向建设、环保等部门分别提交扬尘污染防治方案与具体实施方案，并将扬尘污染防治纳入工程监理范围，扬尘污染防治费用纳入工程预算。本项目位于农村环境，场地外为泥土路。根据</w:t>
      </w:r>
      <w:r>
        <w:rPr>
          <w:rFonts w:hint="eastAsia"/>
          <w:lang w:eastAsia="zh-CN"/>
        </w:rPr>
        <w:t>“</w:t>
      </w:r>
      <w:r>
        <w:rPr>
          <w:rFonts w:hint="eastAsia"/>
        </w:rPr>
        <w:t>六必须</w:t>
      </w:r>
      <w:r>
        <w:rPr>
          <w:rFonts w:hint="eastAsia"/>
          <w:lang w:eastAsia="zh-CN"/>
        </w:rPr>
        <w:t>”</w:t>
      </w:r>
      <w:r>
        <w:rPr>
          <w:rFonts w:hint="eastAsia"/>
        </w:rPr>
        <w:t>和</w:t>
      </w:r>
      <w:r>
        <w:rPr>
          <w:rFonts w:hint="eastAsia"/>
          <w:lang w:eastAsia="zh-CN"/>
        </w:rPr>
        <w:t>“</w:t>
      </w:r>
      <w:r>
        <w:rPr>
          <w:rFonts w:hint="eastAsia"/>
        </w:rPr>
        <w:t>六不准</w:t>
      </w:r>
      <w:r>
        <w:rPr>
          <w:rFonts w:hint="eastAsia"/>
          <w:lang w:eastAsia="zh-CN"/>
        </w:rPr>
        <w:t>”</w:t>
      </w:r>
      <w:r>
        <w:rPr>
          <w:rFonts w:hint="eastAsia"/>
        </w:rPr>
        <w:t>要求，为减少车辆带泥出门，要求建设单位硬化场地主要运输道路；加强管理，在厂区出口处设置约</w:t>
      </w:r>
      <w:r>
        <w:rPr>
          <w:rFonts w:hint="default"/>
        </w:rPr>
        <w:t>2m</w:t>
      </w:r>
      <w:r>
        <w:rPr>
          <w:rFonts w:hint="eastAsia"/>
          <w:vertAlign w:val="superscript"/>
          <w:lang w:val="en-US" w:eastAsia="zh-CN"/>
        </w:rPr>
        <w:t>3</w:t>
      </w:r>
      <w:r>
        <w:rPr>
          <w:rFonts w:hint="eastAsia"/>
        </w:rPr>
        <w:t>的沉淀池，对出场车辆轮胎进行冲洗，严禁带泥出门。冲洗水经沉淀后循环使用。</w:t>
      </w:r>
    </w:p>
    <w:p>
      <w:pPr>
        <w:bidi w:val="0"/>
        <w:rPr>
          <w:rFonts w:hint="eastAsia"/>
        </w:rPr>
      </w:pPr>
      <w:r>
        <w:rPr>
          <w:rFonts w:hint="eastAsia"/>
        </w:rPr>
        <w:t>采取上述措施后，可大大减小施工期扬尘对环境空气的影响。评价认为，施工期采取的扬尘治理措施技术可行，措施有效。</w:t>
      </w:r>
    </w:p>
    <w:p>
      <w:pPr>
        <w:pStyle w:val="6"/>
        <w:bidi w:val="0"/>
        <w:rPr>
          <w:rFonts w:hint="default"/>
          <w:lang w:val="en-US" w:eastAsia="zh-CN"/>
        </w:rPr>
      </w:pPr>
      <w:r>
        <w:rPr>
          <w:rFonts w:hint="eastAsia"/>
          <w:lang w:val="en-US" w:eastAsia="zh-CN"/>
        </w:rPr>
        <w:t>施工机械废气</w:t>
      </w:r>
    </w:p>
    <w:p>
      <w:pPr>
        <w:bidi w:val="0"/>
        <w:rPr>
          <w:rFonts w:hint="eastAsia"/>
        </w:rPr>
      </w:pPr>
      <w:r>
        <w:rPr>
          <w:rFonts w:hint="eastAsia"/>
        </w:rPr>
        <w:t>施工期间，使用机动车运送原材料、设备和建筑机械设备的运转，均会排放一定量的</w:t>
      </w:r>
      <w:r>
        <w:rPr>
          <w:rFonts w:hint="default"/>
        </w:rPr>
        <w:t>CO</w:t>
      </w:r>
      <w:r>
        <w:rPr>
          <w:rFonts w:hint="eastAsia"/>
        </w:rPr>
        <w:t>、</w:t>
      </w:r>
      <w:r>
        <w:rPr>
          <w:rFonts w:hint="default"/>
        </w:rPr>
        <w:t>NOx</w:t>
      </w:r>
      <w:r>
        <w:rPr>
          <w:rFonts w:hint="eastAsia"/>
        </w:rPr>
        <w:t>以及未完全燃烧的</w:t>
      </w:r>
      <w:r>
        <w:rPr>
          <w:rFonts w:hint="default"/>
        </w:rPr>
        <w:t>THC</w:t>
      </w:r>
      <w:r>
        <w:rPr>
          <w:rFonts w:hint="eastAsia"/>
        </w:rPr>
        <w:t>等，其特点是排放量小，且属间断性无组织排放。加之施工场地开阔，扩散条件良好，施工期机械废气及运输车辆汽车尾气可实现达标排放。环评要求施工单位选择尾气排放达标的施工机械和运输车辆，安排专人注意加强施工机械维护，确保机械设备正常运行。</w:t>
      </w:r>
    </w:p>
    <w:p>
      <w:pPr>
        <w:bidi w:val="0"/>
        <w:rPr>
          <w:rFonts w:hint="eastAsia"/>
        </w:rPr>
      </w:pPr>
      <w:r>
        <w:rPr>
          <w:rFonts w:hint="eastAsia"/>
        </w:rPr>
        <w:t>采取以上废气治理措施，其浓度可得到有效控制，能够实现达标排放，治理措施可行。</w:t>
      </w:r>
    </w:p>
    <w:p>
      <w:pPr>
        <w:pStyle w:val="5"/>
        <w:bidi w:val="0"/>
        <w:rPr>
          <w:rFonts w:hint="default"/>
          <w:lang w:val="en-US" w:eastAsia="zh-CN"/>
        </w:rPr>
      </w:pPr>
      <w:r>
        <w:rPr>
          <w:rFonts w:hint="eastAsia"/>
          <w:lang w:val="en-US" w:eastAsia="zh-CN"/>
        </w:rPr>
        <w:t>水污染防治措施</w:t>
      </w:r>
    </w:p>
    <w:p>
      <w:pPr>
        <w:bidi w:val="0"/>
        <w:rPr>
          <w:rFonts w:hint="eastAsia"/>
        </w:rPr>
      </w:pPr>
      <w:r>
        <w:rPr>
          <w:rFonts w:hint="eastAsia"/>
        </w:rPr>
        <w:t>施工期废水主要为施工废水、试压废水和施工人员生活污水。其中施工废水、试压废水经临时沉淀池处理后上清液回用，不外排；施工生活污水产</w:t>
      </w:r>
      <w:r>
        <w:rPr>
          <w:rFonts w:hint="eastAsia"/>
          <w:lang w:eastAsia="zh-CN"/>
        </w:rPr>
        <w:t>依托</w:t>
      </w:r>
      <w:r>
        <w:rPr>
          <w:rFonts w:hint="eastAsia"/>
        </w:rPr>
        <w:t>周边农户已有卫生设施进行处理，不外排。</w:t>
      </w:r>
    </w:p>
    <w:p>
      <w:pPr>
        <w:bidi w:val="0"/>
        <w:rPr>
          <w:rFonts w:hint="eastAsia"/>
        </w:rPr>
      </w:pPr>
      <w:r>
        <w:rPr>
          <w:rFonts w:hint="eastAsia"/>
        </w:rPr>
        <w:t>采取以上治理措施后，本项目施工期废水不会对区域地表水造成明显影响，治理措施可行。</w:t>
      </w:r>
    </w:p>
    <w:p>
      <w:pPr>
        <w:pStyle w:val="5"/>
        <w:bidi w:val="0"/>
        <w:rPr>
          <w:rFonts w:hint="default"/>
          <w:lang w:val="en-US" w:eastAsia="zh-CN"/>
        </w:rPr>
      </w:pPr>
      <w:r>
        <w:rPr>
          <w:rFonts w:hint="eastAsia"/>
          <w:lang w:val="en-US" w:eastAsia="zh-CN"/>
        </w:rPr>
        <w:t>噪声污染防治措施</w:t>
      </w:r>
    </w:p>
    <w:p>
      <w:pPr>
        <w:bidi w:val="0"/>
        <w:rPr>
          <w:rFonts w:hint="eastAsia"/>
        </w:rPr>
      </w:pPr>
      <w:r>
        <w:rPr>
          <w:rFonts w:hint="eastAsia"/>
        </w:rPr>
        <w:t>环评要求施工单位采取以下降噪措施：</w:t>
      </w:r>
    </w:p>
    <w:p>
      <w:pPr>
        <w:bidi w:val="0"/>
        <w:rPr>
          <w:rFonts w:hint="eastAsia"/>
        </w:rPr>
      </w:pPr>
      <w:r>
        <w:rPr>
          <w:rFonts w:hint="eastAsia"/>
        </w:rPr>
        <w:t>①合理布置施工总平面图，将高噪声的作业点布置在施工场地中央，有效利用噪声传播距离衰减作用减轻施工噪声对周边环境的影响。</w:t>
      </w:r>
    </w:p>
    <w:p>
      <w:pPr>
        <w:bidi w:val="0"/>
        <w:rPr>
          <w:rFonts w:hint="eastAsia"/>
        </w:rPr>
      </w:pPr>
      <w:r>
        <w:rPr>
          <w:rFonts w:hint="eastAsia"/>
        </w:rPr>
        <w:t>②合理安排施工时间，土石方开挖等强噪声施工作业安排在昼间进行，高噪声工段禁止在午间和夜间（时间为</w:t>
      </w:r>
      <w:r>
        <w:rPr>
          <w:rFonts w:hint="default"/>
        </w:rPr>
        <w:t>12</w:t>
      </w:r>
      <w:r>
        <w:rPr>
          <w:rFonts w:hint="eastAsia"/>
          <w:lang w:eastAsia="zh-CN"/>
        </w:rPr>
        <w:t>：</w:t>
      </w:r>
      <w:r>
        <w:rPr>
          <w:rFonts w:hint="default"/>
        </w:rPr>
        <w:t>00~14</w:t>
      </w:r>
      <w:r>
        <w:rPr>
          <w:rFonts w:hint="eastAsia"/>
          <w:lang w:eastAsia="zh-CN"/>
        </w:rPr>
        <w:t>：</w:t>
      </w:r>
      <w:r>
        <w:rPr>
          <w:rFonts w:hint="default"/>
        </w:rPr>
        <w:t>00</w:t>
      </w:r>
      <w:r>
        <w:rPr>
          <w:rFonts w:hint="eastAsia"/>
        </w:rPr>
        <w:t>，</w:t>
      </w:r>
      <w:r>
        <w:rPr>
          <w:rFonts w:hint="default"/>
        </w:rPr>
        <w:t>22</w:t>
      </w:r>
      <w:r>
        <w:rPr>
          <w:rFonts w:hint="eastAsia"/>
          <w:lang w:eastAsia="zh-CN"/>
        </w:rPr>
        <w:t>：</w:t>
      </w:r>
      <w:r>
        <w:rPr>
          <w:rFonts w:hint="default"/>
        </w:rPr>
        <w:t>00~7</w:t>
      </w:r>
      <w:r>
        <w:rPr>
          <w:rFonts w:hint="eastAsia"/>
          <w:lang w:eastAsia="zh-CN"/>
        </w:rPr>
        <w:t>：</w:t>
      </w:r>
      <w:r>
        <w:rPr>
          <w:rFonts w:hint="default"/>
        </w:rPr>
        <w:t>00</w:t>
      </w:r>
      <w:r>
        <w:rPr>
          <w:rFonts w:hint="eastAsia"/>
        </w:rPr>
        <w:t>）施工。</w:t>
      </w:r>
    </w:p>
    <w:p>
      <w:pPr>
        <w:bidi w:val="0"/>
        <w:rPr>
          <w:rFonts w:hint="eastAsia"/>
          <w:lang w:val="en-US" w:eastAsia="zh-CN"/>
        </w:rPr>
      </w:pPr>
      <w:r>
        <w:rPr>
          <w:rFonts w:hint="eastAsia"/>
        </w:rPr>
        <w:t>③基础工程阶段的噪声主要来自挖掘机、冲击机等设备。选用低噪声设备；加强挖掘机和冲击机施工运行操作管理，选用专业人员进行操作。</w:t>
      </w:r>
    </w:p>
    <w:p>
      <w:pPr>
        <w:bidi w:val="0"/>
        <w:rPr>
          <w:rFonts w:hint="eastAsia"/>
        </w:rPr>
      </w:pPr>
      <w:r>
        <w:rPr>
          <w:rFonts w:hint="eastAsia"/>
        </w:rPr>
        <w:t>④主体结构阶段噪声主要来自振捣器、混凝土输送泵、电锯及空压机等设备。主体结构阶段振捣器选用消声振捣器；电锯等选用低噪声设备；混凝土输送泵基础设置减振垫，仅混凝土罐装车倾泻位置不设置围挡，其余各侧需设置围挡；要求采用商品混凝土，不得现场搅拌混凝土；对空压机选用低噪声设备，基础设置减振垫，四周设置简易围挡。</w:t>
      </w:r>
    </w:p>
    <w:p>
      <w:pPr>
        <w:bidi w:val="0"/>
        <w:rPr>
          <w:rFonts w:hint="eastAsia"/>
        </w:rPr>
      </w:pPr>
      <w:r>
        <w:rPr>
          <w:rFonts w:hint="eastAsia"/>
        </w:rPr>
        <w:t>⑤装修、安装阶段的噪声主要来自电钻、手工钻、电锤、无齿锯等设备。装修、安装阶段使用的电钻、手工钻及电锤、无齿锯选用低噪声设备，及时在</w:t>
      </w:r>
      <w:r>
        <w:rPr>
          <w:rFonts w:hint="eastAsia"/>
          <w:lang w:val="en-US" w:eastAsia="zh-CN"/>
        </w:rPr>
        <w:t>各</w:t>
      </w:r>
      <w:r>
        <w:rPr>
          <w:rFonts w:hint="eastAsia"/>
        </w:rPr>
        <w:t>部位加注机油，增强润滑作用；使用电锤开洞、凿眼时，严禁用铁锤敲打管道及金属工件。</w:t>
      </w:r>
    </w:p>
    <w:p>
      <w:pPr>
        <w:bidi w:val="0"/>
        <w:rPr>
          <w:rFonts w:hint="eastAsia"/>
        </w:rPr>
      </w:pPr>
      <w:r>
        <w:rPr>
          <w:rFonts w:hint="eastAsia"/>
        </w:rPr>
        <w:t>⑥文明施工。建立健全控制人为噪声管理制度；运输材料和设备时，轻拿轻放，严禁野蛮装卸。</w:t>
      </w:r>
    </w:p>
    <w:p>
      <w:pPr>
        <w:bidi w:val="0"/>
        <w:rPr>
          <w:rFonts w:hint="eastAsia"/>
        </w:rPr>
      </w:pPr>
      <w:r>
        <w:rPr>
          <w:rFonts w:hint="eastAsia"/>
        </w:rPr>
        <w:t>⑦一切动力机械设备都应适时维修，特别对因松动部件的震动或降低噪声部件的损坏而产生强噪声的设备，更应经常检查维护。</w:t>
      </w:r>
    </w:p>
    <w:p>
      <w:pPr>
        <w:bidi w:val="0"/>
        <w:rPr>
          <w:rFonts w:hint="eastAsia"/>
        </w:rPr>
      </w:pPr>
      <w:r>
        <w:rPr>
          <w:rFonts w:hint="eastAsia"/>
        </w:rPr>
        <w:t>⑧加强施工场地车辆的管理，尽量减少鸣喇叭次数及汽车启动频率。</w:t>
      </w:r>
    </w:p>
    <w:p>
      <w:pPr>
        <w:bidi w:val="0"/>
        <w:rPr>
          <w:rFonts w:hint="eastAsia"/>
        </w:rPr>
      </w:pPr>
      <w:r>
        <w:rPr>
          <w:rFonts w:hint="eastAsia"/>
        </w:rPr>
        <w:t>⑨建材、施工机械器具、建渣等的运输选择影响最小的路线，途径敏感点时减速慢行，严禁鸣笛。</w:t>
      </w:r>
    </w:p>
    <w:p>
      <w:pPr>
        <w:bidi w:val="0"/>
        <w:rPr>
          <w:rFonts w:hint="eastAsia"/>
        </w:rPr>
      </w:pPr>
      <w:r>
        <w:rPr>
          <w:rFonts w:hint="eastAsia"/>
        </w:rPr>
        <w:t>采取以上噪声治理措施后，本项目施工期噪声可做到不扰民，施工期噪声防治措施可行。</w:t>
      </w:r>
    </w:p>
    <w:p>
      <w:pPr>
        <w:pStyle w:val="5"/>
        <w:bidi w:val="0"/>
        <w:rPr>
          <w:rFonts w:hint="default"/>
          <w:lang w:val="en-US" w:eastAsia="zh-CN"/>
        </w:rPr>
      </w:pPr>
      <w:r>
        <w:rPr>
          <w:rFonts w:hint="eastAsia"/>
          <w:lang w:val="en-US" w:eastAsia="zh-CN"/>
        </w:rPr>
        <w:t>固体废物污染防治措施</w:t>
      </w:r>
    </w:p>
    <w:p>
      <w:pPr>
        <w:bidi w:val="0"/>
        <w:rPr>
          <w:rFonts w:hint="eastAsia"/>
        </w:rPr>
      </w:pPr>
      <w:r>
        <w:rPr>
          <w:rFonts w:hint="eastAsia"/>
        </w:rPr>
        <w:t>施工期固体废物主要包括土石方、建筑垃圾、废焊料和施工人员生活垃圾。对施工期固体废物应采取</w:t>
      </w:r>
      <w:r>
        <w:rPr>
          <w:rFonts w:hint="eastAsia"/>
          <w:lang w:eastAsia="zh-CN"/>
        </w:rPr>
        <w:t>“</w:t>
      </w:r>
      <w:r>
        <w:rPr>
          <w:rFonts w:hint="eastAsia"/>
        </w:rPr>
        <w:t>集中收集、分类处理、尽量回用</w:t>
      </w:r>
      <w:r>
        <w:rPr>
          <w:rFonts w:hint="eastAsia"/>
          <w:lang w:eastAsia="zh-CN"/>
        </w:rPr>
        <w:t>”</w:t>
      </w:r>
      <w:r>
        <w:rPr>
          <w:rFonts w:hint="eastAsia"/>
        </w:rPr>
        <w:t>的原则，其中土石方平衡无弃方；建筑垃圾部分可回收利用，不可回收部分全部运至政府部门指定地点进行填埋；废焊渣经统一收集后外售废品回收站处理；施工人员生活垃圾袋装收集后，由环卫部门统一清运处理。</w:t>
      </w:r>
    </w:p>
    <w:p>
      <w:pPr>
        <w:bidi w:val="0"/>
        <w:rPr>
          <w:rFonts w:hint="eastAsia"/>
        </w:rPr>
      </w:pPr>
      <w:r>
        <w:rPr>
          <w:rFonts w:hint="eastAsia"/>
        </w:rPr>
        <w:t>采取上述固废污染防治措施后，本项目施工期固废可得到合理处置，不会对周围环境产生明显影响，固体废物处置措施可行。</w:t>
      </w:r>
    </w:p>
    <w:p>
      <w:pPr>
        <w:pStyle w:val="5"/>
        <w:bidi w:val="0"/>
        <w:rPr>
          <w:rFonts w:hint="default"/>
          <w:lang w:val="en-US" w:eastAsia="zh-CN"/>
        </w:rPr>
      </w:pPr>
      <w:r>
        <w:rPr>
          <w:rFonts w:hint="eastAsia"/>
          <w:lang w:val="en-US" w:eastAsia="zh-CN"/>
        </w:rPr>
        <w:t>生态治理措施</w:t>
      </w:r>
    </w:p>
    <w:p>
      <w:pPr>
        <w:bidi w:val="0"/>
        <w:rPr>
          <w:rFonts w:hint="eastAsia"/>
        </w:rPr>
      </w:pPr>
      <w:r>
        <w:rPr>
          <w:rFonts w:hint="eastAsia"/>
        </w:rPr>
        <w:t>项目管网敷设过程中对临时占用的土地植被具有一定的破坏。根据本项目特点和管线选址，管道长度较短，工程沿线均为普通的人工栽种植被以及灌木植被，无珍稀、名贵树种分布。施工中可通过文明施工管理，优化施工区场地布置，缩短施工周期，施工结束后原貌恢复的措施加以保护和修复。环评要求施工过程通过严格执行土壤分层开挖，分层堆放、分层回填；按管线保护要求在管线两侧</w:t>
      </w:r>
      <w:r>
        <w:rPr>
          <w:rFonts w:hint="default"/>
        </w:rPr>
        <w:t>5m</w:t>
      </w:r>
      <w:r>
        <w:rPr>
          <w:rFonts w:hint="eastAsia"/>
        </w:rPr>
        <w:t>的范围内设置控制地，不得种植深根系植物，可恢复浅根系植物。</w:t>
      </w:r>
    </w:p>
    <w:p>
      <w:pPr>
        <w:bidi w:val="0"/>
        <w:rPr>
          <w:rFonts w:hint="eastAsia"/>
        </w:rPr>
      </w:pPr>
      <w:r>
        <w:rPr>
          <w:rFonts w:hint="eastAsia"/>
        </w:rPr>
        <w:t>施工中产生的土石方，在雨季或大风天气情况下，会造成水土流失现象。通过对开挖土方的及时回填，加强雨季施工管理（建设截排水沟以疏导堆场周边汇集的雨水，使场地堆土免受雨水冲蚀，设置挡土墙），施工结束后，进行植被和景观恢复，可最大程度的减轻水土流失量。</w:t>
      </w:r>
    </w:p>
    <w:p>
      <w:pPr>
        <w:bidi w:val="0"/>
        <w:rPr>
          <w:rFonts w:hint="eastAsia"/>
        </w:rPr>
      </w:pPr>
      <w:r>
        <w:rPr>
          <w:rFonts w:hint="eastAsia"/>
        </w:rPr>
        <w:t>采取上述生态防治措施后，不会对生态环境产生明显影响，措施可行。</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rPr>
          <w:rFonts w:hint="default"/>
          <w:lang w:val="en-US" w:eastAsia="zh-CN"/>
        </w:rPr>
      </w:pPr>
      <w:r>
        <w:rPr>
          <w:rFonts w:hint="eastAsia"/>
          <w:lang w:val="en-US" w:eastAsia="zh-CN"/>
        </w:rPr>
        <w:br w:type="page"/>
      </w:r>
    </w:p>
    <w:p>
      <w:pPr>
        <w:pStyle w:val="4"/>
        <w:bidi w:val="0"/>
        <w:rPr>
          <w:rFonts w:hint="default"/>
          <w:lang w:val="en-US" w:eastAsia="zh-CN"/>
        </w:rPr>
      </w:pPr>
      <w:bookmarkStart w:id="63" w:name="_Toc26169"/>
      <w:r>
        <w:rPr>
          <w:rFonts w:hint="eastAsia"/>
          <w:lang w:val="en-US" w:eastAsia="zh-CN"/>
        </w:rPr>
        <w:t>营运期环境保护措施</w:t>
      </w:r>
      <w:bookmarkEnd w:id="63"/>
    </w:p>
    <w:p>
      <w:pPr>
        <w:pStyle w:val="5"/>
        <w:bidi w:val="0"/>
        <w:rPr>
          <w:rFonts w:hint="default"/>
          <w:lang w:val="en-US" w:eastAsia="zh-CN"/>
        </w:rPr>
      </w:pPr>
      <w:r>
        <w:rPr>
          <w:rFonts w:hint="eastAsia"/>
          <w:lang w:val="en-US" w:eastAsia="zh-CN"/>
        </w:rPr>
        <w:t>地表水污染防治措施及技术经济论证</w:t>
      </w:r>
    </w:p>
    <w:p>
      <w:pPr>
        <w:pStyle w:val="6"/>
        <w:bidi w:val="0"/>
        <w:rPr>
          <w:rFonts w:hint="default"/>
          <w:lang w:val="en-US" w:eastAsia="zh-CN"/>
        </w:rPr>
      </w:pPr>
      <w:r>
        <w:rPr>
          <w:rFonts w:hint="eastAsia"/>
          <w:lang w:val="en-US" w:eastAsia="zh-CN"/>
        </w:rPr>
        <w:drawing>
          <wp:anchor distT="0" distB="0" distL="114300" distR="114300" simplePos="0" relativeHeight="251674624" behindDoc="0" locked="0" layoutInCell="1" allowOverlap="1">
            <wp:simplePos x="0" y="0"/>
            <wp:positionH relativeFrom="column">
              <wp:posOffset>152400</wp:posOffset>
            </wp:positionH>
            <wp:positionV relativeFrom="paragraph">
              <wp:posOffset>327660</wp:posOffset>
            </wp:positionV>
            <wp:extent cx="5969635" cy="3356610"/>
            <wp:effectExtent l="0" t="0" r="12065" b="15240"/>
            <wp:wrapTopAndBottom/>
            <wp:docPr id="24" name="图片 24" descr="34efb3286388aca89c5610b893e45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4efb3286388aca89c5610b893e45d7"/>
                    <pic:cNvPicPr>
                      <a:picLocks noChangeAspect="1"/>
                    </pic:cNvPicPr>
                  </pic:nvPicPr>
                  <pic:blipFill>
                    <a:blip r:embed="rId50"/>
                    <a:stretch>
                      <a:fillRect/>
                    </a:stretch>
                  </pic:blipFill>
                  <pic:spPr>
                    <a:xfrm>
                      <a:off x="0" y="0"/>
                      <a:ext cx="5969635" cy="3356610"/>
                    </a:xfrm>
                    <a:prstGeom prst="rect">
                      <a:avLst/>
                    </a:prstGeom>
                  </pic:spPr>
                </pic:pic>
              </a:graphicData>
            </a:graphic>
          </wp:anchor>
        </w:drawing>
      </w:r>
      <w:r>
        <w:rPr>
          <w:rFonts w:hint="eastAsia"/>
          <w:lang w:val="en-US" w:eastAsia="zh-CN"/>
        </w:rPr>
        <w:t>废水处理工艺</w:t>
      </w:r>
    </w:p>
    <w:p>
      <w:pPr>
        <w:pStyle w:val="29"/>
        <w:bidi w:val="0"/>
        <w:rPr>
          <w:rFonts w:hint="default"/>
          <w:lang w:val="en-US" w:eastAsia="zh-CN"/>
        </w:rPr>
      </w:pPr>
      <w:r>
        <w:rPr>
          <w:rFonts w:hint="default"/>
          <w:lang w:val="en-US" w:eastAsia="zh-CN"/>
        </w:rPr>
        <w:drawing>
          <wp:anchor distT="0" distB="0" distL="114300" distR="114300" simplePos="0" relativeHeight="251675648" behindDoc="0" locked="0" layoutInCell="1" allowOverlap="1">
            <wp:simplePos x="0" y="0"/>
            <wp:positionH relativeFrom="column">
              <wp:posOffset>831215</wp:posOffset>
            </wp:positionH>
            <wp:positionV relativeFrom="paragraph">
              <wp:posOffset>2657475</wp:posOffset>
            </wp:positionV>
            <wp:extent cx="2580005" cy="706755"/>
            <wp:effectExtent l="0" t="0" r="10795" b="17145"/>
            <wp:wrapNone/>
            <wp:docPr id="1" name="图片 1" descr="空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空白"/>
                    <pic:cNvPicPr>
                      <a:picLocks noChangeAspect="1"/>
                    </pic:cNvPicPr>
                  </pic:nvPicPr>
                  <pic:blipFill>
                    <a:blip r:embed="rId51"/>
                    <a:stretch>
                      <a:fillRect/>
                    </a:stretch>
                  </pic:blipFill>
                  <pic:spPr>
                    <a:xfrm>
                      <a:off x="0" y="0"/>
                      <a:ext cx="2580005" cy="706755"/>
                    </a:xfrm>
                    <a:prstGeom prst="rect">
                      <a:avLst/>
                    </a:prstGeom>
                  </pic:spPr>
                </pic:pic>
              </a:graphicData>
            </a:graphic>
          </wp:anchor>
        </w:drawing>
      </w:r>
      <w:r>
        <w:rPr>
          <w:rFonts w:hint="eastAsia"/>
          <w:lang w:val="en-US" w:eastAsia="zh-CN"/>
        </w:rPr>
        <w:t>图7.2-1  项目污水处理工艺流程图</w:t>
      </w:r>
    </w:p>
    <w:p>
      <w:pPr>
        <w:pStyle w:val="6"/>
        <w:bidi w:val="0"/>
        <w:rPr>
          <w:rFonts w:hint="default"/>
          <w:lang w:val="en-US" w:eastAsia="zh-CN"/>
        </w:rPr>
      </w:pPr>
      <w:r>
        <w:rPr>
          <w:rFonts w:hint="eastAsia"/>
          <w:lang w:val="en-US" w:eastAsia="zh-CN"/>
        </w:rPr>
        <w:t>污水处理工艺介绍分析</w:t>
      </w:r>
    </w:p>
    <w:p>
      <w:pPr>
        <w:bidi w:val="0"/>
        <w:rPr>
          <w:rFonts w:hint="eastAsia"/>
          <w:b/>
          <w:bCs/>
          <w:lang w:val="en-US" w:eastAsia="zh-CN"/>
        </w:rPr>
      </w:pPr>
      <w:r>
        <w:rPr>
          <w:rFonts w:hint="eastAsia"/>
          <w:b/>
          <w:bCs/>
        </w:rPr>
        <w:t>（</w:t>
      </w:r>
      <w:r>
        <w:rPr>
          <w:rFonts w:hint="default"/>
          <w:b/>
          <w:bCs/>
        </w:rPr>
        <w:t>1</w:t>
      </w:r>
      <w:r>
        <w:rPr>
          <w:rFonts w:hint="eastAsia"/>
          <w:b/>
          <w:bCs/>
        </w:rPr>
        <w:t>）格栅池</w:t>
      </w:r>
    </w:p>
    <w:p>
      <w:pPr>
        <w:bidi w:val="0"/>
        <w:rPr>
          <w:rFonts w:hint="eastAsia"/>
          <w:lang w:val="en-US" w:eastAsia="zh-CN"/>
        </w:rPr>
      </w:pPr>
      <w:r>
        <w:rPr>
          <w:rFonts w:hint="eastAsia"/>
        </w:rPr>
        <w:t>拦截废水中的毛皮发、碎肉、内脏杂物等大颗粒杂质，防止进入后续设施影响设备的正常运行。</w:t>
      </w:r>
    </w:p>
    <w:p>
      <w:pPr>
        <w:bidi w:val="0"/>
        <w:rPr>
          <w:rFonts w:hint="eastAsia" w:eastAsia="宋体"/>
          <w:b/>
          <w:bCs/>
          <w:lang w:val="en-US" w:eastAsia="zh-CN"/>
        </w:rPr>
      </w:pPr>
      <w:r>
        <w:rPr>
          <w:rFonts w:hint="eastAsia"/>
          <w:b/>
          <w:bCs/>
        </w:rPr>
        <w:t>（</w:t>
      </w:r>
      <w:r>
        <w:rPr>
          <w:rFonts w:hint="default"/>
          <w:b/>
          <w:bCs/>
        </w:rPr>
        <w:t>2</w:t>
      </w:r>
      <w:r>
        <w:rPr>
          <w:rFonts w:hint="eastAsia"/>
          <w:b/>
          <w:bCs/>
        </w:rPr>
        <w:t>）</w:t>
      </w:r>
      <w:r>
        <w:rPr>
          <w:rFonts w:hint="eastAsia"/>
          <w:b/>
          <w:bCs/>
          <w:lang w:val="en-US" w:eastAsia="zh-CN"/>
        </w:rPr>
        <w:t>沉渣池</w:t>
      </w:r>
    </w:p>
    <w:p>
      <w:pPr>
        <w:bidi w:val="0"/>
        <w:rPr>
          <w:rFonts w:hint="eastAsia"/>
          <w:lang w:val="zh-CN"/>
        </w:rPr>
      </w:pPr>
      <w:r>
        <w:rPr>
          <w:rFonts w:hint="eastAsia"/>
          <w:lang w:eastAsia="zh-CN"/>
        </w:rPr>
        <w:t>进入沉</w:t>
      </w:r>
      <w:r>
        <w:rPr>
          <w:rFonts w:hint="eastAsia"/>
          <w:lang w:val="en-US" w:eastAsia="zh-CN"/>
        </w:rPr>
        <w:t>渣</w:t>
      </w:r>
      <w:r>
        <w:rPr>
          <w:rFonts w:hint="eastAsia"/>
          <w:lang w:eastAsia="zh-CN"/>
        </w:rPr>
        <w:t>池，重量较重的砂沉到底部，上清液流入</w:t>
      </w:r>
      <w:r>
        <w:rPr>
          <w:rFonts w:hint="eastAsia"/>
          <w:lang w:val="zh-CN"/>
        </w:rPr>
        <w:t>多功能生物调节池。</w:t>
      </w:r>
    </w:p>
    <w:p>
      <w:pPr>
        <w:bidi w:val="0"/>
        <w:rPr>
          <w:rFonts w:hint="eastAsia"/>
          <w:b/>
          <w:bCs/>
        </w:rPr>
      </w:pPr>
      <w:r>
        <w:rPr>
          <w:rFonts w:hint="eastAsia"/>
          <w:b/>
          <w:bCs/>
        </w:rPr>
        <w:t>（</w:t>
      </w:r>
      <w:r>
        <w:rPr>
          <w:rFonts w:hint="default"/>
          <w:b/>
          <w:bCs/>
        </w:rPr>
        <w:t>3</w:t>
      </w:r>
      <w:r>
        <w:rPr>
          <w:rFonts w:hint="eastAsia"/>
          <w:b/>
          <w:bCs/>
        </w:rPr>
        <w:t>）</w:t>
      </w:r>
      <w:r>
        <w:rPr>
          <w:rFonts w:hint="eastAsia"/>
          <w:b/>
          <w:bCs/>
          <w:lang w:val="en-US" w:eastAsia="zh-CN"/>
        </w:rPr>
        <w:t>多功能生物</w:t>
      </w:r>
      <w:r>
        <w:rPr>
          <w:rFonts w:hint="eastAsia"/>
          <w:b/>
          <w:bCs/>
        </w:rPr>
        <w:t>调节池</w:t>
      </w:r>
    </w:p>
    <w:p>
      <w:pPr>
        <w:bidi w:val="0"/>
        <w:rPr>
          <w:rFonts w:hint="eastAsia"/>
        </w:rPr>
      </w:pPr>
      <w:r>
        <w:rPr>
          <w:rFonts w:hint="eastAsia"/>
        </w:rPr>
        <w:t>屠宰场主要在夜间工作，排水基本集中在下半夜和上午，时间分布不均匀，水质水量变化大。因此为保证后续处理设施的正常运行，需要调节水量和均化水质，所以设置一座调节池来满足这一要求。</w:t>
      </w:r>
    </w:p>
    <w:p>
      <w:pPr>
        <w:bidi w:val="0"/>
        <w:rPr>
          <w:rFonts w:hint="eastAsia"/>
          <w:b/>
          <w:bCs/>
          <w:lang w:eastAsia="zh-CN"/>
        </w:rPr>
      </w:pPr>
      <w:r>
        <w:rPr>
          <w:rFonts w:hint="eastAsia"/>
          <w:b/>
          <w:bCs/>
          <w:lang w:eastAsia="zh-CN"/>
        </w:rPr>
        <w:t>（</w:t>
      </w:r>
      <w:r>
        <w:rPr>
          <w:rFonts w:hint="eastAsia"/>
          <w:b/>
          <w:bCs/>
          <w:lang w:val="en-US" w:eastAsia="zh-CN"/>
        </w:rPr>
        <w:t>4</w:t>
      </w:r>
      <w:r>
        <w:rPr>
          <w:rFonts w:hint="eastAsia"/>
          <w:b/>
          <w:bCs/>
          <w:lang w:eastAsia="zh-CN"/>
        </w:rPr>
        <w:t>）气浮沉渣池</w:t>
      </w:r>
    </w:p>
    <w:p>
      <w:pPr>
        <w:bidi w:val="0"/>
        <w:rPr>
          <w:rFonts w:hint="default"/>
          <w:lang w:val="en-US" w:eastAsia="zh-CN"/>
        </w:rPr>
      </w:pPr>
      <w:r>
        <w:rPr>
          <w:rFonts w:hint="eastAsia"/>
          <w:lang w:val="en-US" w:eastAsia="zh-CN"/>
        </w:rPr>
        <w:t>项目通过</w:t>
      </w:r>
      <w:r>
        <w:rPr>
          <w:rFonts w:hint="eastAsia"/>
          <w:lang w:eastAsia="zh-CN"/>
        </w:rPr>
        <w:t>气浮沉渣池</w:t>
      </w:r>
      <w:r>
        <w:rPr>
          <w:rFonts w:hint="eastAsia"/>
        </w:rPr>
        <w:t>去除浮渣、浮油和其他易于沉降的悬浮物</w:t>
      </w:r>
      <w:r>
        <w:rPr>
          <w:rFonts w:hint="eastAsia"/>
          <w:lang w:val="zh-CN"/>
        </w:rPr>
        <w:t>。</w:t>
      </w:r>
    </w:p>
    <w:p>
      <w:pPr>
        <w:bidi w:val="0"/>
        <w:rPr>
          <w:rFonts w:hint="eastAsia"/>
          <w:b/>
          <w:bCs/>
        </w:rPr>
      </w:pPr>
    </w:p>
    <w:p>
      <w:pPr>
        <w:bidi w:val="0"/>
        <w:rPr>
          <w:rFonts w:hint="eastAsia"/>
          <w:b/>
          <w:bCs/>
        </w:rPr>
      </w:pPr>
      <w:r>
        <w:rPr>
          <w:rFonts w:hint="eastAsia"/>
          <w:b/>
          <w:bCs/>
        </w:rPr>
        <w:t>（</w:t>
      </w:r>
      <w:r>
        <w:rPr>
          <w:rFonts w:hint="eastAsia"/>
          <w:b/>
          <w:bCs/>
          <w:lang w:val="en-US" w:eastAsia="zh-CN"/>
        </w:rPr>
        <w:t>5</w:t>
      </w:r>
      <w:r>
        <w:rPr>
          <w:rFonts w:hint="eastAsia"/>
          <w:b/>
          <w:bCs/>
        </w:rPr>
        <w:t>）厌氧池</w:t>
      </w:r>
    </w:p>
    <w:p>
      <w:pPr>
        <w:bidi w:val="0"/>
        <w:rPr>
          <w:rFonts w:hint="eastAsia"/>
        </w:rPr>
      </w:pPr>
      <w:r>
        <w:rPr>
          <w:rFonts w:hint="eastAsia"/>
        </w:rPr>
        <w:t>利用厌氧反应使屠宰废水中大分子难降解有机物转化为水分子易降解的有机物，出水的可生化性能得到改善，这使得好氧处理部分的停留时间小于传统处理工艺。与此同时，悬浮物被水解为可溶性物质，使污泥得到稳定处理。</w:t>
      </w:r>
    </w:p>
    <w:p>
      <w:pPr>
        <w:bidi w:val="0"/>
        <w:rPr>
          <w:rFonts w:hint="eastAsia"/>
        </w:rPr>
      </w:pPr>
      <w:r>
        <w:rPr>
          <w:rFonts w:hint="eastAsia"/>
          <w:lang w:val="zh-CN"/>
        </w:rPr>
        <w:t>废水在厌氧系统中</w:t>
      </w:r>
      <w:r>
        <w:rPr>
          <w:rFonts w:hint="eastAsia"/>
        </w:rPr>
        <w:t>，废水中部分有机污染物能得到有效去除，同时</w:t>
      </w:r>
      <w:r>
        <w:rPr>
          <w:rFonts w:hint="eastAsia"/>
          <w:lang w:val="zh-CN"/>
        </w:rPr>
        <w:t>在厌氧菌的</w:t>
      </w:r>
      <w:r>
        <w:rPr>
          <w:rFonts w:hint="eastAsia"/>
        </w:rPr>
        <w:t>作用下，废水中难降解的大分子有机污染物被分解成易生物降解的小分子有机物，</w:t>
      </w:r>
      <w:r>
        <w:t>BOD/COD</w:t>
      </w:r>
      <w:r>
        <w:rPr>
          <w:rFonts w:hint="eastAsia"/>
        </w:rPr>
        <w:t>值提高、</w:t>
      </w:r>
      <w:r>
        <w:t>BOD</w:t>
      </w:r>
      <w:r>
        <w:rPr>
          <w:rFonts w:hint="eastAsia"/>
        </w:rPr>
        <w:t>降解速率加快，有利于后续的好氧生物处理。厌氧系统出水自流进入</w:t>
      </w:r>
      <w:r>
        <w:rPr>
          <w:rFonts w:hint="eastAsia"/>
          <w:lang w:val="en-US" w:eastAsia="zh-CN"/>
        </w:rPr>
        <w:t>初沉</w:t>
      </w:r>
      <w:r>
        <w:rPr>
          <w:rFonts w:hint="eastAsia"/>
          <w:lang w:eastAsia="zh-CN"/>
        </w:rPr>
        <w:t>池</w:t>
      </w:r>
      <w:r>
        <w:rPr>
          <w:rFonts w:hint="eastAsia"/>
        </w:rPr>
        <w:t>。</w:t>
      </w:r>
    </w:p>
    <w:p>
      <w:pPr>
        <w:bidi w:val="0"/>
        <w:rPr>
          <w:rFonts w:hint="default" w:eastAsia="宋体"/>
          <w:b/>
          <w:bCs/>
          <w:lang w:val="en-US" w:eastAsia="zh-CN"/>
        </w:rPr>
      </w:pPr>
      <w:r>
        <w:rPr>
          <w:rFonts w:hint="eastAsia"/>
          <w:b/>
          <w:bCs/>
        </w:rPr>
        <w:t>（</w:t>
      </w:r>
      <w:r>
        <w:rPr>
          <w:rFonts w:hint="eastAsia"/>
          <w:b/>
          <w:bCs/>
          <w:lang w:val="en-US" w:eastAsia="zh-CN"/>
        </w:rPr>
        <w:t>6</w:t>
      </w:r>
      <w:r>
        <w:rPr>
          <w:rFonts w:hint="eastAsia"/>
          <w:b/>
          <w:bCs/>
        </w:rPr>
        <w:t>）</w:t>
      </w:r>
      <w:r>
        <w:rPr>
          <w:rFonts w:hint="eastAsia"/>
          <w:b/>
          <w:bCs/>
          <w:lang w:val="en-US" w:eastAsia="zh-CN"/>
        </w:rPr>
        <w:t>初沉池、缺氧池1</w:t>
      </w:r>
    </w:p>
    <w:p>
      <w:pPr>
        <w:bidi w:val="0"/>
        <w:rPr>
          <w:rFonts w:hint="default"/>
          <w:lang w:val="en-US" w:eastAsia="zh-CN"/>
        </w:rPr>
      </w:pPr>
      <w:r>
        <w:rPr>
          <w:rFonts w:hint="eastAsia"/>
          <w:lang w:val="en-US" w:eastAsia="zh-CN"/>
        </w:rPr>
        <w:t>厌氧池出水进入初沉池进行分离，上清液进入缺氧池。进行脱氮反应，之后出水进入好氧反应池。</w:t>
      </w:r>
    </w:p>
    <w:p>
      <w:pPr>
        <w:bidi w:val="0"/>
        <w:rPr>
          <w:rFonts w:hint="default" w:eastAsia="宋体"/>
          <w:b/>
          <w:bCs/>
          <w:highlight w:val="none"/>
          <w:lang w:val="en-US" w:eastAsia="zh-CN"/>
        </w:rPr>
      </w:pPr>
      <w:r>
        <w:rPr>
          <w:rFonts w:hint="eastAsia"/>
          <w:b/>
          <w:bCs/>
          <w:highlight w:val="none"/>
        </w:rPr>
        <w:t>（</w:t>
      </w:r>
      <w:r>
        <w:rPr>
          <w:rFonts w:hint="eastAsia"/>
          <w:b/>
          <w:bCs/>
          <w:highlight w:val="none"/>
          <w:lang w:val="en-US" w:eastAsia="zh-CN"/>
        </w:rPr>
        <w:t>7</w:t>
      </w:r>
      <w:r>
        <w:rPr>
          <w:rFonts w:hint="eastAsia"/>
          <w:b/>
          <w:bCs/>
          <w:highlight w:val="none"/>
        </w:rPr>
        <w:t>）</w:t>
      </w:r>
      <w:r>
        <w:rPr>
          <w:rFonts w:hint="eastAsia"/>
          <w:b/>
          <w:bCs/>
          <w:highlight w:val="none"/>
          <w:lang w:val="en-US" w:eastAsia="zh-CN"/>
        </w:rPr>
        <w:t>好氧池1</w:t>
      </w:r>
    </w:p>
    <w:p>
      <w:pPr>
        <w:bidi w:val="0"/>
        <w:rPr>
          <w:rFonts w:hint="eastAsia"/>
        </w:rPr>
      </w:pPr>
      <w:r>
        <w:rPr>
          <w:rFonts w:hint="eastAsia"/>
        </w:rPr>
        <w:t>好氧反应池中的废水和空气中的氧在水力剪切和搅拌的作用下得到充分混合，使氧化反应更加完全，氧的利用率大大提高。废水中绝大多数有机物在此很容易被好氧微生物氧化分解成水和二氧化碳等物质并释放，一部分有机物被好氧微生物作为营养源吸收，从而达到去除有机物的目的。</w:t>
      </w:r>
    </w:p>
    <w:p>
      <w:pPr>
        <w:bidi w:val="0"/>
        <w:rPr>
          <w:rFonts w:hint="default" w:eastAsia="宋体"/>
          <w:b/>
          <w:bCs/>
          <w:lang w:val="en-US" w:eastAsia="zh-CN"/>
        </w:rPr>
      </w:pPr>
      <w:r>
        <w:rPr>
          <w:rFonts w:hint="eastAsia"/>
          <w:b/>
          <w:bCs/>
          <w:lang w:eastAsia="zh-CN"/>
        </w:rPr>
        <w:t>（</w:t>
      </w:r>
      <w:r>
        <w:rPr>
          <w:rFonts w:hint="eastAsia"/>
          <w:b/>
          <w:bCs/>
          <w:lang w:val="en-US" w:eastAsia="zh-CN"/>
        </w:rPr>
        <w:t>8</w:t>
      </w:r>
      <w:r>
        <w:rPr>
          <w:rFonts w:hint="eastAsia"/>
          <w:b/>
          <w:bCs/>
          <w:lang w:eastAsia="zh-CN"/>
        </w:rPr>
        <w:t>）</w:t>
      </w:r>
      <w:r>
        <w:rPr>
          <w:rFonts w:hint="eastAsia"/>
          <w:b/>
          <w:bCs/>
          <w:lang w:val="en-US" w:eastAsia="zh-CN"/>
        </w:rPr>
        <w:t>缺氧2、好氧2</w:t>
      </w:r>
    </w:p>
    <w:p>
      <w:pPr>
        <w:bidi w:val="0"/>
        <w:rPr>
          <w:rFonts w:hint="eastAsia"/>
        </w:rPr>
      </w:pPr>
      <w:r>
        <w:rPr>
          <w:rFonts w:hint="eastAsia"/>
          <w:lang w:val="en-US" w:eastAsia="zh-CN"/>
        </w:rPr>
        <w:t>好氧池1</w:t>
      </w:r>
      <w:r>
        <w:rPr>
          <w:rFonts w:hint="eastAsia"/>
        </w:rPr>
        <w:t>出水进入</w:t>
      </w:r>
      <w:r>
        <w:rPr>
          <w:rFonts w:hint="eastAsia"/>
          <w:lang w:val="en-US" w:eastAsia="zh-CN"/>
        </w:rPr>
        <w:t>缺氧池2、好氧池2进行进一步的好氧生物反应和反硝化脱氮反应，去除大量的有机物，之后进入</w:t>
      </w:r>
      <w:r>
        <w:rPr>
          <w:rFonts w:hint="eastAsia"/>
          <w:lang w:eastAsia="zh-CN"/>
        </w:rPr>
        <w:t>二沉池。</w:t>
      </w:r>
    </w:p>
    <w:p>
      <w:pPr>
        <w:bidi w:val="0"/>
        <w:rPr>
          <w:rFonts w:hint="eastAsia"/>
          <w:b/>
          <w:bCs/>
        </w:rPr>
      </w:pPr>
      <w:r>
        <w:rPr>
          <w:rFonts w:hint="eastAsia"/>
          <w:b/>
          <w:bCs/>
        </w:rPr>
        <w:t>（</w:t>
      </w:r>
      <w:r>
        <w:rPr>
          <w:rFonts w:hint="eastAsia"/>
          <w:b/>
          <w:bCs/>
          <w:lang w:val="en-US" w:eastAsia="zh-CN"/>
        </w:rPr>
        <w:t>9</w:t>
      </w:r>
      <w:r>
        <w:rPr>
          <w:rFonts w:hint="eastAsia"/>
          <w:b/>
          <w:bCs/>
        </w:rPr>
        <w:t>）二沉池</w:t>
      </w:r>
    </w:p>
    <w:p>
      <w:pPr>
        <w:bidi w:val="0"/>
        <w:rPr>
          <w:rFonts w:hint="eastAsia"/>
        </w:rPr>
      </w:pPr>
      <w:r>
        <w:rPr>
          <w:rFonts w:hint="eastAsia"/>
        </w:rPr>
        <w:t>主要沉降生化池中脱落的生物膜、活性污泥、部分细小的悬浮物质等。</w:t>
      </w:r>
    </w:p>
    <w:p>
      <w:pPr>
        <w:bidi w:val="0"/>
        <w:rPr>
          <w:rFonts w:hint="default"/>
          <w:b/>
          <w:bCs/>
          <w:lang w:val="en-US" w:eastAsia="zh-CN"/>
        </w:rPr>
      </w:pPr>
      <w:r>
        <w:rPr>
          <w:rFonts w:hint="eastAsia"/>
          <w:b/>
          <w:bCs/>
          <w:lang w:eastAsia="zh-CN"/>
        </w:rPr>
        <w:t>（</w:t>
      </w:r>
      <w:r>
        <w:rPr>
          <w:rFonts w:hint="eastAsia"/>
          <w:b/>
          <w:bCs/>
          <w:lang w:val="en-US" w:eastAsia="zh-CN"/>
        </w:rPr>
        <w:t>10</w:t>
      </w:r>
      <w:r>
        <w:rPr>
          <w:rFonts w:hint="eastAsia"/>
          <w:b/>
          <w:bCs/>
          <w:lang w:eastAsia="zh-CN"/>
        </w:rPr>
        <w:t>）</w:t>
      </w:r>
      <w:r>
        <w:rPr>
          <w:rFonts w:hint="eastAsia"/>
          <w:b/>
          <w:bCs/>
          <w:lang w:val="en-US" w:eastAsia="zh-CN"/>
        </w:rPr>
        <w:t>生物滤池</w:t>
      </w:r>
    </w:p>
    <w:p>
      <w:pPr>
        <w:bidi w:val="0"/>
        <w:rPr>
          <w:rFonts w:hint="eastAsia"/>
          <w:b/>
          <w:bCs/>
          <w:lang w:eastAsia="zh-CN"/>
        </w:rPr>
      </w:pPr>
      <w:r>
        <w:rPr>
          <w:rFonts w:hint="eastAsia"/>
          <w:lang w:val="en-US" w:eastAsia="zh-CN"/>
        </w:rPr>
        <w:t>经过二沉池</w:t>
      </w:r>
      <w:r>
        <w:rPr>
          <w:rFonts w:hint="eastAsia"/>
          <w:lang w:eastAsia="zh-CN"/>
        </w:rPr>
        <w:t>沉淀之后</w:t>
      </w:r>
      <w:r>
        <w:rPr>
          <w:rFonts w:hint="eastAsia"/>
          <w:lang w:val="en-US" w:eastAsia="zh-CN"/>
        </w:rPr>
        <w:t>进入生物滤池，进一步去除总氮能难降解物质。</w:t>
      </w:r>
    </w:p>
    <w:p>
      <w:pPr>
        <w:bidi w:val="0"/>
        <w:rPr>
          <w:rFonts w:hint="default" w:eastAsia="宋体"/>
          <w:b/>
          <w:bCs/>
          <w:lang w:val="en-US" w:eastAsia="zh-CN"/>
        </w:rPr>
      </w:pPr>
      <w:r>
        <w:rPr>
          <w:rFonts w:hint="eastAsia"/>
          <w:b/>
          <w:bCs/>
          <w:lang w:eastAsia="zh-CN"/>
        </w:rPr>
        <w:t>（</w:t>
      </w:r>
      <w:r>
        <w:rPr>
          <w:rFonts w:hint="eastAsia"/>
          <w:b/>
          <w:bCs/>
          <w:lang w:val="en-US" w:eastAsia="zh-CN"/>
        </w:rPr>
        <w:t>9</w:t>
      </w:r>
      <w:r>
        <w:rPr>
          <w:rFonts w:hint="eastAsia"/>
          <w:b/>
          <w:bCs/>
          <w:lang w:eastAsia="zh-CN"/>
        </w:rPr>
        <w:t>）</w:t>
      </w:r>
      <w:r>
        <w:rPr>
          <w:rFonts w:hint="eastAsia"/>
          <w:b/>
          <w:bCs/>
          <w:lang w:val="en-US" w:eastAsia="zh-CN"/>
        </w:rPr>
        <w:t>絮凝沉淀池</w:t>
      </w:r>
    </w:p>
    <w:p>
      <w:pPr>
        <w:bidi w:val="0"/>
        <w:rPr>
          <w:rFonts w:hint="eastAsia"/>
        </w:rPr>
      </w:pPr>
      <w:r>
        <w:rPr>
          <w:rFonts w:hint="eastAsia"/>
          <w:lang w:val="en-US" w:eastAsia="zh-CN"/>
        </w:rPr>
        <w:t>经过生物滤池后</w:t>
      </w:r>
      <w:r>
        <w:rPr>
          <w:rFonts w:hint="eastAsia"/>
          <w:lang w:eastAsia="zh-CN"/>
        </w:rPr>
        <w:t>进行加药</w:t>
      </w:r>
      <w:r>
        <w:rPr>
          <w:rFonts w:hint="eastAsia"/>
          <w:lang w:val="en-US" w:eastAsia="zh-CN"/>
        </w:rPr>
        <w:t>絮凝沉淀</w:t>
      </w:r>
      <w:r>
        <w:rPr>
          <w:rFonts w:hint="eastAsia"/>
          <w:lang w:eastAsia="zh-CN"/>
        </w:rPr>
        <w:t>反应，</w:t>
      </w:r>
      <w:r>
        <w:rPr>
          <w:rFonts w:hint="eastAsia"/>
          <w:lang w:val="en-US" w:eastAsia="zh-CN"/>
        </w:rPr>
        <w:t>去除悬浮物等污染物，</w:t>
      </w:r>
      <w:r>
        <w:rPr>
          <w:rFonts w:hint="eastAsia"/>
          <w:lang w:eastAsia="zh-CN"/>
        </w:rPr>
        <w:t>沉淀后</w:t>
      </w:r>
      <w:r>
        <w:rPr>
          <w:rFonts w:hint="eastAsia"/>
          <w:lang w:val="en-US" w:eastAsia="zh-CN"/>
        </w:rPr>
        <w:t>进入过滤池，过滤池里面填充滤料，能有效截留污染物，过滤池设置反冲洗装置，将过滤后的混液返回前端系统进行处理，过滤池出水进入</w:t>
      </w:r>
      <w:r>
        <w:rPr>
          <w:rFonts w:hint="eastAsia"/>
          <w:lang w:eastAsia="zh-CN"/>
        </w:rPr>
        <w:t>消毒</w:t>
      </w:r>
      <w:r>
        <w:rPr>
          <w:rFonts w:hint="eastAsia"/>
          <w:lang w:val="en-US" w:eastAsia="zh-CN"/>
        </w:rPr>
        <w:t>装置</w:t>
      </w:r>
      <w:r>
        <w:rPr>
          <w:rFonts w:hint="eastAsia"/>
          <w:lang w:eastAsia="zh-CN"/>
        </w:rPr>
        <w:t>处理，杀灭大量大肠杆菌等细菌，保证出水水质。</w:t>
      </w:r>
    </w:p>
    <w:p>
      <w:pPr>
        <w:bidi w:val="0"/>
        <w:rPr>
          <w:rFonts w:hint="eastAsia"/>
          <w:b/>
          <w:bCs/>
        </w:rPr>
      </w:pPr>
      <w:r>
        <w:rPr>
          <w:rFonts w:hint="eastAsia"/>
          <w:b/>
          <w:bCs/>
        </w:rPr>
        <w:t>（</w:t>
      </w:r>
      <w:r>
        <w:rPr>
          <w:rFonts w:hint="eastAsia"/>
          <w:b/>
          <w:bCs/>
          <w:lang w:val="en-US" w:eastAsia="zh-CN"/>
        </w:rPr>
        <w:t>10</w:t>
      </w:r>
      <w:r>
        <w:rPr>
          <w:rFonts w:hint="eastAsia"/>
          <w:b/>
          <w:bCs/>
        </w:rPr>
        <w:t>）消毒</w:t>
      </w:r>
    </w:p>
    <w:p>
      <w:pPr>
        <w:bidi w:val="0"/>
        <w:rPr>
          <w:rFonts w:hint="eastAsia"/>
          <w:lang w:val="en-US" w:eastAsia="zh-CN"/>
        </w:rPr>
      </w:pPr>
      <w:r>
        <w:rPr>
          <w:rFonts w:hint="eastAsia"/>
        </w:rPr>
        <w:t>污水消毒是屠宰加工厂污水处理的重要工艺过程，其目的是杀灭污水中的各种致病菌。</w:t>
      </w:r>
      <w:r>
        <w:rPr>
          <w:rFonts w:hint="eastAsia"/>
          <w:lang w:val="en-US" w:eastAsia="zh-CN"/>
        </w:rPr>
        <w:t>本项目</w:t>
      </w:r>
      <w:r>
        <w:rPr>
          <w:rFonts w:hint="eastAsia"/>
        </w:rPr>
        <w:t>消毒方法</w:t>
      </w:r>
      <w:r>
        <w:rPr>
          <w:rFonts w:hint="eastAsia"/>
          <w:lang w:val="en-US" w:eastAsia="zh-CN"/>
        </w:rPr>
        <w:t>采用</w:t>
      </w:r>
      <w:r>
        <w:rPr>
          <w:rFonts w:hint="eastAsia"/>
        </w:rPr>
        <w:t>紫外线</w:t>
      </w:r>
      <w:r>
        <w:rPr>
          <w:rFonts w:hint="eastAsia"/>
          <w:lang w:val="en-US" w:eastAsia="zh-CN"/>
        </w:rPr>
        <w:t>消毒</w:t>
      </w:r>
      <w:r>
        <w:rPr>
          <w:rFonts w:hint="eastAsia"/>
        </w:rPr>
        <w:t>。</w:t>
      </w:r>
    </w:p>
    <w:p>
      <w:pPr>
        <w:bidi w:val="0"/>
        <w:rPr>
          <w:rFonts w:hint="eastAsia"/>
        </w:rPr>
      </w:pPr>
      <w:r>
        <w:rPr>
          <w:rFonts w:hint="eastAsia"/>
        </w:rPr>
        <w:t>紫外线是近十多年来发展得最快的一种方法。在一些国家，紫外线有逐步取代氯消毒、成为污水处理厂主要消毒方式的趋势。</w:t>
      </w:r>
    </w:p>
    <w:p>
      <w:pPr>
        <w:bidi w:val="0"/>
        <w:rPr>
          <w:rFonts w:hint="eastAsia"/>
        </w:rPr>
      </w:pPr>
      <w:r>
        <w:rPr>
          <w:rFonts w:hint="eastAsia"/>
        </w:rPr>
        <w:t>紫外线消毒的基本原理为：紫外线对微生物的遗传物质（即</w:t>
      </w:r>
      <w:r>
        <w:rPr>
          <w:rFonts w:hint="default"/>
        </w:rPr>
        <w:t>DNA</w:t>
      </w:r>
      <w:r>
        <w:rPr>
          <w:rFonts w:hint="eastAsia"/>
        </w:rPr>
        <w:t>）有畸变作用，在吸收了一定剂量的紫外线后，</w:t>
      </w:r>
      <w:r>
        <w:rPr>
          <w:rFonts w:hint="default"/>
        </w:rPr>
        <w:t>DNA</w:t>
      </w:r>
      <w:r>
        <w:rPr>
          <w:rFonts w:hint="eastAsia"/>
        </w:rPr>
        <w:t>的结合键断裂，细胞失去活力，无法进行繁殖，细菌数量大幅度减少，达到灭菌的目的。因为当紫外线的波长为</w:t>
      </w:r>
      <w:r>
        <w:rPr>
          <w:rFonts w:hint="default"/>
        </w:rPr>
        <w:t>254mm</w:t>
      </w:r>
      <w:r>
        <w:rPr>
          <w:rFonts w:hint="eastAsia"/>
        </w:rPr>
        <w:t>时，</w:t>
      </w:r>
      <w:r>
        <w:rPr>
          <w:rFonts w:hint="default"/>
        </w:rPr>
        <w:t>DNA</w:t>
      </w:r>
      <w:r>
        <w:rPr>
          <w:rFonts w:hint="eastAsia"/>
        </w:rPr>
        <w:t>对紫外线的吸收达到最大，在这一波长具有最大能量输出的低压水银弧灯被广泛使用，在水量较大时，也使用中压或高压水银弧灯。</w:t>
      </w:r>
    </w:p>
    <w:p>
      <w:pPr>
        <w:bidi w:val="0"/>
        <w:rPr>
          <w:rFonts w:hint="eastAsia"/>
          <w:lang w:val="en-US" w:eastAsia="zh-CN"/>
        </w:rPr>
      </w:pPr>
      <w:r>
        <w:rPr>
          <w:rFonts w:hint="eastAsia"/>
        </w:rPr>
        <w:t>紫外线消毒的主要优点是灭菌效率高，作用时间短，危险性小，无二次污染等。并且消毒时间短，不需建造较大的接触池，建消毒渠即可，占地面积和土建费用大大减少。缺点是设备投资高，灯管寿命短，运行费用高，管理维修麻烦，抗悬浮固体干扰的能力差，对水中</w:t>
      </w:r>
      <w:r>
        <w:rPr>
          <w:rFonts w:hint="default"/>
        </w:rPr>
        <w:t>SS</w:t>
      </w:r>
      <w:r>
        <w:rPr>
          <w:rFonts w:hint="eastAsia"/>
        </w:rPr>
        <w:t>浓度有严格要求。由于采用紫外线消毒方案危险性小，没有二次污染的特点，在国内的应用实例逐渐增多。</w:t>
      </w:r>
    </w:p>
    <w:p>
      <w:pPr>
        <w:pStyle w:val="6"/>
        <w:bidi w:val="0"/>
        <w:rPr>
          <w:rFonts w:hint="default"/>
          <w:lang w:val="en-US" w:eastAsia="zh-CN"/>
        </w:rPr>
      </w:pPr>
      <w:r>
        <w:rPr>
          <w:rFonts w:hint="eastAsia"/>
          <w:lang w:val="en-US" w:eastAsia="zh-CN"/>
        </w:rPr>
        <w:t>污水处理工艺可行性分析</w:t>
      </w:r>
    </w:p>
    <w:p>
      <w:pPr>
        <w:bidi w:val="0"/>
        <w:rPr>
          <w:rFonts w:hint="eastAsia"/>
        </w:rPr>
      </w:pPr>
      <w:r>
        <w:rPr>
          <w:rFonts w:hint="eastAsia"/>
        </w:rPr>
        <w:t>预处理方面，屠宰废水中含有大量的血污，毛发，内脏杂物，悬浮物浓度很高，高达</w:t>
      </w:r>
      <w:r>
        <w:rPr>
          <w:rFonts w:hint="default"/>
        </w:rPr>
        <w:t>1000mg/l</w:t>
      </w:r>
      <w:r>
        <w:rPr>
          <w:rFonts w:hint="eastAsia"/>
        </w:rPr>
        <w:t>，该类悬浮物属易腐化的有机物，必须及时拦截，一方面可防止后续管道设备和构筑物的堵塞，另一方面</w:t>
      </w:r>
      <w:r>
        <w:rPr>
          <w:rFonts w:hint="eastAsia"/>
          <w:lang w:eastAsia="zh-CN"/>
        </w:rPr>
        <w:t>及时</w:t>
      </w:r>
      <w:r>
        <w:rPr>
          <w:rFonts w:hint="eastAsia"/>
        </w:rPr>
        <w:t>清理可避免悬浮固体有机质腐化</w:t>
      </w:r>
      <w:r>
        <w:rPr>
          <w:rFonts w:hint="eastAsia"/>
          <w:lang w:eastAsia="zh-CN"/>
        </w:rPr>
        <w:t>融入</w:t>
      </w:r>
      <w:r>
        <w:rPr>
          <w:rFonts w:hint="eastAsia"/>
        </w:rPr>
        <w:t>废水中而成为溶解性有机质，导致废水</w:t>
      </w:r>
      <w:r>
        <w:rPr>
          <w:rFonts w:hint="default"/>
        </w:rPr>
        <w:t>COD</w:t>
      </w:r>
      <w:r>
        <w:rPr>
          <w:rFonts w:hint="eastAsia"/>
        </w:rPr>
        <w:t>、</w:t>
      </w:r>
      <w:r>
        <w:rPr>
          <w:rFonts w:hint="default"/>
        </w:rPr>
        <w:t>BOD</w:t>
      </w:r>
      <w:r>
        <w:rPr>
          <w:rFonts w:hint="default"/>
          <w:vertAlign w:val="subscript"/>
        </w:rPr>
        <w:t>5</w:t>
      </w:r>
      <w:r>
        <w:rPr>
          <w:rFonts w:hint="eastAsia"/>
        </w:rPr>
        <w:t>浓度提高。因此，本项目污水处理站入口设置机械格栅机拦截固体杂物及漂浮物，再设施</w:t>
      </w:r>
      <w:r>
        <w:rPr>
          <w:rFonts w:hint="eastAsia"/>
          <w:lang w:val="en-US" w:eastAsia="zh-CN"/>
        </w:rPr>
        <w:t>气浮沉渣池</w:t>
      </w:r>
      <w:r>
        <w:rPr>
          <w:rFonts w:hint="eastAsia"/>
        </w:rPr>
        <w:t>去除浮油和粪渣等悬浮物。</w:t>
      </w:r>
    </w:p>
    <w:p>
      <w:pPr>
        <w:bidi w:val="0"/>
        <w:rPr>
          <w:rFonts w:hint="eastAsia"/>
        </w:rPr>
      </w:pPr>
      <w:r>
        <w:rPr>
          <w:rFonts w:hint="eastAsia"/>
        </w:rPr>
        <w:t>生化处理工艺方面，目前该行业规模化企业核心处理单元大多数以厌氧与好氧相结合的组合工，相对而言，艺为主，小型企业主要采用简单的厌氧发酵生物处理。目前成熟的处理工艺主要包括</w:t>
      </w:r>
      <w:r>
        <w:rPr>
          <w:rFonts w:hint="default"/>
        </w:rPr>
        <w:t>UASB</w:t>
      </w:r>
      <w:r>
        <w:rPr>
          <w:rFonts w:hint="eastAsia"/>
        </w:rPr>
        <w:t>、水解酸化—接触氧化、</w:t>
      </w:r>
      <w:r>
        <w:rPr>
          <w:rFonts w:hint="default"/>
        </w:rPr>
        <w:t>SBR</w:t>
      </w:r>
      <w:r>
        <w:rPr>
          <w:rFonts w:hint="eastAsia"/>
        </w:rPr>
        <w:t>和廊道生物等。此外，为保证处理效果，一般在废水处理中还会用到部分的物化处理方法，主要包括气浮及混凝沉淀等。在生化处理核心单元中，厌氧反应器一般以</w:t>
      </w:r>
      <w:r>
        <w:rPr>
          <w:rFonts w:hint="default"/>
        </w:rPr>
        <w:t>UASB</w:t>
      </w:r>
      <w:r>
        <w:rPr>
          <w:rFonts w:hint="eastAsia"/>
        </w:rPr>
        <w:t>为主，占</w:t>
      </w:r>
      <w:r>
        <w:rPr>
          <w:rFonts w:hint="default"/>
        </w:rPr>
        <w:t>80%</w:t>
      </w:r>
      <w:r>
        <w:rPr>
          <w:rFonts w:hint="eastAsia"/>
        </w:rPr>
        <w:t>，水解酸化占</w:t>
      </w:r>
      <w:r>
        <w:rPr>
          <w:rFonts w:hint="default"/>
        </w:rPr>
        <w:t>15%</w:t>
      </w:r>
      <w:r>
        <w:rPr>
          <w:rFonts w:hint="eastAsia"/>
        </w:rPr>
        <w:t>，其他如</w:t>
      </w:r>
      <w:r>
        <w:rPr>
          <w:rFonts w:hint="default"/>
        </w:rPr>
        <w:t>ABR</w:t>
      </w:r>
      <w:r>
        <w:rPr>
          <w:rFonts w:hint="eastAsia"/>
        </w:rPr>
        <w:t>、</w:t>
      </w:r>
      <w:r>
        <w:rPr>
          <w:rFonts w:hint="default"/>
        </w:rPr>
        <w:t>UBF</w:t>
      </w:r>
      <w:r>
        <w:rPr>
          <w:rFonts w:hint="eastAsia"/>
        </w:rPr>
        <w:t>等占</w:t>
      </w:r>
      <w:r>
        <w:rPr>
          <w:rFonts w:hint="default"/>
        </w:rPr>
        <w:t>5%</w:t>
      </w:r>
      <w:r>
        <w:rPr>
          <w:rFonts w:hint="eastAsia"/>
        </w:rPr>
        <w:t>。好氧生化段多采用接触氧化、</w:t>
      </w:r>
      <w:r>
        <w:rPr>
          <w:rFonts w:hint="default"/>
        </w:rPr>
        <w:t>SBR</w:t>
      </w:r>
      <w:r>
        <w:rPr>
          <w:rFonts w:hint="eastAsia"/>
        </w:rPr>
        <w:t>、</w:t>
      </w:r>
      <w:r>
        <w:rPr>
          <w:rFonts w:hint="default"/>
        </w:rPr>
        <w:t>A</w:t>
      </w:r>
      <w:r>
        <w:rPr>
          <w:rFonts w:hint="default"/>
          <w:vertAlign w:val="superscript"/>
        </w:rPr>
        <w:t>2</w:t>
      </w:r>
      <w:r>
        <w:rPr>
          <w:rFonts w:hint="default"/>
        </w:rPr>
        <w:t>/O</w:t>
      </w:r>
      <w:r>
        <w:rPr>
          <w:rFonts w:hint="eastAsia"/>
        </w:rPr>
        <w:t>、</w:t>
      </w:r>
      <w:r>
        <w:rPr>
          <w:rFonts w:hint="default"/>
        </w:rPr>
        <w:t>CASS</w:t>
      </w:r>
      <w:r>
        <w:rPr>
          <w:rFonts w:hint="eastAsia"/>
        </w:rPr>
        <w:t>等工艺。在厌氧</w:t>
      </w:r>
      <w:r>
        <w:rPr>
          <w:rFonts w:hint="default"/>
        </w:rPr>
        <w:t>+</w:t>
      </w:r>
      <w:r>
        <w:rPr>
          <w:rFonts w:hint="eastAsia"/>
        </w:rPr>
        <w:t>好氧处理工艺的基础上，氨氮得以稳定去除，但是同时大量的有机氮转化为无机氮，易导致总氮浓度升高。</w:t>
      </w:r>
    </w:p>
    <w:p>
      <w:pPr>
        <w:bidi w:val="0"/>
        <w:rPr>
          <w:rFonts w:hint="eastAsia"/>
        </w:rPr>
      </w:pPr>
      <w:r>
        <w:rPr>
          <w:rFonts w:hint="eastAsia"/>
        </w:rPr>
        <w:t>因此，如果要进一步去除总氮污染物，在厌氧</w:t>
      </w:r>
      <w:r>
        <w:rPr>
          <w:rFonts w:hint="default"/>
        </w:rPr>
        <w:t>+</w:t>
      </w:r>
      <w:r>
        <w:rPr>
          <w:rFonts w:hint="eastAsia"/>
        </w:rPr>
        <w:t>好氧处理的基础上，需要屠宰企业继续深化废水处理，追加反硝化脱氮处理设施。在总磷的去除方面，仅依靠生物除磷不能达到要求，需进行化学除磷。</w:t>
      </w:r>
    </w:p>
    <w:p>
      <w:pPr>
        <w:bidi w:val="0"/>
        <w:rPr>
          <w:rFonts w:hint="eastAsia"/>
          <w:lang w:val="en-US" w:eastAsia="zh-CN"/>
        </w:rPr>
      </w:pPr>
      <w:r>
        <w:rPr>
          <w:rFonts w:hint="eastAsia"/>
        </w:rPr>
        <w:t>本项目采用的</w:t>
      </w:r>
      <w:r>
        <w:rPr>
          <w:rFonts w:hint="eastAsia"/>
          <w:lang w:val="en-US" w:eastAsia="zh-CN"/>
        </w:rPr>
        <w:t>污水</w:t>
      </w:r>
      <w:r>
        <w:rPr>
          <w:rFonts w:hint="eastAsia"/>
        </w:rPr>
        <w:t>工艺为</w:t>
      </w:r>
      <w:r>
        <w:rPr>
          <w:rFonts w:hint="eastAsia"/>
          <w:lang w:eastAsia="zh-CN"/>
        </w:rPr>
        <w:t>格栅池+沉渣池+多功能生物调节池+气浮沉渣池+厌氧池+初沉池+缺氧池1+好氧池1+缺氧池2+好氧池2+二沉池+生物滤池+混凝沉淀池+过滤池+紫外线消毒+清水池，</w:t>
      </w:r>
      <w:r>
        <w:rPr>
          <w:rFonts w:hint="eastAsia"/>
          <w:lang w:val="en-US" w:eastAsia="zh-CN"/>
        </w:rPr>
        <w:t>有效的对污水进行了预处理深度处理，通过处理后可达到</w:t>
      </w:r>
      <w:r>
        <w:rPr>
          <w:rFonts w:hint="eastAsia"/>
          <w:lang w:eastAsia="zh-CN"/>
        </w:rPr>
        <w:t>《城镇污水处理厂污染物排放标准》（GB18918-2002）</w:t>
      </w:r>
      <w:r>
        <w:rPr>
          <w:rFonts w:hint="eastAsia"/>
          <w:lang w:val="en-US" w:eastAsia="zh-CN"/>
        </w:rPr>
        <w:t>中一级A</w:t>
      </w:r>
      <w:r>
        <w:rPr>
          <w:rFonts w:hint="eastAsia"/>
        </w:rPr>
        <w:t>排放标准</w:t>
      </w:r>
      <w:r>
        <w:rPr>
          <w:rFonts w:hint="eastAsia"/>
          <w:lang w:eastAsia="zh-CN"/>
        </w:rPr>
        <w:t>，</w:t>
      </w:r>
      <w:r>
        <w:rPr>
          <w:rFonts w:hint="eastAsia"/>
          <w:lang w:val="en-US" w:eastAsia="zh-CN"/>
        </w:rPr>
        <w:t>满足</w:t>
      </w:r>
      <w:r>
        <w:rPr>
          <w:rFonts w:hint="eastAsia"/>
          <w:lang w:eastAsia="zh-CN"/>
        </w:rPr>
        <w:t>《</w:t>
      </w:r>
      <w:r>
        <w:rPr>
          <w:rFonts w:hint="eastAsia"/>
          <w:lang w:val="en-US" w:eastAsia="zh-CN"/>
        </w:rPr>
        <w:t>肉类加工工业水污染物排放标准</w:t>
      </w:r>
      <w:r>
        <w:rPr>
          <w:rFonts w:hint="eastAsia"/>
          <w:lang w:eastAsia="zh-CN"/>
        </w:rPr>
        <w:t>》（</w:t>
      </w:r>
      <w:r>
        <w:rPr>
          <w:rFonts w:hint="eastAsia"/>
          <w:lang w:val="en-US" w:eastAsia="zh-CN"/>
        </w:rPr>
        <w:t>GB13457-92</w:t>
      </w:r>
      <w:r>
        <w:rPr>
          <w:rFonts w:hint="eastAsia"/>
          <w:lang w:eastAsia="zh-CN"/>
        </w:rPr>
        <w:t>）</w:t>
      </w:r>
      <w:r>
        <w:rPr>
          <w:rFonts w:hint="eastAsia"/>
          <w:lang w:val="en-US" w:eastAsia="zh-CN"/>
        </w:rPr>
        <w:t>中一级标准，满足《农田灌溉水质标准》（GB 5084-2005），且满足《城市污水再生利用城市杂用水水质》（GB/T18920-2002）中道路清扫、消防以及车辆冲洗水质要求。</w:t>
      </w:r>
    </w:p>
    <w:p>
      <w:pPr>
        <w:pStyle w:val="6"/>
        <w:bidi w:val="0"/>
        <w:rPr>
          <w:rFonts w:hint="default"/>
          <w:lang w:val="en-US" w:eastAsia="zh-CN"/>
        </w:rPr>
      </w:pPr>
      <w:r>
        <w:rPr>
          <w:rFonts w:hint="eastAsia"/>
          <w:lang w:val="en-US" w:eastAsia="zh-CN"/>
        </w:rPr>
        <w:t>废水处理效果分析</w:t>
      </w:r>
    </w:p>
    <w:p>
      <w:pPr>
        <w:bidi w:val="0"/>
        <w:rPr>
          <w:rFonts w:hint="default" w:eastAsia="宋体"/>
          <w:lang w:val="en-US" w:eastAsia="zh-CN"/>
        </w:rPr>
      </w:pPr>
      <w:r>
        <w:rPr>
          <w:rFonts w:hint="eastAsia"/>
        </w:rPr>
        <w:t>本项目采用的</w:t>
      </w:r>
      <w:r>
        <w:rPr>
          <w:rFonts w:hint="eastAsia"/>
          <w:lang w:val="en-US" w:eastAsia="zh-CN"/>
        </w:rPr>
        <w:t>污水</w:t>
      </w:r>
      <w:r>
        <w:rPr>
          <w:rFonts w:hint="eastAsia"/>
        </w:rPr>
        <w:t>工艺为</w:t>
      </w:r>
      <w:r>
        <w:rPr>
          <w:rFonts w:hint="eastAsia"/>
          <w:lang w:eastAsia="zh-CN"/>
        </w:rPr>
        <w:t>“格栅池+沉渣池+多功能生物调节池+气浮沉渣池+厌氧池+初沉池+缺氧池1+好氧池1+缺氧池2+好氧池2+二沉池+生物滤池+混凝沉淀池+过滤池+紫外线消毒+清水池”</w:t>
      </w:r>
      <w:r>
        <w:rPr>
          <w:rFonts w:hint="eastAsia"/>
          <w:lang w:val="en-US" w:eastAsia="zh-CN"/>
        </w:rPr>
        <w:t>组合工艺。并在污水处理末端安转在线监测仪器，实时监测出水水质。</w:t>
      </w:r>
    </w:p>
    <w:p>
      <w:pPr>
        <w:pStyle w:val="29"/>
        <w:bidi w:val="0"/>
        <w:rPr>
          <w:rFonts w:hint="default"/>
          <w:lang w:val="en-US" w:eastAsia="zh-CN"/>
        </w:rPr>
      </w:pPr>
      <w:r>
        <w:rPr>
          <w:rFonts w:hint="eastAsia"/>
          <w:lang w:val="en-US" w:eastAsia="zh-CN"/>
        </w:rPr>
        <w:t>表7.2-2  项目污水处理站污染物去除率</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255"/>
        <w:gridCol w:w="780"/>
        <w:gridCol w:w="787"/>
        <w:gridCol w:w="1022"/>
        <w:gridCol w:w="1022"/>
        <w:gridCol w:w="1022"/>
        <w:gridCol w:w="1022"/>
        <w:gridCol w:w="907"/>
        <w:gridCol w:w="1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restart"/>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排放情况</w:t>
            </w:r>
          </w:p>
        </w:tc>
        <w:tc>
          <w:tcPr>
            <w:tcW w:w="652" w:type="pct"/>
            <w:vMerge w:val="restart"/>
            <w:tcBorders>
              <w:tl2br w:val="nil"/>
              <w:tr2bl w:val="nil"/>
            </w:tcBorders>
            <w:vAlign w:val="center"/>
          </w:tcPr>
          <w:p>
            <w:pPr>
              <w:pStyle w:val="30"/>
              <w:widowControl w:val="0"/>
              <w:bidi w:val="0"/>
              <w:jc w:val="center"/>
              <w:rPr>
                <w:rFonts w:hint="default"/>
                <w:b/>
                <w:bCs/>
                <w:vertAlign w:val="baseline"/>
                <w:lang w:val="en-US" w:eastAsia="zh-CN"/>
              </w:rPr>
            </w:pPr>
            <w:r>
              <w:rPr>
                <w:rFonts w:hint="eastAsia"/>
                <w:b/>
                <w:bCs/>
                <w:lang w:val="en-US" w:eastAsia="zh-CN"/>
              </w:rPr>
              <w:t>数量</w:t>
            </w:r>
          </w:p>
        </w:tc>
        <w:tc>
          <w:tcPr>
            <w:tcW w:w="813" w:type="pct"/>
            <w:gridSpan w:val="2"/>
            <w:tcBorders>
              <w:tl2br w:val="nil"/>
              <w:tr2bl w:val="nil"/>
            </w:tcBorders>
            <w:vAlign w:val="center"/>
          </w:tcPr>
          <w:p>
            <w:pPr>
              <w:pStyle w:val="30"/>
              <w:widowControl w:val="0"/>
              <w:bidi w:val="0"/>
              <w:jc w:val="center"/>
              <w:rPr>
                <w:rFonts w:hint="eastAsia"/>
                <w:b/>
                <w:bCs/>
                <w:lang w:val="en-US" w:eastAsia="zh-CN"/>
              </w:rPr>
            </w:pPr>
            <w:r>
              <w:rPr>
                <w:rFonts w:hint="eastAsia"/>
                <w:b/>
                <w:bCs/>
                <w:lang w:val="en-US" w:eastAsia="zh-CN"/>
              </w:rPr>
              <w:t>废水统计</w:t>
            </w:r>
          </w:p>
        </w:tc>
        <w:tc>
          <w:tcPr>
            <w:tcW w:w="3186" w:type="pct"/>
            <w:gridSpan w:val="6"/>
            <w:tcBorders>
              <w:tl2br w:val="nil"/>
              <w:tr2bl w:val="nil"/>
            </w:tcBorders>
            <w:vAlign w:val="center"/>
          </w:tcPr>
          <w:p>
            <w:pPr>
              <w:pStyle w:val="30"/>
              <w:widowControl w:val="0"/>
              <w:bidi w:val="0"/>
              <w:jc w:val="center"/>
              <w:rPr>
                <w:rFonts w:hint="default"/>
                <w:lang w:val="en-US" w:eastAsia="zh-CN"/>
              </w:rPr>
            </w:pPr>
            <w:r>
              <w:rPr>
                <w:rFonts w:hint="eastAsia"/>
                <w:b/>
                <w:bCs/>
                <w:lang w:val="en-US" w:eastAsia="zh-CN"/>
              </w:rPr>
              <w:t>废水污染物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continue"/>
            <w:tcBorders>
              <w:tl2br w:val="nil"/>
              <w:tr2bl w:val="nil"/>
            </w:tcBorders>
            <w:vAlign w:val="center"/>
          </w:tcPr>
          <w:p>
            <w:pPr>
              <w:pStyle w:val="30"/>
              <w:widowControl w:val="0"/>
              <w:bidi w:val="0"/>
              <w:jc w:val="center"/>
              <w:rPr>
                <w:rFonts w:hint="eastAsia"/>
                <w:b/>
                <w:bCs/>
                <w:lang w:val="en-US" w:eastAsia="zh-CN"/>
              </w:rPr>
            </w:pPr>
          </w:p>
        </w:tc>
        <w:tc>
          <w:tcPr>
            <w:tcW w:w="652" w:type="pct"/>
            <w:vMerge w:val="continue"/>
            <w:tcBorders>
              <w:tl2br w:val="nil"/>
              <w:tr2bl w:val="nil"/>
            </w:tcBorders>
            <w:vAlign w:val="center"/>
          </w:tcPr>
          <w:p>
            <w:pPr>
              <w:pStyle w:val="30"/>
              <w:widowControl w:val="0"/>
              <w:bidi w:val="0"/>
              <w:jc w:val="center"/>
              <w:rPr>
                <w:rFonts w:hint="eastAsia"/>
                <w:b/>
                <w:bCs/>
                <w:lang w:val="en-US" w:eastAsia="zh-CN"/>
              </w:rPr>
            </w:pPr>
          </w:p>
        </w:tc>
        <w:tc>
          <w:tcPr>
            <w:tcW w:w="813" w:type="pct"/>
            <w:gridSpan w:val="2"/>
            <w:tcBorders>
              <w:tl2br w:val="nil"/>
              <w:tr2bl w:val="nil"/>
            </w:tcBorders>
            <w:vAlign w:val="center"/>
          </w:tcPr>
          <w:p>
            <w:pPr>
              <w:pStyle w:val="30"/>
              <w:widowControl w:val="0"/>
              <w:bidi w:val="0"/>
              <w:jc w:val="center"/>
              <w:rPr>
                <w:rFonts w:hint="eastAsia"/>
                <w:b/>
                <w:bCs/>
                <w:lang w:val="en-US" w:eastAsia="zh-CN"/>
              </w:rPr>
            </w:pPr>
            <w:r>
              <w:rPr>
                <w:rFonts w:hint="eastAsia"/>
                <w:b/>
                <w:bCs/>
                <w:lang w:val="en-US" w:eastAsia="zh-CN"/>
              </w:rPr>
              <w:t>单位</w:t>
            </w:r>
          </w:p>
        </w:tc>
        <w:tc>
          <w:tcPr>
            <w:tcW w:w="531" w:type="pct"/>
            <w:tcBorders>
              <w:tl2br w:val="nil"/>
              <w:tr2bl w:val="nil"/>
            </w:tcBorders>
            <w:vAlign w:val="center"/>
          </w:tcPr>
          <w:p>
            <w:pPr>
              <w:pStyle w:val="30"/>
              <w:widowControl w:val="0"/>
              <w:bidi w:val="0"/>
              <w:rPr>
                <w:rFonts w:hint="eastAsia"/>
                <w:b/>
                <w:bCs/>
                <w:lang w:val="en-US" w:eastAsia="zh-CN"/>
              </w:rPr>
            </w:pPr>
            <w:r>
              <w:rPr>
                <w:rFonts w:hint="eastAsia"/>
                <w:b/>
                <w:bCs/>
                <w:lang w:val="en-US" w:eastAsia="zh-CN"/>
              </w:rPr>
              <w:t>COD</w:t>
            </w:r>
          </w:p>
        </w:tc>
        <w:tc>
          <w:tcPr>
            <w:tcW w:w="531" w:type="pct"/>
            <w:tcBorders>
              <w:tl2br w:val="nil"/>
              <w:tr2bl w:val="nil"/>
            </w:tcBorders>
            <w:vAlign w:val="center"/>
          </w:tcPr>
          <w:p>
            <w:pPr>
              <w:pStyle w:val="30"/>
              <w:widowControl w:val="0"/>
              <w:bidi w:val="0"/>
              <w:rPr>
                <w:rFonts w:hint="eastAsia"/>
                <w:b/>
                <w:bCs/>
                <w:lang w:val="en-US" w:eastAsia="zh-CN"/>
              </w:rPr>
            </w:pPr>
            <w:r>
              <w:rPr>
                <w:rFonts w:hint="default"/>
                <w:b/>
                <w:bCs/>
              </w:rPr>
              <w:t>BOD</w:t>
            </w:r>
            <w:r>
              <w:rPr>
                <w:rFonts w:hint="default"/>
                <w:b/>
                <w:bCs/>
                <w:vertAlign w:val="subscript"/>
              </w:rPr>
              <w:t>5</w:t>
            </w:r>
          </w:p>
        </w:tc>
        <w:tc>
          <w:tcPr>
            <w:tcW w:w="531" w:type="pct"/>
            <w:tcBorders>
              <w:tl2br w:val="nil"/>
              <w:tr2bl w:val="nil"/>
            </w:tcBorders>
            <w:vAlign w:val="center"/>
          </w:tcPr>
          <w:p>
            <w:pPr>
              <w:pStyle w:val="30"/>
              <w:widowControl w:val="0"/>
              <w:bidi w:val="0"/>
              <w:rPr>
                <w:rFonts w:hint="eastAsia"/>
                <w:b/>
                <w:bCs/>
                <w:lang w:val="en-US" w:eastAsia="zh-CN"/>
              </w:rPr>
            </w:pPr>
            <w:r>
              <w:rPr>
                <w:rFonts w:hint="default"/>
                <w:b/>
                <w:bCs/>
              </w:rPr>
              <w:t>NH</w:t>
            </w:r>
            <w:r>
              <w:rPr>
                <w:rFonts w:hint="default"/>
                <w:b/>
                <w:bCs/>
                <w:vertAlign w:val="subscript"/>
              </w:rPr>
              <w:t>3</w:t>
            </w:r>
            <w:r>
              <w:rPr>
                <w:rFonts w:hint="default"/>
                <w:b/>
                <w:bCs/>
              </w:rPr>
              <w:t>-N</w:t>
            </w:r>
          </w:p>
        </w:tc>
        <w:tc>
          <w:tcPr>
            <w:tcW w:w="531" w:type="pct"/>
            <w:tcBorders>
              <w:tl2br w:val="nil"/>
              <w:tr2bl w:val="nil"/>
            </w:tcBorders>
            <w:vAlign w:val="center"/>
          </w:tcPr>
          <w:p>
            <w:pPr>
              <w:pStyle w:val="30"/>
              <w:widowControl w:val="0"/>
              <w:bidi w:val="0"/>
              <w:rPr>
                <w:rFonts w:hint="eastAsia"/>
                <w:b/>
                <w:bCs/>
                <w:lang w:val="en-US" w:eastAsia="zh-CN"/>
              </w:rPr>
            </w:pPr>
            <w:r>
              <w:rPr>
                <w:rFonts w:hint="default"/>
                <w:b/>
                <w:bCs/>
              </w:rPr>
              <w:t>SS</w:t>
            </w:r>
          </w:p>
        </w:tc>
        <w:tc>
          <w:tcPr>
            <w:tcW w:w="471" w:type="pct"/>
            <w:tcBorders>
              <w:tl2br w:val="nil"/>
              <w:tr2bl w:val="nil"/>
            </w:tcBorders>
            <w:vAlign w:val="center"/>
          </w:tcPr>
          <w:p>
            <w:pPr>
              <w:pStyle w:val="30"/>
              <w:widowControl w:val="0"/>
              <w:bidi w:val="0"/>
              <w:rPr>
                <w:rFonts w:hint="eastAsia"/>
                <w:b/>
                <w:bCs/>
                <w:lang w:val="en-US" w:eastAsia="zh-CN"/>
              </w:rPr>
            </w:pPr>
            <w:r>
              <w:rPr>
                <w:rFonts w:hint="eastAsia"/>
                <w:b/>
                <w:bCs/>
                <w:lang w:val="en-US" w:eastAsia="zh-CN"/>
              </w:rPr>
              <w:t>TP</w:t>
            </w:r>
          </w:p>
        </w:tc>
        <w:tc>
          <w:tcPr>
            <w:tcW w:w="591" w:type="pct"/>
            <w:tcBorders>
              <w:tl2br w:val="nil"/>
              <w:tr2bl w:val="nil"/>
            </w:tcBorders>
            <w:vAlign w:val="center"/>
          </w:tcPr>
          <w:p>
            <w:pPr>
              <w:pStyle w:val="30"/>
              <w:widowControl w:val="0"/>
              <w:bidi w:val="0"/>
              <w:rPr>
                <w:rFonts w:hint="eastAsia"/>
                <w:b/>
                <w:bCs/>
                <w:lang w:val="en-US" w:eastAsia="zh-CN"/>
              </w:rPr>
            </w:pPr>
            <w:r>
              <w:rPr>
                <w:rFonts w:hint="eastAsia"/>
                <w:b/>
                <w:bCs/>
                <w:lang w:val="en-US"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综合废水</w:t>
            </w:r>
          </w:p>
        </w:tc>
        <w:tc>
          <w:tcPr>
            <w:tcW w:w="652" w:type="pct"/>
            <w:vMerge w:val="restar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1243.3m</w:t>
            </w:r>
            <w:r>
              <w:rPr>
                <w:rFonts w:hint="eastAsia"/>
                <w:vertAlign w:val="superscript"/>
                <w:lang w:val="en-US" w:eastAsia="zh-CN"/>
              </w:rPr>
              <w:t>3</w:t>
            </w:r>
            <w:r>
              <w:rPr>
                <w:rFonts w:hint="eastAsia"/>
                <w:vertAlign w:val="baseline"/>
                <w:lang w:val="en-US" w:eastAsia="zh-CN"/>
              </w:rPr>
              <w:t>/d</w:t>
            </w:r>
            <w:r>
              <w:rPr>
                <w:rFonts w:hint="eastAsia"/>
                <w:lang w:val="en-US" w:eastAsia="zh-CN"/>
              </w:rPr>
              <w:t>（旺季）</w:t>
            </w:r>
          </w:p>
          <w:p>
            <w:pPr>
              <w:pStyle w:val="30"/>
              <w:widowControl w:val="0"/>
              <w:bidi w:val="0"/>
              <w:jc w:val="center"/>
              <w:rPr>
                <w:rFonts w:hint="default"/>
                <w:lang w:val="en-US" w:eastAsia="zh-CN"/>
              </w:rPr>
            </w:pPr>
            <w:r>
              <w:rPr>
                <w:rFonts w:hint="eastAsia"/>
                <w:lang w:val="en-US" w:eastAsia="zh-CN"/>
              </w:rPr>
              <w:t>305900m</w:t>
            </w:r>
            <w:r>
              <w:rPr>
                <w:rFonts w:hint="eastAsia"/>
                <w:vertAlign w:val="superscript"/>
                <w:lang w:val="en-US" w:eastAsia="zh-CN"/>
              </w:rPr>
              <w:t>3</w:t>
            </w:r>
            <w:r>
              <w:rPr>
                <w:rFonts w:hint="eastAsia"/>
                <w:vertAlign w:val="baseline"/>
                <w:lang w:val="en-US" w:eastAsia="zh-CN"/>
              </w:rPr>
              <w:t>/a</w:t>
            </w:r>
          </w:p>
        </w:tc>
        <w:tc>
          <w:tcPr>
            <w:tcW w:w="813" w:type="pct"/>
            <w:gridSpan w:val="2"/>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产生浓度mg/L</w:t>
            </w:r>
          </w:p>
        </w:tc>
        <w:tc>
          <w:tcPr>
            <w:tcW w:w="531" w:type="pct"/>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 xml:space="preserve">2080 </w:t>
            </w:r>
          </w:p>
        </w:tc>
        <w:tc>
          <w:tcPr>
            <w:tcW w:w="531" w:type="pct"/>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 xml:space="preserve">965 </w:t>
            </w:r>
          </w:p>
        </w:tc>
        <w:tc>
          <w:tcPr>
            <w:tcW w:w="531" w:type="pct"/>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 xml:space="preserve">154 </w:t>
            </w:r>
          </w:p>
        </w:tc>
        <w:tc>
          <w:tcPr>
            <w:tcW w:w="531" w:type="pct"/>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 xml:space="preserve">1158 </w:t>
            </w:r>
          </w:p>
        </w:tc>
        <w:tc>
          <w:tcPr>
            <w:tcW w:w="471" w:type="pct"/>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 xml:space="preserve">29 </w:t>
            </w:r>
          </w:p>
        </w:tc>
        <w:tc>
          <w:tcPr>
            <w:tcW w:w="591" w:type="pct"/>
            <w:tcBorders>
              <w:tl2br w:val="nil"/>
              <w:tr2bl w:val="nil"/>
            </w:tcBorders>
            <w:vAlign w:val="center"/>
          </w:tcPr>
          <w:p>
            <w:pPr>
              <w:pStyle w:val="30"/>
              <w:widowControl w:val="0"/>
              <w:bidi w:val="0"/>
              <w:ind w:firstLine="0" w:firstLineChars="0"/>
              <w:rPr>
                <w:rFonts w:hint="eastAsia" w:ascii="Times New Roman" w:hAnsi="Times New Roman" w:eastAsia="宋体" w:cs="Times New Roman"/>
                <w:kern w:val="2"/>
                <w:sz w:val="21"/>
                <w:lang w:val="en-US" w:eastAsia="zh-CN"/>
              </w:rPr>
            </w:pPr>
            <w:r>
              <w:rPr>
                <w:rFonts w:hint="eastAsia"/>
                <w:lang w:val="en-US" w:eastAsia="zh-CN"/>
              </w:rPr>
              <w:t xml:space="preserve">145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continue"/>
            <w:tcBorders>
              <w:tl2br w:val="nil"/>
              <w:tr2bl w:val="nil"/>
            </w:tcBorders>
            <w:vAlign w:val="center"/>
          </w:tcPr>
          <w:p>
            <w:pPr>
              <w:pStyle w:val="30"/>
              <w:widowControl w:val="0"/>
              <w:bidi w:val="0"/>
              <w:jc w:val="center"/>
              <w:rPr>
                <w:rFonts w:hint="eastAsia"/>
                <w:lang w:val="en-US" w:eastAsia="zh-CN"/>
              </w:rPr>
            </w:pPr>
          </w:p>
        </w:tc>
        <w:tc>
          <w:tcPr>
            <w:tcW w:w="652" w:type="pct"/>
            <w:vMerge w:val="continue"/>
            <w:tcBorders>
              <w:tl2br w:val="nil"/>
              <w:tr2bl w:val="nil"/>
            </w:tcBorders>
            <w:vAlign w:val="center"/>
          </w:tcPr>
          <w:p>
            <w:pPr>
              <w:pStyle w:val="30"/>
              <w:widowControl w:val="0"/>
              <w:bidi w:val="0"/>
              <w:jc w:val="center"/>
              <w:rPr>
                <w:rFonts w:hint="eastAsia"/>
                <w:lang w:val="en-US" w:eastAsia="zh-CN"/>
              </w:rPr>
            </w:pPr>
          </w:p>
        </w:tc>
        <w:tc>
          <w:tcPr>
            <w:tcW w:w="405" w:type="pct"/>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产污负荷</w:t>
            </w:r>
          </w:p>
        </w:tc>
        <w:tc>
          <w:tcPr>
            <w:tcW w:w="407"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t/a</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393.37</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182.5</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29.12</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219</w:t>
            </w:r>
          </w:p>
        </w:tc>
        <w:tc>
          <w:tcPr>
            <w:tcW w:w="47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5.48</w:t>
            </w:r>
          </w:p>
        </w:tc>
        <w:tc>
          <w:tcPr>
            <w:tcW w:w="59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27.42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347" w:type="pct"/>
            <w:vMerge w:val="continue"/>
            <w:tcBorders>
              <w:tl2br w:val="nil"/>
              <w:tr2bl w:val="nil"/>
            </w:tcBorders>
            <w:vAlign w:val="center"/>
          </w:tcPr>
          <w:p>
            <w:pPr>
              <w:pStyle w:val="30"/>
              <w:widowControl w:val="0"/>
              <w:bidi w:val="0"/>
              <w:jc w:val="center"/>
              <w:rPr>
                <w:rFonts w:hint="eastAsia"/>
                <w:lang w:val="en-US" w:eastAsia="zh-CN"/>
              </w:rPr>
            </w:pPr>
          </w:p>
        </w:tc>
        <w:tc>
          <w:tcPr>
            <w:tcW w:w="652" w:type="pct"/>
            <w:vMerge w:val="continue"/>
            <w:tcBorders>
              <w:tl2br w:val="nil"/>
              <w:tr2bl w:val="nil"/>
            </w:tcBorders>
            <w:vAlign w:val="center"/>
          </w:tcPr>
          <w:p>
            <w:pPr>
              <w:pStyle w:val="30"/>
              <w:widowControl w:val="0"/>
              <w:bidi w:val="0"/>
              <w:jc w:val="center"/>
              <w:rPr>
                <w:rFonts w:hint="eastAsia"/>
                <w:lang w:val="en-US" w:eastAsia="zh-CN"/>
              </w:rPr>
            </w:pPr>
          </w:p>
        </w:tc>
        <w:tc>
          <w:tcPr>
            <w:tcW w:w="405" w:type="pct"/>
            <w:vMerge w:val="continue"/>
            <w:tcBorders>
              <w:tl2br w:val="nil"/>
              <w:tr2bl w:val="nil"/>
            </w:tcBorders>
            <w:vAlign w:val="center"/>
          </w:tcPr>
          <w:p>
            <w:pPr>
              <w:pStyle w:val="30"/>
              <w:widowControl w:val="0"/>
              <w:bidi w:val="0"/>
              <w:jc w:val="center"/>
              <w:rPr>
                <w:rFonts w:hint="eastAsia"/>
                <w:lang w:val="en-US" w:eastAsia="zh-CN"/>
              </w:rPr>
            </w:pPr>
          </w:p>
        </w:tc>
        <w:tc>
          <w:tcPr>
            <w:tcW w:w="407"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t/d</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1.68</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0.78</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0.12</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0.93</w:t>
            </w:r>
          </w:p>
        </w:tc>
        <w:tc>
          <w:tcPr>
            <w:tcW w:w="47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0.02</w:t>
            </w:r>
          </w:p>
        </w:tc>
        <w:tc>
          <w:tcPr>
            <w:tcW w:w="59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continue"/>
            <w:tcBorders>
              <w:tl2br w:val="nil"/>
              <w:tr2bl w:val="nil"/>
            </w:tcBorders>
            <w:vAlign w:val="center"/>
          </w:tcPr>
          <w:p>
            <w:pPr>
              <w:pStyle w:val="30"/>
              <w:widowControl w:val="0"/>
              <w:bidi w:val="0"/>
              <w:jc w:val="center"/>
              <w:rPr>
                <w:rFonts w:hint="eastAsia"/>
                <w:lang w:val="en-US" w:eastAsia="zh-CN"/>
              </w:rPr>
            </w:pPr>
          </w:p>
        </w:tc>
        <w:tc>
          <w:tcPr>
            <w:tcW w:w="652" w:type="pct"/>
            <w:vMerge w:val="continue"/>
            <w:tcBorders>
              <w:tl2br w:val="nil"/>
              <w:tr2bl w:val="nil"/>
            </w:tcBorders>
            <w:vAlign w:val="center"/>
          </w:tcPr>
          <w:p>
            <w:pPr>
              <w:pStyle w:val="30"/>
              <w:widowControl w:val="0"/>
              <w:bidi w:val="0"/>
              <w:jc w:val="center"/>
              <w:rPr>
                <w:rFonts w:hint="eastAsia"/>
                <w:lang w:val="en-US" w:eastAsia="zh-CN"/>
              </w:rPr>
            </w:pPr>
          </w:p>
        </w:tc>
        <w:tc>
          <w:tcPr>
            <w:tcW w:w="813" w:type="pct"/>
            <w:gridSpan w:val="2"/>
            <w:tcBorders>
              <w:tl2br w:val="nil"/>
              <w:tr2bl w:val="nil"/>
            </w:tcBorders>
            <w:vAlign w:val="center"/>
          </w:tcPr>
          <w:p>
            <w:pPr>
              <w:pStyle w:val="30"/>
              <w:widowControl w:val="0"/>
              <w:bidi w:val="0"/>
              <w:ind w:firstLine="0" w:firstLineChars="0"/>
              <w:jc w:val="center"/>
              <w:rPr>
                <w:rFonts w:hint="eastAsia"/>
                <w:lang w:val="en-US" w:eastAsia="zh-CN"/>
              </w:rPr>
            </w:pPr>
            <w:r>
              <w:rPr>
                <w:rFonts w:hint="eastAsia"/>
                <w:lang w:val="en-US" w:eastAsia="zh-CN"/>
              </w:rPr>
              <w:t>排放浓度mg/L</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50</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w:t>
            </w:r>
          </w:p>
        </w:tc>
        <w:tc>
          <w:tcPr>
            <w:tcW w:w="47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0.5</w:t>
            </w:r>
          </w:p>
        </w:tc>
        <w:tc>
          <w:tcPr>
            <w:tcW w:w="59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continue"/>
            <w:tcBorders>
              <w:tl2br w:val="nil"/>
              <w:tr2bl w:val="nil"/>
            </w:tcBorders>
            <w:vAlign w:val="center"/>
          </w:tcPr>
          <w:p>
            <w:pPr>
              <w:pStyle w:val="30"/>
              <w:widowControl w:val="0"/>
              <w:bidi w:val="0"/>
              <w:jc w:val="center"/>
              <w:rPr>
                <w:rFonts w:hint="eastAsia"/>
                <w:lang w:val="en-US" w:eastAsia="zh-CN"/>
              </w:rPr>
            </w:pPr>
          </w:p>
        </w:tc>
        <w:tc>
          <w:tcPr>
            <w:tcW w:w="652" w:type="pct"/>
            <w:vMerge w:val="continue"/>
            <w:tcBorders>
              <w:tl2br w:val="nil"/>
              <w:tr2bl w:val="nil"/>
            </w:tcBorders>
            <w:vAlign w:val="center"/>
          </w:tcPr>
          <w:p>
            <w:pPr>
              <w:pStyle w:val="30"/>
              <w:widowControl w:val="0"/>
              <w:bidi w:val="0"/>
              <w:jc w:val="center"/>
              <w:rPr>
                <w:rFonts w:hint="eastAsia"/>
                <w:lang w:val="en-US" w:eastAsia="zh-CN"/>
              </w:rPr>
            </w:pPr>
          </w:p>
        </w:tc>
        <w:tc>
          <w:tcPr>
            <w:tcW w:w="405" w:type="pct"/>
            <w:vMerge w:val="restart"/>
            <w:tcBorders>
              <w:tl2br w:val="nil"/>
              <w:tr2bl w:val="nil"/>
            </w:tcBorders>
            <w:vAlign w:val="center"/>
          </w:tcPr>
          <w:p>
            <w:pPr>
              <w:pStyle w:val="30"/>
              <w:widowControl w:val="0"/>
              <w:bidi w:val="0"/>
              <w:ind w:firstLine="0" w:firstLineChars="0"/>
              <w:jc w:val="center"/>
              <w:rPr>
                <w:rFonts w:hint="eastAsia"/>
                <w:lang w:val="en-US" w:eastAsia="zh-CN"/>
              </w:rPr>
            </w:pPr>
            <w:r>
              <w:rPr>
                <w:rFonts w:hint="eastAsia"/>
                <w:lang w:val="en-US" w:eastAsia="zh-CN"/>
              </w:rPr>
              <w:t>产污负荷</w:t>
            </w:r>
          </w:p>
        </w:tc>
        <w:tc>
          <w:tcPr>
            <w:tcW w:w="407" w:type="pct"/>
            <w:tcBorders>
              <w:tl2br w:val="nil"/>
              <w:tr2bl w:val="nil"/>
            </w:tcBorders>
            <w:vAlign w:val="center"/>
          </w:tcPr>
          <w:p>
            <w:pPr>
              <w:pStyle w:val="30"/>
              <w:widowControl w:val="0"/>
              <w:bidi w:val="0"/>
              <w:ind w:firstLine="0" w:firstLineChars="0"/>
              <w:jc w:val="center"/>
              <w:rPr>
                <w:rFonts w:hint="eastAsia"/>
                <w:lang w:val="en-US" w:eastAsia="zh-CN"/>
              </w:rPr>
            </w:pPr>
            <w:r>
              <w:rPr>
                <w:rFonts w:hint="eastAsia"/>
                <w:lang w:val="en-US" w:eastAsia="zh-CN"/>
              </w:rPr>
              <w:t>t/a</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9.46</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1.89</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0.95</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1.89</w:t>
            </w:r>
          </w:p>
        </w:tc>
        <w:tc>
          <w:tcPr>
            <w:tcW w:w="47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0.09</w:t>
            </w:r>
          </w:p>
        </w:tc>
        <w:tc>
          <w:tcPr>
            <w:tcW w:w="59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 w:type="pct"/>
            <w:vMerge w:val="continue"/>
            <w:tcBorders>
              <w:tl2br w:val="nil"/>
              <w:tr2bl w:val="nil"/>
            </w:tcBorders>
            <w:vAlign w:val="center"/>
          </w:tcPr>
          <w:p>
            <w:pPr>
              <w:pStyle w:val="30"/>
              <w:widowControl w:val="0"/>
              <w:bidi w:val="0"/>
              <w:jc w:val="center"/>
              <w:rPr>
                <w:rFonts w:hint="eastAsia"/>
                <w:lang w:val="en-US" w:eastAsia="zh-CN"/>
              </w:rPr>
            </w:pPr>
          </w:p>
        </w:tc>
        <w:tc>
          <w:tcPr>
            <w:tcW w:w="652" w:type="pct"/>
            <w:vMerge w:val="continue"/>
            <w:tcBorders>
              <w:tl2br w:val="nil"/>
              <w:tr2bl w:val="nil"/>
            </w:tcBorders>
            <w:vAlign w:val="center"/>
          </w:tcPr>
          <w:p>
            <w:pPr>
              <w:pStyle w:val="30"/>
              <w:widowControl w:val="0"/>
              <w:bidi w:val="0"/>
              <w:jc w:val="center"/>
              <w:rPr>
                <w:rFonts w:hint="eastAsia"/>
                <w:lang w:val="en-US" w:eastAsia="zh-CN"/>
              </w:rPr>
            </w:pPr>
          </w:p>
        </w:tc>
        <w:tc>
          <w:tcPr>
            <w:tcW w:w="405" w:type="pct"/>
            <w:vMerge w:val="continue"/>
            <w:tcBorders>
              <w:tl2br w:val="nil"/>
              <w:tr2bl w:val="nil"/>
            </w:tcBorders>
            <w:vAlign w:val="center"/>
          </w:tcPr>
          <w:p>
            <w:pPr>
              <w:pStyle w:val="30"/>
              <w:widowControl w:val="0"/>
              <w:bidi w:val="0"/>
              <w:ind w:firstLine="0" w:firstLineChars="0"/>
              <w:jc w:val="center"/>
              <w:rPr>
                <w:rFonts w:hint="eastAsia"/>
                <w:lang w:val="en-US" w:eastAsia="zh-CN"/>
              </w:rPr>
            </w:pPr>
          </w:p>
        </w:tc>
        <w:tc>
          <w:tcPr>
            <w:tcW w:w="407" w:type="pct"/>
            <w:tcBorders>
              <w:tl2br w:val="nil"/>
              <w:tr2bl w:val="nil"/>
            </w:tcBorders>
            <w:vAlign w:val="center"/>
          </w:tcPr>
          <w:p>
            <w:pPr>
              <w:pStyle w:val="30"/>
              <w:widowControl w:val="0"/>
              <w:bidi w:val="0"/>
              <w:ind w:firstLine="0" w:firstLineChars="0"/>
              <w:jc w:val="center"/>
              <w:rPr>
                <w:rFonts w:hint="eastAsia"/>
                <w:lang w:val="en-US" w:eastAsia="zh-CN"/>
              </w:rPr>
            </w:pPr>
            <w:r>
              <w:rPr>
                <w:rFonts w:hint="eastAsia"/>
                <w:lang w:val="en-US" w:eastAsia="zh-CN"/>
              </w:rPr>
              <w:t>t/d</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0.04</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0.008</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0.004</w:t>
            </w:r>
          </w:p>
        </w:tc>
        <w:tc>
          <w:tcPr>
            <w:tcW w:w="53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0.008</w:t>
            </w:r>
          </w:p>
        </w:tc>
        <w:tc>
          <w:tcPr>
            <w:tcW w:w="47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0.0004</w:t>
            </w:r>
          </w:p>
        </w:tc>
        <w:tc>
          <w:tcPr>
            <w:tcW w:w="59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3" w:type="pct"/>
            <w:gridSpan w:val="4"/>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去除率（%）</w:t>
            </w:r>
          </w:p>
        </w:tc>
        <w:tc>
          <w:tcPr>
            <w:tcW w:w="1022" w:type="dxa"/>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97.60 </w:t>
            </w:r>
          </w:p>
        </w:tc>
        <w:tc>
          <w:tcPr>
            <w:tcW w:w="1022" w:type="dxa"/>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98.96 </w:t>
            </w:r>
          </w:p>
        </w:tc>
        <w:tc>
          <w:tcPr>
            <w:tcW w:w="1022" w:type="dxa"/>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96.75 </w:t>
            </w:r>
          </w:p>
        </w:tc>
        <w:tc>
          <w:tcPr>
            <w:tcW w:w="1022" w:type="dxa"/>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99.14 </w:t>
            </w:r>
          </w:p>
        </w:tc>
        <w:tc>
          <w:tcPr>
            <w:tcW w:w="907" w:type="dxa"/>
            <w:tcBorders>
              <w:tl2br w:val="nil"/>
              <w:tr2bl w:val="nil"/>
            </w:tcBorders>
            <w:vAlign w:val="center"/>
          </w:tcPr>
          <w:p>
            <w:pPr>
              <w:pStyle w:val="30"/>
              <w:widowControl w:val="0"/>
              <w:bidi w:val="0"/>
              <w:rPr>
                <w:rFonts w:hint="eastAsia"/>
                <w:lang w:val="en-US" w:eastAsia="zh-CN"/>
              </w:rPr>
            </w:pPr>
            <w:r>
              <w:rPr>
                <w:rFonts w:hint="eastAsia"/>
                <w:lang w:val="en-US" w:eastAsia="zh-CN"/>
              </w:rPr>
              <w:t xml:space="preserve">98.28 </w:t>
            </w:r>
          </w:p>
        </w:tc>
        <w:tc>
          <w:tcPr>
            <w:tcW w:w="1138" w:type="dxa"/>
            <w:tcBorders>
              <w:tl2br w:val="nil"/>
              <w:tr2bl w:val="nil"/>
            </w:tcBorders>
            <w:vAlign w:val="center"/>
          </w:tcPr>
          <w:p>
            <w:pPr>
              <w:pStyle w:val="30"/>
              <w:widowControl w:val="0"/>
              <w:bidi w:val="0"/>
              <w:rPr>
                <w:rFonts w:hint="default"/>
                <w:lang w:val="en-US" w:eastAsia="zh-CN"/>
              </w:rPr>
            </w:pPr>
            <w:r>
              <w:rPr>
                <w:rFonts w:hint="eastAsia"/>
                <w:lang w:val="en-US" w:eastAsia="zh-CN"/>
              </w:rPr>
              <w:t xml:space="preserve">99.31 </w:t>
            </w:r>
          </w:p>
        </w:tc>
      </w:tr>
    </w:tbl>
    <w:p>
      <w:pPr>
        <w:spacing w:beforeLines="0" w:afterLines="0"/>
        <w:jc w:val="left"/>
        <w:rPr>
          <w:rFonts w:hint="eastAsia"/>
        </w:rPr>
      </w:pPr>
      <w:r>
        <w:rPr>
          <w:rFonts w:hint="eastAsia" w:ascii="宋体" w:hAnsi="宋体" w:eastAsia="宋体"/>
          <w:sz w:val="24"/>
          <w:szCs w:val="24"/>
        </w:rPr>
        <w:t>根据上表可知，项目废水经本项目拟建的污水处理站处理后可达到</w:t>
      </w:r>
      <w:r>
        <w:rPr>
          <w:rFonts w:hint="eastAsia"/>
          <w:lang w:eastAsia="zh-CN"/>
        </w:rPr>
        <w:t>《城镇污水处理厂污染物排放标准》（GB18918-2002）</w:t>
      </w:r>
      <w:r>
        <w:rPr>
          <w:rFonts w:hint="eastAsia"/>
          <w:lang w:val="en-US" w:eastAsia="zh-CN"/>
        </w:rPr>
        <w:t>中一</w:t>
      </w:r>
      <w:r>
        <w:rPr>
          <w:rFonts w:hint="eastAsia"/>
        </w:rPr>
        <w:t>级</w:t>
      </w:r>
      <w:r>
        <w:rPr>
          <w:rFonts w:hint="eastAsia"/>
          <w:lang w:val="en-US" w:eastAsia="zh-CN"/>
        </w:rPr>
        <w:t>A</w:t>
      </w:r>
      <w:r>
        <w:rPr>
          <w:rFonts w:hint="eastAsia"/>
        </w:rPr>
        <w:t>排放标准</w:t>
      </w:r>
      <w:r>
        <w:rPr>
          <w:rFonts w:hint="eastAsia" w:ascii="宋体" w:hAnsi="宋体" w:eastAsia="宋体"/>
          <w:sz w:val="24"/>
          <w:szCs w:val="24"/>
        </w:rPr>
        <w:t>。</w:t>
      </w:r>
    </w:p>
    <w:p>
      <w:pPr>
        <w:pStyle w:val="6"/>
        <w:bidi w:val="0"/>
        <w:rPr>
          <w:rFonts w:hint="default"/>
          <w:lang w:val="en-US" w:eastAsia="zh-CN"/>
        </w:rPr>
      </w:pPr>
      <w:r>
        <w:rPr>
          <w:rFonts w:hint="eastAsia"/>
          <w:lang w:val="en-US" w:eastAsia="zh-CN"/>
        </w:rPr>
        <w:t>污水处理规模合理性分析</w:t>
      </w:r>
    </w:p>
    <w:p>
      <w:pPr>
        <w:bidi w:val="0"/>
        <w:rPr>
          <w:rFonts w:hint="eastAsia"/>
        </w:rPr>
      </w:pPr>
      <w:r>
        <w:rPr>
          <w:rFonts w:hint="eastAsia"/>
        </w:rPr>
        <w:t>本项目废水量按满负荷生产核算，根据水平衡，项目日均排水量为</w:t>
      </w:r>
      <w:r>
        <w:rPr>
          <w:rFonts w:hint="eastAsia"/>
          <w:lang w:val="en-US" w:eastAsia="zh-CN"/>
        </w:rPr>
        <w:t>682.9</w:t>
      </w:r>
      <w:r>
        <w:rPr>
          <w:rFonts w:hint="default"/>
        </w:rPr>
        <w:t>m</w:t>
      </w:r>
      <w:r>
        <w:rPr>
          <w:rFonts w:hint="eastAsia"/>
          <w:vertAlign w:val="superscript"/>
          <w:lang w:val="en-US" w:eastAsia="zh-CN"/>
        </w:rPr>
        <w:t xml:space="preserve"> </w:t>
      </w:r>
      <w:r>
        <w:rPr>
          <w:rFonts w:hint="default"/>
        </w:rPr>
        <w:t>/d</w:t>
      </w:r>
      <w:r>
        <w:rPr>
          <w:rFonts w:hint="eastAsia"/>
        </w:rPr>
        <w:t>，旺季排水量为</w:t>
      </w:r>
      <w:r>
        <w:rPr>
          <w:rFonts w:hint="eastAsia"/>
          <w:lang w:val="en-US" w:eastAsia="zh-CN"/>
        </w:rPr>
        <w:t>805.9</w:t>
      </w:r>
      <w:r>
        <w:rPr>
          <w:rFonts w:hint="default"/>
        </w:rPr>
        <w:t>m</w:t>
      </w:r>
      <w:r>
        <w:rPr>
          <w:rFonts w:hint="default"/>
          <w:vertAlign w:val="superscript"/>
        </w:rPr>
        <w:t>3</w:t>
      </w:r>
      <w:r>
        <w:rPr>
          <w:rFonts w:hint="default"/>
        </w:rPr>
        <w:t>/d</w:t>
      </w:r>
      <w:r>
        <w:rPr>
          <w:rFonts w:hint="eastAsia"/>
        </w:rPr>
        <w:t>，本项目污水处理站设计规模为</w:t>
      </w:r>
      <w:r>
        <w:rPr>
          <w:rFonts w:hint="eastAsia"/>
          <w:lang w:val="en-US" w:eastAsia="zh-CN"/>
        </w:rPr>
        <w:t>1000</w:t>
      </w:r>
      <w:r>
        <w:rPr>
          <w:rFonts w:hint="default"/>
        </w:rPr>
        <w:t>m</w:t>
      </w:r>
      <w:r>
        <w:rPr>
          <w:rFonts w:hint="default"/>
          <w:vertAlign w:val="superscript"/>
        </w:rPr>
        <w:t>3</w:t>
      </w:r>
      <w:r>
        <w:rPr>
          <w:rFonts w:hint="default"/>
        </w:rPr>
        <w:t>/d</w:t>
      </w:r>
      <w:r>
        <w:rPr>
          <w:rFonts w:hint="eastAsia"/>
        </w:rPr>
        <w:t>，大于项目旺季废水量。</w:t>
      </w:r>
    </w:p>
    <w:p>
      <w:pPr>
        <w:spacing w:beforeLines="0" w:afterLines="0"/>
        <w:jc w:val="left"/>
        <w:rPr>
          <w:rFonts w:hint="eastAsia" w:ascii="宋体" w:hAnsi="宋体" w:eastAsia="宋体"/>
          <w:sz w:val="24"/>
          <w:szCs w:val="24"/>
        </w:rPr>
      </w:pPr>
      <w:r>
        <w:rPr>
          <w:rFonts w:hint="eastAsia" w:ascii="宋体" w:hAnsi="宋体" w:eastAsia="宋体"/>
          <w:sz w:val="24"/>
          <w:szCs w:val="24"/>
        </w:rPr>
        <w:t>同时本项目屠宰生产线选用国内较先进的自动化屠宰流水线设备，在生产过程中加快了作业速度，减少了用水环节，并采用高压喷淋清洗设备，增加了清洗效率，避免了人工操作对水资源的浪费，大大降低了本项目生产用水量，从而降低了废水的排放量。实际废水产生量应当小于核算废水量，因此，本项目污水处理站的规模是合理的。</w:t>
      </w:r>
    </w:p>
    <w:p>
      <w:pPr>
        <w:pStyle w:val="6"/>
        <w:bidi w:val="0"/>
        <w:rPr>
          <w:rFonts w:hint="default"/>
          <w:lang w:val="en-US" w:eastAsia="zh-CN"/>
        </w:rPr>
      </w:pPr>
      <w:r>
        <w:rPr>
          <w:rFonts w:hint="eastAsia"/>
          <w:lang w:val="en-US" w:eastAsia="zh-CN"/>
        </w:rPr>
        <w:t>废水灌溉可行性</w:t>
      </w:r>
    </w:p>
    <w:p>
      <w:pPr>
        <w:bidi w:val="0"/>
        <w:rPr>
          <w:rFonts w:hint="default" w:eastAsia="宋体"/>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水量可行性</w:t>
      </w:r>
    </w:p>
    <w:p>
      <w:pPr>
        <w:rPr>
          <w:rFonts w:hint="eastAsia"/>
          <w:vertAlign w:val="baseline"/>
          <w:lang w:val="en-US" w:eastAsia="zh-CN"/>
        </w:rPr>
      </w:pPr>
      <w:r>
        <w:rPr>
          <w:sz w:val="24"/>
          <w:szCs w:val="24"/>
          <w:lang w:bidi="ar"/>
        </w:rPr>
        <w:t>根据《四川省用水定额》（川府函〔2021〕8号），本项目所在地属于</w:t>
      </w:r>
      <w:r>
        <w:rPr>
          <w:rFonts w:hint="eastAsia"/>
          <w:sz w:val="24"/>
          <w:szCs w:val="24"/>
          <w:lang w:bidi="ar"/>
        </w:rPr>
        <w:t>Ⅱ</w:t>
      </w:r>
      <w:r>
        <w:rPr>
          <w:sz w:val="24"/>
          <w:szCs w:val="24"/>
          <w:lang w:bidi="ar"/>
        </w:rPr>
        <w:t>类区“盆</w:t>
      </w:r>
      <w:r>
        <w:rPr>
          <w:rFonts w:hint="eastAsia"/>
          <w:sz w:val="24"/>
          <w:szCs w:val="24"/>
          <w:lang w:val="en-US" w:eastAsia="zh-CN" w:bidi="ar"/>
        </w:rPr>
        <w:t>中</w:t>
      </w:r>
      <w:r>
        <w:rPr>
          <w:sz w:val="24"/>
          <w:szCs w:val="24"/>
          <w:lang w:bidi="ar"/>
        </w:rPr>
        <w:t>丘陵区”，</w:t>
      </w:r>
      <w:r>
        <w:rPr>
          <w:color w:val="auto"/>
          <w:sz w:val="24"/>
          <w:szCs w:val="24"/>
          <w:lang w:bidi="ar"/>
        </w:rPr>
        <w:t>消纳土地为经济林地，</w:t>
      </w:r>
      <w:r>
        <w:rPr>
          <w:rFonts w:hint="eastAsia"/>
          <w:color w:val="auto"/>
          <w:sz w:val="24"/>
          <w:szCs w:val="24"/>
          <w:lang w:val="en-US" w:eastAsia="zh-CN" w:bidi="ar"/>
        </w:rPr>
        <w:t>以花椒和</w:t>
      </w:r>
      <w:r>
        <w:rPr>
          <w:color w:val="auto"/>
          <w:sz w:val="24"/>
          <w:szCs w:val="24"/>
          <w:lang w:bidi="ar"/>
        </w:rPr>
        <w:t>茶树</w:t>
      </w:r>
      <w:r>
        <w:rPr>
          <w:rFonts w:hint="eastAsia"/>
          <w:color w:val="auto"/>
          <w:sz w:val="24"/>
          <w:szCs w:val="24"/>
          <w:lang w:val="en-US" w:eastAsia="zh-CN" w:bidi="ar"/>
        </w:rPr>
        <w:t>为主</w:t>
      </w:r>
      <w:r>
        <w:rPr>
          <w:color w:val="auto"/>
          <w:sz w:val="24"/>
          <w:szCs w:val="24"/>
          <w:lang w:bidi="ar"/>
        </w:rPr>
        <w:t>，</w:t>
      </w:r>
      <w:r>
        <w:rPr>
          <w:sz w:val="24"/>
          <w:szCs w:val="24"/>
          <w:lang w:bidi="ar"/>
        </w:rPr>
        <w:t>在灌溉保证率达到</w:t>
      </w:r>
      <w:r>
        <w:rPr>
          <w:rFonts w:hint="eastAsia"/>
          <w:sz w:val="24"/>
          <w:szCs w:val="24"/>
          <w:lang w:val="en-US" w:eastAsia="zh-CN" w:bidi="ar"/>
        </w:rPr>
        <w:t>90</w:t>
      </w:r>
      <w:r>
        <w:rPr>
          <w:sz w:val="24"/>
          <w:szCs w:val="24"/>
          <w:lang w:bidi="ar"/>
        </w:rPr>
        <w:t>%的情况下，平均灌溉需水量约为</w:t>
      </w:r>
      <w:r>
        <w:rPr>
          <w:rFonts w:hint="eastAsia"/>
          <w:sz w:val="24"/>
          <w:szCs w:val="24"/>
          <w:lang w:val="en-US" w:eastAsia="zh-CN" w:bidi="ar"/>
        </w:rPr>
        <w:t>310</w:t>
      </w:r>
      <w:r>
        <w:rPr>
          <w:sz w:val="24"/>
          <w:szCs w:val="24"/>
          <w:lang w:bidi="ar"/>
        </w:rPr>
        <w:t>m</w:t>
      </w:r>
      <w:r>
        <w:rPr>
          <w:sz w:val="24"/>
          <w:szCs w:val="24"/>
          <w:vertAlign w:val="superscript"/>
          <w:lang w:bidi="ar"/>
        </w:rPr>
        <w:t>3</w:t>
      </w:r>
      <w:r>
        <w:rPr>
          <w:sz w:val="24"/>
          <w:szCs w:val="24"/>
          <w:lang w:bidi="ar"/>
        </w:rPr>
        <w:t>/亩，本</w:t>
      </w:r>
      <w:r>
        <w:rPr>
          <w:sz w:val="24"/>
          <w:szCs w:val="24"/>
          <w:highlight w:val="none"/>
          <w:lang w:bidi="ar"/>
        </w:rPr>
        <w:t>项目消纳用地</w:t>
      </w:r>
      <w:r>
        <w:rPr>
          <w:rFonts w:hint="eastAsia"/>
          <w:sz w:val="24"/>
          <w:szCs w:val="24"/>
          <w:highlight w:val="none"/>
          <w:lang w:val="en-US" w:eastAsia="zh-CN" w:bidi="ar"/>
        </w:rPr>
        <w:t>1450</w:t>
      </w:r>
      <w:r>
        <w:rPr>
          <w:sz w:val="24"/>
          <w:szCs w:val="24"/>
          <w:highlight w:val="none"/>
          <w:lang w:bidi="ar"/>
        </w:rPr>
        <w:t>亩，则本项目消纳用地灌溉用水量约</w:t>
      </w:r>
      <w:r>
        <w:rPr>
          <w:rFonts w:hint="eastAsia"/>
          <w:sz w:val="24"/>
          <w:szCs w:val="24"/>
          <w:highlight w:val="none"/>
          <w:lang w:val="en-US" w:eastAsia="zh-CN" w:bidi="ar"/>
        </w:rPr>
        <w:t>449500</w:t>
      </w:r>
      <w:r>
        <w:rPr>
          <w:sz w:val="24"/>
          <w:szCs w:val="24"/>
          <w:highlight w:val="none"/>
          <w:lang w:bidi="ar"/>
        </w:rPr>
        <w:t>m</w:t>
      </w:r>
      <w:r>
        <w:rPr>
          <w:sz w:val="24"/>
          <w:szCs w:val="24"/>
          <w:highlight w:val="none"/>
          <w:vertAlign w:val="superscript"/>
          <w:lang w:bidi="ar"/>
        </w:rPr>
        <w:t>3</w:t>
      </w:r>
      <w:r>
        <w:rPr>
          <w:sz w:val="24"/>
          <w:szCs w:val="24"/>
          <w:highlight w:val="none"/>
          <w:lang w:bidi="ar"/>
        </w:rPr>
        <w:t>/a。养殖场经处理后的用于灌溉的水量为</w:t>
      </w:r>
      <w:r>
        <w:rPr>
          <w:rFonts w:hint="eastAsia"/>
          <w:kern w:val="0"/>
          <w:sz w:val="24"/>
          <w:szCs w:val="24"/>
          <w:highlight w:val="none"/>
          <w:lang w:val="en-US" w:eastAsia="zh-CN" w:bidi="ar"/>
        </w:rPr>
        <w:t>189120</w:t>
      </w:r>
      <w:r>
        <w:rPr>
          <w:sz w:val="24"/>
          <w:szCs w:val="24"/>
          <w:highlight w:val="none"/>
          <w:lang w:bidi="ar"/>
        </w:rPr>
        <w:t>m</w:t>
      </w:r>
      <w:r>
        <w:rPr>
          <w:sz w:val="24"/>
          <w:szCs w:val="24"/>
          <w:highlight w:val="none"/>
          <w:vertAlign w:val="superscript"/>
          <w:lang w:bidi="ar"/>
        </w:rPr>
        <w:t>3</w:t>
      </w:r>
      <w:r>
        <w:rPr>
          <w:sz w:val="24"/>
          <w:szCs w:val="24"/>
          <w:highlight w:val="none"/>
          <w:lang w:bidi="ar"/>
        </w:rPr>
        <w:t>/a，占该片消纳用地灌溉需水量的</w:t>
      </w:r>
      <w:r>
        <w:rPr>
          <w:rFonts w:hint="eastAsia"/>
          <w:kern w:val="0"/>
          <w:sz w:val="24"/>
          <w:szCs w:val="24"/>
          <w:highlight w:val="none"/>
          <w:lang w:val="en-US" w:eastAsia="zh-CN" w:bidi="ar"/>
        </w:rPr>
        <w:t>42.07</w:t>
      </w:r>
      <w:r>
        <w:rPr>
          <w:sz w:val="24"/>
          <w:szCs w:val="24"/>
          <w:highlight w:val="none"/>
          <w:lang w:bidi="ar"/>
        </w:rPr>
        <w:t>%，因</w:t>
      </w:r>
      <w:r>
        <w:rPr>
          <w:sz w:val="24"/>
          <w:szCs w:val="24"/>
          <w:lang w:bidi="ar"/>
        </w:rPr>
        <w:t>此，本项目消纳用地完全可以接纳本项目产生的废水灌溉。</w:t>
      </w:r>
    </w:p>
    <w:p>
      <w:pPr>
        <w:pStyle w:val="29"/>
        <w:bidi w:val="0"/>
      </w:pPr>
      <w:r>
        <w:rPr>
          <w:rFonts w:hint="eastAsia"/>
          <w:lang w:val="en-US" w:eastAsia="zh-CN"/>
        </w:rPr>
        <w:t xml:space="preserve">7.2-2  </w:t>
      </w:r>
      <w:r>
        <w:rPr>
          <w:rFonts w:hint="eastAsia"/>
        </w:rPr>
        <w:t>水量可行性一览表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513"/>
        <w:gridCol w:w="2097"/>
        <w:gridCol w:w="1944"/>
        <w:gridCol w:w="2166"/>
        <w:gridCol w:w="11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tcBorders>
              <w:tl2br w:val="nil"/>
              <w:tr2bl w:val="nil"/>
            </w:tcBorders>
            <w:noWrap w:val="0"/>
            <w:vAlign w:val="center"/>
          </w:tcPr>
          <w:p>
            <w:pPr>
              <w:pStyle w:val="30"/>
              <w:bidi w:val="0"/>
              <w:rPr>
                <w:b/>
                <w:bCs/>
              </w:rPr>
            </w:pPr>
            <w:r>
              <w:rPr>
                <w:rFonts w:hint="eastAsia"/>
                <w:b/>
                <w:bCs/>
              </w:rPr>
              <w:t>序号</w:t>
            </w:r>
          </w:p>
        </w:tc>
        <w:tc>
          <w:tcPr>
            <w:tcW w:w="786" w:type="pct"/>
            <w:tcBorders>
              <w:tl2br w:val="nil"/>
              <w:tr2bl w:val="nil"/>
            </w:tcBorders>
            <w:noWrap w:val="0"/>
            <w:vAlign w:val="center"/>
          </w:tcPr>
          <w:p>
            <w:pPr>
              <w:pStyle w:val="30"/>
              <w:bidi w:val="0"/>
              <w:rPr>
                <w:b/>
                <w:bCs/>
              </w:rPr>
            </w:pPr>
            <w:r>
              <w:rPr>
                <w:rFonts w:hint="eastAsia"/>
                <w:b/>
                <w:bCs/>
              </w:rPr>
              <w:t>消纳用地</w:t>
            </w:r>
            <w:r>
              <w:rPr>
                <w:b/>
                <w:bCs/>
              </w:rPr>
              <w:t>-</w:t>
            </w:r>
            <w:r>
              <w:rPr>
                <w:rFonts w:hint="eastAsia"/>
                <w:b/>
                <w:bCs/>
              </w:rPr>
              <w:t>亩</w:t>
            </w:r>
          </w:p>
        </w:tc>
        <w:tc>
          <w:tcPr>
            <w:tcW w:w="1089" w:type="pct"/>
            <w:tcBorders>
              <w:tl2br w:val="nil"/>
              <w:tr2bl w:val="nil"/>
            </w:tcBorders>
            <w:noWrap w:val="0"/>
            <w:vAlign w:val="center"/>
          </w:tcPr>
          <w:p>
            <w:pPr>
              <w:pStyle w:val="30"/>
              <w:bidi w:val="0"/>
              <w:rPr>
                <w:b/>
                <w:bCs/>
              </w:rPr>
            </w:pPr>
            <w:r>
              <w:rPr>
                <w:rFonts w:hint="eastAsia"/>
                <w:b/>
                <w:bCs/>
              </w:rPr>
              <w:t>灌溉需水量</w:t>
            </w:r>
            <w:r>
              <w:rPr>
                <w:b/>
                <w:bCs/>
              </w:rPr>
              <w:t>-m</w:t>
            </w:r>
            <w:r>
              <w:rPr>
                <w:b/>
                <w:bCs/>
                <w:vertAlign w:val="superscript"/>
              </w:rPr>
              <w:t>3</w:t>
            </w:r>
            <w:r>
              <w:rPr>
                <w:b/>
                <w:bCs/>
              </w:rPr>
              <w:t>/</w:t>
            </w:r>
            <w:r>
              <w:rPr>
                <w:rFonts w:hint="eastAsia"/>
                <w:b/>
                <w:bCs/>
              </w:rPr>
              <w:t>亩</w:t>
            </w:r>
          </w:p>
        </w:tc>
        <w:tc>
          <w:tcPr>
            <w:tcW w:w="1010" w:type="pct"/>
            <w:tcBorders>
              <w:tl2br w:val="nil"/>
              <w:tr2bl w:val="nil"/>
            </w:tcBorders>
            <w:noWrap w:val="0"/>
            <w:vAlign w:val="center"/>
          </w:tcPr>
          <w:p>
            <w:pPr>
              <w:pStyle w:val="30"/>
              <w:bidi w:val="0"/>
              <w:rPr>
                <w:b/>
                <w:bCs/>
              </w:rPr>
            </w:pPr>
            <w:r>
              <w:rPr>
                <w:rFonts w:hint="eastAsia"/>
                <w:b/>
                <w:bCs/>
              </w:rPr>
              <w:t>灌溉需水量</w:t>
            </w:r>
            <w:r>
              <w:rPr>
                <w:b/>
                <w:bCs/>
              </w:rPr>
              <w:t>-m</w:t>
            </w:r>
            <w:r>
              <w:rPr>
                <w:b/>
                <w:bCs/>
                <w:vertAlign w:val="superscript"/>
              </w:rPr>
              <w:t>3</w:t>
            </w:r>
            <w:r>
              <w:rPr>
                <w:b/>
                <w:bCs/>
              </w:rPr>
              <w:t>/a</w:t>
            </w:r>
          </w:p>
        </w:tc>
        <w:tc>
          <w:tcPr>
            <w:tcW w:w="1125" w:type="pct"/>
            <w:tcBorders>
              <w:tl2br w:val="nil"/>
              <w:tr2bl w:val="nil"/>
            </w:tcBorders>
            <w:noWrap w:val="0"/>
            <w:vAlign w:val="center"/>
          </w:tcPr>
          <w:p>
            <w:pPr>
              <w:pStyle w:val="30"/>
              <w:bidi w:val="0"/>
              <w:rPr>
                <w:b/>
                <w:bCs/>
              </w:rPr>
            </w:pPr>
            <w:r>
              <w:rPr>
                <w:rFonts w:hint="eastAsia"/>
                <w:b/>
                <w:bCs/>
              </w:rPr>
              <w:t>本项目废水量</w:t>
            </w:r>
            <w:r>
              <w:rPr>
                <w:b/>
                <w:bCs/>
              </w:rPr>
              <w:t>-m</w:t>
            </w:r>
            <w:r>
              <w:rPr>
                <w:b/>
                <w:bCs/>
                <w:vertAlign w:val="superscript"/>
              </w:rPr>
              <w:t>3</w:t>
            </w:r>
            <w:r>
              <w:rPr>
                <w:b/>
                <w:bCs/>
              </w:rPr>
              <w:t>/a</w:t>
            </w:r>
          </w:p>
        </w:tc>
        <w:tc>
          <w:tcPr>
            <w:tcW w:w="572" w:type="pct"/>
            <w:tcBorders>
              <w:tl2br w:val="nil"/>
              <w:tr2bl w:val="nil"/>
            </w:tcBorders>
            <w:noWrap w:val="0"/>
            <w:vAlign w:val="center"/>
          </w:tcPr>
          <w:p>
            <w:pPr>
              <w:pStyle w:val="30"/>
              <w:bidi w:val="0"/>
              <w:rPr>
                <w:b/>
                <w:bCs/>
              </w:rPr>
            </w:pPr>
            <w:r>
              <w:rPr>
                <w:rFonts w:hint="eastAsia"/>
                <w:b/>
                <w:bCs/>
              </w:rPr>
              <w:t>占比</w:t>
            </w:r>
            <w:r>
              <w:rPr>
                <w:b/>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tcBorders>
              <w:tl2br w:val="nil"/>
              <w:tr2bl w:val="nil"/>
            </w:tcBorders>
            <w:noWrap w:val="0"/>
            <w:vAlign w:val="center"/>
          </w:tcPr>
          <w:p>
            <w:pPr>
              <w:pStyle w:val="30"/>
              <w:bidi w:val="0"/>
              <w:rPr>
                <w:highlight w:val="none"/>
              </w:rPr>
            </w:pPr>
            <w:r>
              <w:rPr>
                <w:highlight w:val="none"/>
              </w:rPr>
              <w:t>1</w:t>
            </w:r>
          </w:p>
        </w:tc>
        <w:tc>
          <w:tcPr>
            <w:tcW w:w="786" w:type="pct"/>
            <w:tcBorders>
              <w:tl2br w:val="nil"/>
              <w:tr2bl w:val="nil"/>
            </w:tcBorders>
            <w:noWrap w:val="0"/>
            <w:vAlign w:val="center"/>
          </w:tcPr>
          <w:p>
            <w:pPr>
              <w:pStyle w:val="30"/>
              <w:bidi w:val="0"/>
              <w:rPr>
                <w:rFonts w:hint="default" w:eastAsia="宋体"/>
                <w:highlight w:val="none"/>
                <w:lang w:val="en-US" w:eastAsia="zh-CN"/>
              </w:rPr>
            </w:pPr>
            <w:r>
              <w:rPr>
                <w:rFonts w:hint="eastAsia"/>
                <w:highlight w:val="none"/>
                <w:lang w:val="en-US" w:eastAsia="zh-CN"/>
              </w:rPr>
              <w:t>1450</w:t>
            </w:r>
          </w:p>
        </w:tc>
        <w:tc>
          <w:tcPr>
            <w:tcW w:w="1089" w:type="pct"/>
            <w:tcBorders>
              <w:tl2br w:val="nil"/>
              <w:tr2bl w:val="nil"/>
            </w:tcBorders>
            <w:noWrap w:val="0"/>
            <w:vAlign w:val="center"/>
          </w:tcPr>
          <w:p>
            <w:pPr>
              <w:pStyle w:val="30"/>
              <w:bidi w:val="0"/>
              <w:rPr>
                <w:rFonts w:hint="default" w:eastAsia="宋体"/>
                <w:highlight w:val="none"/>
                <w:lang w:val="en-US" w:eastAsia="zh-CN"/>
              </w:rPr>
            </w:pPr>
            <w:r>
              <w:rPr>
                <w:rFonts w:hint="eastAsia"/>
                <w:highlight w:val="none"/>
                <w:lang w:val="en-US" w:eastAsia="zh-CN"/>
              </w:rPr>
              <w:t>310</w:t>
            </w:r>
          </w:p>
        </w:tc>
        <w:tc>
          <w:tcPr>
            <w:tcW w:w="1010" w:type="pct"/>
            <w:tcBorders>
              <w:tl2br w:val="nil"/>
              <w:tr2bl w:val="nil"/>
            </w:tcBorders>
            <w:noWrap w:val="0"/>
            <w:vAlign w:val="center"/>
          </w:tcPr>
          <w:p>
            <w:pPr>
              <w:pStyle w:val="30"/>
              <w:bidi w:val="0"/>
              <w:rPr>
                <w:rFonts w:hint="default" w:eastAsia="宋体"/>
                <w:highlight w:val="none"/>
                <w:lang w:val="en-US" w:eastAsia="zh-CN"/>
              </w:rPr>
            </w:pPr>
            <w:r>
              <w:rPr>
                <w:rFonts w:hint="eastAsia"/>
                <w:highlight w:val="none"/>
                <w:lang w:val="en-US" w:eastAsia="zh-CN"/>
              </w:rPr>
              <w:t>449500</w:t>
            </w:r>
          </w:p>
        </w:tc>
        <w:tc>
          <w:tcPr>
            <w:tcW w:w="1125" w:type="pct"/>
            <w:tcBorders>
              <w:tl2br w:val="nil"/>
              <w:tr2bl w:val="nil"/>
            </w:tcBorders>
            <w:noWrap w:val="0"/>
            <w:vAlign w:val="center"/>
          </w:tcPr>
          <w:p>
            <w:pPr>
              <w:pStyle w:val="30"/>
              <w:bidi w:val="0"/>
              <w:rPr>
                <w:highlight w:val="none"/>
              </w:rPr>
            </w:pPr>
            <w:r>
              <w:rPr>
                <w:rFonts w:hint="eastAsia"/>
                <w:highlight w:val="none"/>
                <w:lang w:val="en-US" w:eastAsia="zh-CN"/>
              </w:rPr>
              <w:t>189120</w:t>
            </w:r>
          </w:p>
        </w:tc>
        <w:tc>
          <w:tcPr>
            <w:tcW w:w="572" w:type="pct"/>
            <w:tcBorders>
              <w:tl2br w:val="nil"/>
              <w:tr2bl w:val="nil"/>
            </w:tcBorders>
            <w:noWrap w:val="0"/>
            <w:vAlign w:val="center"/>
          </w:tcPr>
          <w:p>
            <w:pPr>
              <w:pStyle w:val="30"/>
              <w:bidi w:val="0"/>
              <w:rPr>
                <w:rFonts w:hint="default" w:eastAsia="宋体"/>
                <w:highlight w:val="none"/>
                <w:lang w:val="en-US" w:eastAsia="zh-CN"/>
              </w:rPr>
            </w:pPr>
            <w:r>
              <w:rPr>
                <w:rFonts w:hint="eastAsia"/>
                <w:highlight w:val="none"/>
                <w:lang w:val="en-US" w:eastAsia="zh-CN"/>
              </w:rPr>
              <w:t>42.07</w:t>
            </w:r>
          </w:p>
        </w:tc>
      </w:tr>
    </w:tbl>
    <w:p>
      <w:pPr>
        <w:spacing w:line="360" w:lineRule="auto"/>
        <w:ind w:firstLine="480" w:firstLineChars="200"/>
        <w:rPr>
          <w:bCs/>
          <w:sz w:val="24"/>
          <w:szCs w:val="24"/>
          <w:highlight w:val="none"/>
        </w:rPr>
      </w:pPr>
      <w:r>
        <w:rPr>
          <w:rFonts w:hint="eastAsia"/>
          <w:bCs/>
          <w:sz w:val="24"/>
          <w:szCs w:val="24"/>
          <w:highlight w:val="none"/>
          <w:lang w:eastAsia="zh-CN" w:bidi="ar"/>
        </w:rPr>
        <w:t>（</w:t>
      </w:r>
      <w:r>
        <w:rPr>
          <w:rFonts w:hint="eastAsia"/>
          <w:bCs/>
          <w:sz w:val="24"/>
          <w:szCs w:val="24"/>
          <w:highlight w:val="none"/>
          <w:lang w:val="en-US" w:eastAsia="zh-CN" w:bidi="ar"/>
        </w:rPr>
        <w:t>2</w:t>
      </w:r>
      <w:r>
        <w:rPr>
          <w:rFonts w:hint="eastAsia"/>
          <w:bCs/>
          <w:sz w:val="24"/>
          <w:szCs w:val="24"/>
          <w:highlight w:val="none"/>
          <w:lang w:eastAsia="zh-CN" w:bidi="ar"/>
        </w:rPr>
        <w:t>）</w:t>
      </w:r>
      <w:r>
        <w:rPr>
          <w:bCs/>
          <w:sz w:val="24"/>
          <w:szCs w:val="24"/>
          <w:highlight w:val="none"/>
          <w:lang w:bidi="ar"/>
        </w:rPr>
        <w:t>非灌溉期水用于周边灌溉可行性</w:t>
      </w:r>
    </w:p>
    <w:p>
      <w:pPr>
        <w:bidi w:val="0"/>
        <w:rPr>
          <w:rFonts w:hint="eastAsia"/>
        </w:rPr>
      </w:pPr>
      <w:r>
        <w:rPr>
          <w:rFonts w:hint="eastAsia"/>
          <w:sz w:val="24"/>
          <w:szCs w:val="24"/>
          <w:highlight w:val="none"/>
          <w:lang w:val="en-US" w:eastAsia="zh-CN" w:bidi="ar"/>
        </w:rPr>
        <w:t>根据上述可知，项目灌溉用地每年需进行63次灌溉，灌溉水量约为7135m</w:t>
      </w:r>
      <w:r>
        <w:rPr>
          <w:rFonts w:hint="eastAsia"/>
          <w:sz w:val="24"/>
          <w:szCs w:val="24"/>
          <w:highlight w:val="none"/>
          <w:vertAlign w:val="superscript"/>
          <w:lang w:val="en-US" w:eastAsia="zh-CN" w:bidi="ar"/>
        </w:rPr>
        <w:t>3</w:t>
      </w:r>
      <w:r>
        <w:rPr>
          <w:rFonts w:hint="eastAsia"/>
          <w:sz w:val="24"/>
          <w:szCs w:val="24"/>
          <w:highlight w:val="none"/>
          <w:vertAlign w:val="baseline"/>
          <w:lang w:val="en-US" w:eastAsia="zh-CN" w:bidi="ar"/>
        </w:rPr>
        <w:t>/次，最长灌溉间隔为非灌期每10d灌溉一次，本项目10d产生水量为6559</w:t>
      </w:r>
      <w:r>
        <w:rPr>
          <w:rFonts w:hint="eastAsia"/>
          <w:sz w:val="24"/>
          <w:szCs w:val="24"/>
          <w:highlight w:val="none"/>
          <w:lang w:val="en-US" w:eastAsia="zh-CN" w:bidi="ar"/>
        </w:rPr>
        <w:t>m</w:t>
      </w:r>
      <w:r>
        <w:rPr>
          <w:rFonts w:hint="eastAsia"/>
          <w:sz w:val="24"/>
          <w:szCs w:val="24"/>
          <w:highlight w:val="none"/>
          <w:vertAlign w:val="superscript"/>
          <w:lang w:val="en-US" w:eastAsia="zh-CN" w:bidi="ar"/>
        </w:rPr>
        <w:t>3</w:t>
      </w:r>
      <w:r>
        <w:rPr>
          <w:rFonts w:hint="eastAsia"/>
          <w:sz w:val="24"/>
          <w:szCs w:val="24"/>
          <w:highlight w:val="none"/>
          <w:vertAlign w:val="baseline"/>
          <w:lang w:val="en-US" w:eastAsia="zh-CN" w:bidi="ar"/>
        </w:rPr>
        <w:t>，占灌溉用地一次浇灌量的92%，因此，本项目需建设满足存放10d废水量的废水储存池。确定本项目废水储存池溶剂不得低于6559</w:t>
      </w:r>
      <w:r>
        <w:rPr>
          <w:rFonts w:hint="eastAsia"/>
          <w:sz w:val="24"/>
          <w:szCs w:val="24"/>
          <w:highlight w:val="none"/>
          <w:lang w:val="en-US" w:eastAsia="zh-CN" w:bidi="ar"/>
        </w:rPr>
        <w:t>m</w:t>
      </w:r>
      <w:r>
        <w:rPr>
          <w:rFonts w:hint="eastAsia"/>
          <w:sz w:val="24"/>
          <w:szCs w:val="24"/>
          <w:highlight w:val="none"/>
          <w:vertAlign w:val="superscript"/>
          <w:lang w:val="en-US" w:eastAsia="zh-CN" w:bidi="ar"/>
        </w:rPr>
        <w:t>3</w:t>
      </w:r>
      <w:r>
        <w:rPr>
          <w:rFonts w:hint="eastAsia"/>
          <w:sz w:val="24"/>
          <w:szCs w:val="24"/>
          <w:highlight w:val="none"/>
          <w:vertAlign w:val="baseline"/>
          <w:lang w:val="en-US" w:eastAsia="zh-CN" w:bidi="ar"/>
        </w:rPr>
        <w:t>。本项目田间设置暂存池7000</w:t>
      </w:r>
      <w:r>
        <w:rPr>
          <w:rFonts w:hint="eastAsia"/>
          <w:sz w:val="24"/>
          <w:szCs w:val="24"/>
          <w:highlight w:val="none"/>
          <w:lang w:val="en-US" w:eastAsia="zh-CN" w:bidi="ar"/>
        </w:rPr>
        <w:t>m</w:t>
      </w:r>
      <w:r>
        <w:rPr>
          <w:rFonts w:hint="eastAsia"/>
          <w:sz w:val="24"/>
          <w:szCs w:val="24"/>
          <w:highlight w:val="none"/>
          <w:vertAlign w:val="superscript"/>
          <w:lang w:val="en-US" w:eastAsia="zh-CN" w:bidi="ar"/>
        </w:rPr>
        <w:t>3</w:t>
      </w:r>
      <w:r>
        <w:rPr>
          <w:rFonts w:hint="eastAsia"/>
          <w:sz w:val="24"/>
          <w:szCs w:val="24"/>
          <w:highlight w:val="none"/>
          <w:vertAlign w:val="baseline"/>
          <w:lang w:val="en-US" w:eastAsia="zh-CN" w:bidi="ar"/>
        </w:rPr>
        <w:t>，设置田间高位水池2个（3000m</w:t>
      </w:r>
      <w:r>
        <w:rPr>
          <w:rFonts w:hint="eastAsia"/>
          <w:sz w:val="24"/>
          <w:szCs w:val="24"/>
          <w:highlight w:val="none"/>
          <w:vertAlign w:val="superscript"/>
          <w:lang w:val="en-US" w:eastAsia="zh-CN" w:bidi="ar"/>
        </w:rPr>
        <w:t>3</w:t>
      </w:r>
      <w:r>
        <w:rPr>
          <w:rFonts w:hint="eastAsia"/>
          <w:sz w:val="24"/>
          <w:szCs w:val="24"/>
          <w:highlight w:val="none"/>
          <w:vertAlign w:val="baseline"/>
          <w:lang w:val="en-US" w:eastAsia="zh-CN" w:bidi="ar"/>
        </w:rPr>
        <w:t>/个），田间暂存池20个（100m</w:t>
      </w:r>
      <w:r>
        <w:rPr>
          <w:rFonts w:hint="eastAsia"/>
          <w:sz w:val="24"/>
          <w:szCs w:val="24"/>
          <w:highlight w:val="none"/>
          <w:vertAlign w:val="superscript"/>
          <w:lang w:val="en-US" w:eastAsia="zh-CN" w:bidi="ar"/>
        </w:rPr>
        <w:t>3</w:t>
      </w:r>
      <w:r>
        <w:rPr>
          <w:rFonts w:hint="eastAsia"/>
          <w:sz w:val="24"/>
          <w:szCs w:val="24"/>
          <w:highlight w:val="none"/>
          <w:vertAlign w:val="baseline"/>
          <w:lang w:val="en-US" w:eastAsia="zh-CN" w:bidi="ar"/>
        </w:rPr>
        <w:t>/个），非灌期污水处理站出水暂存该池内，每隔10d向灌溉用地浇灌。</w:t>
      </w:r>
    </w:p>
    <w:p>
      <w:pPr>
        <w:bidi w:val="0"/>
        <w:rPr>
          <w:rFonts w:hint="eastAsia"/>
        </w:rPr>
      </w:pPr>
    </w:p>
    <w:p>
      <w:pPr>
        <w:bidi w:val="0"/>
        <w:rPr>
          <w:rFonts w:hint="eastAsia"/>
        </w:rPr>
      </w:pPr>
    </w:p>
    <w:p>
      <w:pPr>
        <w:bidi w:val="0"/>
        <w:rPr>
          <w:rFonts w:hint="eastAsia"/>
        </w:rPr>
      </w:pPr>
    </w:p>
    <w:p>
      <w:pPr>
        <w:pStyle w:val="5"/>
        <w:bidi w:val="0"/>
        <w:rPr>
          <w:rFonts w:hint="eastAsia"/>
        </w:rPr>
      </w:pPr>
      <w:r>
        <w:rPr>
          <w:rFonts w:hint="eastAsia"/>
        </w:rPr>
        <w:t>大气污染防治措施及技术经济论证</w:t>
      </w:r>
    </w:p>
    <w:p>
      <w:pPr>
        <w:spacing w:beforeLines="0" w:afterLines="0"/>
        <w:jc w:val="left"/>
        <w:rPr>
          <w:rFonts w:hint="eastAsia" w:ascii="宋体" w:hAnsi="宋体" w:eastAsia="宋体"/>
          <w:sz w:val="24"/>
          <w:szCs w:val="24"/>
        </w:rPr>
      </w:pPr>
      <w:r>
        <w:rPr>
          <w:rFonts w:hint="eastAsia" w:ascii="宋体" w:hAnsi="宋体" w:eastAsia="宋体"/>
          <w:sz w:val="24"/>
          <w:szCs w:val="24"/>
        </w:rPr>
        <w:t>本项目运营过程中废气主要为</w:t>
      </w:r>
      <w:r>
        <w:rPr>
          <w:rFonts w:hint="eastAsia" w:ascii="宋体" w:hAnsi="宋体"/>
          <w:sz w:val="24"/>
          <w:szCs w:val="24"/>
          <w:lang w:eastAsia="zh-CN"/>
        </w:rPr>
        <w:t>待宰圈</w:t>
      </w:r>
      <w:r>
        <w:rPr>
          <w:rFonts w:hint="eastAsia" w:ascii="宋体" w:hAnsi="宋体" w:eastAsia="宋体"/>
          <w:sz w:val="24"/>
          <w:szCs w:val="24"/>
        </w:rPr>
        <w:t>、屠宰车间和污水处理站产生的恶臭、食堂油烟。</w:t>
      </w:r>
    </w:p>
    <w:p>
      <w:pPr>
        <w:pStyle w:val="6"/>
        <w:bidi w:val="0"/>
        <w:rPr>
          <w:rFonts w:hint="eastAsia"/>
        </w:rPr>
      </w:pPr>
      <w:r>
        <w:rPr>
          <w:rFonts w:hint="eastAsia"/>
        </w:rPr>
        <w:t>恶臭治理措施</w:t>
      </w:r>
    </w:p>
    <w:p>
      <w:pPr>
        <w:spacing w:beforeLines="0" w:afterLines="0"/>
        <w:jc w:val="left"/>
        <w:rPr>
          <w:rFonts w:hint="eastAsia"/>
        </w:rPr>
      </w:pPr>
      <w:r>
        <w:rPr>
          <w:rFonts w:hint="eastAsia" w:ascii="宋体" w:hAnsi="宋体" w:eastAsia="宋体"/>
          <w:sz w:val="24"/>
          <w:szCs w:val="24"/>
        </w:rPr>
        <w:t>本项目拟对</w:t>
      </w:r>
      <w:r>
        <w:rPr>
          <w:rFonts w:hint="eastAsia" w:ascii="宋体" w:hAnsi="宋体"/>
          <w:sz w:val="24"/>
          <w:szCs w:val="24"/>
          <w:lang w:eastAsia="zh-CN"/>
        </w:rPr>
        <w:t>待宰圈</w:t>
      </w:r>
      <w:r>
        <w:rPr>
          <w:rFonts w:hint="eastAsia" w:ascii="宋体" w:hAnsi="宋体" w:eastAsia="宋体"/>
          <w:sz w:val="24"/>
          <w:szCs w:val="24"/>
        </w:rPr>
        <w:t>、屠宰车间、污水处理站、无害化暂存间、急宰间以及隔离间等全部采取密闭负压抽风，并采用</w:t>
      </w:r>
      <w:r>
        <w:rPr>
          <w:rFonts w:hint="eastAsia" w:ascii="宋体" w:hAnsi="宋体"/>
          <w:sz w:val="24"/>
          <w:szCs w:val="24"/>
          <w:lang w:eastAsia="zh-CN"/>
        </w:rPr>
        <w:t>“</w:t>
      </w:r>
      <w:r>
        <w:rPr>
          <w:rFonts w:hint="eastAsia"/>
          <w:sz w:val="24"/>
          <w:szCs w:val="24"/>
          <w:lang w:eastAsia="zh-CN"/>
        </w:rPr>
        <w:t>UV光解+生物洗涤塔</w:t>
      </w:r>
      <w:r>
        <w:rPr>
          <w:rFonts w:hint="eastAsia" w:ascii="宋体" w:hAnsi="宋体"/>
          <w:sz w:val="24"/>
          <w:szCs w:val="24"/>
          <w:lang w:eastAsia="zh-CN"/>
        </w:rPr>
        <w:t>”</w:t>
      </w:r>
      <w:r>
        <w:rPr>
          <w:rFonts w:hint="eastAsia" w:ascii="宋体" w:hAnsi="宋体" w:eastAsia="宋体"/>
          <w:sz w:val="24"/>
          <w:szCs w:val="24"/>
        </w:rPr>
        <w:t>进行除臭。</w:t>
      </w:r>
    </w:p>
    <w:p>
      <w:pPr>
        <w:bidi w:val="0"/>
        <w:rPr>
          <w:rFonts w:hint="default"/>
          <w:b/>
          <w:bCs/>
          <w:lang w:val="en-US" w:eastAsia="zh-CN"/>
        </w:rPr>
      </w:pPr>
      <w:r>
        <w:rPr>
          <w:rFonts w:hint="default"/>
          <w:b/>
          <w:bCs/>
        </w:rPr>
        <w:t>（1）恶臭</w:t>
      </w:r>
      <w:r>
        <w:rPr>
          <w:rFonts w:hint="eastAsia"/>
          <w:b/>
          <w:bCs/>
          <w:lang w:val="en-US" w:eastAsia="zh-CN"/>
        </w:rPr>
        <w:t>控制措施及治理措施</w:t>
      </w:r>
    </w:p>
    <w:p>
      <w:pPr>
        <w:bidi w:val="0"/>
        <w:rPr>
          <w:rFonts w:hint="eastAsia"/>
          <w:b/>
          <w:bCs/>
          <w:highlight w:val="none"/>
          <w:lang w:val="en-US" w:eastAsia="zh-CN"/>
        </w:rPr>
      </w:pPr>
      <w:r>
        <w:rPr>
          <w:rFonts w:hint="eastAsia"/>
          <w:b/>
          <w:bCs/>
          <w:highlight w:val="none"/>
          <w:lang w:val="en-US" w:eastAsia="zh-CN"/>
        </w:rPr>
        <w:t>待宰圈：</w:t>
      </w:r>
    </w:p>
    <w:p>
      <w:pPr>
        <w:spacing w:beforeLines="0" w:afterLines="0"/>
        <w:jc w:val="left"/>
        <w:rPr>
          <w:rFonts w:hint="eastAsia"/>
          <w:b/>
          <w:bCs/>
          <w:highlight w:val="none"/>
          <w:lang w:val="en-US" w:eastAsia="zh-CN"/>
        </w:rPr>
      </w:pPr>
      <w:r>
        <w:rPr>
          <w:rFonts w:hint="eastAsia"/>
          <w:highlight w:val="none"/>
          <w:lang w:eastAsia="zh-CN"/>
        </w:rPr>
        <w:t>待宰圈</w:t>
      </w:r>
      <w:r>
        <w:rPr>
          <w:highlight w:val="none"/>
        </w:rPr>
        <w:t>全密闭，设置强制通风设施，保持车间负压；喷洒生物除臭剂，猪粪采用水冲式，设水雾喷淋装置，保持</w:t>
      </w:r>
      <w:r>
        <w:rPr>
          <w:rFonts w:hint="eastAsia"/>
          <w:highlight w:val="none"/>
          <w:lang w:eastAsia="zh-CN"/>
        </w:rPr>
        <w:t>待宰圈</w:t>
      </w:r>
      <w:r>
        <w:rPr>
          <w:highlight w:val="none"/>
        </w:rPr>
        <w:t>清洁；可以减少80%的产生量</w:t>
      </w:r>
      <w:r>
        <w:rPr>
          <w:rFonts w:hint="eastAsia"/>
          <w:highlight w:val="none"/>
          <w:lang w:eastAsia="zh-CN"/>
        </w:rPr>
        <w:t>；</w:t>
      </w:r>
      <w:r>
        <w:rPr>
          <w:rFonts w:hint="eastAsia"/>
          <w:highlight w:val="none"/>
          <w:vertAlign w:val="baseline"/>
          <w:lang w:val="en-US" w:eastAsia="zh-CN"/>
        </w:rPr>
        <w:t>臭气收集后采用1套UV光解+生物洗涤塔处理后15m排气筒（P1）排放。</w:t>
      </w:r>
    </w:p>
    <w:p>
      <w:pPr>
        <w:spacing w:beforeLines="0" w:afterLines="0"/>
        <w:jc w:val="left"/>
        <w:rPr>
          <w:rFonts w:hint="eastAsia"/>
          <w:b/>
          <w:bCs/>
          <w:highlight w:val="none"/>
          <w:lang w:val="en-US" w:eastAsia="zh-CN"/>
        </w:rPr>
      </w:pPr>
      <w:r>
        <w:rPr>
          <w:rFonts w:hint="eastAsia"/>
          <w:b/>
          <w:bCs/>
          <w:highlight w:val="none"/>
          <w:lang w:val="en-US" w:eastAsia="zh-CN"/>
        </w:rPr>
        <w:t>屠宰车间：</w:t>
      </w:r>
    </w:p>
    <w:p>
      <w:pPr>
        <w:rPr>
          <w:rFonts w:hint="eastAsia"/>
          <w:highlight w:val="none"/>
          <w:vertAlign w:val="baseline"/>
          <w:lang w:val="en-US" w:eastAsia="zh-CN"/>
        </w:rPr>
      </w:pPr>
      <w:r>
        <w:rPr>
          <w:highlight w:val="none"/>
        </w:rPr>
        <w:t>屠宰车间为全密闭，设置强制通风设施，车间每</w:t>
      </w:r>
      <w:r>
        <w:rPr>
          <w:rFonts w:hint="eastAsia"/>
          <w:highlight w:val="none"/>
          <w:lang w:val="en-US" w:eastAsia="zh-CN"/>
        </w:rPr>
        <w:t>2</w:t>
      </w:r>
      <w:r>
        <w:rPr>
          <w:highlight w:val="none"/>
        </w:rPr>
        <w:t>小时换气一次，保持车间负压；车间生产线及时清洗，肠胃内容物和猪毛等污物及时清运，保持屠宰车间清洁；定期对车间进行消毒处理，可以减少80%的产生量</w:t>
      </w:r>
      <w:r>
        <w:rPr>
          <w:rFonts w:hint="eastAsia"/>
          <w:highlight w:val="none"/>
          <w:lang w:eastAsia="zh-CN"/>
        </w:rPr>
        <w:t>；</w:t>
      </w:r>
      <w:r>
        <w:rPr>
          <w:rFonts w:hint="eastAsia"/>
          <w:highlight w:val="none"/>
          <w:vertAlign w:val="baseline"/>
          <w:lang w:val="en-US" w:eastAsia="zh-CN"/>
        </w:rPr>
        <w:t>臭气收集后采用1套UV光解+生物洗涤塔处理后15m排气筒（P2）排放</w:t>
      </w:r>
    </w:p>
    <w:p>
      <w:pPr>
        <w:bidi w:val="0"/>
        <w:rPr>
          <w:rFonts w:hint="eastAsia"/>
          <w:b w:val="0"/>
          <w:bCs w:val="0"/>
          <w:highlight w:val="none"/>
          <w:lang w:val="en-US" w:eastAsia="zh-CN"/>
        </w:rPr>
      </w:pPr>
      <w:r>
        <w:rPr>
          <w:rFonts w:hint="eastAsia"/>
          <w:b/>
          <w:bCs/>
          <w:highlight w:val="none"/>
          <w:lang w:val="en-US" w:eastAsia="zh-CN"/>
        </w:rPr>
        <w:t>污水处理站：</w:t>
      </w:r>
    </w:p>
    <w:p>
      <w:pPr>
        <w:rPr>
          <w:rFonts w:hint="eastAsia"/>
          <w:highlight w:val="none"/>
          <w:lang w:val="en-US" w:eastAsia="zh-CN"/>
        </w:rPr>
      </w:pPr>
      <w:r>
        <w:rPr>
          <w:rFonts w:hint="eastAsia"/>
          <w:highlight w:val="none"/>
          <w:lang w:val="en-US" w:eastAsia="zh-CN"/>
        </w:rPr>
        <w:t>污水处理站采用半地埋式，对整个污水处理单元进行全部密闭，地面加盖，采用微负压抽风系统收集。</w:t>
      </w:r>
      <w:r>
        <w:rPr>
          <w:rFonts w:hint="eastAsia"/>
          <w:highlight w:val="none"/>
          <w:vertAlign w:val="baseline"/>
          <w:lang w:val="en-US" w:eastAsia="zh-CN"/>
        </w:rPr>
        <w:t>臭气收集后与待宰圈共用1套UV光解+生物洗涤塔处理后15m排气筒（P1）排放。</w:t>
      </w:r>
    </w:p>
    <w:p>
      <w:pPr>
        <w:bidi w:val="0"/>
        <w:rPr>
          <w:rFonts w:hint="eastAsia"/>
          <w:highlight w:val="none"/>
        </w:rPr>
      </w:pPr>
      <w:r>
        <w:rPr>
          <w:rFonts w:hint="eastAsia"/>
          <w:b/>
          <w:bCs/>
          <w:highlight w:val="none"/>
          <w:lang w:val="en-US" w:eastAsia="zh-CN"/>
        </w:rPr>
        <w:t>食堂油烟：</w:t>
      </w:r>
      <w:r>
        <w:rPr>
          <w:rFonts w:hint="eastAsia"/>
          <w:highlight w:val="none"/>
          <w:vertAlign w:val="baseline"/>
          <w:lang w:val="en-US" w:eastAsia="zh-CN"/>
        </w:rPr>
        <w:t>油烟净化器处理后，屋顶排放。</w:t>
      </w:r>
    </w:p>
    <w:p>
      <w:pPr>
        <w:bidi w:val="0"/>
        <w:rPr>
          <w:rFonts w:hint="default"/>
          <w:highlight w:val="yellow"/>
          <w:lang w:val="en-US" w:eastAsia="zh-CN"/>
        </w:rPr>
      </w:pPr>
      <w:r>
        <w:rPr>
          <w:rFonts w:hint="eastAsia"/>
          <w:b/>
          <w:bCs/>
          <w:highlight w:val="none"/>
          <w:lang w:val="en-US" w:eastAsia="zh-CN"/>
        </w:rPr>
        <w:t>天然气燃烧废气：</w:t>
      </w:r>
      <w:r>
        <w:rPr>
          <w:rFonts w:hint="eastAsia"/>
          <w:vertAlign w:val="baseline"/>
          <w:lang w:val="en-US" w:eastAsia="zh-CN"/>
        </w:rPr>
        <w:t>收集通过楼顶排气筒（P3）排放（h=8m）。</w:t>
      </w:r>
    </w:p>
    <w:p>
      <w:pPr>
        <w:bidi w:val="0"/>
        <w:rPr>
          <w:rFonts w:hint="default"/>
          <w:b/>
          <w:bCs/>
          <w:lang w:val="en-US" w:eastAsia="zh-CN"/>
        </w:rPr>
      </w:pPr>
      <w:r>
        <w:rPr>
          <w:rFonts w:hint="eastAsia"/>
          <w:b/>
          <w:bCs/>
          <w:lang w:eastAsia="zh-CN"/>
        </w:rPr>
        <w:t>（</w:t>
      </w:r>
      <w:r>
        <w:rPr>
          <w:rFonts w:hint="eastAsia"/>
          <w:b/>
          <w:bCs/>
          <w:lang w:val="en-US" w:eastAsia="zh-CN"/>
        </w:rPr>
        <w:t>2</w:t>
      </w:r>
      <w:r>
        <w:rPr>
          <w:rFonts w:hint="eastAsia"/>
          <w:b/>
          <w:bCs/>
          <w:lang w:eastAsia="zh-CN"/>
        </w:rPr>
        <w:t>）</w:t>
      </w:r>
      <w:r>
        <w:rPr>
          <w:rFonts w:hint="eastAsia"/>
          <w:b/>
          <w:bCs/>
          <w:lang w:val="en-US" w:eastAsia="zh-CN"/>
        </w:rPr>
        <w:t>污染防治措施可行性分析</w:t>
      </w:r>
    </w:p>
    <w:p>
      <w:pPr>
        <w:bidi w:val="0"/>
        <w:rPr>
          <w:rFonts w:hint="default"/>
          <w:b/>
          <w:bCs/>
          <w:lang w:val="en-US" w:eastAsia="zh-CN"/>
        </w:rPr>
      </w:pPr>
      <w:r>
        <w:rPr>
          <w:rFonts w:hint="eastAsia"/>
          <w:b/>
          <w:bCs/>
          <w:lang w:val="en-US" w:eastAsia="zh-CN"/>
        </w:rPr>
        <w:t>1）源头控制措施可行性分析</w:t>
      </w:r>
    </w:p>
    <w:p>
      <w:pPr>
        <w:bidi w:val="0"/>
        <w:rPr>
          <w:rFonts w:hint="eastAsia"/>
          <w:lang w:eastAsia="zh-CN"/>
        </w:rPr>
      </w:pPr>
      <w:r>
        <w:rPr>
          <w:rFonts w:hint="eastAsia"/>
          <w:lang w:eastAsia="zh-CN"/>
        </w:rPr>
        <w:t>本项目采取的源头控制措施主要有以下措施：</w:t>
      </w:r>
    </w:p>
    <w:p>
      <w:pPr>
        <w:bidi w:val="0"/>
        <w:rPr>
          <w:rFonts w:hint="eastAsia"/>
          <w:lang w:eastAsia="zh-CN"/>
        </w:rPr>
      </w:pPr>
      <w:r>
        <w:rPr>
          <w:rFonts w:hint="eastAsia"/>
          <w:lang w:eastAsia="zh-CN"/>
        </w:rPr>
        <w:t>①恶臭废气产生环节集中收集，待宰圈、屠宰间、污水处理站均为恶臭产生单元，使用密闭厂房和加密封盖等措施减少无组织逸散，使用抽风系统抽风机抽风，保持厂房负压，变无组织为有组织排放，符合环保要求。</w:t>
      </w:r>
    </w:p>
    <w:p>
      <w:pPr>
        <w:bidi w:val="0"/>
        <w:rPr>
          <w:rFonts w:hint="eastAsia"/>
          <w:lang w:eastAsia="zh-CN"/>
        </w:rPr>
      </w:pPr>
      <w:r>
        <w:rPr>
          <w:rFonts w:hint="eastAsia"/>
          <w:lang w:eastAsia="zh-CN"/>
        </w:rPr>
        <w:t>②待宰圈、屠宰间及污水处理站恶臭产生环节喷洒生物除臭剂，及时清理猪粪、</w:t>
      </w:r>
      <w:r>
        <w:rPr>
          <w:rFonts w:hint="eastAsia"/>
          <w:lang w:val="en-US" w:eastAsia="zh-CN"/>
        </w:rPr>
        <w:t>牛粪、</w:t>
      </w:r>
      <w:r>
        <w:rPr>
          <w:rFonts w:hint="eastAsia"/>
          <w:lang w:eastAsia="zh-CN"/>
        </w:rPr>
        <w:t>生产线污物和污水处理站的污泥，保持车间清洁，可以减少无组织恶臭气体的产生，符合环保要求。</w:t>
      </w:r>
    </w:p>
    <w:p>
      <w:pPr>
        <w:bidi w:val="0"/>
        <w:rPr>
          <w:rFonts w:hint="eastAsia"/>
          <w:lang w:eastAsia="zh-CN"/>
        </w:rPr>
      </w:pPr>
      <w:r>
        <w:rPr>
          <w:rFonts w:hint="eastAsia"/>
          <w:lang w:eastAsia="zh-CN"/>
        </w:rPr>
        <w:t>③同时厂区加强绿化，对恶臭气体有一定的吸收效果，符合环保要求。</w:t>
      </w:r>
    </w:p>
    <w:p>
      <w:pPr>
        <w:bidi w:val="0"/>
        <w:rPr>
          <w:rFonts w:hint="eastAsia"/>
          <w:lang w:eastAsia="zh-CN"/>
        </w:rPr>
      </w:pPr>
      <w:r>
        <w:rPr>
          <w:rFonts w:hint="eastAsia"/>
          <w:lang w:eastAsia="zh-CN"/>
        </w:rPr>
        <w:t>建设单位营运期间需在待宰圈、屠宰间及污水处理站恶臭产生环节定期喷洒微生物除臭菌液去除恶臭。利用喷雾器对地面、墙壁、排水沟进行彻底喷洒，对恶臭的产生有较好效果。本次环评对使用喷洒微生物除臭剂的类似案例及文献罗列见下表。</w:t>
      </w:r>
    </w:p>
    <w:p>
      <w:pPr>
        <w:pStyle w:val="29"/>
        <w:bidi w:val="0"/>
        <w:rPr>
          <w:rFonts w:hint="eastAsia"/>
          <w:lang w:val="en-US" w:eastAsia="zh-CN"/>
        </w:rPr>
      </w:pPr>
      <w:r>
        <w:rPr>
          <w:rFonts w:hint="eastAsia"/>
          <w:lang w:val="en-US" w:eastAsia="zh-CN"/>
        </w:rPr>
        <w:t>表7.2-3  生物除臭工艺的类似案例及文献</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5550"/>
        <w:gridCol w:w="1620"/>
        <w:gridCol w:w="19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30"/>
              <w:widowControl w:val="0"/>
              <w:bidi w:val="0"/>
              <w:jc w:val="center"/>
              <w:rPr>
                <w:rFonts w:hint="default"/>
                <w:b/>
                <w:bCs/>
                <w:lang w:val="en-US" w:eastAsia="zh-CN"/>
              </w:rPr>
            </w:pPr>
            <w:r>
              <w:rPr>
                <w:rFonts w:hint="eastAsia"/>
                <w:b/>
                <w:bCs/>
                <w:lang w:val="en-US" w:eastAsia="zh-CN"/>
              </w:rPr>
              <w:t>序号</w:t>
            </w:r>
          </w:p>
        </w:tc>
        <w:tc>
          <w:tcPr>
            <w:tcW w:w="555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文献/案例来源</w:t>
            </w:r>
          </w:p>
        </w:tc>
        <w:tc>
          <w:tcPr>
            <w:tcW w:w="162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除臭效果</w:t>
            </w:r>
          </w:p>
        </w:tc>
        <w:tc>
          <w:tcPr>
            <w:tcW w:w="1968"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5550" w:type="dxa"/>
            <w:tcBorders>
              <w:tl2br w:val="nil"/>
              <w:tr2bl w:val="nil"/>
            </w:tcBorders>
            <w:vAlign w:val="center"/>
          </w:tcPr>
          <w:p>
            <w:pPr>
              <w:pStyle w:val="30"/>
              <w:widowControl w:val="0"/>
              <w:bidi w:val="0"/>
              <w:jc w:val="both"/>
              <w:rPr>
                <w:rFonts w:hint="default"/>
                <w:lang w:val="en-US" w:eastAsia="zh-CN"/>
              </w:rPr>
            </w:pPr>
            <w:r>
              <w:rPr>
                <w:rFonts w:hint="eastAsia"/>
                <w:lang w:val="en-US" w:eastAsia="zh-CN"/>
              </w:rPr>
              <w:t>《</w:t>
            </w:r>
            <w:r>
              <w:rPr>
                <w:rFonts w:hint="default"/>
                <w:lang w:val="en-US" w:eastAsia="zh-CN"/>
              </w:rPr>
              <w:t>成都地区畜禽粪便污染治理工艺技术引论</w:t>
            </w:r>
            <w:r>
              <w:rPr>
                <w:rFonts w:hint="eastAsia"/>
                <w:lang w:val="en-US" w:eastAsia="zh-CN"/>
              </w:rPr>
              <w:t>》</w:t>
            </w:r>
            <w:r>
              <w:rPr>
                <w:rFonts w:hint="default"/>
                <w:lang w:val="en-US" w:eastAsia="zh-CN"/>
              </w:rPr>
              <w:t>（吴香尧编.西南财经大学出版社），</w:t>
            </w:r>
            <w:r>
              <w:rPr>
                <w:rFonts w:hint="eastAsia"/>
                <w:lang w:val="en-US" w:eastAsia="zh-CN"/>
              </w:rPr>
              <w:t>“</w:t>
            </w:r>
            <w:r>
              <w:rPr>
                <w:rFonts w:hint="default"/>
                <w:lang w:val="en-US" w:eastAsia="zh-CN"/>
              </w:rPr>
              <w:t>北京市环境保护监测中心对EM制剂除臭效果进行测试，结果表明EM制剂使用1个月后，恶臭浓度下降97.7%，臭气强度降低至2.5级以下，达国家一类标准。</w:t>
            </w:r>
            <w:r>
              <w:rPr>
                <w:rFonts w:hint="eastAsia"/>
                <w:lang w:val="en-US" w:eastAsia="zh-CN"/>
              </w:rPr>
              <w:t>”</w:t>
            </w:r>
            <w:r>
              <w:rPr>
                <w:rFonts w:hint="default"/>
                <w:lang w:val="en-US" w:eastAsia="zh-CN"/>
              </w:rPr>
              <w:t>。</w:t>
            </w:r>
          </w:p>
        </w:tc>
        <w:tc>
          <w:tcPr>
            <w:tcW w:w="16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恶臭浓度下降97.7%</w:t>
            </w:r>
          </w:p>
        </w:tc>
        <w:tc>
          <w:tcPr>
            <w:tcW w:w="1968"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EM制剂为微生态制剂，利用EM微生物群中各种微生物的细胞壁和细胞膜吸收臭气物质。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w:t>
            </w:r>
          </w:p>
        </w:tc>
        <w:tc>
          <w:tcPr>
            <w:tcW w:w="5550" w:type="dxa"/>
            <w:tcBorders>
              <w:tl2br w:val="nil"/>
              <w:tr2bl w:val="nil"/>
            </w:tcBorders>
            <w:vAlign w:val="center"/>
          </w:tcPr>
          <w:p>
            <w:pPr>
              <w:pStyle w:val="30"/>
              <w:widowControl w:val="0"/>
              <w:bidi w:val="0"/>
              <w:jc w:val="both"/>
              <w:rPr>
                <w:rFonts w:hint="default"/>
                <w:lang w:val="en-US" w:eastAsia="zh-CN"/>
              </w:rPr>
            </w:pPr>
            <w:r>
              <w:rPr>
                <w:rFonts w:hint="eastAsia"/>
                <w:lang w:val="en-US" w:eastAsia="zh-CN"/>
              </w:rPr>
              <w:t>《</w:t>
            </w:r>
            <w:r>
              <w:rPr>
                <w:rFonts w:hint="default"/>
                <w:lang w:val="en-US" w:eastAsia="zh-CN"/>
              </w:rPr>
              <w:t>生物除臭剂在畜禽粪便除臭中的应用实验》(冯建、方新、于淼，《现代农业科技》2009年第20期)，利用微生物制剂对粪便进行除臭，在144h后，对氨气去除效率在83.55%，对硫化氢去除效率在77.08%。</w:t>
            </w:r>
          </w:p>
        </w:tc>
        <w:tc>
          <w:tcPr>
            <w:tcW w:w="1620"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氨气去除效率83.55%，硫化氢去除效率77.08%。</w:t>
            </w:r>
          </w:p>
        </w:tc>
        <w:tc>
          <w:tcPr>
            <w:tcW w:w="1968"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微生物活菌数10°cfu/mL。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w:t>
            </w:r>
          </w:p>
        </w:tc>
        <w:tc>
          <w:tcPr>
            <w:tcW w:w="5550" w:type="dxa"/>
            <w:tcBorders>
              <w:tl2br w:val="nil"/>
              <w:tr2bl w:val="nil"/>
            </w:tcBorders>
            <w:vAlign w:val="center"/>
          </w:tcPr>
          <w:p>
            <w:pPr>
              <w:pStyle w:val="30"/>
              <w:widowControl w:val="0"/>
              <w:jc w:val="both"/>
              <w:rPr>
                <w:rFonts w:hint="default"/>
                <w:vertAlign w:val="baseline"/>
                <w:lang w:val="en-US" w:eastAsia="zh-CN"/>
              </w:rPr>
            </w:pPr>
            <w:r>
              <w:rPr>
                <w:rFonts w:hint="default"/>
                <w:vertAlign w:val="baseline"/>
                <w:lang w:val="en-US" w:eastAsia="zh-CN"/>
              </w:rPr>
              <w:t>《高效微生物除臭剂在畜禽粪便堆制中的应用效果及其除臭机理研究》（张生伟，黄旺洲《草业学报》，2016年9月</w:t>
            </w:r>
            <w:r>
              <w:rPr>
                <w:rFonts w:hint="eastAsia"/>
                <w:vertAlign w:val="baseline"/>
                <w:lang w:val="en-US" w:eastAsia="zh-CN"/>
              </w:rPr>
              <w:t>）</w:t>
            </w:r>
            <w:r>
              <w:rPr>
                <w:rFonts w:hint="default"/>
                <w:vertAlign w:val="baseline"/>
                <w:lang w:val="en-US" w:eastAsia="zh-CN"/>
              </w:rPr>
              <w:t>，微生物除臭剂作用于猪粪除臭效果明显，猪粪处理前5d，氨气的去除率高达82.79%</w:t>
            </w:r>
            <w:r>
              <w:rPr>
                <w:rFonts w:hint="eastAsia"/>
                <w:vertAlign w:val="baseline"/>
                <w:lang w:val="en-US" w:eastAsia="zh-CN"/>
              </w:rPr>
              <w:t>；</w:t>
            </w:r>
            <w:r>
              <w:rPr>
                <w:rFonts w:hint="default"/>
                <w:vertAlign w:val="baseline"/>
                <w:lang w:val="en-US" w:eastAsia="zh-CN"/>
              </w:rPr>
              <w:t>微生物除臭剂同时有效抑制硫化氢的释放，猪粪处理前5d，硫化氢的去除率高达80.09%。</w:t>
            </w:r>
          </w:p>
        </w:tc>
        <w:tc>
          <w:tcPr>
            <w:tcW w:w="1620"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氨气的去除率高达82.79%</w:t>
            </w:r>
            <w:r>
              <w:rPr>
                <w:rFonts w:hint="eastAsia"/>
                <w:vertAlign w:val="baseline"/>
                <w:lang w:val="en-US" w:eastAsia="zh-CN"/>
              </w:rPr>
              <w:t>，</w:t>
            </w:r>
            <w:r>
              <w:rPr>
                <w:rFonts w:hint="default"/>
                <w:vertAlign w:val="baseline"/>
                <w:lang w:val="en-US" w:eastAsia="zh-CN"/>
              </w:rPr>
              <w:t>硫化氢的去除率高达80.09%。</w:t>
            </w:r>
          </w:p>
          <w:p>
            <w:pPr>
              <w:pStyle w:val="30"/>
              <w:widowControl w:val="0"/>
              <w:jc w:val="center"/>
              <w:rPr>
                <w:rFonts w:hint="default"/>
                <w:vertAlign w:val="baseline"/>
                <w:lang w:val="en-US" w:eastAsia="zh-CN"/>
              </w:rPr>
            </w:pPr>
          </w:p>
        </w:tc>
        <w:tc>
          <w:tcPr>
            <w:tcW w:w="1968"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微生物除臭剂接种量为基质肥的5‰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4</w:t>
            </w:r>
          </w:p>
        </w:tc>
        <w:tc>
          <w:tcPr>
            <w:tcW w:w="5550" w:type="dxa"/>
            <w:tcBorders>
              <w:tl2br w:val="nil"/>
              <w:tr2bl w:val="nil"/>
            </w:tcBorders>
            <w:vAlign w:val="center"/>
          </w:tcPr>
          <w:p>
            <w:pPr>
              <w:pStyle w:val="30"/>
              <w:widowControl w:val="0"/>
              <w:jc w:val="both"/>
              <w:rPr>
                <w:rFonts w:hint="default"/>
                <w:vertAlign w:val="baseline"/>
                <w:lang w:val="en-US" w:eastAsia="zh-CN"/>
              </w:rPr>
            </w:pPr>
            <w:r>
              <w:rPr>
                <w:rFonts w:hint="default"/>
                <w:vertAlign w:val="baseline"/>
                <w:lang w:val="en-US" w:eastAsia="zh-CN"/>
              </w:rPr>
              <w:t>《微生物源抗菌除臭剂一万洁芬在畜禽养殖中的应用研究》（苟丽霞，安德荣，《环境卫生工程》，2009年10月)，</w:t>
            </w:r>
            <w:r>
              <w:rPr>
                <w:rFonts w:hint="eastAsia" w:ascii="宋体" w:hAnsi="宋体" w:cs="宋体"/>
                <w:vertAlign w:val="baseline"/>
                <w:lang w:val="en-US" w:eastAsia="zh-CN"/>
              </w:rPr>
              <w:t>“</w:t>
            </w:r>
            <w:r>
              <w:rPr>
                <w:rFonts w:hint="eastAsia" w:ascii="宋体" w:hAnsi="宋体" w:eastAsia="宋体" w:cs="宋体"/>
                <w:vertAlign w:val="baseline"/>
                <w:lang w:val="en-US" w:eastAsia="zh-CN"/>
              </w:rPr>
              <w:t>采用新型微生物制剂万洁芬对鸡粪及鸡舍的处理实验，结果表明：在短期内能有效去除畜禽</w:t>
            </w:r>
            <w:r>
              <w:rPr>
                <w:rFonts w:hint="default"/>
                <w:vertAlign w:val="baseline"/>
                <w:lang w:val="en-US" w:eastAsia="zh-CN"/>
              </w:rPr>
              <w:t>臭味</w:t>
            </w:r>
            <w:r>
              <w:rPr>
                <w:rFonts w:hint="eastAsia"/>
                <w:vertAlign w:val="baseline"/>
                <w:lang w:val="en-US" w:eastAsia="zh-CN"/>
              </w:rPr>
              <w:t>，</w:t>
            </w:r>
            <w:r>
              <w:rPr>
                <w:rFonts w:hint="default"/>
                <w:vertAlign w:val="baseline"/>
                <w:lang w:val="en-US" w:eastAsia="zh-CN"/>
              </w:rPr>
              <w:t>处理后氨气和硫化氢的浓度分别下降73.2%和81.6%</w:t>
            </w:r>
            <w:r>
              <w:rPr>
                <w:rFonts w:hint="eastAsia" w:ascii="宋体" w:hAnsi="宋体" w:cs="宋体"/>
                <w:vertAlign w:val="baseline"/>
                <w:lang w:val="en-US" w:eastAsia="zh-CN"/>
              </w:rPr>
              <w:t>”</w:t>
            </w:r>
            <w:r>
              <w:rPr>
                <w:rFonts w:hint="default"/>
                <w:vertAlign w:val="baseline"/>
                <w:lang w:val="en-US" w:eastAsia="zh-CN"/>
              </w:rPr>
              <w:t>。</w:t>
            </w:r>
          </w:p>
        </w:tc>
        <w:tc>
          <w:tcPr>
            <w:tcW w:w="162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氨</w:t>
            </w:r>
            <w:r>
              <w:rPr>
                <w:rFonts w:hint="default"/>
                <w:vertAlign w:val="baseline"/>
                <w:lang w:val="en-US" w:eastAsia="zh-CN"/>
              </w:rPr>
              <w:t>气和硫化氢的浓度分别下降73.2%和81.6%。</w:t>
            </w:r>
          </w:p>
          <w:p>
            <w:pPr>
              <w:pStyle w:val="30"/>
              <w:widowControl w:val="0"/>
              <w:jc w:val="center"/>
              <w:rPr>
                <w:rFonts w:hint="default"/>
                <w:vertAlign w:val="baseline"/>
                <w:lang w:val="en-US" w:eastAsia="zh-CN"/>
              </w:rPr>
            </w:pPr>
          </w:p>
        </w:tc>
        <w:tc>
          <w:tcPr>
            <w:tcW w:w="1968"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1m</w:t>
            </w:r>
            <w:r>
              <w:rPr>
                <w:rFonts w:hint="default"/>
                <w:vertAlign w:val="superscript"/>
                <w:lang w:val="en-US" w:eastAsia="zh-CN"/>
              </w:rPr>
              <w:t>3</w:t>
            </w:r>
            <w:r>
              <w:rPr>
                <w:rFonts w:hint="default"/>
                <w:vertAlign w:val="baseline"/>
                <w:lang w:val="en-US" w:eastAsia="zh-CN"/>
              </w:rPr>
              <w:t>混合发酵料喷入万洁芬3L。</w:t>
            </w:r>
          </w:p>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w:t>
            </w:r>
          </w:p>
        </w:tc>
        <w:tc>
          <w:tcPr>
            <w:tcW w:w="5550" w:type="dxa"/>
            <w:tcBorders>
              <w:tl2br w:val="nil"/>
              <w:tr2bl w:val="nil"/>
            </w:tcBorders>
            <w:vAlign w:val="center"/>
          </w:tcPr>
          <w:p>
            <w:pPr>
              <w:pStyle w:val="30"/>
              <w:widowControl w:val="0"/>
              <w:jc w:val="both"/>
              <w:rPr>
                <w:rFonts w:hint="default"/>
                <w:vertAlign w:val="baseline"/>
                <w:lang w:val="en-US" w:eastAsia="zh-CN"/>
              </w:rPr>
            </w:pPr>
            <w:r>
              <w:rPr>
                <w:rFonts w:hint="default"/>
                <w:vertAlign w:val="baseline"/>
                <w:lang w:val="en-US" w:eastAsia="zh-CN"/>
              </w:rPr>
              <w:t>《自然科学》现代化农业，2011年第6期</w:t>
            </w:r>
            <w:r>
              <w:rPr>
                <w:rFonts w:hint="eastAsia" w:ascii="宋体" w:hAnsi="宋体" w:cs="宋体"/>
                <w:vertAlign w:val="baseline"/>
                <w:lang w:val="en-US" w:eastAsia="zh-CN"/>
              </w:rPr>
              <w:t>“</w:t>
            </w:r>
            <w:r>
              <w:rPr>
                <w:rFonts w:hint="eastAsia" w:ascii="宋体" w:hAnsi="宋体" w:eastAsia="宋体" w:cs="宋体"/>
                <w:vertAlign w:val="baseline"/>
                <w:lang w:val="en-US" w:eastAsia="zh-CN"/>
              </w:rPr>
              <w:t>微生物除臭剂研究进展</w:t>
            </w:r>
            <w:r>
              <w:rPr>
                <w:rFonts w:hint="eastAsia" w:ascii="宋体" w:hAnsi="宋体" w:cs="宋体"/>
                <w:vertAlign w:val="baseline"/>
                <w:lang w:val="en-US" w:eastAsia="zh-CN"/>
              </w:rPr>
              <w:t>”</w:t>
            </w:r>
            <w:r>
              <w:rPr>
                <w:rFonts w:hint="eastAsia" w:ascii="宋体" w:hAnsi="宋体" w:eastAsia="宋体" w:cs="宋体"/>
                <w:vertAlign w:val="baseline"/>
                <w:lang w:val="en-US" w:eastAsia="zh-CN"/>
              </w:rPr>
              <w:t>（</w:t>
            </w:r>
            <w:r>
              <w:rPr>
                <w:rFonts w:hint="default"/>
                <w:vertAlign w:val="baseline"/>
                <w:lang w:val="en-US" w:eastAsia="zh-CN"/>
              </w:rPr>
              <w:t>赵晓峰、隋文志</w:t>
            </w:r>
            <w:r>
              <w:rPr>
                <w:rFonts w:hint="eastAsia" w:ascii="宋体" w:hAnsi="宋体" w:eastAsia="宋体" w:cs="宋体"/>
                <w:vertAlign w:val="baseline"/>
                <w:lang w:val="en-US" w:eastAsia="zh-CN"/>
              </w:rPr>
              <w:t>）</w:t>
            </w:r>
            <w:r>
              <w:rPr>
                <w:rFonts w:hint="default"/>
                <w:vertAlign w:val="baseline"/>
                <w:lang w:val="en-US" w:eastAsia="zh-CN"/>
              </w:rPr>
              <w:t>的资料</w:t>
            </w:r>
            <w:r>
              <w:rPr>
                <w:rFonts w:hint="eastAsia"/>
                <w:vertAlign w:val="baseline"/>
                <w:lang w:val="en-US" w:eastAsia="zh-CN"/>
              </w:rPr>
              <w:t>，</w:t>
            </w:r>
            <w:r>
              <w:rPr>
                <w:rFonts w:hint="default"/>
                <w:vertAlign w:val="baseline"/>
                <w:lang w:val="en-US" w:eastAsia="zh-CN"/>
              </w:rPr>
              <w:t>经国家环境分析监测中心和陕西省环境监测中心测试</w:t>
            </w:r>
            <w:r>
              <w:rPr>
                <w:rFonts w:hint="eastAsia"/>
                <w:vertAlign w:val="baseline"/>
                <w:lang w:val="en-US" w:eastAsia="zh-CN"/>
              </w:rPr>
              <w:t>，</w:t>
            </w:r>
            <w:r>
              <w:rPr>
                <w:rFonts w:hint="default"/>
                <w:vertAlign w:val="baseline"/>
                <w:lang w:val="en-US" w:eastAsia="zh-CN"/>
              </w:rPr>
              <w:t>微生物除臭剂对氨气和硫化氢的去除效率分别为92.6%和89%。</w:t>
            </w:r>
          </w:p>
        </w:tc>
        <w:tc>
          <w:tcPr>
            <w:tcW w:w="1620"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氨气和硫化氢的去除效率分别为92.6%和</w:t>
            </w:r>
          </w:p>
          <w:p>
            <w:pPr>
              <w:pStyle w:val="30"/>
              <w:widowControl w:val="0"/>
              <w:jc w:val="center"/>
              <w:rPr>
                <w:rFonts w:hint="default"/>
                <w:vertAlign w:val="baseline"/>
                <w:lang w:val="en-US" w:eastAsia="zh-CN"/>
              </w:rPr>
            </w:pPr>
            <w:r>
              <w:rPr>
                <w:rFonts w:hint="default"/>
                <w:vertAlign w:val="baseline"/>
                <w:lang w:val="en-US" w:eastAsia="zh-CN"/>
              </w:rPr>
              <w:t>89%。</w:t>
            </w:r>
          </w:p>
        </w:tc>
        <w:tc>
          <w:tcPr>
            <w:tcW w:w="1968"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6</w:t>
            </w:r>
          </w:p>
        </w:tc>
        <w:tc>
          <w:tcPr>
            <w:tcW w:w="5550" w:type="dxa"/>
            <w:tcBorders>
              <w:tl2br w:val="nil"/>
              <w:tr2bl w:val="nil"/>
            </w:tcBorders>
            <w:vAlign w:val="center"/>
          </w:tcPr>
          <w:p>
            <w:pPr>
              <w:pStyle w:val="30"/>
              <w:widowControl w:val="0"/>
              <w:jc w:val="both"/>
              <w:rPr>
                <w:rFonts w:hint="default"/>
                <w:vertAlign w:val="baseline"/>
                <w:lang w:val="en-US" w:eastAsia="zh-CN"/>
              </w:rPr>
            </w:pPr>
            <w:r>
              <w:rPr>
                <w:rFonts w:hint="default"/>
                <w:vertAlign w:val="baseline"/>
                <w:lang w:val="en-US" w:eastAsia="zh-CN"/>
              </w:rPr>
              <w:t>《畜禽场微生物除臭技术的研究进展》王艾伦，金敬岗，汪开英</w:t>
            </w:r>
            <w:r>
              <w:rPr>
                <w:rFonts w:hint="eastAsia"/>
                <w:vertAlign w:val="baseline"/>
                <w:lang w:val="en-US" w:eastAsia="zh-CN"/>
              </w:rPr>
              <w:t>，</w:t>
            </w:r>
            <w:r>
              <w:rPr>
                <w:rFonts w:hint="default"/>
                <w:vertAlign w:val="baseline"/>
                <w:lang w:val="en-US" w:eastAsia="zh-CN"/>
              </w:rPr>
              <w:t>综经2019年第55卷第01期〉，</w:t>
            </w:r>
            <w:r>
              <w:rPr>
                <w:rFonts w:hint="eastAsia"/>
                <w:vertAlign w:val="baseline"/>
                <w:lang w:val="en-US" w:eastAsia="zh-CN"/>
              </w:rPr>
              <w:t>“</w:t>
            </w:r>
            <w:r>
              <w:rPr>
                <w:rFonts w:hint="default"/>
                <w:vertAlign w:val="baseline"/>
                <w:lang w:val="en-US" w:eastAsia="zh-CN"/>
              </w:rPr>
              <w:t>李琳等研究了一种复合式生物除臭反应器，将不同的微生物、细菌或真菌分别接种在反应器的2个生物反应区中</w:t>
            </w:r>
            <w:r>
              <w:rPr>
                <w:rFonts w:hint="eastAsia"/>
                <w:vertAlign w:val="baseline"/>
                <w:lang w:val="en-US" w:eastAsia="zh-CN"/>
              </w:rPr>
              <w:t>，</w:t>
            </w:r>
            <w:r>
              <w:rPr>
                <w:rFonts w:hint="default"/>
                <w:vertAlign w:val="baseline"/>
                <w:lang w:val="en-US" w:eastAsia="zh-CN"/>
              </w:rPr>
              <w:t>发现通过其协同作用可以有效去除多种污染物</w:t>
            </w:r>
            <w:r>
              <w:rPr>
                <w:rFonts w:hint="eastAsia"/>
                <w:vertAlign w:val="baseline"/>
                <w:lang w:val="en-US" w:eastAsia="zh-CN"/>
              </w:rPr>
              <w:t>，</w:t>
            </w:r>
            <w:r>
              <w:rPr>
                <w:rFonts w:hint="default"/>
                <w:vertAlign w:val="baseline"/>
                <w:lang w:val="en-US" w:eastAsia="zh-CN"/>
              </w:rPr>
              <w:t>对氨气和硫化氢去除率分别达到96.7%和92.1%。</w:t>
            </w:r>
            <w:r>
              <w:rPr>
                <w:rFonts w:hint="eastAsia"/>
                <w:vertAlign w:val="baseline"/>
                <w:lang w:val="en-US" w:eastAsia="zh-CN"/>
              </w:rPr>
              <w:t>”</w:t>
            </w:r>
          </w:p>
        </w:tc>
        <w:tc>
          <w:tcPr>
            <w:tcW w:w="1620"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氨气和硫化氢去除率分别达到96.7%和92.1%</w:t>
            </w:r>
          </w:p>
        </w:tc>
        <w:tc>
          <w:tcPr>
            <w:tcW w:w="1968"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每天1次</w:t>
            </w:r>
            <w:r>
              <w:rPr>
                <w:rFonts w:hint="eastAsia"/>
                <w:vertAlign w:val="baseline"/>
                <w:lang w:val="en-US" w:eastAsia="zh-CN"/>
              </w:rPr>
              <w:t>喷洒</w:t>
            </w:r>
            <w:r>
              <w:rPr>
                <w:rFonts w:hint="default"/>
                <w:vertAlign w:val="baseline"/>
                <w:lang w:val="en-US" w:eastAsia="zh-CN"/>
              </w:rPr>
              <w:t>10%的解淀粉芽孢杆菌</w:t>
            </w:r>
          </w:p>
          <w:p>
            <w:pPr>
              <w:pStyle w:val="30"/>
              <w:widowControl w:val="0"/>
              <w:jc w:val="center"/>
              <w:rPr>
                <w:rFonts w:hint="default"/>
                <w:vertAlign w:val="baseline"/>
                <w:lang w:val="en-US" w:eastAsia="zh-CN"/>
              </w:rPr>
            </w:pPr>
            <w:r>
              <w:rPr>
                <w:rFonts w:hint="default"/>
                <w:vertAlign w:val="baseline"/>
                <w:lang w:val="en-US" w:eastAsia="zh-CN"/>
              </w:rPr>
              <w:t>喷雾</w:t>
            </w:r>
          </w:p>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7</w:t>
            </w:r>
          </w:p>
        </w:tc>
        <w:tc>
          <w:tcPr>
            <w:tcW w:w="5550" w:type="dxa"/>
            <w:tcBorders>
              <w:tl2br w:val="nil"/>
              <w:tr2bl w:val="nil"/>
            </w:tcBorders>
            <w:vAlign w:val="center"/>
          </w:tcPr>
          <w:p>
            <w:pPr>
              <w:pStyle w:val="30"/>
              <w:widowControl w:val="0"/>
              <w:jc w:val="both"/>
              <w:rPr>
                <w:rFonts w:hint="default"/>
                <w:vertAlign w:val="baseline"/>
                <w:lang w:val="en-US" w:eastAsia="zh-CN"/>
              </w:rPr>
            </w:pPr>
            <w:r>
              <w:rPr>
                <w:rFonts w:hint="default"/>
                <w:vertAlign w:val="baseline"/>
                <w:lang w:val="en-US" w:eastAsia="zh-CN"/>
              </w:rPr>
              <w:t>《泉州雄益生猪养殖有限公司生猪养殖标准化改造项目环境影响报告书》</w:t>
            </w:r>
            <w:r>
              <w:rPr>
                <w:rFonts w:hint="eastAsia"/>
                <w:vertAlign w:val="baseline"/>
                <w:lang w:val="en-US" w:eastAsia="zh-CN"/>
              </w:rPr>
              <w:t>：</w:t>
            </w:r>
            <w:r>
              <w:rPr>
                <w:rFonts w:hint="default"/>
                <w:vertAlign w:val="baseline"/>
                <w:lang w:val="en-US" w:eastAsia="zh-CN"/>
              </w:rPr>
              <w:t>养殖使用</w:t>
            </w:r>
            <w:r>
              <w:rPr>
                <w:rFonts w:hint="eastAsia"/>
                <w:vertAlign w:val="baseline"/>
                <w:lang w:val="en-US" w:eastAsia="zh-CN"/>
              </w:rPr>
              <w:t>复合</w:t>
            </w:r>
            <w:r>
              <w:rPr>
                <w:rFonts w:hint="default"/>
                <w:vertAlign w:val="baseline"/>
                <w:lang w:val="en-US" w:eastAsia="zh-CN"/>
              </w:rPr>
              <w:t>微生物添加剂，及时清理地面，增加清粪频次，喷洒微生物除臭剂</w:t>
            </w:r>
            <w:r>
              <w:rPr>
                <w:rFonts w:hint="eastAsia"/>
                <w:vertAlign w:val="baseline"/>
                <w:lang w:val="en-US" w:eastAsia="zh-CN"/>
              </w:rPr>
              <w:t>，</w:t>
            </w:r>
            <w:r>
              <w:rPr>
                <w:rFonts w:hint="default"/>
                <w:vertAlign w:val="baseline"/>
                <w:lang w:val="en-US" w:eastAsia="zh-CN"/>
              </w:rPr>
              <w:t>加强通风能够进一步减少猪舍内恶臭排放量，可以消减源强80%以上.为进一步减小项目污水处理过程恶臭气体对周边环境的影响，对污水前处理系统收集池加盖，定期喷洒除臭剂，并加强场区绿化，臭气去除效率60%。</w:t>
            </w:r>
          </w:p>
        </w:tc>
        <w:tc>
          <w:tcPr>
            <w:tcW w:w="1620"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猪舍区氨气和硫化氢去除率达到80%</w:t>
            </w:r>
            <w:r>
              <w:rPr>
                <w:rFonts w:hint="eastAsia"/>
                <w:vertAlign w:val="baseline"/>
                <w:lang w:val="en-US" w:eastAsia="zh-CN"/>
              </w:rPr>
              <w:t>。</w:t>
            </w:r>
            <w:r>
              <w:rPr>
                <w:rFonts w:hint="default"/>
                <w:vertAlign w:val="baseline"/>
                <w:lang w:val="en-US" w:eastAsia="zh-CN"/>
              </w:rPr>
              <w:t>污水处理站臭气去除效率60%。</w:t>
            </w:r>
          </w:p>
        </w:tc>
        <w:tc>
          <w:tcPr>
            <w:tcW w:w="1968" w:type="dxa"/>
            <w:tcBorders>
              <w:tl2br w:val="nil"/>
              <w:tr2bl w:val="nil"/>
            </w:tcBorders>
            <w:vAlign w:val="center"/>
          </w:tcPr>
          <w:p>
            <w:pPr>
              <w:pStyle w:val="30"/>
              <w:widowControl w:val="0"/>
              <w:jc w:val="center"/>
              <w:rPr>
                <w:rFonts w:hint="default"/>
                <w:vertAlign w:val="baseline"/>
                <w:lang w:val="en-US" w:eastAsia="zh-CN"/>
              </w:rPr>
            </w:pPr>
            <w:r>
              <w:rPr>
                <w:rFonts w:hint="default"/>
                <w:vertAlign w:val="baseline"/>
                <w:lang w:val="en-US" w:eastAsia="zh-CN"/>
              </w:rPr>
              <w:t>使用微生物除臭剂</w:t>
            </w:r>
          </w:p>
        </w:tc>
      </w:tr>
    </w:tbl>
    <w:p>
      <w:pPr>
        <w:bidi w:val="0"/>
        <w:rPr>
          <w:rFonts w:hint="default"/>
          <w:lang w:val="en-US" w:eastAsia="zh-CN"/>
        </w:rPr>
      </w:pPr>
      <w:r>
        <w:rPr>
          <w:rFonts w:hint="default"/>
          <w:lang w:val="en-US" w:eastAsia="zh-CN"/>
        </w:rPr>
        <w:t>通过上述文献和案例</w:t>
      </w:r>
      <w:r>
        <w:rPr>
          <w:rFonts w:hint="eastAsia"/>
          <w:lang w:val="en-US" w:eastAsia="zh-CN"/>
        </w:rPr>
        <w:t>，</w:t>
      </w:r>
      <w:r>
        <w:rPr>
          <w:rFonts w:hint="default"/>
          <w:lang w:val="en-US" w:eastAsia="zh-CN"/>
        </w:rPr>
        <w:t>在猪舍区域喷洒微生物除臭剂可以从源头上消减恶臭气体的产生量，本项目</w:t>
      </w:r>
      <w:r>
        <w:rPr>
          <w:rFonts w:hint="eastAsia"/>
          <w:lang w:val="en-US" w:eastAsia="zh-CN"/>
        </w:rPr>
        <w:t>待宰圈</w:t>
      </w:r>
      <w:r>
        <w:rPr>
          <w:rFonts w:hint="default"/>
          <w:lang w:val="en-US" w:eastAsia="zh-CN"/>
        </w:rPr>
        <w:t>和屠宰间的恶臭与猪舍产生条件和因素相似，据资料，氨的消减量在73.2%-96.7%</w:t>
      </w:r>
      <w:r>
        <w:rPr>
          <w:rFonts w:hint="eastAsia"/>
          <w:lang w:val="en-US" w:eastAsia="zh-CN"/>
        </w:rPr>
        <w:t>，</w:t>
      </w:r>
      <w:r>
        <w:rPr>
          <w:rFonts w:hint="default"/>
          <w:lang w:val="en-US" w:eastAsia="zh-CN"/>
        </w:rPr>
        <w:t>硫化氢的消减量在77.08%-92.1%</w:t>
      </w:r>
      <w:r>
        <w:rPr>
          <w:rFonts w:hint="eastAsia"/>
          <w:lang w:val="en-US" w:eastAsia="zh-CN"/>
        </w:rPr>
        <w:t>，</w:t>
      </w:r>
      <w:r>
        <w:rPr>
          <w:rFonts w:hint="default"/>
          <w:lang w:val="en-US" w:eastAsia="zh-CN"/>
        </w:rPr>
        <w:t>采取微生物除臭剂措施后，恶臭废气污染物氨、硫化氢去除率取</w:t>
      </w:r>
      <w:r>
        <w:rPr>
          <w:rFonts w:hint="eastAsia"/>
          <w:lang w:val="en-US" w:eastAsia="zh-CN"/>
        </w:rPr>
        <w:t>80</w:t>
      </w:r>
      <w:r>
        <w:rPr>
          <w:rFonts w:hint="default"/>
          <w:lang w:val="en-US" w:eastAsia="zh-CN"/>
        </w:rPr>
        <w:t>%较为合理。</w:t>
      </w:r>
    </w:p>
    <w:p>
      <w:pPr>
        <w:bidi w:val="0"/>
        <w:rPr>
          <w:rFonts w:hint="eastAsia"/>
          <w:b w:val="0"/>
          <w:bCs w:val="0"/>
          <w:lang w:eastAsia="zh-CN"/>
        </w:rPr>
      </w:pPr>
      <w:r>
        <w:rPr>
          <w:rFonts w:hint="eastAsia"/>
          <w:b/>
          <w:bCs/>
          <w:lang w:val="en-US" w:eastAsia="zh-CN"/>
        </w:rPr>
        <w:t>2）末端处理设施可行性分析</w:t>
      </w:r>
    </w:p>
    <w:p>
      <w:pPr>
        <w:bidi w:val="0"/>
        <w:rPr>
          <w:rFonts w:hint="eastAsia"/>
          <w:b/>
          <w:bCs/>
        </w:rPr>
      </w:pPr>
      <w:r>
        <w:rPr>
          <w:rFonts w:hint="eastAsia"/>
          <w:b/>
          <w:bCs/>
          <w:lang w:val="en-US" w:eastAsia="zh-CN"/>
        </w:rPr>
        <w:t>①</w:t>
      </w:r>
      <w:r>
        <w:rPr>
          <w:rFonts w:hint="eastAsia"/>
          <w:b/>
          <w:bCs/>
        </w:rPr>
        <w:t>常用的恶臭气体处理措施工艺比较</w:t>
      </w:r>
    </w:p>
    <w:p>
      <w:pPr>
        <w:bidi w:val="0"/>
        <w:rPr>
          <w:rFonts w:hint="eastAsia"/>
        </w:rPr>
      </w:pPr>
      <w:r>
        <w:rPr>
          <w:rFonts w:hint="eastAsia"/>
        </w:rPr>
        <w:t>常用的恶臭气体处理方法有化学除臭法，臭氧氧化法、活性炭吸附法、生物除臭法、光氧催化净化法等。</w:t>
      </w:r>
    </w:p>
    <w:p>
      <w:pPr>
        <w:pStyle w:val="29"/>
        <w:bidi w:val="0"/>
        <w:rPr>
          <w:rFonts w:hint="default"/>
          <w:lang w:val="en-US" w:eastAsia="zh-CN"/>
        </w:rPr>
      </w:pPr>
      <w:r>
        <w:rPr>
          <w:rFonts w:hint="eastAsia"/>
          <w:lang w:val="en-US" w:eastAsia="zh-CN"/>
        </w:rPr>
        <w:t>表7.2-4  常用恶臭处理措施工艺一览表</w:t>
      </w:r>
    </w:p>
    <w:tbl>
      <w:tblPr>
        <w:tblStyle w:val="2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4059"/>
        <w:gridCol w:w="40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tcBorders>
              <w:tl2br w:val="nil"/>
              <w:tr2bl w:val="nil"/>
            </w:tcBorders>
            <w:vAlign w:val="center"/>
          </w:tcPr>
          <w:p>
            <w:pPr>
              <w:pStyle w:val="30"/>
              <w:widowControl w:val="0"/>
              <w:bidi w:val="0"/>
              <w:jc w:val="center"/>
              <w:rPr>
                <w:rFonts w:hint="default" w:eastAsia="宋体"/>
                <w:b/>
                <w:bCs/>
                <w:lang w:val="en-US" w:eastAsia="zh-CN"/>
              </w:rPr>
            </w:pPr>
            <w:r>
              <w:rPr>
                <w:rFonts w:hint="eastAsia"/>
                <w:b/>
                <w:bCs/>
                <w:lang w:val="en-US" w:eastAsia="zh-CN"/>
              </w:rPr>
              <w:t>恶臭处理措施类别</w:t>
            </w:r>
          </w:p>
        </w:tc>
        <w:tc>
          <w:tcPr>
            <w:tcW w:w="2110" w:type="pct"/>
            <w:tcBorders>
              <w:tl2br w:val="nil"/>
              <w:tr2bl w:val="nil"/>
            </w:tcBorders>
            <w:vAlign w:val="center"/>
          </w:tcPr>
          <w:p>
            <w:pPr>
              <w:pStyle w:val="30"/>
              <w:widowControl w:val="0"/>
              <w:bidi w:val="0"/>
              <w:jc w:val="center"/>
              <w:rPr>
                <w:rFonts w:hint="default" w:eastAsia="宋体"/>
                <w:b/>
                <w:bCs/>
                <w:lang w:val="en-US" w:eastAsia="zh-CN"/>
              </w:rPr>
            </w:pPr>
            <w:r>
              <w:rPr>
                <w:rFonts w:hint="eastAsia"/>
                <w:b/>
                <w:bCs/>
                <w:lang w:val="en-US" w:eastAsia="zh-CN"/>
              </w:rPr>
              <w:t>处理远离</w:t>
            </w:r>
          </w:p>
        </w:tc>
        <w:tc>
          <w:tcPr>
            <w:tcW w:w="2111" w:type="pct"/>
            <w:tcBorders>
              <w:tl2br w:val="nil"/>
              <w:tr2bl w:val="nil"/>
            </w:tcBorders>
            <w:vAlign w:val="center"/>
          </w:tcPr>
          <w:p>
            <w:pPr>
              <w:pStyle w:val="30"/>
              <w:widowControl w:val="0"/>
              <w:bidi w:val="0"/>
              <w:jc w:val="center"/>
              <w:rPr>
                <w:rFonts w:hint="default" w:eastAsia="宋体"/>
                <w:b/>
                <w:bCs/>
                <w:lang w:val="en-US" w:eastAsia="zh-CN"/>
              </w:rPr>
            </w:pPr>
            <w:r>
              <w:rPr>
                <w:rFonts w:hint="eastAsia"/>
                <w:b/>
                <w:bCs/>
                <w:lang w:val="en-US" w:eastAsia="zh-CN"/>
              </w:rPr>
              <w:t>优缺点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tcBorders>
              <w:tl2br w:val="nil"/>
              <w:tr2bl w:val="nil"/>
            </w:tcBorders>
            <w:vAlign w:val="center"/>
          </w:tcPr>
          <w:p>
            <w:pPr>
              <w:pStyle w:val="30"/>
              <w:widowControl w:val="0"/>
              <w:bidi w:val="0"/>
              <w:jc w:val="center"/>
              <w:rPr>
                <w:rFonts w:hint="eastAsia"/>
              </w:rPr>
            </w:pPr>
            <w:r>
              <w:rPr>
                <w:rFonts w:hint="eastAsia"/>
                <w:b w:val="0"/>
                <w:bCs w:val="0"/>
              </w:rPr>
              <w:t>化学除臭法</w:t>
            </w:r>
          </w:p>
        </w:tc>
        <w:tc>
          <w:tcPr>
            <w:tcW w:w="2110" w:type="pct"/>
            <w:tcBorders>
              <w:tl2br w:val="nil"/>
              <w:tr2bl w:val="nil"/>
            </w:tcBorders>
            <w:vAlign w:val="center"/>
          </w:tcPr>
          <w:p>
            <w:pPr>
              <w:pStyle w:val="30"/>
              <w:widowControl w:val="0"/>
              <w:bidi w:val="0"/>
              <w:jc w:val="left"/>
              <w:rPr>
                <w:rFonts w:hint="eastAsia"/>
              </w:rPr>
            </w:pPr>
            <w:r>
              <w:rPr>
                <w:rFonts w:hint="eastAsia"/>
              </w:rPr>
              <w:t>化学除臭法是利用臭气中的某些物质和药液产生中和反应的特性，如利用呈碱性的苛性钠和次氯酸钠溶液，去除臭气中硫化氢等酸性物质，利用盐酸等酸性溶液，去除臭气中的氨气等碱性物质。</w:t>
            </w:r>
          </w:p>
        </w:tc>
        <w:tc>
          <w:tcPr>
            <w:tcW w:w="2111" w:type="pct"/>
            <w:tcBorders>
              <w:tl2br w:val="nil"/>
              <w:tr2bl w:val="nil"/>
            </w:tcBorders>
            <w:vAlign w:val="center"/>
          </w:tcPr>
          <w:p>
            <w:pPr>
              <w:pStyle w:val="30"/>
              <w:widowControl w:val="0"/>
              <w:bidi w:val="0"/>
              <w:jc w:val="left"/>
              <w:rPr>
                <w:rFonts w:hint="eastAsia"/>
              </w:rPr>
            </w:pPr>
            <w:r>
              <w:rPr>
                <w:rFonts w:hint="eastAsia"/>
              </w:rPr>
              <w:t>与活性炭吸附法相比较，化学除臭法必须配备较多的附属设施，如药液贮存装置、药液输送装置、排出装置等，</w:t>
            </w:r>
            <w:r>
              <w:rPr>
                <w:rFonts w:hint="eastAsia"/>
                <w:b w:val="0"/>
                <w:bCs w:val="0"/>
              </w:rPr>
              <w:t>运行管理较为复杂，运行费用较高，与药液不反应的臭气较难去除，效率较低。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tcBorders>
              <w:tl2br w:val="nil"/>
              <w:tr2bl w:val="nil"/>
            </w:tcBorders>
            <w:vAlign w:val="center"/>
          </w:tcPr>
          <w:p>
            <w:pPr>
              <w:pStyle w:val="30"/>
              <w:widowControl w:val="0"/>
              <w:bidi w:val="0"/>
              <w:jc w:val="center"/>
              <w:rPr>
                <w:rFonts w:hint="default" w:eastAsia="宋体"/>
                <w:lang w:val="en-US" w:eastAsia="zh-CN"/>
              </w:rPr>
            </w:pPr>
            <w:r>
              <w:rPr>
                <w:rFonts w:hint="eastAsia"/>
                <w:lang w:val="en-US" w:eastAsia="zh-CN"/>
              </w:rPr>
              <w:t>臭氧氧化法</w:t>
            </w:r>
          </w:p>
        </w:tc>
        <w:tc>
          <w:tcPr>
            <w:tcW w:w="2110" w:type="pct"/>
            <w:tcBorders>
              <w:tl2br w:val="nil"/>
              <w:tr2bl w:val="nil"/>
            </w:tcBorders>
            <w:vAlign w:val="center"/>
          </w:tcPr>
          <w:p>
            <w:pPr>
              <w:pStyle w:val="30"/>
              <w:widowControl w:val="0"/>
              <w:bidi w:val="0"/>
              <w:jc w:val="left"/>
              <w:rPr>
                <w:rFonts w:hint="eastAsia"/>
              </w:rPr>
            </w:pPr>
            <w:r>
              <w:rPr>
                <w:rFonts w:hint="eastAsia"/>
              </w:rPr>
              <w:t>臭氧氧化法是利用臭氧强氧化剂，使臭气中的</w:t>
            </w:r>
            <w:r>
              <w:rPr>
                <w:rFonts w:hint="eastAsia"/>
                <w:lang w:eastAsia="zh-CN"/>
              </w:rPr>
              <w:t>化学成分</w:t>
            </w:r>
            <w:r>
              <w:rPr>
                <w:rFonts w:hint="eastAsia"/>
              </w:rPr>
              <w:t>氧化，达到脱臭的目的。</w:t>
            </w:r>
          </w:p>
        </w:tc>
        <w:tc>
          <w:tcPr>
            <w:tcW w:w="2111" w:type="pct"/>
            <w:tcBorders>
              <w:tl2br w:val="nil"/>
              <w:tr2bl w:val="nil"/>
            </w:tcBorders>
            <w:vAlign w:val="center"/>
          </w:tcPr>
          <w:p>
            <w:pPr>
              <w:pStyle w:val="30"/>
              <w:widowControl w:val="0"/>
              <w:bidi w:val="0"/>
              <w:jc w:val="left"/>
              <w:rPr>
                <w:rFonts w:hint="default" w:eastAsia="宋体"/>
                <w:lang w:val="en-US" w:eastAsia="zh-CN"/>
              </w:rPr>
            </w:pPr>
            <w:r>
              <w:rPr>
                <w:rFonts w:hint="eastAsia"/>
              </w:rPr>
              <w:t>臭氧氧化法有气相和液相之分，由于臭氧发生的化学反应较慢，一般先通过药液清洗法，去除大部分致臭物质，然后再进行臭氧氧化。</w:t>
            </w:r>
            <w:r>
              <w:rPr>
                <w:rFonts w:hint="eastAsia"/>
                <w:lang w:val="en-US" w:eastAsia="zh-CN"/>
              </w:rPr>
              <w:t>因此，</w:t>
            </w:r>
            <w:r>
              <w:rPr>
                <w:rFonts w:hint="eastAsia"/>
                <w:b w:val="0"/>
                <w:bCs w:val="0"/>
                <w:lang w:val="en-US" w:eastAsia="zh-CN"/>
              </w:rPr>
              <w:t>该方法不使用与大量处理恶臭，且处理速率较慢。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tcBorders>
              <w:tl2br w:val="nil"/>
              <w:tr2bl w:val="nil"/>
            </w:tcBorders>
            <w:vAlign w:val="center"/>
          </w:tcPr>
          <w:p>
            <w:pPr>
              <w:pStyle w:val="30"/>
              <w:widowControl w:val="0"/>
              <w:bidi w:val="0"/>
              <w:jc w:val="center"/>
              <w:rPr>
                <w:rFonts w:hint="default" w:eastAsia="宋体"/>
                <w:lang w:val="en-US" w:eastAsia="zh-CN"/>
              </w:rPr>
            </w:pPr>
            <w:r>
              <w:rPr>
                <w:rFonts w:hint="eastAsia"/>
                <w:lang w:val="en-US" w:eastAsia="zh-CN"/>
              </w:rPr>
              <w:t>活性炭吸附法</w:t>
            </w:r>
          </w:p>
        </w:tc>
        <w:tc>
          <w:tcPr>
            <w:tcW w:w="2110" w:type="pct"/>
            <w:tcBorders>
              <w:tl2br w:val="nil"/>
              <w:tr2bl w:val="nil"/>
            </w:tcBorders>
            <w:vAlign w:val="center"/>
          </w:tcPr>
          <w:p>
            <w:pPr>
              <w:pStyle w:val="30"/>
              <w:widowControl w:val="0"/>
              <w:bidi w:val="0"/>
              <w:jc w:val="left"/>
              <w:rPr>
                <w:rFonts w:hint="eastAsia"/>
              </w:rPr>
            </w:pPr>
            <w:r>
              <w:rPr>
                <w:rFonts w:hint="eastAsia"/>
              </w:rPr>
              <w:t>活性炭吸附法是利用活性炭能吸附臭气中致臭物质的特点，达到脱臭目的。为了有效地脱臭，通常利用各种不同性质的活性炭，吸附不同性质的臭气；臭气和各种活性炭接触后再排出。</w:t>
            </w:r>
          </w:p>
        </w:tc>
        <w:tc>
          <w:tcPr>
            <w:tcW w:w="2111" w:type="pct"/>
            <w:tcBorders>
              <w:tl2br w:val="nil"/>
              <w:tr2bl w:val="nil"/>
            </w:tcBorders>
            <w:vAlign w:val="center"/>
          </w:tcPr>
          <w:p>
            <w:pPr>
              <w:pStyle w:val="30"/>
              <w:widowControl w:val="0"/>
              <w:bidi w:val="0"/>
              <w:jc w:val="left"/>
              <w:rPr>
                <w:rFonts w:hint="eastAsia"/>
              </w:rPr>
            </w:pPr>
            <w:r>
              <w:rPr>
                <w:rFonts w:hint="eastAsia"/>
              </w:rPr>
              <w:t>该法与水清洗和药液清洗法相比较，具有</w:t>
            </w:r>
            <w:r>
              <w:rPr>
                <w:rFonts w:hint="eastAsia"/>
                <w:b w:val="0"/>
                <w:bCs w:val="0"/>
              </w:rPr>
              <w:t>较高的效率，但活性炭吸附到一定量时会达到饱和，就必须再生或更换活性炭，这种方法常用于低浓度臭气和脱臭的后处理。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tcBorders>
              <w:tl2br w:val="nil"/>
              <w:tr2bl w:val="nil"/>
            </w:tcBorders>
            <w:vAlign w:val="center"/>
          </w:tcPr>
          <w:p>
            <w:pPr>
              <w:pStyle w:val="30"/>
              <w:widowControl w:val="0"/>
              <w:bidi w:val="0"/>
              <w:jc w:val="center"/>
              <w:rPr>
                <w:rFonts w:hint="default" w:eastAsia="宋体"/>
                <w:lang w:val="en-US" w:eastAsia="zh-CN"/>
              </w:rPr>
            </w:pPr>
            <w:r>
              <w:rPr>
                <w:rFonts w:hint="eastAsia"/>
                <w:lang w:val="en-US" w:eastAsia="zh-CN"/>
              </w:rPr>
              <w:t>生物除臭法</w:t>
            </w:r>
          </w:p>
        </w:tc>
        <w:tc>
          <w:tcPr>
            <w:tcW w:w="2110" w:type="pct"/>
            <w:tcBorders>
              <w:tl2br w:val="nil"/>
              <w:tr2bl w:val="nil"/>
            </w:tcBorders>
            <w:vAlign w:val="center"/>
          </w:tcPr>
          <w:p>
            <w:pPr>
              <w:pStyle w:val="30"/>
              <w:widowControl w:val="0"/>
              <w:bidi w:val="0"/>
              <w:jc w:val="left"/>
              <w:rPr>
                <w:rFonts w:hint="eastAsia"/>
              </w:rPr>
            </w:pPr>
            <w:r>
              <w:rPr>
                <w:rFonts w:hint="eastAsia"/>
              </w:rPr>
              <w:t>生物除臭法是利用微生物对恶臭成分的生物吸附降解功能达到除臭目的，主要包括生物过滤法池、生物滴滤池和生物洗涤塔</w:t>
            </w:r>
            <w:r>
              <w:rPr>
                <w:rFonts w:hint="default"/>
              </w:rPr>
              <w:t>3</w:t>
            </w:r>
            <w:r>
              <w:rPr>
                <w:rFonts w:hint="eastAsia"/>
              </w:rPr>
              <w:t>种形式。</w:t>
            </w:r>
          </w:p>
        </w:tc>
        <w:tc>
          <w:tcPr>
            <w:tcW w:w="2111" w:type="pct"/>
            <w:tcBorders>
              <w:tl2br w:val="nil"/>
              <w:tr2bl w:val="nil"/>
            </w:tcBorders>
            <w:vAlign w:val="center"/>
          </w:tcPr>
          <w:p>
            <w:pPr>
              <w:pStyle w:val="30"/>
              <w:widowControl w:val="0"/>
              <w:bidi w:val="0"/>
              <w:jc w:val="left"/>
              <w:rPr>
                <w:rFonts w:hint="eastAsia"/>
              </w:rPr>
            </w:pPr>
            <w:r>
              <w:rPr>
                <w:rFonts w:hint="eastAsia"/>
                <w:b/>
                <w:bCs/>
              </w:rPr>
              <w:t>该方法所需设备简单、费用低廉、不需再生和后续处理、能耗小、管理方便，</w:t>
            </w:r>
            <w:r>
              <w:rPr>
                <w:rFonts w:hint="eastAsia"/>
              </w:rPr>
              <w:t>但占地面积相对较大，需要生物培育，系统启动费事。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tcBorders>
              <w:tl2br w:val="nil"/>
              <w:tr2bl w:val="nil"/>
            </w:tcBorders>
            <w:vAlign w:val="center"/>
          </w:tcPr>
          <w:p>
            <w:pPr>
              <w:pStyle w:val="30"/>
              <w:widowControl w:val="0"/>
              <w:bidi w:val="0"/>
              <w:jc w:val="center"/>
              <w:rPr>
                <w:rFonts w:hint="default" w:eastAsia="宋体"/>
                <w:lang w:val="en-US" w:eastAsia="zh-CN"/>
              </w:rPr>
            </w:pPr>
            <w:r>
              <w:rPr>
                <w:rFonts w:hint="eastAsia"/>
                <w:lang w:val="en-US" w:eastAsia="zh-CN"/>
              </w:rPr>
              <w:t>光氧催化法</w:t>
            </w:r>
          </w:p>
        </w:tc>
        <w:tc>
          <w:tcPr>
            <w:tcW w:w="2110" w:type="pct"/>
            <w:tcBorders>
              <w:tl2br w:val="nil"/>
              <w:tr2bl w:val="nil"/>
            </w:tcBorders>
            <w:vAlign w:val="center"/>
          </w:tcPr>
          <w:p>
            <w:pPr>
              <w:pStyle w:val="30"/>
              <w:widowControl w:val="0"/>
              <w:bidi w:val="0"/>
              <w:jc w:val="left"/>
              <w:rPr>
                <w:rFonts w:hint="eastAsia"/>
              </w:rPr>
            </w:pPr>
            <w:r>
              <w:rPr>
                <w:rFonts w:hint="eastAsia"/>
              </w:rPr>
              <w:t>通过</w:t>
            </w:r>
            <w:r>
              <w:rPr>
                <w:rFonts w:hint="default"/>
              </w:rPr>
              <w:t>UV</w:t>
            </w:r>
            <w:r>
              <w:rPr>
                <w:rFonts w:hint="eastAsia"/>
              </w:rPr>
              <w:t>紫外线照射把废气分从常态变为高速运动状态，再利用高能</w:t>
            </w:r>
            <w:r>
              <w:rPr>
                <w:rFonts w:hint="eastAsia"/>
                <w:lang w:eastAsia="zh-CN"/>
              </w:rPr>
              <w:t>－</w:t>
            </w:r>
            <w:r>
              <w:rPr>
                <w:rFonts w:hint="default"/>
              </w:rPr>
              <w:t>C</w:t>
            </w:r>
            <w:r>
              <w:rPr>
                <w:rFonts w:hint="eastAsia"/>
              </w:rPr>
              <w:t>波段粉碎分子链结构，把有机化合物变成小分子、中子、原子，利用紫外线产生的</w:t>
            </w:r>
            <w:r>
              <w:rPr>
                <w:rFonts w:hint="default"/>
              </w:rPr>
              <w:t>O</w:t>
            </w:r>
            <w:r>
              <w:rPr>
                <w:rFonts w:hint="default"/>
                <w:vertAlign w:val="subscript"/>
              </w:rPr>
              <w:t>3</w:t>
            </w:r>
            <w:r>
              <w:rPr>
                <w:rFonts w:hint="eastAsia"/>
              </w:rPr>
              <w:t>进行氧化，将污染物质变成为低分子无害物质或水和二氧化碳等。能处理氨、硫化氢、甲硫醇、甲硫醚、苯、苯乙</w:t>
            </w:r>
            <w:r>
              <w:rPr>
                <w:rFonts w:hint="eastAsia" w:ascii="宋体" w:hAnsi="宋体" w:eastAsia="宋体"/>
                <w:sz w:val="24"/>
                <w:szCs w:val="24"/>
              </w:rPr>
              <w:t>烯、二硫化碳、三甲胺、二甲基二硫醚等高浓度混合气体。</w:t>
            </w:r>
          </w:p>
        </w:tc>
        <w:tc>
          <w:tcPr>
            <w:tcW w:w="2111" w:type="pct"/>
            <w:tcBorders>
              <w:tl2br w:val="nil"/>
              <w:tr2bl w:val="nil"/>
            </w:tcBorders>
            <w:vAlign w:val="center"/>
          </w:tcPr>
          <w:p>
            <w:pPr>
              <w:pStyle w:val="30"/>
              <w:widowControl w:val="0"/>
              <w:bidi w:val="0"/>
              <w:jc w:val="left"/>
              <w:rPr>
                <w:rFonts w:hint="eastAsia"/>
              </w:rPr>
            </w:pPr>
            <w:r>
              <w:rPr>
                <w:rFonts w:hint="eastAsia"/>
                <w:b/>
                <w:bCs/>
              </w:rPr>
              <w:t>净化技术可靠且非常稳定，净化设备无需日常维护，</w:t>
            </w:r>
            <w:r>
              <w:rPr>
                <w:rFonts w:hint="eastAsia"/>
              </w:rPr>
              <w:t>只需接通电源，即可正常工作，</w:t>
            </w:r>
            <w:r>
              <w:rPr>
                <w:rFonts w:hint="eastAsia"/>
                <w:b/>
                <w:bCs/>
              </w:rPr>
              <w:t>运行维护费用极低。</w:t>
            </w:r>
          </w:p>
        </w:tc>
      </w:tr>
    </w:tbl>
    <w:p>
      <w:pPr>
        <w:bidi w:val="0"/>
        <w:rPr>
          <w:rFonts w:hint="eastAsia"/>
          <w:b/>
          <w:bCs/>
        </w:rPr>
      </w:pPr>
      <w:r>
        <w:rPr>
          <w:rFonts w:hint="eastAsia"/>
          <w:b/>
          <w:bCs/>
          <w:lang w:val="en-US" w:eastAsia="zh-CN"/>
        </w:rPr>
        <w:t>②</w:t>
      </w:r>
      <w:r>
        <w:rPr>
          <w:rFonts w:hint="eastAsia"/>
          <w:b/>
          <w:bCs/>
        </w:rPr>
        <w:t>本项目所采用的处理措施及可行性</w:t>
      </w:r>
    </w:p>
    <w:p>
      <w:pPr>
        <w:bidi w:val="0"/>
        <w:rPr>
          <w:rFonts w:hint="eastAsia"/>
          <w:highlight w:val="none"/>
        </w:rPr>
      </w:pPr>
      <w:r>
        <w:rPr>
          <w:rFonts w:hint="eastAsia"/>
          <w:highlight w:val="none"/>
        </w:rPr>
        <w:t>根据上述方法，化学洗涤方法费用较高，臭氧氧化法需要药液清洗配合，流程复杂，费用亦较高，</w:t>
      </w:r>
      <w:r>
        <w:rPr>
          <w:rFonts w:hint="eastAsia"/>
          <w:highlight w:val="none"/>
          <w:lang w:val="en-US" w:eastAsia="zh-CN"/>
        </w:rPr>
        <w:t>活性炭需定期大量的更换且通常作为后处理</w:t>
      </w:r>
      <w:r>
        <w:rPr>
          <w:rFonts w:hint="eastAsia"/>
          <w:b w:val="0"/>
          <w:bCs w:val="0"/>
          <w:highlight w:val="none"/>
          <w:lang w:val="en-US" w:eastAsia="zh-CN"/>
        </w:rPr>
        <w:t>，而</w:t>
      </w:r>
      <w:r>
        <w:rPr>
          <w:rFonts w:hint="eastAsia"/>
          <w:b w:val="0"/>
          <w:bCs w:val="0"/>
          <w:highlight w:val="none"/>
        </w:rPr>
        <w:t>生物除臭法</w:t>
      </w:r>
      <w:r>
        <w:rPr>
          <w:rFonts w:hint="eastAsia"/>
          <w:b w:val="0"/>
          <w:bCs w:val="0"/>
        </w:rPr>
        <w:t>设备简单、费用低廉、不需再生和后续处理、能耗小、管理方便</w:t>
      </w:r>
      <w:r>
        <w:rPr>
          <w:rFonts w:hint="eastAsia"/>
          <w:b w:val="0"/>
          <w:bCs w:val="0"/>
          <w:highlight w:val="none"/>
        </w:rPr>
        <w:t>，光氧催化净化法</w:t>
      </w:r>
      <w:r>
        <w:rPr>
          <w:rFonts w:hint="eastAsia"/>
          <w:b w:val="0"/>
          <w:bCs w:val="0"/>
        </w:rPr>
        <w:t>净化技术可靠且非常稳定</w:t>
      </w:r>
      <w:r>
        <w:rPr>
          <w:rFonts w:hint="eastAsia"/>
          <w:b w:val="0"/>
          <w:bCs w:val="0"/>
          <w:lang w:val="en-US" w:eastAsia="zh-CN"/>
        </w:rPr>
        <w:t>且</w:t>
      </w:r>
      <w:r>
        <w:rPr>
          <w:rFonts w:hint="eastAsia"/>
          <w:b w:val="0"/>
          <w:bCs w:val="0"/>
        </w:rPr>
        <w:t>运行维护费用极低</w:t>
      </w:r>
      <w:r>
        <w:rPr>
          <w:rFonts w:hint="eastAsia"/>
          <w:b w:val="0"/>
          <w:bCs w:val="0"/>
          <w:highlight w:val="none"/>
        </w:rPr>
        <w:t>。</w:t>
      </w:r>
      <w:r>
        <w:rPr>
          <w:rFonts w:hint="eastAsia"/>
          <w:highlight w:val="none"/>
        </w:rPr>
        <w:t>为提高本项目臭气去除率，采用</w:t>
      </w:r>
      <w:r>
        <w:rPr>
          <w:rFonts w:hint="eastAsia"/>
          <w:highlight w:val="none"/>
          <w:lang w:eastAsia="zh-CN"/>
        </w:rPr>
        <w:t>“UV光解+生物洗涤塔”</w:t>
      </w:r>
      <w:r>
        <w:rPr>
          <w:rFonts w:hint="eastAsia"/>
          <w:highlight w:val="none"/>
          <w:lang w:val="en-US" w:eastAsia="zh-CN"/>
        </w:rPr>
        <w:t>两</w:t>
      </w:r>
      <w:r>
        <w:rPr>
          <w:rFonts w:hint="eastAsia"/>
          <w:highlight w:val="none"/>
        </w:rPr>
        <w:t>种工艺，联合处理效率</w:t>
      </w:r>
      <w:r>
        <w:rPr>
          <w:rFonts w:hint="eastAsia"/>
          <w:highlight w:val="none"/>
          <w:lang w:val="en-US" w:eastAsia="zh-CN"/>
        </w:rPr>
        <w:t>约为</w:t>
      </w:r>
      <w:r>
        <w:rPr>
          <w:rFonts w:hint="default"/>
          <w:highlight w:val="none"/>
        </w:rPr>
        <w:t>90%</w:t>
      </w:r>
      <w:r>
        <w:rPr>
          <w:rFonts w:hint="eastAsia"/>
          <w:highlight w:val="none"/>
        </w:rPr>
        <w:t>，适合本项目特点，故本项目选用</w:t>
      </w:r>
      <w:r>
        <w:rPr>
          <w:rFonts w:hint="eastAsia"/>
          <w:highlight w:val="none"/>
          <w:lang w:eastAsia="zh-CN"/>
        </w:rPr>
        <w:t>“UV光解+生物洗涤塔”</w:t>
      </w:r>
      <w:r>
        <w:rPr>
          <w:rFonts w:hint="eastAsia"/>
          <w:highlight w:val="none"/>
        </w:rPr>
        <w:t>除臭技术经济可行。</w:t>
      </w:r>
    </w:p>
    <w:p>
      <w:pPr>
        <w:bidi w:val="0"/>
        <w:rPr>
          <w:rFonts w:hint="eastAsia"/>
          <w:highlight w:val="none"/>
        </w:rPr>
      </w:pPr>
      <w:r>
        <w:rPr>
          <w:rFonts w:hint="eastAsia"/>
          <w:highlight w:val="none"/>
        </w:rPr>
        <w:t>除了将废气无组织变成有组织排放，并增设废气处理装置外，针对各单元恶臭物质采取如下措施：</w:t>
      </w:r>
    </w:p>
    <w:p>
      <w:pPr>
        <w:bidi w:val="0"/>
        <w:rPr>
          <w:rFonts w:hint="eastAsia"/>
        </w:rPr>
      </w:pPr>
      <w:r>
        <w:rPr>
          <w:rFonts w:hint="default"/>
        </w:rPr>
        <w:t>1</w:t>
      </w:r>
      <w:r>
        <w:rPr>
          <w:rFonts w:hint="eastAsia"/>
        </w:rPr>
        <w:t>）加强屠宰区管理，及时清理待宰圈以及屠宰车间内的牲畜粪便、胃内容物、碎肉和碎骨等废弃物，及时清洗地面；</w:t>
      </w:r>
    </w:p>
    <w:p>
      <w:pPr>
        <w:bidi w:val="0"/>
        <w:rPr>
          <w:rFonts w:hint="eastAsia"/>
        </w:rPr>
      </w:pPr>
      <w:r>
        <w:rPr>
          <w:rFonts w:hint="default"/>
        </w:rPr>
        <w:t>2</w:t>
      </w:r>
      <w:r>
        <w:rPr>
          <w:rFonts w:hint="eastAsia"/>
        </w:rPr>
        <w:t>）待宰圈内的粪便垃圾箱、内脏处理间内的胃内容物垃圾箱每日进行清理外运；</w:t>
      </w:r>
    </w:p>
    <w:p>
      <w:pPr>
        <w:bidi w:val="0"/>
        <w:rPr>
          <w:rFonts w:hint="eastAsia"/>
        </w:rPr>
      </w:pPr>
      <w:r>
        <w:rPr>
          <w:rFonts w:hint="default"/>
        </w:rPr>
        <w:t>3</w:t>
      </w:r>
      <w:r>
        <w:rPr>
          <w:rFonts w:hint="eastAsia"/>
        </w:rPr>
        <w:t>）猪毛、蹄壳等应及时袋装密封、外运出售；</w:t>
      </w:r>
    </w:p>
    <w:p>
      <w:pPr>
        <w:bidi w:val="0"/>
        <w:rPr>
          <w:rFonts w:hint="eastAsia"/>
        </w:rPr>
      </w:pPr>
      <w:r>
        <w:rPr>
          <w:rFonts w:hint="default"/>
        </w:rPr>
        <w:t>4</w:t>
      </w:r>
      <w:r>
        <w:rPr>
          <w:rFonts w:hint="eastAsia"/>
        </w:rPr>
        <w:t>）生产车间加强管理，及时将恶臭污染物送入下道工序合理处置；</w:t>
      </w:r>
    </w:p>
    <w:p>
      <w:pPr>
        <w:bidi w:val="0"/>
        <w:rPr>
          <w:rFonts w:hint="eastAsia"/>
        </w:rPr>
      </w:pPr>
      <w:r>
        <w:rPr>
          <w:rFonts w:hint="default"/>
        </w:rPr>
        <w:t>5</w:t>
      </w:r>
      <w:r>
        <w:rPr>
          <w:rFonts w:hint="eastAsia"/>
        </w:rPr>
        <w:t>）猪血及时抽入制冷罐内冷藏存放，每日外售；</w:t>
      </w:r>
    </w:p>
    <w:p>
      <w:pPr>
        <w:bidi w:val="0"/>
        <w:rPr>
          <w:rFonts w:hint="eastAsia"/>
        </w:rPr>
      </w:pPr>
      <w:r>
        <w:rPr>
          <w:rFonts w:hint="default"/>
        </w:rPr>
        <w:t>6</w:t>
      </w:r>
      <w:r>
        <w:rPr>
          <w:rFonts w:hint="eastAsia"/>
        </w:rPr>
        <w:t>）车间在一天的工作结束后对其进行彻底清洗；车间在设计时应确保地面具有一定坡度（一般为</w:t>
      </w:r>
      <w:r>
        <w:rPr>
          <w:rFonts w:hint="default"/>
        </w:rPr>
        <w:t>1.5%</w:t>
      </w:r>
      <w:r>
        <w:rPr>
          <w:rFonts w:hint="eastAsia"/>
        </w:rPr>
        <w:t>～</w:t>
      </w:r>
      <w:r>
        <w:rPr>
          <w:rFonts w:hint="default"/>
        </w:rPr>
        <w:t>3%</w:t>
      </w:r>
      <w:r>
        <w:rPr>
          <w:rFonts w:hint="eastAsia"/>
        </w:rPr>
        <w:t>），并应建良好的排水管线，确保废水顺利及时排放，不造成废水淤积；</w:t>
      </w:r>
    </w:p>
    <w:p>
      <w:pPr>
        <w:bidi w:val="0"/>
        <w:rPr>
          <w:rFonts w:hint="eastAsia"/>
        </w:rPr>
      </w:pPr>
      <w:r>
        <w:rPr>
          <w:rFonts w:hint="default"/>
        </w:rPr>
        <w:t>7</w:t>
      </w:r>
      <w:r>
        <w:rPr>
          <w:rFonts w:hint="eastAsia"/>
        </w:rPr>
        <w:t>）污泥处理设施应设在非完全敞开式的建筑内。污水处理</w:t>
      </w:r>
      <w:r>
        <w:rPr>
          <w:rFonts w:hint="eastAsia"/>
          <w:lang w:val="en-US" w:eastAsia="zh-CN"/>
        </w:rPr>
        <w:t>站</w:t>
      </w:r>
      <w:r>
        <w:rPr>
          <w:rFonts w:hint="eastAsia"/>
        </w:rPr>
        <w:t>运行过程中要加强管理，控制污泥发酵，污泥脱水后要及时清运，定时清洗污泥脱水机；格栅机所截留的栅渣及时清运，清洗污迹；及时清理沉淀池、调节池、格栅隔油池等产生的废渣、浮油等；</w:t>
      </w:r>
    </w:p>
    <w:p>
      <w:pPr>
        <w:bidi w:val="0"/>
        <w:rPr>
          <w:rFonts w:hint="eastAsia"/>
        </w:rPr>
      </w:pPr>
      <w:r>
        <w:rPr>
          <w:rFonts w:hint="default"/>
        </w:rPr>
        <w:t>8</w:t>
      </w:r>
      <w:r>
        <w:rPr>
          <w:rFonts w:hint="eastAsia"/>
        </w:rPr>
        <w:t>）在污水处理</w:t>
      </w:r>
      <w:r>
        <w:rPr>
          <w:rFonts w:hint="eastAsia"/>
          <w:lang w:val="en-US" w:eastAsia="zh-CN"/>
        </w:rPr>
        <w:t>站</w:t>
      </w:r>
      <w:r>
        <w:rPr>
          <w:rFonts w:hint="eastAsia"/>
        </w:rPr>
        <w:t>周围种植抗害性强的乔灌木，厂界四周种植抗污能力综合值较大的乔木，尽量降低恶臭对外环境的影响；</w:t>
      </w:r>
    </w:p>
    <w:p>
      <w:pPr>
        <w:bidi w:val="0"/>
        <w:rPr>
          <w:rFonts w:hint="eastAsia"/>
        </w:rPr>
      </w:pPr>
      <w:r>
        <w:rPr>
          <w:rFonts w:hint="default"/>
        </w:rPr>
        <w:t>9</w:t>
      </w:r>
      <w:r>
        <w:rPr>
          <w:rFonts w:hint="eastAsia"/>
        </w:rPr>
        <w:t>）根据项目特点，项目风机采用变频器调节气量。</w:t>
      </w:r>
    </w:p>
    <w:p>
      <w:pPr>
        <w:bidi w:val="0"/>
        <w:rPr>
          <w:rFonts w:hint="eastAsia"/>
          <w:b/>
          <w:bCs/>
        </w:rPr>
      </w:pPr>
      <w:r>
        <w:rPr>
          <w:rFonts w:hint="eastAsia"/>
          <w:b/>
          <w:bCs/>
          <w:lang w:val="en-US" w:eastAsia="zh-CN"/>
        </w:rPr>
        <w:t>③</w:t>
      </w:r>
      <w:r>
        <w:rPr>
          <w:rFonts w:hint="eastAsia"/>
          <w:b/>
          <w:bCs/>
        </w:rPr>
        <w:t>排气筒设置</w:t>
      </w:r>
    </w:p>
    <w:p>
      <w:pPr>
        <w:bidi w:val="0"/>
        <w:rPr>
          <w:rFonts w:hint="eastAsia"/>
        </w:rPr>
      </w:pPr>
      <w:r>
        <w:rPr>
          <w:rFonts w:hint="eastAsia"/>
        </w:rPr>
        <w:t>项目臭气采用两套臭气处理系统，屠宰车间单独采用一套臭气处理系统，通过</w:t>
      </w:r>
      <w:r>
        <w:rPr>
          <w:rFonts w:hint="default"/>
        </w:rPr>
        <w:t>1</w:t>
      </w:r>
      <w:r>
        <w:rPr>
          <w:rFonts w:hint="eastAsia"/>
        </w:rPr>
        <w:t>根直径</w:t>
      </w:r>
      <w:r>
        <w:rPr>
          <w:rFonts w:hint="eastAsia"/>
          <w:lang w:val="en-US" w:eastAsia="zh-CN"/>
        </w:rPr>
        <w:t>1.2</w:t>
      </w:r>
      <w:r>
        <w:rPr>
          <w:rFonts w:hint="default"/>
        </w:rPr>
        <w:t>m</w:t>
      </w:r>
      <w:r>
        <w:rPr>
          <w:rFonts w:hint="eastAsia"/>
        </w:rPr>
        <w:t>，高度</w:t>
      </w:r>
      <w:r>
        <w:rPr>
          <w:rFonts w:hint="default"/>
        </w:rPr>
        <w:t>15</w:t>
      </w:r>
      <w:r>
        <w:rPr>
          <w:rFonts w:hint="eastAsia"/>
          <w:lang w:val="en-US" w:eastAsia="zh-CN"/>
        </w:rPr>
        <w:t>m</w:t>
      </w:r>
      <w:r>
        <w:rPr>
          <w:rFonts w:hint="eastAsia"/>
        </w:rPr>
        <w:t>的排气筒</w:t>
      </w:r>
      <w:r>
        <w:rPr>
          <w:rFonts w:hint="eastAsia"/>
          <w:lang w:eastAsia="zh-CN"/>
        </w:rPr>
        <w:t>（</w:t>
      </w:r>
      <w:r>
        <w:rPr>
          <w:rFonts w:hint="eastAsia"/>
          <w:lang w:val="en-US" w:eastAsia="zh-CN"/>
        </w:rPr>
        <w:t>P2</w:t>
      </w:r>
      <w:r>
        <w:rPr>
          <w:rFonts w:hint="eastAsia"/>
          <w:lang w:eastAsia="zh-CN"/>
        </w:rPr>
        <w:t>）</w:t>
      </w:r>
      <w:r>
        <w:rPr>
          <w:rFonts w:hint="eastAsia"/>
        </w:rPr>
        <w:t>排放；其余系统采用一套臭气处理系统，通过</w:t>
      </w:r>
      <w:r>
        <w:rPr>
          <w:rFonts w:hint="default"/>
        </w:rPr>
        <w:t>1</w:t>
      </w:r>
      <w:r>
        <w:rPr>
          <w:rFonts w:hint="eastAsia"/>
        </w:rPr>
        <w:t>根直径</w:t>
      </w:r>
      <w:r>
        <w:rPr>
          <w:rFonts w:hint="default"/>
        </w:rPr>
        <w:t>0.8m</w:t>
      </w:r>
      <w:r>
        <w:rPr>
          <w:rFonts w:hint="eastAsia"/>
        </w:rPr>
        <w:t>，高度</w:t>
      </w:r>
      <w:r>
        <w:rPr>
          <w:rFonts w:hint="default"/>
        </w:rPr>
        <w:t>15</w:t>
      </w:r>
      <w:r>
        <w:rPr>
          <w:rFonts w:hint="eastAsia"/>
          <w:lang w:val="en-US" w:eastAsia="zh-CN"/>
        </w:rPr>
        <w:t>m</w:t>
      </w:r>
      <w:r>
        <w:rPr>
          <w:rFonts w:hint="eastAsia"/>
        </w:rPr>
        <w:t>的排气筒</w:t>
      </w:r>
      <w:r>
        <w:rPr>
          <w:rFonts w:hint="eastAsia"/>
          <w:lang w:eastAsia="zh-CN"/>
        </w:rPr>
        <w:t>（</w:t>
      </w:r>
      <w:r>
        <w:rPr>
          <w:rFonts w:hint="eastAsia"/>
          <w:lang w:val="en-US" w:eastAsia="zh-CN"/>
        </w:rPr>
        <w:t>P1</w:t>
      </w:r>
      <w:r>
        <w:rPr>
          <w:rFonts w:hint="eastAsia"/>
          <w:lang w:eastAsia="zh-CN"/>
        </w:rPr>
        <w:t>）</w:t>
      </w:r>
      <w:r>
        <w:rPr>
          <w:rFonts w:hint="eastAsia"/>
        </w:rPr>
        <w:t>排放。</w:t>
      </w:r>
    </w:p>
    <w:p>
      <w:pPr>
        <w:bidi w:val="0"/>
        <w:rPr>
          <w:rFonts w:hint="eastAsia"/>
          <w:b/>
          <w:bCs/>
        </w:rPr>
      </w:pPr>
      <w:r>
        <w:rPr>
          <w:rFonts w:hint="eastAsia"/>
          <w:b/>
          <w:bCs/>
        </w:rPr>
        <w:t>该项目在采取以上环保措施后，本项目采用的恶臭治理措施可行。</w:t>
      </w:r>
    </w:p>
    <w:p>
      <w:pPr>
        <w:pStyle w:val="6"/>
        <w:bidi w:val="0"/>
        <w:rPr>
          <w:rFonts w:hint="eastAsia"/>
        </w:rPr>
      </w:pPr>
      <w:r>
        <w:rPr>
          <w:rFonts w:hint="eastAsia"/>
        </w:rPr>
        <w:t>食堂油烟防治措施</w:t>
      </w:r>
    </w:p>
    <w:p>
      <w:pPr>
        <w:bidi w:val="0"/>
        <w:rPr>
          <w:rFonts w:hint="eastAsia"/>
        </w:rPr>
      </w:pPr>
      <w:r>
        <w:rPr>
          <w:rFonts w:hint="eastAsia"/>
        </w:rPr>
        <w:t>本环评要求按照国家关于《饮食业油烟排放标准（试行）》（</w:t>
      </w:r>
      <w:r>
        <w:rPr>
          <w:rFonts w:hint="default"/>
        </w:rPr>
        <w:t>GB18483-2001</w:t>
      </w:r>
      <w:r>
        <w:rPr>
          <w:rFonts w:hint="eastAsia"/>
        </w:rPr>
        <w:t>）标准要求，安装油烟去除效率与其规模相匹配的油烟净化装置和专门的油烟排气筒，确保其排放烟气中油烟浓度值达到标准限值（</w:t>
      </w:r>
      <w:r>
        <w:rPr>
          <w:rFonts w:hint="default" w:ascii="Times New Roman" w:hAnsi="Times New Roman" w:cs="Times New Roman"/>
        </w:rPr>
        <w:t>≤</w:t>
      </w:r>
      <w:r>
        <w:rPr>
          <w:rFonts w:hint="default"/>
        </w:rPr>
        <w:t>2.0mg/m</w:t>
      </w:r>
      <w:r>
        <w:rPr>
          <w:rFonts w:hint="default"/>
          <w:vertAlign w:val="superscript"/>
        </w:rPr>
        <w:t>3</w:t>
      </w:r>
      <w:r>
        <w:rPr>
          <w:rFonts w:hint="eastAsia"/>
        </w:rPr>
        <w:t>）的要求。食堂油烟经油烟净化器处理后引至楼顶排放。</w:t>
      </w:r>
    </w:p>
    <w:p>
      <w:pPr>
        <w:bidi w:val="0"/>
        <w:rPr>
          <w:rFonts w:hint="eastAsia"/>
        </w:rPr>
      </w:pPr>
      <w:r>
        <w:rPr>
          <w:rFonts w:hint="eastAsia"/>
        </w:rPr>
        <w:t>综上所述，项目运营期采取的大气污染防治措施技术经济可行。环评要求建设单位加强厂区绿化、及时清洗设备和地坪、废弃物桶装收集并日产日清，以进一步减少恶臭的环境影响。</w:t>
      </w:r>
    </w:p>
    <w:p>
      <w:pPr>
        <w:pStyle w:val="6"/>
        <w:bidi w:val="0"/>
        <w:rPr>
          <w:rFonts w:hint="default"/>
          <w:lang w:val="en-US" w:eastAsia="zh-CN"/>
        </w:rPr>
      </w:pPr>
      <w:r>
        <w:rPr>
          <w:rFonts w:hint="eastAsia"/>
          <w:lang w:val="en-US" w:eastAsia="zh-CN"/>
        </w:rPr>
        <w:t>天然气废气</w:t>
      </w:r>
    </w:p>
    <w:p>
      <w:pPr>
        <w:ind w:firstLine="480"/>
      </w:pPr>
      <w:r>
        <w:rPr>
          <w:rFonts w:hint="eastAsia"/>
          <w:lang w:val="en-US" w:eastAsia="zh-CN"/>
        </w:rPr>
        <w:t>本项目</w:t>
      </w:r>
      <w:r>
        <w:rPr>
          <w:rFonts w:hint="eastAsia"/>
        </w:rPr>
        <w:t>设备</w:t>
      </w:r>
      <w:r>
        <w:rPr>
          <w:rFonts w:hint="eastAsia"/>
          <w:lang w:val="en-US" w:eastAsia="zh-CN"/>
        </w:rPr>
        <w:t>设置于屠宰车间楼顶，两台设备共用一根排气筒至楼顶排放（h=8m），</w:t>
      </w:r>
      <w:r>
        <w:rPr>
          <w:rFonts w:hint="eastAsia"/>
        </w:rPr>
        <w:t>燃烧后的废气直接通过排气筒排</w:t>
      </w:r>
      <w:r>
        <w:rPr>
          <w:rFonts w:hint="eastAsia"/>
          <w:lang w:val="en-US" w:eastAsia="zh-CN"/>
        </w:rPr>
        <w:t>出</w:t>
      </w:r>
      <w:r>
        <w:rPr>
          <w:rFonts w:hint="eastAsia"/>
        </w:rPr>
        <w:t>。</w:t>
      </w:r>
    </w:p>
    <w:p>
      <w:pPr>
        <w:bidi w:val="0"/>
        <w:rPr>
          <w:rFonts w:hint="default" w:eastAsia="宋体"/>
          <w:highlight w:val="none"/>
          <w:lang w:val="en-US" w:eastAsia="zh-CN"/>
        </w:rPr>
      </w:pPr>
      <w:r>
        <w:rPr>
          <w:rFonts w:hint="eastAsia"/>
          <w:highlight w:val="none"/>
          <w:lang w:val="en-US" w:eastAsia="zh-CN"/>
        </w:rPr>
        <w:t>天然气属清洁能源，产生的燃烧废气，对周边环境影响较小，项目采取增强厂区绿化，排气筒设置远离居民敏感点，采取上述措施后，天然气产生的燃烧废气影响较小。</w:t>
      </w:r>
    </w:p>
    <w:p>
      <w:pPr>
        <w:pStyle w:val="6"/>
        <w:bidi w:val="0"/>
        <w:rPr>
          <w:rFonts w:hint="default"/>
          <w:lang w:val="en-US" w:eastAsia="zh-CN"/>
        </w:rPr>
      </w:pPr>
      <w:r>
        <w:rPr>
          <w:rFonts w:hint="eastAsia"/>
          <w:lang w:val="en-US" w:eastAsia="zh-CN"/>
        </w:rPr>
        <w:t>结论</w:t>
      </w:r>
    </w:p>
    <w:p>
      <w:pPr>
        <w:bidi w:val="0"/>
        <w:rPr>
          <w:rFonts w:hint="default"/>
          <w:lang w:val="en-US" w:eastAsia="zh-CN"/>
        </w:rPr>
      </w:pPr>
      <w:r>
        <w:rPr>
          <w:rFonts w:hint="default"/>
          <w:lang w:val="en-US" w:eastAsia="zh-CN"/>
        </w:rPr>
        <w:t>综上，建设单位对不同类型的废气污染物采取了针对性的环保设施，环保设施在正常运行的情况下，可以做到达标排放，采取的废气治理措施是可行的。</w:t>
      </w:r>
    </w:p>
    <w:p>
      <w:pPr>
        <w:pStyle w:val="5"/>
        <w:bidi w:val="0"/>
        <w:rPr>
          <w:rFonts w:hint="eastAsia"/>
        </w:rPr>
      </w:pPr>
      <w:r>
        <w:rPr>
          <w:rFonts w:hint="eastAsia"/>
        </w:rPr>
        <w:t>地下水污染防治措施</w:t>
      </w:r>
    </w:p>
    <w:p>
      <w:pPr>
        <w:bidi w:val="0"/>
        <w:rPr>
          <w:rFonts w:hint="eastAsia"/>
        </w:rPr>
      </w:pPr>
      <w:r>
        <w:rPr>
          <w:rFonts w:hint="eastAsia"/>
        </w:rPr>
        <w:t>按照</w:t>
      </w:r>
      <w:r>
        <w:rPr>
          <w:rFonts w:hint="eastAsia"/>
          <w:lang w:eastAsia="zh-CN"/>
        </w:rPr>
        <w:t>“</w:t>
      </w:r>
      <w:r>
        <w:rPr>
          <w:rFonts w:hint="eastAsia"/>
        </w:rPr>
        <w:t>源头控制、分区防控、污染监控、应急响应</w:t>
      </w:r>
      <w:r>
        <w:rPr>
          <w:rFonts w:hint="eastAsia"/>
          <w:lang w:eastAsia="zh-CN"/>
        </w:rPr>
        <w:t>”</w:t>
      </w:r>
      <w:r>
        <w:rPr>
          <w:rFonts w:hint="eastAsia"/>
        </w:rPr>
        <w:t>原则，地下水污染防治措施分为主动防渗措施和被动防渗措施，主动防渗措施是为了防止和减少污染物跑、冒、滴、漏，从源头上采取的控制污染物泄露的各种防渗措施。被动防渗措施是为了防止和减少污染物渗漏进入地下水体，采取的各种防渗措施，包括泄露的隔离、收集等措施。建立地下水环境监测管理体系，制定地下水环境影响跟踪监测计划。</w:t>
      </w:r>
    </w:p>
    <w:p>
      <w:pPr>
        <w:bidi w:val="0"/>
        <w:rPr>
          <w:rFonts w:hint="eastAsia"/>
          <w:b/>
          <w:bCs/>
        </w:rPr>
      </w:pPr>
      <w:r>
        <w:rPr>
          <w:rFonts w:hint="eastAsia"/>
          <w:b/>
          <w:bCs/>
        </w:rPr>
        <w:t>（</w:t>
      </w:r>
      <w:r>
        <w:rPr>
          <w:rFonts w:hint="default"/>
          <w:b/>
          <w:bCs/>
        </w:rPr>
        <w:t>1</w:t>
      </w:r>
      <w:r>
        <w:rPr>
          <w:rFonts w:hint="eastAsia"/>
          <w:b/>
          <w:bCs/>
        </w:rPr>
        <w:t>）主动防渗漏措施</w:t>
      </w:r>
    </w:p>
    <w:p>
      <w:pPr>
        <w:bidi w:val="0"/>
        <w:rPr>
          <w:rFonts w:hint="eastAsia"/>
          <w:b/>
          <w:bCs/>
        </w:rPr>
      </w:pPr>
      <w:r>
        <w:rPr>
          <w:rFonts w:hint="eastAsia"/>
          <w:b/>
          <w:bCs/>
        </w:rPr>
        <w:t>①工艺控制措施</w:t>
      </w:r>
    </w:p>
    <w:p>
      <w:pPr>
        <w:bidi w:val="0"/>
        <w:rPr>
          <w:rFonts w:hint="eastAsia"/>
        </w:rPr>
      </w:pPr>
      <w:r>
        <w:rPr>
          <w:rFonts w:hint="eastAsia"/>
        </w:rPr>
        <w:t>生产区域内易产生泄漏的设备尽可能集中布置；消毒用化学品按规范设置、防止渗漏处理。</w:t>
      </w:r>
    </w:p>
    <w:p>
      <w:pPr>
        <w:bidi w:val="0"/>
        <w:rPr>
          <w:rFonts w:hint="eastAsia"/>
          <w:b/>
          <w:bCs/>
        </w:rPr>
      </w:pPr>
      <w:r>
        <w:rPr>
          <w:rFonts w:hint="eastAsia"/>
          <w:b/>
          <w:bCs/>
        </w:rPr>
        <w:t>②建筑结构防控措施</w:t>
      </w:r>
    </w:p>
    <w:p>
      <w:pPr>
        <w:bidi w:val="0"/>
        <w:rPr>
          <w:rFonts w:hint="eastAsia"/>
        </w:rPr>
      </w:pPr>
      <w:r>
        <w:rPr>
          <w:rFonts w:hint="eastAsia"/>
        </w:rPr>
        <w:t>厂房内有可能发生化学药品或含有污染物的介质泄漏的地面按污染区地面处理，地面坡向集水点的坡度须大于</w:t>
      </w:r>
      <w:r>
        <w:rPr>
          <w:rFonts w:hint="default"/>
        </w:rPr>
        <w:t>0.01</w:t>
      </w:r>
      <w:r>
        <w:rPr>
          <w:rFonts w:hint="eastAsia"/>
        </w:rPr>
        <w:t>；混凝土含碱量最大限值应符合《混凝土碱含量限值标准》（</w:t>
      </w:r>
      <w:r>
        <w:rPr>
          <w:rFonts w:hint="default"/>
        </w:rPr>
        <w:t>CECS53</w:t>
      </w:r>
      <w:r>
        <w:rPr>
          <w:rFonts w:hint="eastAsia"/>
        </w:rPr>
        <w:t>）的规定；厂房内污染区的排水沟按相应分区进行防渗处理。</w:t>
      </w:r>
    </w:p>
    <w:p>
      <w:pPr>
        <w:bidi w:val="0"/>
        <w:rPr>
          <w:rFonts w:hint="eastAsia"/>
          <w:b/>
          <w:bCs/>
        </w:rPr>
      </w:pPr>
      <w:r>
        <w:rPr>
          <w:rFonts w:hint="eastAsia"/>
          <w:b/>
          <w:bCs/>
        </w:rPr>
        <w:t>（</w:t>
      </w:r>
      <w:r>
        <w:rPr>
          <w:rFonts w:hint="default"/>
          <w:b/>
          <w:bCs/>
        </w:rPr>
        <w:t>2</w:t>
      </w:r>
      <w:r>
        <w:rPr>
          <w:rFonts w:hint="eastAsia"/>
          <w:b/>
          <w:bCs/>
        </w:rPr>
        <w:t>）被动防渗漏措施</w:t>
      </w:r>
    </w:p>
    <w:p>
      <w:pPr>
        <w:bidi w:val="0"/>
        <w:rPr>
          <w:rFonts w:hint="eastAsia"/>
        </w:rPr>
      </w:pPr>
      <w:r>
        <w:rPr>
          <w:rFonts w:hint="eastAsia"/>
        </w:rPr>
        <w:t>本项目的防渗层铺设采用地表铺设方式，可将防渗层上阻隔的污染物统一收集、根据《环境影响评价技术导则地下水环境》（</w:t>
      </w:r>
      <w:r>
        <w:rPr>
          <w:rFonts w:hint="default"/>
        </w:rPr>
        <w:t>HJ610-2016</w:t>
      </w:r>
      <w:r>
        <w:rPr>
          <w:rFonts w:hint="eastAsia"/>
        </w:rPr>
        <w:t>）防渗分区原则，将本项目分划为重点防渗区、一般防渗区和简单防渗区，划分区域如下：</w:t>
      </w:r>
    </w:p>
    <w:p>
      <w:pPr>
        <w:bidi w:val="0"/>
        <w:rPr>
          <w:rFonts w:hint="eastAsia"/>
        </w:rPr>
      </w:pPr>
      <w:r>
        <w:rPr>
          <w:rFonts w:hint="eastAsia"/>
          <w:b/>
          <w:bCs/>
        </w:rPr>
        <w:t>重点防渗区：</w:t>
      </w:r>
      <w:r>
        <w:rPr>
          <w:rFonts w:hint="eastAsia"/>
        </w:rPr>
        <w:t>危废暂存间</w:t>
      </w:r>
      <w:r>
        <w:rPr>
          <w:rFonts w:hint="eastAsia"/>
          <w:lang w:val="en-US" w:eastAsia="zh-CN"/>
        </w:rPr>
        <w:t>采用防渗</w:t>
      </w:r>
      <w:r>
        <w:rPr>
          <w:rFonts w:hint="eastAsia"/>
        </w:rPr>
        <w:t>混凝土</w:t>
      </w:r>
      <w:r>
        <w:rPr>
          <w:rFonts w:hint="default"/>
        </w:rPr>
        <w:t>+2mmHDPE</w:t>
      </w:r>
      <w:r>
        <w:rPr>
          <w:rFonts w:hint="eastAsia"/>
          <w:lang w:val="en-US" w:eastAsia="zh-CN"/>
        </w:rPr>
        <w:t>防渗膜+金属托盘，可满足</w:t>
      </w:r>
      <w:r>
        <w:rPr>
          <w:rFonts w:hint="eastAsia"/>
        </w:rPr>
        <w:t>等效粘土防渗层Mb</w:t>
      </w:r>
      <w:r>
        <w:rPr>
          <w:rFonts w:hint="default"/>
        </w:rPr>
        <w:t>≥</w:t>
      </w:r>
      <w:r>
        <w:rPr>
          <w:rFonts w:hint="eastAsia"/>
          <w:lang w:val="en-US" w:eastAsia="zh-CN"/>
        </w:rPr>
        <w:t>6.0</w:t>
      </w:r>
      <w:r>
        <w:rPr>
          <w:rFonts w:hint="eastAsia"/>
        </w:rPr>
        <w:t>m，K</w:t>
      </w:r>
      <w:r>
        <w:rPr>
          <w:rFonts w:hint="default"/>
        </w:rPr>
        <w:t>≤</w:t>
      </w:r>
      <w:r>
        <w:rPr>
          <w:rFonts w:hint="eastAsia"/>
        </w:rPr>
        <w:t>10</w:t>
      </w:r>
      <w:r>
        <w:rPr>
          <w:rFonts w:hint="eastAsia"/>
          <w:vertAlign w:val="superscript"/>
        </w:rPr>
        <w:t>-</w:t>
      </w:r>
      <w:r>
        <w:rPr>
          <w:rFonts w:hint="eastAsia"/>
          <w:vertAlign w:val="superscript"/>
          <w:lang w:val="en-US" w:eastAsia="zh-CN"/>
        </w:rPr>
        <w:t>10</w:t>
      </w:r>
      <w:r>
        <w:rPr>
          <w:rFonts w:hint="eastAsia"/>
        </w:rPr>
        <w:t>cm/s</w:t>
      </w:r>
      <w:r>
        <w:rPr>
          <w:rFonts w:hint="eastAsia"/>
          <w:lang w:val="en-US" w:eastAsia="zh-CN"/>
        </w:rPr>
        <w:t>的要求；</w:t>
      </w:r>
      <w:r>
        <w:rPr>
          <w:rFonts w:hint="eastAsia"/>
        </w:rPr>
        <w:t>药品库、污水处理站及污水管网、污水处理站加药间、无害化暂存间均</w:t>
      </w:r>
      <w:r>
        <w:rPr>
          <w:rFonts w:hint="eastAsia"/>
          <w:lang w:val="en-US" w:eastAsia="zh-CN"/>
        </w:rPr>
        <w:t>采用防渗混凝土+</w:t>
      </w:r>
      <w:r>
        <w:rPr>
          <w:rFonts w:hint="default"/>
        </w:rPr>
        <w:t>2mmHDPE</w:t>
      </w:r>
      <w:r>
        <w:rPr>
          <w:rFonts w:hint="eastAsia"/>
          <w:lang w:val="en-US" w:eastAsia="zh-CN"/>
        </w:rPr>
        <w:t>防渗膜可满足</w:t>
      </w:r>
      <w:r>
        <w:rPr>
          <w:rFonts w:hint="eastAsia"/>
        </w:rPr>
        <w:t>等效粘土防渗层Mb</w:t>
      </w:r>
      <w:r>
        <w:rPr>
          <w:rFonts w:hint="default"/>
        </w:rPr>
        <w:t>≥</w:t>
      </w:r>
      <w:r>
        <w:rPr>
          <w:rFonts w:hint="eastAsia"/>
          <w:lang w:val="en-US" w:eastAsia="zh-CN"/>
        </w:rPr>
        <w:t>6.0</w:t>
      </w:r>
      <w:r>
        <w:rPr>
          <w:rFonts w:hint="eastAsia"/>
        </w:rPr>
        <w:t>m，K</w:t>
      </w:r>
      <w:r>
        <w:rPr>
          <w:rFonts w:hint="default"/>
        </w:rPr>
        <w:t>≤</w:t>
      </w:r>
      <w:r>
        <w:rPr>
          <w:rFonts w:hint="eastAsia"/>
        </w:rPr>
        <w:t>10</w:t>
      </w:r>
      <w:r>
        <w:rPr>
          <w:rFonts w:hint="eastAsia"/>
          <w:vertAlign w:val="superscript"/>
        </w:rPr>
        <w:t>-</w:t>
      </w:r>
      <w:r>
        <w:rPr>
          <w:rFonts w:hint="eastAsia"/>
          <w:vertAlign w:val="superscript"/>
          <w:lang w:val="en-US" w:eastAsia="zh-CN"/>
        </w:rPr>
        <w:t>7</w:t>
      </w:r>
      <w:r>
        <w:rPr>
          <w:rFonts w:hint="eastAsia"/>
        </w:rPr>
        <w:t>cm/s</w:t>
      </w:r>
      <w:r>
        <w:rPr>
          <w:rFonts w:hint="eastAsia"/>
          <w:lang w:val="en-US" w:eastAsia="zh-CN"/>
        </w:rPr>
        <w:t>的要求。</w:t>
      </w:r>
    </w:p>
    <w:p>
      <w:pPr>
        <w:bidi w:val="0"/>
        <w:rPr>
          <w:rFonts w:hint="eastAsia"/>
        </w:rPr>
      </w:pPr>
      <w:r>
        <w:rPr>
          <w:rFonts w:hint="eastAsia"/>
          <w:b/>
          <w:bCs/>
        </w:rPr>
        <w:t>一般防渗区：</w:t>
      </w:r>
      <w:r>
        <w:rPr>
          <w:rFonts w:hint="eastAsia"/>
          <w:lang w:eastAsia="zh-CN"/>
        </w:rPr>
        <w:t>待宰圈</w:t>
      </w:r>
      <w:r>
        <w:rPr>
          <w:rFonts w:hint="eastAsia"/>
        </w:rPr>
        <w:t>、屠宰车间、急宰间、隔离间、垃圾回收站</w:t>
      </w:r>
      <w:r>
        <w:rPr>
          <w:rFonts w:hint="eastAsia"/>
          <w:lang w:eastAsia="zh-CN"/>
        </w:rPr>
        <w:t>、</w:t>
      </w:r>
      <w:r>
        <w:rPr>
          <w:rFonts w:hint="eastAsia"/>
          <w:lang w:val="en-US" w:eastAsia="zh-CN"/>
        </w:rPr>
        <w:t>应急事故池、废水暂存池</w:t>
      </w:r>
      <w:r>
        <w:rPr>
          <w:rFonts w:hint="eastAsia"/>
        </w:rPr>
        <w:t>为一般防渗区，防渗技术</w:t>
      </w:r>
      <w:r>
        <w:rPr>
          <w:rFonts w:hint="eastAsia"/>
          <w:lang w:val="en-US" w:eastAsia="zh-CN"/>
        </w:rPr>
        <w:t>采用防渗混凝土可满足</w:t>
      </w:r>
      <w:r>
        <w:rPr>
          <w:rFonts w:hint="eastAsia"/>
        </w:rPr>
        <w:t>等效粘土防渗层</w:t>
      </w:r>
      <w:r>
        <w:rPr>
          <w:rFonts w:hint="default"/>
        </w:rPr>
        <w:t>Mb≥1.5m</w:t>
      </w:r>
      <w:r>
        <w:rPr>
          <w:rFonts w:hint="eastAsia"/>
        </w:rPr>
        <w:t>，</w:t>
      </w:r>
      <w:r>
        <w:rPr>
          <w:rFonts w:hint="default"/>
        </w:rPr>
        <w:t>K≤10</w:t>
      </w:r>
      <w:r>
        <w:rPr>
          <w:rFonts w:hint="default"/>
          <w:vertAlign w:val="superscript"/>
        </w:rPr>
        <w:t>-7</w:t>
      </w:r>
      <w:r>
        <w:rPr>
          <w:rFonts w:hint="default"/>
        </w:rPr>
        <w:t>cm/s</w:t>
      </w:r>
      <w:r>
        <w:rPr>
          <w:rFonts w:hint="eastAsia"/>
          <w:lang w:val="en-US" w:eastAsia="zh-CN"/>
        </w:rPr>
        <w:t>的要求</w:t>
      </w:r>
      <w:r>
        <w:rPr>
          <w:rFonts w:hint="eastAsia"/>
        </w:rPr>
        <w:t>。</w:t>
      </w:r>
    </w:p>
    <w:p>
      <w:pPr>
        <w:bidi w:val="0"/>
        <w:rPr>
          <w:rFonts w:hint="eastAsia"/>
        </w:rPr>
      </w:pPr>
      <w:r>
        <w:rPr>
          <w:rFonts w:hint="eastAsia"/>
          <w:b/>
          <w:bCs/>
        </w:rPr>
        <w:t>简单防渗区：</w:t>
      </w:r>
      <w:r>
        <w:rPr>
          <w:rFonts w:hint="eastAsia"/>
        </w:rPr>
        <w:t>倒班房、道路等除重点防渗区和一般防渗区以外的区域。防渗技术要求为一般地面硬化。</w:t>
      </w:r>
    </w:p>
    <w:p>
      <w:pPr>
        <w:bidi w:val="0"/>
        <w:rPr>
          <w:rFonts w:hint="eastAsia"/>
          <w:b/>
          <w:bCs/>
        </w:rPr>
      </w:pPr>
      <w:r>
        <w:rPr>
          <w:rFonts w:hint="eastAsia"/>
          <w:b/>
          <w:bCs/>
        </w:rPr>
        <w:t>防渗工程设计原则：</w:t>
      </w:r>
    </w:p>
    <w:p>
      <w:pPr>
        <w:bidi w:val="0"/>
        <w:rPr>
          <w:rFonts w:hint="eastAsia"/>
        </w:rPr>
      </w:pPr>
      <w:r>
        <w:rPr>
          <w:rFonts w:hint="eastAsia"/>
        </w:rPr>
        <w:t>采用国内先进的防渗材料、技术和实施手段，杜绝对区域内地下水的影响，确保不因项目运行而对区域地下水造成任何污染影响。</w:t>
      </w:r>
    </w:p>
    <w:p>
      <w:pPr>
        <w:bidi w:val="0"/>
        <w:rPr>
          <w:rFonts w:hint="eastAsia"/>
        </w:rPr>
      </w:pPr>
      <w:r>
        <w:rPr>
          <w:rFonts w:hint="eastAsia"/>
        </w:rPr>
        <w:t>坚持分区管理和控制原则，根据场址所在地的工程水文地质条件和全厂可能发生泄漏的物料性质，参照相应标准要求有针对性的分区，并分别设计地面防渗层结构。</w:t>
      </w:r>
    </w:p>
    <w:p>
      <w:pPr>
        <w:bidi w:val="0"/>
        <w:rPr>
          <w:rFonts w:hint="eastAsia"/>
        </w:rPr>
      </w:pPr>
      <w:r>
        <w:rPr>
          <w:rFonts w:hint="eastAsia"/>
        </w:rPr>
        <w:t>坚持</w:t>
      </w:r>
      <w:r>
        <w:rPr>
          <w:rFonts w:hint="eastAsia"/>
          <w:lang w:eastAsia="zh-CN"/>
        </w:rPr>
        <w:t>“</w:t>
      </w:r>
      <w:r>
        <w:rPr>
          <w:rFonts w:hint="eastAsia"/>
        </w:rPr>
        <w:t>可视化</w:t>
      </w:r>
      <w:r>
        <w:rPr>
          <w:rFonts w:hint="eastAsia"/>
          <w:lang w:eastAsia="zh-CN"/>
        </w:rPr>
        <w:t>”</w:t>
      </w:r>
      <w:r>
        <w:rPr>
          <w:rFonts w:hint="eastAsia"/>
        </w:rPr>
        <w:t>原则，在满足工程和防渗层结构标准要求的前提下，尽量在地表面实施防渗措施，便于泄漏物质的收集和及时发现破损的防渗层。</w:t>
      </w:r>
    </w:p>
    <w:p>
      <w:pPr>
        <w:spacing w:beforeLines="0" w:afterLines="0"/>
        <w:jc w:val="left"/>
        <w:rPr>
          <w:rFonts w:hint="eastAsia" w:ascii="宋体" w:hAnsi="宋体" w:eastAsia="宋体"/>
          <w:sz w:val="24"/>
          <w:szCs w:val="24"/>
        </w:rPr>
      </w:pPr>
      <w:r>
        <w:rPr>
          <w:rFonts w:hint="eastAsia"/>
        </w:rPr>
        <w:t>防渗层上渗漏污染物和防渗层内渗漏污染物收集系统与全厂</w:t>
      </w:r>
      <w:r>
        <w:rPr>
          <w:rFonts w:hint="eastAsia"/>
          <w:lang w:eastAsia="zh-CN"/>
        </w:rPr>
        <w:t>“</w:t>
      </w:r>
      <w:r>
        <w:rPr>
          <w:rFonts w:hint="eastAsia"/>
        </w:rPr>
        <w:t>三废</w:t>
      </w:r>
      <w:r>
        <w:rPr>
          <w:rFonts w:hint="eastAsia"/>
          <w:lang w:eastAsia="zh-CN"/>
        </w:rPr>
        <w:t>”</w:t>
      </w:r>
      <w:r>
        <w:rPr>
          <w:rFonts w:hint="eastAsia"/>
        </w:rPr>
        <w:t>处理措施统筹考虑，</w:t>
      </w:r>
      <w:r>
        <w:rPr>
          <w:rFonts w:hint="eastAsia" w:ascii="宋体" w:hAnsi="宋体" w:eastAsia="宋体"/>
          <w:sz w:val="24"/>
          <w:szCs w:val="24"/>
        </w:rPr>
        <w:t>统一处理。</w:t>
      </w:r>
    </w:p>
    <w:p>
      <w:pPr>
        <w:bidi w:val="0"/>
        <w:rPr>
          <w:rFonts w:hint="eastAsia"/>
          <w:b/>
          <w:bCs/>
        </w:rPr>
      </w:pPr>
      <w:r>
        <w:rPr>
          <w:rFonts w:hint="eastAsia"/>
          <w:b/>
          <w:bCs/>
        </w:rPr>
        <w:t>（</w:t>
      </w:r>
      <w:r>
        <w:rPr>
          <w:rFonts w:hint="default"/>
          <w:b/>
          <w:bCs/>
        </w:rPr>
        <w:t>3</w:t>
      </w:r>
      <w:r>
        <w:rPr>
          <w:rFonts w:hint="eastAsia"/>
          <w:b/>
          <w:bCs/>
        </w:rPr>
        <w:t>）其他防治措施</w:t>
      </w:r>
    </w:p>
    <w:p>
      <w:pPr>
        <w:bidi w:val="0"/>
        <w:rPr>
          <w:rFonts w:hint="eastAsia"/>
        </w:rPr>
      </w:pPr>
      <w:r>
        <w:rPr>
          <w:rFonts w:hint="eastAsia"/>
        </w:rPr>
        <w:t>本项目生产工艺采用国内成熟的工艺，减少污染物的排放；各防渗分区做好地面硬化，采取防雨、防风、防渗措施，污水管道等选用做防渗、防腐处理的管道。</w:t>
      </w:r>
    </w:p>
    <w:p>
      <w:pPr>
        <w:bidi w:val="0"/>
        <w:rPr>
          <w:rFonts w:hint="eastAsia"/>
        </w:rPr>
      </w:pPr>
      <w:r>
        <w:rPr>
          <w:rFonts w:hint="eastAsia"/>
        </w:rPr>
        <w:t>①排水管道必须具有足够的强度，以承受外部荷载和内部水压，外部荷载包括土压力形成的静荷载和由车辆运行所造成的动荷载。重力流排水管道在发生淤塞，也会形成内部水压，因此重力流排水管道也需适当考虑承受内压力。</w:t>
      </w:r>
    </w:p>
    <w:p>
      <w:pPr>
        <w:bidi w:val="0"/>
        <w:rPr>
          <w:rFonts w:hint="eastAsia"/>
        </w:rPr>
      </w:pPr>
      <w:r>
        <w:rPr>
          <w:rFonts w:hint="eastAsia"/>
        </w:rPr>
        <w:t>②排水管道除具有抗废水中杂质的冲刷和磨损的作用外，还应该具有一定的抗腐蚀的性能，以免受废水或地下水的侵蚀作用而损坏。</w:t>
      </w:r>
    </w:p>
    <w:p>
      <w:pPr>
        <w:bidi w:val="0"/>
        <w:rPr>
          <w:rFonts w:hint="eastAsia"/>
        </w:rPr>
      </w:pPr>
      <w:r>
        <w:rPr>
          <w:rFonts w:hint="eastAsia"/>
        </w:rPr>
        <w:t>③排水管道应具有良好的防渗漏性能，以防止废水渗出或地下水渗入。废水从管道渗出，不仅会污染地下水或水体，还可能导致破坏管道及附近建筑物的基础；而地下水渗入污水管道，将降低管道的排水能力，增大污水泵的水力负荷。</w:t>
      </w:r>
    </w:p>
    <w:p>
      <w:pPr>
        <w:bidi w:val="0"/>
        <w:rPr>
          <w:rFonts w:hint="eastAsia"/>
        </w:rPr>
      </w:pPr>
      <w:r>
        <w:rPr>
          <w:rFonts w:hint="eastAsia"/>
        </w:rPr>
        <w:t>④排水管道的内壁应光滑，以尽量减小管道输水的阻力损失。</w:t>
      </w:r>
    </w:p>
    <w:p>
      <w:pPr>
        <w:bidi w:val="0"/>
        <w:rPr>
          <w:rFonts w:hint="eastAsia"/>
        </w:rPr>
      </w:pPr>
      <w:r>
        <w:rPr>
          <w:rFonts w:hint="eastAsia"/>
        </w:rPr>
        <w:t>⑤加强施工质量管理，对管道和施工技术质量要求进行严格控制。</w:t>
      </w:r>
    </w:p>
    <w:p>
      <w:pPr>
        <w:bidi w:val="0"/>
        <w:rPr>
          <w:rFonts w:hint="eastAsia"/>
        </w:rPr>
      </w:pPr>
      <w:r>
        <w:rPr>
          <w:rFonts w:hint="eastAsia"/>
        </w:rPr>
        <w:t>⑥在厂区出口绿化带处（厂区地下水流向下游）设</w:t>
      </w:r>
      <w:r>
        <w:rPr>
          <w:rFonts w:hint="default"/>
        </w:rPr>
        <w:t>1</w:t>
      </w:r>
      <w:r>
        <w:rPr>
          <w:rFonts w:hint="eastAsia"/>
        </w:rPr>
        <w:t>口水质监测井，跟踪监测地下水水质。</w:t>
      </w:r>
    </w:p>
    <w:p>
      <w:pPr>
        <w:bidi w:val="0"/>
        <w:rPr>
          <w:rFonts w:hint="eastAsia"/>
        </w:rPr>
      </w:pPr>
      <w:r>
        <w:rPr>
          <w:rFonts w:hint="eastAsia"/>
        </w:rPr>
        <w:t>综上，采取以上地下水防治措施后，本项目防渗措施基本满足《环境影响评价技术导则</w:t>
      </w:r>
      <w:r>
        <w:rPr>
          <w:rFonts w:hint="eastAsia"/>
          <w:lang w:eastAsia="zh-CN"/>
        </w:rPr>
        <w:t>－</w:t>
      </w:r>
      <w:r>
        <w:rPr>
          <w:rFonts w:hint="eastAsia"/>
        </w:rPr>
        <w:t>地下水环境》（</w:t>
      </w:r>
      <w:r>
        <w:rPr>
          <w:rFonts w:hint="default"/>
        </w:rPr>
        <w:t>HJ610-2016</w:t>
      </w:r>
      <w:r>
        <w:rPr>
          <w:rFonts w:hint="eastAsia"/>
        </w:rPr>
        <w:t>）中防渗技术要求，可从污染源头和途径上减少因废水泄漏渗、漏入地下水，不会对地下水环境造成明显影响，治理措施技术经济可行。</w:t>
      </w:r>
    </w:p>
    <w:p>
      <w:pPr>
        <w:pStyle w:val="5"/>
        <w:bidi w:val="0"/>
        <w:rPr>
          <w:rFonts w:hint="default"/>
          <w:lang w:val="en-US" w:eastAsia="zh-CN"/>
        </w:rPr>
      </w:pPr>
      <w:r>
        <w:rPr>
          <w:rFonts w:hint="eastAsia"/>
          <w:lang w:val="en-US" w:eastAsia="zh-CN"/>
        </w:rPr>
        <w:t>噪声污染防治措施</w:t>
      </w:r>
    </w:p>
    <w:p>
      <w:pPr>
        <w:pStyle w:val="6"/>
        <w:bidi w:val="0"/>
        <w:rPr>
          <w:rFonts w:hint="default"/>
          <w:lang w:val="en-US" w:eastAsia="zh-CN"/>
        </w:rPr>
      </w:pPr>
      <w:r>
        <w:rPr>
          <w:rFonts w:hint="eastAsia"/>
          <w:lang w:val="en-US" w:eastAsia="zh-CN"/>
        </w:rPr>
        <w:t>技术防治措施</w:t>
      </w:r>
    </w:p>
    <w:p>
      <w:pPr>
        <w:bidi w:val="0"/>
        <w:rPr>
          <w:rFonts w:hint="eastAsia"/>
          <w:b/>
          <w:bCs/>
        </w:rPr>
      </w:pPr>
      <w:r>
        <w:rPr>
          <w:rFonts w:hint="eastAsia"/>
          <w:b/>
          <w:bCs/>
        </w:rPr>
        <w:t>（</w:t>
      </w:r>
      <w:r>
        <w:rPr>
          <w:rFonts w:hint="default"/>
          <w:b/>
          <w:bCs/>
        </w:rPr>
        <w:t>1</w:t>
      </w:r>
      <w:r>
        <w:rPr>
          <w:rFonts w:hint="eastAsia"/>
          <w:b/>
          <w:bCs/>
        </w:rPr>
        <w:t>）从声源方面采取的降噪措施</w:t>
      </w:r>
    </w:p>
    <w:p>
      <w:pPr>
        <w:bidi w:val="0"/>
        <w:rPr>
          <w:rFonts w:hint="eastAsia"/>
        </w:rPr>
      </w:pPr>
      <w:r>
        <w:rPr>
          <w:rFonts w:hint="eastAsia"/>
        </w:rPr>
        <w:t>备用柴油发电机、空压机、各种风机、水泵等产噪设备选型上使用国内先进的低噪声设备，并维持设备处于良好的运转状态。</w:t>
      </w:r>
    </w:p>
    <w:p>
      <w:pPr>
        <w:bidi w:val="0"/>
        <w:rPr>
          <w:rFonts w:hint="eastAsia"/>
          <w:b/>
          <w:bCs/>
        </w:rPr>
      </w:pPr>
      <w:r>
        <w:rPr>
          <w:rFonts w:hint="eastAsia"/>
          <w:b/>
          <w:bCs/>
        </w:rPr>
        <w:t>（</w:t>
      </w:r>
      <w:r>
        <w:rPr>
          <w:rFonts w:hint="default"/>
          <w:b/>
          <w:bCs/>
        </w:rPr>
        <w:t>2</w:t>
      </w:r>
      <w:r>
        <w:rPr>
          <w:rFonts w:hint="eastAsia"/>
          <w:b/>
          <w:bCs/>
        </w:rPr>
        <w:t>）从噪声传播途径上采取的降噪措施</w:t>
      </w:r>
    </w:p>
    <w:p>
      <w:pPr>
        <w:bidi w:val="0"/>
        <w:rPr>
          <w:rFonts w:hint="eastAsia"/>
        </w:rPr>
      </w:pPr>
      <w:r>
        <w:rPr>
          <w:rFonts w:hint="default"/>
        </w:rPr>
        <w:t>1</w:t>
      </w:r>
      <w:r>
        <w:rPr>
          <w:rFonts w:hint="eastAsia"/>
        </w:rPr>
        <w:t>）振动设备设单独基础，所有产噪设备均安装于室内，设置空压机房，减少项目空压机工作时对周边企业的影响，并利用墙体隔声减小噪声对外环境的影响；</w:t>
      </w:r>
    </w:p>
    <w:p>
      <w:pPr>
        <w:bidi w:val="0"/>
        <w:rPr>
          <w:rFonts w:hint="eastAsia"/>
        </w:rPr>
      </w:pPr>
      <w:r>
        <w:rPr>
          <w:rFonts w:hint="default"/>
        </w:rPr>
        <w:t>2</w:t>
      </w:r>
      <w:r>
        <w:rPr>
          <w:rFonts w:hint="eastAsia"/>
        </w:rPr>
        <w:t>）对发电机组基础安装减振垫，设置于室内。</w:t>
      </w:r>
    </w:p>
    <w:p>
      <w:pPr>
        <w:bidi w:val="0"/>
        <w:rPr>
          <w:rFonts w:hint="eastAsia"/>
        </w:rPr>
      </w:pPr>
      <w:r>
        <w:rPr>
          <w:rFonts w:hint="default"/>
        </w:rPr>
        <w:t>3</w:t>
      </w:r>
      <w:r>
        <w:rPr>
          <w:rFonts w:hint="eastAsia"/>
        </w:rPr>
        <w:t>）空压机、引风机等安装时应设置</w:t>
      </w:r>
      <w:r>
        <w:rPr>
          <w:rFonts w:hint="eastAsia"/>
          <w:lang w:eastAsia="zh-CN"/>
        </w:rPr>
        <w:t>防震</w:t>
      </w:r>
      <w:r>
        <w:rPr>
          <w:rFonts w:hint="eastAsia"/>
        </w:rPr>
        <w:t>垫或阻尼弹簧减振器，隔振效率应大于或等于</w:t>
      </w:r>
      <w:r>
        <w:rPr>
          <w:rFonts w:hint="default"/>
        </w:rPr>
        <w:t>80%</w:t>
      </w:r>
      <w:r>
        <w:rPr>
          <w:rFonts w:hint="eastAsia"/>
        </w:rPr>
        <w:t>；</w:t>
      </w:r>
    </w:p>
    <w:p>
      <w:pPr>
        <w:bidi w:val="0"/>
        <w:rPr>
          <w:rFonts w:hint="eastAsia"/>
        </w:rPr>
      </w:pPr>
      <w:r>
        <w:rPr>
          <w:rFonts w:hint="default"/>
        </w:rPr>
        <w:t>4</w:t>
      </w:r>
      <w:r>
        <w:rPr>
          <w:rFonts w:hint="eastAsia"/>
        </w:rPr>
        <w:t>）废气处理系统风机设置</w:t>
      </w:r>
      <w:r>
        <w:rPr>
          <w:rFonts w:hint="eastAsia"/>
          <w:lang w:val="en-US" w:eastAsia="zh-CN"/>
        </w:rPr>
        <w:t>基础减振</w:t>
      </w:r>
      <w:r>
        <w:rPr>
          <w:rFonts w:hint="eastAsia"/>
        </w:rPr>
        <w:t>；</w:t>
      </w:r>
    </w:p>
    <w:p>
      <w:pPr>
        <w:bidi w:val="0"/>
        <w:rPr>
          <w:rFonts w:hint="eastAsia"/>
        </w:rPr>
      </w:pPr>
      <w:r>
        <w:rPr>
          <w:rFonts w:hint="default"/>
        </w:rPr>
        <w:t>5</w:t>
      </w:r>
      <w:r>
        <w:rPr>
          <w:rFonts w:hint="eastAsia"/>
        </w:rPr>
        <w:t>）在引送风机进气和排气口加装消声器，且采用柔性接口；</w:t>
      </w:r>
    </w:p>
    <w:p>
      <w:pPr>
        <w:bidi w:val="0"/>
        <w:rPr>
          <w:rFonts w:hint="eastAsia"/>
        </w:rPr>
      </w:pPr>
      <w:r>
        <w:rPr>
          <w:rFonts w:hint="default"/>
        </w:rPr>
        <w:t>6</w:t>
      </w:r>
      <w:r>
        <w:rPr>
          <w:rFonts w:hint="eastAsia"/>
        </w:rPr>
        <w:t>）水泵加装减振器，进水管道设可曲挠管道橡胶伸缩接头以减小水锤冲击和水泵震动产生的噪声，连接水泵进出口的水管、进出隔墙处与运转设备连接的管道均采用减震吊架。</w:t>
      </w:r>
    </w:p>
    <w:p>
      <w:pPr>
        <w:pStyle w:val="6"/>
        <w:bidi w:val="0"/>
        <w:rPr>
          <w:rFonts w:hint="default"/>
          <w:lang w:val="en-US" w:eastAsia="zh-CN"/>
        </w:rPr>
      </w:pPr>
      <w:r>
        <w:rPr>
          <w:rFonts w:hint="eastAsia"/>
          <w:lang w:val="en-US" w:eastAsia="zh-CN"/>
        </w:rPr>
        <w:t>管理措施</w:t>
      </w:r>
    </w:p>
    <w:p>
      <w:pPr>
        <w:numPr>
          <w:ilvl w:val="0"/>
          <w:numId w:val="10"/>
        </w:numPr>
        <w:bidi w:val="0"/>
        <w:rPr>
          <w:rFonts w:hint="eastAsia"/>
          <w:b/>
          <w:bCs/>
        </w:rPr>
      </w:pPr>
      <w:r>
        <w:rPr>
          <w:rFonts w:hint="eastAsia"/>
          <w:b/>
          <w:bCs/>
        </w:rPr>
        <w:t>严格按照环评的要求组织生产</w:t>
      </w:r>
    </w:p>
    <w:p>
      <w:pPr>
        <w:bidi w:val="0"/>
        <w:rPr>
          <w:rFonts w:hint="eastAsia"/>
        </w:rPr>
      </w:pPr>
      <w:r>
        <w:rPr>
          <w:rFonts w:hint="eastAsia"/>
        </w:rPr>
        <w:t>接收生猪在白天进行，严禁夜间收猪。</w:t>
      </w:r>
    </w:p>
    <w:p>
      <w:pPr>
        <w:bidi w:val="0"/>
        <w:rPr>
          <w:rFonts w:hint="eastAsia"/>
          <w:b/>
          <w:bCs/>
        </w:rPr>
      </w:pPr>
      <w:r>
        <w:rPr>
          <w:rFonts w:hint="eastAsia"/>
          <w:b/>
          <w:bCs/>
        </w:rPr>
        <w:t>（</w:t>
      </w:r>
      <w:r>
        <w:rPr>
          <w:rFonts w:hint="default"/>
          <w:b/>
          <w:bCs/>
        </w:rPr>
        <w:t>2</w:t>
      </w:r>
      <w:r>
        <w:rPr>
          <w:rFonts w:hint="eastAsia"/>
          <w:b/>
          <w:bCs/>
        </w:rPr>
        <w:t>）加强场区内绿化，充分利用建筑物、绿化带阻隔声波传播。</w:t>
      </w:r>
    </w:p>
    <w:p>
      <w:pPr>
        <w:bidi w:val="0"/>
        <w:rPr>
          <w:rFonts w:hint="eastAsia"/>
        </w:rPr>
      </w:pPr>
      <w:r>
        <w:rPr>
          <w:rFonts w:hint="eastAsia"/>
        </w:rPr>
        <w:t>在厂界四周墙内种植常绿防护树林，减少车间噪声对声环境的影响；制定噪声监测方案，并对降噪减噪设施的使用运行、维护保养等方面纳入了公司的管理要求。</w:t>
      </w:r>
    </w:p>
    <w:p>
      <w:pPr>
        <w:bidi w:val="0"/>
        <w:rPr>
          <w:rFonts w:hint="eastAsia"/>
        </w:rPr>
      </w:pPr>
      <w:r>
        <w:rPr>
          <w:rFonts w:hint="eastAsia"/>
        </w:rPr>
        <w:t>综上所述，营运期采取以上噪声防治措施后，厂界噪声满足《工业企业厂界环境噪声排放标准》（</w:t>
      </w:r>
      <w:r>
        <w:rPr>
          <w:rFonts w:hint="default"/>
        </w:rPr>
        <w:t>GB12348-2008</w:t>
      </w:r>
      <w:r>
        <w:rPr>
          <w:rFonts w:hint="eastAsia"/>
        </w:rPr>
        <w:t>）</w:t>
      </w:r>
      <w:r>
        <w:rPr>
          <w:rFonts w:hint="default"/>
        </w:rPr>
        <w:t>2</w:t>
      </w:r>
      <w:r>
        <w:rPr>
          <w:rFonts w:hint="eastAsia"/>
        </w:rPr>
        <w:t>类标准要求，实现达标排放，噪声治理措施可行。</w:t>
      </w:r>
    </w:p>
    <w:p>
      <w:pPr>
        <w:pStyle w:val="5"/>
        <w:bidi w:val="0"/>
        <w:rPr>
          <w:rFonts w:hint="default"/>
          <w:lang w:val="en-US" w:eastAsia="zh-CN"/>
        </w:rPr>
      </w:pPr>
      <w:r>
        <w:rPr>
          <w:rFonts w:hint="eastAsia"/>
          <w:lang w:val="en-US" w:eastAsia="zh-CN"/>
        </w:rPr>
        <w:t>固体废物污染防治措施</w:t>
      </w:r>
    </w:p>
    <w:p>
      <w:pPr>
        <w:bidi w:val="0"/>
        <w:rPr>
          <w:rFonts w:hint="default"/>
          <w:b/>
          <w:bCs/>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一般固废</w:t>
      </w:r>
    </w:p>
    <w:p>
      <w:pPr>
        <w:spacing w:beforeLines="0" w:afterLines="0"/>
        <w:jc w:val="left"/>
        <w:rPr>
          <w:rFonts w:hint="eastAsia"/>
        </w:rPr>
      </w:pPr>
      <w:r>
        <w:rPr>
          <w:rFonts w:hint="eastAsia" w:ascii="宋体" w:hAnsi="宋体" w:eastAsia="宋体"/>
          <w:sz w:val="24"/>
          <w:szCs w:val="24"/>
        </w:rPr>
        <w:t>根据工程分析，本项目营运期产生的生活垃圾经集中收集后交环卫部门及时清运；猪粪及肠胃内容物、污水处理站栅渣委托生产有机肥料的单位进行处置；污水处理站污泥经脱水后交环卫部门及时清运，废油脂委托有资质单位进行处置；检疫不合格猪及病胴体、病内脏、不可食用内脏、检疫后残渣、废弃动物组织及碎肉碎骨等</w:t>
      </w:r>
      <w:r>
        <w:rPr>
          <w:rFonts w:hint="eastAsia" w:ascii="宋体" w:hAnsi="宋体" w:eastAsia="宋体"/>
          <w:sz w:val="24"/>
          <w:szCs w:val="24"/>
          <w:lang w:val="en-US" w:eastAsia="zh-CN"/>
        </w:rPr>
        <w:t>通过无害化处理一体设备</w:t>
      </w:r>
      <w:r>
        <w:rPr>
          <w:rFonts w:hint="eastAsia" w:ascii="宋体" w:hAnsi="宋体" w:eastAsia="宋体"/>
          <w:sz w:val="24"/>
          <w:szCs w:val="24"/>
        </w:rPr>
        <w:t>处置；餐厨垃圾采用专用收集桶收集后，由经城管部门许可的餐厨垃圾收运单位处置。</w:t>
      </w:r>
    </w:p>
    <w:p>
      <w:pPr>
        <w:pStyle w:val="29"/>
        <w:bidi w:val="0"/>
        <w:rPr>
          <w:rFonts w:hint="eastAsia"/>
          <w:lang w:val="en-US" w:eastAsia="zh-CN"/>
        </w:rPr>
      </w:pPr>
      <w:r>
        <w:rPr>
          <w:rFonts w:hint="eastAsia"/>
          <w:lang w:val="en-US" w:eastAsia="zh-CN"/>
        </w:rPr>
        <w:t>表7.2-5  项目一般固废产生及处理措施一览表</w:t>
      </w:r>
    </w:p>
    <w:tbl>
      <w:tblPr>
        <w:tblStyle w:val="23"/>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2521"/>
        <w:gridCol w:w="1411"/>
        <w:gridCol w:w="1559"/>
        <w:gridCol w:w="3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序号</w:t>
            </w:r>
          </w:p>
        </w:tc>
        <w:tc>
          <w:tcPr>
            <w:tcW w:w="1311"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名称</w:t>
            </w:r>
          </w:p>
        </w:tc>
        <w:tc>
          <w:tcPr>
            <w:tcW w:w="733"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产生位置</w:t>
            </w:r>
          </w:p>
        </w:tc>
        <w:tc>
          <w:tcPr>
            <w:tcW w:w="811"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产生量（t/a）</w:t>
            </w:r>
          </w:p>
        </w:tc>
        <w:tc>
          <w:tcPr>
            <w:tcW w:w="1761"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1311" w:type="pct"/>
            <w:tcBorders>
              <w:tl2br w:val="nil"/>
              <w:tr2bl w:val="nil"/>
            </w:tcBorders>
            <w:vAlign w:val="center"/>
          </w:tcPr>
          <w:p>
            <w:pPr>
              <w:pStyle w:val="30"/>
              <w:widowControl w:val="0"/>
              <w:bidi w:val="0"/>
              <w:jc w:val="center"/>
              <w:rPr>
                <w:rFonts w:hint="default"/>
                <w:lang w:val="en-US" w:eastAsia="zh-CN"/>
              </w:rPr>
            </w:pPr>
            <w:r>
              <w:rPr>
                <w:rFonts w:hint="eastAsia"/>
              </w:rPr>
              <w:t>检疫不合格猪</w:t>
            </w:r>
            <w:r>
              <w:rPr>
                <w:rFonts w:hint="eastAsia"/>
                <w:lang w:eastAsia="zh-CN"/>
              </w:rPr>
              <w:t>、</w:t>
            </w:r>
            <w:r>
              <w:rPr>
                <w:rFonts w:hint="eastAsia"/>
                <w:lang w:val="en-US" w:eastAsia="zh-CN"/>
              </w:rPr>
              <w:t>牛</w:t>
            </w:r>
            <w:r>
              <w:rPr>
                <w:rFonts w:hint="eastAsia"/>
              </w:rPr>
              <w:t>及病胴体、病内脏</w:t>
            </w:r>
          </w:p>
        </w:tc>
        <w:tc>
          <w:tcPr>
            <w:tcW w:w="733"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待宰圈、屠宰车间</w:t>
            </w:r>
          </w:p>
        </w:tc>
        <w:tc>
          <w:tcPr>
            <w:tcW w:w="81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68</w:t>
            </w:r>
          </w:p>
        </w:tc>
        <w:tc>
          <w:tcPr>
            <w:tcW w:w="1761" w:type="pct"/>
            <w:vMerge w:val="restart"/>
            <w:tcBorders>
              <w:tl2br w:val="nil"/>
              <w:tr2bl w:val="nil"/>
            </w:tcBorders>
            <w:vAlign w:val="center"/>
          </w:tcPr>
          <w:p>
            <w:pPr>
              <w:pStyle w:val="30"/>
              <w:widowControl/>
              <w:bidi w:val="0"/>
              <w:jc w:val="center"/>
              <w:rPr>
                <w:rFonts w:hint="default"/>
                <w:vertAlign w:val="baseline"/>
                <w:lang w:val="en-US" w:eastAsia="zh-CN"/>
              </w:rPr>
            </w:pPr>
            <w:r>
              <w:rPr>
                <w:rFonts w:hint="eastAsia"/>
                <w:lang w:val="en-US" w:eastAsia="zh-CN"/>
              </w:rPr>
              <w:t>暂存于无害化暂存间后交由成都市科农动物无害化处置有限公司处置</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w:t>
            </w:r>
          </w:p>
        </w:tc>
        <w:tc>
          <w:tcPr>
            <w:tcW w:w="131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粪便</w:t>
            </w:r>
            <w:r>
              <w:rPr>
                <w:rFonts w:hint="eastAsia"/>
              </w:rPr>
              <w:t>及肠胃内容物</w:t>
            </w:r>
          </w:p>
        </w:tc>
        <w:tc>
          <w:tcPr>
            <w:tcW w:w="7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81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2017</w:t>
            </w:r>
          </w:p>
        </w:tc>
        <w:tc>
          <w:tcPr>
            <w:tcW w:w="1761" w:type="pct"/>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w:t>
            </w:r>
          </w:p>
        </w:tc>
        <w:tc>
          <w:tcPr>
            <w:tcW w:w="1311" w:type="pct"/>
            <w:tcBorders>
              <w:tl2br w:val="nil"/>
              <w:tr2bl w:val="nil"/>
            </w:tcBorders>
            <w:vAlign w:val="center"/>
          </w:tcPr>
          <w:p>
            <w:pPr>
              <w:pStyle w:val="30"/>
              <w:widowControl w:val="0"/>
              <w:bidi w:val="0"/>
              <w:jc w:val="center"/>
              <w:rPr>
                <w:rFonts w:hint="default"/>
                <w:lang w:val="en-US" w:eastAsia="zh-CN"/>
              </w:rPr>
            </w:pPr>
            <w:r>
              <w:rPr>
                <w:rFonts w:hint="eastAsia"/>
              </w:rPr>
              <w:t>不可食用内脏</w:t>
            </w:r>
          </w:p>
        </w:tc>
        <w:tc>
          <w:tcPr>
            <w:tcW w:w="733"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屠宰车间</w:t>
            </w:r>
          </w:p>
        </w:tc>
        <w:tc>
          <w:tcPr>
            <w:tcW w:w="81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720</w:t>
            </w:r>
          </w:p>
        </w:tc>
        <w:tc>
          <w:tcPr>
            <w:tcW w:w="1761" w:type="pct"/>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4</w:t>
            </w:r>
          </w:p>
        </w:tc>
        <w:tc>
          <w:tcPr>
            <w:tcW w:w="1311" w:type="pct"/>
            <w:tcBorders>
              <w:tl2br w:val="nil"/>
              <w:tr2bl w:val="nil"/>
            </w:tcBorders>
            <w:vAlign w:val="center"/>
          </w:tcPr>
          <w:p>
            <w:pPr>
              <w:pStyle w:val="30"/>
              <w:widowControl w:val="0"/>
              <w:bidi w:val="0"/>
              <w:jc w:val="center"/>
              <w:rPr>
                <w:rFonts w:hint="default"/>
                <w:lang w:val="en-US" w:eastAsia="zh-CN"/>
              </w:rPr>
            </w:pPr>
            <w:r>
              <w:rPr>
                <w:rFonts w:hint="eastAsia"/>
              </w:rPr>
              <w:t>检验后残渣、废弃动物组织及碎肉碎骨等</w:t>
            </w:r>
          </w:p>
        </w:tc>
        <w:tc>
          <w:tcPr>
            <w:tcW w:w="7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81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110</w:t>
            </w:r>
          </w:p>
        </w:tc>
        <w:tc>
          <w:tcPr>
            <w:tcW w:w="1761" w:type="pct"/>
            <w:vMerge w:val="continue"/>
            <w:tcBorders>
              <w:tl2br w:val="nil"/>
              <w:tr2bl w:val="nil"/>
            </w:tcBorders>
            <w:vAlign w:val="center"/>
          </w:tcPr>
          <w:p>
            <w:pPr>
              <w:pStyle w:val="30"/>
              <w:widowControl w:val="0"/>
              <w:ind w:firstLine="0" w:firstLineChars="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5</w:t>
            </w:r>
          </w:p>
        </w:tc>
        <w:tc>
          <w:tcPr>
            <w:tcW w:w="1311" w:type="pct"/>
            <w:tcBorders>
              <w:tl2br w:val="nil"/>
              <w:tr2bl w:val="nil"/>
            </w:tcBorders>
            <w:vAlign w:val="center"/>
          </w:tcPr>
          <w:p>
            <w:pPr>
              <w:pStyle w:val="30"/>
              <w:widowControl w:val="0"/>
              <w:bidi w:val="0"/>
              <w:jc w:val="center"/>
              <w:rPr>
                <w:rFonts w:hint="default"/>
                <w:lang w:val="en-US" w:eastAsia="zh-CN"/>
              </w:rPr>
            </w:pPr>
            <w:r>
              <w:rPr>
                <w:rFonts w:hint="eastAsia"/>
              </w:rPr>
              <w:t>栅渣</w:t>
            </w:r>
          </w:p>
        </w:tc>
        <w:tc>
          <w:tcPr>
            <w:tcW w:w="733"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污水处理系统</w:t>
            </w:r>
          </w:p>
        </w:tc>
        <w:tc>
          <w:tcPr>
            <w:tcW w:w="81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300</w:t>
            </w:r>
          </w:p>
        </w:tc>
        <w:tc>
          <w:tcPr>
            <w:tcW w:w="176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交由生产有机肥料的单位进行处置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6</w:t>
            </w:r>
          </w:p>
        </w:tc>
        <w:tc>
          <w:tcPr>
            <w:tcW w:w="1311" w:type="pct"/>
            <w:tcBorders>
              <w:tl2br w:val="nil"/>
              <w:tr2bl w:val="nil"/>
            </w:tcBorders>
            <w:vAlign w:val="center"/>
          </w:tcPr>
          <w:p>
            <w:pPr>
              <w:pStyle w:val="30"/>
              <w:widowControl w:val="0"/>
              <w:bidi w:val="0"/>
              <w:jc w:val="center"/>
              <w:rPr>
                <w:rFonts w:hint="default"/>
                <w:lang w:val="en-US" w:eastAsia="zh-CN"/>
              </w:rPr>
            </w:pPr>
            <w:r>
              <w:rPr>
                <w:rFonts w:hint="eastAsia"/>
              </w:rPr>
              <w:t>污泥</w:t>
            </w:r>
          </w:p>
        </w:tc>
        <w:tc>
          <w:tcPr>
            <w:tcW w:w="7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81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43.4</w:t>
            </w:r>
          </w:p>
        </w:tc>
        <w:tc>
          <w:tcPr>
            <w:tcW w:w="176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交由环卫部门统一清运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7</w:t>
            </w:r>
          </w:p>
        </w:tc>
        <w:tc>
          <w:tcPr>
            <w:tcW w:w="1311" w:type="pct"/>
            <w:tcBorders>
              <w:tl2br w:val="nil"/>
              <w:tr2bl w:val="nil"/>
            </w:tcBorders>
            <w:vAlign w:val="center"/>
          </w:tcPr>
          <w:p>
            <w:pPr>
              <w:pStyle w:val="30"/>
              <w:widowControl w:val="0"/>
              <w:bidi w:val="0"/>
              <w:jc w:val="center"/>
              <w:rPr>
                <w:rFonts w:hint="default"/>
                <w:lang w:val="en-US" w:eastAsia="zh-CN"/>
              </w:rPr>
            </w:pPr>
            <w:r>
              <w:rPr>
                <w:rFonts w:hint="eastAsia"/>
              </w:rPr>
              <w:t>废油脂</w:t>
            </w:r>
          </w:p>
        </w:tc>
        <w:tc>
          <w:tcPr>
            <w:tcW w:w="7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81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27.23</w:t>
            </w:r>
          </w:p>
        </w:tc>
        <w:tc>
          <w:tcPr>
            <w:tcW w:w="176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委托有资质的单位进行处置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8</w:t>
            </w:r>
          </w:p>
        </w:tc>
        <w:tc>
          <w:tcPr>
            <w:tcW w:w="1311" w:type="pct"/>
            <w:tcBorders>
              <w:tl2br w:val="nil"/>
              <w:tr2bl w:val="nil"/>
            </w:tcBorders>
            <w:vAlign w:val="center"/>
          </w:tcPr>
          <w:p>
            <w:pPr>
              <w:pStyle w:val="30"/>
              <w:widowControl w:val="0"/>
              <w:bidi w:val="0"/>
              <w:jc w:val="center"/>
              <w:rPr>
                <w:rFonts w:hint="eastAsia"/>
              </w:rPr>
            </w:pPr>
            <w:r>
              <w:rPr>
                <w:rFonts w:hint="eastAsia"/>
              </w:rPr>
              <w:t>废包装材料、废胶皮手套</w:t>
            </w:r>
          </w:p>
        </w:tc>
        <w:tc>
          <w:tcPr>
            <w:tcW w:w="73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分割车间</w:t>
            </w:r>
          </w:p>
        </w:tc>
        <w:tc>
          <w:tcPr>
            <w:tcW w:w="81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1.2</w:t>
            </w:r>
          </w:p>
        </w:tc>
        <w:tc>
          <w:tcPr>
            <w:tcW w:w="176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外售废品收购站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9</w:t>
            </w:r>
          </w:p>
        </w:tc>
        <w:tc>
          <w:tcPr>
            <w:tcW w:w="1311" w:type="pct"/>
            <w:tcBorders>
              <w:tl2br w:val="nil"/>
              <w:tr2bl w:val="nil"/>
            </w:tcBorders>
            <w:vAlign w:val="center"/>
          </w:tcPr>
          <w:p>
            <w:pPr>
              <w:pStyle w:val="30"/>
              <w:widowControl w:val="0"/>
              <w:bidi w:val="0"/>
              <w:jc w:val="center"/>
              <w:rPr>
                <w:rFonts w:hint="eastAsia"/>
              </w:rPr>
            </w:pPr>
            <w:r>
              <w:rPr>
                <w:rFonts w:hint="eastAsia"/>
              </w:rPr>
              <w:t>生活垃圾</w:t>
            </w:r>
          </w:p>
        </w:tc>
        <w:tc>
          <w:tcPr>
            <w:tcW w:w="73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员工办公生活</w:t>
            </w:r>
          </w:p>
        </w:tc>
        <w:tc>
          <w:tcPr>
            <w:tcW w:w="81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7.5</w:t>
            </w:r>
          </w:p>
        </w:tc>
        <w:tc>
          <w:tcPr>
            <w:tcW w:w="176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交由环卫部门统一清运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2"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10</w:t>
            </w:r>
          </w:p>
        </w:tc>
        <w:tc>
          <w:tcPr>
            <w:tcW w:w="1311" w:type="pct"/>
            <w:tcBorders>
              <w:tl2br w:val="nil"/>
              <w:tr2bl w:val="nil"/>
            </w:tcBorders>
            <w:vAlign w:val="center"/>
          </w:tcPr>
          <w:p>
            <w:pPr>
              <w:pStyle w:val="30"/>
              <w:widowControl w:val="0"/>
              <w:bidi w:val="0"/>
              <w:jc w:val="center"/>
              <w:rPr>
                <w:rFonts w:hint="eastAsia"/>
              </w:rPr>
            </w:pPr>
            <w:r>
              <w:rPr>
                <w:rFonts w:hint="eastAsia"/>
              </w:rPr>
              <w:t>餐厨垃圾</w:t>
            </w:r>
          </w:p>
        </w:tc>
        <w:tc>
          <w:tcPr>
            <w:tcW w:w="733"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食堂</w:t>
            </w:r>
          </w:p>
        </w:tc>
        <w:tc>
          <w:tcPr>
            <w:tcW w:w="811" w:type="pct"/>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0.75</w:t>
            </w:r>
          </w:p>
        </w:tc>
        <w:tc>
          <w:tcPr>
            <w:tcW w:w="176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由经城管部门许可的餐厨垃圾收运单位处置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27" w:type="pct"/>
            <w:gridSpan w:val="3"/>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合计</w:t>
            </w:r>
          </w:p>
        </w:tc>
        <w:tc>
          <w:tcPr>
            <w:tcW w:w="81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3295.08</w:t>
            </w:r>
          </w:p>
        </w:tc>
        <w:tc>
          <w:tcPr>
            <w:tcW w:w="1761"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bidi w:val="0"/>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本项目在待宰圈</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旁</w:t>
      </w: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设置</w:t>
      </w:r>
      <w:r>
        <w:rPr>
          <w:rFonts w:hint="eastAsia" w:cs="Times New Roman" w:eastAsiaTheme="minorEastAsia"/>
          <w:bCs/>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0m</w:t>
      </w:r>
      <w:r>
        <w:rPr>
          <w:rFonts w:hint="default" w:ascii="Times New Roman" w:hAnsi="Times New Roman" w:cs="Times New Roman" w:eastAsiaTheme="minorEastAsia"/>
          <w:bCs/>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eastAsiaTheme="minorEastAsia"/>
          <w:bCs/>
          <w:color w:val="000000" w:themeColor="text1"/>
          <w:sz w:val="24"/>
          <w:szCs w:val="24"/>
          <w:vertAlign w:val="baseline"/>
          <w:lang w:val="en-US" w:eastAsia="zh-CN"/>
          <w14:textFill>
            <w14:solidFill>
              <w14:schemeClr w14:val="tx1"/>
            </w14:solidFill>
          </w14:textFill>
        </w:rPr>
        <w:t>一般</w:t>
      </w: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固废临时存放点，采用</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重点防渗进行</w:t>
      </w: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处理，做到防渗、防漏，全部封闭贮存，整个临时贮存点做好防雨措施。项目一般工业固废在厂区的临时贮存</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应</w:t>
      </w: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符合《一般工业固体废物贮存、处置场污染控制标准》（GB18599-2001，2013修订）中相应规定。设置挡风墙、防雨棚、地面硬化并按重点防渗要求防渗，四周设置集水沟和导流渠，引入废水处理站调节水池，确保渗滤水全部收集处理，不外排。对于屠宰过程中产生的肠溶物及待宰圈的牛</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羊</w:t>
      </w: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粪等，经袋装收集后暂存在固废临时存放点，每日屠宰完毕后一并运至</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崇州市黎坝土地股份合作社</w:t>
      </w: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做农肥。</w:t>
      </w:r>
    </w:p>
    <w:p>
      <w:pPr>
        <w:bidi w:val="0"/>
        <w:rPr>
          <w:rFonts w:hint="default"/>
          <w:lang w:val="en-US" w:eastAsia="zh-CN"/>
        </w:rPr>
      </w:pPr>
      <w:r>
        <w:rPr>
          <w:rFonts w:hint="default"/>
          <w:lang w:val="en-US" w:eastAsia="zh-CN"/>
        </w:rPr>
        <w:t>环评要求，项目各固废暂存设施须做到以下几点：</w:t>
      </w:r>
    </w:p>
    <w:p>
      <w:pPr>
        <w:bidi w:val="0"/>
        <w:rPr>
          <w:rFonts w:hint="default"/>
          <w:lang w:val="en-US" w:eastAsia="zh-CN"/>
        </w:rPr>
      </w:pPr>
      <w:r>
        <w:rPr>
          <w:rFonts w:hint="default"/>
          <w:lang w:val="en-US" w:eastAsia="zh-CN"/>
        </w:rPr>
        <w:t>①时间要求：应做到日产日清；在旺季应提高清运频率，尽量减少牛粪及肠溶物在厂区堆存时间。</w:t>
      </w:r>
    </w:p>
    <w:p>
      <w:pPr>
        <w:bidi w:val="0"/>
        <w:rPr>
          <w:rFonts w:hint="eastAsia"/>
          <w:b/>
          <w:bCs/>
        </w:rPr>
      </w:pPr>
      <w:r>
        <w:rPr>
          <w:rFonts w:hint="default"/>
          <w:lang w:val="en-US" w:eastAsia="zh-CN"/>
        </w:rPr>
        <w:t>②地点要求：必须与生活垃圾存放地分开，有防雨淋的装置，地基高度应确保设施内不受雨洪冲击或浸泡；应有严密的封闭措施，且应地表硬化，做好防渗处理</w:t>
      </w:r>
      <w:r>
        <w:rPr>
          <w:rFonts w:hint="eastAsia"/>
          <w:lang w:val="en-US" w:eastAsia="zh-CN"/>
        </w:rPr>
        <w:t>，</w:t>
      </w:r>
      <w:r>
        <w:rPr>
          <w:rFonts w:hint="default"/>
          <w:lang w:val="en-US" w:eastAsia="zh-CN"/>
        </w:rPr>
        <w:t>以及防鼠、防蚊蝇、防蟑螂；垃圾集中放置场地要做好防渗处理，及时清运，禁止露天堆放、填埋垃圾渣土；对产生的各类固废要求及时清运，做到日产日清；对固废堆场要经常打药防蚊蝇。病胴体要立即由项目专业人员进行无害化处理，不得堆放、贮存。</w:t>
      </w:r>
    </w:p>
    <w:p>
      <w:pPr>
        <w:bidi w:val="0"/>
        <w:rPr>
          <w:rFonts w:hint="eastAsia"/>
          <w:b/>
          <w:bCs/>
        </w:rPr>
      </w:pPr>
      <w:r>
        <w:rPr>
          <w:rFonts w:hint="eastAsia"/>
          <w:b/>
          <w:bCs/>
        </w:rPr>
        <w:t>（</w:t>
      </w:r>
      <w:r>
        <w:rPr>
          <w:rFonts w:hint="default"/>
          <w:b/>
          <w:bCs/>
        </w:rPr>
        <w:t>2</w:t>
      </w:r>
      <w:r>
        <w:rPr>
          <w:rFonts w:hint="eastAsia"/>
          <w:b/>
          <w:bCs/>
        </w:rPr>
        <w:t>）危险废物</w:t>
      </w:r>
    </w:p>
    <w:p>
      <w:pPr>
        <w:bidi w:val="0"/>
        <w:rPr>
          <w:rFonts w:hint="eastAsia"/>
        </w:rPr>
      </w:pPr>
      <w:r>
        <w:rPr>
          <w:rFonts w:hint="eastAsia"/>
        </w:rPr>
        <w:t>项目生猪进场抽查产生废试纸、废</w:t>
      </w:r>
      <w:r>
        <w:rPr>
          <w:rFonts w:hint="default"/>
        </w:rPr>
        <w:t>PCR</w:t>
      </w:r>
      <w:r>
        <w:rPr>
          <w:rFonts w:hint="eastAsia"/>
        </w:rPr>
        <w:t>试剂盒暂存于冰柜中，每日委托具有相应资质的单位进行处置；设备维护产生废润滑油暂存于危废暂存间内，分别委托具有相应资质的单位进行处置。</w:t>
      </w:r>
    </w:p>
    <w:p>
      <w:pPr>
        <w:pStyle w:val="29"/>
        <w:bidi w:val="0"/>
        <w:rPr>
          <w:rFonts w:hint="eastAsia"/>
          <w:lang w:val="en-US" w:eastAsia="zh-CN"/>
        </w:rPr>
      </w:pPr>
      <w:r>
        <w:rPr>
          <w:rFonts w:hint="eastAsia"/>
          <w:lang w:val="en-US" w:eastAsia="zh-CN"/>
        </w:rPr>
        <w:t>表7.2-6  项目危险废物产生及处置措施一览表</w:t>
      </w:r>
    </w:p>
    <w:tbl>
      <w:tblPr>
        <w:tblStyle w:val="23"/>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519"/>
        <w:gridCol w:w="1411"/>
        <w:gridCol w:w="1561"/>
        <w:gridCol w:w="3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序号</w:t>
            </w:r>
          </w:p>
        </w:tc>
        <w:tc>
          <w:tcPr>
            <w:tcW w:w="1310"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名称</w:t>
            </w:r>
          </w:p>
        </w:tc>
        <w:tc>
          <w:tcPr>
            <w:tcW w:w="733"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产生位置</w:t>
            </w:r>
          </w:p>
        </w:tc>
        <w:tc>
          <w:tcPr>
            <w:tcW w:w="81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产生量（t/a）</w:t>
            </w:r>
          </w:p>
        </w:tc>
        <w:tc>
          <w:tcPr>
            <w:tcW w:w="1762" w:type="pct"/>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1</w:t>
            </w:r>
          </w:p>
        </w:tc>
        <w:tc>
          <w:tcPr>
            <w:tcW w:w="1310"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废润滑油</w:t>
            </w:r>
          </w:p>
        </w:tc>
        <w:tc>
          <w:tcPr>
            <w:tcW w:w="733"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设备维护</w:t>
            </w:r>
          </w:p>
        </w:tc>
        <w:tc>
          <w:tcPr>
            <w:tcW w:w="8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0.1</w:t>
            </w:r>
          </w:p>
        </w:tc>
        <w:tc>
          <w:tcPr>
            <w:tcW w:w="1762" w:type="pct"/>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暂存于危废暂存间，定期交由有资质的单位处置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 w:type="pc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2</w:t>
            </w:r>
          </w:p>
        </w:tc>
        <w:tc>
          <w:tcPr>
            <w:tcW w:w="1310" w:type="pc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废油桶</w:t>
            </w:r>
          </w:p>
        </w:tc>
        <w:tc>
          <w:tcPr>
            <w:tcW w:w="733" w:type="pct"/>
            <w:vMerge w:val="continue"/>
            <w:tcBorders>
              <w:tl2br w:val="nil"/>
              <w:tr2bl w:val="nil"/>
            </w:tcBorders>
            <w:vAlign w:val="center"/>
          </w:tcPr>
          <w:p>
            <w:pPr>
              <w:pStyle w:val="30"/>
              <w:widowControl w:val="0"/>
              <w:jc w:val="center"/>
              <w:rPr>
                <w:rFonts w:hint="default"/>
                <w:vertAlign w:val="baseline"/>
                <w:lang w:val="en-US" w:eastAsia="zh-CN"/>
              </w:rPr>
            </w:pPr>
          </w:p>
        </w:tc>
        <w:tc>
          <w:tcPr>
            <w:tcW w:w="8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0.01</w:t>
            </w:r>
          </w:p>
        </w:tc>
        <w:tc>
          <w:tcPr>
            <w:tcW w:w="1762" w:type="pct"/>
            <w:vMerge w:val="continue"/>
            <w:tcBorders>
              <w:tl2br w:val="nil"/>
              <w:tr2bl w:val="nil"/>
            </w:tcBorders>
            <w:vAlign w:val="center"/>
          </w:tcPr>
          <w:p>
            <w:pPr>
              <w:pStyle w:val="30"/>
              <w:widowControl w:val="0"/>
              <w:jc w:val="center"/>
              <w:rPr>
                <w:rFonts w:hint="default"/>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25" w:type="pct"/>
            <w:gridSpan w:val="3"/>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合计</w:t>
            </w:r>
          </w:p>
        </w:tc>
        <w:tc>
          <w:tcPr>
            <w:tcW w:w="81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0.11</w:t>
            </w:r>
          </w:p>
        </w:tc>
        <w:tc>
          <w:tcPr>
            <w:tcW w:w="1762" w:type="pc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bl>
    <w:p>
      <w:pPr>
        <w:keepNext w:val="0"/>
        <w:keepLines w:val="0"/>
        <w:widowControl w:val="0"/>
        <w:suppressLineNumbers w:val="0"/>
        <w:spacing w:before="0" w:beforeAutospacing="0" w:after="0" w:afterAutospacing="0" w:line="360" w:lineRule="auto"/>
        <w:ind w:left="0" w:right="0" w:firstLine="480" w:firstLineChars="200"/>
        <w:jc w:val="left"/>
        <w:rPr>
          <w:sz w:val="24"/>
          <w:szCs w:val="20"/>
          <w:lang w:val="en-US"/>
        </w:rPr>
      </w:pPr>
      <w:r>
        <w:rPr>
          <w:rFonts w:hint="eastAsia" w:ascii="Times New Roman" w:hAnsi="Times New Roman" w:eastAsia="宋体" w:cs="宋体"/>
          <w:kern w:val="2"/>
          <w:sz w:val="24"/>
          <w:szCs w:val="20"/>
          <w:lang w:val="en-US" w:eastAsia="zh-CN" w:bidi="ar"/>
        </w:rPr>
        <w:t>项目危废暂存间（40m</w:t>
      </w:r>
      <w:r>
        <w:rPr>
          <w:rFonts w:hint="eastAsia" w:ascii="Times New Roman" w:hAnsi="Times New Roman" w:eastAsia="宋体" w:cs="宋体"/>
          <w:kern w:val="2"/>
          <w:sz w:val="24"/>
          <w:szCs w:val="20"/>
          <w:vertAlign w:val="superscript"/>
          <w:lang w:val="en-US" w:eastAsia="zh-CN" w:bidi="ar"/>
        </w:rPr>
        <w:t>2</w:t>
      </w:r>
      <w:r>
        <w:rPr>
          <w:rFonts w:hint="eastAsia" w:ascii="Times New Roman" w:hAnsi="Times New Roman" w:eastAsia="宋体" w:cs="宋体"/>
          <w:kern w:val="2"/>
          <w:sz w:val="24"/>
          <w:szCs w:val="20"/>
          <w:lang w:val="en-US" w:eastAsia="zh-CN" w:bidi="ar"/>
        </w:rPr>
        <w:t>）根据《危险废物贮存污染控制标准》（</w:t>
      </w:r>
      <w:r>
        <w:rPr>
          <w:rFonts w:hint="default" w:ascii="Times New Roman" w:hAnsi="Times New Roman" w:eastAsia="宋体" w:cs="Times New Roman"/>
          <w:kern w:val="2"/>
          <w:sz w:val="24"/>
          <w:szCs w:val="20"/>
          <w:lang w:val="en-US" w:eastAsia="zh-CN" w:bidi="ar"/>
        </w:rPr>
        <w:t>GB18597-2001</w:t>
      </w:r>
      <w:r>
        <w:rPr>
          <w:rFonts w:hint="eastAsia" w:ascii="Times New Roman" w:hAnsi="Times New Roman" w:eastAsia="宋体" w:cs="宋体"/>
          <w:kern w:val="2"/>
          <w:sz w:val="24"/>
          <w:szCs w:val="20"/>
          <w:lang w:val="en-US" w:eastAsia="zh-CN" w:bidi="ar"/>
        </w:rPr>
        <w:t>）及其修改单的要求建设，地面采取防渗措施，设置截流地沟，做到</w:t>
      </w:r>
      <w:r>
        <w:rPr>
          <w:rFonts w:hint="default" w:ascii="Times New Roman" w:hAnsi="Times New Roman" w:eastAsia="宋体" w:cs="Times New Roman"/>
          <w:kern w:val="2"/>
          <w:sz w:val="24"/>
          <w:szCs w:val="20"/>
          <w:lang w:val="en-US" w:eastAsia="zh-CN" w:bidi="ar"/>
        </w:rPr>
        <w:t>“</w:t>
      </w:r>
      <w:r>
        <w:rPr>
          <w:rFonts w:hint="eastAsia" w:ascii="Times New Roman" w:hAnsi="Times New Roman" w:eastAsia="宋体" w:cs="宋体"/>
          <w:kern w:val="2"/>
          <w:sz w:val="24"/>
          <w:szCs w:val="20"/>
          <w:lang w:val="en-US" w:eastAsia="zh-CN" w:bidi="ar"/>
        </w:rPr>
        <w:t>四防</w:t>
      </w:r>
      <w:r>
        <w:rPr>
          <w:rFonts w:hint="default" w:ascii="Times New Roman" w:hAnsi="Times New Roman" w:eastAsia="宋体" w:cs="Times New Roman"/>
          <w:kern w:val="2"/>
          <w:sz w:val="24"/>
          <w:szCs w:val="20"/>
          <w:lang w:val="en-US" w:eastAsia="zh-CN" w:bidi="ar"/>
        </w:rPr>
        <w:t>”</w:t>
      </w:r>
      <w:r>
        <w:rPr>
          <w:rFonts w:hint="eastAsia" w:ascii="Times New Roman" w:hAnsi="Times New Roman" w:eastAsia="宋体" w:cs="宋体"/>
          <w:kern w:val="2"/>
          <w:sz w:val="24"/>
          <w:szCs w:val="20"/>
          <w:lang w:val="en-US" w:eastAsia="zh-CN" w:bidi="ar"/>
        </w:rPr>
        <w:t>（防风、防雨、防晒、防渗漏）要求，按规范设置液体收集装置，能有效防止危险废物泄漏，能够避免污染物污染地下水和土壤环境。</w:t>
      </w:r>
    </w:p>
    <w:p>
      <w:pPr>
        <w:keepNext w:val="0"/>
        <w:keepLines w:val="0"/>
        <w:widowControl w:val="0"/>
        <w:suppressLineNumbers w:val="0"/>
        <w:spacing w:before="0" w:beforeAutospacing="0" w:after="0" w:afterAutospacing="0" w:line="360" w:lineRule="auto"/>
        <w:ind w:left="0" w:right="0" w:firstLine="480" w:firstLineChars="200"/>
        <w:jc w:val="left"/>
        <w:rPr>
          <w:sz w:val="24"/>
          <w:szCs w:val="20"/>
          <w:lang w:val="en-US"/>
        </w:rPr>
      </w:pPr>
      <w:r>
        <w:rPr>
          <w:rFonts w:hint="eastAsia" w:ascii="Times New Roman" w:hAnsi="Times New Roman" w:eastAsia="宋体" w:cs="宋体"/>
          <w:kern w:val="2"/>
          <w:sz w:val="24"/>
          <w:szCs w:val="20"/>
          <w:lang w:val="en-US" w:eastAsia="zh-CN" w:bidi="ar"/>
        </w:rPr>
        <w:t>医疗废物的暂时贮存设施、设备，应当远离医疗区、食品加工区和人员活动区以及生活垃圾存放场所，并设置明显的警示标识和防渗漏、防鼠、防蚊蝇、防蟑螂、防盗以及预防儿童接触等安全措施。医疗废物暂时贮存库房应当达到以下要求：</w:t>
      </w:r>
    </w:p>
    <w:p>
      <w:pPr>
        <w:keepNext w:val="0"/>
        <w:keepLines w:val="0"/>
        <w:widowControl w:val="0"/>
        <w:suppressLineNumbers w:val="0"/>
        <w:spacing w:before="0" w:beforeAutospacing="0" w:after="0" w:afterAutospacing="0" w:line="360" w:lineRule="auto"/>
        <w:ind w:left="0" w:right="0" w:firstLine="480" w:firstLineChars="200"/>
        <w:jc w:val="left"/>
        <w:rPr>
          <w:sz w:val="24"/>
          <w:szCs w:val="20"/>
          <w:lang w:val="en-US"/>
        </w:rPr>
      </w:pPr>
      <w:r>
        <w:rPr>
          <w:rFonts w:hint="default" w:ascii="Times New Roman" w:hAnsi="Times New Roman" w:eastAsia="宋体" w:cs="Times New Roman"/>
          <w:kern w:val="2"/>
          <w:sz w:val="24"/>
          <w:szCs w:val="20"/>
          <w:lang w:val="en-US" w:eastAsia="zh-CN" w:bidi="ar"/>
        </w:rPr>
        <w:t>A</w:t>
      </w:r>
      <w:r>
        <w:rPr>
          <w:rFonts w:hint="eastAsia" w:ascii="Times New Roman" w:hAnsi="Times New Roman" w:eastAsia="宋体" w:cs="宋体"/>
          <w:kern w:val="2"/>
          <w:sz w:val="24"/>
          <w:szCs w:val="20"/>
          <w:lang w:val="en-US" w:eastAsia="zh-CN" w:bidi="ar"/>
        </w:rPr>
        <w:t>、远离医疗区、食品加工区、人员活动区和生活垃圾存放场所，方便医疗废物运送人员及运送工具、车辆的出入；</w:t>
      </w:r>
    </w:p>
    <w:p>
      <w:pPr>
        <w:keepNext w:val="0"/>
        <w:keepLines w:val="0"/>
        <w:widowControl w:val="0"/>
        <w:suppressLineNumbers w:val="0"/>
        <w:spacing w:before="0" w:beforeAutospacing="0" w:after="0" w:afterAutospacing="0" w:line="360" w:lineRule="auto"/>
        <w:ind w:left="0" w:right="0" w:firstLine="480" w:firstLineChars="200"/>
        <w:jc w:val="left"/>
        <w:rPr>
          <w:sz w:val="24"/>
          <w:szCs w:val="20"/>
          <w:lang w:val="en-US"/>
        </w:rPr>
      </w:pPr>
      <w:r>
        <w:rPr>
          <w:rFonts w:hint="default" w:ascii="Times New Roman" w:hAnsi="Times New Roman" w:eastAsia="宋体" w:cs="Times New Roman"/>
          <w:kern w:val="2"/>
          <w:sz w:val="24"/>
          <w:szCs w:val="20"/>
          <w:lang w:val="en-US" w:eastAsia="zh-CN" w:bidi="ar"/>
        </w:rPr>
        <w:t>B</w:t>
      </w:r>
      <w:r>
        <w:rPr>
          <w:rFonts w:hint="eastAsia" w:ascii="Times New Roman" w:hAnsi="Times New Roman" w:eastAsia="宋体" w:cs="宋体"/>
          <w:kern w:val="2"/>
          <w:sz w:val="24"/>
          <w:szCs w:val="20"/>
          <w:lang w:val="en-US" w:eastAsia="zh-CN" w:bidi="ar"/>
        </w:rPr>
        <w:t>、有严密封闭措施，设专（兼）职人员管理，防止非工作人员接触医疗废物；</w:t>
      </w:r>
    </w:p>
    <w:p>
      <w:pPr>
        <w:keepNext w:val="0"/>
        <w:keepLines w:val="0"/>
        <w:widowControl w:val="0"/>
        <w:suppressLineNumbers w:val="0"/>
        <w:spacing w:before="0" w:beforeAutospacing="0" w:after="0" w:afterAutospacing="0" w:line="360" w:lineRule="auto"/>
        <w:ind w:left="0" w:right="0" w:firstLine="480" w:firstLineChars="200"/>
        <w:jc w:val="left"/>
        <w:rPr>
          <w:sz w:val="24"/>
          <w:szCs w:val="20"/>
          <w:lang w:val="en-US"/>
        </w:rPr>
      </w:pPr>
      <w:r>
        <w:rPr>
          <w:rFonts w:hint="default" w:ascii="Times New Roman" w:hAnsi="Times New Roman" w:eastAsia="宋体" w:cs="Times New Roman"/>
          <w:kern w:val="2"/>
          <w:sz w:val="24"/>
          <w:szCs w:val="20"/>
          <w:lang w:val="en-US" w:eastAsia="zh-CN" w:bidi="ar"/>
        </w:rPr>
        <w:t>C</w:t>
      </w:r>
      <w:r>
        <w:rPr>
          <w:rFonts w:hint="eastAsia" w:ascii="Times New Roman" w:hAnsi="Times New Roman" w:eastAsia="宋体" w:cs="宋体"/>
          <w:kern w:val="2"/>
          <w:sz w:val="24"/>
          <w:szCs w:val="20"/>
          <w:lang w:val="en-US" w:eastAsia="zh-CN" w:bidi="ar"/>
        </w:rPr>
        <w:t>、有防鼠、防蚊蝇、防蟑螂的安全措施；</w:t>
      </w:r>
    </w:p>
    <w:p>
      <w:pPr>
        <w:keepNext w:val="0"/>
        <w:keepLines w:val="0"/>
        <w:widowControl w:val="0"/>
        <w:suppressLineNumbers w:val="0"/>
        <w:spacing w:before="0" w:beforeAutospacing="0" w:after="0" w:afterAutospacing="0" w:line="360" w:lineRule="auto"/>
        <w:ind w:left="0" w:right="0" w:firstLine="480" w:firstLineChars="200"/>
        <w:jc w:val="left"/>
        <w:rPr>
          <w:sz w:val="24"/>
          <w:szCs w:val="20"/>
          <w:lang w:val="en-US"/>
        </w:rPr>
      </w:pPr>
      <w:r>
        <w:rPr>
          <w:rFonts w:hint="default" w:ascii="Times New Roman" w:hAnsi="Times New Roman" w:eastAsia="宋体" w:cs="Times New Roman"/>
          <w:kern w:val="2"/>
          <w:sz w:val="24"/>
          <w:szCs w:val="20"/>
          <w:lang w:val="en-US" w:eastAsia="zh-CN" w:bidi="ar"/>
        </w:rPr>
        <w:t>D</w:t>
      </w:r>
      <w:r>
        <w:rPr>
          <w:rFonts w:hint="eastAsia" w:ascii="Times New Roman" w:hAnsi="Times New Roman" w:eastAsia="宋体" w:cs="宋体"/>
          <w:kern w:val="2"/>
          <w:sz w:val="24"/>
          <w:szCs w:val="20"/>
          <w:lang w:val="en-US" w:eastAsia="zh-CN" w:bidi="ar"/>
        </w:rPr>
        <w:t>、防止渗漏和雨水冲刷；</w:t>
      </w:r>
    </w:p>
    <w:p>
      <w:pPr>
        <w:keepNext w:val="0"/>
        <w:keepLines w:val="0"/>
        <w:widowControl w:val="0"/>
        <w:suppressLineNumbers w:val="0"/>
        <w:spacing w:before="0" w:beforeAutospacing="0" w:after="0" w:afterAutospacing="0" w:line="360" w:lineRule="auto"/>
        <w:ind w:left="0" w:right="0" w:firstLine="480" w:firstLineChars="200"/>
        <w:jc w:val="left"/>
        <w:rPr>
          <w:sz w:val="24"/>
          <w:szCs w:val="20"/>
          <w:lang w:val="en-US"/>
        </w:rPr>
      </w:pPr>
      <w:r>
        <w:rPr>
          <w:rFonts w:hint="default" w:ascii="Times New Roman" w:hAnsi="Times New Roman" w:eastAsia="宋体" w:cs="Times New Roman"/>
          <w:kern w:val="2"/>
          <w:sz w:val="24"/>
          <w:szCs w:val="20"/>
          <w:lang w:val="en-US" w:eastAsia="zh-CN" w:bidi="ar"/>
        </w:rPr>
        <w:t>E</w:t>
      </w:r>
      <w:r>
        <w:rPr>
          <w:rFonts w:hint="eastAsia" w:ascii="Times New Roman" w:hAnsi="Times New Roman" w:eastAsia="宋体" w:cs="宋体"/>
          <w:kern w:val="2"/>
          <w:sz w:val="24"/>
          <w:szCs w:val="20"/>
          <w:lang w:val="en-US" w:eastAsia="zh-CN" w:bidi="ar"/>
        </w:rPr>
        <w:t>、易于清洁和消毒；</w:t>
      </w:r>
    </w:p>
    <w:p>
      <w:pPr>
        <w:keepNext w:val="0"/>
        <w:keepLines w:val="0"/>
        <w:widowControl w:val="0"/>
        <w:suppressLineNumbers w:val="0"/>
        <w:spacing w:before="0" w:beforeAutospacing="0" w:after="0" w:afterAutospacing="0" w:line="360" w:lineRule="auto"/>
        <w:ind w:left="0" w:right="0" w:firstLine="480" w:firstLineChars="200"/>
        <w:jc w:val="left"/>
        <w:rPr>
          <w:sz w:val="24"/>
          <w:szCs w:val="20"/>
          <w:lang w:val="en-US"/>
        </w:rPr>
      </w:pPr>
      <w:r>
        <w:rPr>
          <w:rFonts w:hint="default" w:ascii="Times New Roman" w:hAnsi="Times New Roman" w:eastAsia="宋体" w:cs="Times New Roman"/>
          <w:kern w:val="2"/>
          <w:sz w:val="24"/>
          <w:szCs w:val="20"/>
          <w:lang w:val="en-US" w:eastAsia="zh-CN" w:bidi="ar"/>
        </w:rPr>
        <w:t>F</w:t>
      </w:r>
      <w:r>
        <w:rPr>
          <w:rFonts w:hint="eastAsia" w:ascii="Times New Roman" w:hAnsi="Times New Roman" w:eastAsia="宋体" w:cs="宋体"/>
          <w:kern w:val="2"/>
          <w:sz w:val="24"/>
          <w:szCs w:val="20"/>
          <w:lang w:val="en-US" w:eastAsia="zh-CN" w:bidi="ar"/>
        </w:rPr>
        <w:t>、避免阳光直射；</w:t>
      </w:r>
    </w:p>
    <w:p>
      <w:pPr>
        <w:keepNext w:val="0"/>
        <w:keepLines w:val="0"/>
        <w:widowControl w:val="0"/>
        <w:suppressLineNumbers w:val="0"/>
        <w:spacing w:before="0" w:beforeAutospacing="0" w:after="0" w:afterAutospacing="0" w:line="360" w:lineRule="auto"/>
        <w:ind w:left="0" w:right="0" w:firstLine="480" w:firstLineChars="200"/>
        <w:jc w:val="left"/>
        <w:rPr>
          <w:sz w:val="24"/>
          <w:szCs w:val="20"/>
          <w:lang w:val="en-US"/>
        </w:rPr>
      </w:pPr>
      <w:r>
        <w:rPr>
          <w:rFonts w:hint="default" w:ascii="Times New Roman" w:hAnsi="Times New Roman" w:eastAsia="宋体" w:cs="Times New Roman"/>
          <w:kern w:val="2"/>
          <w:sz w:val="24"/>
          <w:szCs w:val="20"/>
          <w:lang w:val="en-US" w:eastAsia="zh-CN" w:bidi="ar"/>
        </w:rPr>
        <w:t>G</w:t>
      </w:r>
      <w:r>
        <w:rPr>
          <w:rFonts w:hint="eastAsia" w:ascii="Times New Roman" w:hAnsi="Times New Roman" w:eastAsia="宋体" w:cs="宋体"/>
          <w:kern w:val="2"/>
          <w:sz w:val="24"/>
          <w:szCs w:val="20"/>
          <w:lang w:val="en-US" w:eastAsia="zh-CN" w:bidi="ar"/>
        </w:rPr>
        <w:t>、在库房外的明显处同时设置危险废物和医疗废物的警示标识；</w:t>
      </w:r>
    </w:p>
    <w:p>
      <w:pPr>
        <w:keepNext w:val="0"/>
        <w:keepLines w:val="0"/>
        <w:widowControl w:val="0"/>
        <w:suppressLineNumbers w:val="0"/>
        <w:spacing w:before="0" w:beforeAutospacing="0" w:after="0" w:afterAutospacing="0" w:line="360" w:lineRule="auto"/>
        <w:ind w:left="0" w:right="0" w:firstLine="480" w:firstLineChars="200"/>
        <w:jc w:val="left"/>
        <w:rPr>
          <w:sz w:val="24"/>
          <w:szCs w:val="20"/>
          <w:lang w:val="en-US"/>
        </w:rPr>
      </w:pPr>
      <w:r>
        <w:rPr>
          <w:rFonts w:hint="default" w:ascii="Times New Roman" w:hAnsi="Times New Roman" w:eastAsia="宋体" w:cs="Times New Roman"/>
          <w:kern w:val="2"/>
          <w:sz w:val="24"/>
          <w:szCs w:val="20"/>
          <w:lang w:val="en-US" w:eastAsia="zh-CN" w:bidi="ar"/>
        </w:rPr>
        <w:t>H</w:t>
      </w:r>
      <w:r>
        <w:rPr>
          <w:rFonts w:hint="eastAsia" w:ascii="Times New Roman" w:hAnsi="Times New Roman" w:eastAsia="宋体" w:cs="宋体"/>
          <w:kern w:val="2"/>
          <w:sz w:val="24"/>
          <w:szCs w:val="20"/>
          <w:lang w:val="en-US" w:eastAsia="zh-CN" w:bidi="ar"/>
        </w:rPr>
        <w:t>、暂时贮存病理性废物，应当具备低温贮存或者防腐条件。</w:t>
      </w:r>
    </w:p>
    <w:p>
      <w:pPr>
        <w:keepNext w:val="0"/>
        <w:keepLines w:val="0"/>
        <w:widowControl w:val="0"/>
        <w:suppressLineNumbers w:val="0"/>
        <w:spacing w:before="0" w:beforeAutospacing="0" w:after="0" w:afterAutospacing="0" w:line="360" w:lineRule="auto"/>
        <w:ind w:left="0" w:right="0" w:firstLine="480" w:firstLineChars="200"/>
        <w:jc w:val="left"/>
        <w:rPr>
          <w:sz w:val="24"/>
          <w:szCs w:val="20"/>
          <w:lang w:val="en-US"/>
        </w:rPr>
      </w:pPr>
      <w:r>
        <w:rPr>
          <w:rFonts w:hint="eastAsia" w:ascii="宋体" w:hAnsi="宋体" w:eastAsia="宋体" w:cs="宋体"/>
          <w:kern w:val="2"/>
          <w:sz w:val="24"/>
          <w:szCs w:val="20"/>
          <w:lang w:val="en-US" w:eastAsia="zh-CN" w:bidi="ar"/>
        </w:rPr>
        <w:t>②</w:t>
      </w:r>
      <w:r>
        <w:rPr>
          <w:rFonts w:hint="eastAsia" w:ascii="Times New Roman" w:hAnsi="Times New Roman" w:eastAsia="宋体" w:cs="宋体"/>
          <w:kern w:val="2"/>
          <w:sz w:val="24"/>
          <w:szCs w:val="20"/>
          <w:lang w:val="en-US" w:eastAsia="zh-CN" w:bidi="ar"/>
        </w:rPr>
        <w:t>运输过程的环境影响分析</w:t>
      </w:r>
    </w:p>
    <w:p>
      <w:pPr>
        <w:keepNext w:val="0"/>
        <w:keepLines w:val="0"/>
        <w:widowControl w:val="0"/>
        <w:suppressLineNumbers w:val="0"/>
        <w:spacing w:before="0" w:beforeAutospacing="0" w:after="0" w:afterAutospacing="0" w:line="360" w:lineRule="auto"/>
        <w:ind w:left="0" w:right="0" w:firstLine="480" w:firstLineChars="200"/>
        <w:jc w:val="left"/>
        <w:rPr>
          <w:rFonts w:hint="default"/>
          <w:lang w:val="en-US" w:eastAsia="zh-CN"/>
        </w:rPr>
      </w:pPr>
      <w:r>
        <w:rPr>
          <w:rFonts w:hint="eastAsia" w:ascii="Times New Roman" w:hAnsi="Times New Roman" w:eastAsia="宋体" w:cs="宋体"/>
          <w:kern w:val="2"/>
          <w:sz w:val="24"/>
          <w:szCs w:val="20"/>
          <w:lang w:val="en-US" w:eastAsia="zh-CN" w:bidi="ar"/>
        </w:rPr>
        <w:t>项目医疗废物主要产生于兽医兽药室或猪舍，因此转运路线不涉及环境敏感点。项目危险废物从厂区内产生环节及时收集后，采用密封桶进行包装，并转运至危险废物暂存间，正常情况下发生危废泄漏的几率不大。项目危废转运所经路线厂区内道路均进行地面硬化，一旦发生泄漏能及时收集、处置，能够避免污染物对周围环境造成污染。</w:t>
      </w:r>
    </w:p>
    <w:p>
      <w:pPr>
        <w:bidi w:val="0"/>
        <w:rPr>
          <w:rFonts w:hint="eastAsia"/>
        </w:rPr>
      </w:pPr>
      <w:r>
        <w:rPr>
          <w:rFonts w:hint="eastAsia"/>
        </w:rPr>
        <w:t>综上，项目固废均按不同的性质、种类采取了不同的处置方式，因此，固废处置措施经济可行。</w:t>
      </w:r>
    </w:p>
    <w:p>
      <w:pPr>
        <w:pStyle w:val="4"/>
        <w:bidi w:val="0"/>
        <w:rPr>
          <w:rFonts w:hint="default"/>
          <w:lang w:val="en-US" w:eastAsia="zh-CN"/>
        </w:rPr>
      </w:pPr>
      <w:bookmarkStart w:id="64" w:name="_Toc16463"/>
      <w:r>
        <w:rPr>
          <w:rFonts w:hint="eastAsia"/>
          <w:lang w:val="en-US" w:eastAsia="zh-CN"/>
        </w:rPr>
        <w:t>环保投资估算</w:t>
      </w:r>
      <w:bookmarkEnd w:id="64"/>
    </w:p>
    <w:p>
      <w:pPr>
        <w:spacing w:beforeLines="0" w:afterLines="0"/>
        <w:jc w:val="left"/>
        <w:rPr>
          <w:rFonts w:hint="default" w:eastAsia="宋体"/>
          <w:lang w:val="en-US" w:eastAsia="zh-CN"/>
        </w:rPr>
      </w:pPr>
      <w:r>
        <w:rPr>
          <w:rFonts w:hint="eastAsia" w:ascii="宋体" w:hAnsi="宋体" w:eastAsia="宋体"/>
          <w:sz w:val="24"/>
          <w:szCs w:val="24"/>
        </w:rPr>
        <w:t>项目环保拟投资</w:t>
      </w:r>
      <w:r>
        <w:rPr>
          <w:rFonts w:hint="eastAsia"/>
          <w:sz w:val="24"/>
          <w:szCs w:val="24"/>
          <w:lang w:val="en-US" w:eastAsia="zh-CN"/>
        </w:rPr>
        <w:t>459.9</w:t>
      </w:r>
      <w:r>
        <w:rPr>
          <w:rFonts w:hint="eastAsia" w:ascii="宋体" w:hAnsi="宋体" w:eastAsia="宋体"/>
          <w:sz w:val="24"/>
          <w:szCs w:val="24"/>
        </w:rPr>
        <w:t>万元，</w:t>
      </w:r>
      <w:r>
        <w:rPr>
          <w:rFonts w:hint="eastAsia" w:ascii="宋体" w:hAnsi="宋体" w:eastAsia="宋体"/>
          <w:sz w:val="24"/>
          <w:szCs w:val="24"/>
          <w:highlight w:val="none"/>
        </w:rPr>
        <w:t>占总投资</w:t>
      </w:r>
      <w:r>
        <w:rPr>
          <w:rFonts w:hint="eastAsia" w:ascii="Times New Roman" w:hAnsi="Times New Roman" w:eastAsia="宋体"/>
          <w:sz w:val="24"/>
          <w:szCs w:val="24"/>
          <w:highlight w:val="none"/>
          <w:lang w:val="en-US" w:eastAsia="zh-CN"/>
        </w:rPr>
        <w:t>5000</w:t>
      </w:r>
      <w:r>
        <w:rPr>
          <w:rFonts w:hint="eastAsia" w:ascii="宋体" w:hAnsi="宋体" w:eastAsia="宋体"/>
          <w:sz w:val="24"/>
          <w:szCs w:val="24"/>
          <w:highlight w:val="none"/>
        </w:rPr>
        <w:t>万元的</w:t>
      </w:r>
      <w:r>
        <w:rPr>
          <w:rFonts w:hint="eastAsia"/>
          <w:sz w:val="24"/>
          <w:szCs w:val="24"/>
          <w:highlight w:val="none"/>
          <w:lang w:val="en-US" w:eastAsia="zh-CN"/>
        </w:rPr>
        <w:t>9.2</w:t>
      </w:r>
      <w:r>
        <w:rPr>
          <w:rFonts w:hint="default" w:ascii="Times New Roman" w:hAnsi="Times New Roman" w:eastAsia="Times New Roman"/>
          <w:sz w:val="24"/>
          <w:szCs w:val="24"/>
          <w:highlight w:val="none"/>
        </w:rPr>
        <w:t>%</w:t>
      </w:r>
      <w:r>
        <w:rPr>
          <w:rFonts w:hint="eastAsia" w:ascii="宋体" w:hAnsi="宋体" w:eastAsia="宋体"/>
          <w:sz w:val="24"/>
          <w:szCs w:val="24"/>
          <w:highlight w:val="none"/>
        </w:rPr>
        <w:t>。主</w:t>
      </w:r>
      <w:r>
        <w:rPr>
          <w:rFonts w:hint="eastAsia" w:ascii="宋体" w:hAnsi="宋体" w:eastAsia="宋体"/>
          <w:sz w:val="24"/>
          <w:szCs w:val="24"/>
        </w:rPr>
        <w:t>要用于废水的处理、恶臭的处理、噪声控制和固废处置等，经过对废水、废气的治理和噪声设备的降噪治理，能满足环保的要求，环保设施合理可行。具体环保投资见表</w:t>
      </w:r>
      <w:r>
        <w:rPr>
          <w:rFonts w:hint="default" w:ascii="Times New Roman" w:hAnsi="Times New Roman" w:eastAsia="Times New Roman"/>
          <w:sz w:val="24"/>
          <w:szCs w:val="24"/>
        </w:rPr>
        <w:t>7.3-1</w:t>
      </w:r>
      <w:r>
        <w:rPr>
          <w:rFonts w:hint="eastAsia" w:ascii="宋体" w:hAnsi="宋体" w:eastAsia="宋体"/>
          <w:sz w:val="24"/>
          <w:szCs w:val="24"/>
        </w:rPr>
        <w:t>。</w:t>
      </w:r>
    </w:p>
    <w:p>
      <w:pPr>
        <w:pStyle w:val="29"/>
        <w:bidi w:val="0"/>
        <w:rPr>
          <w:rFonts w:hint="eastAsia"/>
          <w:lang w:val="en-US" w:eastAsia="zh-CN"/>
        </w:rPr>
      </w:pPr>
      <w:r>
        <w:rPr>
          <w:rFonts w:hint="eastAsia"/>
          <w:lang w:val="en-US" w:eastAsia="zh-CN"/>
        </w:rPr>
        <w:t>表7.3-1  环保措施投资估算</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915"/>
        <w:gridCol w:w="1290"/>
        <w:gridCol w:w="5535"/>
        <w:gridCol w:w="11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项目</w:t>
            </w:r>
          </w:p>
        </w:tc>
        <w:tc>
          <w:tcPr>
            <w:tcW w:w="91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时段</w:t>
            </w:r>
          </w:p>
        </w:tc>
        <w:tc>
          <w:tcPr>
            <w:tcW w:w="1290"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污染物名称</w:t>
            </w:r>
          </w:p>
        </w:tc>
        <w:tc>
          <w:tcPr>
            <w:tcW w:w="5535"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环保治理措施</w:t>
            </w:r>
          </w:p>
        </w:tc>
        <w:tc>
          <w:tcPr>
            <w:tcW w:w="1143" w:type="dxa"/>
            <w:tcBorders>
              <w:tl2br w:val="nil"/>
              <w:tr2bl w:val="nil"/>
            </w:tcBorders>
            <w:vAlign w:val="center"/>
          </w:tcPr>
          <w:p>
            <w:pPr>
              <w:pStyle w:val="30"/>
              <w:widowControl w:val="0"/>
              <w:jc w:val="center"/>
              <w:rPr>
                <w:rFonts w:hint="default"/>
                <w:b/>
                <w:bCs/>
                <w:vertAlign w:val="baseline"/>
                <w:lang w:val="en-US" w:eastAsia="zh-CN"/>
              </w:rPr>
            </w:pPr>
            <w:r>
              <w:rPr>
                <w:rFonts w:hint="eastAsia"/>
                <w:b/>
                <w:bCs/>
                <w:vertAlign w:val="baseline"/>
                <w:lang w:val="en-US" w:eastAsia="zh-CN"/>
              </w:rPr>
              <w:t>投资金额（万元）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废水治理措施</w:t>
            </w:r>
          </w:p>
        </w:tc>
        <w:tc>
          <w:tcPr>
            <w:tcW w:w="91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施工期</w:t>
            </w:r>
          </w:p>
        </w:tc>
        <w:tc>
          <w:tcPr>
            <w:tcW w:w="12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生活污水</w:t>
            </w:r>
          </w:p>
        </w:tc>
        <w:tc>
          <w:tcPr>
            <w:tcW w:w="553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szCs w:val="24"/>
              </w:rPr>
              <w:t>依托周围农户已有卫生设施</w:t>
            </w:r>
          </w:p>
        </w:tc>
        <w:tc>
          <w:tcPr>
            <w:tcW w:w="114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施工废水</w:t>
            </w:r>
          </w:p>
        </w:tc>
        <w:tc>
          <w:tcPr>
            <w:tcW w:w="553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szCs w:val="24"/>
              </w:rPr>
              <w:t>设置</w:t>
            </w:r>
            <w:r>
              <w:rPr>
                <w:rFonts w:hint="default" w:ascii="Times New Roman" w:hAnsi="Times New Roman" w:eastAsia="Times New Roman"/>
                <w:sz w:val="22"/>
                <w:szCs w:val="24"/>
              </w:rPr>
              <w:t>1</w:t>
            </w:r>
            <w:r>
              <w:rPr>
                <w:rFonts w:hint="eastAsia" w:ascii="宋体" w:hAnsi="宋体" w:eastAsia="宋体"/>
                <w:sz w:val="22"/>
                <w:szCs w:val="24"/>
              </w:rPr>
              <w:t>座临时沉淀隔油池处理后回收利用</w:t>
            </w:r>
          </w:p>
        </w:tc>
        <w:tc>
          <w:tcPr>
            <w:tcW w:w="114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营运期</w:t>
            </w:r>
          </w:p>
        </w:tc>
        <w:tc>
          <w:tcPr>
            <w:tcW w:w="1290"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综合废水</w:t>
            </w:r>
          </w:p>
        </w:tc>
        <w:tc>
          <w:tcPr>
            <w:tcW w:w="5535" w:type="dxa"/>
            <w:tcBorders>
              <w:tl2br w:val="nil"/>
              <w:tr2bl w:val="nil"/>
            </w:tcBorders>
            <w:vAlign w:val="center"/>
          </w:tcPr>
          <w:p>
            <w:pPr>
              <w:pStyle w:val="30"/>
              <w:widowControl w:val="0"/>
              <w:bidi w:val="0"/>
              <w:jc w:val="center"/>
              <w:rPr>
                <w:rFonts w:hint="default"/>
                <w:vertAlign w:val="baseline"/>
                <w:lang w:val="en-US" w:eastAsia="zh-CN"/>
              </w:rPr>
            </w:pPr>
            <w:r>
              <w:rPr>
                <w:rFonts w:hint="eastAsia"/>
              </w:rPr>
              <w:t>设置</w:t>
            </w:r>
            <w:r>
              <w:rPr>
                <w:rFonts w:hint="eastAsia"/>
                <w:lang w:val="en-US" w:eastAsia="zh-CN"/>
              </w:rPr>
              <w:t>1</w:t>
            </w:r>
            <w:r>
              <w:rPr>
                <w:rFonts w:hint="eastAsia"/>
              </w:rPr>
              <w:t>座</w:t>
            </w:r>
            <w:r>
              <w:rPr>
                <w:rFonts w:hint="eastAsia"/>
                <w:lang w:val="en-US" w:eastAsia="zh-CN"/>
              </w:rPr>
              <w:t>1500</w:t>
            </w:r>
            <w:r>
              <w:rPr>
                <w:rFonts w:hint="default"/>
              </w:rPr>
              <w:t>m</w:t>
            </w:r>
            <w:r>
              <w:rPr>
                <w:rFonts w:hint="default"/>
                <w:vertAlign w:val="superscript"/>
              </w:rPr>
              <w:t>3</w:t>
            </w:r>
            <w:r>
              <w:rPr>
                <w:rFonts w:hint="default"/>
              </w:rPr>
              <w:t>/d</w:t>
            </w:r>
            <w:r>
              <w:rPr>
                <w:rFonts w:hint="eastAsia"/>
              </w:rPr>
              <w:t>的污水处理站，采用</w:t>
            </w:r>
            <w:r>
              <w:rPr>
                <w:rFonts w:hint="eastAsia"/>
                <w:lang w:eastAsia="zh-CN"/>
              </w:rPr>
              <w:t>“格栅池+沉渣池+多功能生物调节池+气浮沉渣池+厌氧池+初沉池+缺氧池1+好氧池1+缺氧池2+好氧池2+二沉池+生物滤池+混凝沉淀池+过滤池+紫外线消毒+清水池”</w:t>
            </w:r>
            <w:r>
              <w:rPr>
                <w:rFonts w:hint="eastAsia"/>
              </w:rPr>
              <w:t>组合工艺。</w:t>
            </w:r>
          </w:p>
        </w:tc>
        <w:tc>
          <w:tcPr>
            <w:tcW w:w="114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1290" w:type="dxa"/>
            <w:vMerge w:val="continue"/>
            <w:tcBorders>
              <w:tl2br w:val="nil"/>
              <w:tr2bl w:val="nil"/>
            </w:tcBorders>
            <w:vAlign w:val="center"/>
          </w:tcPr>
          <w:p>
            <w:pPr>
              <w:pStyle w:val="30"/>
              <w:widowControl w:val="0"/>
              <w:jc w:val="center"/>
              <w:rPr>
                <w:rFonts w:hint="eastAsia"/>
                <w:vertAlign w:val="baseline"/>
                <w:lang w:val="en-US" w:eastAsia="zh-CN"/>
              </w:rPr>
            </w:pPr>
          </w:p>
        </w:tc>
        <w:tc>
          <w:tcPr>
            <w:tcW w:w="5535" w:type="dxa"/>
            <w:tcBorders>
              <w:tl2br w:val="nil"/>
              <w:tr2bl w:val="nil"/>
            </w:tcBorders>
            <w:vAlign w:val="center"/>
          </w:tcPr>
          <w:p>
            <w:pPr>
              <w:pStyle w:val="30"/>
              <w:widowControl w:val="0"/>
              <w:bidi w:val="0"/>
              <w:jc w:val="center"/>
              <w:rPr>
                <w:rFonts w:hint="default" w:eastAsia="宋体"/>
                <w:lang w:val="en-US" w:eastAsia="zh-CN"/>
              </w:rPr>
            </w:pPr>
            <w:r>
              <w:rPr>
                <w:rFonts w:hint="eastAsia"/>
                <w:lang w:val="en-US" w:eastAsia="zh-CN"/>
              </w:rPr>
              <w:t>田间高位水池2个（3000m</w:t>
            </w:r>
            <w:r>
              <w:rPr>
                <w:rFonts w:hint="eastAsia"/>
                <w:vertAlign w:val="superscript"/>
                <w:lang w:val="en-US" w:eastAsia="zh-CN"/>
              </w:rPr>
              <w:t>3</w:t>
            </w:r>
            <w:r>
              <w:rPr>
                <w:rFonts w:hint="eastAsia"/>
                <w:vertAlign w:val="baseline"/>
                <w:lang w:val="en-US" w:eastAsia="zh-CN"/>
              </w:rPr>
              <w:t>/个</w:t>
            </w:r>
            <w:r>
              <w:rPr>
                <w:rFonts w:hint="eastAsia"/>
                <w:lang w:val="en-US" w:eastAsia="zh-CN"/>
              </w:rPr>
              <w:t>）、田间暂存池10个（100m</w:t>
            </w:r>
            <w:r>
              <w:rPr>
                <w:rFonts w:hint="eastAsia"/>
                <w:vertAlign w:val="superscript"/>
                <w:lang w:val="en-US" w:eastAsia="zh-CN"/>
              </w:rPr>
              <w:t>3</w:t>
            </w:r>
            <w:r>
              <w:rPr>
                <w:rFonts w:hint="eastAsia"/>
                <w:vertAlign w:val="baseline"/>
                <w:lang w:val="en-US" w:eastAsia="zh-CN"/>
              </w:rPr>
              <w:t>/个</w:t>
            </w:r>
            <w:r>
              <w:rPr>
                <w:rFonts w:hint="eastAsia"/>
                <w:lang w:val="en-US" w:eastAsia="zh-CN"/>
              </w:rPr>
              <w:t>）</w:t>
            </w:r>
          </w:p>
        </w:tc>
        <w:tc>
          <w:tcPr>
            <w:tcW w:w="114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废气治理措施</w:t>
            </w:r>
          </w:p>
        </w:tc>
        <w:tc>
          <w:tcPr>
            <w:tcW w:w="91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施工期</w:t>
            </w:r>
          </w:p>
        </w:tc>
        <w:tc>
          <w:tcPr>
            <w:tcW w:w="12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扬尘</w:t>
            </w:r>
          </w:p>
        </w:tc>
        <w:tc>
          <w:tcPr>
            <w:tcW w:w="553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szCs w:val="24"/>
              </w:rPr>
              <w:t>封闭打围施工，洒水降尘，运输车辆加盖篷布</w:t>
            </w:r>
          </w:p>
        </w:tc>
        <w:tc>
          <w:tcPr>
            <w:tcW w:w="114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机械燃油废气、装修废气</w:t>
            </w:r>
          </w:p>
        </w:tc>
        <w:tc>
          <w:tcPr>
            <w:tcW w:w="553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szCs w:val="24"/>
              </w:rPr>
              <w:t>加强管理，定期维修</w:t>
            </w:r>
          </w:p>
        </w:tc>
        <w:tc>
          <w:tcPr>
            <w:tcW w:w="114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营运期</w:t>
            </w:r>
          </w:p>
        </w:tc>
        <w:tc>
          <w:tcPr>
            <w:tcW w:w="1290"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恶臭</w:t>
            </w:r>
          </w:p>
        </w:tc>
        <w:tc>
          <w:tcPr>
            <w:tcW w:w="5535" w:type="dxa"/>
            <w:tcBorders>
              <w:tl2br w:val="nil"/>
              <w:tr2bl w:val="nil"/>
            </w:tcBorders>
            <w:vAlign w:val="center"/>
          </w:tcPr>
          <w:p>
            <w:pPr>
              <w:pStyle w:val="30"/>
              <w:widowControl w:val="0"/>
              <w:bidi w:val="0"/>
              <w:jc w:val="center"/>
              <w:rPr>
                <w:rFonts w:hint="default"/>
                <w:lang w:val="en-US" w:eastAsia="zh-CN"/>
              </w:rPr>
            </w:pPr>
            <w:r>
              <w:rPr>
                <w:rFonts w:hint="eastAsia"/>
              </w:rPr>
              <w:t>对待宰车间、隔离间、急宰间和无害化暂存间进行密闭并微负压抽风，对污水处理站处理单元进行全密闭并微负压抽风，废气经管道收集后进入</w:t>
            </w:r>
            <w:r>
              <w:rPr>
                <w:rFonts w:hint="default"/>
              </w:rPr>
              <w:t>1</w:t>
            </w:r>
            <w:r>
              <w:rPr>
                <w:rFonts w:hint="eastAsia"/>
              </w:rPr>
              <w:t>套</w:t>
            </w:r>
            <w:r>
              <w:rPr>
                <w:rFonts w:hint="eastAsia"/>
                <w:lang w:eastAsia="zh-CN"/>
              </w:rPr>
              <w:t>“UV光解+生物洗涤塔”</w:t>
            </w:r>
            <w:r>
              <w:rPr>
                <w:rFonts w:hint="eastAsia"/>
              </w:rPr>
              <w:t>处理后由</w:t>
            </w:r>
            <w:r>
              <w:rPr>
                <w:rFonts w:hint="default"/>
              </w:rPr>
              <w:t>15m</w:t>
            </w:r>
            <w:r>
              <w:rPr>
                <w:rFonts w:hint="eastAsia"/>
              </w:rPr>
              <w:t>高排气筒（</w:t>
            </w:r>
            <w:r>
              <w:rPr>
                <w:rFonts w:hint="default"/>
              </w:rPr>
              <w:t>P1</w:t>
            </w:r>
            <w:r>
              <w:rPr>
                <w:rFonts w:hint="eastAsia"/>
              </w:rPr>
              <w:t>）进行排放</w:t>
            </w:r>
          </w:p>
        </w:tc>
        <w:tc>
          <w:tcPr>
            <w:tcW w:w="114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90" w:type="dxa"/>
            <w:vMerge w:val="continue"/>
            <w:tcBorders>
              <w:tl2br w:val="nil"/>
              <w:tr2bl w:val="nil"/>
            </w:tcBorders>
            <w:vAlign w:val="center"/>
          </w:tcPr>
          <w:p>
            <w:pPr>
              <w:pStyle w:val="30"/>
              <w:widowControl w:val="0"/>
              <w:jc w:val="center"/>
              <w:rPr>
                <w:rFonts w:hint="default"/>
                <w:vertAlign w:val="baseline"/>
                <w:lang w:val="en-US" w:eastAsia="zh-CN"/>
              </w:rPr>
            </w:pPr>
          </w:p>
        </w:tc>
        <w:tc>
          <w:tcPr>
            <w:tcW w:w="5535" w:type="dxa"/>
            <w:tcBorders>
              <w:tl2br w:val="nil"/>
              <w:tr2bl w:val="nil"/>
            </w:tcBorders>
            <w:vAlign w:val="center"/>
          </w:tcPr>
          <w:p>
            <w:pPr>
              <w:pStyle w:val="30"/>
              <w:widowControl w:val="0"/>
              <w:bidi w:val="0"/>
              <w:jc w:val="center"/>
              <w:rPr>
                <w:rFonts w:hint="default"/>
                <w:lang w:val="en-US" w:eastAsia="zh-CN"/>
              </w:rPr>
            </w:pPr>
            <w:r>
              <w:rPr>
                <w:rFonts w:hint="eastAsia"/>
              </w:rPr>
              <w:t>对屠宰车间屠宰区域进行密闭并微负压抽风废气经管道收集后进入</w:t>
            </w:r>
            <w:r>
              <w:rPr>
                <w:rFonts w:hint="default"/>
              </w:rPr>
              <w:t>1</w:t>
            </w:r>
            <w:r>
              <w:rPr>
                <w:rFonts w:hint="eastAsia"/>
              </w:rPr>
              <w:t>套</w:t>
            </w:r>
            <w:r>
              <w:rPr>
                <w:rFonts w:hint="eastAsia"/>
                <w:lang w:eastAsia="zh-CN"/>
              </w:rPr>
              <w:t>“UV光解+生物洗涤塔”</w:t>
            </w:r>
            <w:r>
              <w:rPr>
                <w:rFonts w:hint="eastAsia"/>
              </w:rPr>
              <w:t>处理后由</w:t>
            </w:r>
            <w:r>
              <w:rPr>
                <w:rFonts w:hint="default"/>
              </w:rPr>
              <w:t>15m</w:t>
            </w:r>
            <w:r>
              <w:rPr>
                <w:rFonts w:hint="eastAsia"/>
              </w:rPr>
              <w:t>高排气筒（</w:t>
            </w:r>
            <w:r>
              <w:rPr>
                <w:rFonts w:hint="default"/>
              </w:rPr>
              <w:t>P2</w:t>
            </w:r>
            <w:r>
              <w:rPr>
                <w:rFonts w:hint="eastAsia"/>
              </w:rPr>
              <w:t>）进行排放</w:t>
            </w:r>
          </w:p>
        </w:tc>
        <w:tc>
          <w:tcPr>
            <w:tcW w:w="114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90" w:type="dxa"/>
            <w:tcBorders>
              <w:tl2br w:val="nil"/>
              <w:tr2bl w:val="nil"/>
            </w:tcBorders>
            <w:vAlign w:val="center"/>
          </w:tcPr>
          <w:p>
            <w:pPr>
              <w:pStyle w:val="30"/>
              <w:widowControl w:val="0"/>
              <w:jc w:val="center"/>
              <w:rPr>
                <w:rFonts w:hint="eastAsia"/>
                <w:vertAlign w:val="baseline"/>
                <w:lang w:val="en-US" w:eastAsia="zh-CN"/>
              </w:rPr>
            </w:pPr>
            <w:r>
              <w:rPr>
                <w:rFonts w:hint="eastAsia"/>
                <w:vertAlign w:val="baseline"/>
                <w:lang w:val="en-US" w:eastAsia="zh-CN"/>
              </w:rPr>
              <w:t>餐饮油烟</w:t>
            </w:r>
          </w:p>
        </w:tc>
        <w:tc>
          <w:tcPr>
            <w:tcW w:w="553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szCs w:val="24"/>
              </w:rPr>
              <w:t>设置油烟净化器处理后经烟道楼顶排放</w:t>
            </w:r>
          </w:p>
        </w:tc>
        <w:tc>
          <w:tcPr>
            <w:tcW w:w="114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天然气废气</w:t>
            </w:r>
          </w:p>
        </w:tc>
        <w:tc>
          <w:tcPr>
            <w:tcW w:w="5535" w:type="dxa"/>
            <w:tcBorders>
              <w:tl2br w:val="nil"/>
              <w:tr2bl w:val="nil"/>
            </w:tcBorders>
            <w:vAlign w:val="center"/>
          </w:tcPr>
          <w:p>
            <w:pPr>
              <w:pStyle w:val="30"/>
              <w:widowControl w:val="0"/>
              <w:bidi w:val="0"/>
              <w:rPr>
                <w:rFonts w:hint="default" w:ascii="宋体" w:hAnsi="宋体" w:eastAsia="宋体"/>
                <w:szCs w:val="24"/>
                <w:lang w:val="en-US" w:eastAsia="zh-CN"/>
              </w:rPr>
            </w:pPr>
            <w:r>
              <w:rPr>
                <w:rFonts w:hint="eastAsia"/>
                <w:lang w:val="en-US" w:eastAsia="zh-CN"/>
              </w:rPr>
              <w:t>设置于楼顶排气筒（h=8m）高空排放</w:t>
            </w:r>
          </w:p>
        </w:tc>
        <w:tc>
          <w:tcPr>
            <w:tcW w:w="1143" w:type="dxa"/>
            <w:tcBorders>
              <w:tl2br w:val="nil"/>
              <w:tr2bl w:val="nil"/>
            </w:tcBorders>
            <w:vAlign w:val="center"/>
          </w:tcPr>
          <w:p>
            <w:pPr>
              <w:pStyle w:val="30"/>
              <w:widowControl w:val="0"/>
              <w:ind w:firstLine="0" w:firstLineChars="0"/>
              <w:jc w:val="center"/>
              <w:rPr>
                <w:rFonts w:hint="default"/>
                <w:vertAlign w:val="baseline"/>
                <w:lang w:val="en-US" w:eastAsia="zh-CN"/>
              </w:rPr>
            </w:pPr>
            <w:r>
              <w:rPr>
                <w:rFonts w:hint="eastAsia"/>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噪声治理措施</w:t>
            </w:r>
          </w:p>
        </w:tc>
        <w:tc>
          <w:tcPr>
            <w:tcW w:w="91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szCs w:val="24"/>
              </w:rPr>
              <w:t>施工期</w:t>
            </w:r>
          </w:p>
        </w:tc>
        <w:tc>
          <w:tcPr>
            <w:tcW w:w="1290" w:type="dxa"/>
            <w:tcBorders>
              <w:tl2br w:val="nil"/>
              <w:tr2bl w:val="nil"/>
            </w:tcBorders>
            <w:vAlign w:val="center"/>
          </w:tcPr>
          <w:p>
            <w:pPr>
              <w:pStyle w:val="30"/>
              <w:widowControl w:val="0"/>
              <w:jc w:val="center"/>
              <w:rPr>
                <w:rFonts w:hint="eastAsia"/>
                <w:vertAlign w:val="baseline"/>
                <w:lang w:val="en-US" w:eastAsia="zh-CN"/>
              </w:rPr>
            </w:pPr>
            <w:r>
              <w:rPr>
                <w:rFonts w:hint="eastAsia" w:ascii="宋体" w:hAnsi="宋体" w:eastAsia="宋体"/>
                <w:sz w:val="22"/>
                <w:szCs w:val="24"/>
              </w:rPr>
              <w:t>设备噪声</w:t>
            </w:r>
          </w:p>
        </w:tc>
        <w:tc>
          <w:tcPr>
            <w:tcW w:w="553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szCs w:val="24"/>
              </w:rPr>
              <w:t>选用低噪声设备；打围降噪；昼间施工；加强管理</w:t>
            </w:r>
          </w:p>
        </w:tc>
        <w:tc>
          <w:tcPr>
            <w:tcW w:w="114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营运期</w:t>
            </w:r>
          </w:p>
        </w:tc>
        <w:tc>
          <w:tcPr>
            <w:tcW w:w="1290" w:type="dxa"/>
            <w:tcBorders>
              <w:tl2br w:val="nil"/>
              <w:tr2bl w:val="nil"/>
            </w:tcBorders>
            <w:vAlign w:val="center"/>
          </w:tcPr>
          <w:p>
            <w:pPr>
              <w:pStyle w:val="30"/>
              <w:widowControl w:val="0"/>
              <w:jc w:val="center"/>
              <w:rPr>
                <w:rFonts w:hint="eastAsia"/>
                <w:vertAlign w:val="baseline"/>
                <w:lang w:val="en-US" w:eastAsia="zh-CN"/>
              </w:rPr>
            </w:pPr>
            <w:r>
              <w:rPr>
                <w:rFonts w:hint="eastAsia" w:ascii="宋体" w:hAnsi="宋体"/>
                <w:sz w:val="22"/>
                <w:szCs w:val="24"/>
                <w:lang w:val="en-US" w:eastAsia="zh-CN"/>
              </w:rPr>
              <w:t>动物</w:t>
            </w:r>
            <w:r>
              <w:rPr>
                <w:rFonts w:hint="eastAsia" w:ascii="宋体" w:hAnsi="宋体" w:eastAsia="宋体"/>
                <w:sz w:val="22"/>
                <w:szCs w:val="24"/>
              </w:rPr>
              <w:t>叫声</w:t>
            </w:r>
          </w:p>
        </w:tc>
        <w:tc>
          <w:tcPr>
            <w:tcW w:w="5535" w:type="dxa"/>
            <w:tcBorders>
              <w:tl2br w:val="nil"/>
              <w:tr2bl w:val="nil"/>
            </w:tcBorders>
            <w:vAlign w:val="center"/>
          </w:tcPr>
          <w:p>
            <w:pPr>
              <w:pStyle w:val="30"/>
              <w:widowControl w:val="0"/>
              <w:jc w:val="center"/>
              <w:rPr>
                <w:rFonts w:hint="default"/>
                <w:vertAlign w:val="baseline"/>
                <w:lang w:val="en-US" w:eastAsia="zh-CN"/>
              </w:rPr>
            </w:pPr>
            <w:r>
              <w:rPr>
                <w:rFonts w:hint="eastAsia" w:ascii="宋体" w:hAnsi="宋体" w:eastAsia="宋体"/>
                <w:sz w:val="22"/>
                <w:szCs w:val="24"/>
              </w:rPr>
              <w:t>文明</w:t>
            </w:r>
            <w:r>
              <w:rPr>
                <w:rFonts w:hint="eastAsia" w:ascii="宋体" w:hAnsi="宋体"/>
                <w:sz w:val="22"/>
                <w:szCs w:val="24"/>
                <w:lang w:val="en-US" w:eastAsia="zh-CN"/>
              </w:rPr>
              <w:t>驱赶</w:t>
            </w:r>
            <w:r>
              <w:rPr>
                <w:rFonts w:hint="eastAsia" w:ascii="宋体" w:hAnsi="宋体" w:eastAsia="宋体"/>
                <w:sz w:val="22"/>
                <w:szCs w:val="24"/>
              </w:rPr>
              <w:t>，电麻刺杀，建筑隔声</w:t>
            </w:r>
          </w:p>
        </w:tc>
        <w:tc>
          <w:tcPr>
            <w:tcW w:w="114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纳入主体工程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90" w:type="dxa"/>
            <w:tcBorders>
              <w:tl2br w:val="nil"/>
              <w:tr2bl w:val="nil"/>
            </w:tcBorders>
            <w:vAlign w:val="center"/>
          </w:tcPr>
          <w:p>
            <w:pPr>
              <w:pStyle w:val="30"/>
              <w:widowControl w:val="0"/>
              <w:jc w:val="center"/>
              <w:rPr>
                <w:rFonts w:hint="eastAsia"/>
                <w:vertAlign w:val="baseline"/>
                <w:lang w:val="en-US" w:eastAsia="zh-CN"/>
              </w:rPr>
            </w:pPr>
            <w:r>
              <w:rPr>
                <w:rFonts w:hint="eastAsia" w:ascii="宋体" w:hAnsi="宋体" w:eastAsia="宋体"/>
                <w:sz w:val="22"/>
                <w:szCs w:val="24"/>
              </w:rPr>
              <w:t>设备噪声</w:t>
            </w:r>
          </w:p>
        </w:tc>
        <w:tc>
          <w:tcPr>
            <w:tcW w:w="5535" w:type="dxa"/>
            <w:tcBorders>
              <w:tl2br w:val="nil"/>
              <w:tr2bl w:val="nil"/>
            </w:tcBorders>
            <w:vAlign w:val="center"/>
          </w:tcPr>
          <w:p>
            <w:pPr>
              <w:pStyle w:val="30"/>
              <w:widowControl w:val="0"/>
              <w:bidi w:val="0"/>
              <w:jc w:val="center"/>
              <w:rPr>
                <w:rFonts w:hint="default"/>
                <w:vertAlign w:val="baseline"/>
                <w:lang w:val="en-US" w:eastAsia="zh-CN"/>
              </w:rPr>
            </w:pPr>
            <w:r>
              <w:rPr>
                <w:rFonts w:hint="eastAsia"/>
              </w:rPr>
              <w:t>选用低噪声设备；建构筑物隔声；采用基础减振、风机设置消声器等措施</w:t>
            </w:r>
          </w:p>
        </w:tc>
        <w:tc>
          <w:tcPr>
            <w:tcW w:w="114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固废处置措施</w:t>
            </w:r>
          </w:p>
        </w:tc>
        <w:tc>
          <w:tcPr>
            <w:tcW w:w="91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施工期</w:t>
            </w:r>
          </w:p>
        </w:tc>
        <w:tc>
          <w:tcPr>
            <w:tcW w:w="12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建筑垃圾</w:t>
            </w:r>
          </w:p>
        </w:tc>
        <w:tc>
          <w:tcPr>
            <w:tcW w:w="5535" w:type="dxa"/>
            <w:tcBorders>
              <w:tl2br w:val="nil"/>
              <w:tr2bl w:val="nil"/>
            </w:tcBorders>
            <w:vAlign w:val="center"/>
          </w:tcPr>
          <w:p>
            <w:pPr>
              <w:pStyle w:val="30"/>
              <w:widowControl w:val="0"/>
              <w:bidi w:val="0"/>
              <w:jc w:val="center"/>
              <w:rPr>
                <w:rFonts w:hint="default"/>
                <w:lang w:val="en-US" w:eastAsia="zh-CN"/>
              </w:rPr>
            </w:pPr>
            <w:r>
              <w:rPr>
                <w:rFonts w:hint="eastAsia"/>
              </w:rPr>
              <w:t>分类回收利用，不能回收利用的送至政府指定的建渣场</w:t>
            </w:r>
          </w:p>
        </w:tc>
        <w:tc>
          <w:tcPr>
            <w:tcW w:w="114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生活垃圾</w:t>
            </w:r>
          </w:p>
        </w:tc>
        <w:tc>
          <w:tcPr>
            <w:tcW w:w="5535" w:type="dxa"/>
            <w:tcBorders>
              <w:tl2br w:val="nil"/>
              <w:tr2bl w:val="nil"/>
            </w:tcBorders>
            <w:vAlign w:val="center"/>
          </w:tcPr>
          <w:p>
            <w:pPr>
              <w:pStyle w:val="30"/>
              <w:widowControl w:val="0"/>
              <w:bidi w:val="0"/>
              <w:jc w:val="center"/>
              <w:rPr>
                <w:rFonts w:hint="default"/>
                <w:lang w:val="en-US" w:eastAsia="zh-CN"/>
              </w:rPr>
            </w:pPr>
            <w:r>
              <w:rPr>
                <w:rFonts w:hint="eastAsia"/>
              </w:rPr>
              <w:t>采用垃圾桶收集后袋装每日交环卫部门统一清运</w:t>
            </w:r>
          </w:p>
        </w:tc>
        <w:tc>
          <w:tcPr>
            <w:tcW w:w="114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营运期</w:t>
            </w:r>
          </w:p>
        </w:tc>
        <w:tc>
          <w:tcPr>
            <w:tcW w:w="12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固体废物</w:t>
            </w:r>
          </w:p>
        </w:tc>
        <w:tc>
          <w:tcPr>
            <w:tcW w:w="5535" w:type="dxa"/>
            <w:tcBorders>
              <w:tl2br w:val="nil"/>
              <w:tr2bl w:val="nil"/>
            </w:tcBorders>
            <w:vAlign w:val="center"/>
          </w:tcPr>
          <w:p>
            <w:pPr>
              <w:pStyle w:val="30"/>
              <w:widowControl w:val="0"/>
              <w:bidi w:val="0"/>
              <w:jc w:val="center"/>
              <w:rPr>
                <w:rFonts w:hint="default"/>
                <w:lang w:val="en-US" w:eastAsia="zh-CN"/>
              </w:rPr>
            </w:pPr>
            <w:r>
              <w:rPr>
                <w:rFonts w:hint="eastAsia"/>
              </w:rPr>
              <w:t>设置危废暂存间</w:t>
            </w:r>
            <w:r>
              <w:rPr>
                <w:rFonts w:hint="eastAsia"/>
                <w:lang w:eastAsia="zh-CN"/>
              </w:rPr>
              <w:t>（</w:t>
            </w:r>
            <w:r>
              <w:rPr>
                <w:rFonts w:hint="eastAsia"/>
                <w:lang w:val="en-US" w:eastAsia="zh-CN"/>
              </w:rPr>
              <w:t>40m</w:t>
            </w:r>
            <w:r>
              <w:rPr>
                <w:rFonts w:hint="eastAsia"/>
                <w:vertAlign w:val="superscript"/>
                <w:lang w:val="en-US" w:eastAsia="zh-CN"/>
              </w:rPr>
              <w:t>2</w:t>
            </w:r>
            <w:r>
              <w:rPr>
                <w:rFonts w:hint="eastAsia"/>
                <w:lang w:eastAsia="zh-CN"/>
              </w:rPr>
              <w:t>）</w:t>
            </w:r>
            <w:r>
              <w:rPr>
                <w:rFonts w:hint="eastAsia"/>
              </w:rPr>
              <w:t>、无害化暂存间</w:t>
            </w:r>
            <w:r>
              <w:rPr>
                <w:rFonts w:hint="eastAsia"/>
                <w:lang w:eastAsia="zh-CN"/>
              </w:rPr>
              <w:t>（</w:t>
            </w:r>
            <w:r>
              <w:rPr>
                <w:rFonts w:hint="eastAsia"/>
                <w:lang w:val="en-US" w:eastAsia="zh-CN"/>
              </w:rPr>
              <w:t>定期交由有无害化处理资质的单位处置</w:t>
            </w:r>
            <w:r>
              <w:rPr>
                <w:rFonts w:hint="eastAsia"/>
                <w:lang w:eastAsia="zh-CN"/>
              </w:rPr>
              <w:t>）</w:t>
            </w:r>
            <w:r>
              <w:rPr>
                <w:rFonts w:hint="eastAsia"/>
              </w:rPr>
              <w:t>，</w:t>
            </w:r>
            <w:r>
              <w:rPr>
                <w:rFonts w:hint="eastAsia"/>
                <w:lang w:eastAsia="zh-CN"/>
              </w:rPr>
              <w:t>待宰圈</w:t>
            </w:r>
            <w:r>
              <w:rPr>
                <w:rFonts w:hint="eastAsia"/>
              </w:rPr>
              <w:t>和内脏处理间各设置密闭垃圾桶，分类收集，分类处置</w:t>
            </w:r>
          </w:p>
        </w:tc>
        <w:tc>
          <w:tcPr>
            <w:tcW w:w="114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生活垃圾</w:t>
            </w:r>
          </w:p>
        </w:tc>
        <w:tc>
          <w:tcPr>
            <w:tcW w:w="5535" w:type="dxa"/>
            <w:tcBorders>
              <w:tl2br w:val="nil"/>
              <w:tr2bl w:val="nil"/>
            </w:tcBorders>
            <w:vAlign w:val="center"/>
          </w:tcPr>
          <w:p>
            <w:pPr>
              <w:pStyle w:val="30"/>
              <w:widowControl w:val="0"/>
              <w:bidi w:val="0"/>
              <w:jc w:val="center"/>
              <w:rPr>
                <w:rFonts w:hint="default"/>
                <w:lang w:val="en-US" w:eastAsia="zh-CN"/>
              </w:rPr>
            </w:pPr>
            <w:r>
              <w:rPr>
                <w:rFonts w:hint="eastAsia"/>
              </w:rPr>
              <w:t>设置垃圾收集点，袋装每日交环卫部门统一清运</w:t>
            </w:r>
          </w:p>
        </w:tc>
        <w:tc>
          <w:tcPr>
            <w:tcW w:w="114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915" w:type="dxa"/>
            <w:vMerge w:val="continue"/>
            <w:tcBorders>
              <w:tl2br w:val="nil"/>
              <w:tr2bl w:val="nil"/>
            </w:tcBorders>
            <w:vAlign w:val="center"/>
          </w:tcPr>
          <w:p>
            <w:pPr>
              <w:pStyle w:val="30"/>
              <w:widowControl w:val="0"/>
              <w:jc w:val="center"/>
              <w:rPr>
                <w:rFonts w:hint="default"/>
                <w:vertAlign w:val="baseline"/>
                <w:lang w:val="en-US" w:eastAsia="zh-CN"/>
              </w:rPr>
            </w:pPr>
          </w:p>
        </w:tc>
        <w:tc>
          <w:tcPr>
            <w:tcW w:w="1290"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餐厨垃圾</w:t>
            </w:r>
          </w:p>
        </w:tc>
        <w:tc>
          <w:tcPr>
            <w:tcW w:w="5535" w:type="dxa"/>
            <w:tcBorders>
              <w:tl2br w:val="nil"/>
              <w:tr2bl w:val="nil"/>
            </w:tcBorders>
            <w:vAlign w:val="center"/>
          </w:tcPr>
          <w:p>
            <w:pPr>
              <w:pStyle w:val="30"/>
              <w:widowControl w:val="0"/>
              <w:bidi w:val="0"/>
              <w:jc w:val="center"/>
              <w:rPr>
                <w:rFonts w:hint="default"/>
                <w:lang w:val="en-US" w:eastAsia="zh-CN"/>
              </w:rPr>
            </w:pPr>
            <w:r>
              <w:rPr>
                <w:rFonts w:hint="eastAsia"/>
              </w:rPr>
              <w:t>设置专用收集容器，交经城管部门许可的餐厨垃圾收运单位处置</w:t>
            </w:r>
          </w:p>
        </w:tc>
        <w:tc>
          <w:tcPr>
            <w:tcW w:w="1143" w:type="dxa"/>
            <w:tcBorders>
              <w:tl2br w:val="nil"/>
              <w:tr2bl w:val="nil"/>
            </w:tcBorders>
            <w:vAlign w:val="center"/>
          </w:tcPr>
          <w:p>
            <w:pPr>
              <w:pStyle w:val="30"/>
              <w:widowControl w:val="0"/>
              <w:ind w:firstLine="0" w:firstLineChars="0"/>
              <w:jc w:val="center"/>
              <w:rPr>
                <w:rFonts w:hint="default" w:ascii="Times New Roman" w:hAnsi="Times New Roman" w:eastAsia="宋体" w:cs="Times New Roman"/>
                <w:kern w:val="2"/>
                <w:sz w:val="21"/>
                <w:vertAlign w:val="baseline"/>
                <w:lang w:val="en-US" w:eastAsia="zh-CN"/>
              </w:rPr>
            </w:pPr>
            <w:r>
              <w:rPr>
                <w:rFonts w:hint="eastAsia"/>
                <w:vertAlign w:val="baseli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restart"/>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地下水防治措施</w:t>
            </w:r>
          </w:p>
        </w:tc>
        <w:tc>
          <w:tcPr>
            <w:tcW w:w="7740" w:type="dxa"/>
            <w:gridSpan w:val="3"/>
            <w:tcBorders>
              <w:tl2br w:val="nil"/>
              <w:tr2bl w:val="nil"/>
            </w:tcBorders>
            <w:vAlign w:val="center"/>
          </w:tcPr>
          <w:p>
            <w:pPr>
              <w:pStyle w:val="30"/>
              <w:widowControl/>
              <w:bidi w:val="0"/>
              <w:jc w:val="both"/>
              <w:rPr>
                <w:rFonts w:hint="eastAsia"/>
              </w:rPr>
            </w:pPr>
            <w:r>
              <w:rPr>
                <w:rFonts w:hint="eastAsia"/>
              </w:rPr>
              <w:t>采取分区防渗措施。</w:t>
            </w:r>
          </w:p>
          <w:p>
            <w:pPr>
              <w:pStyle w:val="30"/>
              <w:widowControl w:val="0"/>
              <w:jc w:val="both"/>
              <w:rPr>
                <w:rFonts w:hint="eastAsia"/>
              </w:rPr>
            </w:pPr>
            <w:r>
              <w:rPr>
                <w:rFonts w:hint="eastAsia"/>
                <w:lang w:val="en-US" w:eastAsia="zh-CN"/>
              </w:rPr>
              <w:t>重点防渗：</w:t>
            </w:r>
            <w:r>
              <w:rPr>
                <w:rFonts w:hint="eastAsia"/>
              </w:rPr>
              <w:t>危废暂存间</w:t>
            </w:r>
            <w:r>
              <w:rPr>
                <w:rFonts w:hint="eastAsia"/>
                <w:lang w:val="en-US" w:eastAsia="zh-CN"/>
              </w:rPr>
              <w:t>采用防渗</w:t>
            </w:r>
            <w:r>
              <w:rPr>
                <w:rFonts w:hint="eastAsia"/>
              </w:rPr>
              <w:t>混凝土</w:t>
            </w:r>
            <w:r>
              <w:rPr>
                <w:rFonts w:hint="default"/>
              </w:rPr>
              <w:t>+2mmHDPE</w:t>
            </w:r>
            <w:r>
              <w:rPr>
                <w:rFonts w:hint="eastAsia"/>
                <w:lang w:val="en-US" w:eastAsia="zh-CN"/>
              </w:rPr>
              <w:t>防渗膜+金属托盘，可满足</w:t>
            </w:r>
            <w:r>
              <w:rPr>
                <w:rFonts w:hint="eastAsia"/>
              </w:rPr>
              <w:t>等效粘土防渗层Mb</w:t>
            </w:r>
            <w:r>
              <w:rPr>
                <w:rFonts w:hint="default"/>
              </w:rPr>
              <w:t>≥</w:t>
            </w:r>
            <w:r>
              <w:rPr>
                <w:rFonts w:hint="eastAsia"/>
                <w:lang w:val="en-US" w:eastAsia="zh-CN"/>
              </w:rPr>
              <w:t>6.0</w:t>
            </w:r>
            <w:r>
              <w:rPr>
                <w:rFonts w:hint="eastAsia"/>
              </w:rPr>
              <w:t>m，K</w:t>
            </w:r>
            <w:r>
              <w:rPr>
                <w:rFonts w:hint="default"/>
              </w:rPr>
              <w:t>≤</w:t>
            </w:r>
            <w:r>
              <w:rPr>
                <w:rFonts w:hint="eastAsia"/>
              </w:rPr>
              <w:t>10</w:t>
            </w:r>
            <w:r>
              <w:rPr>
                <w:rFonts w:hint="eastAsia"/>
                <w:vertAlign w:val="superscript"/>
              </w:rPr>
              <w:t>-</w:t>
            </w:r>
            <w:r>
              <w:rPr>
                <w:rFonts w:hint="eastAsia"/>
                <w:vertAlign w:val="superscript"/>
                <w:lang w:val="en-US" w:eastAsia="zh-CN"/>
              </w:rPr>
              <w:t>10</w:t>
            </w:r>
            <w:r>
              <w:rPr>
                <w:rFonts w:hint="eastAsia"/>
              </w:rPr>
              <w:t>cm/s</w:t>
            </w:r>
            <w:r>
              <w:rPr>
                <w:rFonts w:hint="eastAsia"/>
                <w:lang w:val="en-US" w:eastAsia="zh-CN"/>
              </w:rPr>
              <w:t>的要求；</w:t>
            </w:r>
            <w:r>
              <w:rPr>
                <w:rFonts w:hint="eastAsia"/>
              </w:rPr>
              <w:t>药品库、污水处理站及污水管网、污水处理站加药间、无害化暂存间均</w:t>
            </w:r>
            <w:r>
              <w:rPr>
                <w:rFonts w:hint="eastAsia"/>
                <w:lang w:val="en-US" w:eastAsia="zh-CN"/>
              </w:rPr>
              <w:t>采用防渗混凝土+</w:t>
            </w:r>
            <w:r>
              <w:rPr>
                <w:rFonts w:hint="default"/>
              </w:rPr>
              <w:t>2mmHDPE</w:t>
            </w:r>
            <w:r>
              <w:rPr>
                <w:rFonts w:hint="eastAsia"/>
                <w:lang w:val="en-US" w:eastAsia="zh-CN"/>
              </w:rPr>
              <w:t>防渗膜可满足</w:t>
            </w:r>
            <w:r>
              <w:rPr>
                <w:rFonts w:hint="eastAsia"/>
              </w:rPr>
              <w:t>等效粘土防渗层Mb</w:t>
            </w:r>
            <w:r>
              <w:rPr>
                <w:rFonts w:hint="default"/>
              </w:rPr>
              <w:t>≥</w:t>
            </w:r>
            <w:r>
              <w:rPr>
                <w:rFonts w:hint="eastAsia"/>
                <w:lang w:val="en-US" w:eastAsia="zh-CN"/>
              </w:rPr>
              <w:t>6.0</w:t>
            </w:r>
            <w:r>
              <w:rPr>
                <w:rFonts w:hint="eastAsia"/>
              </w:rPr>
              <w:t>m，K</w:t>
            </w:r>
            <w:r>
              <w:rPr>
                <w:rFonts w:hint="default"/>
              </w:rPr>
              <w:t>≤</w:t>
            </w:r>
            <w:r>
              <w:rPr>
                <w:rFonts w:hint="eastAsia"/>
              </w:rPr>
              <w:t>10</w:t>
            </w:r>
            <w:r>
              <w:rPr>
                <w:rFonts w:hint="eastAsia"/>
                <w:vertAlign w:val="superscript"/>
              </w:rPr>
              <w:t>-</w:t>
            </w:r>
            <w:r>
              <w:rPr>
                <w:rFonts w:hint="eastAsia"/>
                <w:vertAlign w:val="superscript"/>
                <w:lang w:val="en-US" w:eastAsia="zh-CN"/>
              </w:rPr>
              <w:t>7</w:t>
            </w:r>
            <w:r>
              <w:rPr>
                <w:rFonts w:hint="eastAsia"/>
              </w:rPr>
              <w:t>cm/s</w:t>
            </w:r>
            <w:r>
              <w:rPr>
                <w:rFonts w:hint="eastAsia"/>
                <w:lang w:val="en-US" w:eastAsia="zh-CN"/>
              </w:rPr>
              <w:t>的要求。</w:t>
            </w:r>
          </w:p>
          <w:p>
            <w:pPr>
              <w:pStyle w:val="30"/>
              <w:widowControl w:val="0"/>
              <w:jc w:val="both"/>
              <w:rPr>
                <w:rFonts w:hint="eastAsia"/>
              </w:rPr>
            </w:pPr>
            <w:r>
              <w:rPr>
                <w:rFonts w:hint="eastAsia"/>
                <w:lang w:val="en-US" w:eastAsia="zh-CN"/>
              </w:rPr>
              <w:t>一般防渗：</w:t>
            </w:r>
            <w:r>
              <w:rPr>
                <w:rFonts w:hint="eastAsia"/>
                <w:lang w:eastAsia="zh-CN"/>
              </w:rPr>
              <w:t>待宰圈</w:t>
            </w:r>
            <w:r>
              <w:rPr>
                <w:rFonts w:hint="eastAsia"/>
              </w:rPr>
              <w:t>、屠宰车间、急宰间、隔离间、观察室、检疫室、垃圾回收站要求进行一般防渗，防渗技术</w:t>
            </w:r>
            <w:r>
              <w:rPr>
                <w:rFonts w:hint="eastAsia"/>
                <w:lang w:val="en-US" w:eastAsia="zh-CN"/>
              </w:rPr>
              <w:t>采用防渗混凝土可满足</w:t>
            </w:r>
            <w:r>
              <w:rPr>
                <w:rFonts w:hint="eastAsia"/>
              </w:rPr>
              <w:t>等效粘土防渗层</w:t>
            </w:r>
            <w:r>
              <w:rPr>
                <w:rFonts w:hint="default"/>
              </w:rPr>
              <w:t>Mb≥1.5m</w:t>
            </w:r>
            <w:r>
              <w:rPr>
                <w:rFonts w:hint="eastAsia"/>
              </w:rPr>
              <w:t>，</w:t>
            </w:r>
            <w:r>
              <w:rPr>
                <w:rFonts w:hint="default"/>
              </w:rPr>
              <w:t>K≤10</w:t>
            </w:r>
            <w:r>
              <w:rPr>
                <w:rFonts w:hint="default"/>
                <w:vertAlign w:val="superscript"/>
              </w:rPr>
              <w:t>-7</w:t>
            </w:r>
            <w:r>
              <w:rPr>
                <w:rFonts w:hint="default"/>
              </w:rPr>
              <w:t>cm/s</w:t>
            </w:r>
            <w:r>
              <w:rPr>
                <w:rFonts w:hint="eastAsia"/>
                <w:lang w:val="en-US" w:eastAsia="zh-CN"/>
              </w:rPr>
              <w:t>的要求</w:t>
            </w:r>
            <w:r>
              <w:rPr>
                <w:rFonts w:hint="eastAsia"/>
              </w:rPr>
              <w:t>。</w:t>
            </w:r>
          </w:p>
          <w:p>
            <w:pPr>
              <w:pStyle w:val="30"/>
              <w:widowControl/>
              <w:bidi w:val="0"/>
              <w:jc w:val="both"/>
              <w:rPr>
                <w:rFonts w:hint="default"/>
                <w:lang w:val="en-US" w:eastAsia="zh-CN"/>
              </w:rPr>
            </w:pPr>
            <w:r>
              <w:rPr>
                <w:rFonts w:hint="eastAsia"/>
                <w:lang w:val="en-US" w:eastAsia="zh-CN"/>
              </w:rPr>
              <w:t>简单防渗：</w:t>
            </w:r>
            <w:r>
              <w:rPr>
                <w:rFonts w:hint="eastAsia"/>
              </w:rPr>
              <w:t>倒班房、道路等除重点防渗区和一般防渗区以外的区域。防渗技术要求为一般地面硬化。</w:t>
            </w:r>
          </w:p>
        </w:tc>
        <w:tc>
          <w:tcPr>
            <w:tcW w:w="114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30"/>
              <w:widowControl w:val="0"/>
              <w:jc w:val="center"/>
              <w:rPr>
                <w:rFonts w:hint="default"/>
                <w:vertAlign w:val="baseline"/>
                <w:lang w:val="en-US" w:eastAsia="zh-CN"/>
              </w:rPr>
            </w:pPr>
          </w:p>
        </w:tc>
        <w:tc>
          <w:tcPr>
            <w:tcW w:w="7740" w:type="dxa"/>
            <w:gridSpan w:val="3"/>
            <w:tcBorders>
              <w:tl2br w:val="nil"/>
              <w:tr2bl w:val="nil"/>
            </w:tcBorders>
            <w:vAlign w:val="center"/>
          </w:tcPr>
          <w:p>
            <w:pPr>
              <w:pStyle w:val="30"/>
              <w:widowControl w:val="0"/>
              <w:bidi w:val="0"/>
              <w:rPr>
                <w:rFonts w:hint="default"/>
                <w:vertAlign w:val="baseline"/>
                <w:lang w:val="en-US" w:eastAsia="zh-CN"/>
              </w:rPr>
            </w:pPr>
            <w:r>
              <w:rPr>
                <w:rFonts w:hint="eastAsia" w:ascii="宋体" w:hAnsi="宋体" w:eastAsia="宋体"/>
                <w:sz w:val="22"/>
                <w:szCs w:val="24"/>
              </w:rPr>
              <w:t>在污水处理站北侧设置</w:t>
            </w:r>
            <w:r>
              <w:rPr>
                <w:rFonts w:hint="default" w:ascii="Times New Roman" w:hAnsi="Times New Roman" w:eastAsia="Times New Roman"/>
                <w:sz w:val="22"/>
                <w:szCs w:val="24"/>
              </w:rPr>
              <w:t>1</w:t>
            </w:r>
            <w:r>
              <w:rPr>
                <w:rFonts w:hint="eastAsia" w:ascii="宋体" w:hAnsi="宋体" w:eastAsia="宋体"/>
                <w:sz w:val="22"/>
                <w:szCs w:val="24"/>
              </w:rPr>
              <w:t>口地下水监测井</w:t>
            </w:r>
          </w:p>
        </w:tc>
        <w:tc>
          <w:tcPr>
            <w:tcW w:w="114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环境风险</w:t>
            </w:r>
          </w:p>
        </w:tc>
        <w:tc>
          <w:tcPr>
            <w:tcW w:w="7740" w:type="dxa"/>
            <w:gridSpan w:val="3"/>
            <w:tcBorders>
              <w:tl2br w:val="nil"/>
              <w:tr2bl w:val="nil"/>
            </w:tcBorders>
            <w:vAlign w:val="center"/>
          </w:tcPr>
          <w:p>
            <w:pPr>
              <w:pStyle w:val="30"/>
              <w:widowControl w:val="0"/>
              <w:bidi w:val="0"/>
              <w:jc w:val="left"/>
              <w:rPr>
                <w:rFonts w:hint="eastAsia"/>
              </w:rPr>
            </w:pPr>
            <w:r>
              <w:rPr>
                <w:rFonts w:hint="default"/>
              </w:rPr>
              <w:t>1</w:t>
            </w:r>
            <w:r>
              <w:rPr>
                <w:rFonts w:hint="eastAsia"/>
              </w:rPr>
              <w:t>、车间外设置截水沟，截水沟与厂区雨、污水管道接通，同时设置阀门控制；</w:t>
            </w:r>
          </w:p>
          <w:p>
            <w:pPr>
              <w:pStyle w:val="30"/>
              <w:widowControl w:val="0"/>
              <w:bidi w:val="0"/>
              <w:jc w:val="left"/>
              <w:rPr>
                <w:rFonts w:hint="eastAsia"/>
              </w:rPr>
            </w:pPr>
            <w:r>
              <w:rPr>
                <w:rFonts w:hint="default"/>
              </w:rPr>
              <w:t>2</w:t>
            </w:r>
            <w:r>
              <w:rPr>
                <w:rFonts w:hint="eastAsia"/>
              </w:rPr>
              <w:t>、污水处理站调节池兼做事故应急池</w:t>
            </w:r>
            <w:r>
              <w:rPr>
                <w:rFonts w:hint="eastAsia"/>
                <w:lang w:eastAsia="zh-CN"/>
              </w:rPr>
              <w:t>（</w:t>
            </w:r>
            <w:r>
              <w:rPr>
                <w:rFonts w:hint="eastAsia"/>
                <w:lang w:val="en-US" w:eastAsia="zh-CN"/>
              </w:rPr>
              <w:t>2500m</w:t>
            </w:r>
            <w:r>
              <w:rPr>
                <w:rFonts w:hint="eastAsia"/>
                <w:vertAlign w:val="superscript"/>
                <w:lang w:val="en-US" w:eastAsia="zh-CN"/>
              </w:rPr>
              <w:t>3</w:t>
            </w:r>
            <w:r>
              <w:rPr>
                <w:rFonts w:hint="eastAsia"/>
                <w:lang w:eastAsia="zh-CN"/>
              </w:rPr>
              <w:t>）</w:t>
            </w:r>
            <w:r>
              <w:rPr>
                <w:rFonts w:hint="eastAsia"/>
              </w:rPr>
              <w:t>；</w:t>
            </w:r>
          </w:p>
          <w:p>
            <w:pPr>
              <w:pStyle w:val="30"/>
              <w:widowControl w:val="0"/>
              <w:bidi w:val="0"/>
              <w:jc w:val="left"/>
              <w:rPr>
                <w:rFonts w:hint="default"/>
                <w:vertAlign w:val="baseline"/>
                <w:lang w:val="en-US" w:eastAsia="zh-CN"/>
              </w:rPr>
            </w:pPr>
            <w:r>
              <w:rPr>
                <w:rFonts w:hint="default"/>
              </w:rPr>
              <w:t>3</w:t>
            </w:r>
            <w:r>
              <w:rPr>
                <w:rFonts w:hint="eastAsia"/>
              </w:rPr>
              <w:t>、编制突发环境事件应急预案。</w:t>
            </w:r>
          </w:p>
        </w:tc>
        <w:tc>
          <w:tcPr>
            <w:tcW w:w="114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合计</w:t>
            </w:r>
          </w:p>
        </w:tc>
        <w:tc>
          <w:tcPr>
            <w:tcW w:w="7740" w:type="dxa"/>
            <w:gridSpan w:val="3"/>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w:t>
            </w:r>
          </w:p>
        </w:tc>
        <w:tc>
          <w:tcPr>
            <w:tcW w:w="1143" w:type="dxa"/>
            <w:tcBorders>
              <w:tl2br w:val="nil"/>
              <w:tr2bl w:val="nil"/>
            </w:tcBorders>
            <w:vAlign w:val="center"/>
          </w:tcPr>
          <w:p>
            <w:pPr>
              <w:pStyle w:val="30"/>
              <w:widowControl w:val="0"/>
              <w:jc w:val="center"/>
              <w:rPr>
                <w:rFonts w:hint="default"/>
                <w:vertAlign w:val="baseline"/>
                <w:lang w:val="en-US" w:eastAsia="zh-CN"/>
              </w:rPr>
            </w:pPr>
            <w:r>
              <w:rPr>
                <w:rFonts w:hint="eastAsia"/>
                <w:vertAlign w:val="baseline"/>
                <w:lang w:val="en-US" w:eastAsia="zh-CN"/>
              </w:rPr>
              <w:t>459.9</w:t>
            </w:r>
          </w:p>
        </w:tc>
      </w:tr>
    </w:tbl>
    <w:p>
      <w:pPr>
        <w:rPr>
          <w:rFonts w:hint="default"/>
          <w:lang w:val="en-US" w:eastAsia="zh-CN"/>
        </w:rPr>
      </w:pPr>
      <w:r>
        <w:rPr>
          <w:rFonts w:hint="default"/>
          <w:lang w:val="en-US" w:eastAsia="zh-CN"/>
        </w:rPr>
        <w:br w:type="page"/>
      </w:r>
    </w:p>
    <w:p>
      <w:pPr>
        <w:pStyle w:val="3"/>
        <w:bidi w:val="0"/>
        <w:rPr>
          <w:rFonts w:hint="default"/>
          <w:lang w:val="en-US" w:eastAsia="zh-CN"/>
        </w:rPr>
      </w:pPr>
      <w:bookmarkStart w:id="65" w:name="_Toc13819"/>
      <w:r>
        <w:rPr>
          <w:rFonts w:hint="eastAsia"/>
        </w:rPr>
        <w:t>环境影响经济损益分析</w:t>
      </w:r>
      <w:bookmarkEnd w:id="65"/>
    </w:p>
    <w:p>
      <w:pPr>
        <w:bidi w:val="0"/>
        <w:rPr>
          <w:rFonts w:hint="eastAsia"/>
        </w:rPr>
      </w:pPr>
      <w:r>
        <w:rPr>
          <w:rFonts w:hint="eastAsia"/>
        </w:rPr>
        <w:t>随着我国经济的发展和城乡居民生活水平的提高，食品的种类也日益丰富。根据市场调查，猪肉加工产品在市场上是畅销产品，具有营养丰富、口感好、再加工方便等优点，备受消费者的欢迎。本项目的投产运行不仅能带来良好的经济效益，而且能够缓解当地劳动力的就业压力，具有良好的社会效益。下面就该项目的社会效益、经济效益和环境效益做简要分析。</w:t>
      </w:r>
    </w:p>
    <w:p>
      <w:pPr>
        <w:pStyle w:val="4"/>
        <w:bidi w:val="0"/>
        <w:rPr>
          <w:rFonts w:hint="eastAsia"/>
        </w:rPr>
      </w:pPr>
      <w:bookmarkStart w:id="66" w:name="_Toc12321"/>
      <w:r>
        <w:rPr>
          <w:rFonts w:hint="eastAsia"/>
        </w:rPr>
        <w:t>社会效益分析</w:t>
      </w:r>
      <w:bookmarkEnd w:id="66"/>
    </w:p>
    <w:p>
      <w:pPr>
        <w:bidi w:val="0"/>
        <w:rPr>
          <w:rFonts w:hint="eastAsia"/>
        </w:rPr>
      </w:pPr>
      <w:r>
        <w:rPr>
          <w:rFonts w:hint="eastAsia"/>
        </w:rPr>
        <w:t>本项目的社会效益主要体现在以下几个方面：</w:t>
      </w:r>
    </w:p>
    <w:p>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可以改变目前</w:t>
      </w:r>
      <w:r>
        <w:rPr>
          <w:rFonts w:hint="eastAsia"/>
          <w:lang w:val="en-US" w:eastAsia="zh-CN"/>
        </w:rPr>
        <w:t>平昌县</w:t>
      </w:r>
      <w:r>
        <w:rPr>
          <w:rFonts w:hint="eastAsia"/>
        </w:rPr>
        <w:t>猪屠宰场行业落后不达标的局面。</w:t>
      </w:r>
    </w:p>
    <w:p>
      <w:pPr>
        <w:bidi w:val="0"/>
        <w:rPr>
          <w:rFonts w:hint="eastAsia"/>
        </w:rPr>
      </w:pPr>
      <w:r>
        <w:rPr>
          <w:rFonts w:hint="eastAsia"/>
        </w:rPr>
        <w:t>项目的实施，将达到国家、省、市规定的设置条件和标准的猪定点屠宰场，改变目前</w:t>
      </w:r>
      <w:r>
        <w:rPr>
          <w:rFonts w:hint="eastAsia"/>
          <w:lang w:val="en-US" w:eastAsia="zh-CN"/>
        </w:rPr>
        <w:t>平昌县</w:t>
      </w:r>
      <w:r>
        <w:rPr>
          <w:rFonts w:hint="eastAsia"/>
        </w:rPr>
        <w:t>生猪屠宰场落后不达标的局面，促进猪定点屠宰场的规范发展。</w:t>
      </w:r>
    </w:p>
    <w:p>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更好地满足人民群众对安全优质肉品的消费需求</w:t>
      </w:r>
    </w:p>
    <w:p>
      <w:pPr>
        <w:bidi w:val="0"/>
        <w:rPr>
          <w:rFonts w:hint="eastAsia"/>
        </w:rPr>
      </w:pPr>
      <w:r>
        <w:rPr>
          <w:rFonts w:hint="eastAsia"/>
        </w:rPr>
        <w:t>随着广大城乡居民生活标准和生活质量的提高，作为与人息息相关的</w:t>
      </w:r>
      <w:r>
        <w:rPr>
          <w:rFonts w:hint="eastAsia"/>
          <w:lang w:eastAsia="zh-CN"/>
        </w:rPr>
        <w:t>“</w:t>
      </w:r>
      <w:r>
        <w:rPr>
          <w:rFonts w:hint="eastAsia"/>
        </w:rPr>
        <w:t>放心肉</w:t>
      </w:r>
      <w:r>
        <w:rPr>
          <w:rFonts w:hint="eastAsia"/>
          <w:lang w:eastAsia="zh-CN"/>
        </w:rPr>
        <w:t>”</w:t>
      </w:r>
      <w:r>
        <w:rPr>
          <w:rFonts w:hint="eastAsia"/>
        </w:rPr>
        <w:t>，越来越受到人们的普遍重视和迫切需求。它对于控制污染和病毒、减少疾病、增加营养、增强体质、延年益寿、改善生活，具有深远的生命科学意义和不可低估的社会生态环境效益。因此，为了让老百姓吃上真正的</w:t>
      </w:r>
      <w:r>
        <w:rPr>
          <w:rFonts w:hint="eastAsia"/>
          <w:lang w:eastAsia="zh-CN"/>
        </w:rPr>
        <w:t>“</w:t>
      </w:r>
      <w:r>
        <w:rPr>
          <w:rFonts w:hint="eastAsia"/>
        </w:rPr>
        <w:t>放心肉</w:t>
      </w:r>
      <w:r>
        <w:rPr>
          <w:rFonts w:hint="eastAsia"/>
          <w:lang w:eastAsia="zh-CN"/>
        </w:rPr>
        <w:t>”</w:t>
      </w:r>
      <w:r>
        <w:rPr>
          <w:rFonts w:hint="eastAsia"/>
        </w:rPr>
        <w:t>，必须按照国家省、市建设规范合格的星级定点屠宰场，走标准化、集约化、产业化道路，达到优化布局、减控总量、升级改造、规范经营的目的，从而提升定点屠宰的技术装备，管理水平和污染防治水平，提升猪肉产品卫生和质量安全保障能力，确保猪屠宰环节病死、病害猪肉的生物安全处理率达</w:t>
      </w:r>
      <w:r>
        <w:rPr>
          <w:rFonts w:hint="default"/>
        </w:rPr>
        <w:t>100%</w:t>
      </w:r>
      <w:r>
        <w:rPr>
          <w:rFonts w:hint="eastAsia"/>
        </w:rPr>
        <w:t>，从源头上彻底杜绝病害猪肉上市，更好地满足人民群众对安全优质肉品的消费需求。</w:t>
      </w:r>
    </w:p>
    <w:p>
      <w:pPr>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农业可以发展循环经济</w:t>
      </w:r>
    </w:p>
    <w:p>
      <w:pPr>
        <w:bidi w:val="0"/>
        <w:rPr>
          <w:rFonts w:hint="eastAsia"/>
        </w:rPr>
      </w:pPr>
      <w:r>
        <w:rPr>
          <w:rFonts w:hint="eastAsia"/>
        </w:rPr>
        <w:t>本项目正是有效地利用了有机农业的特点与优点，不但解决了种植基地的有机肥需求问题，并把屠宰场的废物变废为宝，充分的利用了资源，形成一个种养循环生态有机农业。既减少了当地化肥的使用量，又有利地改善了当地土壤和水质污染，保护了项目区周边的水体。</w:t>
      </w:r>
    </w:p>
    <w:p>
      <w:pPr>
        <w:pStyle w:val="4"/>
        <w:bidi w:val="0"/>
        <w:rPr>
          <w:rFonts w:hint="default"/>
          <w:lang w:val="en-US" w:eastAsia="zh-CN"/>
        </w:rPr>
      </w:pPr>
      <w:bookmarkStart w:id="67" w:name="_Toc15204"/>
      <w:r>
        <w:rPr>
          <w:rFonts w:hint="eastAsia"/>
          <w:lang w:val="en-US" w:eastAsia="zh-CN"/>
        </w:rPr>
        <w:t>经济效益分析</w:t>
      </w:r>
      <w:bookmarkEnd w:id="67"/>
    </w:p>
    <w:p>
      <w:pPr>
        <w:spacing w:beforeLines="0" w:afterLines="0"/>
        <w:jc w:val="left"/>
        <w:rPr>
          <w:rFonts w:hint="eastAsia"/>
        </w:rPr>
      </w:pPr>
      <w:r>
        <w:rPr>
          <w:rFonts w:hint="eastAsia" w:ascii="宋体" w:hAnsi="宋体" w:eastAsia="宋体"/>
          <w:sz w:val="24"/>
          <w:szCs w:val="24"/>
        </w:rPr>
        <w:t>本项目总投资</w:t>
      </w:r>
      <w:r>
        <w:rPr>
          <w:rFonts w:hint="eastAsia" w:ascii="Times New Roman" w:hAnsi="Times New Roman" w:eastAsia="宋体"/>
          <w:sz w:val="24"/>
          <w:szCs w:val="24"/>
          <w:lang w:val="en-US" w:eastAsia="zh-CN"/>
        </w:rPr>
        <w:t>5000</w:t>
      </w:r>
      <w:r>
        <w:rPr>
          <w:rFonts w:hint="eastAsia" w:ascii="宋体" w:hAnsi="宋体" w:eastAsia="宋体"/>
          <w:sz w:val="24"/>
          <w:szCs w:val="24"/>
        </w:rPr>
        <w:t>万元，预计年屠宰加工生猪</w:t>
      </w:r>
      <w:r>
        <w:rPr>
          <w:rFonts w:hint="eastAsia"/>
          <w:sz w:val="24"/>
          <w:szCs w:val="24"/>
          <w:lang w:val="en-US" w:eastAsia="zh-CN"/>
        </w:rPr>
        <w:t>30万头</w:t>
      </w:r>
      <w:r>
        <w:rPr>
          <w:rFonts w:hint="eastAsia" w:ascii="宋体" w:hAnsi="宋体" w:eastAsia="宋体"/>
          <w:sz w:val="24"/>
          <w:szCs w:val="24"/>
          <w:lang w:eastAsia="zh-CN"/>
        </w:rPr>
        <w:t>、</w:t>
      </w:r>
      <w:r>
        <w:rPr>
          <w:rFonts w:hint="eastAsia" w:ascii="宋体" w:hAnsi="宋体" w:eastAsia="宋体"/>
          <w:sz w:val="24"/>
          <w:szCs w:val="24"/>
          <w:lang w:val="en-US" w:eastAsia="zh-CN"/>
        </w:rPr>
        <w:t>肉</w:t>
      </w:r>
      <w:r>
        <w:rPr>
          <w:rFonts w:hint="eastAsia"/>
          <w:lang w:val="en-US" w:eastAsia="zh-CN"/>
        </w:rPr>
        <w:t>牛1万头</w:t>
      </w:r>
      <w:r>
        <w:rPr>
          <w:rFonts w:hint="eastAsia" w:ascii="宋体" w:hAnsi="宋体" w:eastAsia="宋体"/>
          <w:sz w:val="24"/>
          <w:szCs w:val="24"/>
        </w:rPr>
        <w:t>。各项评价指标具有良好的财务盈利能力和较强的抗风险能力将取得较好的经济效益。</w:t>
      </w:r>
    </w:p>
    <w:p>
      <w:pPr>
        <w:pStyle w:val="4"/>
        <w:bidi w:val="0"/>
        <w:rPr>
          <w:rFonts w:hint="default"/>
          <w:lang w:val="en-US" w:eastAsia="zh-CN"/>
        </w:rPr>
      </w:pPr>
      <w:bookmarkStart w:id="68" w:name="_Toc19179"/>
      <w:r>
        <w:rPr>
          <w:rFonts w:hint="eastAsia"/>
          <w:lang w:val="en-US" w:eastAsia="zh-CN"/>
        </w:rPr>
        <w:t>环境效益分析</w:t>
      </w:r>
      <w:bookmarkEnd w:id="68"/>
    </w:p>
    <w:p>
      <w:pPr>
        <w:bidi w:val="0"/>
        <w:rPr>
          <w:rFonts w:hint="eastAsia"/>
        </w:rPr>
      </w:pPr>
      <w:r>
        <w:rPr>
          <w:rFonts w:hint="eastAsia"/>
        </w:rPr>
        <w:t>本工程拟实施的环保治理措施全部落实到位以后将对工程所产生的废水、废气、废渣以及噪声进行比较彻底的治理，可以实现</w:t>
      </w:r>
      <w:r>
        <w:rPr>
          <w:rFonts w:hint="eastAsia"/>
          <w:lang w:eastAsia="zh-CN"/>
        </w:rPr>
        <w:t>“</w:t>
      </w:r>
      <w:r>
        <w:rPr>
          <w:rFonts w:hint="eastAsia"/>
        </w:rPr>
        <w:t>达标排放</w:t>
      </w:r>
      <w:r>
        <w:rPr>
          <w:rFonts w:hint="eastAsia"/>
          <w:lang w:eastAsia="zh-CN"/>
        </w:rPr>
        <w:t>”</w:t>
      </w:r>
      <w:r>
        <w:rPr>
          <w:rFonts w:hint="eastAsia"/>
        </w:rPr>
        <w:t>，污染物排放量较小。</w:t>
      </w:r>
    </w:p>
    <w:p>
      <w:pPr>
        <w:bidi w:val="0"/>
        <w:rPr>
          <w:rFonts w:hint="eastAsia"/>
        </w:rPr>
      </w:pPr>
      <w:r>
        <w:rPr>
          <w:rFonts w:hint="eastAsia"/>
        </w:rPr>
        <w:t>项目环保投资</w:t>
      </w:r>
      <w:r>
        <w:rPr>
          <w:rFonts w:hint="eastAsia"/>
          <w:lang w:val="en-US" w:eastAsia="zh-CN"/>
        </w:rPr>
        <w:t>459.9</w:t>
      </w:r>
      <w:r>
        <w:rPr>
          <w:rFonts w:hint="eastAsia"/>
        </w:rPr>
        <w:t>万元，带来的环境效益主要体现在减少污染物的排放，具有良好的环境效益。</w:t>
      </w:r>
    </w:p>
    <w:p>
      <w:pPr>
        <w:bidi w:val="0"/>
        <w:rPr>
          <w:rFonts w:hint="eastAsia"/>
        </w:rPr>
      </w:pPr>
      <w:r>
        <w:rPr>
          <w:rFonts w:hint="eastAsia"/>
        </w:rPr>
        <w:t>本项目环境保护措施的经济效益大致可分为：</w:t>
      </w:r>
    </w:p>
    <w:p>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可用市场价值估算的经济收益</w:t>
      </w:r>
    </w:p>
    <w:p>
      <w:pPr>
        <w:bidi w:val="0"/>
        <w:rPr>
          <w:rFonts w:hint="eastAsia"/>
        </w:rPr>
      </w:pPr>
      <w:r>
        <w:rPr>
          <w:rFonts w:hint="eastAsia"/>
        </w:rPr>
        <w:t>本项目废气、废水等处理系统设备先进，处理效果好，能较大程度地削减生产废水和废气中污染物的排放量，从而大幅度降低排污费。</w:t>
      </w:r>
    </w:p>
    <w:p>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改善环境质量的非货币效益</w:t>
      </w:r>
    </w:p>
    <w:p>
      <w:pPr>
        <w:bidi w:val="0"/>
        <w:rPr>
          <w:rFonts w:hint="eastAsia"/>
        </w:rPr>
      </w:pPr>
      <w:r>
        <w:rPr>
          <w:rFonts w:hint="eastAsia"/>
        </w:rPr>
        <w:t>①通过对本工程的废气、废水、噪声进行治理，达标排放；对固体废物、废液进行处置，去向明确，不会产生二次污染，降低了对周围环境的影响。</w:t>
      </w:r>
    </w:p>
    <w:p>
      <w:pPr>
        <w:bidi w:val="0"/>
        <w:rPr>
          <w:rFonts w:hint="eastAsia"/>
        </w:rPr>
      </w:pPr>
      <w:r>
        <w:rPr>
          <w:rFonts w:hint="eastAsia"/>
        </w:rPr>
        <w:t>②对动力设备采取的降噪措施，可避免或很大程度地缓解噪声对人体的听力及正常生活的影响。</w:t>
      </w:r>
    </w:p>
    <w:p>
      <w:pPr>
        <w:bidi w:val="0"/>
        <w:rPr>
          <w:rFonts w:hint="eastAsia"/>
        </w:rPr>
      </w:pPr>
      <w:r>
        <w:rPr>
          <w:rFonts w:hint="eastAsia"/>
        </w:rPr>
        <w:t>由此可见工程在取得良好的经济效益和社会效益的前提下，对环境的影响比较小，从此角度讲，工程的环境效益是可行的。</w:t>
      </w:r>
    </w:p>
    <w:p>
      <w:pPr>
        <w:pStyle w:val="4"/>
        <w:bidi w:val="0"/>
        <w:rPr>
          <w:rFonts w:hint="default"/>
          <w:lang w:val="en-US" w:eastAsia="zh-CN"/>
        </w:rPr>
      </w:pPr>
      <w:bookmarkStart w:id="69" w:name="_Toc27921"/>
      <w:r>
        <w:rPr>
          <w:rFonts w:hint="eastAsia"/>
          <w:lang w:val="en-US" w:eastAsia="zh-CN"/>
        </w:rPr>
        <w:t>环境经济损益分析结论</w:t>
      </w:r>
      <w:bookmarkEnd w:id="69"/>
    </w:p>
    <w:p>
      <w:pPr>
        <w:bidi w:val="0"/>
        <w:rPr>
          <w:rFonts w:hint="eastAsia"/>
        </w:rPr>
      </w:pPr>
      <w:r>
        <w:rPr>
          <w:rFonts w:hint="eastAsia"/>
        </w:rPr>
        <w:t>本项目符合国家产业政策和环境保护政策的要求，项目采用成熟先进的生产工艺、设备装备以及管理体系，可体现畜类屠宰规模化生产物耗低、利率高、污染小的特征。项目的实施在促进地方经济发展的同时，将给当地人民提供广阔的就业、致富机遇，对促进当地社会稳定，提高人民生活水平发挥积极作用。项目市场前景良好，并有较好的</w:t>
      </w:r>
      <w:r>
        <w:rPr>
          <w:rFonts w:hint="eastAsia"/>
          <w:lang w:eastAsia="zh-CN"/>
        </w:rPr>
        <w:t>盈利</w:t>
      </w:r>
      <w:r>
        <w:rPr>
          <w:rFonts w:hint="eastAsia"/>
        </w:rPr>
        <w:t>能力、清偿能力和抗风险能力，从社会经济角度看是可行的。从经济可行性分析来看，项目在保证环保投资的前提下，污染物能够达标排放并不增大区域污染负荷，环境效益比较明显，从环境经济角度来看也是合理可行的。因此，本项目建设可行。</w:t>
      </w:r>
    </w:p>
    <w:p>
      <w:pPr>
        <w:rPr>
          <w:rFonts w:hint="eastAsia"/>
        </w:rPr>
      </w:pPr>
      <w:r>
        <w:rPr>
          <w:rFonts w:hint="eastAsia"/>
        </w:rPr>
        <w:br w:type="page"/>
      </w:r>
    </w:p>
    <w:p>
      <w:pPr>
        <w:pStyle w:val="3"/>
        <w:bidi w:val="0"/>
        <w:rPr>
          <w:rFonts w:hint="default"/>
          <w:lang w:val="en-US" w:eastAsia="zh-CN"/>
        </w:rPr>
      </w:pPr>
      <w:bookmarkStart w:id="70" w:name="_Toc9819"/>
      <w:r>
        <w:rPr>
          <w:rFonts w:hint="eastAsia"/>
          <w:lang w:val="en-US" w:eastAsia="zh-CN"/>
        </w:rPr>
        <w:t>环境管理及监测计划</w:t>
      </w:r>
      <w:bookmarkEnd w:id="70"/>
    </w:p>
    <w:p>
      <w:pPr>
        <w:bidi w:val="0"/>
        <w:rPr>
          <w:rFonts w:hint="eastAsia"/>
        </w:rPr>
      </w:pPr>
      <w:r>
        <w:rPr>
          <w:rFonts w:hint="eastAsia"/>
        </w:rPr>
        <w:t>企业的环境管理是企业的管理者为实现预期的环境目标，运用环保法律、法规、技术、经济、教育等手段对企业合理开发利用资源、能源、控制环境污染与保护环境所实施重要措施。</w:t>
      </w:r>
    </w:p>
    <w:p>
      <w:pPr>
        <w:bidi w:val="0"/>
        <w:rPr>
          <w:rFonts w:hint="eastAsia"/>
        </w:rPr>
      </w:pPr>
      <w:r>
        <w:rPr>
          <w:rFonts w:hint="eastAsia"/>
        </w:rPr>
        <w:t>环境监测制度是为环境管理服务的一项重要制度，通过环境监测，及时了解企业的环境状况，不断完善，改进防治措施，不断适应环境保护发展的要求；是实现企业环境管理定量化，规范化的重要举措。建立一套完善的行之有效的环境管理与监测制度是企业环境保护工作的重要组成部分。</w:t>
      </w:r>
    </w:p>
    <w:p>
      <w:pPr>
        <w:pStyle w:val="4"/>
        <w:bidi w:val="0"/>
        <w:rPr>
          <w:rFonts w:hint="default"/>
          <w:lang w:val="en-US" w:eastAsia="zh-CN"/>
        </w:rPr>
      </w:pPr>
      <w:bookmarkStart w:id="71" w:name="_Toc9591"/>
      <w:r>
        <w:rPr>
          <w:rFonts w:hint="eastAsia"/>
          <w:lang w:val="en-US" w:eastAsia="zh-CN"/>
        </w:rPr>
        <w:t>环境管理</w:t>
      </w:r>
      <w:bookmarkEnd w:id="71"/>
    </w:p>
    <w:p>
      <w:pPr>
        <w:pStyle w:val="5"/>
        <w:bidi w:val="0"/>
        <w:rPr>
          <w:rFonts w:hint="default"/>
          <w:lang w:val="en-US" w:eastAsia="zh-CN"/>
        </w:rPr>
      </w:pPr>
      <w:r>
        <w:rPr>
          <w:rFonts w:hint="eastAsia"/>
          <w:lang w:val="en-US" w:eastAsia="zh-CN"/>
        </w:rPr>
        <w:t>建立环境管理体系</w:t>
      </w:r>
    </w:p>
    <w:p>
      <w:pPr>
        <w:bidi w:val="0"/>
        <w:rPr>
          <w:rFonts w:hint="eastAsia"/>
        </w:rPr>
      </w:pPr>
      <w:r>
        <w:rPr>
          <w:rFonts w:hint="eastAsia"/>
        </w:rPr>
        <w:t>为做好环境管理工作，公司应建立环境管理体系，将环境管理工作自上而下地贯穿到公司的生产管理中，现就建立环境管理体系提出如下建议：</w:t>
      </w:r>
    </w:p>
    <w:p>
      <w:pPr>
        <w:bidi w:val="0"/>
        <w:rPr>
          <w:rFonts w:hint="eastAsia"/>
        </w:rPr>
      </w:pPr>
      <w:r>
        <w:rPr>
          <w:rFonts w:hint="eastAsia"/>
        </w:rPr>
        <w:t>（</w:t>
      </w:r>
      <w:r>
        <w:rPr>
          <w:rFonts w:hint="default"/>
        </w:rPr>
        <w:t>1</w:t>
      </w:r>
      <w:r>
        <w:rPr>
          <w:rFonts w:hint="eastAsia"/>
        </w:rPr>
        <w:t>）公司的环境管理工作实行公司主要负责人负责制，以便在制定环保方针、制度、规划，协调人力、物力和财力等方面，将环境管理和生产管理结合起来。</w:t>
      </w:r>
    </w:p>
    <w:p>
      <w:pPr>
        <w:bidi w:val="0"/>
        <w:rPr>
          <w:rFonts w:hint="eastAsia"/>
        </w:rPr>
      </w:pPr>
      <w:r>
        <w:rPr>
          <w:rFonts w:hint="eastAsia"/>
        </w:rPr>
        <w:t>（</w:t>
      </w:r>
      <w:r>
        <w:rPr>
          <w:rFonts w:hint="default"/>
        </w:rPr>
        <w:t>2</w:t>
      </w:r>
      <w:r>
        <w:rPr>
          <w:rFonts w:hint="eastAsia"/>
        </w:rPr>
        <w:t>）建立专职环境管理机构，配备专职环保管理人员和兼职管理人员若干名，具体制定环境管理方案并实施运行；负责与政府环保主管部门的联系与协调工作。</w:t>
      </w:r>
    </w:p>
    <w:p>
      <w:pPr>
        <w:bidi w:val="0"/>
        <w:rPr>
          <w:rFonts w:hint="eastAsia"/>
        </w:rPr>
      </w:pPr>
      <w:r>
        <w:rPr>
          <w:rFonts w:hint="eastAsia"/>
        </w:rPr>
        <w:t>（</w:t>
      </w:r>
      <w:r>
        <w:rPr>
          <w:rFonts w:hint="default"/>
        </w:rPr>
        <w:t>3</w:t>
      </w:r>
      <w:r>
        <w:rPr>
          <w:rFonts w:hint="eastAsia"/>
        </w:rPr>
        <w:t>）以水、气、声等环境要素的保护和改善作为推动企业环境保护工作的基础，并在生产工作中检查环境管理的成效。</w:t>
      </w:r>
    </w:p>
    <w:p>
      <w:pPr>
        <w:bidi w:val="0"/>
        <w:rPr>
          <w:rFonts w:hint="eastAsia"/>
        </w:rPr>
      </w:pPr>
      <w:r>
        <w:rPr>
          <w:rFonts w:hint="eastAsia"/>
        </w:rPr>
        <w:t>（</w:t>
      </w:r>
      <w:r>
        <w:rPr>
          <w:rFonts w:hint="default"/>
        </w:rPr>
        <w:t>4</w:t>
      </w:r>
      <w:r>
        <w:rPr>
          <w:rFonts w:hint="eastAsia"/>
        </w:rPr>
        <w:t>）按照所制定的环保方针和环境管理方案，将环境管理目标和指标层层分解，落实到各生产部门和人，签订责任书，定期考核。</w:t>
      </w:r>
    </w:p>
    <w:p>
      <w:pPr>
        <w:bidi w:val="0"/>
        <w:rPr>
          <w:rFonts w:hint="default"/>
          <w:lang w:val="en-US" w:eastAsia="zh-CN"/>
        </w:rPr>
      </w:pPr>
      <w:r>
        <w:rPr>
          <w:rFonts w:hint="eastAsia"/>
        </w:rPr>
        <w:t>（</w:t>
      </w:r>
      <w:r>
        <w:rPr>
          <w:rFonts w:hint="default"/>
        </w:rPr>
        <w:t>5</w:t>
      </w:r>
      <w:r>
        <w:rPr>
          <w:rFonts w:hint="eastAsia"/>
        </w:rPr>
        <w:t>）按照环境管理的要求，将计划实现的目标和过程编制成文件，有关指标制成目标管理图表，标明工作内容和进度，以便与目标对比，及时掌握环保工作的进展情况。</w:t>
      </w:r>
    </w:p>
    <w:p>
      <w:pPr>
        <w:pStyle w:val="5"/>
        <w:bidi w:val="0"/>
        <w:rPr>
          <w:rFonts w:hint="default"/>
          <w:lang w:val="en-US" w:eastAsia="zh-CN"/>
        </w:rPr>
      </w:pPr>
      <w:r>
        <w:rPr>
          <w:rFonts w:hint="eastAsia"/>
          <w:lang w:val="en-US" w:eastAsia="zh-CN"/>
        </w:rPr>
        <w:t>环境管理规章制度</w:t>
      </w:r>
    </w:p>
    <w:p>
      <w:pPr>
        <w:bidi w:val="0"/>
        <w:rPr>
          <w:rFonts w:hint="eastAsia"/>
        </w:rPr>
      </w:pPr>
      <w:r>
        <w:rPr>
          <w:rFonts w:hint="eastAsia"/>
        </w:rPr>
        <w:t>建立和完善环境管理制度，是企业环境管理体系的重要组成部分，需建立的环境管理制度主要有：</w:t>
      </w:r>
    </w:p>
    <w:p>
      <w:pPr>
        <w:bidi w:val="0"/>
        <w:rPr>
          <w:rFonts w:hint="eastAsia"/>
        </w:rPr>
      </w:pPr>
      <w:r>
        <w:rPr>
          <w:rFonts w:hint="eastAsia"/>
        </w:rPr>
        <w:t>（</w:t>
      </w:r>
      <w:r>
        <w:rPr>
          <w:rFonts w:hint="default"/>
        </w:rPr>
        <w:t>1</w:t>
      </w:r>
      <w:r>
        <w:rPr>
          <w:rFonts w:hint="eastAsia"/>
        </w:rPr>
        <w:t>）环境管理岗位责任制；</w:t>
      </w:r>
    </w:p>
    <w:p>
      <w:pPr>
        <w:bidi w:val="0"/>
        <w:rPr>
          <w:rFonts w:hint="eastAsia"/>
        </w:rPr>
      </w:pPr>
      <w:r>
        <w:rPr>
          <w:rFonts w:hint="eastAsia"/>
        </w:rPr>
        <w:t>（</w:t>
      </w:r>
      <w:r>
        <w:rPr>
          <w:rFonts w:hint="default"/>
        </w:rPr>
        <w:t>2</w:t>
      </w:r>
      <w:r>
        <w:rPr>
          <w:rFonts w:hint="eastAsia"/>
        </w:rPr>
        <w:t>）环保设施运行和管理制度；</w:t>
      </w:r>
    </w:p>
    <w:p>
      <w:pPr>
        <w:bidi w:val="0"/>
        <w:rPr>
          <w:rFonts w:hint="eastAsia"/>
        </w:rPr>
      </w:pPr>
      <w:r>
        <w:rPr>
          <w:rFonts w:hint="eastAsia"/>
        </w:rPr>
        <w:t>（</w:t>
      </w:r>
      <w:r>
        <w:rPr>
          <w:rFonts w:hint="default"/>
        </w:rPr>
        <w:t>3</w:t>
      </w:r>
      <w:r>
        <w:rPr>
          <w:rFonts w:hint="eastAsia"/>
        </w:rPr>
        <w:t>）环境污染物排放和监测制度；</w:t>
      </w:r>
    </w:p>
    <w:p>
      <w:pPr>
        <w:bidi w:val="0"/>
        <w:rPr>
          <w:rFonts w:hint="default"/>
          <w:lang w:val="en-US" w:eastAsia="zh-CN"/>
        </w:rPr>
      </w:pPr>
      <w:r>
        <w:rPr>
          <w:rFonts w:hint="eastAsia"/>
        </w:rPr>
        <w:t>（</w:t>
      </w:r>
      <w:r>
        <w:rPr>
          <w:rFonts w:hint="default"/>
        </w:rPr>
        <w:t>4</w:t>
      </w:r>
      <w:r>
        <w:rPr>
          <w:rFonts w:hint="eastAsia"/>
        </w:rPr>
        <w:t>）原材料的管理和使用、节约制度；</w:t>
      </w:r>
    </w:p>
    <w:p>
      <w:pPr>
        <w:spacing w:beforeLines="0" w:afterLines="0"/>
        <w:jc w:val="left"/>
        <w:rPr>
          <w:rFonts w:hint="eastAsia" w:ascii="宋体" w:hAnsi="宋体" w:eastAsia="宋体"/>
          <w:sz w:val="24"/>
          <w:szCs w:val="24"/>
        </w:rPr>
      </w:pPr>
      <w:r>
        <w:rPr>
          <w:rFonts w:hint="eastAsia" w:ascii="宋体" w:hAnsi="宋体" w:eastAsia="宋体"/>
          <w:sz w:val="24"/>
          <w:szCs w:val="24"/>
        </w:rPr>
        <w:t>（</w:t>
      </w:r>
      <w:r>
        <w:rPr>
          <w:rFonts w:hint="default" w:ascii="Times New Roman" w:hAnsi="Times New Roman" w:eastAsia="Times New Roman"/>
          <w:sz w:val="24"/>
          <w:szCs w:val="24"/>
        </w:rPr>
        <w:t>5</w:t>
      </w:r>
      <w:r>
        <w:rPr>
          <w:rFonts w:hint="eastAsia" w:ascii="宋体" w:hAnsi="宋体" w:eastAsia="宋体"/>
          <w:sz w:val="24"/>
          <w:szCs w:val="24"/>
        </w:rPr>
        <w:t>）环境污染事故应急和处理制度；</w:t>
      </w:r>
    </w:p>
    <w:p>
      <w:pPr>
        <w:spacing w:beforeLines="0" w:afterLines="0"/>
        <w:jc w:val="left"/>
        <w:rPr>
          <w:rFonts w:hint="eastAsia" w:ascii="宋体" w:hAnsi="宋体" w:eastAsia="宋体"/>
          <w:sz w:val="24"/>
          <w:szCs w:val="24"/>
        </w:rPr>
      </w:pPr>
      <w:r>
        <w:rPr>
          <w:rFonts w:hint="eastAsia" w:ascii="宋体" w:hAnsi="宋体" w:eastAsia="宋体"/>
          <w:sz w:val="24"/>
          <w:szCs w:val="24"/>
        </w:rPr>
        <w:t>（</w:t>
      </w:r>
      <w:r>
        <w:rPr>
          <w:rFonts w:hint="default" w:ascii="Times New Roman" w:hAnsi="Times New Roman" w:eastAsia="Times New Roman"/>
          <w:sz w:val="24"/>
          <w:szCs w:val="24"/>
        </w:rPr>
        <w:t>6</w:t>
      </w:r>
      <w:r>
        <w:rPr>
          <w:rFonts w:hint="eastAsia" w:ascii="宋体" w:hAnsi="宋体" w:eastAsia="宋体"/>
          <w:sz w:val="24"/>
          <w:szCs w:val="24"/>
        </w:rPr>
        <w:t>）生产环境管理制度；</w:t>
      </w:r>
    </w:p>
    <w:p>
      <w:pPr>
        <w:bidi w:val="0"/>
        <w:rPr>
          <w:rFonts w:hint="default"/>
          <w:lang w:val="en-US" w:eastAsia="zh-CN"/>
        </w:rPr>
      </w:pPr>
      <w:r>
        <w:rPr>
          <w:rFonts w:hint="eastAsia" w:ascii="宋体" w:hAnsi="宋体" w:eastAsia="宋体"/>
          <w:sz w:val="24"/>
          <w:szCs w:val="24"/>
        </w:rPr>
        <w:t>（</w:t>
      </w:r>
      <w:r>
        <w:rPr>
          <w:rFonts w:hint="default" w:ascii="Times New Roman" w:hAnsi="Times New Roman" w:eastAsia="Times New Roman"/>
          <w:sz w:val="24"/>
          <w:szCs w:val="24"/>
        </w:rPr>
        <w:t>7</w:t>
      </w:r>
      <w:r>
        <w:rPr>
          <w:rFonts w:hint="eastAsia" w:ascii="宋体" w:hAnsi="宋体" w:eastAsia="宋体"/>
          <w:sz w:val="24"/>
          <w:szCs w:val="24"/>
        </w:rPr>
        <w:t>）厂区绿化和管理制度。</w:t>
      </w:r>
    </w:p>
    <w:p>
      <w:pPr>
        <w:pStyle w:val="5"/>
        <w:bidi w:val="0"/>
        <w:rPr>
          <w:rFonts w:hint="default"/>
          <w:lang w:val="en-US" w:eastAsia="zh-CN"/>
        </w:rPr>
      </w:pPr>
      <w:r>
        <w:rPr>
          <w:rFonts w:hint="eastAsia"/>
          <w:lang w:val="en-US" w:eastAsia="zh-CN"/>
        </w:rPr>
        <w:t>环境管理机构的主要职责</w:t>
      </w:r>
    </w:p>
    <w:p>
      <w:pPr>
        <w:bidi w:val="0"/>
        <w:rPr>
          <w:rFonts w:hint="eastAsia"/>
        </w:rPr>
      </w:pPr>
      <w:r>
        <w:rPr>
          <w:rFonts w:hint="eastAsia"/>
        </w:rPr>
        <w:t>公司环境管理机构主要职责是：</w:t>
      </w:r>
    </w:p>
    <w:p>
      <w:pPr>
        <w:bidi w:val="0"/>
        <w:rPr>
          <w:rFonts w:hint="eastAsia"/>
        </w:rPr>
      </w:pPr>
      <w:r>
        <w:rPr>
          <w:rFonts w:hint="eastAsia"/>
        </w:rPr>
        <w:t>（</w:t>
      </w:r>
      <w:r>
        <w:rPr>
          <w:rFonts w:hint="default"/>
        </w:rPr>
        <w:t>1</w:t>
      </w:r>
      <w:r>
        <w:rPr>
          <w:rFonts w:hint="eastAsia"/>
        </w:rPr>
        <w:t>）贯彻执行中华人民共和国的环境保护法规和标准，接受</w:t>
      </w:r>
      <w:r>
        <w:rPr>
          <w:rFonts w:hint="eastAsia"/>
          <w:lang w:val="en-US" w:eastAsia="zh-CN"/>
        </w:rPr>
        <w:t>生态环境</w:t>
      </w:r>
      <w:r>
        <w:rPr>
          <w:rFonts w:hint="eastAsia"/>
        </w:rPr>
        <w:t>主管部门的检查监督，定期上报各项管理工作的执行情况；</w:t>
      </w:r>
    </w:p>
    <w:p>
      <w:pPr>
        <w:bidi w:val="0"/>
        <w:rPr>
          <w:rFonts w:hint="eastAsia"/>
        </w:rPr>
      </w:pPr>
      <w:r>
        <w:rPr>
          <w:rFonts w:hint="eastAsia"/>
        </w:rPr>
        <w:t>（</w:t>
      </w:r>
      <w:r>
        <w:rPr>
          <w:rFonts w:hint="default"/>
        </w:rPr>
        <w:t>2</w:t>
      </w:r>
      <w:r>
        <w:rPr>
          <w:rFonts w:hint="eastAsia"/>
        </w:rPr>
        <w:t>）接受</w:t>
      </w:r>
      <w:r>
        <w:rPr>
          <w:rFonts w:hint="eastAsia"/>
          <w:lang w:val="en-US" w:eastAsia="zh-CN"/>
        </w:rPr>
        <w:t>生态环境</w:t>
      </w:r>
      <w:r>
        <w:rPr>
          <w:rFonts w:hint="eastAsia"/>
        </w:rPr>
        <w:t>主管部门的检查，定期上报各项管理工作的执行情况；</w:t>
      </w:r>
    </w:p>
    <w:p>
      <w:pPr>
        <w:bidi w:val="0"/>
        <w:rPr>
          <w:rFonts w:hint="eastAsia"/>
        </w:rPr>
      </w:pPr>
      <w:r>
        <w:rPr>
          <w:rFonts w:hint="eastAsia"/>
        </w:rPr>
        <w:t>（</w:t>
      </w:r>
      <w:r>
        <w:rPr>
          <w:rFonts w:hint="default"/>
        </w:rPr>
        <w:t>3</w:t>
      </w:r>
      <w:r>
        <w:rPr>
          <w:rFonts w:hint="eastAsia"/>
        </w:rPr>
        <w:t>）如实向</w:t>
      </w:r>
      <w:r>
        <w:rPr>
          <w:rFonts w:hint="eastAsia"/>
          <w:lang w:val="en-US" w:eastAsia="zh-CN"/>
        </w:rPr>
        <w:t>生态环境</w:t>
      </w:r>
      <w:r>
        <w:rPr>
          <w:rFonts w:hint="eastAsia"/>
        </w:rPr>
        <w:t>主管部门申报公司使用的各种化学品，如有变更，事先征得主管部门许可，培训并让每个员工掌握这些化学品的危险性、毒性、腐蚀性物质的特征及防护措施；</w:t>
      </w:r>
    </w:p>
    <w:p>
      <w:pPr>
        <w:bidi w:val="0"/>
        <w:rPr>
          <w:rFonts w:hint="eastAsia"/>
        </w:rPr>
      </w:pPr>
      <w:r>
        <w:rPr>
          <w:rFonts w:hint="eastAsia"/>
        </w:rPr>
        <w:t>（</w:t>
      </w:r>
      <w:r>
        <w:rPr>
          <w:rFonts w:hint="default"/>
        </w:rPr>
        <w:t>4</w:t>
      </w:r>
      <w:r>
        <w:rPr>
          <w:rFonts w:hint="eastAsia"/>
        </w:rPr>
        <w:t>）组织制定工厂内各部门的环保管理规章制度，并监督执行；</w:t>
      </w:r>
    </w:p>
    <w:p>
      <w:pPr>
        <w:bidi w:val="0"/>
        <w:rPr>
          <w:rFonts w:hint="eastAsia"/>
        </w:rPr>
      </w:pPr>
      <w:r>
        <w:rPr>
          <w:rFonts w:hint="eastAsia"/>
        </w:rPr>
        <w:t>（</w:t>
      </w:r>
      <w:r>
        <w:rPr>
          <w:rFonts w:hint="default"/>
        </w:rPr>
        <w:t>5</w:t>
      </w:r>
      <w:r>
        <w:rPr>
          <w:rFonts w:hint="eastAsia"/>
        </w:rPr>
        <w:t>）检查公司内部环保治理设备的运转情况以及日常维护保养，保证其正常运转；</w:t>
      </w:r>
    </w:p>
    <w:p>
      <w:pPr>
        <w:bidi w:val="0"/>
        <w:rPr>
          <w:rFonts w:hint="eastAsia"/>
        </w:rPr>
      </w:pPr>
      <w:r>
        <w:rPr>
          <w:rFonts w:hint="eastAsia"/>
        </w:rPr>
        <w:t>（</w:t>
      </w:r>
      <w:r>
        <w:rPr>
          <w:rFonts w:hint="default"/>
        </w:rPr>
        <w:t>6</w:t>
      </w:r>
      <w:r>
        <w:rPr>
          <w:rFonts w:hint="eastAsia"/>
        </w:rPr>
        <w:t>）组织参加环境监测工作；</w:t>
      </w:r>
    </w:p>
    <w:p>
      <w:pPr>
        <w:bidi w:val="0"/>
        <w:rPr>
          <w:rFonts w:hint="default"/>
          <w:lang w:val="en-US" w:eastAsia="zh-CN"/>
        </w:rPr>
      </w:pPr>
      <w:r>
        <w:rPr>
          <w:rFonts w:hint="eastAsia"/>
        </w:rPr>
        <w:t>（</w:t>
      </w:r>
      <w:r>
        <w:rPr>
          <w:rFonts w:hint="default"/>
        </w:rPr>
        <w:t>7</w:t>
      </w:r>
      <w:r>
        <w:rPr>
          <w:rFonts w:hint="eastAsia"/>
        </w:rPr>
        <w:t>）定期进行审计，检查环境管理计划实施情况，使环境污染的治理、管理和控制不断得到改善，使企业对环境的影响降到最低程度。</w:t>
      </w:r>
    </w:p>
    <w:p>
      <w:pPr>
        <w:pStyle w:val="5"/>
        <w:bidi w:val="0"/>
        <w:rPr>
          <w:rFonts w:hint="default"/>
          <w:lang w:val="en-US" w:eastAsia="zh-CN"/>
        </w:rPr>
      </w:pPr>
      <w:r>
        <w:rPr>
          <w:rFonts w:hint="eastAsia"/>
        </w:rPr>
        <w:t>规范排污口</w:t>
      </w:r>
    </w:p>
    <w:p>
      <w:pPr>
        <w:bidi w:val="0"/>
        <w:rPr>
          <w:rFonts w:hint="default"/>
          <w:lang w:val="en-US" w:eastAsia="zh-CN"/>
        </w:rPr>
      </w:pPr>
      <w:r>
        <w:rPr>
          <w:rFonts w:hint="eastAsia"/>
        </w:rPr>
        <w:t>根据《环境保护图形标志—排放口（源）》（</w:t>
      </w:r>
      <w:r>
        <w:rPr>
          <w:rFonts w:hint="default"/>
        </w:rPr>
        <w:t>GB15562.1-1995</w:t>
      </w:r>
      <w:r>
        <w:rPr>
          <w:rFonts w:hint="eastAsia"/>
        </w:rPr>
        <w:t>）和《排污口规范化整治要求（试行）》（环监</w:t>
      </w:r>
      <w:r>
        <w:rPr>
          <w:rFonts w:hint="eastAsia"/>
          <w:lang w:eastAsia="zh-CN"/>
        </w:rPr>
        <w:t>[</w:t>
      </w:r>
      <w:r>
        <w:rPr>
          <w:rFonts w:hint="default"/>
        </w:rPr>
        <w:t>1996</w:t>
      </w:r>
      <w:r>
        <w:rPr>
          <w:rFonts w:hint="eastAsia"/>
          <w:lang w:val="en-US" w:eastAsia="zh-CN"/>
        </w:rPr>
        <w:t>]</w:t>
      </w:r>
      <w:r>
        <w:rPr>
          <w:rFonts w:hint="default"/>
        </w:rPr>
        <w:t>470</w:t>
      </w:r>
      <w:r>
        <w:rPr>
          <w:rFonts w:hint="eastAsia"/>
        </w:rPr>
        <w:t>号）的要求，企业所有排放口（包括气、声、固体废物），必须按照</w:t>
      </w:r>
      <w:r>
        <w:rPr>
          <w:rFonts w:hint="eastAsia"/>
          <w:lang w:eastAsia="zh-CN"/>
        </w:rPr>
        <w:t>“</w:t>
      </w:r>
      <w:r>
        <w:rPr>
          <w:rFonts w:hint="eastAsia"/>
        </w:rPr>
        <w:t>便于计量监测、便于日常现场监督检查</w:t>
      </w:r>
      <w:r>
        <w:rPr>
          <w:rFonts w:hint="eastAsia"/>
          <w:lang w:eastAsia="zh-CN"/>
        </w:rPr>
        <w:t>”</w:t>
      </w:r>
      <w:r>
        <w:rPr>
          <w:rFonts w:hint="eastAsia"/>
        </w:rPr>
        <w:t>的原则和规范化要求，设置与之相适应的环境保护图形标志牌，绘制企业排污口分布图，对治理设施安装运行监控装置。</w:t>
      </w:r>
    </w:p>
    <w:p>
      <w:pPr>
        <w:bidi w:val="0"/>
        <w:rPr>
          <w:rFonts w:hint="default"/>
          <w:b/>
          <w:bCs/>
          <w:lang w:val="en-US" w:eastAsia="zh-CN"/>
        </w:rPr>
      </w:pPr>
      <w:r>
        <w:rPr>
          <w:rFonts w:hint="eastAsia"/>
          <w:b/>
          <w:bCs/>
          <w:lang w:val="en-US" w:eastAsia="zh-CN"/>
        </w:rPr>
        <w:t>（1）固定噪声源</w:t>
      </w:r>
    </w:p>
    <w:p>
      <w:pPr>
        <w:bidi w:val="0"/>
        <w:rPr>
          <w:rFonts w:hint="default"/>
          <w:lang w:val="en-US" w:eastAsia="zh-CN"/>
        </w:rPr>
      </w:pPr>
      <w:r>
        <w:rPr>
          <w:rFonts w:hint="eastAsia"/>
        </w:rPr>
        <w:t>对固定噪声源进行治理，并在边界噪声敏感点，且对外界影响最大处设置标志牌。</w:t>
      </w:r>
    </w:p>
    <w:p>
      <w:pPr>
        <w:bidi w:val="0"/>
        <w:rPr>
          <w:rFonts w:hint="eastAsia"/>
          <w:b/>
          <w:bCs/>
        </w:rPr>
      </w:pPr>
      <w:r>
        <w:rPr>
          <w:rFonts w:hint="eastAsia"/>
          <w:b/>
          <w:bCs/>
        </w:rPr>
        <w:t>（</w:t>
      </w:r>
      <w:r>
        <w:rPr>
          <w:rFonts w:hint="default"/>
          <w:b/>
          <w:bCs/>
        </w:rPr>
        <w:t>2</w:t>
      </w:r>
      <w:r>
        <w:rPr>
          <w:rFonts w:hint="eastAsia"/>
          <w:b/>
          <w:bCs/>
        </w:rPr>
        <w:t>）设置标志牌要求</w:t>
      </w:r>
    </w:p>
    <w:p>
      <w:pPr>
        <w:bidi w:val="0"/>
        <w:rPr>
          <w:rFonts w:hint="eastAsia"/>
        </w:rPr>
      </w:pPr>
      <w:r>
        <w:rPr>
          <w:rFonts w:hint="eastAsia"/>
        </w:rPr>
        <w:t>环境保护图形标志牌由环保部统一定点制作，企业排污口分布图由市环境监管部门统一绘制。排放一般污染物排污口（源），设置提示式标志牌。</w:t>
      </w:r>
    </w:p>
    <w:p>
      <w:pPr>
        <w:bidi w:val="0"/>
        <w:rPr>
          <w:rFonts w:hint="eastAsia"/>
        </w:rPr>
      </w:pPr>
      <w:r>
        <w:rPr>
          <w:rFonts w:hint="eastAsia"/>
        </w:rPr>
        <w:t>标志牌设置位置在排污口附近且醒目处，高度为标志牌上缘离地面</w:t>
      </w:r>
      <w:r>
        <w:rPr>
          <w:rFonts w:hint="default"/>
        </w:rPr>
        <w:t>2m</w:t>
      </w:r>
      <w:r>
        <w:rPr>
          <w:rFonts w:hint="eastAsia"/>
        </w:rPr>
        <w:t>；排污口附近</w:t>
      </w:r>
      <w:r>
        <w:rPr>
          <w:rFonts w:hint="default"/>
        </w:rPr>
        <w:t>1m</w:t>
      </w:r>
      <w:r>
        <w:rPr>
          <w:rFonts w:hint="eastAsia"/>
        </w:rPr>
        <w:t>范围内有建筑物的，设平面式标志牌，无建筑物的设立式标志牌。</w:t>
      </w:r>
    </w:p>
    <w:p>
      <w:pPr>
        <w:bidi w:val="0"/>
        <w:rPr>
          <w:rFonts w:hint="default"/>
          <w:lang w:val="en-US" w:eastAsia="zh-CN"/>
        </w:rPr>
      </w:pPr>
      <w:r>
        <w:rPr>
          <w:rFonts w:hint="eastAsia"/>
        </w:rPr>
        <w:t>规范化排污口的有关设置（如图形标志牌、监控装置等）属环保设施，排污单位必须负责日常的维护保养，任何单位和个人不得擅自拆除，如需变更的须报环境监管部门同意并办理变更手续。</w:t>
      </w:r>
    </w:p>
    <w:p>
      <w:pPr>
        <w:pStyle w:val="5"/>
        <w:bidi w:val="0"/>
        <w:rPr>
          <w:rFonts w:hint="default"/>
          <w:lang w:val="en-US" w:eastAsia="zh-CN"/>
        </w:rPr>
      </w:pPr>
      <w:r>
        <w:rPr>
          <w:rFonts w:hint="eastAsia"/>
          <w:lang w:val="en-US" w:eastAsia="zh-CN"/>
        </w:rPr>
        <w:t>实施环境影响后评价</w:t>
      </w:r>
    </w:p>
    <w:p>
      <w:pPr>
        <w:bidi w:val="0"/>
        <w:rPr>
          <w:rFonts w:hint="default"/>
          <w:lang w:val="en-US" w:eastAsia="zh-CN"/>
        </w:rPr>
      </w:pPr>
      <w:r>
        <w:rPr>
          <w:rFonts w:hint="eastAsia"/>
        </w:rPr>
        <w:t>本次评价要求项目建成运营一定时间后（</w:t>
      </w:r>
      <w:r>
        <w:rPr>
          <w:rFonts w:hint="default"/>
        </w:rPr>
        <w:t>1~3</w:t>
      </w:r>
      <w:r>
        <w:rPr>
          <w:rFonts w:hint="eastAsia"/>
        </w:rPr>
        <w:t>年），建设单位须按照《建设项目环境影响后评价管理办法（试行）》（环境保护部令第</w:t>
      </w:r>
      <w:r>
        <w:rPr>
          <w:rFonts w:hint="default"/>
        </w:rPr>
        <w:t>37</w:t>
      </w:r>
      <w:r>
        <w:rPr>
          <w:rFonts w:hint="eastAsia"/>
        </w:rPr>
        <w:t>号）积极开展环境影响后评价工作。</w:t>
      </w:r>
    </w:p>
    <w:p>
      <w:pPr>
        <w:pStyle w:val="4"/>
        <w:bidi w:val="0"/>
        <w:rPr>
          <w:rFonts w:hint="default"/>
          <w:lang w:val="en-US" w:eastAsia="zh-CN"/>
        </w:rPr>
      </w:pPr>
      <w:bookmarkStart w:id="72" w:name="_Toc18598"/>
      <w:r>
        <w:rPr>
          <w:rFonts w:hint="eastAsia"/>
          <w:lang w:val="en-US" w:eastAsia="zh-CN"/>
        </w:rPr>
        <w:t>环境监测</w:t>
      </w:r>
      <w:bookmarkEnd w:id="72"/>
    </w:p>
    <w:p>
      <w:pPr>
        <w:pStyle w:val="5"/>
        <w:bidi w:val="0"/>
        <w:rPr>
          <w:rFonts w:hint="default"/>
          <w:lang w:val="en-US" w:eastAsia="zh-CN"/>
        </w:rPr>
      </w:pPr>
      <w:r>
        <w:rPr>
          <w:rFonts w:hint="eastAsia" w:ascii="宋体" w:hAnsi="宋体" w:eastAsia="宋体"/>
          <w:sz w:val="24"/>
          <w:szCs w:val="24"/>
        </w:rPr>
        <w:t>环境监测的主要任务</w:t>
      </w:r>
    </w:p>
    <w:p>
      <w:pPr>
        <w:bidi w:val="0"/>
        <w:rPr>
          <w:rFonts w:hint="eastAsia"/>
        </w:rPr>
      </w:pPr>
      <w:r>
        <w:rPr>
          <w:rFonts w:hint="eastAsia"/>
        </w:rPr>
        <w:t>公司环境监测以厂区污染源源强排放监测为重点，</w:t>
      </w:r>
      <w:r>
        <w:rPr>
          <w:rFonts w:hint="eastAsia"/>
          <w:lang w:val="en-US" w:eastAsia="zh-CN"/>
        </w:rPr>
        <w:t>应委托</w:t>
      </w:r>
      <w:r>
        <w:rPr>
          <w:rFonts w:hint="eastAsia"/>
        </w:rPr>
        <w:t>环境管理机构对项目施工期和营运期环境进行定期监测，并向当地环保部门提交</w:t>
      </w:r>
      <w:r>
        <w:rPr>
          <w:rFonts w:hint="eastAsia"/>
          <w:lang w:eastAsia="zh-CN"/>
        </w:rPr>
        <w:t>监测</w:t>
      </w:r>
      <w:r>
        <w:rPr>
          <w:rFonts w:hint="eastAsia"/>
        </w:rPr>
        <w:t>报告。环境监测的主要任务是：</w:t>
      </w:r>
    </w:p>
    <w:p>
      <w:pPr>
        <w:bidi w:val="0"/>
        <w:rPr>
          <w:rFonts w:hint="eastAsia"/>
        </w:rPr>
      </w:pPr>
      <w:r>
        <w:rPr>
          <w:rFonts w:hint="eastAsia"/>
        </w:rPr>
        <w:t>（</w:t>
      </w:r>
      <w:r>
        <w:rPr>
          <w:rFonts w:hint="default"/>
        </w:rPr>
        <w:t>1</w:t>
      </w:r>
      <w:r>
        <w:rPr>
          <w:rFonts w:hint="eastAsia"/>
        </w:rPr>
        <w:t>）定期对污水处理设施的废水进口和总排口进行监测或在线监测；</w:t>
      </w:r>
    </w:p>
    <w:p>
      <w:pPr>
        <w:bidi w:val="0"/>
        <w:rPr>
          <w:rFonts w:hint="eastAsia"/>
        </w:rPr>
      </w:pPr>
      <w:r>
        <w:rPr>
          <w:rFonts w:hint="eastAsia"/>
        </w:rPr>
        <w:t>（</w:t>
      </w:r>
      <w:r>
        <w:rPr>
          <w:rFonts w:hint="default"/>
        </w:rPr>
        <w:t>2</w:t>
      </w:r>
      <w:r>
        <w:rPr>
          <w:rFonts w:hint="eastAsia"/>
        </w:rPr>
        <w:t>）定期对废气处理装置的废气进口和排放口进行监测；</w:t>
      </w:r>
    </w:p>
    <w:p>
      <w:pPr>
        <w:bidi w:val="0"/>
        <w:rPr>
          <w:rFonts w:hint="eastAsia"/>
        </w:rPr>
      </w:pPr>
      <w:r>
        <w:rPr>
          <w:rFonts w:hint="eastAsia"/>
        </w:rPr>
        <w:t>（</w:t>
      </w:r>
      <w:r>
        <w:rPr>
          <w:rFonts w:hint="default"/>
        </w:rPr>
        <w:t>3</w:t>
      </w:r>
      <w:r>
        <w:rPr>
          <w:rFonts w:hint="eastAsia"/>
        </w:rPr>
        <w:t>）定期对厂界噪声进行监测；</w:t>
      </w:r>
    </w:p>
    <w:p>
      <w:pPr>
        <w:bidi w:val="0"/>
        <w:rPr>
          <w:rFonts w:hint="eastAsia"/>
        </w:rPr>
      </w:pPr>
      <w:r>
        <w:rPr>
          <w:rFonts w:hint="eastAsia"/>
        </w:rPr>
        <w:t>（</w:t>
      </w:r>
      <w:r>
        <w:rPr>
          <w:rFonts w:hint="default"/>
        </w:rPr>
        <w:t>4</w:t>
      </w:r>
      <w:r>
        <w:rPr>
          <w:rFonts w:hint="eastAsia"/>
        </w:rPr>
        <w:t>）设置地下水监测井，定期对地下水进行监测；</w:t>
      </w:r>
    </w:p>
    <w:p>
      <w:pPr>
        <w:bidi w:val="0"/>
        <w:rPr>
          <w:rFonts w:hint="eastAsia"/>
        </w:rPr>
      </w:pPr>
      <w:r>
        <w:rPr>
          <w:rFonts w:hint="eastAsia"/>
        </w:rPr>
        <w:t>（</w:t>
      </w:r>
      <w:r>
        <w:rPr>
          <w:rFonts w:hint="default"/>
        </w:rPr>
        <w:t>5</w:t>
      </w:r>
      <w:r>
        <w:rPr>
          <w:rFonts w:hint="eastAsia"/>
        </w:rPr>
        <w:t>）对环保治理设施的运行情况进行监测，以便及时对设施的设计和处理效果进行比较；发现问题及时报告公司有关部门；</w:t>
      </w:r>
    </w:p>
    <w:p>
      <w:pPr>
        <w:bidi w:val="0"/>
        <w:rPr>
          <w:rFonts w:hint="eastAsia"/>
        </w:rPr>
      </w:pPr>
      <w:r>
        <w:rPr>
          <w:rFonts w:hint="eastAsia"/>
        </w:rPr>
        <w:t>（</w:t>
      </w:r>
      <w:r>
        <w:rPr>
          <w:rFonts w:hint="default"/>
        </w:rPr>
        <w:t>6</w:t>
      </w:r>
      <w:r>
        <w:rPr>
          <w:rFonts w:hint="eastAsia"/>
        </w:rPr>
        <w:t>）当发生污染事故时，进行应急监测，为采取处理措施提供第一手资料；</w:t>
      </w:r>
    </w:p>
    <w:p>
      <w:pPr>
        <w:bidi w:val="0"/>
        <w:rPr>
          <w:rFonts w:hint="default"/>
          <w:lang w:val="en-US" w:eastAsia="zh-CN"/>
        </w:rPr>
      </w:pPr>
      <w:r>
        <w:rPr>
          <w:rFonts w:hint="eastAsia"/>
        </w:rPr>
        <w:t>（</w:t>
      </w:r>
      <w:r>
        <w:rPr>
          <w:rFonts w:hint="default"/>
        </w:rPr>
        <w:t>7</w:t>
      </w:r>
      <w:r>
        <w:rPr>
          <w:rFonts w:hint="eastAsia"/>
        </w:rPr>
        <w:t>）编制环境监测季报或年报，及时上报县、市环保主管部门。</w:t>
      </w:r>
    </w:p>
    <w:p>
      <w:pPr>
        <w:pStyle w:val="5"/>
        <w:bidi w:val="0"/>
        <w:rPr>
          <w:rFonts w:hint="default"/>
          <w:lang w:val="en-US" w:eastAsia="zh-CN"/>
        </w:rPr>
      </w:pPr>
      <w:r>
        <w:rPr>
          <w:rFonts w:hint="eastAsia"/>
          <w:lang w:val="en-US" w:eastAsia="zh-CN"/>
        </w:rPr>
        <w:t>环境监测计划</w:t>
      </w:r>
    </w:p>
    <w:p>
      <w:pPr>
        <w:pStyle w:val="6"/>
        <w:bidi w:val="0"/>
        <w:rPr>
          <w:rFonts w:hint="default"/>
          <w:lang w:val="en-US" w:eastAsia="zh-CN"/>
        </w:rPr>
      </w:pPr>
      <w:r>
        <w:rPr>
          <w:rFonts w:hint="eastAsia"/>
          <w:lang w:val="en-US" w:eastAsia="zh-CN"/>
        </w:rPr>
        <w:t>施工期监测计划</w:t>
      </w:r>
    </w:p>
    <w:p>
      <w:pPr>
        <w:bidi w:val="0"/>
        <w:rPr>
          <w:rFonts w:hint="eastAsia"/>
        </w:rPr>
      </w:pPr>
      <w:r>
        <w:rPr>
          <w:rFonts w:hint="eastAsia"/>
        </w:rPr>
        <w:t>（</w:t>
      </w:r>
      <w:r>
        <w:rPr>
          <w:rFonts w:hint="default"/>
        </w:rPr>
        <w:t>1</w:t>
      </w:r>
      <w:r>
        <w:rPr>
          <w:rFonts w:hint="eastAsia"/>
        </w:rPr>
        <w:t>）建设单位与施工单位</w:t>
      </w:r>
      <w:r>
        <w:rPr>
          <w:rFonts w:hint="eastAsia"/>
          <w:lang w:eastAsia="zh-CN"/>
        </w:rPr>
        <w:t>签订</w:t>
      </w:r>
      <w:r>
        <w:rPr>
          <w:rFonts w:hint="eastAsia"/>
        </w:rPr>
        <w:t>工程承包合同时，应包括有关工程施工期间环境保护条款，包括工程施工中生态环境保护（水土保持）、施工期间环境污染控制、污染物排放管理、施工人员环保教育及相关奖惩条款。</w:t>
      </w:r>
    </w:p>
    <w:p>
      <w:pPr>
        <w:bidi w:val="0"/>
        <w:rPr>
          <w:rFonts w:hint="eastAsia"/>
        </w:rPr>
      </w:pPr>
      <w:r>
        <w:rPr>
          <w:rFonts w:hint="eastAsia"/>
        </w:rPr>
        <w:t>（</w:t>
      </w:r>
      <w:r>
        <w:rPr>
          <w:rFonts w:hint="default"/>
        </w:rPr>
        <w:t>2</w:t>
      </w:r>
      <w:r>
        <w:rPr>
          <w:rFonts w:hint="eastAsia"/>
        </w:rPr>
        <w:t>）施工单位应提高环保意识，加强驻地和施工现场的环境管理，合理安排施工计划，切实做到组织计划严谨，文明施工；环保措施逐条落实到位，环保工程与主体工程同时施工、同时运行，环保工程费用专款专用，不偷工减料、延误工期。</w:t>
      </w:r>
    </w:p>
    <w:p>
      <w:pPr>
        <w:bidi w:val="0"/>
        <w:rPr>
          <w:rFonts w:hint="eastAsia"/>
        </w:rPr>
      </w:pPr>
      <w:r>
        <w:rPr>
          <w:rFonts w:hint="eastAsia"/>
        </w:rPr>
        <w:t>（</w:t>
      </w:r>
      <w:r>
        <w:rPr>
          <w:rFonts w:hint="default"/>
        </w:rPr>
        <w:t>3</w:t>
      </w:r>
      <w:r>
        <w:rPr>
          <w:rFonts w:hint="eastAsia"/>
        </w:rPr>
        <w:t>）施工单位应特别注意工程施工中的水土保持，临时堆渣应按设计中指定的地点弃置，严禁随意堆置、侵占河道，防止对地表水环境产生影响。</w:t>
      </w:r>
    </w:p>
    <w:p>
      <w:pPr>
        <w:bidi w:val="0"/>
        <w:rPr>
          <w:rFonts w:hint="default"/>
          <w:lang w:val="en-US" w:eastAsia="zh-CN"/>
        </w:rPr>
      </w:pPr>
      <w:r>
        <w:rPr>
          <w:rFonts w:hint="eastAsia"/>
        </w:rPr>
        <w:t>（</w:t>
      </w:r>
      <w:r>
        <w:rPr>
          <w:rFonts w:hint="default"/>
        </w:rPr>
        <w:t>4</w:t>
      </w:r>
      <w:r>
        <w:rPr>
          <w:rFonts w:hint="eastAsia"/>
        </w:rPr>
        <w:t>）施工现场、施工单位驻地及其它施工临时设施，应加强环境管理，施工污水避免无组织散排，尽可能处理后回用；扬尘大的工地应采取降尘措施，工程施工完毕后施工单位及时清理和恢复施工现场，妥善处理生活垃圾与施工弃渣，减少扬尘；施工现场应执行《建筑施工场界环境噪声排放标准》（</w:t>
      </w:r>
      <w:r>
        <w:rPr>
          <w:rFonts w:hint="default"/>
        </w:rPr>
        <w:t>GB12523-2011</w:t>
      </w:r>
      <w:r>
        <w:rPr>
          <w:rFonts w:hint="eastAsia"/>
        </w:rPr>
        <w:t>）中的有关规定和要求。</w:t>
      </w:r>
    </w:p>
    <w:p>
      <w:pPr>
        <w:bidi w:val="0"/>
        <w:rPr>
          <w:rFonts w:hint="default"/>
          <w:lang w:val="en-US" w:eastAsia="zh-CN"/>
        </w:rPr>
      </w:pPr>
      <w:r>
        <w:rPr>
          <w:rFonts w:hint="eastAsia"/>
        </w:rPr>
        <w:t>（</w:t>
      </w:r>
      <w:r>
        <w:rPr>
          <w:rFonts w:hint="default"/>
        </w:rPr>
        <w:t>5</w:t>
      </w:r>
      <w:r>
        <w:rPr>
          <w:rFonts w:hint="eastAsia"/>
        </w:rPr>
        <w:t>）认真落实各项补偿措施，做好工程各项环保设施的施工监理与验收，保证环保工程质量，真正做到环保工程</w:t>
      </w:r>
      <w:r>
        <w:rPr>
          <w:rFonts w:hint="eastAsia"/>
          <w:lang w:eastAsia="zh-CN"/>
        </w:rPr>
        <w:t>“</w:t>
      </w:r>
      <w:r>
        <w:rPr>
          <w:rFonts w:hint="eastAsia"/>
        </w:rPr>
        <w:t>三同时</w:t>
      </w:r>
      <w:r>
        <w:rPr>
          <w:rFonts w:hint="eastAsia"/>
          <w:lang w:eastAsia="zh-CN"/>
        </w:rPr>
        <w:t>”</w:t>
      </w:r>
      <w:r>
        <w:rPr>
          <w:rFonts w:hint="eastAsia"/>
        </w:rPr>
        <w:t>。</w:t>
      </w:r>
    </w:p>
    <w:p>
      <w:pPr>
        <w:pStyle w:val="6"/>
        <w:bidi w:val="0"/>
        <w:rPr>
          <w:rFonts w:hint="default"/>
          <w:lang w:val="en-US" w:eastAsia="zh-CN"/>
        </w:rPr>
      </w:pPr>
      <w:r>
        <w:rPr>
          <w:rFonts w:hint="eastAsia"/>
          <w:lang w:val="en-US" w:eastAsia="zh-CN"/>
        </w:rPr>
        <w:t>运营期环境监测计划</w:t>
      </w:r>
    </w:p>
    <w:p>
      <w:pPr>
        <w:bidi w:val="0"/>
        <w:rPr>
          <w:rFonts w:hint="eastAsia"/>
        </w:rPr>
      </w:pPr>
      <w:r>
        <w:rPr>
          <w:rFonts w:hint="eastAsia"/>
        </w:rPr>
        <w:t>生态环境部已经发布了《排污许可证申请与核发技术规范</w:t>
      </w:r>
      <w:r>
        <w:rPr>
          <w:rFonts w:hint="eastAsia"/>
          <w:lang w:eastAsia="zh-CN"/>
        </w:rPr>
        <w:t>——</w:t>
      </w:r>
      <w:r>
        <w:rPr>
          <w:rFonts w:hint="eastAsia"/>
        </w:rPr>
        <w:t>农副食品加工工业—屠宰及肉类加工工业》（</w:t>
      </w:r>
      <w:r>
        <w:rPr>
          <w:rFonts w:hint="default"/>
        </w:rPr>
        <w:t>HJ 860.3-2018</w:t>
      </w:r>
      <w:r>
        <w:rPr>
          <w:rFonts w:hint="eastAsia"/>
        </w:rPr>
        <w:t>），项目污染源的监测按照</w:t>
      </w:r>
      <w:r>
        <w:rPr>
          <w:rFonts w:hint="default"/>
        </w:rPr>
        <w:t>HJ860.3-2018</w:t>
      </w:r>
      <w:r>
        <w:rPr>
          <w:rFonts w:hint="eastAsia"/>
        </w:rPr>
        <w:t>要求执行。监测要求如下：</w:t>
      </w:r>
    </w:p>
    <w:p>
      <w:pPr>
        <w:bidi w:val="0"/>
        <w:rPr>
          <w:rFonts w:hint="eastAsia"/>
          <w:b/>
          <w:bCs/>
        </w:rPr>
      </w:pPr>
      <w:r>
        <w:rPr>
          <w:rFonts w:hint="eastAsia"/>
          <w:b/>
          <w:bCs/>
        </w:rPr>
        <w:t>（</w:t>
      </w:r>
      <w:r>
        <w:rPr>
          <w:rFonts w:hint="default"/>
          <w:b/>
          <w:bCs/>
        </w:rPr>
        <w:t>1</w:t>
      </w:r>
      <w:r>
        <w:rPr>
          <w:rFonts w:hint="eastAsia"/>
          <w:b/>
          <w:bCs/>
        </w:rPr>
        <w:t>）监测单位</w:t>
      </w:r>
    </w:p>
    <w:p>
      <w:pPr>
        <w:bidi w:val="0"/>
        <w:rPr>
          <w:rFonts w:hint="eastAsia"/>
        </w:rPr>
      </w:pPr>
      <w:r>
        <w:rPr>
          <w:rFonts w:hint="eastAsia"/>
        </w:rPr>
        <w:t>屠宰及肉类加工工业排污单位可自行或委托第三方监测机构开展监测工作，并安排专人专职对监测数据进行记录、整理、统计和分析。对监测结果的真实性、准确性、完整性负责。</w:t>
      </w:r>
    </w:p>
    <w:p>
      <w:pPr>
        <w:bidi w:val="0"/>
        <w:rPr>
          <w:rFonts w:hint="eastAsia"/>
        </w:rPr>
      </w:pPr>
      <w:r>
        <w:rPr>
          <w:rFonts w:hint="eastAsia"/>
        </w:rPr>
        <w:t>手工监测时，生产负荷应不低于本次监测与上一次监测周期内的平均生产负荷。</w:t>
      </w:r>
    </w:p>
    <w:p>
      <w:pPr>
        <w:bidi w:val="0"/>
        <w:rPr>
          <w:rFonts w:hint="eastAsia"/>
          <w:b/>
          <w:bCs/>
        </w:rPr>
      </w:pPr>
      <w:r>
        <w:rPr>
          <w:rFonts w:hint="eastAsia"/>
          <w:b/>
          <w:bCs/>
        </w:rPr>
        <w:t>（</w:t>
      </w:r>
      <w:r>
        <w:rPr>
          <w:rFonts w:hint="default"/>
          <w:b/>
          <w:bCs/>
        </w:rPr>
        <w:t>2</w:t>
      </w:r>
      <w:r>
        <w:rPr>
          <w:rFonts w:hint="eastAsia"/>
          <w:b/>
          <w:bCs/>
        </w:rPr>
        <w:t>）监测内容</w:t>
      </w:r>
    </w:p>
    <w:p>
      <w:pPr>
        <w:bidi w:val="0"/>
        <w:rPr>
          <w:rFonts w:hint="eastAsia"/>
        </w:rPr>
      </w:pPr>
      <w:r>
        <w:rPr>
          <w:rFonts w:hint="eastAsia"/>
        </w:rPr>
        <w:t>自行监测污染源和污染物应包括排放标准中涉及的各项废气、废水污染源和污染物。屠宰及肉类加工工业排污单位应当开展自行监测的污染源包括产生有组织废气、无组织废气、生产废水、生活污水等的全部污染源；废水污染物包括</w:t>
      </w:r>
      <w:r>
        <w:rPr>
          <w:rFonts w:hint="default"/>
        </w:rPr>
        <w:t>GB13457</w:t>
      </w:r>
      <w:r>
        <w:rPr>
          <w:rFonts w:hint="eastAsia"/>
        </w:rPr>
        <w:t>和</w:t>
      </w:r>
      <w:r>
        <w:rPr>
          <w:rFonts w:hint="default"/>
        </w:rPr>
        <w:t>GB21901</w:t>
      </w:r>
      <w:r>
        <w:rPr>
          <w:rFonts w:hint="eastAsia"/>
        </w:rPr>
        <w:t>（如含羽绒清洗）中规定的全部因子，生活污水污染物包括</w:t>
      </w:r>
      <w:r>
        <w:rPr>
          <w:rFonts w:hint="default"/>
        </w:rPr>
        <w:t>GB8978</w:t>
      </w:r>
      <w:r>
        <w:rPr>
          <w:rFonts w:hint="eastAsia"/>
        </w:rPr>
        <w:t>中规定的相应因子。废气污染物包括臭气浓度、硫化氢、氨等。同时对雨水中化学需氧量、悬浮物开展监测。</w:t>
      </w:r>
    </w:p>
    <w:p>
      <w:pPr>
        <w:bidi w:val="0"/>
        <w:rPr>
          <w:rFonts w:hint="eastAsia"/>
          <w:b/>
          <w:bCs/>
        </w:rPr>
      </w:pPr>
      <w:r>
        <w:rPr>
          <w:rFonts w:hint="eastAsia"/>
          <w:b/>
          <w:bCs/>
        </w:rPr>
        <w:t>（</w:t>
      </w:r>
      <w:r>
        <w:rPr>
          <w:rFonts w:hint="default"/>
          <w:b/>
          <w:bCs/>
        </w:rPr>
        <w:t>3</w:t>
      </w:r>
      <w:r>
        <w:rPr>
          <w:rFonts w:hint="eastAsia"/>
          <w:b/>
          <w:bCs/>
        </w:rPr>
        <w:t>）监测点位</w:t>
      </w:r>
    </w:p>
    <w:p>
      <w:pPr>
        <w:bidi w:val="0"/>
        <w:rPr>
          <w:rFonts w:hint="eastAsia"/>
        </w:rPr>
      </w:pPr>
      <w:r>
        <w:rPr>
          <w:rFonts w:hint="eastAsia"/>
        </w:rPr>
        <w:t>屠宰及肉类加工工业排污单位自行监测点位包括外排口、无组织排放监测点、内部监测点、周边环境影响监测点等。</w:t>
      </w:r>
    </w:p>
    <w:p>
      <w:pPr>
        <w:bidi w:val="0"/>
        <w:rPr>
          <w:rFonts w:hint="eastAsia"/>
          <w:b/>
          <w:bCs/>
        </w:rPr>
      </w:pPr>
      <w:r>
        <w:rPr>
          <w:rFonts w:hint="eastAsia"/>
          <w:b/>
          <w:bCs/>
        </w:rPr>
        <w:t>①废水排放口</w:t>
      </w:r>
    </w:p>
    <w:p>
      <w:pPr>
        <w:bidi w:val="0"/>
        <w:rPr>
          <w:rFonts w:hint="eastAsia"/>
        </w:rPr>
      </w:pPr>
      <w:r>
        <w:rPr>
          <w:rFonts w:hint="eastAsia"/>
        </w:rPr>
        <w:t>按照排放标准规定的监控位置设置废水排放口监测点位，废水排放口应符合《排污口规范化整治技术要求（试行）》、</w:t>
      </w:r>
      <w:r>
        <w:rPr>
          <w:rFonts w:hint="default"/>
        </w:rPr>
        <w:t>HJ/T91</w:t>
      </w:r>
      <w:r>
        <w:rPr>
          <w:rFonts w:hint="eastAsia"/>
        </w:rPr>
        <w:t>和地方相关标准等的要求，水量（不包括间接冷却水等清下水）大于</w:t>
      </w:r>
      <w:r>
        <w:rPr>
          <w:rFonts w:hint="default"/>
        </w:rPr>
        <w:t>100t/d</w:t>
      </w:r>
      <w:r>
        <w:rPr>
          <w:rFonts w:hint="eastAsia"/>
        </w:rPr>
        <w:t>的，应安装自动测流设施并开展流量自动监测。</w:t>
      </w:r>
    </w:p>
    <w:p>
      <w:pPr>
        <w:bidi w:val="0"/>
        <w:rPr>
          <w:rFonts w:hint="eastAsia"/>
        </w:rPr>
      </w:pPr>
      <w:r>
        <w:rPr>
          <w:rFonts w:hint="eastAsia"/>
        </w:rPr>
        <w:t>排放标准规定的监控位置为废水总排放口，在废水总排放口采样。排放标准中规定的监控位置为排污单位废水总排放口的污染物，废水直接排放的，在排污单位的排放口采样；废水间接排放的，在排污单位的污水处理设施排放口后、进入公共污水处理系统前的用地红线边界位置采样。单独排向城镇污水集中处理设施的生活污水不需监测。</w:t>
      </w:r>
    </w:p>
    <w:p>
      <w:pPr>
        <w:bidi w:val="0"/>
        <w:rPr>
          <w:rFonts w:hint="eastAsia"/>
        </w:rPr>
      </w:pPr>
      <w:r>
        <w:rPr>
          <w:rFonts w:hint="eastAsia"/>
        </w:rPr>
        <w:t>选取全厂雨水排放口开展监测。对于有多个雨水排放口的排污单位，对全部雨水排放口开展监测。雨水监测点位设在厂内雨水排放口后、排污单位用地红线边界位置。在雨水排放口有流量的前提下进行采样。</w:t>
      </w:r>
    </w:p>
    <w:p>
      <w:pPr>
        <w:spacing w:beforeLines="0" w:afterLines="0"/>
        <w:jc w:val="left"/>
        <w:rPr>
          <w:rFonts w:hint="eastAsia" w:ascii="宋体" w:hAnsi="宋体" w:eastAsia="宋体"/>
          <w:b/>
          <w:bCs/>
          <w:sz w:val="24"/>
          <w:szCs w:val="24"/>
        </w:rPr>
      </w:pPr>
      <w:r>
        <w:rPr>
          <w:rFonts w:hint="eastAsia" w:ascii="宋体" w:hAnsi="宋体" w:eastAsia="宋体"/>
          <w:b/>
          <w:bCs/>
          <w:sz w:val="24"/>
          <w:szCs w:val="24"/>
        </w:rPr>
        <w:t>②废气排放口</w:t>
      </w:r>
    </w:p>
    <w:p>
      <w:pPr>
        <w:bidi w:val="0"/>
        <w:rPr>
          <w:rFonts w:hint="eastAsia"/>
        </w:rPr>
      </w:pPr>
      <w:r>
        <w:rPr>
          <w:rFonts w:hint="eastAsia"/>
        </w:rPr>
        <w:t>各类废气污染源通过烟囱或排气筒等方式排放至外环境的废气，应在烟囱或排气筒上设置废气排放口监测点位。点位设置应满足</w:t>
      </w:r>
      <w:r>
        <w:rPr>
          <w:rFonts w:hint="default"/>
        </w:rPr>
        <w:t>GB/T16157</w:t>
      </w:r>
      <w:r>
        <w:rPr>
          <w:rFonts w:hint="eastAsia"/>
        </w:rPr>
        <w:t>、</w:t>
      </w:r>
      <w:r>
        <w:rPr>
          <w:rFonts w:hint="default"/>
        </w:rPr>
        <w:t>HJ75</w:t>
      </w:r>
      <w:r>
        <w:rPr>
          <w:rFonts w:hint="eastAsia"/>
        </w:rPr>
        <w:t>等技术规范的要求。净烟气与原烟气混合排放的，应在排气筒或烟气汇合后的混合烟道上设置监测点位；净烟气直接排放的，应在净烟气烟道上设置监测点位。</w:t>
      </w:r>
    </w:p>
    <w:p>
      <w:pPr>
        <w:bidi w:val="0"/>
        <w:rPr>
          <w:rFonts w:hint="eastAsia"/>
        </w:rPr>
      </w:pPr>
      <w:r>
        <w:rPr>
          <w:rFonts w:hint="eastAsia"/>
        </w:rPr>
        <w:t>废气监测平台、监测断面和监测孔的设置应符合</w:t>
      </w:r>
      <w:r>
        <w:rPr>
          <w:rFonts w:hint="default"/>
        </w:rPr>
        <w:t>HJ76</w:t>
      </w:r>
      <w:r>
        <w:rPr>
          <w:rFonts w:hint="eastAsia"/>
        </w:rPr>
        <w:t>、</w:t>
      </w:r>
      <w:r>
        <w:rPr>
          <w:rFonts w:hint="default"/>
        </w:rPr>
        <w:t>HJ/T397</w:t>
      </w:r>
      <w:r>
        <w:rPr>
          <w:rFonts w:hint="eastAsia"/>
        </w:rPr>
        <w:t>等的要求，同时监测平台应便于开展监测活动，应能保证监测人员的安全。</w:t>
      </w:r>
    </w:p>
    <w:p>
      <w:pPr>
        <w:spacing w:beforeLines="0" w:afterLines="0"/>
        <w:jc w:val="left"/>
        <w:rPr>
          <w:rFonts w:hint="eastAsia" w:ascii="宋体" w:hAnsi="宋体" w:eastAsia="宋体"/>
          <w:b/>
          <w:bCs/>
          <w:sz w:val="24"/>
          <w:szCs w:val="24"/>
        </w:rPr>
      </w:pPr>
      <w:r>
        <w:rPr>
          <w:rFonts w:hint="eastAsia" w:ascii="宋体" w:hAnsi="宋体" w:eastAsia="宋体"/>
          <w:b/>
          <w:bCs/>
          <w:sz w:val="24"/>
          <w:szCs w:val="24"/>
        </w:rPr>
        <w:t>③无组织排放</w:t>
      </w:r>
    </w:p>
    <w:p>
      <w:pPr>
        <w:bidi w:val="0"/>
        <w:rPr>
          <w:rFonts w:hint="eastAsia"/>
        </w:rPr>
      </w:pPr>
      <w:r>
        <w:rPr>
          <w:rFonts w:hint="eastAsia"/>
        </w:rPr>
        <w:t>屠宰及肉类加工工业排污单位应设置废气无组织排放监测点位，无组织排放监控位置为厂界。</w:t>
      </w:r>
    </w:p>
    <w:p>
      <w:pPr>
        <w:bidi w:val="0"/>
        <w:rPr>
          <w:rFonts w:hint="eastAsia"/>
          <w:b/>
          <w:bCs/>
        </w:rPr>
      </w:pPr>
      <w:r>
        <w:rPr>
          <w:rFonts w:hint="eastAsia"/>
          <w:b/>
          <w:bCs/>
        </w:rPr>
        <w:t>（</w:t>
      </w:r>
      <w:r>
        <w:rPr>
          <w:rFonts w:hint="default"/>
          <w:b/>
          <w:bCs/>
        </w:rPr>
        <w:t>4</w:t>
      </w:r>
      <w:r>
        <w:rPr>
          <w:rFonts w:hint="eastAsia"/>
          <w:b/>
          <w:bCs/>
        </w:rPr>
        <w:t>）监测技术手段</w:t>
      </w:r>
    </w:p>
    <w:p>
      <w:pPr>
        <w:bidi w:val="0"/>
        <w:rPr>
          <w:rFonts w:hint="eastAsia"/>
        </w:rPr>
      </w:pPr>
      <w:r>
        <w:rPr>
          <w:rFonts w:hint="eastAsia"/>
        </w:rPr>
        <w:t>自行监测的技术手段包括手工监测、自动监测两种类型，屠宰及肉类加工工业排污单位可根据监测成本、监测指标以及监测频次等内容，合理选择适当的技术手段。</w:t>
      </w:r>
    </w:p>
    <w:p>
      <w:pPr>
        <w:bidi w:val="0"/>
        <w:rPr>
          <w:rFonts w:hint="eastAsia"/>
          <w:b/>
          <w:bCs/>
        </w:rPr>
      </w:pPr>
      <w:r>
        <w:rPr>
          <w:rFonts w:hint="eastAsia"/>
          <w:b/>
          <w:bCs/>
        </w:rPr>
        <w:t>（</w:t>
      </w:r>
      <w:r>
        <w:rPr>
          <w:rFonts w:hint="default"/>
          <w:b/>
          <w:bCs/>
        </w:rPr>
        <w:t>5</w:t>
      </w:r>
      <w:r>
        <w:rPr>
          <w:rFonts w:hint="eastAsia"/>
          <w:b/>
          <w:bCs/>
        </w:rPr>
        <w:t>）监测频次</w:t>
      </w:r>
    </w:p>
    <w:p>
      <w:pPr>
        <w:bidi w:val="0"/>
        <w:rPr>
          <w:rFonts w:hint="eastAsia"/>
        </w:rPr>
      </w:pPr>
      <w:r>
        <w:rPr>
          <w:rFonts w:hint="eastAsia"/>
        </w:rPr>
        <w:t>采用自动监测的，全天连续监测。屠宰及肉类加工工业排污单位应按照</w:t>
      </w:r>
      <w:r>
        <w:rPr>
          <w:rFonts w:hint="default"/>
        </w:rPr>
        <w:t>HJ75</w:t>
      </w:r>
      <w:r>
        <w:rPr>
          <w:rFonts w:hint="eastAsia"/>
        </w:rPr>
        <w:t>开展自动监测数据的校验比对。按照《污染源自动监控设施运行管理办法》的要求，自动监测设施不能正常运行期间，应按要求将手工监测数据向</w:t>
      </w:r>
      <w:r>
        <w:rPr>
          <w:rFonts w:hint="eastAsia"/>
          <w:lang w:val="en-US" w:eastAsia="zh-CN"/>
        </w:rPr>
        <w:t>生态</w:t>
      </w:r>
      <w:r>
        <w:rPr>
          <w:rFonts w:hint="eastAsia"/>
        </w:rPr>
        <w:t>主管部门报送，每天不少于</w:t>
      </w:r>
      <w:r>
        <w:rPr>
          <w:rFonts w:hint="default"/>
        </w:rPr>
        <w:t>4</w:t>
      </w:r>
      <w:r>
        <w:rPr>
          <w:rFonts w:hint="eastAsia"/>
        </w:rPr>
        <w:t>次，间隔不得超过</w:t>
      </w:r>
      <w:r>
        <w:rPr>
          <w:rFonts w:hint="default"/>
        </w:rPr>
        <w:t>6h</w:t>
      </w:r>
      <w:r>
        <w:rPr>
          <w:rFonts w:hint="eastAsia"/>
        </w:rPr>
        <w:t>。</w:t>
      </w:r>
    </w:p>
    <w:p>
      <w:pPr>
        <w:bidi w:val="0"/>
        <w:rPr>
          <w:rFonts w:hint="eastAsia"/>
        </w:rPr>
      </w:pPr>
      <w:r>
        <w:rPr>
          <w:rFonts w:hint="eastAsia"/>
        </w:rPr>
        <w:t>采用手工监测的，监测频次不能低于国家或地方发布的标准、规范性文件、环境影响评价文件及其批复等明确规定的监测频次；污水排向敏感水体或接近集中式饮用水水源、废气排向特定的环境空气质量功能区的应适当增加监测频次；排放状况波动大的，应适当增加监测频次；历史稳定达标状况较差的应增加监测频次。</w:t>
      </w:r>
    </w:p>
    <w:p>
      <w:pPr>
        <w:bidi w:val="0"/>
        <w:rPr>
          <w:rFonts w:hint="eastAsia"/>
        </w:rPr>
      </w:pPr>
      <w:r>
        <w:rPr>
          <w:rFonts w:hint="eastAsia"/>
        </w:rPr>
        <w:t>根据《排污许可证申请与核发技术规范 农副食品加工工业—屠宰及肉类加工工业》（</w:t>
      </w:r>
      <w:r>
        <w:rPr>
          <w:rFonts w:hint="default"/>
        </w:rPr>
        <w:t>HJ860.3-2018</w:t>
      </w:r>
      <w:r>
        <w:rPr>
          <w:rFonts w:hint="eastAsia"/>
        </w:rPr>
        <w:t>）、《固定污染源排污许可分类管理名录》（</w:t>
      </w:r>
      <w:r>
        <w:rPr>
          <w:rFonts w:hint="default"/>
        </w:rPr>
        <w:t xml:space="preserve">2017 </w:t>
      </w:r>
      <w:r>
        <w:rPr>
          <w:rFonts w:hint="eastAsia"/>
        </w:rPr>
        <w:t>年版），本项目属于重点管理单位。综上，项目自主监测点位、频次、因子等监测计划见表</w:t>
      </w:r>
      <w:r>
        <w:rPr>
          <w:rFonts w:hint="default"/>
        </w:rPr>
        <w:t>9.2-1</w:t>
      </w:r>
      <w:r>
        <w:rPr>
          <w:rFonts w:hint="eastAsia"/>
        </w:rPr>
        <w:t>。</w:t>
      </w:r>
    </w:p>
    <w:p>
      <w:pPr>
        <w:pStyle w:val="29"/>
        <w:bidi w:val="0"/>
        <w:rPr>
          <w:rFonts w:hint="eastAsia"/>
        </w:rPr>
      </w:pPr>
      <w:r>
        <w:rPr>
          <w:rFonts w:hint="eastAsia"/>
        </w:rPr>
        <w:t>表</w:t>
      </w:r>
      <w:r>
        <w:rPr>
          <w:rFonts w:hint="default"/>
        </w:rPr>
        <w:t xml:space="preserve">9.2-1 </w:t>
      </w:r>
      <w:r>
        <w:rPr>
          <w:rFonts w:hint="eastAsia"/>
          <w:lang w:val="en-US" w:eastAsia="zh-CN"/>
        </w:rPr>
        <w:t xml:space="preserve"> </w:t>
      </w:r>
      <w:r>
        <w:rPr>
          <w:rFonts w:hint="eastAsia"/>
        </w:rPr>
        <w:t>本项目监测计划表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095"/>
        <w:gridCol w:w="1800"/>
        <w:gridCol w:w="3840"/>
        <w:gridCol w:w="1080"/>
        <w:gridCol w:w="11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30"/>
              <w:widowControl w:val="0"/>
              <w:bidi w:val="0"/>
              <w:jc w:val="center"/>
              <w:rPr>
                <w:rFonts w:hint="eastAsia" w:eastAsia="宋体"/>
                <w:b/>
                <w:bCs/>
                <w:lang w:val="en-US" w:eastAsia="zh-CN"/>
              </w:rPr>
            </w:pPr>
            <w:r>
              <w:rPr>
                <w:rFonts w:hint="eastAsia"/>
                <w:b/>
                <w:bCs/>
                <w:lang w:val="en-US" w:eastAsia="zh-CN"/>
              </w:rPr>
              <w:t>序号</w:t>
            </w:r>
          </w:p>
        </w:tc>
        <w:tc>
          <w:tcPr>
            <w:tcW w:w="1095" w:type="dxa"/>
            <w:tcBorders>
              <w:tl2br w:val="nil"/>
              <w:tr2bl w:val="nil"/>
            </w:tcBorders>
            <w:vAlign w:val="center"/>
          </w:tcPr>
          <w:p>
            <w:pPr>
              <w:pStyle w:val="30"/>
              <w:widowControl w:val="0"/>
              <w:bidi w:val="0"/>
              <w:jc w:val="center"/>
              <w:rPr>
                <w:rFonts w:hint="default" w:eastAsia="宋体"/>
                <w:b/>
                <w:bCs/>
                <w:lang w:val="en-US" w:eastAsia="zh-CN"/>
              </w:rPr>
            </w:pPr>
            <w:r>
              <w:rPr>
                <w:rFonts w:hint="eastAsia"/>
                <w:b/>
                <w:bCs/>
                <w:lang w:val="en-US" w:eastAsia="zh-CN"/>
              </w:rPr>
              <w:t>环境要素</w:t>
            </w:r>
          </w:p>
        </w:tc>
        <w:tc>
          <w:tcPr>
            <w:tcW w:w="1800" w:type="dxa"/>
            <w:tcBorders>
              <w:tl2br w:val="nil"/>
              <w:tr2bl w:val="nil"/>
            </w:tcBorders>
            <w:vAlign w:val="center"/>
          </w:tcPr>
          <w:p>
            <w:pPr>
              <w:pStyle w:val="30"/>
              <w:widowControl w:val="0"/>
              <w:bidi w:val="0"/>
              <w:jc w:val="center"/>
              <w:rPr>
                <w:rFonts w:hint="default" w:eastAsia="宋体"/>
                <w:b/>
                <w:bCs/>
                <w:lang w:val="en-US" w:eastAsia="zh-CN"/>
              </w:rPr>
            </w:pPr>
            <w:r>
              <w:rPr>
                <w:rFonts w:hint="eastAsia"/>
                <w:b/>
                <w:bCs/>
                <w:lang w:val="en-US" w:eastAsia="zh-CN"/>
              </w:rPr>
              <w:t>监测点位</w:t>
            </w:r>
          </w:p>
        </w:tc>
        <w:tc>
          <w:tcPr>
            <w:tcW w:w="3840" w:type="dxa"/>
            <w:tcBorders>
              <w:tl2br w:val="nil"/>
              <w:tr2bl w:val="nil"/>
            </w:tcBorders>
            <w:vAlign w:val="center"/>
          </w:tcPr>
          <w:p>
            <w:pPr>
              <w:pStyle w:val="30"/>
              <w:widowControl w:val="0"/>
              <w:bidi w:val="0"/>
              <w:jc w:val="center"/>
              <w:rPr>
                <w:rFonts w:hint="default" w:eastAsia="宋体"/>
                <w:b/>
                <w:bCs/>
                <w:lang w:val="en-US" w:eastAsia="zh-CN"/>
              </w:rPr>
            </w:pPr>
            <w:r>
              <w:rPr>
                <w:rFonts w:hint="eastAsia"/>
                <w:b/>
                <w:bCs/>
                <w:lang w:val="en-US" w:eastAsia="zh-CN"/>
              </w:rPr>
              <w:t>监测因子</w:t>
            </w:r>
          </w:p>
        </w:tc>
        <w:tc>
          <w:tcPr>
            <w:tcW w:w="1080" w:type="dxa"/>
            <w:tcBorders>
              <w:tl2br w:val="nil"/>
              <w:tr2bl w:val="nil"/>
            </w:tcBorders>
            <w:vAlign w:val="center"/>
          </w:tcPr>
          <w:p>
            <w:pPr>
              <w:pStyle w:val="30"/>
              <w:widowControl w:val="0"/>
              <w:bidi w:val="0"/>
              <w:jc w:val="center"/>
              <w:rPr>
                <w:rFonts w:hint="default" w:eastAsia="宋体"/>
                <w:b/>
                <w:bCs/>
                <w:lang w:val="en-US" w:eastAsia="zh-CN"/>
              </w:rPr>
            </w:pPr>
            <w:r>
              <w:rPr>
                <w:rFonts w:hint="eastAsia"/>
                <w:b/>
                <w:bCs/>
                <w:lang w:val="en-US" w:eastAsia="zh-CN"/>
              </w:rPr>
              <w:t>监测频次</w:t>
            </w:r>
          </w:p>
        </w:tc>
        <w:tc>
          <w:tcPr>
            <w:tcW w:w="1143" w:type="dxa"/>
            <w:tcBorders>
              <w:tl2br w:val="nil"/>
              <w:tr2bl w:val="nil"/>
            </w:tcBorders>
            <w:vAlign w:val="center"/>
          </w:tcPr>
          <w:p>
            <w:pPr>
              <w:pStyle w:val="30"/>
              <w:widowControl w:val="0"/>
              <w:bidi w:val="0"/>
              <w:jc w:val="center"/>
              <w:rPr>
                <w:rFonts w:hint="default" w:eastAsia="宋体"/>
                <w:b/>
                <w:bCs/>
                <w:lang w:val="en-US" w:eastAsia="zh-CN"/>
              </w:rPr>
            </w:pPr>
            <w:r>
              <w:rPr>
                <w:rFonts w:hint="eastAsia"/>
                <w:b/>
                <w:bCs/>
                <w:lang w:val="en-US" w:eastAsia="zh-CN"/>
              </w:rPr>
              <w:t>监测方式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1</w:t>
            </w:r>
          </w:p>
        </w:tc>
        <w:tc>
          <w:tcPr>
            <w:tcW w:w="1095" w:type="dxa"/>
            <w:vMerge w:val="restart"/>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废水</w:t>
            </w:r>
          </w:p>
        </w:tc>
        <w:tc>
          <w:tcPr>
            <w:tcW w:w="1800" w:type="dxa"/>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废水总排放口</w:t>
            </w:r>
          </w:p>
        </w:tc>
        <w:tc>
          <w:tcPr>
            <w:tcW w:w="3840" w:type="dxa"/>
            <w:tcBorders>
              <w:tl2br w:val="nil"/>
              <w:tr2bl w:val="nil"/>
            </w:tcBorders>
            <w:vAlign w:val="center"/>
          </w:tcPr>
          <w:p>
            <w:pPr>
              <w:pStyle w:val="30"/>
              <w:widowControl w:val="0"/>
              <w:bidi w:val="0"/>
              <w:jc w:val="center"/>
              <w:rPr>
                <w:rFonts w:hint="eastAsia"/>
              </w:rPr>
            </w:pPr>
            <w:r>
              <w:rPr>
                <w:rFonts w:hint="eastAsia"/>
              </w:rPr>
              <w:t>流量、</w:t>
            </w:r>
            <w:r>
              <w:rPr>
                <w:rFonts w:hint="default"/>
              </w:rPr>
              <w:t>pH</w:t>
            </w:r>
            <w:r>
              <w:rPr>
                <w:rFonts w:hint="eastAsia"/>
              </w:rPr>
              <w:t>、</w:t>
            </w:r>
            <w:r>
              <w:rPr>
                <w:rFonts w:hint="default"/>
              </w:rPr>
              <w:t>COD</w:t>
            </w:r>
            <w:r>
              <w:rPr>
                <w:rFonts w:hint="eastAsia"/>
              </w:rPr>
              <w:t>、氨氮、总氮、总磷</w:t>
            </w:r>
          </w:p>
        </w:tc>
        <w:tc>
          <w:tcPr>
            <w:tcW w:w="1080" w:type="dxa"/>
            <w:tcBorders>
              <w:tl2br w:val="nil"/>
              <w:tr2bl w:val="nil"/>
            </w:tcBorders>
            <w:vAlign w:val="center"/>
          </w:tcPr>
          <w:p>
            <w:pPr>
              <w:pStyle w:val="30"/>
              <w:widowControl w:val="0"/>
              <w:bidi w:val="0"/>
              <w:jc w:val="center"/>
              <w:rPr>
                <w:rFonts w:hint="eastAsia"/>
              </w:rPr>
            </w:pPr>
            <w:r>
              <w:rPr>
                <w:rFonts w:hint="eastAsia"/>
              </w:rPr>
              <w:t>在线监测</w:t>
            </w:r>
          </w:p>
        </w:tc>
        <w:tc>
          <w:tcPr>
            <w:tcW w:w="1143" w:type="dxa"/>
            <w:tcBorders>
              <w:tl2br w:val="nil"/>
              <w:tr2bl w:val="nil"/>
            </w:tcBorders>
            <w:vAlign w:val="center"/>
          </w:tcPr>
          <w:p>
            <w:pPr>
              <w:pStyle w:val="30"/>
              <w:widowControl w:val="0"/>
              <w:bidi w:val="0"/>
              <w:jc w:val="center"/>
              <w:rPr>
                <w:rFonts w:hint="eastAsia"/>
              </w:rPr>
            </w:pPr>
            <w:r>
              <w:rPr>
                <w:rFonts w:hint="eastAsia"/>
              </w:rPr>
              <w:t>自动监测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2</w:t>
            </w:r>
          </w:p>
        </w:tc>
        <w:tc>
          <w:tcPr>
            <w:tcW w:w="1095" w:type="dxa"/>
            <w:vMerge w:val="continue"/>
            <w:tcBorders>
              <w:tl2br w:val="nil"/>
              <w:tr2bl w:val="nil"/>
            </w:tcBorders>
            <w:vAlign w:val="center"/>
          </w:tcPr>
          <w:p>
            <w:pPr>
              <w:pStyle w:val="30"/>
              <w:widowControl w:val="0"/>
              <w:bidi w:val="0"/>
              <w:jc w:val="center"/>
              <w:rPr>
                <w:rFonts w:hint="eastAsia"/>
              </w:rPr>
            </w:pPr>
          </w:p>
        </w:tc>
        <w:tc>
          <w:tcPr>
            <w:tcW w:w="1800" w:type="dxa"/>
            <w:vMerge w:val="continue"/>
            <w:tcBorders>
              <w:tl2br w:val="nil"/>
              <w:tr2bl w:val="nil"/>
            </w:tcBorders>
            <w:vAlign w:val="center"/>
          </w:tcPr>
          <w:p>
            <w:pPr>
              <w:pStyle w:val="30"/>
              <w:widowControl w:val="0"/>
              <w:bidi w:val="0"/>
              <w:jc w:val="center"/>
              <w:rPr>
                <w:rFonts w:hint="eastAsia"/>
              </w:rPr>
            </w:pPr>
          </w:p>
        </w:tc>
        <w:tc>
          <w:tcPr>
            <w:tcW w:w="3840" w:type="dxa"/>
            <w:tcBorders>
              <w:tl2br w:val="nil"/>
              <w:tr2bl w:val="nil"/>
            </w:tcBorders>
            <w:vAlign w:val="center"/>
          </w:tcPr>
          <w:p>
            <w:pPr>
              <w:pStyle w:val="30"/>
              <w:widowControl w:val="0"/>
              <w:bidi w:val="0"/>
              <w:jc w:val="center"/>
              <w:rPr>
                <w:rFonts w:hint="eastAsia"/>
              </w:rPr>
            </w:pPr>
            <w:r>
              <w:rPr>
                <w:rFonts w:hint="default"/>
              </w:rPr>
              <w:t>SS</w:t>
            </w:r>
            <w:r>
              <w:rPr>
                <w:rFonts w:hint="eastAsia"/>
              </w:rPr>
              <w:t>、</w:t>
            </w:r>
            <w:r>
              <w:rPr>
                <w:rFonts w:hint="default"/>
              </w:rPr>
              <w:t>BOD</w:t>
            </w:r>
            <w:r>
              <w:rPr>
                <w:rFonts w:hint="default"/>
                <w:vertAlign w:val="subscript"/>
              </w:rPr>
              <w:t>5</w:t>
            </w:r>
            <w:r>
              <w:rPr>
                <w:rFonts w:hint="eastAsia"/>
              </w:rPr>
              <w:t>、动植物油、粪大肠菌群</w:t>
            </w:r>
          </w:p>
        </w:tc>
        <w:tc>
          <w:tcPr>
            <w:tcW w:w="1080" w:type="dxa"/>
            <w:tcBorders>
              <w:tl2br w:val="nil"/>
              <w:tr2bl w:val="nil"/>
            </w:tcBorders>
            <w:vAlign w:val="center"/>
          </w:tcPr>
          <w:p>
            <w:pPr>
              <w:pStyle w:val="30"/>
              <w:widowControl w:val="0"/>
              <w:bidi w:val="0"/>
              <w:jc w:val="center"/>
              <w:rPr>
                <w:rFonts w:hint="eastAsia" w:eastAsia="宋体"/>
                <w:lang w:val="en-US" w:eastAsia="zh-CN"/>
              </w:rPr>
            </w:pPr>
            <w:r>
              <w:rPr>
                <w:rFonts w:hint="eastAsia"/>
                <w:lang w:val="en-US" w:eastAsia="zh-CN"/>
              </w:rPr>
              <w:t>每季一次</w:t>
            </w:r>
          </w:p>
        </w:tc>
        <w:tc>
          <w:tcPr>
            <w:tcW w:w="1143" w:type="dxa"/>
            <w:tcBorders>
              <w:tl2br w:val="nil"/>
              <w:tr2bl w:val="nil"/>
            </w:tcBorders>
            <w:vAlign w:val="center"/>
          </w:tcPr>
          <w:p>
            <w:pPr>
              <w:pStyle w:val="30"/>
              <w:widowControl w:val="0"/>
              <w:bidi w:val="0"/>
              <w:jc w:val="center"/>
              <w:rPr>
                <w:rFonts w:hint="default" w:eastAsia="宋体"/>
                <w:lang w:val="en-US" w:eastAsia="zh-CN"/>
              </w:rPr>
            </w:pPr>
            <w:r>
              <w:rPr>
                <w:rFonts w:hint="eastAsia"/>
                <w:lang w:val="en-US" w:eastAsia="zh-CN"/>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3</w:t>
            </w:r>
          </w:p>
        </w:tc>
        <w:tc>
          <w:tcPr>
            <w:tcW w:w="1095" w:type="dxa"/>
            <w:vMerge w:val="restart"/>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有组织废气</w:t>
            </w:r>
          </w:p>
        </w:tc>
        <w:tc>
          <w:tcPr>
            <w:tcW w:w="1800"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P1排气筒</w:t>
            </w:r>
          </w:p>
        </w:tc>
        <w:tc>
          <w:tcPr>
            <w:tcW w:w="3840" w:type="dxa"/>
            <w:tcBorders>
              <w:tl2br w:val="nil"/>
              <w:tr2bl w:val="nil"/>
            </w:tcBorders>
            <w:vAlign w:val="center"/>
          </w:tcPr>
          <w:p>
            <w:pPr>
              <w:pStyle w:val="30"/>
              <w:widowControl w:val="0"/>
              <w:bidi w:val="0"/>
              <w:jc w:val="center"/>
              <w:rPr>
                <w:rFonts w:hint="eastAsia"/>
              </w:rPr>
            </w:pPr>
            <w:r>
              <w:rPr>
                <w:rFonts w:hint="default"/>
              </w:rPr>
              <w:t>H</w:t>
            </w:r>
            <w:r>
              <w:rPr>
                <w:rFonts w:hint="default"/>
                <w:vertAlign w:val="subscript"/>
              </w:rPr>
              <w:t>2</w:t>
            </w:r>
            <w:r>
              <w:rPr>
                <w:rFonts w:hint="default"/>
              </w:rPr>
              <w:t>S</w:t>
            </w:r>
            <w:r>
              <w:rPr>
                <w:rFonts w:hint="eastAsia"/>
              </w:rPr>
              <w:t>、</w:t>
            </w:r>
            <w:r>
              <w:rPr>
                <w:rFonts w:hint="default"/>
              </w:rPr>
              <w:t>NH</w:t>
            </w:r>
            <w:r>
              <w:rPr>
                <w:rFonts w:hint="default"/>
                <w:vertAlign w:val="subscript"/>
              </w:rPr>
              <w:t>3</w:t>
            </w:r>
            <w:r>
              <w:rPr>
                <w:rFonts w:hint="eastAsia"/>
              </w:rPr>
              <w:t>、臭气浓度</w:t>
            </w:r>
          </w:p>
        </w:tc>
        <w:tc>
          <w:tcPr>
            <w:tcW w:w="1080" w:type="dxa"/>
            <w:tcBorders>
              <w:tl2br w:val="nil"/>
              <w:tr2bl w:val="nil"/>
            </w:tcBorders>
            <w:vAlign w:val="center"/>
          </w:tcPr>
          <w:p>
            <w:pPr>
              <w:pStyle w:val="30"/>
              <w:widowControl w:val="0"/>
              <w:bidi w:val="0"/>
              <w:ind w:firstLine="0" w:firstLineChars="0"/>
              <w:jc w:val="center"/>
              <w:rPr>
                <w:rFonts w:hint="eastAsia"/>
              </w:rPr>
            </w:pPr>
            <w:r>
              <w:rPr>
                <w:rFonts w:hint="eastAsia"/>
                <w:lang w:val="en-US" w:eastAsia="zh-CN"/>
              </w:rPr>
              <w:t>每季一次</w:t>
            </w:r>
          </w:p>
        </w:tc>
        <w:tc>
          <w:tcPr>
            <w:tcW w:w="1143" w:type="dxa"/>
            <w:tcBorders>
              <w:tl2br w:val="nil"/>
              <w:tr2bl w:val="nil"/>
            </w:tcBorders>
            <w:vAlign w:val="center"/>
          </w:tcPr>
          <w:p>
            <w:pPr>
              <w:pStyle w:val="30"/>
              <w:widowControl w:val="0"/>
              <w:bidi w:val="0"/>
              <w:ind w:firstLine="0" w:firstLineChars="0"/>
              <w:jc w:val="center"/>
              <w:rPr>
                <w:rFonts w:hint="eastAsia"/>
              </w:rPr>
            </w:pPr>
            <w:r>
              <w:rPr>
                <w:rFonts w:hint="eastAsia"/>
                <w:lang w:val="en-US" w:eastAsia="zh-CN"/>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4</w:t>
            </w:r>
          </w:p>
        </w:tc>
        <w:tc>
          <w:tcPr>
            <w:tcW w:w="1095" w:type="dxa"/>
            <w:vMerge w:val="continue"/>
            <w:tcBorders>
              <w:tl2br w:val="nil"/>
              <w:tr2bl w:val="nil"/>
            </w:tcBorders>
            <w:vAlign w:val="center"/>
          </w:tcPr>
          <w:p>
            <w:pPr>
              <w:pStyle w:val="30"/>
              <w:widowControl w:val="0"/>
              <w:bidi w:val="0"/>
              <w:jc w:val="center"/>
              <w:rPr>
                <w:rFonts w:hint="eastAsia"/>
              </w:rPr>
            </w:pPr>
          </w:p>
        </w:tc>
        <w:tc>
          <w:tcPr>
            <w:tcW w:w="1800"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P2排气筒</w:t>
            </w:r>
          </w:p>
        </w:tc>
        <w:tc>
          <w:tcPr>
            <w:tcW w:w="3840" w:type="dxa"/>
            <w:tcBorders>
              <w:tl2br w:val="nil"/>
              <w:tr2bl w:val="nil"/>
            </w:tcBorders>
            <w:vAlign w:val="center"/>
          </w:tcPr>
          <w:p>
            <w:pPr>
              <w:pStyle w:val="30"/>
              <w:widowControl w:val="0"/>
              <w:bidi w:val="0"/>
              <w:jc w:val="center"/>
              <w:rPr>
                <w:rFonts w:hint="eastAsia"/>
              </w:rPr>
            </w:pPr>
            <w:r>
              <w:rPr>
                <w:rFonts w:hint="default"/>
              </w:rPr>
              <w:t>H</w:t>
            </w:r>
            <w:r>
              <w:rPr>
                <w:rFonts w:hint="default"/>
                <w:vertAlign w:val="subscript"/>
              </w:rPr>
              <w:t>2</w:t>
            </w:r>
            <w:r>
              <w:rPr>
                <w:rFonts w:hint="default"/>
              </w:rPr>
              <w:t>S</w:t>
            </w:r>
            <w:r>
              <w:rPr>
                <w:rFonts w:hint="eastAsia"/>
              </w:rPr>
              <w:t>、</w:t>
            </w:r>
            <w:r>
              <w:rPr>
                <w:rFonts w:hint="default"/>
              </w:rPr>
              <w:t>NH</w:t>
            </w:r>
            <w:r>
              <w:rPr>
                <w:rFonts w:hint="default"/>
                <w:vertAlign w:val="subscript"/>
              </w:rPr>
              <w:t>3</w:t>
            </w:r>
            <w:r>
              <w:rPr>
                <w:rFonts w:hint="eastAsia"/>
              </w:rPr>
              <w:t>、臭气浓度</w:t>
            </w:r>
          </w:p>
        </w:tc>
        <w:tc>
          <w:tcPr>
            <w:tcW w:w="1080" w:type="dxa"/>
            <w:tcBorders>
              <w:tl2br w:val="nil"/>
              <w:tr2bl w:val="nil"/>
            </w:tcBorders>
            <w:vAlign w:val="center"/>
          </w:tcPr>
          <w:p>
            <w:pPr>
              <w:pStyle w:val="30"/>
              <w:widowControl w:val="0"/>
              <w:bidi w:val="0"/>
              <w:ind w:firstLine="0" w:firstLineChars="0"/>
              <w:jc w:val="center"/>
              <w:rPr>
                <w:rFonts w:hint="eastAsia"/>
              </w:rPr>
            </w:pPr>
            <w:r>
              <w:rPr>
                <w:rFonts w:hint="eastAsia"/>
                <w:lang w:val="en-US" w:eastAsia="zh-CN"/>
              </w:rPr>
              <w:t>每季一次</w:t>
            </w:r>
          </w:p>
        </w:tc>
        <w:tc>
          <w:tcPr>
            <w:tcW w:w="1143" w:type="dxa"/>
            <w:tcBorders>
              <w:tl2br w:val="nil"/>
              <w:tr2bl w:val="nil"/>
            </w:tcBorders>
            <w:vAlign w:val="center"/>
          </w:tcPr>
          <w:p>
            <w:pPr>
              <w:pStyle w:val="30"/>
              <w:widowControl w:val="0"/>
              <w:bidi w:val="0"/>
              <w:ind w:firstLine="0" w:firstLineChars="0"/>
              <w:jc w:val="center"/>
              <w:rPr>
                <w:rFonts w:hint="eastAsia"/>
              </w:rPr>
            </w:pPr>
            <w:r>
              <w:rPr>
                <w:rFonts w:hint="eastAsia"/>
                <w:lang w:val="en-US" w:eastAsia="zh-CN"/>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5</w:t>
            </w:r>
          </w:p>
        </w:tc>
        <w:tc>
          <w:tcPr>
            <w:tcW w:w="1095"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无组织废气</w:t>
            </w:r>
          </w:p>
        </w:tc>
        <w:tc>
          <w:tcPr>
            <w:tcW w:w="1800"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厂界四周</w:t>
            </w:r>
          </w:p>
        </w:tc>
        <w:tc>
          <w:tcPr>
            <w:tcW w:w="3840" w:type="dxa"/>
            <w:tcBorders>
              <w:tl2br w:val="nil"/>
              <w:tr2bl w:val="nil"/>
            </w:tcBorders>
            <w:vAlign w:val="center"/>
          </w:tcPr>
          <w:p>
            <w:pPr>
              <w:pStyle w:val="30"/>
              <w:widowControl w:val="0"/>
              <w:bidi w:val="0"/>
              <w:jc w:val="center"/>
              <w:rPr>
                <w:rFonts w:hint="eastAsia"/>
              </w:rPr>
            </w:pPr>
            <w:r>
              <w:rPr>
                <w:rFonts w:hint="default"/>
              </w:rPr>
              <w:t>H</w:t>
            </w:r>
            <w:r>
              <w:rPr>
                <w:rFonts w:hint="default"/>
                <w:vertAlign w:val="subscript"/>
              </w:rPr>
              <w:t>2</w:t>
            </w:r>
            <w:r>
              <w:rPr>
                <w:rFonts w:hint="default"/>
              </w:rPr>
              <w:t>S</w:t>
            </w:r>
            <w:r>
              <w:rPr>
                <w:rFonts w:hint="eastAsia"/>
              </w:rPr>
              <w:t>、</w:t>
            </w:r>
            <w:r>
              <w:rPr>
                <w:rFonts w:hint="default"/>
              </w:rPr>
              <w:t>NH</w:t>
            </w:r>
            <w:r>
              <w:rPr>
                <w:rFonts w:hint="default"/>
                <w:vertAlign w:val="subscript"/>
              </w:rPr>
              <w:t>3</w:t>
            </w:r>
            <w:r>
              <w:rPr>
                <w:rFonts w:hint="eastAsia"/>
              </w:rPr>
              <w:t>、臭气浓度</w:t>
            </w:r>
          </w:p>
        </w:tc>
        <w:tc>
          <w:tcPr>
            <w:tcW w:w="1080" w:type="dxa"/>
            <w:tcBorders>
              <w:tl2br w:val="nil"/>
              <w:tr2bl w:val="nil"/>
            </w:tcBorders>
            <w:vAlign w:val="center"/>
          </w:tcPr>
          <w:p>
            <w:pPr>
              <w:pStyle w:val="30"/>
              <w:widowControl w:val="0"/>
              <w:bidi w:val="0"/>
              <w:ind w:firstLine="0" w:firstLineChars="0"/>
              <w:jc w:val="center"/>
              <w:rPr>
                <w:rFonts w:hint="eastAsia"/>
              </w:rPr>
            </w:pPr>
            <w:r>
              <w:rPr>
                <w:rFonts w:hint="eastAsia"/>
                <w:lang w:val="en-US" w:eastAsia="zh-CN"/>
              </w:rPr>
              <w:t>每季一次</w:t>
            </w:r>
          </w:p>
        </w:tc>
        <w:tc>
          <w:tcPr>
            <w:tcW w:w="1143" w:type="dxa"/>
            <w:tcBorders>
              <w:tl2br w:val="nil"/>
              <w:tr2bl w:val="nil"/>
            </w:tcBorders>
            <w:vAlign w:val="center"/>
          </w:tcPr>
          <w:p>
            <w:pPr>
              <w:pStyle w:val="30"/>
              <w:widowControl w:val="0"/>
              <w:bidi w:val="0"/>
              <w:ind w:firstLine="0" w:firstLineChars="0"/>
              <w:jc w:val="center"/>
              <w:rPr>
                <w:rFonts w:hint="eastAsia"/>
              </w:rPr>
            </w:pPr>
            <w:r>
              <w:rPr>
                <w:rFonts w:hint="eastAsia"/>
                <w:lang w:val="en-US" w:eastAsia="zh-CN"/>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30"/>
              <w:widowControl w:val="0"/>
              <w:bidi w:val="0"/>
              <w:jc w:val="center"/>
              <w:rPr>
                <w:rFonts w:hint="eastAsia"/>
                <w:lang w:val="en-US" w:eastAsia="zh-CN"/>
              </w:rPr>
            </w:pPr>
            <w:r>
              <w:rPr>
                <w:rFonts w:hint="eastAsia"/>
                <w:lang w:val="en-US" w:eastAsia="zh-CN"/>
              </w:rPr>
              <w:t>6</w:t>
            </w:r>
          </w:p>
        </w:tc>
        <w:tc>
          <w:tcPr>
            <w:tcW w:w="1095"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地下水</w:t>
            </w:r>
          </w:p>
        </w:tc>
        <w:tc>
          <w:tcPr>
            <w:tcW w:w="1800"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地下水监测井</w:t>
            </w:r>
          </w:p>
        </w:tc>
        <w:tc>
          <w:tcPr>
            <w:tcW w:w="3840" w:type="dxa"/>
            <w:tcBorders>
              <w:tl2br w:val="nil"/>
              <w:tr2bl w:val="nil"/>
            </w:tcBorders>
            <w:vAlign w:val="center"/>
          </w:tcPr>
          <w:p>
            <w:pPr>
              <w:pStyle w:val="30"/>
              <w:widowControl w:val="0"/>
              <w:bidi w:val="0"/>
              <w:jc w:val="center"/>
              <w:rPr>
                <w:rFonts w:hint="default"/>
              </w:rPr>
            </w:pPr>
            <w:r>
              <w:rPr>
                <w:rFonts w:hint="default"/>
              </w:rPr>
              <w:t>pH</w:t>
            </w:r>
            <w:r>
              <w:rPr>
                <w:rFonts w:hint="eastAsia"/>
              </w:rPr>
              <w:t>、氨氮、耗氧量、总硬度（以</w:t>
            </w:r>
            <w:r>
              <w:rPr>
                <w:rFonts w:hint="default"/>
              </w:rPr>
              <w:t>CaCO</w:t>
            </w:r>
            <w:r>
              <w:rPr>
                <w:rFonts w:hint="default"/>
                <w:vertAlign w:val="subscript"/>
              </w:rPr>
              <w:t>3</w:t>
            </w:r>
            <w:r>
              <w:rPr>
                <w:rFonts w:hint="eastAsia"/>
              </w:rPr>
              <w:t>计）、总大肠菌群、氯化物</w:t>
            </w:r>
          </w:p>
        </w:tc>
        <w:tc>
          <w:tcPr>
            <w:tcW w:w="1080" w:type="dxa"/>
            <w:tcBorders>
              <w:tl2br w:val="nil"/>
              <w:tr2bl w:val="nil"/>
            </w:tcBorders>
            <w:vAlign w:val="center"/>
          </w:tcPr>
          <w:p>
            <w:pPr>
              <w:pStyle w:val="30"/>
              <w:widowControl w:val="0"/>
              <w:bidi w:val="0"/>
              <w:ind w:firstLine="0" w:firstLineChars="0"/>
              <w:jc w:val="center"/>
              <w:rPr>
                <w:rFonts w:hint="eastAsia"/>
              </w:rPr>
            </w:pPr>
            <w:r>
              <w:rPr>
                <w:rFonts w:hint="eastAsia"/>
                <w:lang w:val="en-US" w:eastAsia="zh-CN"/>
              </w:rPr>
              <w:t>每季一次</w:t>
            </w:r>
          </w:p>
        </w:tc>
        <w:tc>
          <w:tcPr>
            <w:tcW w:w="1143" w:type="dxa"/>
            <w:tcBorders>
              <w:tl2br w:val="nil"/>
              <w:tr2bl w:val="nil"/>
            </w:tcBorders>
            <w:vAlign w:val="center"/>
          </w:tcPr>
          <w:p>
            <w:pPr>
              <w:pStyle w:val="30"/>
              <w:widowControl w:val="0"/>
              <w:bidi w:val="0"/>
              <w:ind w:firstLine="0" w:firstLineChars="0"/>
              <w:jc w:val="center"/>
              <w:rPr>
                <w:rFonts w:hint="eastAsia"/>
              </w:rPr>
            </w:pPr>
            <w:r>
              <w:rPr>
                <w:rFonts w:hint="eastAsia"/>
                <w:lang w:val="en-US" w:eastAsia="zh-CN"/>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7</w:t>
            </w:r>
          </w:p>
        </w:tc>
        <w:tc>
          <w:tcPr>
            <w:tcW w:w="1095"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噪声</w:t>
            </w:r>
          </w:p>
        </w:tc>
        <w:tc>
          <w:tcPr>
            <w:tcW w:w="1800"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厂界四周</w:t>
            </w:r>
          </w:p>
        </w:tc>
        <w:tc>
          <w:tcPr>
            <w:tcW w:w="3840" w:type="dxa"/>
            <w:tcBorders>
              <w:tl2br w:val="nil"/>
              <w:tr2bl w:val="nil"/>
            </w:tcBorders>
            <w:vAlign w:val="center"/>
          </w:tcPr>
          <w:p>
            <w:pPr>
              <w:pStyle w:val="30"/>
              <w:widowControl w:val="0"/>
              <w:bidi w:val="0"/>
              <w:jc w:val="center"/>
              <w:rPr>
                <w:rFonts w:hint="default"/>
                <w:lang w:val="en-US" w:eastAsia="zh-CN"/>
              </w:rPr>
            </w:pPr>
            <w:r>
              <w:rPr>
                <w:rFonts w:hint="eastAsia"/>
                <w:lang w:val="en-US" w:eastAsia="zh-CN"/>
              </w:rPr>
              <w:t>等效连续A声级</w:t>
            </w:r>
          </w:p>
        </w:tc>
        <w:tc>
          <w:tcPr>
            <w:tcW w:w="1080" w:type="dxa"/>
            <w:tcBorders>
              <w:tl2br w:val="nil"/>
              <w:tr2bl w:val="nil"/>
            </w:tcBorders>
            <w:vAlign w:val="center"/>
          </w:tcPr>
          <w:p>
            <w:pPr>
              <w:pStyle w:val="30"/>
              <w:widowControl w:val="0"/>
              <w:bidi w:val="0"/>
              <w:ind w:firstLine="0" w:firstLineChars="0"/>
              <w:jc w:val="center"/>
              <w:rPr>
                <w:rFonts w:hint="eastAsia"/>
              </w:rPr>
            </w:pPr>
            <w:r>
              <w:rPr>
                <w:rFonts w:hint="eastAsia"/>
                <w:lang w:val="en-US" w:eastAsia="zh-CN"/>
              </w:rPr>
              <w:t>每季一次</w:t>
            </w:r>
          </w:p>
        </w:tc>
        <w:tc>
          <w:tcPr>
            <w:tcW w:w="1143" w:type="dxa"/>
            <w:tcBorders>
              <w:tl2br w:val="nil"/>
              <w:tr2bl w:val="nil"/>
            </w:tcBorders>
            <w:vAlign w:val="center"/>
          </w:tcPr>
          <w:p>
            <w:pPr>
              <w:pStyle w:val="30"/>
              <w:widowControl w:val="0"/>
              <w:bidi w:val="0"/>
              <w:ind w:firstLine="0" w:firstLineChars="0"/>
              <w:jc w:val="center"/>
              <w:rPr>
                <w:rFonts w:hint="eastAsia"/>
              </w:rPr>
            </w:pPr>
            <w:r>
              <w:rPr>
                <w:rFonts w:hint="eastAsia"/>
                <w:lang w:val="en-US" w:eastAsia="zh-CN"/>
              </w:rPr>
              <w:t>外委</w:t>
            </w:r>
          </w:p>
        </w:tc>
      </w:tr>
    </w:tbl>
    <w:p>
      <w:pPr>
        <w:pStyle w:val="30"/>
        <w:bidi w:val="0"/>
        <w:jc w:val="left"/>
        <w:rPr>
          <w:rFonts w:hint="eastAsia"/>
        </w:rPr>
      </w:pPr>
      <w:r>
        <w:rPr>
          <w:rFonts w:hint="eastAsia"/>
        </w:rPr>
        <w:t>注：如果卫生防护范围边界处无组织排放出现超标现象，需扩大卫生防护范围（扩大距离根据监测结果进一步论证）</w:t>
      </w:r>
    </w:p>
    <w:p>
      <w:pPr>
        <w:pStyle w:val="4"/>
        <w:bidi w:val="0"/>
        <w:rPr>
          <w:rFonts w:hint="default"/>
          <w:lang w:val="en-US" w:eastAsia="zh-CN"/>
        </w:rPr>
      </w:pPr>
      <w:bookmarkStart w:id="73" w:name="_Toc22848"/>
      <w:r>
        <w:rPr>
          <w:rFonts w:hint="eastAsia"/>
          <w:lang w:val="en-US" w:eastAsia="zh-CN"/>
        </w:rPr>
        <w:t>环保竣工验收</w:t>
      </w:r>
      <w:bookmarkEnd w:id="73"/>
    </w:p>
    <w:p>
      <w:pPr>
        <w:pStyle w:val="5"/>
        <w:bidi w:val="0"/>
        <w:rPr>
          <w:rFonts w:hint="default"/>
          <w:lang w:val="en-US" w:eastAsia="zh-CN"/>
        </w:rPr>
      </w:pPr>
      <w:r>
        <w:rPr>
          <w:rFonts w:hint="eastAsia"/>
          <w:lang w:val="en-US" w:eastAsia="zh-CN"/>
        </w:rPr>
        <w:t>环保工程设计要求</w:t>
      </w:r>
    </w:p>
    <w:p>
      <w:pPr>
        <w:bidi w:val="0"/>
        <w:rPr>
          <w:rFonts w:hint="eastAsia"/>
        </w:rPr>
      </w:pPr>
      <w:r>
        <w:rPr>
          <w:rFonts w:hint="eastAsia"/>
        </w:rPr>
        <w:t>（</w:t>
      </w:r>
      <w:r>
        <w:rPr>
          <w:rFonts w:hint="default"/>
        </w:rPr>
        <w:t>1</w:t>
      </w:r>
      <w:r>
        <w:rPr>
          <w:rFonts w:hint="eastAsia"/>
        </w:rPr>
        <w:t>）按照环评报告书提出的污染防治措施，完善本项目的环保工程设计，并针对本项目的特点，重点做好恶臭的无组织排放污染防治，废水的处理及污泥的处置与综合利用设计工作，确保工程建成投产后</w:t>
      </w:r>
      <w:r>
        <w:rPr>
          <w:rFonts w:hint="eastAsia"/>
          <w:lang w:eastAsia="zh-CN"/>
        </w:rPr>
        <w:t>“</w:t>
      </w:r>
      <w:r>
        <w:rPr>
          <w:rFonts w:hint="eastAsia"/>
        </w:rPr>
        <w:t>三废</w:t>
      </w:r>
      <w:r>
        <w:rPr>
          <w:rFonts w:hint="eastAsia"/>
          <w:lang w:eastAsia="zh-CN"/>
        </w:rPr>
        <w:t>”</w:t>
      </w:r>
      <w:r>
        <w:rPr>
          <w:rFonts w:hint="eastAsia"/>
        </w:rPr>
        <w:t>做到达标排放。</w:t>
      </w:r>
    </w:p>
    <w:p>
      <w:pPr>
        <w:bidi w:val="0"/>
        <w:rPr>
          <w:rFonts w:hint="eastAsia"/>
        </w:rPr>
      </w:pPr>
      <w:r>
        <w:rPr>
          <w:rFonts w:hint="eastAsia"/>
        </w:rPr>
        <w:t>（</w:t>
      </w:r>
      <w:r>
        <w:rPr>
          <w:rFonts w:hint="default"/>
        </w:rPr>
        <w:t>2</w:t>
      </w:r>
      <w:r>
        <w:rPr>
          <w:rFonts w:hint="eastAsia"/>
        </w:rPr>
        <w:t>）核准环保投资概算，增加环保资金，要求做到专款专用，环保投资及时到位。</w:t>
      </w:r>
    </w:p>
    <w:p>
      <w:pPr>
        <w:bidi w:val="0"/>
        <w:rPr>
          <w:rFonts w:hint="default"/>
          <w:lang w:val="en-US" w:eastAsia="zh-CN"/>
        </w:rPr>
      </w:pPr>
      <w:r>
        <w:rPr>
          <w:rFonts w:hint="eastAsia"/>
        </w:rPr>
        <w:t>（</w:t>
      </w:r>
      <w:r>
        <w:rPr>
          <w:rFonts w:hint="default"/>
        </w:rPr>
        <w:t>3</w:t>
      </w:r>
      <w:r>
        <w:rPr>
          <w:rFonts w:hint="eastAsia"/>
        </w:rPr>
        <w:t>）主体工程完工后，其配套建设的环境保护设施必须与主体工程同时完工；如需进行试生产，其配套建设的环境保护设施必须与主体工程同时投入运行。</w:t>
      </w:r>
    </w:p>
    <w:p>
      <w:pPr>
        <w:pStyle w:val="5"/>
        <w:bidi w:val="0"/>
        <w:rPr>
          <w:rFonts w:hint="eastAsia"/>
        </w:rPr>
      </w:pPr>
      <w:r>
        <w:rPr>
          <w:rFonts w:hint="eastAsia"/>
        </w:rPr>
        <w:t>环保设施验收内容</w:t>
      </w:r>
    </w:p>
    <w:p>
      <w:pPr>
        <w:bidi w:val="0"/>
        <w:rPr>
          <w:rFonts w:hint="eastAsia"/>
        </w:rPr>
      </w:pPr>
      <w:r>
        <w:rPr>
          <w:rFonts w:hint="eastAsia"/>
        </w:rPr>
        <w:t>根据新的相关法律法规，现阶段水、大气、噪声、固废均属于企业自主验收范畴，自主验收后报环保局备案。后期相关的法律法规或许会进行调整，验收的形式按项目建成后相关法律法规规定执行。以下对验收的范围和条件提出建议，供建设单位参考。</w:t>
      </w:r>
    </w:p>
    <w:p>
      <w:pPr>
        <w:pStyle w:val="6"/>
        <w:bidi w:val="0"/>
        <w:rPr>
          <w:rFonts w:hint="eastAsia"/>
        </w:rPr>
      </w:pPr>
      <w:r>
        <w:rPr>
          <w:rFonts w:hint="eastAsia"/>
        </w:rPr>
        <w:t>验收范围</w:t>
      </w:r>
    </w:p>
    <w:p>
      <w:pPr>
        <w:bidi w:val="0"/>
        <w:rPr>
          <w:rFonts w:hint="eastAsia"/>
        </w:rPr>
      </w:pPr>
      <w:r>
        <w:rPr>
          <w:rFonts w:hint="eastAsia"/>
        </w:rPr>
        <w:t>（</w:t>
      </w:r>
      <w:r>
        <w:rPr>
          <w:rFonts w:hint="default"/>
        </w:rPr>
        <w:t>1</w:t>
      </w:r>
      <w:r>
        <w:rPr>
          <w:rFonts w:hint="eastAsia"/>
        </w:rPr>
        <w:t>）与本项目有关的各项环境保护设施，包括为污染防治和保护环境所建成或配套的工程、设备、装置和监测手段，各项生态保护设施等。</w:t>
      </w:r>
    </w:p>
    <w:p>
      <w:pPr>
        <w:bidi w:val="0"/>
        <w:rPr>
          <w:rFonts w:hint="eastAsia"/>
        </w:rPr>
      </w:pPr>
      <w:r>
        <w:rPr>
          <w:rFonts w:hint="eastAsia"/>
        </w:rPr>
        <w:t>（</w:t>
      </w:r>
      <w:r>
        <w:rPr>
          <w:rFonts w:hint="default"/>
        </w:rPr>
        <w:t>2</w:t>
      </w:r>
      <w:r>
        <w:rPr>
          <w:rFonts w:hint="eastAsia"/>
        </w:rPr>
        <w:t>）本报告书和有关文件规定应采取的其它各项环保措施。</w:t>
      </w:r>
    </w:p>
    <w:p>
      <w:pPr>
        <w:pStyle w:val="6"/>
        <w:bidi w:val="0"/>
        <w:rPr>
          <w:rFonts w:hint="eastAsia"/>
        </w:rPr>
      </w:pPr>
      <w:r>
        <w:rPr>
          <w:rFonts w:hint="eastAsia"/>
        </w:rPr>
        <w:t>验收内容</w:t>
      </w:r>
    </w:p>
    <w:p>
      <w:pPr>
        <w:bidi w:val="0"/>
        <w:rPr>
          <w:rFonts w:hint="eastAsia"/>
        </w:rPr>
      </w:pPr>
      <w:r>
        <w:rPr>
          <w:rFonts w:hint="eastAsia"/>
        </w:rPr>
        <w:t>建设单位在环境保护设施验收过程中，应当如实查验、监测、记载建设项目环境保护设施的建设和调试情况，不得弄虚作假。除按照国家规定需要保密的情形外，建设单位应当依法向社会公开验收报告。</w:t>
      </w:r>
    </w:p>
    <w:p>
      <w:pPr>
        <w:rPr>
          <w:rFonts w:hint="default"/>
          <w:lang w:val="en-US" w:eastAsia="zh-CN"/>
        </w:rPr>
      </w:pPr>
      <w:r>
        <w:rPr>
          <w:rFonts w:hint="default"/>
          <w:lang w:val="en-US" w:eastAsia="zh-CN"/>
        </w:rPr>
        <w:br w:type="page"/>
      </w:r>
    </w:p>
    <w:p>
      <w:pPr>
        <w:pStyle w:val="3"/>
        <w:bidi w:val="0"/>
        <w:rPr>
          <w:rFonts w:hint="default"/>
          <w:lang w:val="en-US" w:eastAsia="zh-CN"/>
        </w:rPr>
      </w:pPr>
      <w:bookmarkStart w:id="74" w:name="_Toc26096"/>
      <w:r>
        <w:rPr>
          <w:rFonts w:hint="eastAsia"/>
          <w:lang w:val="en-US" w:eastAsia="zh-CN"/>
        </w:rPr>
        <w:t>环境影响评价结论与建议</w:t>
      </w:r>
      <w:bookmarkEnd w:id="74"/>
    </w:p>
    <w:p>
      <w:pPr>
        <w:pStyle w:val="4"/>
        <w:bidi w:val="0"/>
        <w:rPr>
          <w:rFonts w:hint="default"/>
          <w:lang w:val="en-US" w:eastAsia="zh-CN"/>
        </w:rPr>
      </w:pPr>
      <w:bookmarkStart w:id="75" w:name="_Toc15770"/>
      <w:r>
        <w:rPr>
          <w:rFonts w:hint="eastAsia"/>
          <w:lang w:val="en-US" w:eastAsia="zh-CN"/>
        </w:rPr>
        <w:t>建设项目影响评价结论</w:t>
      </w:r>
      <w:bookmarkEnd w:id="75"/>
    </w:p>
    <w:p>
      <w:pPr>
        <w:pStyle w:val="5"/>
        <w:bidi w:val="0"/>
        <w:rPr>
          <w:rFonts w:hint="default"/>
          <w:lang w:val="en-US" w:eastAsia="zh-CN"/>
        </w:rPr>
      </w:pPr>
      <w:r>
        <w:rPr>
          <w:rFonts w:hint="eastAsia"/>
          <w:lang w:val="en-US" w:eastAsia="zh-CN"/>
        </w:rPr>
        <w:t>产业政策符合性</w:t>
      </w:r>
    </w:p>
    <w:p>
      <w:pPr>
        <w:bidi w:val="0"/>
        <w:rPr>
          <w:rFonts w:hint="eastAsia"/>
        </w:rPr>
      </w:pPr>
      <w:r>
        <w:rPr>
          <w:rFonts w:hint="eastAsia"/>
        </w:rPr>
        <w:t>本项目为牲畜屠宰项目。根据《国民经济行业分类》</w:t>
      </w:r>
      <w:r>
        <w:rPr>
          <w:rFonts w:hint="eastAsia"/>
          <w:lang w:eastAsia="zh-CN"/>
        </w:rPr>
        <w:t>（</w:t>
      </w:r>
      <w:r>
        <w:rPr>
          <w:rFonts w:hint="default"/>
        </w:rPr>
        <w:t>GB/T4754-2017</w:t>
      </w:r>
      <w:r>
        <w:rPr>
          <w:rFonts w:hint="eastAsia"/>
        </w:rPr>
        <w:t>）关于国民经济行业的分类，项目属于</w:t>
      </w:r>
      <w:r>
        <w:rPr>
          <w:rFonts w:hint="eastAsia"/>
          <w:lang w:eastAsia="zh-CN"/>
        </w:rPr>
        <w:t>“</w:t>
      </w:r>
      <w:r>
        <w:rPr>
          <w:rFonts w:hint="eastAsia"/>
        </w:rPr>
        <w:t>牲畜屠宰（</w:t>
      </w:r>
      <w:r>
        <w:rPr>
          <w:rFonts w:hint="default"/>
        </w:rPr>
        <w:t>C1351</w:t>
      </w:r>
      <w:r>
        <w:rPr>
          <w:rFonts w:hint="eastAsia"/>
        </w:rPr>
        <w:t>）</w:t>
      </w:r>
      <w:r>
        <w:rPr>
          <w:rFonts w:hint="eastAsia"/>
          <w:lang w:eastAsia="zh-CN"/>
        </w:rPr>
        <w:t>”</w:t>
      </w:r>
      <w:r>
        <w:rPr>
          <w:rFonts w:hint="eastAsia"/>
        </w:rPr>
        <w:t>，对照中华人民共和国发展和改革委员会第</w:t>
      </w:r>
      <w:r>
        <w:rPr>
          <w:rFonts w:hint="default"/>
        </w:rPr>
        <w:t>29</w:t>
      </w:r>
      <w:r>
        <w:rPr>
          <w:rFonts w:hint="eastAsia"/>
        </w:rPr>
        <w:t>号令发布的《产业结构调整指导目录</w:t>
      </w:r>
      <w:r>
        <w:rPr>
          <w:rFonts w:hint="eastAsia"/>
          <w:lang w:eastAsia="zh-CN"/>
        </w:rPr>
        <w:t>（</w:t>
      </w:r>
      <w:r>
        <w:rPr>
          <w:rFonts w:hint="default"/>
        </w:rPr>
        <w:t xml:space="preserve">2019 </w:t>
      </w:r>
      <w:r>
        <w:rPr>
          <w:rFonts w:hint="eastAsia"/>
        </w:rPr>
        <w:t>年本</w:t>
      </w:r>
      <w:r>
        <w:rPr>
          <w:rFonts w:hint="eastAsia"/>
          <w:lang w:eastAsia="zh-CN"/>
        </w:rPr>
        <w:t>）</w:t>
      </w:r>
      <w:r>
        <w:rPr>
          <w:rFonts w:hint="eastAsia"/>
        </w:rPr>
        <w:t>》中相关规定，本项目不属于规定的鼓励类、限制类和淘汰类。同时，依据国务院关于发布实施《促进产业结构调整暂行规定》的决定（国发</w:t>
      </w:r>
      <w:r>
        <w:rPr>
          <w:rFonts w:hint="default"/>
        </w:rPr>
        <w:t>[2005]40</w:t>
      </w:r>
      <w:r>
        <w:rPr>
          <w:rFonts w:hint="eastAsia"/>
        </w:rPr>
        <w:t>号），</w:t>
      </w:r>
      <w:r>
        <w:rPr>
          <w:rFonts w:hint="eastAsia"/>
          <w:lang w:eastAsia="zh-CN"/>
        </w:rPr>
        <w:t>“</w:t>
      </w:r>
      <w:r>
        <w:rPr>
          <w:rFonts w:hint="eastAsia"/>
        </w:rPr>
        <w:t>第十三条《产业结构调整指导目录》由鼓励、限制和淘汰三类目录组成。不属于鼓励类、限制类（十二、轻工，</w:t>
      </w:r>
      <w:r>
        <w:rPr>
          <w:rFonts w:hint="default"/>
        </w:rPr>
        <w:t>24</w:t>
      </w:r>
      <w:r>
        <w:rPr>
          <w:rFonts w:hint="eastAsia"/>
        </w:rPr>
        <w:t>、年屠宰生猪</w:t>
      </w:r>
      <w:r>
        <w:rPr>
          <w:rFonts w:hint="default"/>
        </w:rPr>
        <w:t>15</w:t>
      </w:r>
      <w:r>
        <w:rPr>
          <w:rFonts w:hint="eastAsia"/>
        </w:rPr>
        <w:t>万头及以下、肉牛</w:t>
      </w:r>
      <w:r>
        <w:rPr>
          <w:rFonts w:hint="default"/>
        </w:rPr>
        <w:t>1</w:t>
      </w:r>
      <w:r>
        <w:rPr>
          <w:rFonts w:hint="eastAsia"/>
        </w:rPr>
        <w:t>万头及以下、肉猪</w:t>
      </w:r>
      <w:r>
        <w:rPr>
          <w:rFonts w:hint="default"/>
        </w:rPr>
        <w:t>15</w:t>
      </w:r>
      <w:r>
        <w:rPr>
          <w:rFonts w:hint="eastAsia"/>
        </w:rPr>
        <w:t>万只及以下、活禽</w:t>
      </w:r>
      <w:r>
        <w:rPr>
          <w:rFonts w:hint="default"/>
        </w:rPr>
        <w:t>1000</w:t>
      </w:r>
      <w:r>
        <w:rPr>
          <w:rFonts w:hint="eastAsia"/>
        </w:rPr>
        <w:t>万只及以下的屠宰建设项目，少数民族地区除外）及淘汰类项目，且符合国家有关法律、法规和政策规定的，为允许类。允许类不列入《产业结构调整指导目录》</w:t>
      </w:r>
      <w:r>
        <w:rPr>
          <w:rFonts w:hint="eastAsia"/>
          <w:lang w:eastAsia="zh-CN"/>
        </w:rPr>
        <w:t>”</w:t>
      </w:r>
      <w:r>
        <w:rPr>
          <w:rFonts w:hint="eastAsia"/>
        </w:rPr>
        <w:t>。</w:t>
      </w:r>
    </w:p>
    <w:p>
      <w:pPr>
        <w:bidi w:val="0"/>
        <w:rPr>
          <w:rFonts w:hint="eastAsia"/>
        </w:rPr>
      </w:pPr>
      <w:r>
        <w:rPr>
          <w:rFonts w:hint="eastAsia"/>
          <w:b/>
          <w:bCs/>
        </w:rPr>
        <w:t>设备：</w:t>
      </w:r>
      <w:r>
        <w:rPr>
          <w:rFonts w:hint="eastAsia"/>
        </w:rPr>
        <w:t>本项目生产过程中使用的设备不属于《产业结构调整指导目录（</w:t>
      </w:r>
      <w:r>
        <w:rPr>
          <w:rFonts w:hint="default"/>
        </w:rPr>
        <w:t xml:space="preserve">2019 </w:t>
      </w:r>
      <w:r>
        <w:rPr>
          <w:rFonts w:hint="eastAsia"/>
        </w:rPr>
        <w:t>年本）》中淘汰类的桥式劈半锯、敞式生猪烫毛机等生猪屠宰设备。</w:t>
      </w:r>
    </w:p>
    <w:p>
      <w:pPr>
        <w:bidi w:val="0"/>
        <w:rPr>
          <w:rFonts w:hint="eastAsia"/>
          <w:lang w:val="en-US" w:eastAsia="zh-CN"/>
        </w:rPr>
      </w:pPr>
      <w:r>
        <w:rPr>
          <w:rFonts w:hint="eastAsia"/>
          <w:b/>
          <w:bCs/>
        </w:rPr>
        <w:t>工艺：</w:t>
      </w:r>
      <w:r>
        <w:rPr>
          <w:rFonts w:hint="eastAsia"/>
        </w:rPr>
        <w:t>本项目屠宰工艺为全自动机械式屠宰工艺，不属于《产业结构调整指导目录（</w:t>
      </w:r>
      <w:r>
        <w:rPr>
          <w:rFonts w:hint="default"/>
        </w:rPr>
        <w:t>2019</w:t>
      </w:r>
      <w:r>
        <w:rPr>
          <w:rFonts w:hint="eastAsia"/>
        </w:rPr>
        <w:t>年本）》中淘汰类的手工屠宰工艺。</w:t>
      </w:r>
    </w:p>
    <w:p>
      <w:pPr>
        <w:pStyle w:val="5"/>
        <w:bidi w:val="0"/>
        <w:rPr>
          <w:rFonts w:hint="default"/>
          <w:lang w:val="en-US" w:eastAsia="zh-CN"/>
        </w:rPr>
      </w:pPr>
      <w:r>
        <w:rPr>
          <w:rFonts w:hint="eastAsia"/>
          <w:lang w:val="en-US" w:eastAsia="zh-CN"/>
        </w:rPr>
        <w:t>环境质量现状</w:t>
      </w:r>
    </w:p>
    <w:p>
      <w:pPr>
        <w:ind w:firstLine="480"/>
      </w:pPr>
      <w:r>
        <w:rPr>
          <w:rFonts w:hint="eastAsia"/>
          <w:lang w:val="en-US" w:eastAsia="zh-CN"/>
        </w:rPr>
        <w:t>（1）地表水环境：根据地表水监测结果，本项目地表水各采样点的各项监测因子均满足《地表水环境质量标准》（GB3838-2002）Ⅲ类标准要求，项目所在区域地表水环境质量现状较好</w:t>
      </w:r>
      <w:r>
        <w:t>。</w:t>
      </w:r>
    </w:p>
    <w:p>
      <w:pPr>
        <w:bidi w:val="0"/>
        <w:rPr>
          <w:rFonts w:hint="default"/>
          <w:lang w:val="en-US" w:eastAsia="zh-CN"/>
        </w:rPr>
      </w:pPr>
      <w:r>
        <w:rPr>
          <w:rFonts w:hint="eastAsia"/>
          <w:lang w:val="en-US" w:eastAsia="zh-CN"/>
        </w:rPr>
        <w:t>（2）环境空气：</w:t>
      </w:r>
      <w:r>
        <w:rPr>
          <w:rFonts w:hint="default"/>
          <w:lang w:val="en-US" w:eastAsia="zh-CN"/>
        </w:rPr>
        <w:t>2019年巴中市环境空气质量中，SO、NO、PM</w:t>
      </w:r>
      <w:r>
        <w:rPr>
          <w:rFonts w:hint="eastAsia"/>
          <w:vertAlign w:val="subscript"/>
          <w:lang w:val="en-US" w:eastAsia="zh-CN"/>
        </w:rPr>
        <w:t>10</w:t>
      </w:r>
      <w:r>
        <w:rPr>
          <w:rFonts w:hint="default"/>
          <w:lang w:val="en-US" w:eastAsia="zh-CN"/>
        </w:rPr>
        <w:t>、PM</w:t>
      </w:r>
      <w:r>
        <w:rPr>
          <w:rFonts w:hint="eastAsia"/>
          <w:vertAlign w:val="subscript"/>
          <w:lang w:val="en-US" w:eastAsia="zh-CN"/>
        </w:rPr>
        <w:t>2.5</w:t>
      </w:r>
      <w:r>
        <w:rPr>
          <w:rFonts w:hint="default"/>
          <w:lang w:val="en-US" w:eastAsia="zh-CN"/>
        </w:rPr>
        <w:t>、CO、</w:t>
      </w:r>
      <w:r>
        <w:rPr>
          <w:rFonts w:hint="eastAsia"/>
          <w:lang w:val="en-US" w:eastAsia="zh-CN"/>
        </w:rPr>
        <w:t>O</w:t>
      </w:r>
      <w:r>
        <w:rPr>
          <w:rFonts w:hint="eastAsia"/>
          <w:vertAlign w:val="subscript"/>
          <w:lang w:val="en-US" w:eastAsia="zh-CN"/>
        </w:rPr>
        <w:t>3</w:t>
      </w:r>
      <w:r>
        <w:rPr>
          <w:rFonts w:hint="default"/>
          <w:lang w:val="en-US" w:eastAsia="zh-CN"/>
        </w:rPr>
        <w:t>年均值分别为4.3ug/m</w:t>
      </w:r>
      <w:r>
        <w:rPr>
          <w:rFonts w:hint="default"/>
          <w:vertAlign w:val="superscript"/>
          <w:lang w:val="en-US" w:eastAsia="zh-CN"/>
        </w:rPr>
        <w:t>3</w:t>
      </w:r>
      <w:r>
        <w:rPr>
          <w:rFonts w:hint="default"/>
          <w:lang w:val="en-US" w:eastAsia="zh-CN"/>
        </w:rPr>
        <w:t>、24.5ug/m</w:t>
      </w:r>
      <w:r>
        <w:rPr>
          <w:rFonts w:hint="default"/>
          <w:vertAlign w:val="superscript"/>
          <w:lang w:val="en-US" w:eastAsia="zh-CN"/>
        </w:rPr>
        <w:t>3</w:t>
      </w:r>
      <w:r>
        <w:rPr>
          <w:rFonts w:hint="default"/>
          <w:lang w:val="en-US" w:eastAsia="zh-CN"/>
        </w:rPr>
        <w:t>、50.6ug/m</w:t>
      </w:r>
      <w:r>
        <w:rPr>
          <w:rFonts w:hint="default"/>
          <w:vertAlign w:val="superscript"/>
          <w:lang w:val="en-US" w:eastAsia="zh-CN"/>
        </w:rPr>
        <w:t>3</w:t>
      </w:r>
      <w:r>
        <w:rPr>
          <w:rFonts w:hint="default"/>
          <w:lang w:val="en-US" w:eastAsia="zh-CN"/>
        </w:rPr>
        <w:t>、32.1ug/m</w:t>
      </w:r>
      <w:r>
        <w:rPr>
          <w:rFonts w:hint="default"/>
          <w:vertAlign w:val="superscript"/>
          <w:lang w:val="en-US" w:eastAsia="zh-CN"/>
        </w:rPr>
        <w:t>3</w:t>
      </w:r>
      <w:r>
        <w:rPr>
          <w:rFonts w:hint="default"/>
          <w:lang w:val="en-US" w:eastAsia="zh-CN"/>
        </w:rPr>
        <w:t>、1.1mg/m</w:t>
      </w:r>
      <w:r>
        <w:rPr>
          <w:rFonts w:hint="default"/>
          <w:vertAlign w:val="superscript"/>
          <w:lang w:val="en-US" w:eastAsia="zh-CN"/>
        </w:rPr>
        <w:t>2</w:t>
      </w:r>
      <w:r>
        <w:rPr>
          <w:rFonts w:hint="default"/>
          <w:lang w:val="en-US" w:eastAsia="zh-CN"/>
        </w:rPr>
        <w:t>、110ug/m</w:t>
      </w:r>
      <w:r>
        <w:rPr>
          <w:rFonts w:hint="default"/>
          <w:vertAlign w:val="superscript"/>
          <w:lang w:val="en-US" w:eastAsia="zh-CN"/>
        </w:rPr>
        <w:t>3</w:t>
      </w:r>
      <w:r>
        <w:rPr>
          <w:rFonts w:hint="eastAsia"/>
          <w:vertAlign w:val="baseline"/>
          <w:lang w:val="en-US" w:eastAsia="zh-CN"/>
        </w:rPr>
        <w:t>，</w:t>
      </w:r>
      <w:r>
        <w:rPr>
          <w:rFonts w:hint="default"/>
          <w:lang w:val="en-US" w:eastAsia="zh-CN"/>
        </w:rPr>
        <w:t>年均值均达到《环境空气质量标准》</w:t>
      </w:r>
      <w:r>
        <w:rPr>
          <w:rFonts w:hint="eastAsia"/>
          <w:lang w:val="en-US" w:eastAsia="zh-CN"/>
        </w:rPr>
        <w:t>（</w:t>
      </w:r>
      <w:r>
        <w:rPr>
          <w:rFonts w:hint="default"/>
          <w:lang w:val="en-US" w:eastAsia="zh-CN"/>
        </w:rPr>
        <w:t>GB3095-2012）中的二级标准。项目所在的巴中市环境空气中的六项基本污染物均</w:t>
      </w:r>
      <w:r>
        <w:rPr>
          <w:rFonts w:hint="eastAsia"/>
          <w:lang w:val="en-US" w:eastAsia="zh-CN"/>
        </w:rPr>
        <w:t>未达标</w:t>
      </w:r>
      <w:r>
        <w:rPr>
          <w:rFonts w:hint="default"/>
          <w:lang w:val="en-US" w:eastAsia="zh-CN"/>
        </w:rPr>
        <w:t>，故本项目所在区域属于达标区。</w:t>
      </w:r>
    </w:p>
    <w:p>
      <w:pPr>
        <w:bidi w:val="0"/>
        <w:rPr>
          <w:rFonts w:hint="default"/>
          <w:lang w:val="en-US" w:eastAsia="zh-CN"/>
        </w:rPr>
      </w:pPr>
      <w:r>
        <w:rPr>
          <w:rFonts w:hint="eastAsia"/>
        </w:rPr>
        <w:t>根据补充监测结果，</w:t>
      </w:r>
      <w:r>
        <w:rPr>
          <w:rFonts w:hint="default"/>
        </w:rPr>
        <w:t>H</w:t>
      </w:r>
      <w:r>
        <w:rPr>
          <w:rFonts w:hint="default"/>
          <w:vertAlign w:val="subscript"/>
        </w:rPr>
        <w:t>2</w:t>
      </w:r>
      <w:r>
        <w:rPr>
          <w:rFonts w:hint="default"/>
        </w:rPr>
        <w:t>S</w:t>
      </w:r>
      <w:r>
        <w:rPr>
          <w:rFonts w:hint="eastAsia"/>
        </w:rPr>
        <w:t>和</w:t>
      </w:r>
      <w:r>
        <w:rPr>
          <w:rFonts w:hint="default"/>
        </w:rPr>
        <w:t>NH</w:t>
      </w:r>
      <w:r>
        <w:rPr>
          <w:rFonts w:hint="default"/>
          <w:vertAlign w:val="subscript"/>
        </w:rPr>
        <w:t>3</w:t>
      </w:r>
      <w:r>
        <w:rPr>
          <w:rFonts w:hint="eastAsia"/>
        </w:rPr>
        <w:t>监测值均满足《环境影响评价技术导则</w:t>
      </w:r>
      <w:r>
        <w:rPr>
          <w:rFonts w:hint="eastAsia"/>
          <w:lang w:eastAsia="zh-CN"/>
        </w:rPr>
        <w:t>－</w:t>
      </w:r>
      <w:r>
        <w:rPr>
          <w:rFonts w:hint="eastAsia"/>
        </w:rPr>
        <w:t>大气环境》（</w:t>
      </w:r>
      <w:r>
        <w:rPr>
          <w:rFonts w:hint="default"/>
        </w:rPr>
        <w:t>HJ2.2-2018</w:t>
      </w:r>
      <w:r>
        <w:rPr>
          <w:rFonts w:hint="eastAsia"/>
        </w:rPr>
        <w:t>）附录</w:t>
      </w:r>
      <w:r>
        <w:rPr>
          <w:rFonts w:hint="default"/>
        </w:rPr>
        <w:t>D</w:t>
      </w:r>
      <w:r>
        <w:rPr>
          <w:rFonts w:hint="eastAsia"/>
        </w:rPr>
        <w:t>中表</w:t>
      </w:r>
      <w:r>
        <w:rPr>
          <w:rFonts w:hint="default"/>
        </w:rPr>
        <w:t>D.1</w:t>
      </w:r>
      <w:r>
        <w:rPr>
          <w:rFonts w:hint="eastAsia"/>
          <w:lang w:eastAsia="zh-CN"/>
        </w:rPr>
        <w:t>“</w:t>
      </w:r>
      <w:r>
        <w:rPr>
          <w:rFonts w:hint="eastAsia"/>
        </w:rPr>
        <w:t>其他污染空气质量浓度参考限值</w:t>
      </w:r>
      <w:r>
        <w:rPr>
          <w:rFonts w:hint="eastAsia"/>
          <w:lang w:eastAsia="zh-CN"/>
        </w:rPr>
        <w:t>”</w:t>
      </w:r>
      <w:r>
        <w:rPr>
          <w:rFonts w:hint="eastAsia"/>
        </w:rPr>
        <w:t>相应要求。</w:t>
      </w:r>
    </w:p>
    <w:p>
      <w:pPr>
        <w:bidi w:val="0"/>
        <w:rPr>
          <w:rFonts w:hint="default"/>
          <w:lang w:val="en-US" w:eastAsia="zh-CN"/>
        </w:rPr>
      </w:pPr>
      <w:r>
        <w:rPr>
          <w:rFonts w:hint="eastAsia"/>
          <w:lang w:val="en-US" w:eastAsia="zh-CN"/>
        </w:rPr>
        <w:t>（3）环境噪声：</w:t>
      </w:r>
      <w:r>
        <w:rPr>
          <w:rFonts w:hint="eastAsia"/>
        </w:rPr>
        <w:t>根据项目所在厂界环境噪声监测结果，本项目所在区域声环境质量满足《声环境质量标准》</w:t>
      </w:r>
      <w:r>
        <w:rPr>
          <w:rFonts w:hint="default"/>
        </w:rPr>
        <w:t>GB3096-2008</w:t>
      </w:r>
      <w:r>
        <w:rPr>
          <w:rFonts w:hint="eastAsia"/>
        </w:rPr>
        <w:t>中</w:t>
      </w:r>
      <w:r>
        <w:rPr>
          <w:rFonts w:hint="default"/>
        </w:rPr>
        <w:t>2</w:t>
      </w:r>
      <w:r>
        <w:rPr>
          <w:rFonts w:hint="eastAsia"/>
        </w:rPr>
        <w:t>类标准限值的要求。</w:t>
      </w:r>
    </w:p>
    <w:p>
      <w:pPr>
        <w:bidi w:val="0"/>
        <w:rPr>
          <w:rFonts w:hint="eastAsia"/>
          <w:lang w:val="en-US" w:eastAsia="zh-CN"/>
        </w:rPr>
      </w:pPr>
      <w:r>
        <w:rPr>
          <w:rFonts w:hint="eastAsia"/>
        </w:rPr>
        <w:t>（</w:t>
      </w:r>
      <w:r>
        <w:rPr>
          <w:rFonts w:hint="default"/>
        </w:rPr>
        <w:t>4</w:t>
      </w:r>
      <w:r>
        <w:rPr>
          <w:rFonts w:hint="eastAsia"/>
        </w:rPr>
        <w:t>）地下水环境：根据地下水水质监测结果，本项目地下水各采样点的各项监测因子均满足《地下水环境质量标准》（</w:t>
      </w:r>
      <w:r>
        <w:rPr>
          <w:rFonts w:hint="default"/>
        </w:rPr>
        <w:t>GB/T14848-2017</w:t>
      </w:r>
      <w:r>
        <w:rPr>
          <w:rFonts w:hint="eastAsia"/>
        </w:rPr>
        <w:t>）</w:t>
      </w:r>
      <w:r>
        <w:rPr>
          <w:rFonts w:hint="default" w:ascii="Times New Roman" w:hAnsi="Times New Roman" w:cs="Times New Roman"/>
        </w:rPr>
        <w:t>Ⅲ</w:t>
      </w:r>
      <w:r>
        <w:rPr>
          <w:rFonts w:hint="eastAsia"/>
        </w:rPr>
        <w:t>类标准要求，项目所在区域地下水环境质量现状较好。</w:t>
      </w:r>
    </w:p>
    <w:p>
      <w:pPr>
        <w:pStyle w:val="5"/>
        <w:bidi w:val="0"/>
        <w:rPr>
          <w:rFonts w:hint="default"/>
          <w:lang w:val="en-US" w:eastAsia="zh-CN"/>
        </w:rPr>
      </w:pPr>
      <w:r>
        <w:rPr>
          <w:rFonts w:hint="eastAsia"/>
          <w:lang w:val="en-US" w:eastAsia="zh-CN"/>
        </w:rPr>
        <w:t>环境影响分析</w:t>
      </w:r>
    </w:p>
    <w:p>
      <w:pPr>
        <w:rPr>
          <w:rFonts w:hint="default"/>
          <w:b/>
          <w:bCs/>
          <w:lang w:val="en-US" w:eastAsia="zh-CN"/>
        </w:rPr>
      </w:pPr>
      <w:r>
        <w:rPr>
          <w:rFonts w:hint="eastAsia"/>
          <w:b/>
          <w:bCs/>
          <w:lang w:val="en-US" w:eastAsia="zh-CN"/>
        </w:rPr>
        <w:t>（1）地表水</w:t>
      </w:r>
    </w:p>
    <w:p>
      <w:pPr>
        <w:bidi w:val="0"/>
        <w:rPr>
          <w:rFonts w:hint="eastAsia"/>
          <w:lang w:val="en-US" w:eastAsia="zh-CN"/>
        </w:rPr>
      </w:pPr>
      <w:r>
        <w:rPr>
          <w:rFonts w:hint="eastAsia"/>
        </w:rPr>
        <w:t>项目生产、生活废水经自建的污水处理站处理后，</w:t>
      </w:r>
      <w:r>
        <w:rPr>
          <w:rFonts w:hint="eastAsia"/>
          <w:lang w:val="en-US" w:eastAsia="zh-CN"/>
        </w:rPr>
        <w:t>一部分回用于厂区车辆及地面冲洗，剩余废水用于农田灌溉，不外排</w:t>
      </w:r>
      <w:r>
        <w:rPr>
          <w:rFonts w:hint="eastAsia"/>
        </w:rPr>
        <w:t>。排水</w:t>
      </w:r>
      <w:r>
        <w:rPr>
          <w:rFonts w:hint="eastAsia"/>
          <w:lang w:val="en-US" w:eastAsia="zh-CN"/>
        </w:rPr>
        <w:t>水质可</w:t>
      </w:r>
      <w:r>
        <w:rPr>
          <w:rFonts w:hint="eastAsia"/>
        </w:rPr>
        <w:t>达到</w:t>
      </w:r>
      <w:r>
        <w:rPr>
          <w:rFonts w:hint="eastAsia"/>
          <w:lang w:eastAsia="zh-CN"/>
        </w:rPr>
        <w:t>《城镇污水处理厂污染物排放标准》（GB18918-2002）</w:t>
      </w:r>
      <w:r>
        <w:rPr>
          <w:rFonts w:hint="eastAsia"/>
          <w:lang w:val="en-US" w:eastAsia="zh-CN"/>
        </w:rPr>
        <w:t>中一级A</w:t>
      </w:r>
      <w:r>
        <w:rPr>
          <w:rFonts w:hint="eastAsia"/>
        </w:rPr>
        <w:t>排放标准</w:t>
      </w:r>
      <w:r>
        <w:rPr>
          <w:rFonts w:hint="eastAsia"/>
          <w:lang w:eastAsia="zh-CN"/>
        </w:rPr>
        <w:t>，</w:t>
      </w:r>
      <w:r>
        <w:rPr>
          <w:rFonts w:hint="eastAsia"/>
          <w:lang w:val="en-US" w:eastAsia="zh-CN"/>
        </w:rPr>
        <w:t>满足</w:t>
      </w:r>
      <w:r>
        <w:rPr>
          <w:rFonts w:hint="eastAsia"/>
          <w:lang w:eastAsia="zh-CN"/>
        </w:rPr>
        <w:t>《</w:t>
      </w:r>
      <w:r>
        <w:rPr>
          <w:rFonts w:hint="eastAsia"/>
          <w:lang w:val="en-US" w:eastAsia="zh-CN"/>
        </w:rPr>
        <w:t>肉类加工工业水污染物排放标准</w:t>
      </w:r>
      <w:r>
        <w:rPr>
          <w:rFonts w:hint="eastAsia"/>
          <w:lang w:eastAsia="zh-CN"/>
        </w:rPr>
        <w:t>》（</w:t>
      </w:r>
      <w:r>
        <w:rPr>
          <w:rFonts w:hint="eastAsia"/>
          <w:lang w:val="en-US" w:eastAsia="zh-CN"/>
        </w:rPr>
        <w:t>GB13457-92</w:t>
      </w:r>
      <w:r>
        <w:rPr>
          <w:rFonts w:hint="eastAsia"/>
          <w:lang w:eastAsia="zh-CN"/>
        </w:rPr>
        <w:t>）</w:t>
      </w:r>
      <w:r>
        <w:rPr>
          <w:rFonts w:hint="eastAsia"/>
          <w:lang w:val="en-US" w:eastAsia="zh-CN"/>
        </w:rPr>
        <w:t>中一级标准，满足《农田灌溉水质标准》（GB 5084-2005），且满足《城市污水再生利用城市杂用水水质》（GB/T18920-2002）中道路清扫、消防以及车辆冲洗水质要求</w:t>
      </w:r>
      <w:r>
        <w:rPr>
          <w:rFonts w:hint="eastAsia"/>
        </w:rPr>
        <w:t>。</w:t>
      </w:r>
    </w:p>
    <w:p>
      <w:pPr>
        <w:bidi w:val="0"/>
        <w:rPr>
          <w:rFonts w:hint="eastAsia"/>
          <w:b/>
          <w:bCs/>
        </w:rPr>
      </w:pPr>
      <w:r>
        <w:rPr>
          <w:rFonts w:hint="eastAsia"/>
          <w:b/>
          <w:bCs/>
        </w:rPr>
        <w:t>（</w:t>
      </w:r>
      <w:r>
        <w:rPr>
          <w:rFonts w:hint="default"/>
          <w:b/>
          <w:bCs/>
        </w:rPr>
        <w:t>2</w:t>
      </w:r>
      <w:r>
        <w:rPr>
          <w:rFonts w:hint="eastAsia"/>
          <w:b/>
          <w:bCs/>
        </w:rPr>
        <w:t>）地下水</w:t>
      </w:r>
    </w:p>
    <w:p>
      <w:pPr>
        <w:bidi w:val="0"/>
        <w:rPr>
          <w:rFonts w:hint="eastAsia"/>
        </w:rPr>
      </w:pPr>
      <w:r>
        <w:rPr>
          <w:rFonts w:hint="eastAsia"/>
        </w:rPr>
        <w:t>根据分析，本项目在采取相应的工程防渗措施和管理措施后，对地下水环境影响较小。</w:t>
      </w:r>
    </w:p>
    <w:p>
      <w:pPr>
        <w:bidi w:val="0"/>
        <w:rPr>
          <w:rFonts w:hint="eastAsia"/>
          <w:b/>
          <w:bCs/>
        </w:rPr>
      </w:pPr>
      <w:r>
        <w:rPr>
          <w:rFonts w:hint="eastAsia"/>
          <w:b/>
          <w:bCs/>
        </w:rPr>
        <w:t>（</w:t>
      </w:r>
      <w:r>
        <w:rPr>
          <w:rFonts w:hint="default"/>
          <w:b/>
          <w:bCs/>
        </w:rPr>
        <w:t>3</w:t>
      </w:r>
      <w:r>
        <w:rPr>
          <w:rFonts w:hint="eastAsia"/>
          <w:b/>
          <w:bCs/>
        </w:rPr>
        <w:t>）大气</w:t>
      </w:r>
    </w:p>
    <w:p>
      <w:pPr>
        <w:bidi w:val="0"/>
        <w:rPr>
          <w:rFonts w:hint="eastAsia"/>
        </w:rPr>
      </w:pPr>
      <w:r>
        <w:rPr>
          <w:rFonts w:hint="eastAsia"/>
        </w:rPr>
        <w:t>根据分析，项目产生的废气均得到有效治理，能够做到达标排放，对评价范围内的大气环境影响较小，不会改变评价范围内的大气环境功能，不会对评价范围内的保护目标造成明显不利影响。</w:t>
      </w:r>
    </w:p>
    <w:p>
      <w:pPr>
        <w:bidi w:val="0"/>
        <w:rPr>
          <w:rFonts w:hint="eastAsia"/>
          <w:b/>
          <w:bCs/>
        </w:rPr>
      </w:pPr>
      <w:r>
        <w:rPr>
          <w:rFonts w:hint="eastAsia"/>
          <w:b/>
          <w:bCs/>
        </w:rPr>
        <w:t>（</w:t>
      </w:r>
      <w:r>
        <w:rPr>
          <w:rFonts w:hint="default"/>
          <w:b/>
          <w:bCs/>
        </w:rPr>
        <w:t>4</w:t>
      </w:r>
      <w:r>
        <w:rPr>
          <w:rFonts w:hint="eastAsia"/>
          <w:b/>
          <w:bCs/>
        </w:rPr>
        <w:t>）噪声</w:t>
      </w:r>
    </w:p>
    <w:p>
      <w:pPr>
        <w:bidi w:val="0"/>
        <w:rPr>
          <w:rFonts w:hint="eastAsia"/>
          <w:lang w:val="en-US" w:eastAsia="zh-CN"/>
        </w:rPr>
      </w:pPr>
      <w:r>
        <w:rPr>
          <w:rFonts w:hint="eastAsia"/>
        </w:rPr>
        <w:t>本项目噪声源经过采取降噪措施后，通过距离衰减，各厂界贡献值昼间、夜间噪声贡献值分别小于</w:t>
      </w:r>
      <w:r>
        <w:rPr>
          <w:rFonts w:hint="default"/>
        </w:rPr>
        <w:t>60dB</w:t>
      </w:r>
      <w:r>
        <w:rPr>
          <w:rFonts w:hint="eastAsia"/>
          <w:lang w:eastAsia="zh-CN"/>
        </w:rPr>
        <w:t>（</w:t>
      </w:r>
      <w:r>
        <w:rPr>
          <w:rFonts w:hint="default"/>
        </w:rPr>
        <w:t>A</w:t>
      </w:r>
      <w:r>
        <w:rPr>
          <w:rFonts w:hint="eastAsia"/>
          <w:lang w:eastAsia="zh-CN"/>
        </w:rPr>
        <w:t>）</w:t>
      </w:r>
      <w:r>
        <w:rPr>
          <w:rFonts w:hint="eastAsia"/>
        </w:rPr>
        <w:t>、</w:t>
      </w:r>
      <w:r>
        <w:rPr>
          <w:rFonts w:hint="default"/>
        </w:rPr>
        <w:t>50dB</w:t>
      </w:r>
      <w:r>
        <w:rPr>
          <w:rFonts w:hint="eastAsia"/>
          <w:lang w:eastAsia="zh-CN"/>
        </w:rPr>
        <w:t>（</w:t>
      </w:r>
      <w:r>
        <w:rPr>
          <w:rFonts w:hint="default"/>
        </w:rPr>
        <w:t>A</w:t>
      </w:r>
      <w:r>
        <w:rPr>
          <w:rFonts w:hint="eastAsia"/>
          <w:lang w:eastAsia="zh-CN"/>
        </w:rPr>
        <w:t>）</w:t>
      </w:r>
      <w:r>
        <w:rPr>
          <w:rFonts w:hint="eastAsia"/>
        </w:rPr>
        <w:t>，满足《工业企业厂界环境噪声排放标准》（</w:t>
      </w:r>
      <w:r>
        <w:rPr>
          <w:rFonts w:hint="default"/>
        </w:rPr>
        <w:t>GB12348-2008</w:t>
      </w:r>
      <w:r>
        <w:rPr>
          <w:rFonts w:hint="eastAsia"/>
        </w:rPr>
        <w:t>）</w:t>
      </w:r>
      <w:r>
        <w:rPr>
          <w:rFonts w:hint="default"/>
        </w:rPr>
        <w:t>2</w:t>
      </w:r>
      <w:r>
        <w:rPr>
          <w:rFonts w:hint="eastAsia"/>
        </w:rPr>
        <w:t>类标准。可见本项目噪声源经过采取降噪措施后，通过距离衰减，对厂界噪声贡献较小。</w:t>
      </w:r>
    </w:p>
    <w:p>
      <w:pPr>
        <w:bidi w:val="0"/>
        <w:rPr>
          <w:rFonts w:hint="eastAsia"/>
          <w:b/>
          <w:bCs/>
        </w:rPr>
      </w:pPr>
      <w:r>
        <w:rPr>
          <w:rFonts w:hint="eastAsia"/>
          <w:b/>
          <w:bCs/>
        </w:rPr>
        <w:t>（</w:t>
      </w:r>
      <w:r>
        <w:rPr>
          <w:rFonts w:hint="default"/>
          <w:b/>
          <w:bCs/>
        </w:rPr>
        <w:t>5</w:t>
      </w:r>
      <w:r>
        <w:rPr>
          <w:rFonts w:hint="eastAsia"/>
          <w:b/>
          <w:bCs/>
        </w:rPr>
        <w:t>）固废</w:t>
      </w:r>
    </w:p>
    <w:p>
      <w:pPr>
        <w:bidi w:val="0"/>
        <w:rPr>
          <w:rFonts w:hint="eastAsia"/>
          <w:lang w:val="en-US" w:eastAsia="zh-CN"/>
        </w:rPr>
      </w:pPr>
      <w:r>
        <w:rPr>
          <w:rFonts w:hint="eastAsia"/>
        </w:rPr>
        <w:t>项目产生的固废均能得到妥善处理，不会对周围环境造成二次污染。</w:t>
      </w:r>
    </w:p>
    <w:p>
      <w:pPr>
        <w:pStyle w:val="5"/>
        <w:bidi w:val="0"/>
        <w:rPr>
          <w:rFonts w:hint="default"/>
          <w:lang w:val="en-US" w:eastAsia="zh-CN"/>
        </w:rPr>
      </w:pPr>
      <w:r>
        <w:rPr>
          <w:rFonts w:hint="eastAsia"/>
          <w:lang w:val="en-US" w:eastAsia="zh-CN"/>
        </w:rPr>
        <w:t>环境影响可行性结论</w:t>
      </w:r>
    </w:p>
    <w:p>
      <w:pPr>
        <w:bidi w:val="0"/>
        <w:rPr>
          <w:rFonts w:hint="eastAsia"/>
          <w:lang w:val="en-US" w:eastAsia="zh-CN"/>
        </w:rPr>
      </w:pPr>
      <w:r>
        <w:rPr>
          <w:rFonts w:hint="eastAsia"/>
          <w:lang w:val="en-US" w:eastAsia="zh-CN"/>
        </w:rPr>
        <w:t>平昌乐顺食品有限公司</w:t>
      </w:r>
      <w:r>
        <w:rPr>
          <w:rFonts w:hint="eastAsia"/>
        </w:rPr>
        <w:t>拟建的平昌县乐顺现代牲畜屠宰冷链物流一体化建设项目选址于</w:t>
      </w:r>
      <w:r>
        <w:rPr>
          <w:rFonts w:hint="eastAsia"/>
          <w:lang w:val="en-US" w:eastAsia="zh-CN"/>
        </w:rPr>
        <w:t>巴中市平昌县响滩镇</w:t>
      </w:r>
      <w:r>
        <w:rPr>
          <w:rFonts w:hint="eastAsia"/>
        </w:rPr>
        <w:t>，项目建设符合国家当前产业政策；选址符合当地规划；项目运营过程中尽管其生产不可避免产生一定量的废水、废气、噪声和固体废物，但与之配套的环保设施比较完善，治理方案选择合理，只要认真加强管理、落实环保措施，能满足国家和地方环境保护法规和标准要求。在贯彻落实本环境影响报告书各项环境保护措施的前提下，从环境影响的角度而言，本项目在</w:t>
      </w:r>
      <w:r>
        <w:rPr>
          <w:rFonts w:hint="eastAsia"/>
          <w:lang w:val="en-US" w:eastAsia="zh-CN"/>
        </w:rPr>
        <w:t>巴中市平昌县响滩镇</w:t>
      </w:r>
      <w:r>
        <w:rPr>
          <w:rFonts w:hint="eastAsia"/>
        </w:rPr>
        <w:t>建设是可行的。</w:t>
      </w:r>
    </w:p>
    <w:p>
      <w:pPr>
        <w:pStyle w:val="4"/>
        <w:bidi w:val="0"/>
        <w:rPr>
          <w:rFonts w:hint="eastAsia"/>
        </w:rPr>
      </w:pPr>
      <w:bookmarkStart w:id="76" w:name="_Toc20957"/>
      <w:r>
        <w:rPr>
          <w:rFonts w:hint="eastAsia"/>
        </w:rPr>
        <w:t>环境保护对策建议</w:t>
      </w:r>
      <w:bookmarkEnd w:id="76"/>
    </w:p>
    <w:p>
      <w:pPr>
        <w:bidi w:val="0"/>
        <w:rPr>
          <w:rFonts w:hint="eastAsia"/>
        </w:rPr>
      </w:pPr>
      <w:r>
        <w:rPr>
          <w:rFonts w:hint="eastAsia"/>
        </w:rPr>
        <w:t>（</w:t>
      </w:r>
      <w:r>
        <w:rPr>
          <w:rFonts w:hint="default"/>
        </w:rPr>
        <w:t>1</w:t>
      </w:r>
      <w:r>
        <w:rPr>
          <w:rFonts w:hint="eastAsia"/>
        </w:rPr>
        <w:t>）项目在建设过程中应确保足够的环保资金，以实施污染物治理措施，做好建设项目的</w:t>
      </w:r>
      <w:r>
        <w:rPr>
          <w:rFonts w:hint="eastAsia"/>
          <w:lang w:eastAsia="zh-CN"/>
        </w:rPr>
        <w:t>“</w:t>
      </w:r>
      <w:r>
        <w:rPr>
          <w:rFonts w:hint="eastAsia"/>
        </w:rPr>
        <w:t>三同时</w:t>
      </w:r>
      <w:r>
        <w:rPr>
          <w:rFonts w:hint="eastAsia"/>
          <w:lang w:eastAsia="zh-CN"/>
        </w:rPr>
        <w:t>”</w:t>
      </w:r>
      <w:r>
        <w:rPr>
          <w:rFonts w:hint="eastAsia"/>
        </w:rPr>
        <w:t>工作。</w:t>
      </w:r>
    </w:p>
    <w:p>
      <w:pPr>
        <w:bidi w:val="0"/>
        <w:rPr>
          <w:rFonts w:hint="eastAsia"/>
        </w:rPr>
      </w:pPr>
      <w:r>
        <w:rPr>
          <w:rFonts w:hint="eastAsia"/>
        </w:rPr>
        <w:t>（</w:t>
      </w:r>
      <w:r>
        <w:rPr>
          <w:rFonts w:hint="default"/>
        </w:rPr>
        <w:t>2</w:t>
      </w:r>
      <w:r>
        <w:rPr>
          <w:rFonts w:hint="eastAsia"/>
        </w:rPr>
        <w:t>）认真贯彻执行国家和地方的各项环保法规和方针政策，建立一套完善的</w:t>
      </w:r>
      <w:r>
        <w:rPr>
          <w:rFonts w:hint="eastAsia"/>
          <w:lang w:eastAsia="zh-CN"/>
        </w:rPr>
        <w:t>“</w:t>
      </w:r>
      <w:r>
        <w:rPr>
          <w:rFonts w:hint="eastAsia"/>
        </w:rPr>
        <w:t>环境管理手册</w:t>
      </w:r>
      <w:r>
        <w:rPr>
          <w:rFonts w:hint="eastAsia"/>
          <w:lang w:eastAsia="zh-CN"/>
        </w:rPr>
        <w:t>”</w:t>
      </w:r>
      <w:r>
        <w:rPr>
          <w:rFonts w:hint="eastAsia"/>
        </w:rPr>
        <w:t>，落实环境管理规章制度，强化管理，确定专门的环境管理人员，落实专人负责环保处理设施的运行和维护，接受当地环保部门的监督和管理。在当地环保部门的指导下，定期对污染物进行监测，并建立污染物管理档案。</w:t>
      </w:r>
    </w:p>
    <w:p>
      <w:pPr>
        <w:bidi w:val="0"/>
        <w:rPr>
          <w:rFonts w:hint="eastAsia"/>
        </w:rPr>
      </w:pPr>
      <w:r>
        <w:rPr>
          <w:rFonts w:hint="eastAsia"/>
        </w:rPr>
        <w:t>（</w:t>
      </w:r>
      <w:r>
        <w:rPr>
          <w:rFonts w:hint="default"/>
        </w:rPr>
        <w:t>3</w:t>
      </w:r>
      <w:r>
        <w:rPr>
          <w:rFonts w:hint="eastAsia"/>
        </w:rPr>
        <w:t>）公司在生产过程中，应严格按照国家有关危险废物管理和处置的规定，加强对固废的分类收集和管理工作；在储存和运输过程中，严防中途泄漏，并定期对危险废物处置情况的回访，确保不对周围环境造成二次污染。</w:t>
      </w:r>
    </w:p>
    <w:p>
      <w:pPr>
        <w:bidi w:val="0"/>
        <w:rPr>
          <w:rFonts w:hint="eastAsia"/>
        </w:rPr>
      </w:pPr>
      <w:r>
        <w:rPr>
          <w:rFonts w:hint="eastAsia"/>
        </w:rPr>
        <w:t>（</w:t>
      </w:r>
      <w:r>
        <w:rPr>
          <w:rFonts w:hint="default"/>
        </w:rPr>
        <w:t>4</w:t>
      </w:r>
      <w:r>
        <w:rPr>
          <w:rFonts w:hint="eastAsia"/>
        </w:rPr>
        <w:t>）按国家《清洁生产促进法》的规定，建立有效的环境管理体系，提高企业管理水平，从产品设计、产品生产、商品流通和商品使用的各个环节，从新产品的原材料、技术装备、工艺流程、废物排放和废物处置的各个方面，进行</w:t>
      </w:r>
      <w:r>
        <w:rPr>
          <w:rFonts w:hint="eastAsia"/>
          <w:lang w:eastAsia="zh-CN"/>
        </w:rPr>
        <w:t>“</w:t>
      </w:r>
      <w:r>
        <w:rPr>
          <w:rFonts w:hint="eastAsia"/>
        </w:rPr>
        <w:t>全过程控制</w:t>
      </w:r>
      <w:r>
        <w:rPr>
          <w:rFonts w:hint="eastAsia"/>
          <w:lang w:eastAsia="zh-CN"/>
        </w:rPr>
        <w:t>”</w:t>
      </w:r>
      <w:r>
        <w:rPr>
          <w:rFonts w:hint="eastAsia"/>
        </w:rPr>
        <w:t>，进一步全面提高清洁生产水平，减少原材料消耗，降低能耗，降低生产成本，减少污染物排放。</w:t>
      </w:r>
    </w:p>
    <w:p>
      <w:pPr>
        <w:bidi w:val="0"/>
        <w:rPr>
          <w:rFonts w:hint="eastAsia"/>
          <w:lang w:val="en-US" w:eastAsia="zh-CN"/>
        </w:rPr>
      </w:pPr>
      <w:r>
        <w:rPr>
          <w:rFonts w:hint="eastAsia"/>
        </w:rPr>
        <w:t>（</w:t>
      </w:r>
      <w:r>
        <w:rPr>
          <w:rFonts w:hint="default"/>
        </w:rPr>
        <w:t>5</w:t>
      </w:r>
      <w:r>
        <w:rPr>
          <w:rFonts w:hint="eastAsia"/>
        </w:rPr>
        <w:t>）项目建成运营一定时间后，建设单位须按照《建设项目环境影响后评价管理办法（试行）》（</w:t>
      </w:r>
      <w:bookmarkStart w:id="77" w:name="_GoBack"/>
      <w:r>
        <w:rPr>
          <w:rFonts w:hint="eastAsia"/>
        </w:rPr>
        <w:t>环境保护</w:t>
      </w:r>
      <w:bookmarkEnd w:id="77"/>
      <w:r>
        <w:rPr>
          <w:rFonts w:hint="eastAsia"/>
        </w:rPr>
        <w:t>部令第</w:t>
      </w:r>
      <w:r>
        <w:rPr>
          <w:rFonts w:hint="default"/>
        </w:rPr>
        <w:t>37</w:t>
      </w:r>
      <w:r>
        <w:rPr>
          <w:rFonts w:hint="eastAsia"/>
        </w:rPr>
        <w:t>号）积极开展环境影响后评价工作。</w:t>
      </w:r>
    </w:p>
    <w:p>
      <w:pPr>
        <w:rPr>
          <w:rFonts w:hint="eastAsia"/>
          <w:lang w:val="en-US" w:eastAsia="zh-CN"/>
        </w:rPr>
      </w:pPr>
    </w:p>
    <w:p>
      <w:pPr>
        <w:rPr>
          <w:rFonts w:hint="default"/>
          <w:lang w:val="en-US" w:eastAsia="zh-CN"/>
        </w:rPr>
      </w:pPr>
    </w:p>
    <w:sectPr>
      <w:pgSz w:w="12240" w:h="15840"/>
      <w:pgMar w:top="1440" w:right="1417" w:bottom="1440" w:left="1417" w:header="720" w:footer="720" w:gutter="0"/>
      <w:pgBorders>
        <w:top w:val="none" w:sz="0" w:space="0"/>
        <w:left w:val="none" w:sz="0" w:space="0"/>
        <w:bottom w:val="none" w:sz="0" w:space="0"/>
        <w:right w:val="none" w:sz="0" w:space="0"/>
      </w:pgBorders>
      <w:lnNumType w:countBy="0" w:distance="36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Ti">
    <w:altName w:val="Times New Roman"/>
    <w:panose1 w:val="00000000000000000000"/>
    <w:charset w:val="00"/>
    <w:family w:val="roman"/>
    <w:pitch w:val="default"/>
    <w:sig w:usb0="00000000" w:usb1="00000000" w:usb2="00000000" w:usb3="00000000" w:csb0="00040001" w:csb1="00000000"/>
  </w:font>
  <w:font w:name="FZXBSJW--GB1-0">
    <w:altName w:val="宋体"/>
    <w:panose1 w:val="00000000000000000000"/>
    <w:charset w:val="86"/>
    <w:family w:val="auto"/>
    <w:pitch w:val="default"/>
    <w:sig w:usb0="00000000" w:usb1="00000000" w:usb2="00000000" w:usb3="00000000" w:csb0="00040000" w:csb1="00000000"/>
  </w:font>
  <w:font w:name="TimesNewRomanPSMT">
    <w:altName w:val="Times New Roman"/>
    <w:panose1 w:val="00000000000000000000"/>
    <w:charset w:val="80"/>
    <w:family w:val="auto"/>
    <w:pitch w:val="default"/>
    <w:sig w:usb0="00000000" w:usb1="00000000" w:usb2="00000000" w:usb3="00000000" w:csb0="00020000" w:csb1="00000000"/>
  </w:font>
  <w:font w:name="Cambria Math">
    <w:panose1 w:val="02040503050406030204"/>
    <w:charset w:val="00"/>
    <w:family w:val="auto"/>
    <w:pitch w:val="default"/>
    <w:sig w:usb0="E00002FF" w:usb1="420024FF" w:usb2="00000000" w:usb3="00000000" w:csb0="2000019F" w:csb1="00000000"/>
  </w:font>
  <w:font w:name="CambriaMath">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86B7"/>
    <w:multiLevelType w:val="singleLevel"/>
    <w:tmpl w:val="C54386B7"/>
    <w:lvl w:ilvl="0" w:tentative="0">
      <w:start w:val="1"/>
      <w:numFmt w:val="decimal"/>
      <w:suff w:val="nothing"/>
      <w:lvlText w:val="%1、"/>
      <w:lvlJc w:val="left"/>
    </w:lvl>
  </w:abstractNum>
  <w:abstractNum w:abstractNumId="1">
    <w:nsid w:val="CBBEE6FE"/>
    <w:multiLevelType w:val="singleLevel"/>
    <w:tmpl w:val="CBBEE6FE"/>
    <w:lvl w:ilvl="0" w:tentative="0">
      <w:start w:val="1"/>
      <w:numFmt w:val="decimal"/>
      <w:suff w:val="nothing"/>
      <w:lvlText w:val="（%1）"/>
      <w:lvlJc w:val="left"/>
    </w:lvl>
  </w:abstractNum>
  <w:abstractNum w:abstractNumId="2">
    <w:nsid w:val="D6B7818C"/>
    <w:multiLevelType w:val="singleLevel"/>
    <w:tmpl w:val="D6B7818C"/>
    <w:lvl w:ilvl="0" w:tentative="0">
      <w:start w:val="3"/>
      <w:numFmt w:val="decimal"/>
      <w:suff w:val="nothing"/>
      <w:lvlText w:val="%1）"/>
      <w:lvlJc w:val="left"/>
    </w:lvl>
  </w:abstractNum>
  <w:abstractNum w:abstractNumId="3">
    <w:nsid w:val="E92D670F"/>
    <w:multiLevelType w:val="singleLevel"/>
    <w:tmpl w:val="E92D670F"/>
    <w:lvl w:ilvl="0" w:tentative="0">
      <w:start w:val="1"/>
      <w:numFmt w:val="decimal"/>
      <w:suff w:val="nothing"/>
      <w:lvlText w:val="（%1）"/>
      <w:lvlJc w:val="left"/>
    </w:lvl>
  </w:abstractNum>
  <w:abstractNum w:abstractNumId="4">
    <w:nsid w:val="05BFC406"/>
    <w:multiLevelType w:val="singleLevel"/>
    <w:tmpl w:val="05BFC406"/>
    <w:lvl w:ilvl="0" w:tentative="0">
      <w:start w:val="1"/>
      <w:numFmt w:val="decimal"/>
      <w:suff w:val="nothing"/>
      <w:lvlText w:val="%1、"/>
      <w:lvlJc w:val="left"/>
    </w:lvl>
  </w:abstractNum>
  <w:abstractNum w:abstractNumId="5">
    <w:nsid w:val="08F9C5E3"/>
    <w:multiLevelType w:val="singleLevel"/>
    <w:tmpl w:val="08F9C5E3"/>
    <w:lvl w:ilvl="0" w:tentative="0">
      <w:start w:val="1"/>
      <w:numFmt w:val="decimal"/>
      <w:suff w:val="nothing"/>
      <w:lvlText w:val="（%1）"/>
      <w:lvlJc w:val="left"/>
    </w:lvl>
  </w:abstractNum>
  <w:abstractNum w:abstractNumId="6">
    <w:nsid w:val="24D3604A"/>
    <w:multiLevelType w:val="singleLevel"/>
    <w:tmpl w:val="24D3604A"/>
    <w:lvl w:ilvl="0" w:tentative="0">
      <w:start w:val="1"/>
      <w:numFmt w:val="decimal"/>
      <w:suff w:val="nothing"/>
      <w:lvlText w:val="%1、"/>
      <w:lvlJc w:val="left"/>
    </w:lvl>
  </w:abstractNum>
  <w:abstractNum w:abstractNumId="7">
    <w:nsid w:val="50E41964"/>
    <w:multiLevelType w:val="singleLevel"/>
    <w:tmpl w:val="50E41964"/>
    <w:lvl w:ilvl="0" w:tentative="0">
      <w:start w:val="1"/>
      <w:numFmt w:val="decimal"/>
      <w:suff w:val="nothing"/>
      <w:lvlText w:val="%1、"/>
      <w:lvlJc w:val="left"/>
    </w:lvl>
  </w:abstractNum>
  <w:abstractNum w:abstractNumId="8">
    <w:nsid w:val="6E30574A"/>
    <w:multiLevelType w:val="multilevel"/>
    <w:tmpl w:val="6E30574A"/>
    <w:lvl w:ilvl="0" w:tentative="0">
      <w:start w:val="1"/>
      <w:numFmt w:val="decimal"/>
      <w:pStyle w:val="3"/>
      <w:suff w:val="space"/>
      <w:lvlText w:val="%1"/>
      <w:lvlJc w:val="center"/>
      <w:pPr>
        <w:tabs>
          <w:tab w:val="left" w:pos="0"/>
        </w:tabs>
        <w:ind w:left="432" w:hanging="432"/>
      </w:pPr>
      <w:rPr>
        <w:rFonts w:hint="default" w:ascii="Times New Roman" w:hAnsi="Times New Roman" w:eastAsia="宋体" w:cs="宋体"/>
        <w:b/>
        <w:sz w:val="32"/>
        <w:szCs w:val="32"/>
      </w:rPr>
    </w:lvl>
    <w:lvl w:ilvl="1" w:tentative="0">
      <w:start w:val="1"/>
      <w:numFmt w:val="decimal"/>
      <w:pStyle w:val="4"/>
      <w:isLgl/>
      <w:suff w:val="space"/>
      <w:lvlText w:val="%1.%2"/>
      <w:lvlJc w:val="left"/>
      <w:pPr>
        <w:tabs>
          <w:tab w:val="left" w:pos="420"/>
        </w:tabs>
        <w:ind w:left="0" w:leftChars="0" w:firstLine="0" w:firstLineChars="0"/>
      </w:pPr>
      <w:rPr>
        <w:rFonts w:hint="default" w:ascii="Times New Roman" w:hAnsi="Times New Roman" w:eastAsia="宋体" w:cs="宋体"/>
        <w:szCs w:val="24"/>
      </w:rPr>
    </w:lvl>
    <w:lvl w:ilvl="2" w:tentative="0">
      <w:start w:val="1"/>
      <w:numFmt w:val="decimal"/>
      <w:pStyle w:val="5"/>
      <w:isLgl/>
      <w:suff w:val="space"/>
      <w:lvlText w:val="%1.%2.%3"/>
      <w:lvlJc w:val="left"/>
      <w:pPr>
        <w:tabs>
          <w:tab w:val="left" w:pos="0"/>
        </w:tabs>
        <w:ind w:left="720" w:hanging="439"/>
      </w:pPr>
      <w:rPr>
        <w:rFonts w:hint="default" w:ascii="Times New Roman" w:hAnsi="Times New Roman" w:eastAsia="宋体" w:cs="宋体"/>
        <w:b/>
        <w:bCs/>
        <w:szCs w:val="24"/>
      </w:rPr>
    </w:lvl>
    <w:lvl w:ilvl="3" w:tentative="0">
      <w:start w:val="1"/>
      <w:numFmt w:val="decimal"/>
      <w:pStyle w:val="6"/>
      <w:isLgl/>
      <w:suff w:val="space"/>
      <w:lvlText w:val="%1.%2.%3.%4"/>
      <w:lvlJc w:val="left"/>
      <w:pPr>
        <w:tabs>
          <w:tab w:val="left" w:pos="420"/>
        </w:tabs>
        <w:ind w:left="864" w:hanging="297"/>
      </w:pPr>
      <w:rPr>
        <w:rFonts w:hint="default" w:ascii="Times New Roman" w:hAnsi="Times New Roman" w:eastAsia="宋体" w:cs="宋体"/>
        <w:b/>
        <w:szCs w:val="24"/>
      </w:rPr>
    </w:lvl>
    <w:lvl w:ilvl="4" w:tentative="0">
      <w:start w:val="1"/>
      <w:numFmt w:val="decimal"/>
      <w:pStyle w:val="7"/>
      <w:isLgl/>
      <w:suff w:val="space"/>
      <w:lvlText w:val="%1.%2.%3.%4.%5"/>
      <w:lvlJc w:val="left"/>
      <w:pPr>
        <w:tabs>
          <w:tab w:val="left" w:pos="420"/>
        </w:tabs>
        <w:ind w:left="1008" w:firstLine="693"/>
      </w:pPr>
      <w:rPr>
        <w:rFonts w:hint="eastAsia" w:ascii="宋体" w:hAnsi="宋体" w:eastAsia="宋体" w:cs="宋体"/>
        <w:b/>
        <w:szCs w:val="24"/>
      </w:rPr>
    </w:lvl>
    <w:lvl w:ilvl="5" w:tentative="0">
      <w:start w:val="1"/>
      <w:numFmt w:val="decimal"/>
      <w:pStyle w:val="8"/>
      <w:isLgl/>
      <w:lvlText w:val="%1.%2.%3.%4.%5.%6."/>
      <w:lvlJc w:val="left"/>
      <w:pPr>
        <w:ind w:left="1151" w:hanging="1151"/>
      </w:pPr>
      <w:rPr>
        <w:rFonts w:hint="eastAsia"/>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abstractNum w:abstractNumId="9">
    <w:nsid w:val="7B9E37D1"/>
    <w:multiLevelType w:val="singleLevel"/>
    <w:tmpl w:val="7B9E37D1"/>
    <w:lvl w:ilvl="0" w:tentative="0">
      <w:start w:val="1"/>
      <w:numFmt w:val="decimal"/>
      <w:suff w:val="nothing"/>
      <w:lvlText w:val="（%1）"/>
      <w:lvlJc w:val="left"/>
    </w:lvl>
  </w:abstractNum>
  <w:num w:numId="1">
    <w:abstractNumId w:val="8"/>
  </w:num>
  <w:num w:numId="2">
    <w:abstractNumId w:val="3"/>
  </w:num>
  <w:num w:numId="3">
    <w:abstractNumId w:val="1"/>
  </w:num>
  <w:num w:numId="4">
    <w:abstractNumId w:val="7"/>
  </w:num>
  <w:num w:numId="5">
    <w:abstractNumId w:val="0"/>
  </w:num>
  <w:num w:numId="6">
    <w:abstractNumId w:val="6"/>
  </w:num>
  <w:num w:numId="7">
    <w:abstractNumId w:val="4"/>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43AF7"/>
    <w:rsid w:val="008C6150"/>
    <w:rsid w:val="008D5925"/>
    <w:rsid w:val="01896218"/>
    <w:rsid w:val="031B24CA"/>
    <w:rsid w:val="03446C54"/>
    <w:rsid w:val="036D3CCA"/>
    <w:rsid w:val="05070F97"/>
    <w:rsid w:val="05504C1A"/>
    <w:rsid w:val="05AE466E"/>
    <w:rsid w:val="05D21E8D"/>
    <w:rsid w:val="06617F58"/>
    <w:rsid w:val="07A57644"/>
    <w:rsid w:val="0818460C"/>
    <w:rsid w:val="08234629"/>
    <w:rsid w:val="083D3249"/>
    <w:rsid w:val="08C22947"/>
    <w:rsid w:val="08D42EDE"/>
    <w:rsid w:val="09E07FAD"/>
    <w:rsid w:val="0A2E4808"/>
    <w:rsid w:val="0B40131B"/>
    <w:rsid w:val="0EBA0424"/>
    <w:rsid w:val="0F6A7D2B"/>
    <w:rsid w:val="0F902076"/>
    <w:rsid w:val="0FEB5D1F"/>
    <w:rsid w:val="11394A8C"/>
    <w:rsid w:val="11AB01DF"/>
    <w:rsid w:val="11CA618E"/>
    <w:rsid w:val="11E52AC5"/>
    <w:rsid w:val="121648EA"/>
    <w:rsid w:val="126B4D85"/>
    <w:rsid w:val="12C32316"/>
    <w:rsid w:val="13B40A3F"/>
    <w:rsid w:val="14411BAE"/>
    <w:rsid w:val="146A7901"/>
    <w:rsid w:val="158909AE"/>
    <w:rsid w:val="16ED61AA"/>
    <w:rsid w:val="1715017B"/>
    <w:rsid w:val="17634499"/>
    <w:rsid w:val="17902D16"/>
    <w:rsid w:val="17B3580A"/>
    <w:rsid w:val="17C503CF"/>
    <w:rsid w:val="18654D43"/>
    <w:rsid w:val="198E5F6D"/>
    <w:rsid w:val="19C90B4F"/>
    <w:rsid w:val="19FE5D55"/>
    <w:rsid w:val="1A4578CD"/>
    <w:rsid w:val="1A6E12AA"/>
    <w:rsid w:val="1B995EC5"/>
    <w:rsid w:val="1BC63BF7"/>
    <w:rsid w:val="1BDB64B4"/>
    <w:rsid w:val="1D6C47A2"/>
    <w:rsid w:val="1DB37804"/>
    <w:rsid w:val="1E6536DC"/>
    <w:rsid w:val="1EA65835"/>
    <w:rsid w:val="1EED1156"/>
    <w:rsid w:val="1F094008"/>
    <w:rsid w:val="1F1F267B"/>
    <w:rsid w:val="1FD510B6"/>
    <w:rsid w:val="1FD8532C"/>
    <w:rsid w:val="20CA16C8"/>
    <w:rsid w:val="23171F14"/>
    <w:rsid w:val="234341BA"/>
    <w:rsid w:val="239517CE"/>
    <w:rsid w:val="23A50606"/>
    <w:rsid w:val="243136B7"/>
    <w:rsid w:val="2527056A"/>
    <w:rsid w:val="25372553"/>
    <w:rsid w:val="25426629"/>
    <w:rsid w:val="26167EA9"/>
    <w:rsid w:val="274773F3"/>
    <w:rsid w:val="2784047D"/>
    <w:rsid w:val="27850300"/>
    <w:rsid w:val="28AB6482"/>
    <w:rsid w:val="29061CFE"/>
    <w:rsid w:val="2914321B"/>
    <w:rsid w:val="291C0726"/>
    <w:rsid w:val="29465FD4"/>
    <w:rsid w:val="2AB930EB"/>
    <w:rsid w:val="2AEE36D7"/>
    <w:rsid w:val="2B51492B"/>
    <w:rsid w:val="2C264F60"/>
    <w:rsid w:val="2D481CBC"/>
    <w:rsid w:val="2D6056EC"/>
    <w:rsid w:val="2F250F00"/>
    <w:rsid w:val="2F6306A6"/>
    <w:rsid w:val="2F854501"/>
    <w:rsid w:val="30E94868"/>
    <w:rsid w:val="30EB74A3"/>
    <w:rsid w:val="31276849"/>
    <w:rsid w:val="34790F6F"/>
    <w:rsid w:val="35505741"/>
    <w:rsid w:val="358153AB"/>
    <w:rsid w:val="35AE3F45"/>
    <w:rsid w:val="35D769B9"/>
    <w:rsid w:val="36883291"/>
    <w:rsid w:val="374F522B"/>
    <w:rsid w:val="379E3057"/>
    <w:rsid w:val="37C45154"/>
    <w:rsid w:val="38C903C8"/>
    <w:rsid w:val="39BE7EBA"/>
    <w:rsid w:val="39C63106"/>
    <w:rsid w:val="39EF2CAA"/>
    <w:rsid w:val="3A246410"/>
    <w:rsid w:val="3ACF787B"/>
    <w:rsid w:val="3DBF3A92"/>
    <w:rsid w:val="3DD5790B"/>
    <w:rsid w:val="3E513B60"/>
    <w:rsid w:val="41630901"/>
    <w:rsid w:val="41F50EC4"/>
    <w:rsid w:val="420324F5"/>
    <w:rsid w:val="4393617A"/>
    <w:rsid w:val="43D12EC3"/>
    <w:rsid w:val="440909F4"/>
    <w:rsid w:val="44415700"/>
    <w:rsid w:val="452F4EB6"/>
    <w:rsid w:val="45310999"/>
    <w:rsid w:val="45CC1863"/>
    <w:rsid w:val="46C67E9B"/>
    <w:rsid w:val="478C48C1"/>
    <w:rsid w:val="47A8359B"/>
    <w:rsid w:val="47B176A5"/>
    <w:rsid w:val="48066E0F"/>
    <w:rsid w:val="49332C07"/>
    <w:rsid w:val="493A430F"/>
    <w:rsid w:val="49460FE2"/>
    <w:rsid w:val="49B1147C"/>
    <w:rsid w:val="49F1501C"/>
    <w:rsid w:val="4A150474"/>
    <w:rsid w:val="4A8E5A52"/>
    <w:rsid w:val="4BEE5053"/>
    <w:rsid w:val="4C286BF6"/>
    <w:rsid w:val="4C8E481C"/>
    <w:rsid w:val="4C9C14F5"/>
    <w:rsid w:val="4D3E1944"/>
    <w:rsid w:val="4DD07CCB"/>
    <w:rsid w:val="4E2053D3"/>
    <w:rsid w:val="4EC11091"/>
    <w:rsid w:val="4ECF06FA"/>
    <w:rsid w:val="50F14D6F"/>
    <w:rsid w:val="50F64E3E"/>
    <w:rsid w:val="519673A3"/>
    <w:rsid w:val="55162664"/>
    <w:rsid w:val="557A3530"/>
    <w:rsid w:val="55C84A21"/>
    <w:rsid w:val="56C8569A"/>
    <w:rsid w:val="5750702D"/>
    <w:rsid w:val="57AD1534"/>
    <w:rsid w:val="580B06E8"/>
    <w:rsid w:val="5813523C"/>
    <w:rsid w:val="58565F7C"/>
    <w:rsid w:val="595C56D0"/>
    <w:rsid w:val="595C6A7D"/>
    <w:rsid w:val="5A9F59DF"/>
    <w:rsid w:val="5AA60261"/>
    <w:rsid w:val="5B1A59D8"/>
    <w:rsid w:val="5BB22495"/>
    <w:rsid w:val="5BC00CA7"/>
    <w:rsid w:val="5CAB1ED9"/>
    <w:rsid w:val="5EA27FC0"/>
    <w:rsid w:val="5EB620B4"/>
    <w:rsid w:val="5EC4153D"/>
    <w:rsid w:val="5ED97050"/>
    <w:rsid w:val="5FA83354"/>
    <w:rsid w:val="60197F7F"/>
    <w:rsid w:val="60944613"/>
    <w:rsid w:val="60AF79A7"/>
    <w:rsid w:val="61E8737F"/>
    <w:rsid w:val="62501848"/>
    <w:rsid w:val="62FC7990"/>
    <w:rsid w:val="63B80232"/>
    <w:rsid w:val="63E20BE0"/>
    <w:rsid w:val="63E243A2"/>
    <w:rsid w:val="63FD2A35"/>
    <w:rsid w:val="64663815"/>
    <w:rsid w:val="64E0332E"/>
    <w:rsid w:val="657A598B"/>
    <w:rsid w:val="661B7C73"/>
    <w:rsid w:val="66A5577A"/>
    <w:rsid w:val="66E45C9F"/>
    <w:rsid w:val="6702206D"/>
    <w:rsid w:val="67A32B3B"/>
    <w:rsid w:val="67B876E8"/>
    <w:rsid w:val="68CE673A"/>
    <w:rsid w:val="68FF0D26"/>
    <w:rsid w:val="69006AD9"/>
    <w:rsid w:val="69BE50B1"/>
    <w:rsid w:val="69EA7571"/>
    <w:rsid w:val="6A9A0DB9"/>
    <w:rsid w:val="6B6E2817"/>
    <w:rsid w:val="6C4C1F0F"/>
    <w:rsid w:val="6C7224AC"/>
    <w:rsid w:val="6D160F4B"/>
    <w:rsid w:val="6D19442B"/>
    <w:rsid w:val="6E587417"/>
    <w:rsid w:val="6ECB6C73"/>
    <w:rsid w:val="6FAB4440"/>
    <w:rsid w:val="701F57CE"/>
    <w:rsid w:val="704E7E3B"/>
    <w:rsid w:val="711C304E"/>
    <w:rsid w:val="71453F49"/>
    <w:rsid w:val="71DB390C"/>
    <w:rsid w:val="729E0484"/>
    <w:rsid w:val="72CA0D17"/>
    <w:rsid w:val="73306A3E"/>
    <w:rsid w:val="74143A56"/>
    <w:rsid w:val="746F2563"/>
    <w:rsid w:val="74A946D5"/>
    <w:rsid w:val="74C97264"/>
    <w:rsid w:val="74FC5C93"/>
    <w:rsid w:val="76B23889"/>
    <w:rsid w:val="76D93F56"/>
    <w:rsid w:val="77A60B3C"/>
    <w:rsid w:val="781E2A48"/>
    <w:rsid w:val="78203850"/>
    <w:rsid w:val="784D3F2B"/>
    <w:rsid w:val="78980E51"/>
    <w:rsid w:val="78C422CD"/>
    <w:rsid w:val="78D463E9"/>
    <w:rsid w:val="790572B0"/>
    <w:rsid w:val="79576399"/>
    <w:rsid w:val="79CA55C4"/>
    <w:rsid w:val="7A3C7E6A"/>
    <w:rsid w:val="7AED46FB"/>
    <w:rsid w:val="7B71501D"/>
    <w:rsid w:val="7B8408C2"/>
    <w:rsid w:val="7B8D642A"/>
    <w:rsid w:val="7C56760B"/>
    <w:rsid w:val="7CDC7852"/>
    <w:rsid w:val="7DE256C2"/>
    <w:rsid w:val="7EF3263E"/>
    <w:rsid w:val="7EF664CC"/>
    <w:rsid w:val="7F5325C5"/>
    <w:rsid w:val="7F7932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800" w:firstLineChars="200"/>
      <w:jc w:val="both"/>
    </w:pPr>
    <w:rPr>
      <w:rFonts w:ascii="Times New Roman" w:hAnsi="Times New Roman" w:eastAsia="宋体" w:cs="Times New Roman"/>
      <w:kern w:val="2"/>
      <w:sz w:val="24"/>
    </w:rPr>
  </w:style>
  <w:style w:type="paragraph" w:styleId="3">
    <w:name w:val="heading 1"/>
    <w:basedOn w:val="1"/>
    <w:next w:val="1"/>
    <w:link w:val="31"/>
    <w:qFormat/>
    <w:uiPriority w:val="0"/>
    <w:pPr>
      <w:keepNext/>
      <w:keepLines/>
      <w:numPr>
        <w:ilvl w:val="0"/>
        <w:numId w:val="1"/>
      </w:numPr>
      <w:spacing w:beforeLines="0" w:beforeAutospacing="0" w:afterLines="0" w:afterAutospacing="0" w:line="360" w:lineRule="auto"/>
      <w:ind w:hanging="432" w:firstLineChars="0"/>
      <w:jc w:val="center"/>
      <w:outlineLvl w:val="0"/>
    </w:pPr>
    <w:rPr>
      <w:rFonts w:ascii="Times New Roman" w:hAnsi="Times New Roman"/>
      <w:b/>
      <w:kern w:val="44"/>
      <w:sz w:val="32"/>
    </w:rPr>
  </w:style>
  <w:style w:type="paragraph" w:styleId="4">
    <w:name w:val="heading 2"/>
    <w:basedOn w:val="1"/>
    <w:next w:val="1"/>
    <w:unhideWhenUsed/>
    <w:qFormat/>
    <w:uiPriority w:val="0"/>
    <w:pPr>
      <w:keepNext/>
      <w:keepLines/>
      <w:numPr>
        <w:ilvl w:val="1"/>
        <w:numId w:val="1"/>
      </w:numPr>
      <w:spacing w:beforeLines="0" w:beforeAutospacing="0" w:afterLines="0" w:afterAutospacing="0" w:line="360" w:lineRule="auto"/>
      <w:ind w:left="0" w:firstLine="0" w:firstLineChars="0"/>
      <w:outlineLvl w:val="1"/>
    </w:pPr>
    <w:rPr>
      <w:rFonts w:ascii="Times New Roman" w:hAnsi="Times New Roman"/>
      <w:b/>
      <w:sz w:val="28"/>
    </w:rPr>
  </w:style>
  <w:style w:type="paragraph" w:styleId="5">
    <w:name w:val="heading 3"/>
    <w:basedOn w:val="1"/>
    <w:next w:val="2"/>
    <w:link w:val="26"/>
    <w:unhideWhenUsed/>
    <w:qFormat/>
    <w:uiPriority w:val="0"/>
    <w:pPr>
      <w:keepNext/>
      <w:keepLines/>
      <w:numPr>
        <w:ilvl w:val="2"/>
        <w:numId w:val="1"/>
      </w:numPr>
      <w:tabs>
        <w:tab w:val="left" w:pos="567"/>
        <w:tab w:val="clear" w:pos="0"/>
      </w:tabs>
      <w:spacing w:beforeLines="0" w:beforeAutospacing="0" w:afterLines="0" w:afterAutospacing="0" w:line="360" w:lineRule="auto"/>
      <w:ind w:left="720" w:hanging="439" w:firstLineChars="0"/>
      <w:outlineLvl w:val="2"/>
    </w:pPr>
    <w:rPr>
      <w:rFonts w:ascii="Times New Roman" w:hAnsi="Times New Roman"/>
      <w:b/>
    </w:rPr>
  </w:style>
  <w:style w:type="paragraph" w:styleId="6">
    <w:name w:val="heading 4"/>
    <w:basedOn w:val="1"/>
    <w:next w:val="1"/>
    <w:unhideWhenUsed/>
    <w:qFormat/>
    <w:uiPriority w:val="0"/>
    <w:pPr>
      <w:keepNext/>
      <w:keepLines/>
      <w:numPr>
        <w:ilvl w:val="3"/>
        <w:numId w:val="1"/>
      </w:numPr>
      <w:tabs>
        <w:tab w:val="left" w:pos="1134"/>
        <w:tab w:val="clear" w:pos="420"/>
      </w:tabs>
      <w:spacing w:beforeLines="0" w:beforeAutospacing="0" w:afterLines="0" w:afterAutospacing="0" w:line="360" w:lineRule="auto"/>
      <w:ind w:left="864" w:hanging="297" w:firstLineChars="0"/>
      <w:outlineLvl w:val="3"/>
    </w:pPr>
    <w:rPr>
      <w:rFonts w:ascii="Times New Roman" w:hAnsi="Times New Roman" w:eastAsia="宋体"/>
      <w:b/>
      <w:sz w:val="24"/>
    </w:rPr>
  </w:style>
  <w:style w:type="paragraph" w:styleId="7">
    <w:name w:val="heading 5"/>
    <w:basedOn w:val="1"/>
    <w:next w:val="1"/>
    <w:unhideWhenUsed/>
    <w:qFormat/>
    <w:uiPriority w:val="0"/>
    <w:pPr>
      <w:keepNext/>
      <w:keepLines/>
      <w:numPr>
        <w:ilvl w:val="4"/>
        <w:numId w:val="1"/>
      </w:numPr>
      <w:tabs>
        <w:tab w:val="left" w:pos="1701"/>
        <w:tab w:val="clear" w:pos="420"/>
      </w:tabs>
      <w:spacing w:before="280" w:beforeLines="0" w:beforeAutospacing="0" w:after="290" w:afterLines="0" w:afterAutospacing="0" w:line="372" w:lineRule="auto"/>
      <w:ind w:left="1008" w:firstLine="693" w:firstLineChars="0"/>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left="200" w:leftChars="200" w:firstLine="420" w:firstLineChars="0"/>
      <w:jc w:val="left"/>
    </w:pPr>
    <w:rPr>
      <w:sz w:val="21"/>
      <w:szCs w:val="20"/>
    </w:rPr>
  </w:style>
  <w:style w:type="paragraph" w:styleId="12">
    <w:name w:val="caption"/>
    <w:basedOn w:val="1"/>
    <w:next w:val="1"/>
    <w:qFormat/>
    <w:uiPriority w:val="0"/>
    <w:pPr>
      <w:jc w:val="right"/>
    </w:pPr>
    <w:rPr>
      <w:rFonts w:ascii="Times New Roman" w:hAnsi="Times New Roman" w:eastAsia="黑体"/>
      <w:sz w:val="20"/>
    </w:rPr>
  </w:style>
  <w:style w:type="paragraph" w:styleId="13">
    <w:name w:val="annotation text"/>
    <w:basedOn w:val="1"/>
    <w:qFormat/>
    <w:uiPriority w:val="0"/>
    <w:pPr>
      <w:jc w:val="left"/>
    </w:pPr>
  </w:style>
  <w:style w:type="paragraph" w:styleId="14">
    <w:name w:val="Body Text"/>
    <w:basedOn w:val="1"/>
    <w:next w:val="1"/>
    <w:qFormat/>
    <w:uiPriority w:val="0"/>
    <w:pPr>
      <w:spacing w:line="320" w:lineRule="exact"/>
    </w:pPr>
    <w:rPr>
      <w:rFonts w:ascii="宋体" w:hAnsi="宋体"/>
      <w:sz w:val="24"/>
    </w:rPr>
  </w:style>
  <w:style w:type="paragraph" w:styleId="15">
    <w:name w:val="Body Text Indent"/>
    <w:basedOn w:val="1"/>
    <w:next w:val="1"/>
    <w:qFormat/>
    <w:uiPriority w:val="0"/>
    <w:pPr>
      <w:spacing w:line="360" w:lineRule="auto"/>
      <w:ind w:firstLine="480" w:firstLineChars="200"/>
    </w:pPr>
    <w:rPr>
      <w:kern w:val="0"/>
    </w:rPr>
  </w:style>
  <w:style w:type="paragraph" w:styleId="16">
    <w:name w:val="Plain Text"/>
    <w:basedOn w:val="1"/>
    <w:qFormat/>
    <w:uiPriority w:val="0"/>
    <w:pPr>
      <w:tabs>
        <w:tab w:val="left" w:pos="4680"/>
      </w:tabs>
      <w:adjustRightInd w:val="0"/>
      <w:snapToGrid w:val="0"/>
      <w:jc w:val="center"/>
      <w:textAlignment w:val="baseline"/>
    </w:pPr>
    <w:rPr>
      <w:bCs/>
      <w:snapToGrid w:val="0"/>
      <w:kern w:val="0"/>
      <w:szCs w:val="20"/>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Normal (Web)"/>
    <w:basedOn w:val="1"/>
    <w:qFormat/>
    <w:uiPriority w:val="0"/>
    <w:pPr>
      <w:spacing w:before="0" w:beforeAutospacing="1" w:after="0" w:afterAutospacing="1"/>
      <w:ind w:left="0" w:right="0"/>
      <w:jc w:val="left"/>
    </w:pPr>
    <w:rPr>
      <w:kern w:val="0"/>
      <w:sz w:val="24"/>
      <w:lang w:val="en-US" w:eastAsia="zh-CN" w:bidi="ar"/>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qFormat/>
    <w:uiPriority w:val="0"/>
    <w:rPr>
      <w:color w:val="0000FF"/>
      <w:u w:val="single"/>
    </w:rPr>
  </w:style>
  <w:style w:type="character" w:customStyle="1" w:styleId="26">
    <w:name w:val="标题 3 Char"/>
    <w:link w:val="5"/>
    <w:qFormat/>
    <w:uiPriority w:val="0"/>
    <w:rPr>
      <w:rFonts w:ascii="Times New Roman" w:hAnsi="Times New Roman" w:eastAsia="宋体"/>
      <w:b/>
      <w:sz w:val="24"/>
    </w:rPr>
  </w:style>
  <w:style w:type="paragraph" w:customStyle="1" w:styleId="27">
    <w:name w:val="表格内"/>
    <w:basedOn w:val="1"/>
    <w:qFormat/>
    <w:uiPriority w:val="0"/>
    <w:pPr>
      <w:adjustRightInd w:val="0"/>
      <w:snapToGrid w:val="0"/>
      <w:spacing w:line="360" w:lineRule="exact"/>
      <w:jc w:val="center"/>
    </w:pPr>
    <w:rPr>
      <w:snapToGrid w:val="0"/>
      <w:kern w:val="0"/>
      <w:szCs w:val="21"/>
    </w:rPr>
  </w:style>
  <w:style w:type="paragraph" w:customStyle="1" w:styleId="28">
    <w:name w:val="章节"/>
    <w:basedOn w:val="1"/>
    <w:next w:val="3"/>
    <w:qFormat/>
    <w:uiPriority w:val="0"/>
    <w:pPr>
      <w:spacing w:after="50" w:afterLines="50"/>
      <w:ind w:firstLine="0" w:firstLineChars="0"/>
      <w:jc w:val="center"/>
    </w:pPr>
    <w:rPr>
      <w:b/>
      <w:sz w:val="32"/>
    </w:rPr>
  </w:style>
  <w:style w:type="paragraph" w:customStyle="1" w:styleId="29">
    <w:name w:val="小表头"/>
    <w:basedOn w:val="1"/>
    <w:next w:val="30"/>
    <w:link w:val="33"/>
    <w:qFormat/>
    <w:uiPriority w:val="0"/>
    <w:pPr>
      <w:spacing w:line="400" w:lineRule="atLeast"/>
      <w:ind w:firstLine="0" w:firstLineChars="0"/>
      <w:jc w:val="center"/>
    </w:pPr>
    <w:rPr>
      <w:rFonts w:ascii="Times New Roman" w:hAnsi="Times New Roman" w:eastAsia="宋体"/>
      <w:b/>
      <w:sz w:val="21"/>
    </w:rPr>
  </w:style>
  <w:style w:type="paragraph" w:customStyle="1" w:styleId="30">
    <w:name w:val="表格"/>
    <w:basedOn w:val="1"/>
    <w:link w:val="32"/>
    <w:qFormat/>
    <w:uiPriority w:val="0"/>
    <w:pPr>
      <w:spacing w:line="240" w:lineRule="auto"/>
      <w:ind w:firstLine="0" w:firstLineChars="0"/>
      <w:jc w:val="center"/>
    </w:pPr>
    <w:rPr>
      <w:rFonts w:ascii="Times New Roman" w:hAnsi="Times New Roman" w:eastAsia="宋体"/>
      <w:sz w:val="21"/>
    </w:rPr>
  </w:style>
  <w:style w:type="character" w:customStyle="1" w:styleId="31">
    <w:name w:val="标题 1 Char"/>
    <w:link w:val="3"/>
    <w:qFormat/>
    <w:uiPriority w:val="0"/>
    <w:rPr>
      <w:rFonts w:ascii="Times New Roman" w:hAnsi="Times New Roman" w:eastAsia="宋体"/>
      <w:b/>
      <w:kern w:val="44"/>
      <w:sz w:val="32"/>
    </w:rPr>
  </w:style>
  <w:style w:type="character" w:customStyle="1" w:styleId="32">
    <w:name w:val="表格 Char"/>
    <w:link w:val="30"/>
    <w:qFormat/>
    <w:uiPriority w:val="0"/>
    <w:rPr>
      <w:rFonts w:ascii="Times New Roman" w:hAnsi="Times New Roman" w:eastAsia="宋体"/>
      <w:sz w:val="21"/>
    </w:rPr>
  </w:style>
  <w:style w:type="character" w:customStyle="1" w:styleId="33">
    <w:name w:val="小表头 Char"/>
    <w:link w:val="29"/>
    <w:qFormat/>
    <w:uiPriority w:val="0"/>
    <w:rPr>
      <w:rFonts w:ascii="Times New Roman" w:hAnsi="Times New Roman" w:eastAsia="宋体"/>
      <w:b/>
      <w:sz w:val="21"/>
    </w:rPr>
  </w:style>
  <w:style w:type="paragraph" w:customStyle="1" w:styleId="34">
    <w:name w:val="01表文"/>
    <w:basedOn w:val="1"/>
    <w:qFormat/>
    <w:uiPriority w:val="0"/>
    <w:pPr>
      <w:widowControl/>
      <w:spacing w:line="240" w:lineRule="auto"/>
      <w:ind w:firstLine="0" w:firstLineChars="0"/>
      <w:jc w:val="center"/>
    </w:pPr>
    <w:rPr>
      <w:rFonts w:cs="宋体"/>
      <w:color w:val="000000"/>
      <w:kern w:val="0"/>
      <w:sz w:val="21"/>
      <w:szCs w:val="21"/>
    </w:rPr>
  </w:style>
  <w:style w:type="paragraph" w:customStyle="1" w:styleId="35">
    <w:name w:val="01正文"/>
    <w:basedOn w:val="36"/>
    <w:qFormat/>
    <w:uiPriority w:val="0"/>
    <w:pPr>
      <w:ind w:firstLine="200" w:firstLineChars="200"/>
      <w:jc w:val="both"/>
    </w:pPr>
    <w:rPr>
      <w:rFonts w:ascii="Times New Roman" w:hAnsi="Times New Roman" w:eastAsia="宋体"/>
      <w:sz w:val="24"/>
    </w:rPr>
  </w:style>
  <w:style w:type="paragraph" w:customStyle="1" w:styleId="36">
    <w:name w:val="01目录"/>
    <w:basedOn w:val="1"/>
    <w:next w:val="35"/>
    <w:qFormat/>
    <w:uiPriority w:val="0"/>
    <w:pPr>
      <w:ind w:firstLine="0" w:firstLineChars="0"/>
      <w:jc w:val="center"/>
    </w:pPr>
    <w:rPr>
      <w:rFonts w:ascii="黑体" w:hAnsi="黑体" w:eastAsia="黑体"/>
      <w:sz w:val="44"/>
      <w:szCs w:val="44"/>
    </w:rPr>
  </w:style>
  <w:style w:type="paragraph" w:customStyle="1" w:styleId="37">
    <w:name w:val="表格内容"/>
    <w:basedOn w:val="38"/>
    <w:qFormat/>
    <w:uiPriority w:val="0"/>
    <w:pPr>
      <w:spacing w:line="240" w:lineRule="auto"/>
    </w:pPr>
    <w:rPr>
      <w:rFonts w:eastAsia="楷体_GB2312"/>
      <w:b w:val="0"/>
    </w:rPr>
  </w:style>
  <w:style w:type="paragraph" w:customStyle="1" w:styleId="38">
    <w:name w:val="表格标题"/>
    <w:basedOn w:val="12"/>
    <w:qFormat/>
    <w:uiPriority w:val="0"/>
    <w:pPr>
      <w:spacing w:line="360" w:lineRule="auto"/>
      <w:jc w:val="center"/>
    </w:pPr>
    <w:rPr>
      <w:rFonts w:eastAsia="宋体" w:cs="Arial"/>
      <w:b/>
      <w:sz w:val="21"/>
    </w:rPr>
  </w:style>
  <w:style w:type="paragraph" w:customStyle="1" w:styleId="39">
    <w:name w:val="01标题3"/>
    <w:basedOn w:val="40"/>
    <w:next w:val="35"/>
    <w:qFormat/>
    <w:uiPriority w:val="0"/>
    <w:pPr>
      <w:outlineLvl w:val="2"/>
    </w:pPr>
    <w:rPr>
      <w:sz w:val="28"/>
    </w:rPr>
  </w:style>
  <w:style w:type="paragraph" w:customStyle="1" w:styleId="40">
    <w:name w:val="01标题2"/>
    <w:basedOn w:val="41"/>
    <w:next w:val="35"/>
    <w:qFormat/>
    <w:uiPriority w:val="0"/>
    <w:pPr>
      <w:jc w:val="both"/>
      <w:outlineLvl w:val="1"/>
    </w:pPr>
    <w:rPr>
      <w:sz w:val="32"/>
    </w:rPr>
  </w:style>
  <w:style w:type="paragraph" w:customStyle="1" w:styleId="41">
    <w:name w:val="01标题1"/>
    <w:basedOn w:val="35"/>
    <w:next w:val="35"/>
    <w:qFormat/>
    <w:uiPriority w:val="0"/>
    <w:pPr>
      <w:ind w:firstLine="0" w:firstLineChars="0"/>
      <w:jc w:val="center"/>
      <w:outlineLvl w:val="0"/>
    </w:pPr>
    <w:rPr>
      <w:rFonts w:eastAsia="黑体"/>
      <w:sz w:val="44"/>
    </w:rPr>
  </w:style>
  <w:style w:type="paragraph" w:customStyle="1" w:styleId="42">
    <w:name w:val="01图片格式"/>
    <w:basedOn w:val="43"/>
    <w:next w:val="43"/>
    <w:qFormat/>
    <w:uiPriority w:val="0"/>
    <w:pPr>
      <w:outlineLvl w:val="9"/>
    </w:pPr>
    <w:rPr>
      <w:b w:val="0"/>
    </w:rPr>
  </w:style>
  <w:style w:type="paragraph" w:customStyle="1" w:styleId="43">
    <w:name w:val="01图名"/>
    <w:basedOn w:val="35"/>
    <w:next w:val="35"/>
    <w:qFormat/>
    <w:uiPriority w:val="0"/>
    <w:pPr>
      <w:ind w:firstLine="0" w:firstLineChars="0"/>
      <w:jc w:val="center"/>
      <w:outlineLvl w:val="4"/>
    </w:pPr>
    <w:rPr>
      <w:b/>
    </w:rPr>
  </w:style>
  <w:style w:type="paragraph" w:customStyle="1" w:styleId="44">
    <w:name w:val="正文-欣欣"/>
    <w:basedOn w:val="16"/>
    <w:qFormat/>
    <w:uiPriority w:val="0"/>
    <w:pPr>
      <w:ind w:left="0" w:firstLine="200" w:firstLineChars="200"/>
    </w:pPr>
    <w:rPr>
      <w:rFonts w:cs="Courier New"/>
      <w:szCs w:val="21"/>
    </w:rPr>
  </w:style>
  <w:style w:type="paragraph" w:customStyle="1" w:styleId="45">
    <w:name w:val="我的"/>
    <w:basedOn w:val="1"/>
    <w:qFormat/>
    <w:uiPriority w:val="0"/>
    <w:pPr>
      <w:adjustRightInd/>
      <w:snapToGrid w:val="0"/>
      <w:spacing w:line="560" w:lineRule="exact"/>
      <w:ind w:firstLine="480" w:firstLineChars="200"/>
      <w:textAlignment w:val="auto"/>
    </w:pPr>
    <w:rPr>
      <w:rFonts w:ascii="Ti" w:hAnsi="Ti"/>
      <w:kern w:val="2"/>
      <w:sz w:val="24"/>
      <w:szCs w:val="24"/>
    </w:rPr>
  </w:style>
  <w:style w:type="paragraph" w:customStyle="1" w:styleId="46">
    <w:name w:val="01强调部分"/>
    <w:basedOn w:val="3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6.jpe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jpeg"/><Relationship Id="rId48" Type="http://schemas.openxmlformats.org/officeDocument/2006/relationships/chart" Target="charts/chart8.xml"/><Relationship Id="rId47" Type="http://schemas.openxmlformats.org/officeDocument/2006/relationships/chart" Target="charts/chart7.xml"/><Relationship Id="rId46" Type="http://schemas.openxmlformats.org/officeDocument/2006/relationships/chart" Target="charts/chart6.xml"/><Relationship Id="rId45" Type="http://schemas.openxmlformats.org/officeDocument/2006/relationships/chart" Target="charts/chart5.xml"/><Relationship Id="rId44" Type="http://schemas.openxmlformats.org/officeDocument/2006/relationships/chart" Target="charts/chart4.xml"/><Relationship Id="rId43" Type="http://schemas.openxmlformats.org/officeDocument/2006/relationships/chart" Target="charts/chart3.xml"/><Relationship Id="rId42" Type="http://schemas.openxmlformats.org/officeDocument/2006/relationships/chart" Target="charts/chart2.xml"/><Relationship Id="rId41" Type="http://schemas.openxmlformats.org/officeDocument/2006/relationships/chart" Target="charts/chart1.xml"/><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wmf"/><Relationship Id="rId37" Type="http://schemas.openxmlformats.org/officeDocument/2006/relationships/oleObject" Target="embeddings/oleObject10.bin"/><Relationship Id="rId36" Type="http://schemas.openxmlformats.org/officeDocument/2006/relationships/image" Target="media/image20.wmf"/><Relationship Id="rId35" Type="http://schemas.openxmlformats.org/officeDocument/2006/relationships/oleObject" Target="embeddings/oleObject9.bin"/><Relationship Id="rId34" Type="http://schemas.openxmlformats.org/officeDocument/2006/relationships/image" Target="media/image19.wmf"/><Relationship Id="rId33" Type="http://schemas.openxmlformats.org/officeDocument/2006/relationships/oleObject" Target="embeddings/oleObject8.bin"/><Relationship Id="rId32" Type="http://schemas.openxmlformats.org/officeDocument/2006/relationships/image" Target="media/image18.wmf"/><Relationship Id="rId31" Type="http://schemas.openxmlformats.org/officeDocument/2006/relationships/oleObject" Target="embeddings/oleObject7.bin"/><Relationship Id="rId30" Type="http://schemas.openxmlformats.org/officeDocument/2006/relationships/image" Target="media/image17.wmf"/><Relationship Id="rId3" Type="http://schemas.openxmlformats.org/officeDocument/2006/relationships/footnotes" Target="footnotes.xml"/><Relationship Id="rId29" Type="http://schemas.openxmlformats.org/officeDocument/2006/relationships/oleObject" Target="embeddings/oleObject6.bin"/><Relationship Id="rId28" Type="http://schemas.openxmlformats.org/officeDocument/2006/relationships/image" Target="media/image16.wmf"/><Relationship Id="rId27" Type="http://schemas.openxmlformats.org/officeDocument/2006/relationships/oleObject" Target="embeddings/oleObject5.bin"/><Relationship Id="rId26" Type="http://schemas.openxmlformats.org/officeDocument/2006/relationships/image" Target="media/image15.wmf"/><Relationship Id="rId25" Type="http://schemas.openxmlformats.org/officeDocument/2006/relationships/oleObject" Target="embeddings/oleObject4.bin"/><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hh\Desktop\&#26032;&#24314;%20XLSX%20&#24037;&#20316;&#34920;(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hh\Desktop\&#26032;&#24314;%20XLSX%20&#24037;&#20316;&#34920;(1).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hh\Desktop\&#26032;&#24314;%20XLSX%20&#24037;&#20316;&#34920;(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hh\Desktop\&#26032;&#24314;%20XLSX%20&#24037;&#20316;&#34920;(1).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24494;&#20449;&#32842;&#22825;&#35760;&#24405;\WeChat%20Files\wxid_00814h2n0xli12\FileStorage\File\2021-08\&#26032;&#24314;%20XLSX%20&#24037;&#20316;&#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24494;&#20449;&#32842;&#22825;&#35760;&#24405;\WeChat%20Files\wxid_00814h2n0xli12\FileStorage\File\2021-08\&#26032;&#24314;%20XLSX%20&#24037;&#20316;&#3492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24494;&#20449;&#32842;&#22825;&#35760;&#24405;\WeChat%20Files\wxid_00814h2n0xli12\FileStorage\File\2021-08\&#26032;&#24314;%20XLSX%20&#24037;&#20316;&#34920;.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F:\&#24494;&#20449;&#32842;&#22825;&#35760;&#24405;\WeChat%20Files\wxid_00814h2n0xli12\FileStorage\File\2021-08\&#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p>
      </c:txPr>
    </c:title>
    <c:autoTitleDeleted val="0"/>
    <c:plotArea>
      <c:layout/>
      <c:lineChart>
        <c:grouping val="standard"/>
        <c:varyColors val="0"/>
        <c:ser>
          <c:idx val="1"/>
          <c:order val="1"/>
          <c:tx>
            <c:strRef>
              <c:f>'[新建 XLSX 工作表(1).xlsx]100天'!$B$6</c:f>
              <c:strCache>
                <c:ptCount val="1"/>
                <c:pt idx="0">
                  <c:v>100天         </c:v>
                </c:pt>
              </c:strCache>
            </c:strRef>
          </c:tx>
          <c:spPr>
            <a:ln w="12700" cap="rnd" cmpd="sng">
              <a:solidFill>
                <a:srgbClr val="00B0F0"/>
              </a:solidFill>
              <a:prstDash val="solid"/>
              <a:round/>
            </a:ln>
            <a:effectLst/>
            <a:sp3d contourW="12700"/>
          </c:spPr>
          <c:marker>
            <c:symbol val="circle"/>
            <c:size val="3"/>
            <c:spPr>
              <a:solidFill>
                <a:srgbClr val="00B0F0"/>
              </a:solidFill>
              <a:ln w="9525">
                <a:noFill/>
              </a:ln>
              <a:effectLst/>
            </c:spPr>
          </c:marker>
          <c:dLbls>
            <c:delete val="1"/>
          </c:dLbls>
          <c:cat>
            <c:strRef>
              <c:f>'[新建 XLSX 工作表(1).xlsx]100天'!$A$7:$A$57</c:f>
              <c:strCache>
                <c:ptCount val="51"/>
                <c:pt idx="0">
                  <c:v>0m</c:v>
                </c:pt>
                <c:pt idx="1">
                  <c:v>4m</c:v>
                </c:pt>
                <c:pt idx="2">
                  <c:v>8m</c:v>
                </c:pt>
                <c:pt idx="3">
                  <c:v>12m</c:v>
                </c:pt>
                <c:pt idx="4">
                  <c:v>16m</c:v>
                </c:pt>
                <c:pt idx="5">
                  <c:v>20m</c:v>
                </c:pt>
                <c:pt idx="6">
                  <c:v>24m</c:v>
                </c:pt>
                <c:pt idx="7">
                  <c:v>28m</c:v>
                </c:pt>
                <c:pt idx="8">
                  <c:v>32m</c:v>
                </c:pt>
                <c:pt idx="9">
                  <c:v>36m</c:v>
                </c:pt>
                <c:pt idx="10">
                  <c:v>40m</c:v>
                </c:pt>
                <c:pt idx="11">
                  <c:v>44m</c:v>
                </c:pt>
                <c:pt idx="12">
                  <c:v>48m</c:v>
                </c:pt>
                <c:pt idx="13">
                  <c:v>52m</c:v>
                </c:pt>
                <c:pt idx="14">
                  <c:v>56m</c:v>
                </c:pt>
                <c:pt idx="15">
                  <c:v>60m</c:v>
                </c:pt>
                <c:pt idx="16">
                  <c:v>64m</c:v>
                </c:pt>
                <c:pt idx="17">
                  <c:v>68m</c:v>
                </c:pt>
                <c:pt idx="18">
                  <c:v>72m</c:v>
                </c:pt>
                <c:pt idx="19">
                  <c:v>76m</c:v>
                </c:pt>
                <c:pt idx="20">
                  <c:v>80m</c:v>
                </c:pt>
                <c:pt idx="21">
                  <c:v>84m</c:v>
                </c:pt>
                <c:pt idx="22">
                  <c:v>88m</c:v>
                </c:pt>
                <c:pt idx="23">
                  <c:v>92m</c:v>
                </c:pt>
                <c:pt idx="24">
                  <c:v>96m</c:v>
                </c:pt>
                <c:pt idx="25">
                  <c:v>100m</c:v>
                </c:pt>
                <c:pt idx="26">
                  <c:v>104m</c:v>
                </c:pt>
                <c:pt idx="27">
                  <c:v>108m</c:v>
                </c:pt>
                <c:pt idx="28">
                  <c:v>112m</c:v>
                </c:pt>
                <c:pt idx="29">
                  <c:v>116m</c:v>
                </c:pt>
                <c:pt idx="30">
                  <c:v>120m</c:v>
                </c:pt>
                <c:pt idx="31">
                  <c:v>124m</c:v>
                </c:pt>
                <c:pt idx="32">
                  <c:v>128m</c:v>
                </c:pt>
                <c:pt idx="33">
                  <c:v>132m</c:v>
                </c:pt>
                <c:pt idx="34">
                  <c:v>136m</c:v>
                </c:pt>
                <c:pt idx="35">
                  <c:v>140m</c:v>
                </c:pt>
                <c:pt idx="36">
                  <c:v>144m</c:v>
                </c:pt>
                <c:pt idx="37">
                  <c:v>148m</c:v>
                </c:pt>
                <c:pt idx="38">
                  <c:v>152m</c:v>
                </c:pt>
                <c:pt idx="39">
                  <c:v>156m</c:v>
                </c:pt>
                <c:pt idx="40">
                  <c:v>160m</c:v>
                </c:pt>
                <c:pt idx="41">
                  <c:v>164m</c:v>
                </c:pt>
                <c:pt idx="42">
                  <c:v>168m</c:v>
                </c:pt>
                <c:pt idx="43">
                  <c:v>172m</c:v>
                </c:pt>
                <c:pt idx="44">
                  <c:v>176m</c:v>
                </c:pt>
                <c:pt idx="45">
                  <c:v>180m</c:v>
                </c:pt>
                <c:pt idx="46">
                  <c:v>184m</c:v>
                </c:pt>
                <c:pt idx="47">
                  <c:v>188m</c:v>
                </c:pt>
                <c:pt idx="48">
                  <c:v>192m</c:v>
                </c:pt>
                <c:pt idx="49">
                  <c:v>196m</c:v>
                </c:pt>
                <c:pt idx="50">
                  <c:v>200m</c:v>
                </c:pt>
              </c:strCache>
            </c:strRef>
          </c:cat>
          <c:val>
            <c:numRef>
              <c:f>'[新建 XLSX 工作表(1).xlsx]100天'!$B$7:$B$57</c:f>
              <c:numCache>
                <c:formatCode>0.00_ </c:formatCode>
                <c:ptCount val="51"/>
                <c:pt idx="0">
                  <c:v>445</c:v>
                </c:pt>
                <c:pt idx="1">
                  <c:v>317</c:v>
                </c:pt>
                <c:pt idx="2">
                  <c:v>186</c:v>
                </c:pt>
                <c:pt idx="3">
                  <c:v>87.9</c:v>
                </c:pt>
                <c:pt idx="4">
                  <c:v>32.8</c:v>
                </c:pt>
                <c:pt idx="5">
                  <c:v>9.59</c:v>
                </c:pt>
                <c:pt idx="6">
                  <c:v>2.17</c:v>
                </c:pt>
                <c:pt idx="7">
                  <c:v>0.381</c:v>
                </c:pt>
                <c:pt idx="8">
                  <c:v>0.0513</c:v>
                </c:pt>
                <c:pt idx="9">
                  <c:v>0.0053</c:v>
                </c:pt>
                <c:pt idx="10">
                  <c:v>0.000419</c:v>
                </c:pt>
                <c:pt idx="11">
                  <c:v>2.53e-5</c:v>
                </c:pt>
                <c:pt idx="12">
                  <c:v>1.17e-6</c:v>
                </c:pt>
                <c:pt idx="13">
                  <c:v>4.25e-8</c:v>
                </c:pt>
                <c:pt idx="14">
                  <c:v>1.13e-9</c:v>
                </c:pt>
                <c:pt idx="15">
                  <c:v>2.25e-11</c:v>
                </c:pt>
                <c:pt idx="16">
                  <c:v>1.98e-13</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mooth val="0"/>
        </c:ser>
        <c:dLbls>
          <c:showLegendKey val="0"/>
          <c:showVal val="0"/>
          <c:showCatName val="0"/>
          <c:showSerName val="0"/>
          <c:showPercent val="0"/>
          <c:showBubbleSize val="0"/>
        </c:dLbls>
        <c:marker val="1"/>
        <c:smooth val="0"/>
        <c:axId val="318063391"/>
        <c:axId val="843113171"/>
        <c:extLst>
          <c:ext xmlns:c15="http://schemas.microsoft.com/office/drawing/2012/chart" uri="{02D57815-91ED-43cb-92C2-25804820EDAC}">
            <c15:filteredLineSeries>
              <c15:ser>
                <c:idx val="0"/>
                <c:order val="0"/>
                <c:tx>
                  <c:strRef>
                    <c:extLst>
                      <c:ext uri="{02D57815-91ED-43cb-92C2-25804820EDAC}">
                        <c15:formulaRef>
                          <c15:sqref>'[新建 XLSX 工作表(1).xlsx]100天'!$A$6</c15:sqref>
                        </c15:formulaRef>
                      </c:ext>
                    </c:extLst>
                    <c:strCache>
                      <c:ptCount val="1"/>
                      <c:pt idx="0">
                        <c:v>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extLst>
                      <c:ext uri="{02D57815-91ED-43cb-92C2-25804820EDAC}">
                        <c15:fullRef>
                          <c15:sqref/>
                        </c15:fullRef>
                        <c15:formulaRef>
                          <c15:sqref>'[新建 XLSX 工作表(1).xlsx]100天'!$A$7:$A$57</c15:sqref>
                        </c15:formulaRef>
                      </c:ext>
                    </c:extLst>
                    <c:strCache>
                      <c:ptCount val="51"/>
                      <c:pt idx="0">
                        <c:v>0m</c:v>
                      </c:pt>
                      <c:pt idx="1">
                        <c:v>4m</c:v>
                      </c:pt>
                      <c:pt idx="2">
                        <c:v>8m</c:v>
                      </c:pt>
                      <c:pt idx="3">
                        <c:v>12m</c:v>
                      </c:pt>
                      <c:pt idx="4">
                        <c:v>16m</c:v>
                      </c:pt>
                      <c:pt idx="5">
                        <c:v>20m</c:v>
                      </c:pt>
                      <c:pt idx="6">
                        <c:v>24m</c:v>
                      </c:pt>
                      <c:pt idx="7">
                        <c:v>28m</c:v>
                      </c:pt>
                      <c:pt idx="8">
                        <c:v>32m</c:v>
                      </c:pt>
                      <c:pt idx="9">
                        <c:v>36m</c:v>
                      </c:pt>
                      <c:pt idx="10">
                        <c:v>40m</c:v>
                      </c:pt>
                      <c:pt idx="11">
                        <c:v>44m</c:v>
                      </c:pt>
                      <c:pt idx="12">
                        <c:v>48m</c:v>
                      </c:pt>
                      <c:pt idx="13">
                        <c:v>52m</c:v>
                      </c:pt>
                      <c:pt idx="14">
                        <c:v>56m</c:v>
                      </c:pt>
                      <c:pt idx="15">
                        <c:v>60m</c:v>
                      </c:pt>
                      <c:pt idx="16">
                        <c:v>64m</c:v>
                      </c:pt>
                      <c:pt idx="17">
                        <c:v>68m</c:v>
                      </c:pt>
                      <c:pt idx="18">
                        <c:v>72m</c:v>
                      </c:pt>
                      <c:pt idx="19">
                        <c:v>76m</c:v>
                      </c:pt>
                      <c:pt idx="20">
                        <c:v>80m</c:v>
                      </c:pt>
                      <c:pt idx="21">
                        <c:v>84m</c:v>
                      </c:pt>
                      <c:pt idx="22">
                        <c:v>88m</c:v>
                      </c:pt>
                      <c:pt idx="23">
                        <c:v>92m</c:v>
                      </c:pt>
                      <c:pt idx="24">
                        <c:v>96m</c:v>
                      </c:pt>
                      <c:pt idx="25">
                        <c:v>100m</c:v>
                      </c:pt>
                      <c:pt idx="26">
                        <c:v>104m</c:v>
                      </c:pt>
                      <c:pt idx="27">
                        <c:v>108m</c:v>
                      </c:pt>
                      <c:pt idx="28">
                        <c:v>112m</c:v>
                      </c:pt>
                      <c:pt idx="29">
                        <c:v>116m</c:v>
                      </c:pt>
                      <c:pt idx="30">
                        <c:v>120m</c:v>
                      </c:pt>
                      <c:pt idx="31">
                        <c:v>124m</c:v>
                      </c:pt>
                      <c:pt idx="32">
                        <c:v>128m</c:v>
                      </c:pt>
                      <c:pt idx="33">
                        <c:v>132m</c:v>
                      </c:pt>
                      <c:pt idx="34">
                        <c:v>136m</c:v>
                      </c:pt>
                      <c:pt idx="35">
                        <c:v>140m</c:v>
                      </c:pt>
                      <c:pt idx="36">
                        <c:v>144m</c:v>
                      </c:pt>
                      <c:pt idx="37">
                        <c:v>148m</c:v>
                      </c:pt>
                      <c:pt idx="38">
                        <c:v>152m</c:v>
                      </c:pt>
                      <c:pt idx="39">
                        <c:v>156m</c:v>
                      </c:pt>
                      <c:pt idx="40">
                        <c:v>160m</c:v>
                      </c:pt>
                      <c:pt idx="41">
                        <c:v>164m</c:v>
                      </c:pt>
                      <c:pt idx="42">
                        <c:v>168m</c:v>
                      </c:pt>
                      <c:pt idx="43">
                        <c:v>172m</c:v>
                      </c:pt>
                      <c:pt idx="44">
                        <c:v>176m</c:v>
                      </c:pt>
                      <c:pt idx="45">
                        <c:v>180m</c:v>
                      </c:pt>
                      <c:pt idx="46">
                        <c:v>184m</c:v>
                      </c:pt>
                      <c:pt idx="47">
                        <c:v>188m</c:v>
                      </c:pt>
                      <c:pt idx="48">
                        <c:v>192m</c:v>
                      </c:pt>
                      <c:pt idx="49">
                        <c:v>196m</c:v>
                      </c:pt>
                      <c:pt idx="50">
                        <c:v>200m</c:v>
                      </c:pt>
                    </c:strCache>
                  </c:strRef>
                </c:cat>
                <c:val>
                  <c:numRef>
                    <c:extLst>
                      <c:ext uri="{02D57815-91ED-43cb-92C2-25804820EDAC}">
                        <c15:formulaRef>
                          <c15:sqref>{0,0,0,0,0,0,0,0,0,0,0,0,0,0,0,0,0,0,0,0,0,0,0,0,0,0,0,0,0,0,0,0,0,0,0,0,0,0,0,0,0,0,0,0,0,0,0,0,0,0,0}</c15:sqref>
                        </c15:formulaRef>
                      </c:ext>
                    </c:extLst>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mooth val="0"/>
              </c15:ser>
            </c15:filteredLineSeries>
          </c:ext>
        </c:extLst>
      </c:lineChart>
      <c:catAx>
        <c:axId val="31806339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43113171"/>
        <c:crosses val="autoZero"/>
        <c:auto val="1"/>
        <c:lblAlgn val="ctr"/>
        <c:lblOffset val="100"/>
        <c:tickLblSkip val="10"/>
        <c:noMultiLvlLbl val="0"/>
      </c:catAx>
      <c:valAx>
        <c:axId val="843113171"/>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18063391"/>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p>
      </c:txPr>
    </c:title>
    <c:autoTitleDeleted val="0"/>
    <c:plotArea>
      <c:layout/>
      <c:lineChart>
        <c:grouping val="stacked"/>
        <c:varyColors val="0"/>
        <c:ser>
          <c:idx val="1"/>
          <c:order val="1"/>
          <c:tx>
            <c:strRef>
              <c:f>'[新建 XLSX 工作表(1).xlsx]1000天'!$B$6</c:f>
              <c:strCache>
                <c:ptCount val="1"/>
                <c:pt idx="0">
                  <c:v>1000天         </c:v>
                </c:pt>
              </c:strCache>
            </c:strRef>
          </c:tx>
          <c:spPr>
            <a:ln w="12700" cap="rnd" cmpd="sng">
              <a:solidFill>
                <a:srgbClr val="00B0F0"/>
              </a:solidFill>
              <a:prstDash val="solid"/>
              <a:round/>
            </a:ln>
            <a:effectLst/>
            <a:sp3d contourW="12700"/>
          </c:spPr>
          <c:marker>
            <c:symbol val="circle"/>
            <c:size val="3"/>
            <c:spPr>
              <a:solidFill>
                <a:srgbClr val="00B0F0"/>
              </a:solidFill>
              <a:ln w="9525">
                <a:noFill/>
              </a:ln>
              <a:effectLst/>
            </c:spPr>
          </c:marker>
          <c:dLbls>
            <c:delete val="1"/>
          </c:dLbls>
          <c:cat>
            <c:strRef>
              <c:f>'[新建 XLSX 工作表(1).xlsx]1000天'!$A$7:$A$107</c:f>
              <c:strCache>
                <c:ptCount val="101"/>
                <c:pt idx="0">
                  <c:v>0m</c:v>
                </c:pt>
                <c:pt idx="1">
                  <c:v>5m</c:v>
                </c:pt>
                <c:pt idx="2">
                  <c:v>10m</c:v>
                </c:pt>
                <c:pt idx="3">
                  <c:v>15m</c:v>
                </c:pt>
                <c:pt idx="4">
                  <c:v>20m</c:v>
                </c:pt>
                <c:pt idx="5">
                  <c:v>25m</c:v>
                </c:pt>
                <c:pt idx="6">
                  <c:v>30m</c:v>
                </c:pt>
                <c:pt idx="7">
                  <c:v>35m</c:v>
                </c:pt>
                <c:pt idx="8">
                  <c:v>40m</c:v>
                </c:pt>
                <c:pt idx="9">
                  <c:v>45m</c:v>
                </c:pt>
                <c:pt idx="10">
                  <c:v>50m</c:v>
                </c:pt>
                <c:pt idx="11">
                  <c:v>55m</c:v>
                </c:pt>
                <c:pt idx="12">
                  <c:v>60m</c:v>
                </c:pt>
                <c:pt idx="13">
                  <c:v>65m</c:v>
                </c:pt>
                <c:pt idx="14">
                  <c:v>70m</c:v>
                </c:pt>
                <c:pt idx="15">
                  <c:v>75m</c:v>
                </c:pt>
                <c:pt idx="16">
                  <c:v>80m</c:v>
                </c:pt>
                <c:pt idx="17">
                  <c:v>85m</c:v>
                </c:pt>
                <c:pt idx="18">
                  <c:v>90m</c:v>
                </c:pt>
                <c:pt idx="19">
                  <c:v>95m</c:v>
                </c:pt>
                <c:pt idx="20">
                  <c:v>100m</c:v>
                </c:pt>
                <c:pt idx="21">
                  <c:v>105m</c:v>
                </c:pt>
                <c:pt idx="22">
                  <c:v>110m</c:v>
                </c:pt>
                <c:pt idx="23">
                  <c:v>115m</c:v>
                </c:pt>
                <c:pt idx="24">
                  <c:v>120m</c:v>
                </c:pt>
                <c:pt idx="25">
                  <c:v>125m</c:v>
                </c:pt>
                <c:pt idx="26">
                  <c:v>130m</c:v>
                </c:pt>
                <c:pt idx="27">
                  <c:v>135m</c:v>
                </c:pt>
                <c:pt idx="28">
                  <c:v>140m</c:v>
                </c:pt>
                <c:pt idx="29">
                  <c:v>145m</c:v>
                </c:pt>
                <c:pt idx="30">
                  <c:v>150m</c:v>
                </c:pt>
                <c:pt idx="31">
                  <c:v>155m</c:v>
                </c:pt>
                <c:pt idx="32">
                  <c:v>160m</c:v>
                </c:pt>
                <c:pt idx="33">
                  <c:v>165m</c:v>
                </c:pt>
                <c:pt idx="34">
                  <c:v>170m</c:v>
                </c:pt>
                <c:pt idx="35">
                  <c:v>175m</c:v>
                </c:pt>
                <c:pt idx="36">
                  <c:v>180m</c:v>
                </c:pt>
                <c:pt idx="37">
                  <c:v>185m</c:v>
                </c:pt>
                <c:pt idx="38">
                  <c:v>190m</c:v>
                </c:pt>
                <c:pt idx="39">
                  <c:v>195m</c:v>
                </c:pt>
                <c:pt idx="40">
                  <c:v>200m</c:v>
                </c:pt>
                <c:pt idx="41">
                  <c:v>205m</c:v>
                </c:pt>
                <c:pt idx="42">
                  <c:v>210m</c:v>
                </c:pt>
                <c:pt idx="43">
                  <c:v>215m</c:v>
                </c:pt>
                <c:pt idx="44">
                  <c:v>220m</c:v>
                </c:pt>
                <c:pt idx="45">
                  <c:v>225m</c:v>
                </c:pt>
                <c:pt idx="46">
                  <c:v>230m</c:v>
                </c:pt>
                <c:pt idx="47">
                  <c:v>235m</c:v>
                </c:pt>
                <c:pt idx="48">
                  <c:v>240m</c:v>
                </c:pt>
                <c:pt idx="49">
                  <c:v>245m</c:v>
                </c:pt>
                <c:pt idx="50">
                  <c:v>250m</c:v>
                </c:pt>
                <c:pt idx="51">
                  <c:v>255m</c:v>
                </c:pt>
                <c:pt idx="52">
                  <c:v>260m</c:v>
                </c:pt>
                <c:pt idx="53">
                  <c:v>265m</c:v>
                </c:pt>
                <c:pt idx="54">
                  <c:v>270m</c:v>
                </c:pt>
                <c:pt idx="55">
                  <c:v>275m</c:v>
                </c:pt>
                <c:pt idx="56">
                  <c:v>280m</c:v>
                </c:pt>
                <c:pt idx="57">
                  <c:v>285m</c:v>
                </c:pt>
                <c:pt idx="58">
                  <c:v>290m</c:v>
                </c:pt>
                <c:pt idx="59">
                  <c:v>295m</c:v>
                </c:pt>
                <c:pt idx="60">
                  <c:v>300m</c:v>
                </c:pt>
                <c:pt idx="61">
                  <c:v>305m</c:v>
                </c:pt>
                <c:pt idx="62">
                  <c:v>310m</c:v>
                </c:pt>
                <c:pt idx="63">
                  <c:v>315m</c:v>
                </c:pt>
                <c:pt idx="64">
                  <c:v>320m</c:v>
                </c:pt>
                <c:pt idx="65">
                  <c:v>325m</c:v>
                </c:pt>
                <c:pt idx="66">
                  <c:v>330m</c:v>
                </c:pt>
                <c:pt idx="67">
                  <c:v>335m</c:v>
                </c:pt>
                <c:pt idx="68">
                  <c:v>340m</c:v>
                </c:pt>
                <c:pt idx="69">
                  <c:v>345m</c:v>
                </c:pt>
                <c:pt idx="70">
                  <c:v>350m</c:v>
                </c:pt>
                <c:pt idx="71">
                  <c:v>355m</c:v>
                </c:pt>
                <c:pt idx="72">
                  <c:v>360m</c:v>
                </c:pt>
                <c:pt idx="73">
                  <c:v>365m</c:v>
                </c:pt>
                <c:pt idx="74">
                  <c:v>370m</c:v>
                </c:pt>
                <c:pt idx="75">
                  <c:v>375m</c:v>
                </c:pt>
                <c:pt idx="76">
                  <c:v>380m</c:v>
                </c:pt>
                <c:pt idx="77">
                  <c:v>385m</c:v>
                </c:pt>
                <c:pt idx="78">
                  <c:v>390m</c:v>
                </c:pt>
                <c:pt idx="79">
                  <c:v>395m</c:v>
                </c:pt>
                <c:pt idx="80">
                  <c:v>400m</c:v>
                </c:pt>
                <c:pt idx="81">
                  <c:v>405m</c:v>
                </c:pt>
                <c:pt idx="82">
                  <c:v>410m</c:v>
                </c:pt>
                <c:pt idx="83">
                  <c:v>415m</c:v>
                </c:pt>
                <c:pt idx="84">
                  <c:v>420m</c:v>
                </c:pt>
                <c:pt idx="85">
                  <c:v>425m</c:v>
                </c:pt>
                <c:pt idx="86">
                  <c:v>430m</c:v>
                </c:pt>
                <c:pt idx="87">
                  <c:v>435m</c:v>
                </c:pt>
                <c:pt idx="88">
                  <c:v>440m</c:v>
                </c:pt>
                <c:pt idx="89">
                  <c:v>445m</c:v>
                </c:pt>
                <c:pt idx="90">
                  <c:v>450m</c:v>
                </c:pt>
                <c:pt idx="91">
                  <c:v>455m</c:v>
                </c:pt>
                <c:pt idx="92">
                  <c:v>460m</c:v>
                </c:pt>
                <c:pt idx="93">
                  <c:v>465m</c:v>
                </c:pt>
                <c:pt idx="94">
                  <c:v>470m</c:v>
                </c:pt>
                <c:pt idx="95">
                  <c:v>475m</c:v>
                </c:pt>
                <c:pt idx="96">
                  <c:v>480m</c:v>
                </c:pt>
                <c:pt idx="97">
                  <c:v>485m</c:v>
                </c:pt>
                <c:pt idx="98">
                  <c:v>490m</c:v>
                </c:pt>
                <c:pt idx="99">
                  <c:v>495m</c:v>
                </c:pt>
                <c:pt idx="100">
                  <c:v>500m</c:v>
                </c:pt>
              </c:strCache>
            </c:strRef>
          </c:cat>
          <c:val>
            <c:numRef>
              <c:f>'[新建 XLSX 工作表(1).xlsx]1000天'!$B$7:$B$107</c:f>
              <c:numCache>
                <c:formatCode>0.00_ </c:formatCode>
                <c:ptCount val="101"/>
                <c:pt idx="0">
                  <c:v>10.5</c:v>
                </c:pt>
                <c:pt idx="1">
                  <c:v>15.6</c:v>
                </c:pt>
                <c:pt idx="2">
                  <c:v>21.7</c:v>
                </c:pt>
                <c:pt idx="3">
                  <c:v>28.1</c:v>
                </c:pt>
                <c:pt idx="4">
                  <c:v>34.3</c:v>
                </c:pt>
                <c:pt idx="5">
                  <c:v>39.3</c:v>
                </c:pt>
                <c:pt idx="6">
                  <c:v>42.5</c:v>
                </c:pt>
                <c:pt idx="7">
                  <c:v>43.6</c:v>
                </c:pt>
                <c:pt idx="8">
                  <c:v>42.2</c:v>
                </c:pt>
                <c:pt idx="9">
                  <c:v>38.8</c:v>
                </c:pt>
                <c:pt idx="10">
                  <c:v>33.9</c:v>
                </c:pt>
                <c:pt idx="11">
                  <c:v>28.1</c:v>
                </c:pt>
                <c:pt idx="12">
                  <c:v>22.1</c:v>
                </c:pt>
                <c:pt idx="13">
                  <c:v>16.6</c:v>
                </c:pt>
                <c:pt idx="14">
                  <c:v>11.8</c:v>
                </c:pt>
                <c:pt idx="15">
                  <c:v>8.05</c:v>
                </c:pt>
                <c:pt idx="16">
                  <c:v>5.21</c:v>
                </c:pt>
                <c:pt idx="17">
                  <c:v>3.22</c:v>
                </c:pt>
                <c:pt idx="18">
                  <c:v>1.9</c:v>
                </c:pt>
                <c:pt idx="19">
                  <c:v>1.07</c:v>
                </c:pt>
                <c:pt idx="20">
                  <c:v>0.572</c:v>
                </c:pt>
                <c:pt idx="21">
                  <c:v>0.293</c:v>
                </c:pt>
                <c:pt idx="22">
                  <c:v>0.144</c:v>
                </c:pt>
                <c:pt idx="23">
                  <c:v>0.0673</c:v>
                </c:pt>
                <c:pt idx="24">
                  <c:v>0.0302</c:v>
                </c:pt>
                <c:pt idx="25">
                  <c:v>0.0129</c:v>
                </c:pt>
                <c:pt idx="26">
                  <c:v>0.0053</c:v>
                </c:pt>
                <c:pt idx="27">
                  <c:v>0.00208</c:v>
                </c:pt>
                <c:pt idx="28">
                  <c:v>0.000782</c:v>
                </c:pt>
                <c:pt idx="29">
                  <c:v>0.000282</c:v>
                </c:pt>
                <c:pt idx="30">
                  <c:v>9.71e-5</c:v>
                </c:pt>
                <c:pt idx="31">
                  <c:v>3.21e-5</c:v>
                </c:pt>
                <c:pt idx="32">
                  <c:v>1.01e-5</c:v>
                </c:pt>
                <c:pt idx="33">
                  <c:v>3.08e-6</c:v>
                </c:pt>
                <c:pt idx="34">
                  <c:v>8.94e-7</c:v>
                </c:pt>
                <c:pt idx="35">
                  <c:v>2.49e-7</c:v>
                </c:pt>
                <c:pt idx="36">
                  <c:v>6.64e-8</c:v>
                </c:pt>
                <c:pt idx="37">
                  <c:v>1.7e-8</c:v>
                </c:pt>
                <c:pt idx="38">
                  <c:v>4.16e-9</c:v>
                </c:pt>
                <c:pt idx="39">
                  <c:v>9.75e-10</c:v>
                </c:pt>
                <c:pt idx="40">
                  <c:v>2.37e-10</c:v>
                </c:pt>
                <c:pt idx="41">
                  <c:v>5.07e-11</c:v>
                </c:pt>
                <c:pt idx="42">
                  <c:v>1.04e-11</c:v>
                </c:pt>
                <c:pt idx="43">
                  <c:v>2.05e-12</c:v>
                </c:pt>
                <c:pt idx="44">
                  <c:v>3.95e-13</c:v>
                </c:pt>
                <c:pt idx="45">
                  <c:v>7.41e-14</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ser>
        <c:dLbls>
          <c:showLegendKey val="0"/>
          <c:showVal val="0"/>
          <c:showCatName val="0"/>
          <c:showSerName val="0"/>
          <c:showPercent val="0"/>
          <c:showBubbleSize val="0"/>
        </c:dLbls>
        <c:marker val="1"/>
        <c:smooth val="0"/>
        <c:axId val="495162437"/>
        <c:axId val="82377444"/>
        <c:extLst>
          <c:ext xmlns:c15="http://schemas.microsoft.com/office/drawing/2012/chart" uri="{02D57815-91ED-43cb-92C2-25804820EDAC}">
            <c15:filteredLineSeries>
              <c15:ser>
                <c:idx val="0"/>
                <c:order val="0"/>
                <c:tx>
                  <c:strRef>
                    <c:extLst>
                      <c:ext uri="{02D57815-91ED-43cb-92C2-25804820EDAC}">
                        <c15:formulaRef>
                          <c15:sqref>'[新建 XLSX 工作表(1).xlsx]1000天'!$A$6</c15:sqref>
                        </c15:formulaRef>
                      </c:ext>
                    </c:extLst>
                    <c:strCache>
                      <c:ptCount val="1"/>
                      <c:pt idx="0">
                        <c:v>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extLst>
                      <c:ext uri="{02D57815-91ED-43cb-92C2-25804820EDAC}">
                        <c15:fullRef>
                          <c15:sqref/>
                        </c15:fullRef>
                        <c15:formulaRef>
                          <c15:sqref>'[新建 XLSX 工作表(1).xlsx]1000天'!$A$7:$A$107</c15:sqref>
                        </c15:formulaRef>
                      </c:ext>
                    </c:extLst>
                    <c:strCache>
                      <c:ptCount val="101"/>
                      <c:pt idx="0">
                        <c:v>0m</c:v>
                      </c:pt>
                      <c:pt idx="1">
                        <c:v>5m</c:v>
                      </c:pt>
                      <c:pt idx="2">
                        <c:v>10m</c:v>
                      </c:pt>
                      <c:pt idx="3">
                        <c:v>15m</c:v>
                      </c:pt>
                      <c:pt idx="4">
                        <c:v>20m</c:v>
                      </c:pt>
                      <c:pt idx="5">
                        <c:v>25m</c:v>
                      </c:pt>
                      <c:pt idx="6">
                        <c:v>30m</c:v>
                      </c:pt>
                      <c:pt idx="7">
                        <c:v>35m</c:v>
                      </c:pt>
                      <c:pt idx="8">
                        <c:v>40m</c:v>
                      </c:pt>
                      <c:pt idx="9">
                        <c:v>45m</c:v>
                      </c:pt>
                      <c:pt idx="10">
                        <c:v>50m</c:v>
                      </c:pt>
                      <c:pt idx="11">
                        <c:v>55m</c:v>
                      </c:pt>
                      <c:pt idx="12">
                        <c:v>60m</c:v>
                      </c:pt>
                      <c:pt idx="13">
                        <c:v>65m</c:v>
                      </c:pt>
                      <c:pt idx="14">
                        <c:v>70m</c:v>
                      </c:pt>
                      <c:pt idx="15">
                        <c:v>75m</c:v>
                      </c:pt>
                      <c:pt idx="16">
                        <c:v>80m</c:v>
                      </c:pt>
                      <c:pt idx="17">
                        <c:v>85m</c:v>
                      </c:pt>
                      <c:pt idx="18">
                        <c:v>90m</c:v>
                      </c:pt>
                      <c:pt idx="19">
                        <c:v>95m</c:v>
                      </c:pt>
                      <c:pt idx="20">
                        <c:v>100m</c:v>
                      </c:pt>
                      <c:pt idx="21">
                        <c:v>105m</c:v>
                      </c:pt>
                      <c:pt idx="22">
                        <c:v>110m</c:v>
                      </c:pt>
                      <c:pt idx="23">
                        <c:v>115m</c:v>
                      </c:pt>
                      <c:pt idx="24">
                        <c:v>120m</c:v>
                      </c:pt>
                      <c:pt idx="25">
                        <c:v>125m</c:v>
                      </c:pt>
                      <c:pt idx="26">
                        <c:v>130m</c:v>
                      </c:pt>
                      <c:pt idx="27">
                        <c:v>135m</c:v>
                      </c:pt>
                      <c:pt idx="28">
                        <c:v>140m</c:v>
                      </c:pt>
                      <c:pt idx="29">
                        <c:v>145m</c:v>
                      </c:pt>
                      <c:pt idx="30">
                        <c:v>150m</c:v>
                      </c:pt>
                      <c:pt idx="31">
                        <c:v>155m</c:v>
                      </c:pt>
                      <c:pt idx="32">
                        <c:v>160m</c:v>
                      </c:pt>
                      <c:pt idx="33">
                        <c:v>165m</c:v>
                      </c:pt>
                      <c:pt idx="34">
                        <c:v>170m</c:v>
                      </c:pt>
                      <c:pt idx="35">
                        <c:v>175m</c:v>
                      </c:pt>
                      <c:pt idx="36">
                        <c:v>180m</c:v>
                      </c:pt>
                      <c:pt idx="37">
                        <c:v>185m</c:v>
                      </c:pt>
                      <c:pt idx="38">
                        <c:v>190m</c:v>
                      </c:pt>
                      <c:pt idx="39">
                        <c:v>195m</c:v>
                      </c:pt>
                      <c:pt idx="40">
                        <c:v>200m</c:v>
                      </c:pt>
                      <c:pt idx="41">
                        <c:v>205m</c:v>
                      </c:pt>
                      <c:pt idx="42">
                        <c:v>210m</c:v>
                      </c:pt>
                      <c:pt idx="43">
                        <c:v>215m</c:v>
                      </c:pt>
                      <c:pt idx="44">
                        <c:v>220m</c:v>
                      </c:pt>
                      <c:pt idx="45">
                        <c:v>225m</c:v>
                      </c:pt>
                      <c:pt idx="46">
                        <c:v>230m</c:v>
                      </c:pt>
                      <c:pt idx="47">
                        <c:v>235m</c:v>
                      </c:pt>
                      <c:pt idx="48">
                        <c:v>240m</c:v>
                      </c:pt>
                      <c:pt idx="49">
                        <c:v>245m</c:v>
                      </c:pt>
                      <c:pt idx="50">
                        <c:v>250m</c:v>
                      </c:pt>
                      <c:pt idx="51">
                        <c:v>255m</c:v>
                      </c:pt>
                      <c:pt idx="52">
                        <c:v>260m</c:v>
                      </c:pt>
                      <c:pt idx="53">
                        <c:v>265m</c:v>
                      </c:pt>
                      <c:pt idx="54">
                        <c:v>270m</c:v>
                      </c:pt>
                      <c:pt idx="55">
                        <c:v>275m</c:v>
                      </c:pt>
                      <c:pt idx="56">
                        <c:v>280m</c:v>
                      </c:pt>
                      <c:pt idx="57">
                        <c:v>285m</c:v>
                      </c:pt>
                      <c:pt idx="58">
                        <c:v>290m</c:v>
                      </c:pt>
                      <c:pt idx="59">
                        <c:v>295m</c:v>
                      </c:pt>
                      <c:pt idx="60">
                        <c:v>300m</c:v>
                      </c:pt>
                      <c:pt idx="61">
                        <c:v>305m</c:v>
                      </c:pt>
                      <c:pt idx="62">
                        <c:v>310m</c:v>
                      </c:pt>
                      <c:pt idx="63">
                        <c:v>315m</c:v>
                      </c:pt>
                      <c:pt idx="64">
                        <c:v>320m</c:v>
                      </c:pt>
                      <c:pt idx="65">
                        <c:v>325m</c:v>
                      </c:pt>
                      <c:pt idx="66">
                        <c:v>330m</c:v>
                      </c:pt>
                      <c:pt idx="67">
                        <c:v>335m</c:v>
                      </c:pt>
                      <c:pt idx="68">
                        <c:v>340m</c:v>
                      </c:pt>
                      <c:pt idx="69">
                        <c:v>345m</c:v>
                      </c:pt>
                      <c:pt idx="70">
                        <c:v>350m</c:v>
                      </c:pt>
                      <c:pt idx="71">
                        <c:v>355m</c:v>
                      </c:pt>
                      <c:pt idx="72">
                        <c:v>360m</c:v>
                      </c:pt>
                      <c:pt idx="73">
                        <c:v>365m</c:v>
                      </c:pt>
                      <c:pt idx="74">
                        <c:v>370m</c:v>
                      </c:pt>
                      <c:pt idx="75">
                        <c:v>375m</c:v>
                      </c:pt>
                      <c:pt idx="76">
                        <c:v>380m</c:v>
                      </c:pt>
                      <c:pt idx="77">
                        <c:v>385m</c:v>
                      </c:pt>
                      <c:pt idx="78">
                        <c:v>390m</c:v>
                      </c:pt>
                      <c:pt idx="79">
                        <c:v>395m</c:v>
                      </c:pt>
                      <c:pt idx="80">
                        <c:v>400m</c:v>
                      </c:pt>
                      <c:pt idx="81">
                        <c:v>405m</c:v>
                      </c:pt>
                      <c:pt idx="82">
                        <c:v>410m</c:v>
                      </c:pt>
                      <c:pt idx="83">
                        <c:v>415m</c:v>
                      </c:pt>
                      <c:pt idx="84">
                        <c:v>420m</c:v>
                      </c:pt>
                      <c:pt idx="85">
                        <c:v>425m</c:v>
                      </c:pt>
                      <c:pt idx="86">
                        <c:v>430m</c:v>
                      </c:pt>
                      <c:pt idx="87">
                        <c:v>435m</c:v>
                      </c:pt>
                      <c:pt idx="88">
                        <c:v>440m</c:v>
                      </c:pt>
                      <c:pt idx="89">
                        <c:v>445m</c:v>
                      </c:pt>
                      <c:pt idx="90">
                        <c:v>450m</c:v>
                      </c:pt>
                      <c:pt idx="91">
                        <c:v>455m</c:v>
                      </c:pt>
                      <c:pt idx="92">
                        <c:v>460m</c:v>
                      </c:pt>
                      <c:pt idx="93">
                        <c:v>465m</c:v>
                      </c:pt>
                      <c:pt idx="94">
                        <c:v>470m</c:v>
                      </c:pt>
                      <c:pt idx="95">
                        <c:v>475m</c:v>
                      </c:pt>
                      <c:pt idx="96">
                        <c:v>480m</c:v>
                      </c:pt>
                      <c:pt idx="97">
                        <c:v>485m</c:v>
                      </c:pt>
                      <c:pt idx="98">
                        <c:v>490m</c:v>
                      </c:pt>
                      <c:pt idx="99">
                        <c:v>495m</c:v>
                      </c:pt>
                      <c:pt idx="100">
                        <c:v>500m</c:v>
                      </c:pt>
                    </c:strCache>
                  </c:strRef>
                </c:cat>
                <c:val>
                  <c:numRef>
                    <c:extLst>
                      <c:ext uri="{02D57815-91ED-43cb-92C2-25804820EDAC}">
                        <c15:formulaRef>
                          <c15:sqref>{0,0,0,0,0,0,0,0,0,0,0,0,0,0,0,0,0,0,0,0,0,0,0,0,0,0,0,0,0,0,0,0,0,0,0,0,0,0,0,0,0,0,0,0,0,0,0,0,0,0,0,0,0,0,0,0,0,0,0,0,0,0,0,0,0,0,0,0,0,0,0,0,0,0,0,0,0,0,0,0,0,0,0,0,0,0,0,0,0,0,0,0,0,0,0,0,0,0,0,0,0}</c15:sqref>
                        </c15:formulaRef>
                      </c:ext>
                    </c:extLst>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15:ser>
            </c15:filteredLineSeries>
          </c:ext>
        </c:extLst>
      </c:lineChart>
      <c:catAx>
        <c:axId val="49516243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2377444"/>
        <c:crosses val="autoZero"/>
        <c:auto val="1"/>
        <c:lblAlgn val="ctr"/>
        <c:lblOffset val="100"/>
        <c:tickLblSkip val="20"/>
        <c:noMultiLvlLbl val="0"/>
      </c:catAx>
      <c:valAx>
        <c:axId val="82377444"/>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495162437"/>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p>
      </c:txPr>
    </c:title>
    <c:autoTitleDeleted val="0"/>
    <c:plotArea>
      <c:layout/>
      <c:lineChart>
        <c:grouping val="standard"/>
        <c:varyColors val="0"/>
        <c:ser>
          <c:idx val="1"/>
          <c:order val="1"/>
          <c:tx>
            <c:strRef>
              <c:f>'[新建 XLSX 工作表(1).xlsx]3650天'!$B$6</c:f>
              <c:strCache>
                <c:ptCount val="1"/>
                <c:pt idx="0">
                  <c:v>3650天         </c:v>
                </c:pt>
              </c:strCache>
            </c:strRef>
          </c:tx>
          <c:spPr>
            <a:ln w="12700" cap="rnd" cmpd="sng">
              <a:solidFill>
                <a:srgbClr val="00B0F0"/>
              </a:solidFill>
              <a:prstDash val="solid"/>
              <a:round/>
            </a:ln>
            <a:effectLst/>
            <a:sp3d contourW="12700"/>
          </c:spPr>
          <c:marker>
            <c:symbol val="circle"/>
            <c:size val="3"/>
            <c:spPr>
              <a:solidFill>
                <a:srgbClr val="00B0F0"/>
              </a:solidFill>
              <a:ln w="9525">
                <a:noFill/>
              </a:ln>
              <a:effectLst/>
            </c:spPr>
          </c:marker>
          <c:dLbls>
            <c:delete val="1"/>
          </c:dLbls>
          <c:cat>
            <c:strRef>
              <c:f>'[新建 XLSX 工作表(1).xlsx]3650天'!$A$7:$A$107</c:f>
              <c:strCache>
                <c:ptCount val="101"/>
                <c:pt idx="0">
                  <c:v>0m</c:v>
                </c:pt>
                <c:pt idx="1">
                  <c:v>5m</c:v>
                </c:pt>
                <c:pt idx="2">
                  <c:v>10m</c:v>
                </c:pt>
                <c:pt idx="3">
                  <c:v>15m</c:v>
                </c:pt>
                <c:pt idx="4">
                  <c:v>20m</c:v>
                </c:pt>
                <c:pt idx="5">
                  <c:v>25m</c:v>
                </c:pt>
                <c:pt idx="6">
                  <c:v>30m</c:v>
                </c:pt>
                <c:pt idx="7">
                  <c:v>35m</c:v>
                </c:pt>
                <c:pt idx="8">
                  <c:v>40m</c:v>
                </c:pt>
                <c:pt idx="9">
                  <c:v>45m</c:v>
                </c:pt>
                <c:pt idx="10">
                  <c:v>50m</c:v>
                </c:pt>
                <c:pt idx="11">
                  <c:v>55m</c:v>
                </c:pt>
                <c:pt idx="12">
                  <c:v>60m</c:v>
                </c:pt>
                <c:pt idx="13">
                  <c:v>65m</c:v>
                </c:pt>
                <c:pt idx="14">
                  <c:v>70m</c:v>
                </c:pt>
                <c:pt idx="15">
                  <c:v>75m</c:v>
                </c:pt>
                <c:pt idx="16">
                  <c:v>80m</c:v>
                </c:pt>
                <c:pt idx="17">
                  <c:v>85m</c:v>
                </c:pt>
                <c:pt idx="18">
                  <c:v>90m</c:v>
                </c:pt>
                <c:pt idx="19">
                  <c:v>95m</c:v>
                </c:pt>
                <c:pt idx="20">
                  <c:v>100m</c:v>
                </c:pt>
                <c:pt idx="21">
                  <c:v>105m</c:v>
                </c:pt>
                <c:pt idx="22">
                  <c:v>110m</c:v>
                </c:pt>
                <c:pt idx="23">
                  <c:v>115m</c:v>
                </c:pt>
                <c:pt idx="24">
                  <c:v>120m</c:v>
                </c:pt>
                <c:pt idx="25">
                  <c:v>125m</c:v>
                </c:pt>
                <c:pt idx="26">
                  <c:v>130m</c:v>
                </c:pt>
                <c:pt idx="27">
                  <c:v>135m</c:v>
                </c:pt>
                <c:pt idx="28">
                  <c:v>140m</c:v>
                </c:pt>
                <c:pt idx="29">
                  <c:v>145m</c:v>
                </c:pt>
                <c:pt idx="30">
                  <c:v>150m</c:v>
                </c:pt>
                <c:pt idx="31">
                  <c:v>155m</c:v>
                </c:pt>
                <c:pt idx="32">
                  <c:v>160m</c:v>
                </c:pt>
                <c:pt idx="33">
                  <c:v>165m</c:v>
                </c:pt>
                <c:pt idx="34">
                  <c:v>170m</c:v>
                </c:pt>
                <c:pt idx="35">
                  <c:v>175m</c:v>
                </c:pt>
                <c:pt idx="36">
                  <c:v>180m</c:v>
                </c:pt>
                <c:pt idx="37">
                  <c:v>185m</c:v>
                </c:pt>
                <c:pt idx="38">
                  <c:v>190m</c:v>
                </c:pt>
                <c:pt idx="39">
                  <c:v>195m</c:v>
                </c:pt>
                <c:pt idx="40">
                  <c:v>200m</c:v>
                </c:pt>
                <c:pt idx="41">
                  <c:v>205m</c:v>
                </c:pt>
                <c:pt idx="42">
                  <c:v>210m</c:v>
                </c:pt>
                <c:pt idx="43">
                  <c:v>215m</c:v>
                </c:pt>
                <c:pt idx="44">
                  <c:v>220m</c:v>
                </c:pt>
                <c:pt idx="45">
                  <c:v>225m</c:v>
                </c:pt>
                <c:pt idx="46">
                  <c:v>230m</c:v>
                </c:pt>
                <c:pt idx="47">
                  <c:v>235m</c:v>
                </c:pt>
                <c:pt idx="48">
                  <c:v>240m</c:v>
                </c:pt>
                <c:pt idx="49">
                  <c:v>245m</c:v>
                </c:pt>
                <c:pt idx="50">
                  <c:v>250m</c:v>
                </c:pt>
                <c:pt idx="51">
                  <c:v>255m</c:v>
                </c:pt>
                <c:pt idx="52">
                  <c:v>260m</c:v>
                </c:pt>
                <c:pt idx="53">
                  <c:v>265m</c:v>
                </c:pt>
                <c:pt idx="54">
                  <c:v>270m</c:v>
                </c:pt>
                <c:pt idx="55">
                  <c:v>275m</c:v>
                </c:pt>
                <c:pt idx="56">
                  <c:v>280m</c:v>
                </c:pt>
                <c:pt idx="57">
                  <c:v>285m</c:v>
                </c:pt>
                <c:pt idx="58">
                  <c:v>290m</c:v>
                </c:pt>
                <c:pt idx="59">
                  <c:v>295m</c:v>
                </c:pt>
                <c:pt idx="60">
                  <c:v>300m</c:v>
                </c:pt>
                <c:pt idx="61">
                  <c:v>305m</c:v>
                </c:pt>
                <c:pt idx="62">
                  <c:v>310m</c:v>
                </c:pt>
                <c:pt idx="63">
                  <c:v>315m</c:v>
                </c:pt>
                <c:pt idx="64">
                  <c:v>320m</c:v>
                </c:pt>
                <c:pt idx="65">
                  <c:v>325m</c:v>
                </c:pt>
                <c:pt idx="66">
                  <c:v>330m</c:v>
                </c:pt>
                <c:pt idx="67">
                  <c:v>335m</c:v>
                </c:pt>
                <c:pt idx="68">
                  <c:v>340m</c:v>
                </c:pt>
                <c:pt idx="69">
                  <c:v>345m</c:v>
                </c:pt>
                <c:pt idx="70">
                  <c:v>350m</c:v>
                </c:pt>
                <c:pt idx="71">
                  <c:v>355m</c:v>
                </c:pt>
                <c:pt idx="72">
                  <c:v>360m</c:v>
                </c:pt>
                <c:pt idx="73">
                  <c:v>365m</c:v>
                </c:pt>
                <c:pt idx="74">
                  <c:v>370m</c:v>
                </c:pt>
                <c:pt idx="75">
                  <c:v>375m</c:v>
                </c:pt>
                <c:pt idx="76">
                  <c:v>380m</c:v>
                </c:pt>
                <c:pt idx="77">
                  <c:v>385m</c:v>
                </c:pt>
                <c:pt idx="78">
                  <c:v>390m</c:v>
                </c:pt>
                <c:pt idx="79">
                  <c:v>395m</c:v>
                </c:pt>
                <c:pt idx="80">
                  <c:v>400m</c:v>
                </c:pt>
                <c:pt idx="81">
                  <c:v>405m</c:v>
                </c:pt>
                <c:pt idx="82">
                  <c:v>410m</c:v>
                </c:pt>
                <c:pt idx="83">
                  <c:v>415m</c:v>
                </c:pt>
                <c:pt idx="84">
                  <c:v>420m</c:v>
                </c:pt>
                <c:pt idx="85">
                  <c:v>425m</c:v>
                </c:pt>
                <c:pt idx="86">
                  <c:v>430m</c:v>
                </c:pt>
                <c:pt idx="87">
                  <c:v>435m</c:v>
                </c:pt>
                <c:pt idx="88">
                  <c:v>440m</c:v>
                </c:pt>
                <c:pt idx="89">
                  <c:v>445m</c:v>
                </c:pt>
                <c:pt idx="90">
                  <c:v>450m</c:v>
                </c:pt>
                <c:pt idx="91">
                  <c:v>455m</c:v>
                </c:pt>
                <c:pt idx="92">
                  <c:v>460m</c:v>
                </c:pt>
                <c:pt idx="93">
                  <c:v>465m</c:v>
                </c:pt>
                <c:pt idx="94">
                  <c:v>470m</c:v>
                </c:pt>
                <c:pt idx="95">
                  <c:v>475m</c:v>
                </c:pt>
                <c:pt idx="96">
                  <c:v>480m</c:v>
                </c:pt>
                <c:pt idx="97">
                  <c:v>485m</c:v>
                </c:pt>
                <c:pt idx="98">
                  <c:v>490m</c:v>
                </c:pt>
                <c:pt idx="99">
                  <c:v>495m</c:v>
                </c:pt>
                <c:pt idx="100">
                  <c:v>500m</c:v>
                </c:pt>
              </c:strCache>
            </c:strRef>
          </c:cat>
          <c:val>
            <c:numRef>
              <c:f>'[新建 XLSX 工作表(1).xlsx]3650天'!$B$7:$B$107</c:f>
              <c:numCache>
                <c:formatCode>0.00_ </c:formatCode>
                <c:ptCount val="101"/>
                <c:pt idx="0">
                  <c:v>0.784</c:v>
                </c:pt>
                <c:pt idx="1">
                  <c:v>1.05</c:v>
                </c:pt>
                <c:pt idx="2">
                  <c:v>1.38</c:v>
                </c:pt>
                <c:pt idx="3">
                  <c:v>1.8</c:v>
                </c:pt>
                <c:pt idx="4">
                  <c:v>2.31</c:v>
                </c:pt>
                <c:pt idx="5">
                  <c:v>2.92</c:v>
                </c:pt>
                <c:pt idx="6">
                  <c:v>3.65</c:v>
                </c:pt>
                <c:pt idx="7">
                  <c:v>4.49</c:v>
                </c:pt>
                <c:pt idx="8">
                  <c:v>5.45</c:v>
                </c:pt>
                <c:pt idx="9">
                  <c:v>6.53</c:v>
                </c:pt>
                <c:pt idx="10">
                  <c:v>7.72</c:v>
                </c:pt>
                <c:pt idx="11">
                  <c:v>9.01</c:v>
                </c:pt>
                <c:pt idx="12">
                  <c:v>10.4</c:v>
                </c:pt>
                <c:pt idx="13">
                  <c:v>11.8</c:v>
                </c:pt>
                <c:pt idx="14">
                  <c:v>13.2</c:v>
                </c:pt>
                <c:pt idx="15">
                  <c:v>14.6</c:v>
                </c:pt>
                <c:pt idx="16">
                  <c:v>16</c:v>
                </c:pt>
                <c:pt idx="17">
                  <c:v>17.2</c:v>
                </c:pt>
                <c:pt idx="18">
                  <c:v>18.4</c:v>
                </c:pt>
                <c:pt idx="19">
                  <c:v>19.3</c:v>
                </c:pt>
                <c:pt idx="20">
                  <c:v>20</c:v>
                </c:pt>
                <c:pt idx="21">
                  <c:v>20.5</c:v>
                </c:pt>
                <c:pt idx="22">
                  <c:v>20.8</c:v>
                </c:pt>
                <c:pt idx="23">
                  <c:v>20.7</c:v>
                </c:pt>
                <c:pt idx="24">
                  <c:v>20.5</c:v>
                </c:pt>
                <c:pt idx="25">
                  <c:v>19.9</c:v>
                </c:pt>
                <c:pt idx="26">
                  <c:v>19.2</c:v>
                </c:pt>
                <c:pt idx="27">
                  <c:v>18.2</c:v>
                </c:pt>
                <c:pt idx="28">
                  <c:v>17.1</c:v>
                </c:pt>
                <c:pt idx="29">
                  <c:v>15.8</c:v>
                </c:pt>
                <c:pt idx="30">
                  <c:v>14.4</c:v>
                </c:pt>
                <c:pt idx="31">
                  <c:v>13</c:v>
                </c:pt>
                <c:pt idx="32">
                  <c:v>11.6</c:v>
                </c:pt>
                <c:pt idx="33">
                  <c:v>10.2</c:v>
                </c:pt>
                <c:pt idx="34">
                  <c:v>8.9</c:v>
                </c:pt>
                <c:pt idx="35">
                  <c:v>7.64</c:v>
                </c:pt>
                <c:pt idx="36">
                  <c:v>6.48</c:v>
                </c:pt>
                <c:pt idx="37">
                  <c:v>5.43</c:v>
                </c:pt>
                <c:pt idx="38">
                  <c:v>4.49</c:v>
                </c:pt>
                <c:pt idx="39">
                  <c:v>3.67</c:v>
                </c:pt>
                <c:pt idx="40">
                  <c:v>2.96</c:v>
                </c:pt>
                <c:pt idx="41">
                  <c:v>2.36</c:v>
                </c:pt>
                <c:pt idx="42">
                  <c:v>1.86</c:v>
                </c:pt>
                <c:pt idx="43">
                  <c:v>1.45</c:v>
                </c:pt>
                <c:pt idx="44">
                  <c:v>1.11</c:v>
                </c:pt>
                <c:pt idx="45">
                  <c:v>0.842</c:v>
                </c:pt>
                <c:pt idx="46">
                  <c:v>0.631</c:v>
                </c:pt>
                <c:pt idx="47">
                  <c:v>0.467</c:v>
                </c:pt>
                <c:pt idx="48">
                  <c:v>0.341</c:v>
                </c:pt>
                <c:pt idx="49">
                  <c:v>0.246</c:v>
                </c:pt>
                <c:pt idx="50">
                  <c:v>0.176</c:v>
                </c:pt>
                <c:pt idx="51">
                  <c:v>0.124</c:v>
                </c:pt>
                <c:pt idx="52">
                  <c:v>0.0862</c:v>
                </c:pt>
                <c:pt idx="53">
                  <c:v>0.0593</c:v>
                </c:pt>
                <c:pt idx="54">
                  <c:v>0.0402</c:v>
                </c:pt>
                <c:pt idx="55">
                  <c:v>0.027</c:v>
                </c:pt>
                <c:pt idx="56">
                  <c:v>0.0179</c:v>
                </c:pt>
                <c:pt idx="57">
                  <c:v>0.0117</c:v>
                </c:pt>
                <c:pt idx="58">
                  <c:v>0.00757</c:v>
                </c:pt>
                <c:pt idx="59">
                  <c:v>0.00484</c:v>
                </c:pt>
                <c:pt idx="60">
                  <c:v>0.00305</c:v>
                </c:pt>
                <c:pt idx="61">
                  <c:v>0.0019</c:v>
                </c:pt>
                <c:pt idx="62">
                  <c:v>0.00117</c:v>
                </c:pt>
                <c:pt idx="63">
                  <c:v>0.000713</c:v>
                </c:pt>
                <c:pt idx="64">
                  <c:v>0.000429</c:v>
                </c:pt>
                <c:pt idx="65">
                  <c:v>0.000255</c:v>
                </c:pt>
                <c:pt idx="66">
                  <c:v>0.000149</c:v>
                </c:pt>
                <c:pt idx="67">
                  <c:v>8.66e-5</c:v>
                </c:pt>
                <c:pt idx="68">
                  <c:v>4.96e-5</c:v>
                </c:pt>
                <c:pt idx="69">
                  <c:v>2.81e-5</c:v>
                </c:pt>
                <c:pt idx="70">
                  <c:v>1.57e-5</c:v>
                </c:pt>
                <c:pt idx="71">
                  <c:v>8.66e-6</c:v>
                </c:pt>
                <c:pt idx="72">
                  <c:v>4.72e-6</c:v>
                </c:pt>
                <c:pt idx="73">
                  <c:v>2.55e-6</c:v>
                </c:pt>
                <c:pt idx="74">
                  <c:v>1.36e-6</c:v>
                </c:pt>
                <c:pt idx="75">
                  <c:v>7.13e-7</c:v>
                </c:pt>
                <c:pt idx="76">
                  <c:v>3.71e-7</c:v>
                </c:pt>
                <c:pt idx="77">
                  <c:v>1.9e-7</c:v>
                </c:pt>
                <c:pt idx="78">
                  <c:v>9.67e-8</c:v>
                </c:pt>
                <c:pt idx="79">
                  <c:v>4.85e-8</c:v>
                </c:pt>
                <c:pt idx="80">
                  <c:v>2.4e-8</c:v>
                </c:pt>
                <c:pt idx="81">
                  <c:v>1.18e-8</c:v>
                </c:pt>
                <c:pt idx="82">
                  <c:v>5.68e-9</c:v>
                </c:pt>
                <c:pt idx="83">
                  <c:v>2.72e-9</c:v>
                </c:pt>
                <c:pt idx="84">
                  <c:v>1.27e-9</c:v>
                </c:pt>
                <c:pt idx="85">
                  <c:v>5.92e-10</c:v>
                </c:pt>
                <c:pt idx="86">
                  <c:v>2.98e-10</c:v>
                </c:pt>
                <c:pt idx="87">
                  <c:v>1.35e-10</c:v>
                </c:pt>
                <c:pt idx="88">
                  <c:v>6.07e-11</c:v>
                </c:pt>
                <c:pt idx="89">
                  <c:v>2.69e-11</c:v>
                </c:pt>
                <c:pt idx="90">
                  <c:v>1.18e-11</c:v>
                </c:pt>
                <c:pt idx="91">
                  <c:v>5.11e-12</c:v>
                </c:pt>
                <c:pt idx="92">
                  <c:v>2.17e-12</c:v>
                </c:pt>
                <c:pt idx="93">
                  <c:v>9.14e-13</c:v>
                </c:pt>
                <c:pt idx="94">
                  <c:v>3.95e-13</c:v>
                </c:pt>
                <c:pt idx="95">
                  <c:v>1.73e-13</c:v>
                </c:pt>
                <c:pt idx="96">
                  <c:v>7.41e-14</c:v>
                </c:pt>
                <c:pt idx="97">
                  <c:v>2.47e-14</c:v>
                </c:pt>
                <c:pt idx="98">
                  <c:v>0</c:v>
                </c:pt>
                <c:pt idx="99">
                  <c:v>0</c:v>
                </c:pt>
                <c:pt idx="100">
                  <c:v>0</c:v>
                </c:pt>
              </c:numCache>
            </c:numRef>
          </c:val>
          <c:smooth val="0"/>
        </c:ser>
        <c:dLbls>
          <c:showLegendKey val="0"/>
          <c:showVal val="0"/>
          <c:showCatName val="0"/>
          <c:showSerName val="0"/>
          <c:showPercent val="0"/>
          <c:showBubbleSize val="0"/>
        </c:dLbls>
        <c:marker val="1"/>
        <c:smooth val="0"/>
        <c:axId val="891736583"/>
        <c:axId val="661015155"/>
        <c:extLst>
          <c:ext xmlns:c15="http://schemas.microsoft.com/office/drawing/2012/chart" uri="{02D57815-91ED-43cb-92C2-25804820EDAC}">
            <c15:filteredLineSeries>
              <c15:ser>
                <c:idx val="0"/>
                <c:order val="0"/>
                <c:tx>
                  <c:strRef>
                    <c:extLst>
                      <c:ext uri="{02D57815-91ED-43cb-92C2-25804820EDAC}">
                        <c15:formulaRef>
                          <c15:sqref>'[新建 XLSX 工作表(1).xlsx]3650天'!$A$6</c15:sqref>
                        </c15:formulaRef>
                      </c:ext>
                    </c:extLst>
                    <c:strCache>
                      <c:ptCount val="1"/>
                      <c:pt idx="0">
                        <c:v>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extLst>
                      <c:ext uri="{02D57815-91ED-43cb-92C2-25804820EDAC}">
                        <c15:fullRef>
                          <c15:sqref/>
                        </c15:fullRef>
                        <c15:formulaRef>
                          <c15:sqref>'[新建 XLSX 工作表(1).xlsx]3650天'!$A$7:$A$107</c15:sqref>
                        </c15:formulaRef>
                      </c:ext>
                    </c:extLst>
                    <c:strCache>
                      <c:ptCount val="101"/>
                      <c:pt idx="0">
                        <c:v>0m</c:v>
                      </c:pt>
                      <c:pt idx="1">
                        <c:v>5m</c:v>
                      </c:pt>
                      <c:pt idx="2">
                        <c:v>10m</c:v>
                      </c:pt>
                      <c:pt idx="3">
                        <c:v>15m</c:v>
                      </c:pt>
                      <c:pt idx="4">
                        <c:v>20m</c:v>
                      </c:pt>
                      <c:pt idx="5">
                        <c:v>25m</c:v>
                      </c:pt>
                      <c:pt idx="6">
                        <c:v>30m</c:v>
                      </c:pt>
                      <c:pt idx="7">
                        <c:v>35m</c:v>
                      </c:pt>
                      <c:pt idx="8">
                        <c:v>40m</c:v>
                      </c:pt>
                      <c:pt idx="9">
                        <c:v>45m</c:v>
                      </c:pt>
                      <c:pt idx="10">
                        <c:v>50m</c:v>
                      </c:pt>
                      <c:pt idx="11">
                        <c:v>55m</c:v>
                      </c:pt>
                      <c:pt idx="12">
                        <c:v>60m</c:v>
                      </c:pt>
                      <c:pt idx="13">
                        <c:v>65m</c:v>
                      </c:pt>
                      <c:pt idx="14">
                        <c:v>70m</c:v>
                      </c:pt>
                      <c:pt idx="15">
                        <c:v>75m</c:v>
                      </c:pt>
                      <c:pt idx="16">
                        <c:v>80m</c:v>
                      </c:pt>
                      <c:pt idx="17">
                        <c:v>85m</c:v>
                      </c:pt>
                      <c:pt idx="18">
                        <c:v>90m</c:v>
                      </c:pt>
                      <c:pt idx="19">
                        <c:v>95m</c:v>
                      </c:pt>
                      <c:pt idx="20">
                        <c:v>100m</c:v>
                      </c:pt>
                      <c:pt idx="21">
                        <c:v>105m</c:v>
                      </c:pt>
                      <c:pt idx="22">
                        <c:v>110m</c:v>
                      </c:pt>
                      <c:pt idx="23">
                        <c:v>115m</c:v>
                      </c:pt>
                      <c:pt idx="24">
                        <c:v>120m</c:v>
                      </c:pt>
                      <c:pt idx="25">
                        <c:v>125m</c:v>
                      </c:pt>
                      <c:pt idx="26">
                        <c:v>130m</c:v>
                      </c:pt>
                      <c:pt idx="27">
                        <c:v>135m</c:v>
                      </c:pt>
                      <c:pt idx="28">
                        <c:v>140m</c:v>
                      </c:pt>
                      <c:pt idx="29">
                        <c:v>145m</c:v>
                      </c:pt>
                      <c:pt idx="30">
                        <c:v>150m</c:v>
                      </c:pt>
                      <c:pt idx="31">
                        <c:v>155m</c:v>
                      </c:pt>
                      <c:pt idx="32">
                        <c:v>160m</c:v>
                      </c:pt>
                      <c:pt idx="33">
                        <c:v>165m</c:v>
                      </c:pt>
                      <c:pt idx="34">
                        <c:v>170m</c:v>
                      </c:pt>
                      <c:pt idx="35">
                        <c:v>175m</c:v>
                      </c:pt>
                      <c:pt idx="36">
                        <c:v>180m</c:v>
                      </c:pt>
                      <c:pt idx="37">
                        <c:v>185m</c:v>
                      </c:pt>
                      <c:pt idx="38">
                        <c:v>190m</c:v>
                      </c:pt>
                      <c:pt idx="39">
                        <c:v>195m</c:v>
                      </c:pt>
                      <c:pt idx="40">
                        <c:v>200m</c:v>
                      </c:pt>
                      <c:pt idx="41">
                        <c:v>205m</c:v>
                      </c:pt>
                      <c:pt idx="42">
                        <c:v>210m</c:v>
                      </c:pt>
                      <c:pt idx="43">
                        <c:v>215m</c:v>
                      </c:pt>
                      <c:pt idx="44">
                        <c:v>220m</c:v>
                      </c:pt>
                      <c:pt idx="45">
                        <c:v>225m</c:v>
                      </c:pt>
                      <c:pt idx="46">
                        <c:v>230m</c:v>
                      </c:pt>
                      <c:pt idx="47">
                        <c:v>235m</c:v>
                      </c:pt>
                      <c:pt idx="48">
                        <c:v>240m</c:v>
                      </c:pt>
                      <c:pt idx="49">
                        <c:v>245m</c:v>
                      </c:pt>
                      <c:pt idx="50">
                        <c:v>250m</c:v>
                      </c:pt>
                      <c:pt idx="51">
                        <c:v>255m</c:v>
                      </c:pt>
                      <c:pt idx="52">
                        <c:v>260m</c:v>
                      </c:pt>
                      <c:pt idx="53">
                        <c:v>265m</c:v>
                      </c:pt>
                      <c:pt idx="54">
                        <c:v>270m</c:v>
                      </c:pt>
                      <c:pt idx="55">
                        <c:v>275m</c:v>
                      </c:pt>
                      <c:pt idx="56">
                        <c:v>280m</c:v>
                      </c:pt>
                      <c:pt idx="57">
                        <c:v>285m</c:v>
                      </c:pt>
                      <c:pt idx="58">
                        <c:v>290m</c:v>
                      </c:pt>
                      <c:pt idx="59">
                        <c:v>295m</c:v>
                      </c:pt>
                      <c:pt idx="60">
                        <c:v>300m</c:v>
                      </c:pt>
                      <c:pt idx="61">
                        <c:v>305m</c:v>
                      </c:pt>
                      <c:pt idx="62">
                        <c:v>310m</c:v>
                      </c:pt>
                      <c:pt idx="63">
                        <c:v>315m</c:v>
                      </c:pt>
                      <c:pt idx="64">
                        <c:v>320m</c:v>
                      </c:pt>
                      <c:pt idx="65">
                        <c:v>325m</c:v>
                      </c:pt>
                      <c:pt idx="66">
                        <c:v>330m</c:v>
                      </c:pt>
                      <c:pt idx="67">
                        <c:v>335m</c:v>
                      </c:pt>
                      <c:pt idx="68">
                        <c:v>340m</c:v>
                      </c:pt>
                      <c:pt idx="69">
                        <c:v>345m</c:v>
                      </c:pt>
                      <c:pt idx="70">
                        <c:v>350m</c:v>
                      </c:pt>
                      <c:pt idx="71">
                        <c:v>355m</c:v>
                      </c:pt>
                      <c:pt idx="72">
                        <c:v>360m</c:v>
                      </c:pt>
                      <c:pt idx="73">
                        <c:v>365m</c:v>
                      </c:pt>
                      <c:pt idx="74">
                        <c:v>370m</c:v>
                      </c:pt>
                      <c:pt idx="75">
                        <c:v>375m</c:v>
                      </c:pt>
                      <c:pt idx="76">
                        <c:v>380m</c:v>
                      </c:pt>
                      <c:pt idx="77">
                        <c:v>385m</c:v>
                      </c:pt>
                      <c:pt idx="78">
                        <c:v>390m</c:v>
                      </c:pt>
                      <c:pt idx="79">
                        <c:v>395m</c:v>
                      </c:pt>
                      <c:pt idx="80">
                        <c:v>400m</c:v>
                      </c:pt>
                      <c:pt idx="81">
                        <c:v>405m</c:v>
                      </c:pt>
                      <c:pt idx="82">
                        <c:v>410m</c:v>
                      </c:pt>
                      <c:pt idx="83">
                        <c:v>415m</c:v>
                      </c:pt>
                      <c:pt idx="84">
                        <c:v>420m</c:v>
                      </c:pt>
                      <c:pt idx="85">
                        <c:v>425m</c:v>
                      </c:pt>
                      <c:pt idx="86">
                        <c:v>430m</c:v>
                      </c:pt>
                      <c:pt idx="87">
                        <c:v>435m</c:v>
                      </c:pt>
                      <c:pt idx="88">
                        <c:v>440m</c:v>
                      </c:pt>
                      <c:pt idx="89">
                        <c:v>445m</c:v>
                      </c:pt>
                      <c:pt idx="90">
                        <c:v>450m</c:v>
                      </c:pt>
                      <c:pt idx="91">
                        <c:v>455m</c:v>
                      </c:pt>
                      <c:pt idx="92">
                        <c:v>460m</c:v>
                      </c:pt>
                      <c:pt idx="93">
                        <c:v>465m</c:v>
                      </c:pt>
                      <c:pt idx="94">
                        <c:v>470m</c:v>
                      </c:pt>
                      <c:pt idx="95">
                        <c:v>475m</c:v>
                      </c:pt>
                      <c:pt idx="96">
                        <c:v>480m</c:v>
                      </c:pt>
                      <c:pt idx="97">
                        <c:v>485m</c:v>
                      </c:pt>
                      <c:pt idx="98">
                        <c:v>490m</c:v>
                      </c:pt>
                      <c:pt idx="99">
                        <c:v>495m</c:v>
                      </c:pt>
                      <c:pt idx="100">
                        <c:v>500m</c:v>
                      </c:pt>
                    </c:strCache>
                  </c:strRef>
                </c:cat>
                <c:val>
                  <c:numRef>
                    <c:extLst>
                      <c:ext uri="{02D57815-91ED-43cb-92C2-25804820EDAC}">
                        <c15:formulaRef>
                          <c15:sqref>{0,0,0,0,0,0,0,0,0,0,0,0,0,0,0,0,0,0,0,0,0,0,0,0,0,0,0,0,0,0,0,0,0,0,0,0,0,0,0,0,0,0,0,0,0,0,0,0,0,0,0,0,0,0,0,0,0,0,0,0,0,0,0,0,0,0,0,0,0,0,0,0,0,0,0,0,0,0,0,0,0,0,0,0,0,0,0,0,0,0,0,0,0,0,0,0,0,0,0,0,0}</c15:sqref>
                        </c15:formulaRef>
                      </c:ext>
                    </c:extLst>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15:ser>
            </c15:filteredLineSeries>
          </c:ext>
        </c:extLst>
      </c:lineChart>
      <c:catAx>
        <c:axId val="89173658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61015155"/>
        <c:crosses val="autoZero"/>
        <c:auto val="1"/>
        <c:lblAlgn val="ctr"/>
        <c:lblOffset val="100"/>
        <c:tickLblSkip val="20"/>
        <c:noMultiLvlLbl val="0"/>
      </c:catAx>
      <c:valAx>
        <c:axId val="661015155"/>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891736583"/>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p>
      </c:txPr>
    </c:title>
    <c:autoTitleDeleted val="0"/>
    <c:plotArea>
      <c:layout/>
      <c:lineChart>
        <c:grouping val="standard"/>
        <c:varyColors val="0"/>
        <c:ser>
          <c:idx val="1"/>
          <c:order val="1"/>
          <c:tx>
            <c:strRef>
              <c:f>'[新建 XLSX 工作表(1).xlsx]7300天'!$B$6</c:f>
              <c:strCache>
                <c:ptCount val="1"/>
                <c:pt idx="0">
                  <c:v>7300天         </c:v>
                </c:pt>
              </c:strCache>
            </c:strRef>
          </c:tx>
          <c:spPr>
            <a:ln w="12700" cap="rnd" cmpd="sng">
              <a:solidFill>
                <a:srgbClr val="00B0F0"/>
              </a:solidFill>
              <a:prstDash val="solid"/>
              <a:round/>
            </a:ln>
            <a:effectLst/>
            <a:sp3d contourW="12700"/>
          </c:spPr>
          <c:marker>
            <c:symbol val="circle"/>
            <c:size val="3"/>
            <c:spPr>
              <a:solidFill>
                <a:srgbClr val="00B0F0"/>
              </a:solidFill>
              <a:ln w="9525">
                <a:noFill/>
              </a:ln>
              <a:effectLst/>
            </c:spPr>
          </c:marker>
          <c:dLbls>
            <c:delete val="1"/>
          </c:dLbls>
          <c:cat>
            <c:strRef>
              <c:f>'[新建 XLSX 工作表(1).xlsx]7300天'!$A$7:$A$107</c:f>
              <c:strCache>
                <c:ptCount val="101"/>
                <c:pt idx="0">
                  <c:v>0m</c:v>
                </c:pt>
                <c:pt idx="1">
                  <c:v>5m</c:v>
                </c:pt>
                <c:pt idx="2">
                  <c:v>10m</c:v>
                </c:pt>
                <c:pt idx="3">
                  <c:v>15m</c:v>
                </c:pt>
                <c:pt idx="4">
                  <c:v>20m</c:v>
                </c:pt>
                <c:pt idx="5">
                  <c:v>25m</c:v>
                </c:pt>
                <c:pt idx="6">
                  <c:v>30m</c:v>
                </c:pt>
                <c:pt idx="7">
                  <c:v>35m</c:v>
                </c:pt>
                <c:pt idx="8">
                  <c:v>40m</c:v>
                </c:pt>
                <c:pt idx="9">
                  <c:v>45m</c:v>
                </c:pt>
                <c:pt idx="10">
                  <c:v>50m</c:v>
                </c:pt>
                <c:pt idx="11">
                  <c:v>55m</c:v>
                </c:pt>
                <c:pt idx="12">
                  <c:v>60m</c:v>
                </c:pt>
                <c:pt idx="13">
                  <c:v>65m</c:v>
                </c:pt>
                <c:pt idx="14">
                  <c:v>70m</c:v>
                </c:pt>
                <c:pt idx="15">
                  <c:v>75m</c:v>
                </c:pt>
                <c:pt idx="16">
                  <c:v>80m</c:v>
                </c:pt>
                <c:pt idx="17">
                  <c:v>85m</c:v>
                </c:pt>
                <c:pt idx="18">
                  <c:v>90m</c:v>
                </c:pt>
                <c:pt idx="19">
                  <c:v>95m</c:v>
                </c:pt>
                <c:pt idx="20">
                  <c:v>100m</c:v>
                </c:pt>
                <c:pt idx="21">
                  <c:v>105m</c:v>
                </c:pt>
                <c:pt idx="22">
                  <c:v>110m</c:v>
                </c:pt>
                <c:pt idx="23">
                  <c:v>115m</c:v>
                </c:pt>
                <c:pt idx="24">
                  <c:v>120m</c:v>
                </c:pt>
                <c:pt idx="25">
                  <c:v>125m</c:v>
                </c:pt>
                <c:pt idx="26">
                  <c:v>130m</c:v>
                </c:pt>
                <c:pt idx="27">
                  <c:v>135m</c:v>
                </c:pt>
                <c:pt idx="28">
                  <c:v>140m</c:v>
                </c:pt>
                <c:pt idx="29">
                  <c:v>145m</c:v>
                </c:pt>
                <c:pt idx="30">
                  <c:v>150m</c:v>
                </c:pt>
                <c:pt idx="31">
                  <c:v>155m</c:v>
                </c:pt>
                <c:pt idx="32">
                  <c:v>160m</c:v>
                </c:pt>
                <c:pt idx="33">
                  <c:v>165m</c:v>
                </c:pt>
                <c:pt idx="34">
                  <c:v>170m</c:v>
                </c:pt>
                <c:pt idx="35">
                  <c:v>175m</c:v>
                </c:pt>
                <c:pt idx="36">
                  <c:v>180m</c:v>
                </c:pt>
                <c:pt idx="37">
                  <c:v>185m</c:v>
                </c:pt>
                <c:pt idx="38">
                  <c:v>190m</c:v>
                </c:pt>
                <c:pt idx="39">
                  <c:v>195m</c:v>
                </c:pt>
                <c:pt idx="40">
                  <c:v>200m</c:v>
                </c:pt>
                <c:pt idx="41">
                  <c:v>205m</c:v>
                </c:pt>
                <c:pt idx="42">
                  <c:v>210m</c:v>
                </c:pt>
                <c:pt idx="43">
                  <c:v>215m</c:v>
                </c:pt>
                <c:pt idx="44">
                  <c:v>220m</c:v>
                </c:pt>
                <c:pt idx="45">
                  <c:v>225m</c:v>
                </c:pt>
                <c:pt idx="46">
                  <c:v>230m</c:v>
                </c:pt>
                <c:pt idx="47">
                  <c:v>235m</c:v>
                </c:pt>
                <c:pt idx="48">
                  <c:v>240m</c:v>
                </c:pt>
                <c:pt idx="49">
                  <c:v>245m</c:v>
                </c:pt>
                <c:pt idx="50">
                  <c:v>250m</c:v>
                </c:pt>
                <c:pt idx="51">
                  <c:v>255m</c:v>
                </c:pt>
                <c:pt idx="52">
                  <c:v>260m</c:v>
                </c:pt>
                <c:pt idx="53">
                  <c:v>265m</c:v>
                </c:pt>
                <c:pt idx="54">
                  <c:v>270m</c:v>
                </c:pt>
                <c:pt idx="55">
                  <c:v>275m</c:v>
                </c:pt>
                <c:pt idx="56">
                  <c:v>280m</c:v>
                </c:pt>
                <c:pt idx="57">
                  <c:v>285m</c:v>
                </c:pt>
                <c:pt idx="58">
                  <c:v>290m</c:v>
                </c:pt>
                <c:pt idx="59">
                  <c:v>295m</c:v>
                </c:pt>
                <c:pt idx="60">
                  <c:v>300m</c:v>
                </c:pt>
                <c:pt idx="61">
                  <c:v>305m</c:v>
                </c:pt>
                <c:pt idx="62">
                  <c:v>310m</c:v>
                </c:pt>
                <c:pt idx="63">
                  <c:v>315m</c:v>
                </c:pt>
                <c:pt idx="64">
                  <c:v>320m</c:v>
                </c:pt>
                <c:pt idx="65">
                  <c:v>325m</c:v>
                </c:pt>
                <c:pt idx="66">
                  <c:v>330m</c:v>
                </c:pt>
                <c:pt idx="67">
                  <c:v>335m</c:v>
                </c:pt>
                <c:pt idx="68">
                  <c:v>340m</c:v>
                </c:pt>
                <c:pt idx="69">
                  <c:v>345m</c:v>
                </c:pt>
                <c:pt idx="70">
                  <c:v>350m</c:v>
                </c:pt>
                <c:pt idx="71">
                  <c:v>355m</c:v>
                </c:pt>
                <c:pt idx="72">
                  <c:v>360m</c:v>
                </c:pt>
                <c:pt idx="73">
                  <c:v>365m</c:v>
                </c:pt>
                <c:pt idx="74">
                  <c:v>370m</c:v>
                </c:pt>
                <c:pt idx="75">
                  <c:v>375m</c:v>
                </c:pt>
                <c:pt idx="76">
                  <c:v>380m</c:v>
                </c:pt>
                <c:pt idx="77">
                  <c:v>385m</c:v>
                </c:pt>
                <c:pt idx="78">
                  <c:v>390m</c:v>
                </c:pt>
                <c:pt idx="79">
                  <c:v>395m</c:v>
                </c:pt>
                <c:pt idx="80">
                  <c:v>400m</c:v>
                </c:pt>
                <c:pt idx="81">
                  <c:v>405m</c:v>
                </c:pt>
                <c:pt idx="82">
                  <c:v>410m</c:v>
                </c:pt>
                <c:pt idx="83">
                  <c:v>415m</c:v>
                </c:pt>
                <c:pt idx="84">
                  <c:v>420m</c:v>
                </c:pt>
                <c:pt idx="85">
                  <c:v>425m</c:v>
                </c:pt>
                <c:pt idx="86">
                  <c:v>430m</c:v>
                </c:pt>
                <c:pt idx="87">
                  <c:v>435m</c:v>
                </c:pt>
                <c:pt idx="88">
                  <c:v>440m</c:v>
                </c:pt>
                <c:pt idx="89">
                  <c:v>445m</c:v>
                </c:pt>
                <c:pt idx="90">
                  <c:v>450m</c:v>
                </c:pt>
                <c:pt idx="91">
                  <c:v>455m</c:v>
                </c:pt>
                <c:pt idx="92">
                  <c:v>460m</c:v>
                </c:pt>
                <c:pt idx="93">
                  <c:v>465m</c:v>
                </c:pt>
                <c:pt idx="94">
                  <c:v>470m</c:v>
                </c:pt>
                <c:pt idx="95">
                  <c:v>475m</c:v>
                </c:pt>
                <c:pt idx="96">
                  <c:v>480m</c:v>
                </c:pt>
                <c:pt idx="97">
                  <c:v>485m</c:v>
                </c:pt>
                <c:pt idx="98">
                  <c:v>490m</c:v>
                </c:pt>
                <c:pt idx="99">
                  <c:v>495m</c:v>
                </c:pt>
                <c:pt idx="100">
                  <c:v>500m</c:v>
                </c:pt>
              </c:strCache>
            </c:strRef>
          </c:cat>
          <c:val>
            <c:numRef>
              <c:f>'[新建 XLSX 工作表(1).xlsx]7300天'!$B$7:$B$107</c:f>
              <c:numCache>
                <c:formatCode>0.00_ </c:formatCode>
                <c:ptCount val="101"/>
                <c:pt idx="0">
                  <c:v>0.0398</c:v>
                </c:pt>
                <c:pt idx="1">
                  <c:v>0.0521</c:v>
                </c:pt>
                <c:pt idx="2">
                  <c:v>0.0679</c:v>
                </c:pt>
                <c:pt idx="3">
                  <c:v>0.0879</c:v>
                </c:pt>
                <c:pt idx="4">
                  <c:v>0.113</c:v>
                </c:pt>
                <c:pt idx="5">
                  <c:v>0.144</c:v>
                </c:pt>
                <c:pt idx="6">
                  <c:v>0.183</c:v>
                </c:pt>
                <c:pt idx="7">
                  <c:v>0.231</c:v>
                </c:pt>
                <c:pt idx="8">
                  <c:v>0.289</c:v>
                </c:pt>
                <c:pt idx="9">
                  <c:v>0.36</c:v>
                </c:pt>
                <c:pt idx="10">
                  <c:v>0.445</c:v>
                </c:pt>
                <c:pt idx="11">
                  <c:v>0.547</c:v>
                </c:pt>
                <c:pt idx="12">
                  <c:v>0.667</c:v>
                </c:pt>
                <c:pt idx="13">
                  <c:v>0.81</c:v>
                </c:pt>
                <c:pt idx="14">
                  <c:v>0.976</c:v>
                </c:pt>
                <c:pt idx="15">
                  <c:v>1.17</c:v>
                </c:pt>
                <c:pt idx="16">
                  <c:v>1.39</c:v>
                </c:pt>
                <c:pt idx="17">
                  <c:v>1.65</c:v>
                </c:pt>
                <c:pt idx="18">
                  <c:v>1.93</c:v>
                </c:pt>
                <c:pt idx="19">
                  <c:v>2.26</c:v>
                </c:pt>
                <c:pt idx="20">
                  <c:v>2.62</c:v>
                </c:pt>
                <c:pt idx="21">
                  <c:v>3.03</c:v>
                </c:pt>
                <c:pt idx="22">
                  <c:v>3.47</c:v>
                </c:pt>
                <c:pt idx="23">
                  <c:v>3.95</c:v>
                </c:pt>
                <c:pt idx="24">
                  <c:v>4.47</c:v>
                </c:pt>
                <c:pt idx="25">
                  <c:v>5.03</c:v>
                </c:pt>
                <c:pt idx="26">
                  <c:v>5.62</c:v>
                </c:pt>
                <c:pt idx="27">
                  <c:v>6.24</c:v>
                </c:pt>
                <c:pt idx="28">
                  <c:v>6.89</c:v>
                </c:pt>
                <c:pt idx="29">
                  <c:v>7.56</c:v>
                </c:pt>
                <c:pt idx="30">
                  <c:v>8.24</c:v>
                </c:pt>
                <c:pt idx="31">
                  <c:v>8.93</c:v>
                </c:pt>
                <c:pt idx="32">
                  <c:v>9.62</c:v>
                </c:pt>
                <c:pt idx="33">
                  <c:v>10.3</c:v>
                </c:pt>
                <c:pt idx="34">
                  <c:v>10.9</c:v>
                </c:pt>
                <c:pt idx="35">
                  <c:v>11.6</c:v>
                </c:pt>
                <c:pt idx="36">
                  <c:v>12.2</c:v>
                </c:pt>
                <c:pt idx="37">
                  <c:v>12.7</c:v>
                </c:pt>
                <c:pt idx="38">
                  <c:v>13.2</c:v>
                </c:pt>
                <c:pt idx="39">
                  <c:v>13.6</c:v>
                </c:pt>
                <c:pt idx="40">
                  <c:v>13.9</c:v>
                </c:pt>
                <c:pt idx="41">
                  <c:v>14.2</c:v>
                </c:pt>
                <c:pt idx="42">
                  <c:v>14.3</c:v>
                </c:pt>
                <c:pt idx="43">
                  <c:v>14.4</c:v>
                </c:pt>
                <c:pt idx="44">
                  <c:v>14.4</c:v>
                </c:pt>
                <c:pt idx="45">
                  <c:v>14.3</c:v>
                </c:pt>
                <c:pt idx="46">
                  <c:v>14.2</c:v>
                </c:pt>
                <c:pt idx="47">
                  <c:v>13.9</c:v>
                </c:pt>
                <c:pt idx="48">
                  <c:v>13.6</c:v>
                </c:pt>
                <c:pt idx="49">
                  <c:v>13.2</c:v>
                </c:pt>
                <c:pt idx="50">
                  <c:v>12.7</c:v>
                </c:pt>
                <c:pt idx="51">
                  <c:v>12.1</c:v>
                </c:pt>
                <c:pt idx="52">
                  <c:v>11.6</c:v>
                </c:pt>
                <c:pt idx="53">
                  <c:v>10.9</c:v>
                </c:pt>
                <c:pt idx="54">
                  <c:v>10.3</c:v>
                </c:pt>
                <c:pt idx="55">
                  <c:v>9.61</c:v>
                </c:pt>
                <c:pt idx="56">
                  <c:v>8.93</c:v>
                </c:pt>
                <c:pt idx="57">
                  <c:v>8.24</c:v>
                </c:pt>
                <c:pt idx="58">
                  <c:v>7.56</c:v>
                </c:pt>
                <c:pt idx="59">
                  <c:v>6.9</c:v>
                </c:pt>
                <c:pt idx="60">
                  <c:v>6.25</c:v>
                </c:pt>
                <c:pt idx="61">
                  <c:v>5.63</c:v>
                </c:pt>
                <c:pt idx="62">
                  <c:v>5.04</c:v>
                </c:pt>
                <c:pt idx="63">
                  <c:v>4.49</c:v>
                </c:pt>
                <c:pt idx="64">
                  <c:v>3.97</c:v>
                </c:pt>
                <c:pt idx="65">
                  <c:v>3.49</c:v>
                </c:pt>
                <c:pt idx="66">
                  <c:v>3.05</c:v>
                </c:pt>
                <c:pt idx="67">
                  <c:v>2.65</c:v>
                </c:pt>
                <c:pt idx="68">
                  <c:v>2.29</c:v>
                </c:pt>
                <c:pt idx="69">
                  <c:v>1.96</c:v>
                </c:pt>
                <c:pt idx="70">
                  <c:v>1.67</c:v>
                </c:pt>
                <c:pt idx="71">
                  <c:v>1.42</c:v>
                </c:pt>
                <c:pt idx="72">
                  <c:v>1.2</c:v>
                </c:pt>
                <c:pt idx="73">
                  <c:v>1</c:v>
                </c:pt>
                <c:pt idx="74">
                  <c:v>0.833</c:v>
                </c:pt>
                <c:pt idx="75">
                  <c:v>0.689</c:v>
                </c:pt>
                <c:pt idx="76">
                  <c:v>0.567</c:v>
                </c:pt>
                <c:pt idx="77">
                  <c:v>0.463</c:v>
                </c:pt>
                <c:pt idx="78">
                  <c:v>0.376</c:v>
                </c:pt>
                <c:pt idx="79">
                  <c:v>0.304</c:v>
                </c:pt>
                <c:pt idx="80">
                  <c:v>0.244</c:v>
                </c:pt>
                <c:pt idx="81">
                  <c:v>0.194</c:v>
                </c:pt>
                <c:pt idx="82">
                  <c:v>0.154</c:v>
                </c:pt>
                <c:pt idx="83">
                  <c:v>0.121</c:v>
                </c:pt>
                <c:pt idx="84">
                  <c:v>0.0951</c:v>
                </c:pt>
                <c:pt idx="85">
                  <c:v>0.0741</c:v>
                </c:pt>
                <c:pt idx="86">
                  <c:v>0.0573</c:v>
                </c:pt>
                <c:pt idx="87">
                  <c:v>0.0441</c:v>
                </c:pt>
                <c:pt idx="88">
                  <c:v>0.0337</c:v>
                </c:pt>
                <c:pt idx="89">
                  <c:v>0.0256</c:v>
                </c:pt>
                <c:pt idx="90">
                  <c:v>0.0193</c:v>
                </c:pt>
                <c:pt idx="91">
                  <c:v>0.0145</c:v>
                </c:pt>
                <c:pt idx="92">
                  <c:v>0.0108</c:v>
                </c:pt>
                <c:pt idx="93">
                  <c:v>0.00804</c:v>
                </c:pt>
                <c:pt idx="94">
                  <c:v>0.00593</c:v>
                </c:pt>
                <c:pt idx="95">
                  <c:v>0.00434</c:v>
                </c:pt>
                <c:pt idx="96">
                  <c:v>0.00316</c:v>
                </c:pt>
                <c:pt idx="97">
                  <c:v>0.00229</c:v>
                </c:pt>
                <c:pt idx="98">
                  <c:v>0.00165</c:v>
                </c:pt>
                <c:pt idx="99">
                  <c:v>0.00118</c:v>
                </c:pt>
                <c:pt idx="100">
                  <c:v>0.000838</c:v>
                </c:pt>
              </c:numCache>
            </c:numRef>
          </c:val>
          <c:smooth val="0"/>
        </c:ser>
        <c:dLbls>
          <c:showLegendKey val="0"/>
          <c:showVal val="0"/>
          <c:showCatName val="0"/>
          <c:showSerName val="0"/>
          <c:showPercent val="0"/>
          <c:showBubbleSize val="0"/>
        </c:dLbls>
        <c:marker val="1"/>
        <c:smooth val="0"/>
        <c:axId val="744401015"/>
        <c:axId val="488096354"/>
        <c:extLst>
          <c:ext xmlns:c15="http://schemas.microsoft.com/office/drawing/2012/chart" uri="{02D57815-91ED-43cb-92C2-25804820EDAC}">
            <c15:filteredLineSeries>
              <c15:ser>
                <c:idx val="0"/>
                <c:order val="0"/>
                <c:tx>
                  <c:strRef>
                    <c:extLst>
                      <c:ext uri="{02D57815-91ED-43cb-92C2-25804820EDAC}">
                        <c15:formulaRef>
                          <c15:sqref>'[新建 XLSX 工作表(1).xlsx]7300天'!$A$6</c15:sqref>
                        </c15:formulaRef>
                      </c:ext>
                    </c:extLst>
                    <c:strCache>
                      <c:ptCount val="1"/>
                      <c:pt idx="0">
                        <c:v>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extLst>
                      <c:ext uri="{02D57815-91ED-43cb-92C2-25804820EDAC}">
                        <c15:fullRef>
                          <c15:sqref/>
                        </c15:fullRef>
                        <c15:formulaRef>
                          <c15:sqref>'[新建 XLSX 工作表(1).xlsx]7300天'!$A$7:$A$107</c15:sqref>
                        </c15:formulaRef>
                      </c:ext>
                    </c:extLst>
                    <c:strCache>
                      <c:ptCount val="101"/>
                      <c:pt idx="0">
                        <c:v>0m</c:v>
                      </c:pt>
                      <c:pt idx="1">
                        <c:v>5m</c:v>
                      </c:pt>
                      <c:pt idx="2">
                        <c:v>10m</c:v>
                      </c:pt>
                      <c:pt idx="3">
                        <c:v>15m</c:v>
                      </c:pt>
                      <c:pt idx="4">
                        <c:v>20m</c:v>
                      </c:pt>
                      <c:pt idx="5">
                        <c:v>25m</c:v>
                      </c:pt>
                      <c:pt idx="6">
                        <c:v>30m</c:v>
                      </c:pt>
                      <c:pt idx="7">
                        <c:v>35m</c:v>
                      </c:pt>
                      <c:pt idx="8">
                        <c:v>40m</c:v>
                      </c:pt>
                      <c:pt idx="9">
                        <c:v>45m</c:v>
                      </c:pt>
                      <c:pt idx="10">
                        <c:v>50m</c:v>
                      </c:pt>
                      <c:pt idx="11">
                        <c:v>55m</c:v>
                      </c:pt>
                      <c:pt idx="12">
                        <c:v>60m</c:v>
                      </c:pt>
                      <c:pt idx="13">
                        <c:v>65m</c:v>
                      </c:pt>
                      <c:pt idx="14">
                        <c:v>70m</c:v>
                      </c:pt>
                      <c:pt idx="15">
                        <c:v>75m</c:v>
                      </c:pt>
                      <c:pt idx="16">
                        <c:v>80m</c:v>
                      </c:pt>
                      <c:pt idx="17">
                        <c:v>85m</c:v>
                      </c:pt>
                      <c:pt idx="18">
                        <c:v>90m</c:v>
                      </c:pt>
                      <c:pt idx="19">
                        <c:v>95m</c:v>
                      </c:pt>
                      <c:pt idx="20">
                        <c:v>100m</c:v>
                      </c:pt>
                      <c:pt idx="21">
                        <c:v>105m</c:v>
                      </c:pt>
                      <c:pt idx="22">
                        <c:v>110m</c:v>
                      </c:pt>
                      <c:pt idx="23">
                        <c:v>115m</c:v>
                      </c:pt>
                      <c:pt idx="24">
                        <c:v>120m</c:v>
                      </c:pt>
                      <c:pt idx="25">
                        <c:v>125m</c:v>
                      </c:pt>
                      <c:pt idx="26">
                        <c:v>130m</c:v>
                      </c:pt>
                      <c:pt idx="27">
                        <c:v>135m</c:v>
                      </c:pt>
                      <c:pt idx="28">
                        <c:v>140m</c:v>
                      </c:pt>
                      <c:pt idx="29">
                        <c:v>145m</c:v>
                      </c:pt>
                      <c:pt idx="30">
                        <c:v>150m</c:v>
                      </c:pt>
                      <c:pt idx="31">
                        <c:v>155m</c:v>
                      </c:pt>
                      <c:pt idx="32">
                        <c:v>160m</c:v>
                      </c:pt>
                      <c:pt idx="33">
                        <c:v>165m</c:v>
                      </c:pt>
                      <c:pt idx="34">
                        <c:v>170m</c:v>
                      </c:pt>
                      <c:pt idx="35">
                        <c:v>175m</c:v>
                      </c:pt>
                      <c:pt idx="36">
                        <c:v>180m</c:v>
                      </c:pt>
                      <c:pt idx="37">
                        <c:v>185m</c:v>
                      </c:pt>
                      <c:pt idx="38">
                        <c:v>190m</c:v>
                      </c:pt>
                      <c:pt idx="39">
                        <c:v>195m</c:v>
                      </c:pt>
                      <c:pt idx="40">
                        <c:v>200m</c:v>
                      </c:pt>
                      <c:pt idx="41">
                        <c:v>205m</c:v>
                      </c:pt>
                      <c:pt idx="42">
                        <c:v>210m</c:v>
                      </c:pt>
                      <c:pt idx="43">
                        <c:v>215m</c:v>
                      </c:pt>
                      <c:pt idx="44">
                        <c:v>220m</c:v>
                      </c:pt>
                      <c:pt idx="45">
                        <c:v>225m</c:v>
                      </c:pt>
                      <c:pt idx="46">
                        <c:v>230m</c:v>
                      </c:pt>
                      <c:pt idx="47">
                        <c:v>235m</c:v>
                      </c:pt>
                      <c:pt idx="48">
                        <c:v>240m</c:v>
                      </c:pt>
                      <c:pt idx="49">
                        <c:v>245m</c:v>
                      </c:pt>
                      <c:pt idx="50">
                        <c:v>250m</c:v>
                      </c:pt>
                      <c:pt idx="51">
                        <c:v>255m</c:v>
                      </c:pt>
                      <c:pt idx="52">
                        <c:v>260m</c:v>
                      </c:pt>
                      <c:pt idx="53">
                        <c:v>265m</c:v>
                      </c:pt>
                      <c:pt idx="54">
                        <c:v>270m</c:v>
                      </c:pt>
                      <c:pt idx="55">
                        <c:v>275m</c:v>
                      </c:pt>
                      <c:pt idx="56">
                        <c:v>280m</c:v>
                      </c:pt>
                      <c:pt idx="57">
                        <c:v>285m</c:v>
                      </c:pt>
                      <c:pt idx="58">
                        <c:v>290m</c:v>
                      </c:pt>
                      <c:pt idx="59">
                        <c:v>295m</c:v>
                      </c:pt>
                      <c:pt idx="60">
                        <c:v>300m</c:v>
                      </c:pt>
                      <c:pt idx="61">
                        <c:v>305m</c:v>
                      </c:pt>
                      <c:pt idx="62">
                        <c:v>310m</c:v>
                      </c:pt>
                      <c:pt idx="63">
                        <c:v>315m</c:v>
                      </c:pt>
                      <c:pt idx="64">
                        <c:v>320m</c:v>
                      </c:pt>
                      <c:pt idx="65">
                        <c:v>325m</c:v>
                      </c:pt>
                      <c:pt idx="66">
                        <c:v>330m</c:v>
                      </c:pt>
                      <c:pt idx="67">
                        <c:v>335m</c:v>
                      </c:pt>
                      <c:pt idx="68">
                        <c:v>340m</c:v>
                      </c:pt>
                      <c:pt idx="69">
                        <c:v>345m</c:v>
                      </c:pt>
                      <c:pt idx="70">
                        <c:v>350m</c:v>
                      </c:pt>
                      <c:pt idx="71">
                        <c:v>355m</c:v>
                      </c:pt>
                      <c:pt idx="72">
                        <c:v>360m</c:v>
                      </c:pt>
                      <c:pt idx="73">
                        <c:v>365m</c:v>
                      </c:pt>
                      <c:pt idx="74">
                        <c:v>370m</c:v>
                      </c:pt>
                      <c:pt idx="75">
                        <c:v>375m</c:v>
                      </c:pt>
                      <c:pt idx="76">
                        <c:v>380m</c:v>
                      </c:pt>
                      <c:pt idx="77">
                        <c:v>385m</c:v>
                      </c:pt>
                      <c:pt idx="78">
                        <c:v>390m</c:v>
                      </c:pt>
                      <c:pt idx="79">
                        <c:v>395m</c:v>
                      </c:pt>
                      <c:pt idx="80">
                        <c:v>400m</c:v>
                      </c:pt>
                      <c:pt idx="81">
                        <c:v>405m</c:v>
                      </c:pt>
                      <c:pt idx="82">
                        <c:v>410m</c:v>
                      </c:pt>
                      <c:pt idx="83">
                        <c:v>415m</c:v>
                      </c:pt>
                      <c:pt idx="84">
                        <c:v>420m</c:v>
                      </c:pt>
                      <c:pt idx="85">
                        <c:v>425m</c:v>
                      </c:pt>
                      <c:pt idx="86">
                        <c:v>430m</c:v>
                      </c:pt>
                      <c:pt idx="87">
                        <c:v>435m</c:v>
                      </c:pt>
                      <c:pt idx="88">
                        <c:v>440m</c:v>
                      </c:pt>
                      <c:pt idx="89">
                        <c:v>445m</c:v>
                      </c:pt>
                      <c:pt idx="90">
                        <c:v>450m</c:v>
                      </c:pt>
                      <c:pt idx="91">
                        <c:v>455m</c:v>
                      </c:pt>
                      <c:pt idx="92">
                        <c:v>460m</c:v>
                      </c:pt>
                      <c:pt idx="93">
                        <c:v>465m</c:v>
                      </c:pt>
                      <c:pt idx="94">
                        <c:v>470m</c:v>
                      </c:pt>
                      <c:pt idx="95">
                        <c:v>475m</c:v>
                      </c:pt>
                      <c:pt idx="96">
                        <c:v>480m</c:v>
                      </c:pt>
                      <c:pt idx="97">
                        <c:v>485m</c:v>
                      </c:pt>
                      <c:pt idx="98">
                        <c:v>490m</c:v>
                      </c:pt>
                      <c:pt idx="99">
                        <c:v>495m</c:v>
                      </c:pt>
                      <c:pt idx="100">
                        <c:v>500m</c:v>
                      </c:pt>
                    </c:strCache>
                  </c:strRef>
                </c:cat>
                <c:val>
                  <c:numRef>
                    <c:extLst>
                      <c:ext uri="{02D57815-91ED-43cb-92C2-25804820EDAC}">
                        <c15:formulaRef>
                          <c15:sqref>{0,0,0,0,0,0,0,0,0,0,0,0,0,0,0,0,0,0,0,0,0,0,0,0,0,0,0,0,0,0,0,0,0,0,0,0,0,0,0,0,0,0,0,0,0,0,0,0,0,0,0,0,0,0,0,0,0,0,0,0,0,0,0,0,0,0,0,0,0,0,0,0,0,0,0,0,0,0,0,0,0,0,0,0,0,0,0,0,0,0,0,0,0,0,0,0,0,0,0,0,0}</c15:sqref>
                        </c15:formulaRef>
                      </c:ext>
                    </c:extLst>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15:ser>
            </c15:filteredLineSeries>
          </c:ext>
        </c:extLst>
      </c:lineChart>
      <c:catAx>
        <c:axId val="74440101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488096354"/>
        <c:crosses val="autoZero"/>
        <c:auto val="1"/>
        <c:lblAlgn val="ctr"/>
        <c:lblOffset val="100"/>
        <c:tickLblSkip val="20"/>
        <c:noMultiLvlLbl val="0"/>
      </c:catAx>
      <c:valAx>
        <c:axId val="488096354"/>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4440101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manualLayout>
          <c:layoutTarget val="inner"/>
          <c:xMode val="edge"/>
          <c:yMode val="edge"/>
          <c:x val="0.0936944444444444"/>
          <c:y val="0.174768518518519"/>
          <c:w val="0.87575"/>
          <c:h val="0.583425925925926"/>
        </c:manualLayout>
      </c:layout>
      <c:lineChart>
        <c:grouping val="standard"/>
        <c:varyColors val="0"/>
        <c:ser>
          <c:idx val="2"/>
          <c:order val="2"/>
          <c:tx>
            <c:strRef>
              <c:f>'[新建 XLSX 工作表.xlsx]100'!$C$6</c:f>
              <c:strCache>
                <c:ptCount val="1"/>
                <c:pt idx="0">
                  <c:v>第 100.0 天</c:v>
                </c:pt>
              </c:strCache>
            </c:strRef>
          </c:tx>
          <c:spPr>
            <a:ln w="25400" cap="rnd" cmpd="sng">
              <a:solidFill>
                <a:srgbClr val="00B0F0"/>
              </a:solidFill>
              <a:prstDash val="solid"/>
              <a:round/>
            </a:ln>
            <a:effectLst/>
            <a:sp3d contourW="25400"/>
          </c:spPr>
          <c:marker>
            <c:symbol val="circle"/>
            <c:size val="4"/>
            <c:spPr>
              <a:solidFill>
                <a:srgbClr val="00B0F0">
                  <a:alpha val="79000"/>
                </a:srgbClr>
              </a:solidFill>
              <a:ln w="12700" cmpd="sng">
                <a:noFill/>
                <a:prstDash val="solid"/>
              </a:ln>
              <a:effectLst/>
            </c:spPr>
          </c:marker>
          <c:dLbls>
            <c:delete val="1"/>
          </c:dLbls>
          <c:cat>
            <c:numRef>
              <c:f>'[新建 XLSX 工作表.xlsx]100'!$B$7:$B$57</c:f>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cat>
          <c:val>
            <c:numRef>
              <c:f>'[新建 XLSX 工作表.xlsx]100'!$C$7:$C$57</c:f>
              <c:numCache>
                <c:formatCode>0.00_ </c:formatCode>
                <c:ptCount val="51"/>
                <c:pt idx="0">
                  <c:v>23</c:v>
                </c:pt>
                <c:pt idx="1">
                  <c:v>6.06</c:v>
                </c:pt>
                <c:pt idx="2">
                  <c:v>3.55</c:v>
                </c:pt>
                <c:pt idx="3">
                  <c:v>2.19</c:v>
                </c:pt>
                <c:pt idx="4">
                  <c:v>1.34</c:v>
                </c:pt>
                <c:pt idx="5">
                  <c:v>0.8</c:v>
                </c:pt>
                <c:pt idx="6">
                  <c:v>0.46</c:v>
                </c:pt>
                <c:pt idx="7">
                  <c:v>0.253</c:v>
                </c:pt>
                <c:pt idx="8">
                  <c:v>0.132</c:v>
                </c:pt>
                <c:pt idx="9">
                  <c:v>0.0658</c:v>
                </c:pt>
                <c:pt idx="10">
                  <c:v>0.0309</c:v>
                </c:pt>
                <c:pt idx="11">
                  <c:v>0.0137</c:v>
                </c:pt>
                <c:pt idx="12">
                  <c:v>0.00576</c:v>
                </c:pt>
                <c:pt idx="13">
                  <c:v>0.00227</c:v>
                </c:pt>
                <c:pt idx="14">
                  <c:v>0.000844</c:v>
                </c:pt>
                <c:pt idx="15">
                  <c:v>0.000295</c:v>
                </c:pt>
                <c:pt idx="16">
                  <c:v>9.66e-5</c:v>
                </c:pt>
                <c:pt idx="17">
                  <c:v>2.97e-5</c:v>
                </c:pt>
                <c:pt idx="18">
                  <c:v>8.59e-6</c:v>
                </c:pt>
                <c:pt idx="19">
                  <c:v>2.32e-6</c:v>
                </c:pt>
                <c:pt idx="20">
                  <c:v>5.9e-7</c:v>
                </c:pt>
                <c:pt idx="21">
                  <c:v>1.4e-7</c:v>
                </c:pt>
                <c:pt idx="22">
                  <c:v>3.12e-8</c:v>
                </c:pt>
                <c:pt idx="23">
                  <c:v>6.51e-9</c:v>
                </c:pt>
                <c:pt idx="24">
                  <c:v>1.27e-9</c:v>
                </c:pt>
                <c:pt idx="25">
                  <c:v>2.32e-10</c:v>
                </c:pt>
                <c:pt idx="26">
                  <c:v>3.96e-11</c:v>
                </c:pt>
                <c:pt idx="27">
                  <c:v>6.33e-12</c:v>
                </c:pt>
                <c:pt idx="28">
                  <c:v>9.45e-13</c:v>
                </c:pt>
                <c:pt idx="29">
                  <c:v>1.32e-13</c:v>
                </c:pt>
                <c:pt idx="30">
                  <c:v>1.72e-14</c:v>
                </c:pt>
                <c:pt idx="31">
                  <c:v>2.1e-15</c:v>
                </c:pt>
                <c:pt idx="32">
                  <c:v>2.39e-16</c:v>
                </c:pt>
                <c:pt idx="33">
                  <c:v>2.53e-17</c:v>
                </c:pt>
                <c:pt idx="34">
                  <c:v>2.51e-18</c:v>
                </c:pt>
                <c:pt idx="35">
                  <c:v>2.32e-19</c:v>
                </c:pt>
                <c:pt idx="36">
                  <c:v>2e-20</c:v>
                </c:pt>
                <c:pt idx="37">
                  <c:v>1.61e-21</c:v>
                </c:pt>
                <c:pt idx="38">
                  <c:v>1.21e-22</c:v>
                </c:pt>
                <c:pt idx="39">
                  <c:v>8.43e-24</c:v>
                </c:pt>
                <c:pt idx="40">
                  <c:v>5.49e-25</c:v>
                </c:pt>
                <c:pt idx="41">
                  <c:v>3.33e-26</c:v>
                </c:pt>
                <c:pt idx="42">
                  <c:v>1.88e-27</c:v>
                </c:pt>
                <c:pt idx="43">
                  <c:v>9.9e-29</c:v>
                </c:pt>
                <c:pt idx="44">
                  <c:v>4.86e-30</c:v>
                </c:pt>
                <c:pt idx="45">
                  <c:v>2.22e-31</c:v>
                </c:pt>
                <c:pt idx="46">
                  <c:v>9.45e-33</c:v>
                </c:pt>
                <c:pt idx="47">
                  <c:v>3.74e-34</c:v>
                </c:pt>
                <c:pt idx="48">
                  <c:v>1.38e-35</c:v>
                </c:pt>
                <c:pt idx="49">
                  <c:v>4.76e-37</c:v>
                </c:pt>
                <c:pt idx="50">
                  <c:v>1.52e-38</c:v>
                </c:pt>
              </c:numCache>
            </c:numRef>
          </c:val>
          <c:smooth val="1"/>
        </c:ser>
        <c:dLbls>
          <c:showLegendKey val="0"/>
          <c:showVal val="0"/>
          <c:showCatName val="0"/>
          <c:showSerName val="0"/>
          <c:showPercent val="0"/>
          <c:showBubbleSize val="0"/>
        </c:dLbls>
        <c:marker val="1"/>
        <c:smooth val="1"/>
        <c:axId val="288693436"/>
        <c:axId val="65127341"/>
        <c:extLst>
          <c:ext xmlns:c15="http://schemas.microsoft.com/office/drawing/2012/chart" uri="{02D57815-91ED-43cb-92C2-25804820EDAC}">
            <c15:filteredLineSeries>
              <c15:ser>
                <c:idx val="0"/>
                <c:order val="0"/>
                <c:tx>
                  <c:strRef>
                    <c:extLst>
                      <c:ext uri="{02D57815-91ED-43cb-92C2-25804820EDAC}">
                        <c15:formulaRef>
                          <c15:sqref>'[新建 XLSX 工作表.xlsx]100'!$A$6</c15:sqref>
                        </c15:formulaRef>
                      </c:ext>
                    </c:extLst>
                    <c:strCache>
                      <c:ptCount val="1"/>
                      <c:pt idx="0">
                        <c:v>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extLst>
                      <c:ext uri="{02D57815-91ED-43cb-92C2-25804820EDAC}">
                        <c15:fullRef>
                          <c15:sqref/>
                        </c15:fullRef>
                        <c15:formulaRef>
                          <c15:sqref>'[新建 XLSX 工作表.xlsx]100'!$B$7:$B$57</c15:sqref>
                        </c15:formulaRef>
                      </c:ext>
                    </c:extLst>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cat>
                <c:val>
                  <c:numRef>
                    <c:extLst>
                      <c:ext uri="{02D57815-91ED-43cb-92C2-25804820EDAC}">
                        <c15:formulaRef>
                          <c15:sqref>{0,0,0,0,0,0,0,0,0,0,0,0,0,0,0,0,0,0,0,0,0,0,0,0,0,0,0,0,0,0,0,0,0,0,0,0,0,0,0,0,0,0,0,0,0,0,0,0,0,0,0}</c15:sqref>
                        </c15:formulaRef>
                      </c:ext>
                    </c:extLst>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mooth val="0"/>
              </c15:ser>
            </c15:filteredLineSeries>
            <c15:filteredLineSeries>
              <c15:ser>
                <c:idx val="1"/>
                <c:order val="1"/>
                <c:tx>
                  <c:strRef>
                    <c:extLst>
                      <c:ext uri="{02D57815-91ED-43cb-92C2-25804820EDAC}">
                        <c15:formulaRef>
                          <c15:sqref>'[新建 XLSX 工作表.xlsx]100'!$B$6</c15:sqref>
                        </c15:formulaRef>
                      </c:ext>
                    </c:extLst>
                    <c:strCache>
                      <c:ptCount val="1"/>
                      <c:pt idx="0">
                        <c:v>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'[新建 XLSX 工作表.xlsx]100'!$B$7:$B$57</c15:sqref>
                        </c15:formulaRef>
                      </c:ext>
                    </c:extLst>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cat>
                <c:val>
                  <c:numRef>
                    <c:extLst>
                      <c:ext uri="{02D57815-91ED-43cb-92C2-25804820EDAC}">
                        <c15:formulaRef>
                          <c15:sqref>{0,2,4,6,8,10,12,14,16,18,20,22,24,26,28,30,32,34,36,38,40,42,44,46,48,50,52,54,56,58,60,62,64,66,68,70,72,74,76,78,80,82,84,86,88,90,92,94,96,98,100}</c15:sqref>
                        </c15:formulaRef>
                      </c:ext>
                    </c:extLst>
                    <c:numCache>
                      <c:formatCode>General</c:formatCode>
                      <c:ptCount val="5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numCache>
                  </c:numRef>
                </c:val>
                <c:smooth val="0"/>
              </c15:ser>
            </c15:filteredLineSeries>
          </c:ext>
        </c:extLst>
      </c:lineChart>
      <c:catAx>
        <c:axId val="2886934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127341"/>
        <c:crosses val="autoZero"/>
        <c:auto val="1"/>
        <c:lblAlgn val="ctr"/>
        <c:lblOffset val="100"/>
        <c:tickLblSkip val="10"/>
        <c:noMultiLvlLbl val="0"/>
      </c:catAx>
      <c:valAx>
        <c:axId val="65127341"/>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869343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2"/>
          <c:order val="2"/>
          <c:tx>
            <c:strRef>
              <c:f>'[新建 XLSX 工作表.xlsx]1000'!$C$6</c:f>
              <c:strCache>
                <c:ptCount val="1"/>
                <c:pt idx="0">
                  <c:v>第 1000.0 天</c:v>
                </c:pt>
              </c:strCache>
            </c:strRef>
          </c:tx>
          <c:spPr>
            <a:ln w="28575" cap="rnd" cmpd="sng">
              <a:solidFill>
                <a:srgbClr val="00B0F0"/>
              </a:solidFill>
              <a:prstDash val="solid"/>
              <a:round/>
            </a:ln>
            <a:effectLst/>
            <a:sp3d contourW="28575"/>
          </c:spPr>
          <c:marker>
            <c:symbol val="circle"/>
            <c:size val="5"/>
            <c:spPr>
              <a:solidFill>
                <a:srgbClr val="00B0F0"/>
              </a:solidFill>
              <a:ln w="9525">
                <a:noFill/>
              </a:ln>
              <a:effectLst/>
            </c:spPr>
          </c:marker>
          <c:dLbls>
            <c:delete val="1"/>
          </c:dLbls>
          <c:cat>
            <c:numRef>
              <c:f>'[新建 XLSX 工作表.xlsx]1000'!$B$7:$B$57</c:f>
              <c:numCache>
                <c:formatCode>General</c:formatCode>
                <c:ptCount val="51"/>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pt idx="16">
                  <c:v>64</c:v>
                </c:pt>
                <c:pt idx="17">
                  <c:v>68</c:v>
                </c:pt>
                <c:pt idx="18">
                  <c:v>72</c:v>
                </c:pt>
                <c:pt idx="19">
                  <c:v>76</c:v>
                </c:pt>
                <c:pt idx="20">
                  <c:v>80</c:v>
                </c:pt>
                <c:pt idx="21">
                  <c:v>84</c:v>
                </c:pt>
                <c:pt idx="22">
                  <c:v>88</c:v>
                </c:pt>
                <c:pt idx="23">
                  <c:v>92</c:v>
                </c:pt>
                <c:pt idx="24">
                  <c:v>96</c:v>
                </c:pt>
                <c:pt idx="25">
                  <c:v>100</c:v>
                </c:pt>
                <c:pt idx="26">
                  <c:v>104</c:v>
                </c:pt>
                <c:pt idx="27">
                  <c:v>108</c:v>
                </c:pt>
                <c:pt idx="28">
                  <c:v>112</c:v>
                </c:pt>
                <c:pt idx="29">
                  <c:v>116</c:v>
                </c:pt>
                <c:pt idx="30">
                  <c:v>120</c:v>
                </c:pt>
                <c:pt idx="31">
                  <c:v>124</c:v>
                </c:pt>
                <c:pt idx="32">
                  <c:v>128</c:v>
                </c:pt>
                <c:pt idx="33">
                  <c:v>132</c:v>
                </c:pt>
                <c:pt idx="34">
                  <c:v>136</c:v>
                </c:pt>
                <c:pt idx="35">
                  <c:v>140</c:v>
                </c:pt>
                <c:pt idx="36">
                  <c:v>144</c:v>
                </c:pt>
                <c:pt idx="37">
                  <c:v>148</c:v>
                </c:pt>
                <c:pt idx="38">
                  <c:v>152</c:v>
                </c:pt>
                <c:pt idx="39">
                  <c:v>156</c:v>
                </c:pt>
                <c:pt idx="40">
                  <c:v>160</c:v>
                </c:pt>
                <c:pt idx="41">
                  <c:v>164</c:v>
                </c:pt>
                <c:pt idx="42">
                  <c:v>168</c:v>
                </c:pt>
                <c:pt idx="43">
                  <c:v>172</c:v>
                </c:pt>
                <c:pt idx="44">
                  <c:v>176</c:v>
                </c:pt>
                <c:pt idx="45">
                  <c:v>180</c:v>
                </c:pt>
                <c:pt idx="46">
                  <c:v>184</c:v>
                </c:pt>
                <c:pt idx="47">
                  <c:v>188</c:v>
                </c:pt>
                <c:pt idx="48">
                  <c:v>192</c:v>
                </c:pt>
                <c:pt idx="49">
                  <c:v>196</c:v>
                </c:pt>
                <c:pt idx="50">
                  <c:v>200</c:v>
                </c:pt>
              </c:numCache>
            </c:numRef>
          </c:cat>
          <c:val>
            <c:numRef>
              <c:f>'[新建 XLSX 工作表.xlsx]1000'!$C$7:$C$57</c:f>
              <c:numCache>
                <c:formatCode>0.00_ </c:formatCode>
                <c:ptCount val="51"/>
                <c:pt idx="0">
                  <c:v>22.3</c:v>
                </c:pt>
                <c:pt idx="1">
                  <c:v>7.88</c:v>
                </c:pt>
                <c:pt idx="2">
                  <c:v>5.65</c:v>
                </c:pt>
                <c:pt idx="3">
                  <c:v>4.39</c:v>
                </c:pt>
                <c:pt idx="4">
                  <c:v>3.5</c:v>
                </c:pt>
                <c:pt idx="5">
                  <c:v>2.81</c:v>
                </c:pt>
                <c:pt idx="6">
                  <c:v>2.26</c:v>
                </c:pt>
                <c:pt idx="7">
                  <c:v>1.8</c:v>
                </c:pt>
                <c:pt idx="8">
                  <c:v>1.42</c:v>
                </c:pt>
                <c:pt idx="9">
                  <c:v>1.1</c:v>
                </c:pt>
                <c:pt idx="10">
                  <c:v>0.842</c:v>
                </c:pt>
                <c:pt idx="11">
                  <c:v>0.633</c:v>
                </c:pt>
                <c:pt idx="12">
                  <c:v>0.468</c:v>
                </c:pt>
                <c:pt idx="13">
                  <c:v>0.339</c:v>
                </c:pt>
                <c:pt idx="14">
                  <c:v>0.24</c:v>
                </c:pt>
                <c:pt idx="15">
                  <c:v>0.167</c:v>
                </c:pt>
                <c:pt idx="16">
                  <c:v>0.114</c:v>
                </c:pt>
                <c:pt idx="17">
                  <c:v>0.0756</c:v>
                </c:pt>
                <c:pt idx="18">
                  <c:v>0.0491</c:v>
                </c:pt>
                <c:pt idx="19">
                  <c:v>0.0312</c:v>
                </c:pt>
                <c:pt idx="20">
                  <c:v>0.0194</c:v>
                </c:pt>
                <c:pt idx="21">
                  <c:v>0.0117</c:v>
                </c:pt>
                <c:pt idx="22">
                  <c:v>0.00694</c:v>
                </c:pt>
                <c:pt idx="23">
                  <c:v>0.00401</c:v>
                </c:pt>
                <c:pt idx="24">
                  <c:v>0.00226</c:v>
                </c:pt>
                <c:pt idx="25">
                  <c:v>0.00124</c:v>
                </c:pt>
                <c:pt idx="26">
                  <c:v>0.000664</c:v>
                </c:pt>
                <c:pt idx="27">
                  <c:v>0.000347</c:v>
                </c:pt>
                <c:pt idx="28">
                  <c:v>0.000177</c:v>
                </c:pt>
                <c:pt idx="29">
                  <c:v>8.77e-5</c:v>
                </c:pt>
                <c:pt idx="30">
                  <c:v>4.24e-5</c:v>
                </c:pt>
                <c:pt idx="31">
                  <c:v>2e-5</c:v>
                </c:pt>
                <c:pt idx="32">
                  <c:v>9.19e-6</c:v>
                </c:pt>
                <c:pt idx="33">
                  <c:v>4.11e-6</c:v>
                </c:pt>
                <c:pt idx="34">
                  <c:v>1.79e-6</c:v>
                </c:pt>
                <c:pt idx="35">
                  <c:v>7.62e-7</c:v>
                </c:pt>
                <c:pt idx="36">
                  <c:v>3.15e-7</c:v>
                </c:pt>
                <c:pt idx="37">
                  <c:v>1.27e-7</c:v>
                </c:pt>
                <c:pt idx="38">
                  <c:v>4.99e-8</c:v>
                </c:pt>
                <c:pt idx="39">
                  <c:v>1.91e-8</c:v>
                </c:pt>
                <c:pt idx="40">
                  <c:v>7.09e-9</c:v>
                </c:pt>
                <c:pt idx="41">
                  <c:v>2.57e-9</c:v>
                </c:pt>
                <c:pt idx="42">
                  <c:v>9.07e-10</c:v>
                </c:pt>
                <c:pt idx="43">
                  <c:v>3.12e-10</c:v>
                </c:pt>
                <c:pt idx="44">
                  <c:v>1.04e-10</c:v>
                </c:pt>
                <c:pt idx="45">
                  <c:v>3.39e-11</c:v>
                </c:pt>
                <c:pt idx="46">
                  <c:v>1.08e-11</c:v>
                </c:pt>
                <c:pt idx="47">
                  <c:v>3.32e-12</c:v>
                </c:pt>
                <c:pt idx="48">
                  <c:v>9.95e-13</c:v>
                </c:pt>
                <c:pt idx="49">
                  <c:v>2.91e-13</c:v>
                </c:pt>
                <c:pt idx="50">
                  <c:v>8.26e-14</c:v>
                </c:pt>
              </c:numCache>
            </c:numRef>
          </c:val>
          <c:smooth val="0"/>
        </c:ser>
        <c:dLbls>
          <c:showLegendKey val="0"/>
          <c:showVal val="0"/>
          <c:showCatName val="0"/>
          <c:showSerName val="0"/>
          <c:showPercent val="0"/>
          <c:showBubbleSize val="0"/>
        </c:dLbls>
        <c:marker val="1"/>
        <c:smooth val="0"/>
        <c:axId val="795952953"/>
        <c:axId val="702265480"/>
        <c:extLst>
          <c:ext xmlns:c15="http://schemas.microsoft.com/office/drawing/2012/chart" uri="{02D57815-91ED-43cb-92C2-25804820EDAC}">
            <c15:filteredLineSeries>
              <c15:ser>
                <c:idx val="0"/>
                <c:order val="0"/>
                <c:tx>
                  <c:strRef>
                    <c:extLst>
                      <c:ext uri="{02D57815-91ED-43cb-92C2-25804820EDAC}">
                        <c15:formulaRef>
                          <c15:sqref>'[新建 XLSX 工作表.xlsx]1000'!$A$6</c15:sqref>
                        </c15:formulaRef>
                      </c:ext>
                    </c:extLst>
                    <c:strCache>
                      <c:ptCount val="1"/>
                      <c:pt idx="0">
                        <c:v>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extLst>
                      <c:ext uri="{02D57815-91ED-43cb-92C2-25804820EDAC}">
                        <c15:fullRef>
                          <c15:sqref/>
                        </c15:fullRef>
                        <c15:formulaRef>
                          <c15:sqref>'[新建 XLSX 工作表.xlsx]1000'!$B$7:$B$57</c15:sqref>
                        </c15:formulaRef>
                      </c:ext>
                    </c:extLst>
                    <c:numCache>
                      <c:formatCode>General</c:formatCode>
                      <c:ptCount val="51"/>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pt idx="16">
                        <c:v>64</c:v>
                      </c:pt>
                      <c:pt idx="17">
                        <c:v>68</c:v>
                      </c:pt>
                      <c:pt idx="18">
                        <c:v>72</c:v>
                      </c:pt>
                      <c:pt idx="19">
                        <c:v>76</c:v>
                      </c:pt>
                      <c:pt idx="20">
                        <c:v>80</c:v>
                      </c:pt>
                      <c:pt idx="21">
                        <c:v>84</c:v>
                      </c:pt>
                      <c:pt idx="22">
                        <c:v>88</c:v>
                      </c:pt>
                      <c:pt idx="23">
                        <c:v>92</c:v>
                      </c:pt>
                      <c:pt idx="24">
                        <c:v>96</c:v>
                      </c:pt>
                      <c:pt idx="25">
                        <c:v>100</c:v>
                      </c:pt>
                      <c:pt idx="26">
                        <c:v>104</c:v>
                      </c:pt>
                      <c:pt idx="27">
                        <c:v>108</c:v>
                      </c:pt>
                      <c:pt idx="28">
                        <c:v>112</c:v>
                      </c:pt>
                      <c:pt idx="29">
                        <c:v>116</c:v>
                      </c:pt>
                      <c:pt idx="30">
                        <c:v>120</c:v>
                      </c:pt>
                      <c:pt idx="31">
                        <c:v>124</c:v>
                      </c:pt>
                      <c:pt idx="32">
                        <c:v>128</c:v>
                      </c:pt>
                      <c:pt idx="33">
                        <c:v>132</c:v>
                      </c:pt>
                      <c:pt idx="34">
                        <c:v>136</c:v>
                      </c:pt>
                      <c:pt idx="35">
                        <c:v>140</c:v>
                      </c:pt>
                      <c:pt idx="36">
                        <c:v>144</c:v>
                      </c:pt>
                      <c:pt idx="37">
                        <c:v>148</c:v>
                      </c:pt>
                      <c:pt idx="38">
                        <c:v>152</c:v>
                      </c:pt>
                      <c:pt idx="39">
                        <c:v>156</c:v>
                      </c:pt>
                      <c:pt idx="40">
                        <c:v>160</c:v>
                      </c:pt>
                      <c:pt idx="41">
                        <c:v>164</c:v>
                      </c:pt>
                      <c:pt idx="42">
                        <c:v>168</c:v>
                      </c:pt>
                      <c:pt idx="43">
                        <c:v>172</c:v>
                      </c:pt>
                      <c:pt idx="44">
                        <c:v>176</c:v>
                      </c:pt>
                      <c:pt idx="45">
                        <c:v>180</c:v>
                      </c:pt>
                      <c:pt idx="46">
                        <c:v>184</c:v>
                      </c:pt>
                      <c:pt idx="47">
                        <c:v>188</c:v>
                      </c:pt>
                      <c:pt idx="48">
                        <c:v>192</c:v>
                      </c:pt>
                      <c:pt idx="49">
                        <c:v>196</c:v>
                      </c:pt>
                      <c:pt idx="50">
                        <c:v>200</c:v>
                      </c:pt>
                    </c:numCache>
                  </c:numRef>
                </c:cat>
                <c:val>
                  <c:numRef>
                    <c:extLst>
                      <c:ext uri="{02D57815-91ED-43cb-92C2-25804820EDAC}">
                        <c15:formulaRef>
                          <c15:sqref>{0,0,0,0,0,0,0,0,0,0,0,0,0,0,0,0,0,0,0,0,0,0,0,0,0,0,0,0,0,0,0,0,0,0,0,0,0,0,0,0,0,0,0,0,0,0,0,0,0,0,0}</c15:sqref>
                        </c15:formulaRef>
                      </c:ext>
                    </c:extLst>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mooth val="0"/>
              </c15:ser>
            </c15:filteredLineSeries>
            <c15:filteredLineSeries>
              <c15:ser>
                <c:idx val="1"/>
                <c:order val="1"/>
                <c:tx>
                  <c:strRef>
                    <c:extLst>
                      <c:ext uri="{02D57815-91ED-43cb-92C2-25804820EDAC}">
                        <c15:formulaRef>
                          <c15:sqref>'[新建 XLSX 工作表.xlsx]1000'!$B$6</c15:sqref>
                        </c15:formulaRef>
                      </c:ext>
                    </c:extLst>
                    <c:strCache>
                      <c:ptCount val="1"/>
                      <c:pt idx="0">
                        <c:v>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'[新建 XLSX 工作表.xlsx]1000'!$B$7:$B$57</c15:sqref>
                        </c15:formulaRef>
                      </c:ext>
                    </c:extLst>
                    <c:numCache>
                      <c:formatCode>General</c:formatCode>
                      <c:ptCount val="51"/>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pt idx="16">
                        <c:v>64</c:v>
                      </c:pt>
                      <c:pt idx="17">
                        <c:v>68</c:v>
                      </c:pt>
                      <c:pt idx="18">
                        <c:v>72</c:v>
                      </c:pt>
                      <c:pt idx="19">
                        <c:v>76</c:v>
                      </c:pt>
                      <c:pt idx="20">
                        <c:v>80</c:v>
                      </c:pt>
                      <c:pt idx="21">
                        <c:v>84</c:v>
                      </c:pt>
                      <c:pt idx="22">
                        <c:v>88</c:v>
                      </c:pt>
                      <c:pt idx="23">
                        <c:v>92</c:v>
                      </c:pt>
                      <c:pt idx="24">
                        <c:v>96</c:v>
                      </c:pt>
                      <c:pt idx="25">
                        <c:v>100</c:v>
                      </c:pt>
                      <c:pt idx="26">
                        <c:v>104</c:v>
                      </c:pt>
                      <c:pt idx="27">
                        <c:v>108</c:v>
                      </c:pt>
                      <c:pt idx="28">
                        <c:v>112</c:v>
                      </c:pt>
                      <c:pt idx="29">
                        <c:v>116</c:v>
                      </c:pt>
                      <c:pt idx="30">
                        <c:v>120</c:v>
                      </c:pt>
                      <c:pt idx="31">
                        <c:v>124</c:v>
                      </c:pt>
                      <c:pt idx="32">
                        <c:v>128</c:v>
                      </c:pt>
                      <c:pt idx="33">
                        <c:v>132</c:v>
                      </c:pt>
                      <c:pt idx="34">
                        <c:v>136</c:v>
                      </c:pt>
                      <c:pt idx="35">
                        <c:v>140</c:v>
                      </c:pt>
                      <c:pt idx="36">
                        <c:v>144</c:v>
                      </c:pt>
                      <c:pt idx="37">
                        <c:v>148</c:v>
                      </c:pt>
                      <c:pt idx="38">
                        <c:v>152</c:v>
                      </c:pt>
                      <c:pt idx="39">
                        <c:v>156</c:v>
                      </c:pt>
                      <c:pt idx="40">
                        <c:v>160</c:v>
                      </c:pt>
                      <c:pt idx="41">
                        <c:v>164</c:v>
                      </c:pt>
                      <c:pt idx="42">
                        <c:v>168</c:v>
                      </c:pt>
                      <c:pt idx="43">
                        <c:v>172</c:v>
                      </c:pt>
                      <c:pt idx="44">
                        <c:v>176</c:v>
                      </c:pt>
                      <c:pt idx="45">
                        <c:v>180</c:v>
                      </c:pt>
                      <c:pt idx="46">
                        <c:v>184</c:v>
                      </c:pt>
                      <c:pt idx="47">
                        <c:v>188</c:v>
                      </c:pt>
                      <c:pt idx="48">
                        <c:v>192</c:v>
                      </c:pt>
                      <c:pt idx="49">
                        <c:v>196</c:v>
                      </c:pt>
                      <c:pt idx="50">
                        <c:v>200</c:v>
                      </c:pt>
                    </c:numCache>
                  </c:numRef>
                </c:cat>
                <c:val>
                  <c:numRef>
                    <c:extLst>
                      <c:ext uri="{02D57815-91ED-43cb-92C2-25804820EDAC}">
                        <c15:formulaRef>
                          <c15:sqref>{0,4,8,12,16,20,24,28,32,36,40,44,48,52,56,60,64,68,72,76,80,84,88,92,96,100,104,108,112,116,120,124,128,132,136,140,144,148,152,156,160,164,168,172,176,180,184,188,192,196,200}</c15:sqref>
                        </c15:formulaRef>
                      </c:ext>
                    </c:extLst>
                    <c:numCache>
                      <c:formatCode>General</c:formatCode>
                      <c:ptCount val="51"/>
                      <c:pt idx="0">
                        <c:v>0</c:v>
                      </c:pt>
                      <c:pt idx="1">
                        <c:v>4</c:v>
                      </c:pt>
                      <c:pt idx="2">
                        <c:v>8</c:v>
                      </c:pt>
                      <c:pt idx="3">
                        <c:v>12</c:v>
                      </c:pt>
                      <c:pt idx="4">
                        <c:v>16</c:v>
                      </c:pt>
                      <c:pt idx="5">
                        <c:v>20</c:v>
                      </c:pt>
                      <c:pt idx="6">
                        <c:v>24</c:v>
                      </c:pt>
                      <c:pt idx="7">
                        <c:v>28</c:v>
                      </c:pt>
                      <c:pt idx="8">
                        <c:v>32</c:v>
                      </c:pt>
                      <c:pt idx="9">
                        <c:v>36</c:v>
                      </c:pt>
                      <c:pt idx="10">
                        <c:v>40</c:v>
                      </c:pt>
                      <c:pt idx="11">
                        <c:v>44</c:v>
                      </c:pt>
                      <c:pt idx="12">
                        <c:v>48</c:v>
                      </c:pt>
                      <c:pt idx="13">
                        <c:v>52</c:v>
                      </c:pt>
                      <c:pt idx="14">
                        <c:v>56</c:v>
                      </c:pt>
                      <c:pt idx="15">
                        <c:v>60</c:v>
                      </c:pt>
                      <c:pt idx="16">
                        <c:v>64</c:v>
                      </c:pt>
                      <c:pt idx="17">
                        <c:v>68</c:v>
                      </c:pt>
                      <c:pt idx="18">
                        <c:v>72</c:v>
                      </c:pt>
                      <c:pt idx="19">
                        <c:v>76</c:v>
                      </c:pt>
                      <c:pt idx="20">
                        <c:v>80</c:v>
                      </c:pt>
                      <c:pt idx="21">
                        <c:v>84</c:v>
                      </c:pt>
                      <c:pt idx="22">
                        <c:v>88</c:v>
                      </c:pt>
                      <c:pt idx="23">
                        <c:v>92</c:v>
                      </c:pt>
                      <c:pt idx="24">
                        <c:v>96</c:v>
                      </c:pt>
                      <c:pt idx="25">
                        <c:v>100</c:v>
                      </c:pt>
                      <c:pt idx="26">
                        <c:v>104</c:v>
                      </c:pt>
                      <c:pt idx="27">
                        <c:v>108</c:v>
                      </c:pt>
                      <c:pt idx="28">
                        <c:v>112</c:v>
                      </c:pt>
                      <c:pt idx="29">
                        <c:v>116</c:v>
                      </c:pt>
                      <c:pt idx="30">
                        <c:v>120</c:v>
                      </c:pt>
                      <c:pt idx="31">
                        <c:v>124</c:v>
                      </c:pt>
                      <c:pt idx="32">
                        <c:v>128</c:v>
                      </c:pt>
                      <c:pt idx="33">
                        <c:v>132</c:v>
                      </c:pt>
                      <c:pt idx="34">
                        <c:v>136</c:v>
                      </c:pt>
                      <c:pt idx="35">
                        <c:v>140</c:v>
                      </c:pt>
                      <c:pt idx="36">
                        <c:v>144</c:v>
                      </c:pt>
                      <c:pt idx="37">
                        <c:v>148</c:v>
                      </c:pt>
                      <c:pt idx="38">
                        <c:v>152</c:v>
                      </c:pt>
                      <c:pt idx="39">
                        <c:v>156</c:v>
                      </c:pt>
                      <c:pt idx="40">
                        <c:v>160</c:v>
                      </c:pt>
                      <c:pt idx="41">
                        <c:v>164</c:v>
                      </c:pt>
                      <c:pt idx="42">
                        <c:v>168</c:v>
                      </c:pt>
                      <c:pt idx="43">
                        <c:v>172</c:v>
                      </c:pt>
                      <c:pt idx="44">
                        <c:v>176</c:v>
                      </c:pt>
                      <c:pt idx="45">
                        <c:v>180</c:v>
                      </c:pt>
                      <c:pt idx="46">
                        <c:v>184</c:v>
                      </c:pt>
                      <c:pt idx="47">
                        <c:v>188</c:v>
                      </c:pt>
                      <c:pt idx="48">
                        <c:v>192</c:v>
                      </c:pt>
                      <c:pt idx="49">
                        <c:v>196</c:v>
                      </c:pt>
                      <c:pt idx="50">
                        <c:v>200</c:v>
                      </c:pt>
                    </c:numCache>
                  </c:numRef>
                </c:val>
                <c:smooth val="0"/>
              </c15:ser>
            </c15:filteredLineSeries>
          </c:ext>
        </c:extLst>
      </c:lineChart>
      <c:catAx>
        <c:axId val="795952953"/>
        <c:scaling>
          <c:orientation val="minMax"/>
        </c:scaling>
        <c:delete val="0"/>
        <c:axPos val="b"/>
        <c:majorTickMark val="in"/>
        <c:minorTickMark val="in"/>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2265480"/>
        <c:crosses val="autoZero"/>
        <c:auto val="1"/>
        <c:lblAlgn val="ctr"/>
        <c:lblOffset val="100"/>
        <c:tickLblSkip val="10"/>
        <c:tickMarkSkip val="20"/>
        <c:noMultiLvlLbl val="0"/>
      </c:catAx>
      <c:valAx>
        <c:axId val="702265480"/>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595295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2"/>
          <c:order val="2"/>
          <c:tx>
            <c:strRef>
              <c:f>'[新建 XLSX 工作表.xlsx]3650'!$C$6</c:f>
              <c:strCache>
                <c:ptCount val="1"/>
                <c:pt idx="0">
                  <c:v>第 3650.0 天</c:v>
                </c:pt>
              </c:strCache>
            </c:strRef>
          </c:tx>
          <c:spPr>
            <a:ln w="28575" cap="rnd">
              <a:solidFill>
                <a:srgbClr val="00B0F0"/>
              </a:solidFill>
              <a:round/>
            </a:ln>
            <a:effectLst/>
          </c:spPr>
          <c:marker>
            <c:symbol val="circle"/>
            <c:size val="5"/>
            <c:spPr>
              <a:solidFill>
                <a:srgbClr val="00B0F0"/>
              </a:solidFill>
              <a:ln w="9525">
                <a:noFill/>
              </a:ln>
              <a:effectLst/>
            </c:spPr>
          </c:marker>
          <c:dLbls>
            <c:delete val="1"/>
          </c:dLbls>
          <c:cat>
            <c:numRef>
              <c:f>'[新建 XLSX 工作表.xlsx]3650'!$B$7:$B$107</c:f>
              <c:numCache>
                <c:formatCode>General</c:formatCode>
                <c:ptCount val="1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numCache>
            </c:numRef>
          </c:cat>
          <c:val>
            <c:numRef>
              <c:f>'[新建 XLSX 工作表.xlsx]3650'!$C$7:$C$107</c:f>
              <c:numCache>
                <c:formatCode>0.00_ </c:formatCode>
                <c:ptCount val="101"/>
                <c:pt idx="0">
                  <c:v>0.0205</c:v>
                </c:pt>
                <c:pt idx="1">
                  <c:v>0.0248</c:v>
                </c:pt>
                <c:pt idx="2">
                  <c:v>0.0297</c:v>
                </c:pt>
                <c:pt idx="3">
                  <c:v>0.0351</c:v>
                </c:pt>
                <c:pt idx="4">
                  <c:v>0.041</c:v>
                </c:pt>
                <c:pt idx="5">
                  <c:v>0.0473</c:v>
                </c:pt>
                <c:pt idx="6">
                  <c:v>0.0539</c:v>
                </c:pt>
                <c:pt idx="7">
                  <c:v>0.0607</c:v>
                </c:pt>
                <c:pt idx="8">
                  <c:v>0.0675</c:v>
                </c:pt>
                <c:pt idx="9">
                  <c:v>0.0741</c:v>
                </c:pt>
                <c:pt idx="10">
                  <c:v>0.0805</c:v>
                </c:pt>
                <c:pt idx="11">
                  <c:v>0.0863</c:v>
                </c:pt>
                <c:pt idx="12">
                  <c:v>0.0914</c:v>
                </c:pt>
                <c:pt idx="13">
                  <c:v>0.0957</c:v>
                </c:pt>
                <c:pt idx="14">
                  <c:v>0.0989</c:v>
                </c:pt>
                <c:pt idx="15">
                  <c:v>0.101</c:v>
                </c:pt>
                <c:pt idx="16">
                  <c:v>0.102</c:v>
                </c:pt>
                <c:pt idx="17">
                  <c:v>0.102</c:v>
                </c:pt>
                <c:pt idx="18">
                  <c:v>0.1</c:v>
                </c:pt>
                <c:pt idx="19">
                  <c:v>0.0973</c:v>
                </c:pt>
                <c:pt idx="20">
                  <c:v>0.0935</c:v>
                </c:pt>
                <c:pt idx="21">
                  <c:v>0.0887</c:v>
                </c:pt>
                <c:pt idx="22">
                  <c:v>0.0832</c:v>
                </c:pt>
                <c:pt idx="23">
                  <c:v>0.0771</c:v>
                </c:pt>
                <c:pt idx="24">
                  <c:v>0.0705</c:v>
                </c:pt>
                <c:pt idx="25">
                  <c:v>0.0638</c:v>
                </c:pt>
                <c:pt idx="26">
                  <c:v>0.057</c:v>
                </c:pt>
                <c:pt idx="27">
                  <c:v>0.0503</c:v>
                </c:pt>
                <c:pt idx="28">
                  <c:v>0.0438</c:v>
                </c:pt>
                <c:pt idx="29">
                  <c:v>0.0377</c:v>
                </c:pt>
                <c:pt idx="30">
                  <c:v>0.0321</c:v>
                </c:pt>
                <c:pt idx="31">
                  <c:v>0.027</c:v>
                </c:pt>
                <c:pt idx="32">
                  <c:v>0.0224</c:v>
                </c:pt>
                <c:pt idx="33">
                  <c:v>0.0184</c:v>
                </c:pt>
                <c:pt idx="34">
                  <c:v>0.0149</c:v>
                </c:pt>
                <c:pt idx="35">
                  <c:v>0.0119</c:v>
                </c:pt>
                <c:pt idx="36">
                  <c:v>0.00943</c:v>
                </c:pt>
                <c:pt idx="37">
                  <c:v>0.00737</c:v>
                </c:pt>
                <c:pt idx="38">
                  <c:v>0.00569</c:v>
                </c:pt>
                <c:pt idx="39">
                  <c:v>0.00434</c:v>
                </c:pt>
                <c:pt idx="40">
                  <c:v>0.00327</c:v>
                </c:pt>
                <c:pt idx="41">
                  <c:v>0.00243</c:v>
                </c:pt>
                <c:pt idx="42">
                  <c:v>0.00179</c:v>
                </c:pt>
                <c:pt idx="43">
                  <c:v>0.0013</c:v>
                </c:pt>
                <c:pt idx="44">
                  <c:v>0.000934</c:v>
                </c:pt>
                <c:pt idx="45">
                  <c:v>0.000662</c:v>
                </c:pt>
                <c:pt idx="46">
                  <c:v>0.000464</c:v>
                </c:pt>
                <c:pt idx="47">
                  <c:v>0.000321</c:v>
                </c:pt>
                <c:pt idx="48">
                  <c:v>0.00022</c:v>
                </c:pt>
                <c:pt idx="49">
                  <c:v>0.000148</c:v>
                </c:pt>
                <c:pt idx="50">
                  <c:v>9.91e-5</c:v>
                </c:pt>
                <c:pt idx="51">
                  <c:v>6.53e-5</c:v>
                </c:pt>
                <c:pt idx="52">
                  <c:v>4.26e-5</c:v>
                </c:pt>
                <c:pt idx="53">
                  <c:v>2.74e-5</c:v>
                </c:pt>
                <c:pt idx="54">
                  <c:v>1.74e-5</c:v>
                </c:pt>
                <c:pt idx="55">
                  <c:v>1.1e-5</c:v>
                </c:pt>
                <c:pt idx="56">
                  <c:v>6.8e-6</c:v>
                </c:pt>
                <c:pt idx="57">
                  <c:v>4.17e-6</c:v>
                </c:pt>
                <c:pt idx="58">
                  <c:v>2.53e-6</c:v>
                </c:pt>
                <c:pt idx="59">
                  <c:v>1.51e-6</c:v>
                </c:pt>
                <c:pt idx="60">
                  <c:v>8.96e-7</c:v>
                </c:pt>
                <c:pt idx="61">
                  <c:v>5.24e-7</c:v>
                </c:pt>
                <c:pt idx="62">
                  <c:v>3.03e-7</c:v>
                </c:pt>
                <c:pt idx="63">
                  <c:v>1.73e-7</c:v>
                </c:pt>
                <c:pt idx="64">
                  <c:v>9.74e-8</c:v>
                </c:pt>
                <c:pt idx="65">
                  <c:v>5.43e-8</c:v>
                </c:pt>
                <c:pt idx="66">
                  <c:v>2.99e-8</c:v>
                </c:pt>
                <c:pt idx="67">
                  <c:v>1.62e-8</c:v>
                </c:pt>
                <c:pt idx="68">
                  <c:v>8.73e-9</c:v>
                </c:pt>
                <c:pt idx="69">
                  <c:v>4.64e-9</c:v>
                </c:pt>
                <c:pt idx="70">
                  <c:v>2.43e-9</c:v>
                </c:pt>
                <c:pt idx="71">
                  <c:v>1.26e-9</c:v>
                </c:pt>
                <c:pt idx="72">
                  <c:v>6.46e-10</c:v>
                </c:pt>
                <c:pt idx="73">
                  <c:v>3.27e-10</c:v>
                </c:pt>
                <c:pt idx="74">
                  <c:v>1.64e-10</c:v>
                </c:pt>
                <c:pt idx="75">
                  <c:v>8.09e-11</c:v>
                </c:pt>
                <c:pt idx="76">
                  <c:v>3.95e-11</c:v>
                </c:pt>
                <c:pt idx="77">
                  <c:v>1.91e-11</c:v>
                </c:pt>
                <c:pt idx="78">
                  <c:v>9.08e-12</c:v>
                </c:pt>
                <c:pt idx="79">
                  <c:v>4.28e-12</c:v>
                </c:pt>
                <c:pt idx="80">
                  <c:v>1.99e-12</c:v>
                </c:pt>
                <c:pt idx="81">
                  <c:v>9.17e-13</c:v>
                </c:pt>
                <c:pt idx="82">
                  <c:v>4.17e-13</c:v>
                </c:pt>
                <c:pt idx="83">
                  <c:v>1.87e-13</c:v>
                </c:pt>
                <c:pt idx="84">
                  <c:v>8.31e-14</c:v>
                </c:pt>
                <c:pt idx="85">
                  <c:v>3.64e-14</c:v>
                </c:pt>
                <c:pt idx="86">
                  <c:v>1.58e-14</c:v>
                </c:pt>
                <c:pt idx="87">
                  <c:v>6.76e-15</c:v>
                </c:pt>
                <c:pt idx="88">
                  <c:v>2.86e-15</c:v>
                </c:pt>
                <c:pt idx="89">
                  <c:v>1.2e-15</c:v>
                </c:pt>
                <c:pt idx="90">
                  <c:v>4.95e-16</c:v>
                </c:pt>
                <c:pt idx="91">
                  <c:v>2.02e-16</c:v>
                </c:pt>
                <c:pt idx="92">
                  <c:v>8.15e-17</c:v>
                </c:pt>
                <c:pt idx="93">
                  <c:v>3.25e-17</c:v>
                </c:pt>
                <c:pt idx="94">
                  <c:v>1.28e-17</c:v>
                </c:pt>
                <c:pt idx="95">
                  <c:v>4.99e-18</c:v>
                </c:pt>
                <c:pt idx="96">
                  <c:v>1.92e-18</c:v>
                </c:pt>
                <c:pt idx="97">
                  <c:v>7.3e-19</c:v>
                </c:pt>
                <c:pt idx="98">
                  <c:v>2.74e-19</c:v>
                </c:pt>
                <c:pt idx="99">
                  <c:v>1.02e-19</c:v>
                </c:pt>
                <c:pt idx="100">
                  <c:v>3.74e-20</c:v>
                </c:pt>
              </c:numCache>
            </c:numRef>
          </c:val>
          <c:smooth val="0"/>
        </c:ser>
        <c:dLbls>
          <c:showLegendKey val="0"/>
          <c:showVal val="0"/>
          <c:showCatName val="0"/>
          <c:showSerName val="0"/>
          <c:showPercent val="0"/>
          <c:showBubbleSize val="0"/>
        </c:dLbls>
        <c:marker val="1"/>
        <c:smooth val="0"/>
        <c:axId val="285568156"/>
        <c:axId val="973715984"/>
        <c:extLst>
          <c:ext xmlns:c15="http://schemas.microsoft.com/office/drawing/2012/chart" uri="{02D57815-91ED-43cb-92C2-25804820EDAC}">
            <c15:filteredLineSeries>
              <c15:ser>
                <c:idx val="0"/>
                <c:order val="0"/>
                <c:tx>
                  <c:strRef>
                    <c:extLst>
                      <c:ext uri="{02D57815-91ED-43cb-92C2-25804820EDAC}">
                        <c15:formulaRef>
                          <c15:sqref>'[新建 XLSX 工作表.xlsx]3650'!$A$6</c15:sqref>
                        </c15:formulaRef>
                      </c:ext>
                    </c:extLst>
                    <c:strCache>
                      <c:ptCount val="1"/>
                      <c:pt idx="0">
                        <c:v>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extLst>
                      <c:ext uri="{02D57815-91ED-43cb-92C2-25804820EDAC}">
                        <c15:fullRef>
                          <c15:sqref/>
                        </c15:fullRef>
                        <c15:formulaRef>
                          <c15:sqref>'[新建 XLSX 工作表.xlsx]3650'!$B$7:$B$107</c15:sqref>
                        </c15:formulaRef>
                      </c:ext>
                    </c:extLst>
                    <c:numCache>
                      <c:formatCode>General</c:formatCode>
                      <c:ptCount val="1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numCache>
                  </c:numRef>
                </c:cat>
                <c:val>
                  <c:numRef>
                    <c:extLst>
                      <c:ext uri="{02D57815-91ED-43cb-92C2-25804820EDAC}">
                        <c15:formulaRef>
                          <c15:sqref>{0,0,0,0,0,0,0,0,0,0,0,0,0,0,0,0,0,0,0,0,0,0,0,0,0,0,0,0,0,0,0,0,0,0,0,0,0,0,0,0,0,0,0,0,0,0,0,0,0,0,0,0,0,0,0,0,0,0,0,0,0,0,0,0,0,0,0,0,0,0,0,0,0,0,0,0,0,0,0,0,0,0,0,0,0,0,0,0,0,0,0,0,0,0,0,0,0,0,0,0,0}</c15:sqref>
                        </c15:formulaRef>
                      </c:ext>
                    </c:extLst>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15:ser>
            </c15:filteredLineSeries>
            <c15:filteredLineSeries>
              <c15:ser>
                <c:idx val="1"/>
                <c:order val="1"/>
                <c:tx>
                  <c:strRef>
                    <c:extLst>
                      <c:ext uri="{02D57815-91ED-43cb-92C2-25804820EDAC}">
                        <c15:formulaRef>
                          <c15:sqref>'[新建 XLSX 工作表.xlsx]3650'!$B$6</c15:sqref>
                        </c15:formulaRef>
                      </c:ext>
                    </c:extLst>
                    <c:strCache>
                      <c:ptCount val="1"/>
                      <c:pt idx="0">
                        <c:v>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'[新建 XLSX 工作表.xlsx]3650'!$B$7:$B$107</c15:sqref>
                        </c15:formulaRef>
                      </c:ext>
                    </c:extLst>
                    <c:numCache>
                      <c:formatCode>General</c:formatCode>
                      <c:ptCount val="1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numCache>
                  </c:numRef>
                </c:cat>
                <c:val>
                  <c:numRef>
                    <c:extLst>
                      <c:ext uri="{02D57815-91ED-43cb-92C2-25804820EDAC}">
                        <c15:formulaRef>
                          <c15:sqref>{0,5,10,15,20,25,30,35,40,45,50,55,60,65,70,75,80,85,90,95,100,105,110,115,120,125,130,135,140,145,150,155,160,165,170,175,180,185,190,195,200,205,210,215,220,225,230,235,240,245,250,255,260,265,270,275,280,285,290,295,300,305,310,315,320,325,330,335,340,345,350,355,360,365,370,375,380,385,390,395,400,405,410,415,420,425,430,435,440,445,450,455,460,465,470,475,480,485,490,495,500}</c15:sqref>
                        </c15:formulaRef>
                      </c:ext>
                    </c:extLst>
                    <c:numCache>
                      <c:formatCode>General</c:formatCode>
                      <c:ptCount val="10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numCache>
                  </c:numRef>
                </c:val>
                <c:smooth val="0"/>
              </c15:ser>
            </c15:filteredLineSeries>
          </c:ext>
        </c:extLst>
      </c:lineChart>
      <c:catAx>
        <c:axId val="2855681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3715984"/>
        <c:crosses val="autoZero"/>
        <c:auto val="1"/>
        <c:lblAlgn val="ctr"/>
        <c:lblOffset val="100"/>
        <c:tickLblSkip val="10"/>
        <c:noMultiLvlLbl val="0"/>
      </c:catAx>
      <c:valAx>
        <c:axId val="973715984"/>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556815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2"/>
          <c:order val="2"/>
          <c:tx>
            <c:strRef>
              <c:f>'[新建 XLSX 工作表.xlsx]7300'!$C$6</c:f>
              <c:strCache>
                <c:ptCount val="1"/>
                <c:pt idx="0">
                  <c:v>第 7300.0 天</c:v>
                </c:pt>
              </c:strCache>
            </c:strRef>
          </c:tx>
          <c:spPr>
            <a:ln w="28575" cap="rnd">
              <a:solidFill>
                <a:srgbClr val="00B0F0"/>
              </a:solidFill>
              <a:round/>
            </a:ln>
            <a:effectLst/>
          </c:spPr>
          <c:marker>
            <c:symbol val="circle"/>
            <c:size val="5"/>
            <c:spPr>
              <a:solidFill>
                <a:srgbClr val="00B0F0"/>
              </a:solidFill>
              <a:ln w="9525">
                <a:noFill/>
              </a:ln>
              <a:effectLst/>
            </c:spPr>
          </c:marker>
          <c:dLbls>
            <c:delete val="1"/>
          </c:dLbls>
          <c:cat>
            <c:numRef>
              <c:f>'[新建 XLSX 工作表.xlsx]7300'!$B$7:$B$107</c:f>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cat>
          <c:val>
            <c:numRef>
              <c:f>'[新建 XLSX 工作表.xlsx]7300'!$C$7:$C$107</c:f>
              <c:numCache>
                <c:formatCode>0.000_ </c:formatCode>
                <c:ptCount val="101"/>
                <c:pt idx="0">
                  <c:v>0.00195</c:v>
                </c:pt>
                <c:pt idx="1">
                  <c:v>0.00286</c:v>
                </c:pt>
                <c:pt idx="2">
                  <c:v>0.00409</c:v>
                </c:pt>
                <c:pt idx="3">
                  <c:v>0.00573</c:v>
                </c:pt>
                <c:pt idx="4">
                  <c:v>0.00782</c:v>
                </c:pt>
                <c:pt idx="5">
                  <c:v>0.0104</c:v>
                </c:pt>
                <c:pt idx="6">
                  <c:v>0.0136</c:v>
                </c:pt>
                <c:pt idx="7">
                  <c:v>0.0172</c:v>
                </c:pt>
                <c:pt idx="8">
                  <c:v>0.0214</c:v>
                </c:pt>
                <c:pt idx="9">
                  <c:v>0.0259</c:v>
                </c:pt>
                <c:pt idx="10">
                  <c:v>0.0306</c:v>
                </c:pt>
                <c:pt idx="11">
                  <c:v>0.0353</c:v>
                </c:pt>
                <c:pt idx="12">
                  <c:v>0.0397</c:v>
                </c:pt>
                <c:pt idx="13">
                  <c:v>0.0437</c:v>
                </c:pt>
                <c:pt idx="14">
                  <c:v>0.0469</c:v>
                </c:pt>
                <c:pt idx="15">
                  <c:v>0.0491</c:v>
                </c:pt>
                <c:pt idx="16">
                  <c:v>0.0502</c:v>
                </c:pt>
                <c:pt idx="17">
                  <c:v>0.0501</c:v>
                </c:pt>
                <c:pt idx="18">
                  <c:v>0.0489</c:v>
                </c:pt>
                <c:pt idx="19">
                  <c:v>0.0465</c:v>
                </c:pt>
                <c:pt idx="20">
                  <c:v>0.0432</c:v>
                </c:pt>
                <c:pt idx="21">
                  <c:v>0.0392</c:v>
                </c:pt>
                <c:pt idx="22">
                  <c:v>0.0347</c:v>
                </c:pt>
                <c:pt idx="23">
                  <c:v>0.03</c:v>
                </c:pt>
                <c:pt idx="24">
                  <c:v>0.0253</c:v>
                </c:pt>
                <c:pt idx="25">
                  <c:v>0.0208</c:v>
                </c:pt>
                <c:pt idx="26">
                  <c:v>0.0167</c:v>
                </c:pt>
                <c:pt idx="27">
                  <c:v>0.0131</c:v>
                </c:pt>
                <c:pt idx="28">
                  <c:v>0.0101</c:v>
                </c:pt>
                <c:pt idx="29">
                  <c:v>0.00753</c:v>
                </c:pt>
                <c:pt idx="30">
                  <c:v>0.0055</c:v>
                </c:pt>
                <c:pt idx="31">
                  <c:v>0.00392</c:v>
                </c:pt>
                <c:pt idx="32">
                  <c:v>0.00273</c:v>
                </c:pt>
                <c:pt idx="33">
                  <c:v>0.00186</c:v>
                </c:pt>
                <c:pt idx="34">
                  <c:v>0.00123</c:v>
                </c:pt>
                <c:pt idx="35">
                  <c:v>0.000797</c:v>
                </c:pt>
                <c:pt idx="36">
                  <c:v>0.000504</c:v>
                </c:pt>
                <c:pt idx="37">
                  <c:v>0.000311</c:v>
                </c:pt>
                <c:pt idx="38">
                  <c:v>0.000187</c:v>
                </c:pt>
                <c:pt idx="39">
                  <c:v>0.00011</c:v>
                </c:pt>
                <c:pt idx="40">
                  <c:v>6.33e-5</c:v>
                </c:pt>
                <c:pt idx="41">
                  <c:v>3.55e-5</c:v>
                </c:pt>
                <c:pt idx="42">
                  <c:v>1.94e-5</c:v>
                </c:pt>
                <c:pt idx="43">
                  <c:v>1.04e-5</c:v>
                </c:pt>
                <c:pt idx="44">
                  <c:v>5.42e-6</c:v>
                </c:pt>
                <c:pt idx="45">
                  <c:v>2.76e-6</c:v>
                </c:pt>
                <c:pt idx="46">
                  <c:v>1.37e-6</c:v>
                </c:pt>
                <c:pt idx="47">
                  <c:v>6.66e-7</c:v>
                </c:pt>
                <c:pt idx="48">
                  <c:v>3.16e-7</c:v>
                </c:pt>
                <c:pt idx="49">
                  <c:v>1.46e-7</c:v>
                </c:pt>
                <c:pt idx="50">
                  <c:v>6.6e-8</c:v>
                </c:pt>
                <c:pt idx="51">
                  <c:v>2.91e-8</c:v>
                </c:pt>
                <c:pt idx="52">
                  <c:v>1.25e-8</c:v>
                </c:pt>
                <c:pt idx="53">
                  <c:v>5.27e-9</c:v>
                </c:pt>
                <c:pt idx="54">
                  <c:v>2.16e-9</c:v>
                </c:pt>
                <c:pt idx="55">
                  <c:v>8.66e-10</c:v>
                </c:pt>
                <c:pt idx="56">
                  <c:v>3.39e-10</c:v>
                </c:pt>
                <c:pt idx="57">
                  <c:v>1.3e-10</c:v>
                </c:pt>
                <c:pt idx="58">
                  <c:v>4.83e-11</c:v>
                </c:pt>
                <c:pt idx="59">
                  <c:v>1.76e-11</c:v>
                </c:pt>
                <c:pt idx="60">
                  <c:v>6.25e-12</c:v>
                </c:pt>
                <c:pt idx="61">
                  <c:v>2.17e-12</c:v>
                </c:pt>
                <c:pt idx="62">
                  <c:v>7.36e-13</c:v>
                </c:pt>
                <c:pt idx="63">
                  <c:v>2.43e-13</c:v>
                </c:pt>
                <c:pt idx="64">
                  <c:v>7.86e-14</c:v>
                </c:pt>
                <c:pt idx="65">
                  <c:v>2.48e-14</c:v>
                </c:pt>
                <c:pt idx="66">
                  <c:v>7.64e-15</c:v>
                </c:pt>
                <c:pt idx="67">
                  <c:v>2.3e-15</c:v>
                </c:pt>
                <c:pt idx="68">
                  <c:v>6.75e-16</c:v>
                </c:pt>
                <c:pt idx="69">
                  <c:v>1.93e-16</c:v>
                </c:pt>
                <c:pt idx="70">
                  <c:v>5.42e-17</c:v>
                </c:pt>
                <c:pt idx="71">
                  <c:v>1.48e-17</c:v>
                </c:pt>
                <c:pt idx="72">
                  <c:v>3.95e-18</c:v>
                </c:pt>
                <c:pt idx="73">
                  <c:v>1.03e-18</c:v>
                </c:pt>
                <c:pt idx="74">
                  <c:v>2.62e-19</c:v>
                </c:pt>
                <c:pt idx="75">
                  <c:v>6.51e-20</c:v>
                </c:pt>
                <c:pt idx="76">
                  <c:v>1.58e-20</c:v>
                </c:pt>
                <c:pt idx="77">
                  <c:v>3.74e-21</c:v>
                </c:pt>
                <c:pt idx="78">
                  <c:v>8.65e-22</c:v>
                </c:pt>
                <c:pt idx="79">
                  <c:v>1.95e-22</c:v>
                </c:pt>
                <c:pt idx="80">
                  <c:v>4.31e-23</c:v>
                </c:pt>
                <c:pt idx="81">
                  <c:v>9.27e-24</c:v>
                </c:pt>
                <c:pt idx="82">
                  <c:v>1.95e-24</c:v>
                </c:pt>
                <c:pt idx="83">
                  <c:v>4e-25</c:v>
                </c:pt>
                <c:pt idx="84">
                  <c:v>8.02e-26</c:v>
                </c:pt>
                <c:pt idx="85">
                  <c:v>1.57e-26</c:v>
                </c:pt>
                <c:pt idx="86">
                  <c:v>3e-27</c:v>
                </c:pt>
                <c:pt idx="87">
                  <c:v>5.6e-28</c:v>
                </c:pt>
                <c:pt idx="88">
                  <c:v>1.02e-28</c:v>
                </c:pt>
                <c:pt idx="89">
                  <c:v>1.82e-29</c:v>
                </c:pt>
                <c:pt idx="90">
                  <c:v>3.16e-30</c:v>
                </c:pt>
                <c:pt idx="91">
                  <c:v>5.36e-31</c:v>
                </c:pt>
                <c:pt idx="92">
                  <c:v>8.88e-32</c:v>
                </c:pt>
                <c:pt idx="93">
                  <c:v>1.44e-32</c:v>
                </c:pt>
                <c:pt idx="94">
                  <c:v>2.27e-33</c:v>
                </c:pt>
                <c:pt idx="95">
                  <c:v>3.5e-34</c:v>
                </c:pt>
                <c:pt idx="96">
                  <c:v>5.28e-35</c:v>
                </c:pt>
                <c:pt idx="97">
                  <c:v>7.77e-36</c:v>
                </c:pt>
                <c:pt idx="98">
                  <c:v>1.12e-36</c:v>
                </c:pt>
                <c:pt idx="99">
                  <c:v>1.57e-37</c:v>
                </c:pt>
                <c:pt idx="100">
                  <c:v>2.15e-38</c:v>
                </c:pt>
              </c:numCache>
            </c:numRef>
          </c:val>
          <c:smooth val="0"/>
        </c:ser>
        <c:dLbls>
          <c:showLegendKey val="0"/>
          <c:showVal val="0"/>
          <c:showCatName val="0"/>
          <c:showSerName val="0"/>
          <c:showPercent val="0"/>
          <c:showBubbleSize val="0"/>
        </c:dLbls>
        <c:marker val="1"/>
        <c:smooth val="0"/>
        <c:axId val="379501831"/>
        <c:axId val="254969431"/>
        <c:extLst>
          <c:ext xmlns:c15="http://schemas.microsoft.com/office/drawing/2012/chart" uri="{02D57815-91ED-43cb-92C2-25804820EDAC}">
            <c15:filteredLineSeries>
              <c15:ser>
                <c:idx val="0"/>
                <c:order val="0"/>
                <c:tx>
                  <c:strRef>
                    <c:extLst>
                      <c:ext uri="{02D57815-91ED-43cb-92C2-25804820EDAC}">
                        <c15:formulaRef>
                          <c15:sqref>'[新建 XLSX 工作表.xlsx]7300'!$A$6</c15:sqref>
                        </c15:formulaRef>
                      </c:ext>
                    </c:extLst>
                    <c:strCache>
                      <c:ptCount val="1"/>
                      <c:pt idx="0">
                        <c:v>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extLst>
                      <c:ext uri="{02D57815-91ED-43cb-92C2-25804820EDAC}">
                        <c15:fullRef>
                          <c15:sqref/>
                        </c15:fullRef>
                        <c15:formulaRef>
                          <c15:sqref>'[新建 XLSX 工作表.xlsx]7300'!$B$7:$B$107</c15:sqref>
                        </c15:formulaRef>
                      </c:ext>
                    </c:extLst>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cat>
                <c:val>
                  <c:numRef>
                    <c:extLst>
                      <c:ext uri="{02D57815-91ED-43cb-92C2-25804820EDAC}">
                        <c15:formulaRef>
                          <c15:sqref>{0,0,0,0,0,0,0,0,0,0,0,0,0,0,0,0,0,0,0,0,0,0,0,0,0,0,0,0,0,0,0,0,0,0,0,0,0,0,0,0,0,0,0,0,0,0,0,0,0,0,0,0,0,0,0,0,0,0,0,0,0,0,0,0,0,0,0,0,0,0,0,0,0,0,0,0,0,0,0,0,0,0,0,0,0,0,0,0,0,0,0,0,0,0,0,0,0,0,0,0,0}</c15:sqref>
                        </c15:formulaRef>
                      </c:ext>
                    </c:extLst>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smooth val="0"/>
              </c15:ser>
            </c15:filteredLineSeries>
            <c15:filteredLineSeries>
              <c15:ser>
                <c:idx val="1"/>
                <c:order val="1"/>
                <c:tx>
                  <c:strRef>
                    <c:extLst>
                      <c:ext uri="{02D57815-91ED-43cb-92C2-25804820EDAC}">
                        <c15:formulaRef>
                          <c15:sqref>'[新建 XLSX 工作表.xlsx]7300'!$B$6</c15:sqref>
                        </c15:formulaRef>
                      </c:ext>
                    </c:extLst>
                    <c:strCache>
                      <c:ptCount val="1"/>
                      <c:pt idx="0">
                        <c:v>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'[新建 XLSX 工作表.xlsx]7300'!$B$7:$B$107</c15:sqref>
                        </c15:formulaRef>
                      </c:ext>
                    </c:extLst>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cat>
                <c:val>
                  <c:numRef>
                    <c:extLst>
                      <c:ext uri="{02D57815-91ED-43cb-92C2-25804820EDAC}">
                        <c15:formulaRef>
                          <c15:sqref>{0,10,20,30,40,50,60,70,80,90,100,110,120,130,140,150,160,170,180,190,200,210,220,230,240,250,260,270,280,290,300,310,320,330,340,350,360,370,380,390,400,410,420,430,440,450,460,470,480,490,500,510,520,530,540,550,560,570,580,590,600,610,620,630,640,650,660,670,680,690,700,710,720,730,740,750,760,770,780,790,800,810,820,830,840,850,860,870,880,890,900,910,920,930,940,950,960,970,980,990,1000}</c15:sqref>
                        </c15:formulaRef>
                      </c:ext>
                    </c:extLst>
                    <c:numCache>
                      <c:formatCode>General</c:formatCode>
                      <c:ptCount val="1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numCache>
                  </c:numRef>
                </c:val>
                <c:smooth val="0"/>
              </c15:ser>
            </c15:filteredLineSeries>
          </c:ext>
        </c:extLst>
      </c:lineChart>
      <c:catAx>
        <c:axId val="3795018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4969431"/>
        <c:crosses val="autoZero"/>
        <c:auto val="1"/>
        <c:lblAlgn val="ctr"/>
        <c:lblOffset val="100"/>
        <c:tickLblSkip val="20"/>
        <c:noMultiLvlLbl val="0"/>
      </c:catAx>
      <c:valAx>
        <c:axId val="254969431"/>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950183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198</Pages>
  <Words>117095</Words>
  <Characters>138486</Characters>
  <Lines>0</Lines>
  <Paragraphs>0</Paragraphs>
  <TotalTime>15</TotalTime>
  <ScaleCrop>false</ScaleCrop>
  <LinksUpToDate>false</LinksUpToDate>
  <CharactersWithSpaces>139266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2019-11-22T01:52:00Z</dcterms:created>
  <dc:creator>hh</dc:creator>
  <cp:lastModifiedBy>Administrator</cp:lastModifiedBy>
  <dcterms:modified xsi:type="dcterms:W3CDTF">2022-04-01T11:51:51Z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F085B8A137204456A18318B6BC23F72B</vt:lpwstr>
  </property>
</Properties>
</file>