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4F4F4"/>
  <w:body>
    <w:p>
      <w:pPr>
        <w:spacing w:line="1200" w:lineRule="auto"/>
        <w:jc w:val="center"/>
        <w:rPr>
          <w:rFonts w:ascii="宋体" w:hAnsi="宋体" w:eastAsia="宋体" w:cs="宋体"/>
          <w:b/>
          <w:color w:val="auto"/>
          <w:sz w:val="52"/>
          <w:szCs w:val="52"/>
        </w:rPr>
      </w:pPr>
    </w:p>
    <w:p>
      <w:pPr>
        <w:spacing w:line="360" w:lineRule="auto"/>
        <w:jc w:val="center"/>
        <w:rPr>
          <w:rFonts w:hint="eastAsia" w:ascii="宋体" w:hAnsi="宋体" w:eastAsia="宋体" w:cs="宋体"/>
          <w:b/>
          <w:bCs/>
          <w:color w:val="auto"/>
          <w:sz w:val="72"/>
          <w:szCs w:val="72"/>
        </w:rPr>
      </w:pPr>
      <w:bookmarkStart w:id="0" w:name="_Toc4842"/>
      <w:bookmarkStart w:id="1" w:name="_Toc13840046"/>
      <w:r>
        <w:rPr>
          <w:rFonts w:hint="eastAsia" w:ascii="宋体" w:hAnsi="宋体" w:eastAsia="宋体" w:cs="宋体"/>
          <w:b/>
          <w:bCs/>
          <w:color w:val="auto"/>
          <w:sz w:val="72"/>
          <w:szCs w:val="72"/>
          <w:lang w:eastAsia="zh-CN"/>
        </w:rPr>
        <w:t>通江温氏畜牧有限公司龙凤场镇</w:t>
      </w:r>
      <w:r>
        <w:rPr>
          <w:rFonts w:hint="eastAsia" w:ascii="宋体" w:hAnsi="宋体" w:eastAsia="宋体" w:cs="宋体"/>
          <w:b/>
          <w:bCs/>
          <w:color w:val="auto"/>
          <w:sz w:val="72"/>
          <w:szCs w:val="72"/>
        </w:rPr>
        <w:t>种猪</w:t>
      </w:r>
      <w:r>
        <w:rPr>
          <w:rFonts w:hint="eastAsia" w:ascii="宋体" w:hAnsi="宋体" w:eastAsia="宋体" w:cs="宋体"/>
          <w:b/>
          <w:bCs/>
          <w:color w:val="auto"/>
          <w:sz w:val="72"/>
          <w:szCs w:val="72"/>
          <w:lang w:eastAsia="zh-CN"/>
        </w:rPr>
        <w:t>养殖</w:t>
      </w:r>
      <w:r>
        <w:rPr>
          <w:rFonts w:hint="eastAsia" w:ascii="宋体" w:hAnsi="宋体" w:eastAsia="宋体" w:cs="宋体"/>
          <w:b/>
          <w:bCs/>
          <w:color w:val="auto"/>
          <w:sz w:val="72"/>
          <w:szCs w:val="72"/>
        </w:rPr>
        <w:t>项目</w:t>
      </w:r>
      <w:bookmarkEnd w:id="0"/>
    </w:p>
    <w:p>
      <w:pPr>
        <w:spacing w:line="360" w:lineRule="auto"/>
        <w:jc w:val="center"/>
        <w:rPr>
          <w:rFonts w:hint="eastAsia" w:ascii="宋体" w:hAnsi="宋体" w:eastAsia="宋体" w:cs="宋体"/>
          <w:b/>
          <w:bCs/>
          <w:color w:val="auto"/>
          <w:sz w:val="72"/>
          <w:szCs w:val="72"/>
        </w:rPr>
      </w:pPr>
      <w:bookmarkStart w:id="2" w:name="_Toc14487"/>
      <w:r>
        <w:rPr>
          <w:rFonts w:hint="eastAsia" w:ascii="宋体" w:hAnsi="宋体" w:eastAsia="宋体" w:cs="宋体"/>
          <w:b/>
          <w:bCs/>
          <w:color w:val="auto"/>
          <w:sz w:val="72"/>
          <w:szCs w:val="72"/>
        </w:rPr>
        <w:t>环境影响报告书</w:t>
      </w:r>
      <w:bookmarkEnd w:id="1"/>
      <w:bookmarkEnd w:id="2"/>
    </w:p>
    <w:p>
      <w:pPr>
        <w:jc w:val="center"/>
        <w:rPr>
          <w:rFonts w:hint="eastAsia" w:ascii="宋体" w:hAnsi="宋体" w:eastAsia="宋体" w:cs="宋体"/>
          <w:b/>
          <w:bCs/>
          <w:color w:val="auto"/>
          <w:sz w:val="28"/>
          <w:szCs w:val="28"/>
        </w:rPr>
      </w:pPr>
      <w:bookmarkStart w:id="3" w:name="_Toc13840047"/>
      <w:bookmarkStart w:id="4" w:name="_Toc22926"/>
      <w:r>
        <w:rPr>
          <w:rFonts w:hint="eastAsia" w:ascii="宋体" w:hAnsi="宋体" w:eastAsia="宋体" w:cs="宋体"/>
          <w:b/>
          <w:bCs/>
          <w:color w:val="auto"/>
          <w:sz w:val="28"/>
          <w:szCs w:val="28"/>
        </w:rPr>
        <w:t>（</w:t>
      </w:r>
      <w:r>
        <w:rPr>
          <w:rFonts w:hint="eastAsia" w:ascii="宋体" w:hAnsi="宋体" w:eastAsia="宋体" w:cs="宋体"/>
          <w:b/>
          <w:bCs/>
          <w:color w:val="auto"/>
          <w:sz w:val="28"/>
          <w:szCs w:val="28"/>
          <w:lang w:eastAsia="zh-CN"/>
        </w:rPr>
        <w:t>承诺制报批本</w:t>
      </w:r>
      <w:r>
        <w:rPr>
          <w:rFonts w:hint="eastAsia" w:ascii="宋体" w:hAnsi="宋体" w:eastAsia="宋体" w:cs="宋体"/>
          <w:b/>
          <w:bCs/>
          <w:color w:val="auto"/>
          <w:sz w:val="28"/>
          <w:szCs w:val="28"/>
        </w:rPr>
        <w:t>）</w:t>
      </w:r>
      <w:bookmarkEnd w:id="3"/>
      <w:bookmarkEnd w:id="4"/>
    </w:p>
    <w:p>
      <w:pPr>
        <w:jc w:val="center"/>
        <w:rPr>
          <w:rFonts w:ascii="Calibri" w:hAnsi="Calibri" w:eastAsia="宋体" w:cs="Times New Roman"/>
          <w:b/>
          <w:color w:val="auto"/>
          <w:sz w:val="44"/>
          <w:szCs w:val="44"/>
        </w:rPr>
      </w:pPr>
      <w:bookmarkStart w:id="399" w:name="_GoBack"/>
      <w:bookmarkEnd w:id="399"/>
    </w:p>
    <w:p>
      <w:pPr>
        <w:jc w:val="center"/>
        <w:rPr>
          <w:rFonts w:ascii="Calibri" w:hAnsi="Calibri" w:eastAsia="宋体" w:cs="Times New Roman"/>
          <w:b/>
          <w:color w:val="auto"/>
          <w:sz w:val="44"/>
          <w:szCs w:val="44"/>
        </w:rPr>
      </w:pPr>
    </w:p>
    <w:p>
      <w:pPr>
        <w:jc w:val="center"/>
        <w:rPr>
          <w:rFonts w:ascii="Calibri" w:hAnsi="Calibri" w:eastAsia="宋体" w:cs="Times New Roman"/>
          <w:b/>
          <w:color w:val="auto"/>
          <w:sz w:val="44"/>
          <w:szCs w:val="44"/>
        </w:rPr>
      </w:pPr>
    </w:p>
    <w:p>
      <w:pPr>
        <w:jc w:val="center"/>
        <w:rPr>
          <w:rFonts w:ascii="Calibri" w:hAnsi="Calibri" w:eastAsia="宋体" w:cs="Times New Roman"/>
          <w:b/>
          <w:color w:val="auto"/>
          <w:sz w:val="44"/>
          <w:szCs w:val="44"/>
        </w:rPr>
      </w:pPr>
    </w:p>
    <w:p>
      <w:pPr>
        <w:pStyle w:val="110"/>
        <w:rPr>
          <w:rFonts w:hint="eastAsia" w:ascii="Calibri" w:hAnsi="Calibri" w:cs="Times New Roman"/>
          <w:b/>
          <w:color w:val="auto"/>
          <w:sz w:val="44"/>
          <w:szCs w:val="44"/>
          <w:lang w:val="en-US" w:eastAsia="zh-CN"/>
        </w:rPr>
      </w:pPr>
      <w:r>
        <w:rPr>
          <w:rFonts w:hint="eastAsia" w:ascii="Calibri" w:hAnsi="Calibri" w:cs="Times New Roman"/>
          <w:b/>
          <w:color w:val="auto"/>
          <w:sz w:val="44"/>
          <w:szCs w:val="44"/>
          <w:lang w:val="en-US" w:eastAsia="zh-CN"/>
        </w:rPr>
        <w:t xml:space="preserve"> </w:t>
      </w:r>
    </w:p>
    <w:p>
      <w:pPr>
        <w:pStyle w:val="110"/>
        <w:rPr>
          <w:rFonts w:hint="default" w:ascii="Calibri" w:hAnsi="Calibri" w:cs="Times New Roman"/>
          <w:b/>
          <w:color w:val="auto"/>
          <w:sz w:val="44"/>
          <w:szCs w:val="44"/>
          <w:lang w:val="en-US" w:eastAsia="zh-CN"/>
        </w:rPr>
      </w:pPr>
    </w:p>
    <w:p>
      <w:pPr>
        <w:pStyle w:val="110"/>
        <w:rPr>
          <w:rFonts w:hint="eastAsia" w:ascii="Calibri" w:hAnsi="Calibri" w:cs="Times New Roman"/>
          <w:b/>
          <w:color w:val="auto"/>
          <w:sz w:val="44"/>
          <w:szCs w:val="44"/>
          <w:lang w:val="en-US" w:eastAsia="zh-CN"/>
        </w:rPr>
      </w:pPr>
    </w:p>
    <w:p>
      <w:pPr>
        <w:pStyle w:val="110"/>
        <w:rPr>
          <w:rFonts w:hint="eastAsia" w:ascii="Calibri" w:hAnsi="Calibri" w:cs="Times New Roman"/>
          <w:b/>
          <w:color w:val="auto"/>
          <w:sz w:val="44"/>
          <w:szCs w:val="44"/>
          <w:lang w:val="en-US" w:eastAsia="zh-CN"/>
        </w:rPr>
      </w:pPr>
    </w:p>
    <w:p>
      <w:pPr>
        <w:pStyle w:val="110"/>
        <w:rPr>
          <w:rFonts w:hint="eastAsia" w:ascii="Calibri" w:hAnsi="Calibri" w:cs="Times New Roman"/>
          <w:b/>
          <w:color w:val="auto"/>
          <w:sz w:val="44"/>
          <w:szCs w:val="44"/>
          <w:lang w:val="en-US" w:eastAsia="zh-CN"/>
        </w:rPr>
      </w:pPr>
    </w:p>
    <w:p>
      <w:pPr>
        <w:pStyle w:val="110"/>
        <w:rPr>
          <w:rFonts w:ascii="Calibri" w:hAnsi="Calibri" w:eastAsia="宋体" w:cs="Times New Roman"/>
          <w:b/>
          <w:color w:val="auto"/>
          <w:sz w:val="44"/>
          <w:szCs w:val="44"/>
        </w:rPr>
      </w:pPr>
    </w:p>
    <w:p>
      <w:pPr>
        <w:ind w:firstLine="1606" w:firstLineChars="500"/>
        <w:jc w:val="both"/>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环评单位：</w:t>
      </w:r>
      <w:r>
        <w:rPr>
          <w:rFonts w:hint="eastAsia" w:ascii="宋体" w:hAnsi="宋体" w:eastAsia="宋体" w:cs="宋体"/>
          <w:b/>
          <w:bCs/>
          <w:color w:val="auto"/>
          <w:sz w:val="32"/>
          <w:szCs w:val="32"/>
          <w:lang w:eastAsia="zh-CN"/>
        </w:rPr>
        <w:t>四川国投环保科技有限公司</w:t>
      </w:r>
    </w:p>
    <w:p>
      <w:pPr>
        <w:widowControl/>
        <w:spacing w:line="240" w:lineRule="auto"/>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建设单位：</w:t>
      </w:r>
      <w:r>
        <w:rPr>
          <w:rFonts w:hint="eastAsia" w:ascii="宋体" w:hAnsi="宋体" w:eastAsia="宋体" w:cs="宋体"/>
          <w:b/>
          <w:bCs/>
          <w:color w:val="auto"/>
          <w:sz w:val="32"/>
          <w:szCs w:val="32"/>
          <w:lang w:eastAsia="zh-CN"/>
        </w:rPr>
        <w:t>通江温氏畜牧有限公司</w:t>
      </w:r>
    </w:p>
    <w:p>
      <w:pPr>
        <w:widowControl/>
        <w:spacing w:line="240" w:lineRule="auto"/>
        <w:jc w:val="center"/>
        <w:rPr>
          <w:rFonts w:ascii="Times New Roman" w:hAnsi="Times New Roman" w:eastAsia="宋体" w:cs="Times New Roman"/>
          <w:b/>
          <w:bCs/>
          <w:color w:val="auto"/>
          <w:sz w:val="32"/>
          <w:szCs w:val="32"/>
        </w:rPr>
      </w:pPr>
      <w:r>
        <w:rPr>
          <w:rFonts w:ascii="Times New Roman" w:hAnsi="Times New Roman" w:eastAsia="宋体" w:cs="Times New Roman"/>
          <w:b/>
          <w:bCs/>
          <w:color w:val="auto"/>
          <w:sz w:val="32"/>
          <w:szCs w:val="32"/>
        </w:rPr>
        <w:t>20</w:t>
      </w:r>
      <w:r>
        <w:rPr>
          <w:rFonts w:hint="eastAsia" w:ascii="Times New Roman" w:hAnsi="Times New Roman" w:eastAsia="宋体" w:cs="Times New Roman"/>
          <w:b/>
          <w:bCs/>
          <w:color w:val="auto"/>
          <w:sz w:val="32"/>
          <w:szCs w:val="32"/>
          <w:lang w:val="en-US" w:eastAsia="zh-CN"/>
        </w:rPr>
        <w:t>20</w:t>
      </w:r>
      <w:r>
        <w:rPr>
          <w:rFonts w:ascii="Times New Roman" w:hAnsi="Times New Roman" w:eastAsia="宋体" w:cs="Times New Roman"/>
          <w:b/>
          <w:bCs/>
          <w:color w:val="auto"/>
          <w:sz w:val="32"/>
          <w:szCs w:val="32"/>
        </w:rPr>
        <w:t>年</w:t>
      </w:r>
      <w:r>
        <w:rPr>
          <w:rFonts w:hint="eastAsia" w:ascii="Times New Roman" w:hAnsi="Times New Roman" w:eastAsia="宋体" w:cs="Times New Roman"/>
          <w:b/>
          <w:bCs/>
          <w:color w:val="auto"/>
          <w:sz w:val="32"/>
          <w:szCs w:val="32"/>
          <w:lang w:val="en-US" w:eastAsia="zh-CN"/>
        </w:rPr>
        <w:t>9</w:t>
      </w:r>
      <w:r>
        <w:rPr>
          <w:rFonts w:hint="eastAsia" w:ascii="Times New Roman" w:hAnsi="Times New Roman" w:eastAsia="宋体" w:cs="Times New Roman"/>
          <w:b/>
          <w:bCs/>
          <w:color w:val="auto"/>
          <w:sz w:val="32"/>
          <w:szCs w:val="32"/>
        </w:rPr>
        <w:t>月</w:t>
      </w:r>
    </w:p>
    <w:p>
      <w:pPr>
        <w:widowControl/>
        <w:spacing w:line="240" w:lineRule="auto"/>
        <w:jc w:val="left"/>
        <w:rPr>
          <w:rFonts w:ascii="Times New Roman" w:hAnsi="Times New Roman" w:cs="Times New Roman"/>
          <w:color w:val="auto"/>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w:hAnsi="Times New Roman" w:eastAsia="宋体" w:cs="Times New Roman"/>
          <w:b/>
          <w:bCs/>
          <w:color w:val="auto"/>
          <w:sz w:val="32"/>
          <w:szCs w:val="32"/>
        </w:rPr>
        <w:br w:type="page"/>
      </w:r>
    </w:p>
    <w:p>
      <w:pPr>
        <w:widowControl/>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color w:val="auto"/>
          <w:sz w:val="28"/>
          <w:szCs w:val="28"/>
        </w:rPr>
        <w:t>目</w:t>
      </w:r>
      <w:r>
        <w:rPr>
          <w:rFonts w:hint="default" w:ascii="Times New Roman" w:hAnsi="Times New Roman" w:eastAsia="宋体" w:cs="Times New Roman"/>
          <w:b/>
          <w:color w:val="auto"/>
          <w:sz w:val="28"/>
          <w:szCs w:val="28"/>
          <w:lang w:val="en-US" w:eastAsia="zh-CN"/>
        </w:rPr>
        <w:t xml:space="preserve">  </w:t>
      </w:r>
      <w:r>
        <w:rPr>
          <w:rFonts w:hint="default" w:ascii="Times New Roman" w:hAnsi="Times New Roman" w:eastAsia="宋体" w:cs="Times New Roman"/>
          <w:b/>
          <w:color w:val="auto"/>
          <w:sz w:val="28"/>
          <w:szCs w:val="28"/>
        </w:rPr>
        <w:t>录</w:t>
      </w:r>
      <w:r>
        <w:rPr>
          <w:rFonts w:hint="default" w:ascii="Times New Roman" w:hAnsi="Times New Roman" w:eastAsia="宋体" w:cs="Times New Roman"/>
          <w:b/>
          <w:bCs/>
          <w:caps/>
          <w:color w:val="auto"/>
          <w:sz w:val="24"/>
          <w:szCs w:val="24"/>
        </w:rPr>
        <w:fldChar w:fldCharType="begin"/>
      </w:r>
      <w:r>
        <w:rPr>
          <w:rFonts w:hint="default" w:ascii="Times New Roman" w:hAnsi="Times New Roman" w:eastAsia="宋体" w:cs="Times New Roman"/>
          <w:color w:val="auto"/>
          <w:sz w:val="24"/>
          <w:szCs w:val="24"/>
        </w:rPr>
        <w:instrText xml:space="preserve"> TOC \o "1-3" \h \z \u </w:instrText>
      </w:r>
      <w:r>
        <w:rPr>
          <w:rFonts w:hint="default" w:ascii="Times New Roman" w:hAnsi="Times New Roman" w:eastAsia="宋体" w:cs="Times New Roman"/>
          <w:b/>
          <w:bCs/>
          <w:caps/>
          <w:color w:val="auto"/>
          <w:sz w:val="24"/>
          <w:szCs w:val="24"/>
        </w:rPr>
        <w:fldChar w:fldCharType="separate"/>
      </w:r>
    </w:p>
    <w:p>
      <w:pPr>
        <w:pStyle w:val="60"/>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_Toc1372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 概述</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_Toc1372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_Toc28089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1.1 任务由来</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_Toc28089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_Toc9126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1.2 建设项目的特点</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_Toc9126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_Toc16962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1.3 环境影响评价的工作过程</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_Toc16962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_Toc15606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1.4 分析判定相关情况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_Toc15606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_Toc16943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1.5 关注的主要环境问题及环境影响</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_Toc16943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_Toc10168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1.6 环境影响评价的主要结论</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_Toc10168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60"/>
        <w:tabs>
          <w:tab w:val="right" w:leader="dot" w:pos="8306"/>
        </w:tabs>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_Toc22511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2 总则</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_Toc22511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5</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_Toc9097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2.1 评价目的及原则</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_Toc9097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_Toc28649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2.1.1 </w:t>
      </w:r>
      <w:r>
        <w:rPr>
          <w:rFonts w:hint="default" w:ascii="Times New Roman" w:hAnsi="Times New Roman" w:eastAsia="宋体" w:cs="Times New Roman"/>
          <w:b w:val="0"/>
          <w:bCs w:val="0"/>
          <w:color w:val="auto"/>
          <w:sz w:val="24"/>
          <w:szCs w:val="24"/>
          <w:lang w:eastAsia="zh-CN"/>
        </w:rPr>
        <w:t>评价目的</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_Toc28649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_Toc29036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2.1.2 </w:t>
      </w:r>
      <w:r>
        <w:rPr>
          <w:rFonts w:hint="default" w:ascii="Times New Roman" w:hAnsi="Times New Roman" w:eastAsia="宋体" w:cs="Times New Roman"/>
          <w:b w:val="0"/>
          <w:bCs w:val="0"/>
          <w:color w:val="auto"/>
          <w:sz w:val="24"/>
          <w:szCs w:val="24"/>
          <w:lang w:eastAsia="zh-CN"/>
        </w:rPr>
        <w:t>评价原则</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_Toc29036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_Toc7277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2.2 编制依据</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_Toc7277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_Toc8831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2.2.1 环境保护法律</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_Toc8831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_Toc31231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2.2.2 行政法规</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_Toc31231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_Toc31112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2.2.3 部门规章</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_Toc31112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_Toc24383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2.2.4 地方性法规及规章</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_Toc24383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_Toc24027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2.2.5 技术规范</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_Toc24027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_Toc31921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2.2.6 相关规划</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_Toc31921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_Toc4702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2.3 环境影响要素识别及评价因子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_Toc4702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_Toc29752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2.3.1 环境影响要素识别</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_Toc29752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_Toc14775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2.3.2 评价因子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_Toc14775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_Toc27910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2.4 评价标准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_Toc27910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_Toc14569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2.4.1 环境质量标准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_Toc14569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_Toc4159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2.4.2 污染物排放标准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_Toc4159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_Toc21488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2.5 评价工作等级、评价范围和评价时段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_Toc21488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_Toc31666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2.5.1 评价工作等级</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_Toc31666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_Toc31768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2.5.2 评价范围</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_Toc31768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_Toc25424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2.5.3 </w:t>
      </w:r>
      <w:r>
        <w:rPr>
          <w:rFonts w:hint="default" w:ascii="Times New Roman" w:hAnsi="Times New Roman" w:eastAsia="宋体" w:cs="Times New Roman"/>
          <w:b w:val="0"/>
          <w:bCs w:val="0"/>
          <w:color w:val="auto"/>
          <w:sz w:val="24"/>
          <w:szCs w:val="24"/>
          <w:lang w:eastAsia="zh-CN"/>
        </w:rPr>
        <w:t>主要保护目标</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_Toc25424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_Toc17952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2.5.4 </w:t>
      </w:r>
      <w:r>
        <w:rPr>
          <w:rFonts w:hint="default" w:ascii="Times New Roman" w:hAnsi="Times New Roman" w:eastAsia="宋体" w:cs="Times New Roman"/>
          <w:b w:val="0"/>
          <w:bCs w:val="0"/>
          <w:color w:val="auto"/>
          <w:sz w:val="24"/>
          <w:szCs w:val="24"/>
          <w:lang w:eastAsia="zh-CN"/>
        </w:rPr>
        <w:t>污染控制目标</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_Toc17952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_Toc7997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2.6 产业政策</w:t>
      </w:r>
      <w:r>
        <w:rPr>
          <w:rFonts w:hint="default" w:ascii="Times New Roman" w:hAnsi="Times New Roman" w:eastAsia="宋体" w:cs="Times New Roman"/>
          <w:b w:val="0"/>
          <w:bCs w:val="0"/>
          <w:color w:val="auto"/>
          <w:sz w:val="24"/>
          <w:szCs w:val="24"/>
          <w:lang w:eastAsia="zh-CN"/>
        </w:rPr>
        <w:t>及规划符合性</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_Toc7997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_Toc28266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2.6.1 产业政策符合性分析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_Toc28266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_Toc5059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2.6.2 </w:t>
      </w:r>
      <w:r>
        <w:rPr>
          <w:rFonts w:hint="default" w:ascii="Times New Roman" w:hAnsi="Times New Roman" w:eastAsia="宋体" w:cs="Times New Roman"/>
          <w:b w:val="0"/>
          <w:bCs w:val="0"/>
          <w:color w:val="auto"/>
          <w:sz w:val="24"/>
          <w:szCs w:val="24"/>
          <w:lang w:eastAsia="zh-CN"/>
        </w:rPr>
        <w:t>与相关规划</w:t>
      </w:r>
      <w:r>
        <w:rPr>
          <w:rFonts w:hint="default" w:ascii="Times New Roman" w:hAnsi="Times New Roman" w:eastAsia="宋体" w:cs="Times New Roman"/>
          <w:b w:val="0"/>
          <w:bCs w:val="0"/>
          <w:color w:val="auto"/>
          <w:sz w:val="24"/>
          <w:szCs w:val="24"/>
        </w:rPr>
        <w:t>产业政策符合性分析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_Toc5059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_Toc17356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2.6.3 </w:t>
      </w:r>
      <w:r>
        <w:rPr>
          <w:rFonts w:hint="default" w:ascii="Times New Roman" w:hAnsi="Times New Roman" w:eastAsia="宋体" w:cs="Times New Roman"/>
          <w:b w:val="0"/>
          <w:bCs w:val="0"/>
          <w:color w:val="auto"/>
          <w:sz w:val="24"/>
          <w:szCs w:val="24"/>
          <w:lang w:eastAsia="zh-CN"/>
        </w:rPr>
        <w:t>与</w:t>
      </w:r>
      <w:r>
        <w:rPr>
          <w:rFonts w:hint="default" w:ascii="Times New Roman" w:hAnsi="Times New Roman" w:eastAsia="宋体" w:cs="Times New Roman"/>
          <w:b w:val="0"/>
          <w:bCs w:val="0"/>
          <w:color w:val="auto"/>
          <w:sz w:val="24"/>
          <w:szCs w:val="24"/>
        </w:rPr>
        <w:t>相关</w:t>
      </w:r>
      <w:r>
        <w:rPr>
          <w:rFonts w:hint="default" w:ascii="Times New Roman" w:hAnsi="Times New Roman" w:eastAsia="宋体" w:cs="Times New Roman"/>
          <w:b w:val="0"/>
          <w:bCs w:val="0"/>
          <w:color w:val="auto"/>
          <w:sz w:val="24"/>
          <w:szCs w:val="24"/>
          <w:lang w:eastAsia="zh-CN"/>
        </w:rPr>
        <w:t>法律</w:t>
      </w:r>
      <w:r>
        <w:rPr>
          <w:rFonts w:hint="default" w:ascii="Times New Roman" w:hAnsi="Times New Roman" w:eastAsia="宋体" w:cs="Times New Roman"/>
          <w:b w:val="0"/>
          <w:bCs w:val="0"/>
          <w:color w:val="auto"/>
          <w:sz w:val="24"/>
          <w:szCs w:val="24"/>
        </w:rPr>
        <w:t>、规章</w:t>
      </w:r>
      <w:r>
        <w:rPr>
          <w:rFonts w:hint="default" w:ascii="Times New Roman" w:hAnsi="Times New Roman" w:eastAsia="宋体" w:cs="Times New Roman"/>
          <w:b w:val="0"/>
          <w:bCs w:val="0"/>
          <w:color w:val="auto"/>
          <w:sz w:val="24"/>
          <w:szCs w:val="24"/>
          <w:lang w:eastAsia="zh-CN"/>
        </w:rPr>
        <w:t>符合性分析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_Toc17356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_Toc2402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2.6.4 与“三线一单”符合性分析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_Toc2402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_Toc21947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2.6.5 </w:t>
      </w:r>
      <w:r>
        <w:rPr>
          <w:rFonts w:hint="default" w:ascii="Times New Roman" w:hAnsi="Times New Roman" w:eastAsia="宋体" w:cs="Times New Roman"/>
          <w:b w:val="0"/>
          <w:bCs w:val="0"/>
          <w:color w:val="auto"/>
          <w:sz w:val="24"/>
          <w:szCs w:val="24"/>
          <w:lang w:eastAsia="zh-CN"/>
        </w:rPr>
        <w:t>技术规范符合性分析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_Toc21947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_Toc32465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2.7 选址合理性</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_Toc32465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_Toc26847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2.7.1 与</w:t>
      </w:r>
      <w:r>
        <w:rPr>
          <w:rFonts w:hint="default" w:ascii="Times New Roman" w:hAnsi="Times New Roman" w:eastAsia="宋体" w:cs="Times New Roman"/>
          <w:b w:val="0"/>
          <w:bCs w:val="0"/>
          <w:color w:val="auto"/>
          <w:sz w:val="24"/>
          <w:szCs w:val="24"/>
          <w:lang w:eastAsia="zh-CN"/>
        </w:rPr>
        <w:t>通江</w:t>
      </w:r>
      <w:r>
        <w:rPr>
          <w:rFonts w:hint="default" w:ascii="Times New Roman" w:hAnsi="Times New Roman" w:eastAsia="宋体" w:cs="Times New Roman"/>
          <w:b w:val="0"/>
          <w:bCs w:val="0"/>
          <w:color w:val="auto"/>
          <w:sz w:val="24"/>
          <w:szCs w:val="24"/>
        </w:rPr>
        <w:t>县畜禽养殖规划符合性分析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_Toc26847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_Toc2998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2.7.2 与《村镇规划卫生规范》符合性分析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_Toc2998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_Toc3422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2.7.3 与其他相关规范选址符合性分析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_Toc3422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_Toc25172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2.7.4 </w:t>
      </w:r>
      <w:r>
        <w:rPr>
          <w:rFonts w:hint="default" w:ascii="Times New Roman" w:hAnsi="Times New Roman" w:eastAsia="宋体" w:cs="Times New Roman"/>
          <w:b w:val="0"/>
          <w:bCs w:val="0"/>
          <w:color w:val="auto"/>
          <w:sz w:val="24"/>
          <w:szCs w:val="24"/>
          <w:lang w:eastAsia="zh-CN"/>
        </w:rPr>
        <w:t>选址合理性分析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_Toc25172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_Toc19543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2.8 平面布置合理性</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_Toc19543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60"/>
        <w:tabs>
          <w:tab w:val="right" w:leader="dot" w:pos="8306"/>
        </w:tabs>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_Toc12170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3 建设项目工程分析</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_Toc12170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40</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_Toc20075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 建设项目概况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_Toc20075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_Toc21454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3.1.1 项目基本情况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_Toc21454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_Toc11071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3.1.2 建设内容</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_Toc11071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_Toc1297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3.1.3 产品方案</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_Toc1297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_Toc21082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3.1.4 项目组成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_Toc21082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_Toc10413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3.1.5 项目主要设备</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_Toc10413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_Toc16349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3.1.6 原辅材料及动力消耗情况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_Toc16349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_Toc28102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3.1.7 公用工程及辅助设施概况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_Toc28102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_Toc977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3.1.8 施工进度安排</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_Toc977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_Toc13261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3.1.9 绿化工程</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_Toc13261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_Toc6444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3.2 工程分析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_Toc6444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_Toc26120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3.2.1 施工期工艺流程</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_Toc26120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_Toc12731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3.2.2 施工期主要污染工序</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_Toc12731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_Toc31807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3.2.3 施工期主要污染物排放及治理措施</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_Toc31807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_Toc1677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3.2.4 营运期工艺流程</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_Toc1677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_Toc4615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3.2.5 主要污染工序</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_Toc4615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_Toc30874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3.2.6 水平衡</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_Toc30874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73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_Toc20809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3.2.7 运营期污染物产生及治理措施</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_Toc20809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80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_Toc27577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kern w:val="2"/>
          <w:sz w:val="24"/>
          <w:szCs w:val="24"/>
          <w:lang w:val="en-US" w:eastAsia="zh-CN" w:bidi="ar-SA"/>
        </w:rPr>
        <w:t>3.2.8 非正常排放及防范措施</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_Toc27577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_Toc4580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kern w:val="2"/>
          <w:sz w:val="24"/>
          <w:szCs w:val="24"/>
          <w:lang w:val="en-US" w:eastAsia="zh-CN" w:bidi="ar-SA"/>
        </w:rPr>
        <w:t>3.2.9 项目主要污染物排放量汇总</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_Toc4580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60"/>
        <w:tabs>
          <w:tab w:val="right" w:leader="dot" w:pos="8306"/>
        </w:tabs>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_Toc22046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4 环境现状调查与评价</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_Toc22046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106</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_Toc24493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4.1 自然环境现状调查与评价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_Toc24493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_Toc4346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4.1.1 </w:t>
      </w:r>
      <w:r>
        <w:rPr>
          <w:rFonts w:hint="default" w:ascii="Times New Roman" w:hAnsi="Times New Roman" w:eastAsia="宋体" w:cs="Times New Roman"/>
          <w:b w:val="0"/>
          <w:bCs w:val="0"/>
          <w:color w:val="auto"/>
          <w:sz w:val="24"/>
          <w:szCs w:val="24"/>
          <w:lang w:eastAsia="zh-CN"/>
        </w:rPr>
        <w:t>自然环境概况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_Toc4346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_Toc24852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eastAsia="zh-CN"/>
        </w:rPr>
        <w:t>4.1.2 区域资源分布情况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_Toc24852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_Toc6902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4.2 环境质量现状调查与评价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_Toc6902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_Toc11310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4.3 环境质量现状调查与评价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_Toc11310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_Toc17307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4.3.1 环境空气质量现状调查与评价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_Toc17307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_Toc17670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4.3.2 地表水环境质量现状监测及评价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_Toc17670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_Toc12006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4.3.3 地下水质量现状监测及评价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_Toc12006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118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_Toc5969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4.3.4 声环境质量现状监测与评价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_Toc5969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_Toc23196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4.3.5 土壤环境质量现状监测与评价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_Toc23196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60"/>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_Toc3845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5 环境影响预测与评价</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_Toc3845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126</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_Toc23322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5.1 施工期环境影响评价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_Toc23322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_Toc20065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5.1.1 施工期大气环境影响分析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_Toc20065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_Toc29611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5.1.2 施工期水环境影响分析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_Toc29611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_Toc13663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5.1.3 施工期声环境影响分析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_Toc13663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129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_Toc3770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5.1.4 施工期固废环境影响分析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_Toc3770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131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_Toc19893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5.1.5 施工期生态环境影响分析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_Toc19893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132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_Toc31824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5.2 营运期环境影响评价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_Toc31824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133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_Toc1991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5.2.1 大气环境影响分析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_Toc1991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133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_Toc20926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5.2.2 地表水环境影响分析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_Toc20926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146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_Toc22582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5.2.3 地下水环境影响分析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_Toc22582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148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_Toc23400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5.2.4 声环境影响分析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_Toc23400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_Toc760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5.2.5 固体废物对环境的影响分析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_Toc760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_Toc23044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5.2.6 土壤环境影响分析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_Toc23044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_Toc2075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5.2.7 生态环境影响分析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_Toc2075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_Toc20180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5.2.8 环境影响评价小结</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_Toc20180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60"/>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_Toc1947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6 环境风险评价</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_Toc1947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169</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_Toc30367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6.1 风险评价目的</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_Toc30367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_Toc23799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6.2 评价依据</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_Toc23799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_Toc20850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6.2.1 风险调查</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_Toc20850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169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_Toc30827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6.2.2 环境风险潜势初判</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_Toc30827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170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_Toc17779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6.2.3 评价等级</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_Toc17779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172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_Toc27382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6.3 风险识别</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_Toc27382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173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_Toc7500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6.4 环境敏感目标概况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_Toc7500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175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_Toc919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6.5 </w:t>
      </w:r>
      <w:r>
        <w:rPr>
          <w:rFonts w:hint="default" w:ascii="Times New Roman" w:hAnsi="Times New Roman" w:eastAsia="宋体" w:cs="Times New Roman"/>
          <w:b w:val="0"/>
          <w:bCs w:val="0"/>
          <w:color w:val="auto"/>
          <w:sz w:val="24"/>
          <w:szCs w:val="24"/>
          <w:lang w:val="en-US" w:eastAsia="zh-CN"/>
        </w:rPr>
        <w:t>环境风险分析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_Toc919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177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_Toc26367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6.6 应急预案</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_Toc26367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192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_Toc3939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6.7 环境风险评价结论</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_Toc3939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197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60"/>
        <w:tabs>
          <w:tab w:val="right" w:leader="dot" w:pos="8306"/>
        </w:tabs>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_Toc7696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7 环境保护措施及其可行性论证</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_Toc7696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200</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_Toc7015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7.1 施工期环境保护措施及其可行性论证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_Toc7015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_Toc9337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7.1.1 施工期废气防治措施论证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_Toc9337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_Toc20078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7.1.2 施工期废水防治措施论证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_Toc20078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_Toc26561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7.1.3 施工期噪声防治措施论证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_Toc26561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_Toc25123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7.1.4 施工期固废处置措施论证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_Toc25123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_Toc15392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7.1.5 施工期生态环境保护措施论证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_Toc15392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_Toc15917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7.2 运营期环境保护措施及其可行性论证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_Toc15917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_Toc1451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7.2.1 运营期废水治理措施论证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_Toc1451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_Toc3377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7.2.2 地下水污染防治措施论证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_Toc3377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209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_Toc18382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7.2.3 废气治理措施论证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_Toc18382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210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_Toc8928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7.2.4 噪声防治措施论证分析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_Toc8928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215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_Toc13724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 xml:space="preserve">7.2.5 </w:t>
      </w:r>
      <w:r>
        <w:rPr>
          <w:rFonts w:hint="default" w:ascii="Times New Roman" w:hAnsi="Times New Roman" w:eastAsia="宋体" w:cs="Times New Roman"/>
          <w:b w:val="0"/>
          <w:bCs w:val="0"/>
          <w:color w:val="auto"/>
          <w:sz w:val="24"/>
          <w:szCs w:val="24"/>
          <w:lang w:val="en-US" w:eastAsia="zh-CN"/>
        </w:rPr>
        <w:t>固废处置措施论证分析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_Toc13724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216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_Toc893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7.2.6 交通运输污染防治措施论证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_Toc893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_Toc29132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7.2.7 生态环境保护措施论证</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_Toc29132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_Toc8313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7.3 环保投资估算</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_Toc8313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60"/>
        <w:tabs>
          <w:tab w:val="right" w:leader="dot" w:pos="8306"/>
        </w:tabs>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_Toc25425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8 环境影响经济损益分析</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_Toc25425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224</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_Toc15134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8.1 概述</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_Toc15134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_Toc27627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8.2 环境经济损益分析的目的</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_Toc27627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_Toc9564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8.3 环境经济损益分析的方法</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_Toc9564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_Toc30767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8.4 项目经济效益分析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_Toc30767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_Toc6710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8.5 项目社会效益分析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_Toc6710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225</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_Toc23760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8.6 项目生态效益分析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_Toc23760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_Toc29283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8.7 环境经济损益分析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_Toc29283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_Toc21300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8.7.1 环保投资</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_Toc21300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_Toc24345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8.7.2 环保设施经济效益估算</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_Toc24345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_Toc14224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8.7.3 工程环境经济损益指标分析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_Toc14224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_Toc25637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8.8 环境综合效益分析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_Toc25637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229</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60"/>
        <w:tabs>
          <w:tab w:val="right" w:leader="dot" w:pos="8306"/>
        </w:tabs>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_Toc32044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9 环境管理与监测计划</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_Toc32044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230</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_Toc21426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9.1 环境管理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_Toc21426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_Toc12669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9.1.1 环境管理的必要性</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_Toc12669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_Toc24952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9.1.2 环境管理机构与职责</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_Toc24952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_Toc27944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9.1.3 环境管理制度</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_Toc27944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_Toc20515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9.1.4 环境管理手段和措施</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_Toc20515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_Toc19007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9.1.5 环境管理计划</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_Toc19007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_Toc4916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9.1.6 环境管理人员的培训计划</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_Toc4916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_Toc28972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9.2 环境监测</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_Toc28972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_Toc20652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9.2.1 环境监测的意义</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_Toc20652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_Toc6694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9.2.2 环境监测机构</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_Toc6694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_Toc18746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9.2.3 环境监测机构的职责和任务</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_Toc18746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237</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_Toc3880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9.2.4 环境监测计划</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_Toc3880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238</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_Toc8910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9.3 排污口规范化管理</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_Toc8910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_Toc23230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9.3.1 排污口规范化设置</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_Toc23230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_Toc12469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9.3.2 企业信息公开</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_Toc12469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242</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_Toc29225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9.4 总量控制</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_Toc29225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_Toc28080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9.4.1 总量控制原则</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_Toc28080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_Toc23972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9.4.2 总量控制因子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_Toc23972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_Toc16288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9.5 竣工环境保护验收</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_Toc16288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_Toc14289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9.5.1 竣工验收主要内容</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_Toc14289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_Toc6593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9.5.2 建设单位自主验收相关规定</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_Toc6593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_Toc26009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9.5.3 竣工验收一览表</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_Toc26009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246</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60"/>
        <w:tabs>
          <w:tab w:val="right" w:leader="dot" w:pos="8306"/>
        </w:tabs>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_Toc31113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10 环境影响评价结论</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_Toc31113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250</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_Toc12805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10.1 项目概况</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_Toc12805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_Toc23455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10.2 环境影响评价结论</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_Toc23455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_Toc5589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10.2.1 产业政策符合性</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_Toc5589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_Toc29076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10.2.2 规划符合性及选址合理性</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_Toc29076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250</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_Toc28901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10.2.3 项目所在区域环境质量现状</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_Toc28901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_Toc26168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10.2.4 环境影响评价</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_Toc26168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251</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_Toc27549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10.2.5 环境风险</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_Toc27549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_Toc11714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10.2.6 环境保护措施及环境影响经济损益分析</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_Toc11714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_Toc10497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10.2.7 环境管理与监测计划</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_Toc10497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253</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_Toc2095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10.2.8 总量控制</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_Toc2095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_Toc30232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10.2.9 公众参与</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_Toc30232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45"/>
        <w:tabs>
          <w:tab w:val="right" w:leader="dot" w:pos="8306"/>
        </w:tabs>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_Toc20339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10.2.10 环境影响可行性结论</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_Toc20339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pStyle w:val="75"/>
        <w:tabs>
          <w:tab w:val="right" w:leader="dot" w:pos="8306"/>
        </w:tabs>
        <w:rPr>
          <w:color w:val="auto"/>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HYPERLINK \l _Toc18889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lang w:val="en-US" w:eastAsia="zh-CN"/>
        </w:rPr>
        <w:t>10.3 建议及要求</w:t>
      </w:r>
      <w:r>
        <w:rPr>
          <w:rFonts w:hint="default" w:ascii="Times New Roman" w:hAnsi="Times New Roman" w:eastAsia="宋体" w:cs="Times New Roman"/>
          <w:b w:val="0"/>
          <w:bCs w:val="0"/>
          <w:color w:val="auto"/>
          <w:sz w:val="24"/>
          <w:szCs w:val="24"/>
        </w:rPr>
        <w:tab/>
      </w: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PAGEREF _Toc18889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254</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fldChar w:fldCharType="end"/>
      </w:r>
    </w:p>
    <w:p>
      <w:pPr>
        <w:widowControl/>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end"/>
      </w:r>
    </w:p>
    <w:p>
      <w:pPr>
        <w:pStyle w:val="110"/>
        <w:rPr>
          <w:rFonts w:hint="default" w:ascii="Times New Roman" w:hAnsi="Times New Roman" w:eastAsia="宋体" w:cs="Times New Roman"/>
          <w:color w:val="auto"/>
          <w:sz w:val="24"/>
          <w:szCs w:val="24"/>
        </w:rPr>
      </w:pPr>
    </w:p>
    <w:p>
      <w:pPr>
        <w:pStyle w:val="110"/>
        <w:rPr>
          <w:rFonts w:hint="default" w:ascii="Times New Roman" w:hAnsi="Times New Roman" w:eastAsia="宋体" w:cs="Times New Roman"/>
          <w:color w:val="auto"/>
          <w:sz w:val="24"/>
          <w:szCs w:val="24"/>
        </w:rPr>
      </w:pPr>
    </w:p>
    <w:p>
      <w:pPr>
        <w:pStyle w:val="110"/>
        <w:rPr>
          <w:rFonts w:hint="default" w:ascii="Times New Roman" w:hAnsi="Times New Roman" w:eastAsia="宋体" w:cs="Times New Roman"/>
          <w:color w:val="auto"/>
          <w:sz w:val="24"/>
          <w:szCs w:val="24"/>
        </w:rPr>
      </w:pPr>
    </w:p>
    <w:p>
      <w:pPr>
        <w:widowControl/>
        <w:spacing w:line="240" w:lineRule="auto"/>
        <w:jc w:val="left"/>
        <w:rPr>
          <w:rFonts w:ascii="Times New Roman" w:hAnsi="Times New Roman" w:cs="Times New Roman"/>
          <w:color w:val="auto"/>
        </w:rPr>
      </w:pPr>
      <w:r>
        <w:rPr>
          <w:rFonts w:ascii="Times New Roman" w:hAnsi="Times New Roman" w:cs="Times New Roman"/>
          <w:color w:val="auto"/>
        </w:rPr>
        <w:t>附图</w:t>
      </w:r>
    </w:p>
    <w:p>
      <w:pPr>
        <w:rPr>
          <w:rFonts w:ascii="Times New Roman" w:hAnsi="Times New Roman" w:cs="Times New Roman"/>
          <w:color w:val="auto"/>
        </w:rPr>
      </w:pPr>
      <w:r>
        <w:rPr>
          <w:rFonts w:hint="eastAsia" w:ascii="Times New Roman" w:hAnsi="Times New Roman" w:cs="Times New Roman"/>
          <w:color w:val="auto"/>
        </w:rPr>
        <w:t xml:space="preserve">附图1  </w:t>
      </w:r>
      <w:r>
        <w:rPr>
          <w:rFonts w:hint="eastAsia" w:ascii="Times New Roman" w:hAnsi="Times New Roman" w:cs="Times New Roman"/>
          <w:color w:val="auto"/>
          <w:lang w:eastAsia="zh-CN"/>
        </w:rPr>
        <w:t>项目</w:t>
      </w:r>
      <w:r>
        <w:rPr>
          <w:rFonts w:hint="eastAsia" w:ascii="Times New Roman" w:hAnsi="Times New Roman" w:cs="Times New Roman"/>
          <w:color w:val="auto"/>
        </w:rPr>
        <w:t>地理位置图</w:t>
      </w:r>
    </w:p>
    <w:p>
      <w:pPr>
        <w:rPr>
          <w:rFonts w:ascii="Times New Roman" w:hAnsi="Times New Roman" w:cs="Times New Roman"/>
          <w:color w:val="auto"/>
        </w:rPr>
      </w:pPr>
      <w:r>
        <w:rPr>
          <w:rFonts w:hint="eastAsia" w:ascii="Times New Roman" w:hAnsi="Times New Roman" w:cs="Times New Roman"/>
          <w:color w:val="auto"/>
        </w:rPr>
        <w:t xml:space="preserve">附图2  </w:t>
      </w:r>
      <w:r>
        <w:rPr>
          <w:rFonts w:hint="eastAsia" w:ascii="Times New Roman" w:hAnsi="Times New Roman" w:cs="Times New Roman"/>
          <w:color w:val="auto"/>
          <w:lang w:eastAsia="zh-CN"/>
        </w:rPr>
        <w:t>项目土地利用规划图</w:t>
      </w:r>
    </w:p>
    <w:p>
      <w:pPr>
        <w:rPr>
          <w:rFonts w:hint="eastAsia" w:ascii="Times New Roman" w:hAnsi="Times New Roman" w:cs="Times New Roman" w:eastAsiaTheme="minorEastAsia"/>
          <w:color w:val="auto"/>
          <w:lang w:eastAsia="zh-CN"/>
        </w:rPr>
      </w:pPr>
      <w:r>
        <w:rPr>
          <w:rFonts w:hint="eastAsia" w:ascii="Times New Roman" w:hAnsi="Times New Roman" w:cs="Times New Roman"/>
          <w:color w:val="auto"/>
        </w:rPr>
        <w:t xml:space="preserve">附图3-1 </w:t>
      </w:r>
      <w:r>
        <w:rPr>
          <w:rFonts w:hint="eastAsia" w:ascii="Times New Roman" w:hAnsi="Times New Roman" w:cs="Times New Roman"/>
          <w:color w:val="auto"/>
          <w:lang w:eastAsia="zh-CN"/>
        </w:rPr>
        <w:t>项目</w:t>
      </w:r>
      <w:r>
        <w:rPr>
          <w:rFonts w:hint="eastAsia" w:ascii="Times New Roman" w:hAnsi="Times New Roman" w:cs="Times New Roman"/>
          <w:color w:val="auto"/>
        </w:rPr>
        <w:t>监测布点图</w:t>
      </w:r>
      <w:r>
        <w:rPr>
          <w:rFonts w:hint="eastAsia" w:ascii="Times New Roman" w:hAnsi="Times New Roman" w:cs="Times New Roman"/>
          <w:color w:val="auto"/>
          <w:lang w:eastAsia="zh-CN"/>
        </w:rPr>
        <w:t>（大气、噪声、地下水、土壤）</w:t>
      </w:r>
    </w:p>
    <w:p>
      <w:pPr>
        <w:rPr>
          <w:rFonts w:hint="eastAsia" w:ascii="Times New Roman" w:hAnsi="Times New Roman" w:cs="Times New Roman" w:eastAsiaTheme="minorEastAsia"/>
          <w:color w:val="auto"/>
          <w:lang w:eastAsia="zh-CN"/>
        </w:rPr>
      </w:pPr>
      <w:r>
        <w:rPr>
          <w:rFonts w:hint="eastAsia" w:ascii="Times New Roman" w:hAnsi="Times New Roman" w:cs="Times New Roman"/>
          <w:color w:val="auto"/>
        </w:rPr>
        <w:t xml:space="preserve">附图3-2 </w:t>
      </w:r>
      <w:r>
        <w:rPr>
          <w:rFonts w:hint="eastAsia" w:ascii="Times New Roman" w:hAnsi="Times New Roman" w:cs="Times New Roman"/>
          <w:color w:val="auto"/>
          <w:lang w:val="en-US" w:eastAsia="zh-CN"/>
        </w:rPr>
        <w:t>项目</w:t>
      </w:r>
      <w:r>
        <w:rPr>
          <w:rFonts w:hint="eastAsia" w:ascii="Times New Roman" w:hAnsi="Times New Roman" w:cs="Times New Roman"/>
          <w:color w:val="auto"/>
        </w:rPr>
        <w:t>监测布点图</w:t>
      </w:r>
      <w:r>
        <w:rPr>
          <w:rFonts w:hint="eastAsia" w:ascii="Times New Roman" w:hAnsi="Times New Roman" w:cs="Times New Roman"/>
          <w:color w:val="auto"/>
          <w:lang w:eastAsia="zh-CN"/>
        </w:rPr>
        <w:t>（地表水）</w:t>
      </w:r>
    </w:p>
    <w:p>
      <w:pPr>
        <w:rPr>
          <w:rFonts w:hint="eastAsia" w:ascii="Times New Roman" w:hAnsi="Times New Roman" w:cs="Times New Roman"/>
          <w:color w:val="auto"/>
        </w:rPr>
      </w:pPr>
      <w:r>
        <w:rPr>
          <w:rFonts w:hint="eastAsia" w:ascii="Times New Roman" w:hAnsi="Times New Roman" w:cs="Times New Roman"/>
          <w:color w:val="auto"/>
        </w:rPr>
        <w:t xml:space="preserve">附图4  </w:t>
      </w:r>
      <w:r>
        <w:rPr>
          <w:rFonts w:hint="eastAsia" w:ascii="Times New Roman" w:hAnsi="Times New Roman" w:cs="Times New Roman"/>
          <w:color w:val="auto"/>
          <w:lang w:eastAsia="zh-CN"/>
        </w:rPr>
        <w:t>项目外环境关系图</w:t>
      </w:r>
    </w:p>
    <w:p>
      <w:pPr>
        <w:rPr>
          <w:rFonts w:ascii="Times New Roman" w:hAnsi="Times New Roman" w:cs="Times New Roman"/>
          <w:color w:val="auto"/>
        </w:rPr>
      </w:pPr>
      <w:r>
        <w:rPr>
          <w:rFonts w:hint="eastAsia" w:ascii="Times New Roman" w:hAnsi="Times New Roman" w:cs="Times New Roman"/>
          <w:color w:val="auto"/>
        </w:rPr>
        <w:t>附图</w:t>
      </w:r>
      <w:r>
        <w:rPr>
          <w:rFonts w:hint="eastAsia" w:ascii="Times New Roman" w:hAnsi="Times New Roman" w:cs="Times New Roman"/>
          <w:color w:val="auto"/>
          <w:lang w:val="en-US" w:eastAsia="zh-CN"/>
        </w:rPr>
        <w:t>5</w:t>
      </w:r>
      <w:r>
        <w:rPr>
          <w:rFonts w:hint="eastAsia" w:ascii="Times New Roman" w:hAnsi="Times New Roman" w:cs="Times New Roman"/>
          <w:color w:val="auto"/>
        </w:rPr>
        <w:t xml:space="preserve">  </w:t>
      </w:r>
      <w:r>
        <w:rPr>
          <w:rFonts w:hint="eastAsia" w:ascii="Times New Roman" w:hAnsi="Times New Roman" w:cs="Times New Roman"/>
          <w:color w:val="auto"/>
          <w:lang w:eastAsia="zh-CN"/>
        </w:rPr>
        <w:t>项目</w:t>
      </w:r>
      <w:r>
        <w:rPr>
          <w:rFonts w:hint="eastAsia" w:ascii="Times New Roman" w:hAnsi="Times New Roman" w:cs="Times New Roman"/>
          <w:color w:val="auto"/>
        </w:rPr>
        <w:t>平面布置图</w:t>
      </w:r>
    </w:p>
    <w:p>
      <w:pPr>
        <w:rPr>
          <w:rFonts w:ascii="Times New Roman" w:hAnsi="Times New Roman" w:cs="Times New Roman"/>
          <w:color w:val="auto"/>
        </w:rPr>
      </w:pPr>
      <w:r>
        <w:rPr>
          <w:rFonts w:hint="eastAsia" w:ascii="Times New Roman" w:hAnsi="Times New Roman" w:cs="Times New Roman"/>
          <w:color w:val="auto"/>
        </w:rPr>
        <w:t>附图</w:t>
      </w:r>
      <w:r>
        <w:rPr>
          <w:rFonts w:hint="eastAsia" w:ascii="Times New Roman" w:hAnsi="Times New Roman" w:cs="Times New Roman"/>
          <w:color w:val="auto"/>
          <w:lang w:val="en-US" w:eastAsia="zh-CN"/>
        </w:rPr>
        <w:t>6</w:t>
      </w:r>
      <w:r>
        <w:rPr>
          <w:rFonts w:hint="eastAsia" w:ascii="Times New Roman" w:hAnsi="Times New Roman" w:cs="Times New Roman"/>
          <w:color w:val="auto"/>
        </w:rPr>
        <w:t xml:space="preserve">  </w:t>
      </w:r>
      <w:r>
        <w:rPr>
          <w:rFonts w:hint="eastAsia" w:ascii="Times New Roman" w:hAnsi="Times New Roman" w:cs="Times New Roman"/>
          <w:color w:val="auto"/>
          <w:lang w:eastAsia="zh-CN"/>
        </w:rPr>
        <w:t>项目</w:t>
      </w:r>
      <w:r>
        <w:rPr>
          <w:rFonts w:hint="eastAsia" w:ascii="Times New Roman" w:hAnsi="Times New Roman" w:cs="Times New Roman"/>
          <w:color w:val="auto"/>
        </w:rPr>
        <w:t>分区防渗区</w:t>
      </w:r>
    </w:p>
    <w:p>
      <w:pPr>
        <w:rPr>
          <w:rFonts w:ascii="Times New Roman" w:hAnsi="Times New Roman" w:cs="Times New Roman"/>
          <w:color w:val="auto"/>
        </w:rPr>
      </w:pPr>
      <w:r>
        <w:rPr>
          <w:rFonts w:hint="eastAsia" w:ascii="Times New Roman" w:hAnsi="Times New Roman" w:cs="Times New Roman"/>
          <w:color w:val="auto"/>
        </w:rPr>
        <w:t>附图</w:t>
      </w:r>
      <w:r>
        <w:rPr>
          <w:rFonts w:hint="eastAsia" w:ascii="Times New Roman" w:hAnsi="Times New Roman" w:cs="Times New Roman"/>
          <w:color w:val="auto"/>
          <w:lang w:val="en-US" w:eastAsia="zh-CN"/>
        </w:rPr>
        <w:t>7</w:t>
      </w:r>
      <w:r>
        <w:rPr>
          <w:rFonts w:hint="eastAsia" w:ascii="Times New Roman" w:hAnsi="Times New Roman" w:cs="Times New Roman"/>
          <w:color w:val="auto"/>
        </w:rPr>
        <w:t xml:space="preserve">  卫生防护距离图</w:t>
      </w:r>
    </w:p>
    <w:p>
      <w:pPr>
        <w:rPr>
          <w:rFonts w:hint="eastAsia" w:ascii="Times New Roman" w:hAnsi="Times New Roman" w:cs="Times New Roman"/>
          <w:color w:val="auto"/>
        </w:rPr>
      </w:pPr>
      <w:r>
        <w:rPr>
          <w:rFonts w:hint="eastAsia" w:ascii="Times New Roman" w:hAnsi="Times New Roman" w:cs="Times New Roman"/>
          <w:color w:val="auto"/>
        </w:rPr>
        <w:t>附图</w:t>
      </w:r>
      <w:r>
        <w:rPr>
          <w:rFonts w:hint="eastAsia" w:ascii="Times New Roman" w:hAnsi="Times New Roman" w:cs="Times New Roman"/>
          <w:color w:val="auto"/>
          <w:lang w:val="en-US" w:eastAsia="zh-CN"/>
        </w:rPr>
        <w:t>8</w:t>
      </w:r>
      <w:r>
        <w:rPr>
          <w:rFonts w:hint="eastAsia" w:ascii="Times New Roman" w:hAnsi="Times New Roman" w:cs="Times New Roman"/>
          <w:color w:val="auto"/>
        </w:rPr>
        <w:t xml:space="preserve">  </w:t>
      </w:r>
      <w:r>
        <w:rPr>
          <w:rFonts w:hint="eastAsia" w:ascii="Times New Roman" w:hAnsi="Times New Roman" w:cs="Times New Roman"/>
          <w:color w:val="auto"/>
          <w:lang w:eastAsia="zh-CN"/>
        </w:rPr>
        <w:t>通江县水系</w:t>
      </w:r>
      <w:r>
        <w:rPr>
          <w:rFonts w:hint="eastAsia" w:ascii="Times New Roman" w:hAnsi="Times New Roman" w:cs="Times New Roman"/>
          <w:color w:val="auto"/>
        </w:rPr>
        <w:t>图</w:t>
      </w:r>
    </w:p>
    <w:p>
      <w:pPr>
        <w:rPr>
          <w:rFonts w:hint="eastAsia" w:ascii="Times New Roman" w:hAnsi="Times New Roman" w:cs="Times New Roman"/>
          <w:color w:val="auto"/>
        </w:rPr>
      </w:pPr>
      <w:r>
        <w:rPr>
          <w:rFonts w:hint="eastAsia" w:ascii="Times New Roman" w:hAnsi="Times New Roman" w:cs="Times New Roman"/>
          <w:color w:val="auto"/>
        </w:rPr>
        <w:t>附图</w:t>
      </w:r>
      <w:r>
        <w:rPr>
          <w:rFonts w:hint="eastAsia" w:ascii="Times New Roman" w:hAnsi="Times New Roman" w:cs="Times New Roman"/>
          <w:color w:val="auto"/>
          <w:lang w:val="en-US" w:eastAsia="zh-CN"/>
        </w:rPr>
        <w:t>9</w:t>
      </w:r>
      <w:r>
        <w:rPr>
          <w:rFonts w:hint="eastAsia" w:ascii="Times New Roman" w:hAnsi="Times New Roman" w:cs="Times New Roman"/>
          <w:color w:val="auto"/>
        </w:rPr>
        <w:t xml:space="preserve">  水文地质图</w:t>
      </w:r>
    </w:p>
    <w:p>
      <w:pPr>
        <w:rPr>
          <w:rFonts w:hint="eastAsia" w:ascii="Times New Roman" w:hAnsi="Times New Roman" w:cs="Times New Roman"/>
          <w:color w:val="auto"/>
        </w:rPr>
      </w:pPr>
      <w:r>
        <w:rPr>
          <w:rFonts w:hint="eastAsia" w:ascii="Times New Roman" w:hAnsi="Times New Roman" w:cs="Times New Roman"/>
          <w:color w:val="auto"/>
        </w:rPr>
        <w:t>附图</w:t>
      </w:r>
      <w:r>
        <w:rPr>
          <w:rFonts w:hint="eastAsia" w:ascii="Times New Roman" w:hAnsi="Times New Roman" w:cs="Times New Roman"/>
          <w:color w:val="auto"/>
          <w:lang w:val="en-US" w:eastAsia="zh-CN"/>
        </w:rPr>
        <w:t>10</w:t>
      </w:r>
      <w:r>
        <w:rPr>
          <w:rFonts w:hint="eastAsia" w:ascii="Times New Roman" w:hAnsi="Times New Roman" w:cs="Times New Roman"/>
          <w:color w:val="auto"/>
        </w:rPr>
        <w:t xml:space="preserve">  </w:t>
      </w:r>
      <w:r>
        <w:rPr>
          <w:rFonts w:hint="eastAsia" w:ascii="Times New Roman" w:hAnsi="Times New Roman" w:cs="Times New Roman"/>
          <w:color w:val="auto"/>
          <w:lang w:eastAsia="zh-CN"/>
        </w:rPr>
        <w:t>生态红线</w:t>
      </w:r>
      <w:r>
        <w:rPr>
          <w:rFonts w:hint="eastAsia" w:ascii="Times New Roman" w:hAnsi="Times New Roman" w:cs="Times New Roman"/>
          <w:color w:val="auto"/>
        </w:rPr>
        <w:t>图</w:t>
      </w:r>
    </w:p>
    <w:p>
      <w:pPr>
        <w:pStyle w:val="110"/>
        <w:rPr>
          <w:color w:val="auto"/>
        </w:rPr>
      </w:pPr>
    </w:p>
    <w:p>
      <w:pPr>
        <w:rPr>
          <w:rFonts w:ascii="Times New Roman" w:hAnsi="Times New Roman" w:cs="Times New Roman"/>
          <w:color w:val="auto"/>
        </w:rPr>
      </w:pPr>
      <w:r>
        <w:rPr>
          <w:rFonts w:hint="eastAsia" w:ascii="Times New Roman" w:hAnsi="Times New Roman" w:cs="Times New Roman"/>
          <w:color w:val="auto"/>
        </w:rPr>
        <w:t>附件</w:t>
      </w:r>
    </w:p>
    <w:p>
      <w:pPr>
        <w:rPr>
          <w:rFonts w:ascii="Times New Roman" w:hAnsi="Times New Roman" w:cs="Times New Roman"/>
          <w:color w:val="auto"/>
        </w:rPr>
      </w:pPr>
      <w:r>
        <w:rPr>
          <w:rFonts w:hint="eastAsia" w:ascii="Times New Roman" w:hAnsi="Times New Roman" w:cs="Times New Roman"/>
          <w:color w:val="auto"/>
        </w:rPr>
        <w:t>附件1  环评委托书</w:t>
      </w:r>
    </w:p>
    <w:p>
      <w:pPr>
        <w:rPr>
          <w:rFonts w:hint="eastAsia" w:ascii="Times New Roman" w:hAnsi="Times New Roman" w:cs="Times New Roman"/>
          <w:color w:val="auto"/>
        </w:rPr>
      </w:pPr>
      <w:r>
        <w:rPr>
          <w:rFonts w:hint="eastAsia" w:ascii="Times New Roman" w:hAnsi="Times New Roman" w:cs="Times New Roman"/>
          <w:color w:val="auto"/>
        </w:rPr>
        <w:t>附件2  四川省固定资产投资项目备案表</w:t>
      </w:r>
    </w:p>
    <w:p>
      <w:pPr>
        <w:rPr>
          <w:rFonts w:hint="eastAsia"/>
          <w:color w:val="auto"/>
        </w:rPr>
      </w:pPr>
      <w:r>
        <w:rPr>
          <w:rFonts w:hint="eastAsia" w:ascii="Times New Roman" w:hAnsi="Times New Roman" w:cs="Times New Roman"/>
          <w:color w:val="auto"/>
        </w:rPr>
        <w:t xml:space="preserve">附件3  </w:t>
      </w:r>
      <w:r>
        <w:rPr>
          <w:rFonts w:hint="eastAsia" w:ascii="Times New Roman" w:hAnsi="Times New Roman" w:cs="Times New Roman"/>
          <w:color w:val="auto"/>
          <w:lang w:eastAsia="zh-CN"/>
        </w:rPr>
        <w:t>营业执照</w:t>
      </w:r>
    </w:p>
    <w:p>
      <w:pPr>
        <w:rPr>
          <w:color w:val="auto"/>
        </w:rPr>
      </w:pPr>
      <w:r>
        <w:rPr>
          <w:rFonts w:hint="eastAsia" w:ascii="Times New Roman" w:hAnsi="Times New Roman" w:cs="Times New Roman"/>
          <w:color w:val="auto"/>
        </w:rPr>
        <w:t>附件</w:t>
      </w:r>
      <w:r>
        <w:rPr>
          <w:rFonts w:hint="eastAsia" w:ascii="Times New Roman" w:hAnsi="Times New Roman" w:cs="Times New Roman"/>
          <w:color w:val="auto"/>
          <w:lang w:val="en-US" w:eastAsia="zh-CN"/>
        </w:rPr>
        <w:t>4</w:t>
      </w:r>
      <w:r>
        <w:rPr>
          <w:rFonts w:hint="eastAsia" w:ascii="Times New Roman" w:hAnsi="Times New Roman" w:cs="Times New Roman"/>
          <w:color w:val="auto"/>
        </w:rPr>
        <w:t xml:space="preserve">  </w:t>
      </w:r>
      <w:r>
        <w:rPr>
          <w:rFonts w:hint="eastAsia" w:ascii="Times New Roman" w:hAnsi="Times New Roman" w:cs="Times New Roman"/>
          <w:color w:val="auto"/>
          <w:lang w:eastAsia="zh-CN"/>
        </w:rPr>
        <w:t>选址意见书</w:t>
      </w:r>
    </w:p>
    <w:p>
      <w:pPr>
        <w:rPr>
          <w:rFonts w:hint="eastAsia" w:ascii="Times New Roman" w:hAnsi="Times New Roman" w:cs="Times New Roman"/>
          <w:color w:val="auto"/>
        </w:rPr>
      </w:pPr>
      <w:r>
        <w:rPr>
          <w:rFonts w:hint="eastAsia" w:ascii="Times New Roman" w:hAnsi="Times New Roman" w:cs="Times New Roman"/>
          <w:color w:val="auto"/>
        </w:rPr>
        <w:t>附件</w:t>
      </w:r>
      <w:r>
        <w:rPr>
          <w:rFonts w:hint="eastAsia" w:ascii="Times New Roman" w:hAnsi="Times New Roman" w:cs="Times New Roman"/>
          <w:color w:val="auto"/>
          <w:lang w:val="en-US" w:eastAsia="zh-CN"/>
        </w:rPr>
        <w:t>5</w:t>
      </w:r>
      <w:r>
        <w:rPr>
          <w:rFonts w:hint="eastAsia" w:ascii="Times New Roman" w:hAnsi="Times New Roman" w:cs="Times New Roman"/>
          <w:color w:val="auto"/>
        </w:rPr>
        <w:t xml:space="preserve">  土地流转合同</w:t>
      </w:r>
    </w:p>
    <w:p>
      <w:pPr>
        <w:rPr>
          <w:color w:val="auto"/>
        </w:rPr>
      </w:pPr>
      <w:r>
        <w:rPr>
          <w:rFonts w:hint="eastAsia" w:ascii="Times New Roman" w:hAnsi="Times New Roman" w:cs="Times New Roman"/>
          <w:color w:val="auto"/>
        </w:rPr>
        <w:t>附件</w:t>
      </w:r>
      <w:r>
        <w:rPr>
          <w:rFonts w:hint="eastAsia" w:ascii="Times New Roman" w:hAnsi="Times New Roman" w:cs="Times New Roman"/>
          <w:color w:val="auto"/>
          <w:lang w:val="en-US" w:eastAsia="zh-CN"/>
        </w:rPr>
        <w:t>6-1</w:t>
      </w:r>
      <w:r>
        <w:rPr>
          <w:rFonts w:hint="eastAsia" w:ascii="Times New Roman" w:hAnsi="Times New Roman" w:cs="Times New Roman"/>
          <w:color w:val="auto"/>
        </w:rPr>
        <w:t xml:space="preserve">  </w:t>
      </w:r>
      <w:r>
        <w:rPr>
          <w:rFonts w:hint="eastAsia" w:ascii="Times New Roman" w:hAnsi="Times New Roman" w:cs="Times New Roman"/>
          <w:color w:val="auto"/>
          <w:lang w:eastAsia="zh-CN"/>
        </w:rPr>
        <w:t>通江县</w:t>
      </w:r>
      <w:r>
        <w:rPr>
          <w:rFonts w:hint="eastAsia" w:ascii="Times New Roman" w:hAnsi="Times New Roman" w:cs="Times New Roman"/>
          <w:color w:val="auto"/>
        </w:rPr>
        <w:t>禁养区文件</w:t>
      </w:r>
    </w:p>
    <w:p>
      <w:pPr>
        <w:rPr>
          <w:rFonts w:hint="eastAsia" w:ascii="Times New Roman" w:hAnsi="Times New Roman" w:cs="Times New Roman" w:eastAsiaTheme="minorEastAsia"/>
          <w:color w:val="auto"/>
          <w:lang w:eastAsia="zh-CN"/>
        </w:rPr>
      </w:pPr>
      <w:r>
        <w:rPr>
          <w:rFonts w:hint="eastAsia" w:ascii="Times New Roman" w:hAnsi="Times New Roman" w:cs="Times New Roman"/>
          <w:color w:val="auto"/>
        </w:rPr>
        <w:t>附件</w:t>
      </w:r>
      <w:r>
        <w:rPr>
          <w:rFonts w:hint="eastAsia" w:ascii="Times New Roman" w:hAnsi="Times New Roman" w:cs="Times New Roman"/>
          <w:color w:val="auto"/>
          <w:lang w:val="en-US" w:eastAsia="zh-CN"/>
        </w:rPr>
        <w:t>6-2</w:t>
      </w:r>
      <w:r>
        <w:rPr>
          <w:rFonts w:hint="eastAsia" w:ascii="Times New Roman" w:hAnsi="Times New Roman" w:cs="Times New Roman"/>
          <w:color w:val="auto"/>
        </w:rPr>
        <w:t xml:space="preserve">  不在禁养区范围的</w:t>
      </w:r>
      <w:r>
        <w:rPr>
          <w:rFonts w:hint="eastAsia" w:ascii="Times New Roman" w:hAnsi="Times New Roman" w:cs="Times New Roman"/>
          <w:color w:val="auto"/>
          <w:lang w:eastAsia="zh-CN"/>
        </w:rPr>
        <w:t>证明</w:t>
      </w:r>
    </w:p>
    <w:p>
      <w:pPr>
        <w:rPr>
          <w:rFonts w:hint="eastAsia" w:ascii="Times New Roman" w:hAnsi="Times New Roman" w:cs="Times New Roman"/>
          <w:color w:val="auto"/>
        </w:rPr>
      </w:pPr>
      <w:r>
        <w:rPr>
          <w:rFonts w:hint="eastAsia" w:ascii="Times New Roman" w:hAnsi="Times New Roman" w:cs="Times New Roman"/>
          <w:color w:val="auto"/>
        </w:rPr>
        <w:t>附件</w:t>
      </w:r>
      <w:r>
        <w:rPr>
          <w:rFonts w:hint="eastAsia" w:ascii="Times New Roman" w:hAnsi="Times New Roman" w:cs="Times New Roman"/>
          <w:color w:val="auto"/>
          <w:lang w:val="en-US" w:eastAsia="zh-CN"/>
        </w:rPr>
        <w:t>7</w:t>
      </w:r>
      <w:r>
        <w:rPr>
          <w:rFonts w:hint="eastAsia" w:ascii="Times New Roman" w:hAnsi="Times New Roman" w:cs="Times New Roman"/>
          <w:color w:val="auto"/>
        </w:rPr>
        <w:t xml:space="preserve">  项目不在</w:t>
      </w:r>
      <w:r>
        <w:rPr>
          <w:rFonts w:hint="eastAsia" w:ascii="Times New Roman" w:hAnsi="Times New Roman" w:cs="Times New Roman"/>
          <w:color w:val="auto"/>
          <w:lang w:eastAsia="zh-CN"/>
        </w:rPr>
        <w:t>旅游区</w:t>
      </w:r>
      <w:r>
        <w:rPr>
          <w:rFonts w:hint="eastAsia" w:ascii="Times New Roman" w:hAnsi="Times New Roman" w:cs="Times New Roman"/>
          <w:color w:val="auto"/>
        </w:rPr>
        <w:t xml:space="preserve">的情况说明 </w:t>
      </w:r>
    </w:p>
    <w:p>
      <w:pPr>
        <w:rPr>
          <w:rFonts w:hint="eastAsia" w:ascii="Times New Roman" w:hAnsi="Times New Roman" w:cs="Times New Roman"/>
          <w:color w:val="auto"/>
        </w:rPr>
      </w:pPr>
      <w:r>
        <w:rPr>
          <w:rFonts w:hint="eastAsia" w:ascii="Times New Roman" w:hAnsi="Times New Roman" w:cs="Times New Roman"/>
          <w:color w:val="auto"/>
        </w:rPr>
        <w:t>附件</w:t>
      </w:r>
      <w:r>
        <w:rPr>
          <w:rFonts w:hint="eastAsia" w:ascii="Times New Roman" w:hAnsi="Times New Roman" w:cs="Times New Roman"/>
          <w:color w:val="auto"/>
          <w:lang w:val="en-US" w:eastAsia="zh-CN"/>
        </w:rPr>
        <w:t>8</w:t>
      </w:r>
      <w:r>
        <w:rPr>
          <w:rFonts w:hint="eastAsia" w:ascii="Times New Roman" w:hAnsi="Times New Roman" w:cs="Times New Roman"/>
          <w:color w:val="auto"/>
        </w:rPr>
        <w:t xml:space="preserve">  项目不在饮用水源保护区的说明</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9</w:t>
      </w:r>
      <w:r>
        <w:rPr>
          <w:rFonts w:hint="eastAsia" w:ascii="Times New Roman" w:hAnsi="Times New Roman" w:cs="Times New Roman"/>
          <w:color w:val="auto"/>
          <w:highlight w:val="none"/>
        </w:rPr>
        <w:t xml:space="preserve"> 无害化降解处理机处理</w:t>
      </w:r>
      <w:r>
        <w:rPr>
          <w:rFonts w:hint="eastAsia" w:ascii="Times New Roman" w:hAnsi="Times New Roman" w:cs="Times New Roman"/>
          <w:color w:val="auto"/>
          <w:highlight w:val="none"/>
          <w:lang w:eastAsia="zh-CN"/>
        </w:rPr>
        <w:t>专利及</w:t>
      </w:r>
      <w:r>
        <w:rPr>
          <w:rFonts w:hint="eastAsia" w:ascii="Times New Roman" w:hAnsi="Times New Roman" w:cs="Times New Roman"/>
          <w:color w:val="auto"/>
          <w:highlight w:val="none"/>
        </w:rPr>
        <w:t>检验报告</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10</w:t>
      </w:r>
      <w:r>
        <w:rPr>
          <w:rFonts w:hint="eastAsia" w:ascii="Times New Roman" w:hAnsi="Times New Roman" w:cs="Times New Roman"/>
          <w:color w:val="auto"/>
          <w:highlight w:val="none"/>
        </w:rPr>
        <w:t xml:space="preserve">  监测报告</w:t>
      </w:r>
    </w:p>
    <w:p>
      <w:pP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11</w:t>
      </w:r>
      <w:r>
        <w:rPr>
          <w:rFonts w:hint="eastAsia"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消纳协议</w:t>
      </w:r>
    </w:p>
    <w:p>
      <w:pPr>
        <w:rPr>
          <w:rFonts w:ascii="Times New Roman" w:hAnsi="Times New Roman" w:cs="Times New Roman"/>
          <w:color w:val="auto"/>
        </w:rPr>
      </w:pPr>
    </w:p>
    <w:p>
      <w:pPr>
        <w:rPr>
          <w:rFonts w:ascii="Times New Roman" w:hAnsi="Times New Roman" w:cs="Times New Roman"/>
          <w:color w:val="auto"/>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5"/>
        <w:rPr>
          <w:rFonts w:cs="Times New Roman"/>
          <w:color w:val="auto"/>
        </w:rPr>
      </w:pPr>
      <w:bookmarkStart w:id="5" w:name="_Toc1372"/>
      <w:r>
        <w:rPr>
          <w:rFonts w:cs="Times New Roman"/>
          <w:color w:val="auto"/>
        </w:rPr>
        <w:t>概述</w:t>
      </w:r>
      <w:bookmarkEnd w:id="5"/>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eastAsia="zh-CN"/>
        </w:rPr>
      </w:pPr>
      <w:bookmarkStart w:id="6" w:name="_Toc28089"/>
      <w:r>
        <w:rPr>
          <w:rFonts w:hint="eastAsia" w:ascii="Times New Roman" w:hAnsi="Times New Roman" w:eastAsia="宋体" w:cs="Times New Roman"/>
          <w:color w:val="auto"/>
          <w:lang w:eastAsia="zh-CN"/>
        </w:rPr>
        <w:t>任务由来</w:t>
      </w:r>
      <w:bookmarkEnd w:id="6"/>
    </w:p>
    <w:p>
      <w:pPr>
        <w:snapToGrid w:val="0"/>
        <w:ind w:left="105" w:leftChars="50" w:right="105" w:rightChars="50" w:firstLine="480" w:firstLineChars="200"/>
        <w:rPr>
          <w:rFonts w:ascii="Times New Roman" w:hAnsi="Times New Roman" w:cs="Times New Roman"/>
          <w:color w:val="auto"/>
          <w:sz w:val="24"/>
        </w:rPr>
      </w:pPr>
      <w:r>
        <w:rPr>
          <w:rFonts w:hint="eastAsia" w:ascii="Times New Roman" w:hAnsi="Times New Roman" w:cs="Times New Roman"/>
          <w:color w:val="auto"/>
          <w:sz w:val="24"/>
        </w:rPr>
        <w:t>畜牧业是我国农业和农村经济的重要产业，肉猪养殖是畜牧业发展的重点之一。近年来，随着国民经济的持续发展，特别是我国西部大开发战略的实施以及农村经济结构的战略性调整，促进了我国“集约化、机械化、产业化”畜牧业的发展，国家已将“加快畜牧业发展”作为“大力优化农业结构、积极拓宽农民增收领域”的三个环节之一，这为我国养殖业带来空前的发展机会。</w:t>
      </w:r>
    </w:p>
    <w:p>
      <w:pPr>
        <w:snapToGrid w:val="0"/>
        <w:ind w:left="105" w:leftChars="50" w:right="105" w:rightChars="5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目前我国生猪饲养仍以散养为主，产业结构不合理，存在良种繁育体系不完善，层次结构不分明，养猪场基础设施薄弱，选育水平低，供种能力小等一系列问题，难以适应现代畜牧业生产发展的需要。在政策方面，国家出台了一系列激励政策，但都是针对有自繁能力的规模化养殖场户，散养户处在不对等的竞争环境中。在市场风险方面，散养户处处受制于市场。在养殖成本方面，散户每头猪的料肉比要高于规模化养殖，生猪饲养天数、仔猪购买价格都要高于规模化养殖。随着人工成本增加，规模化养殖的机械化程度不断提高，养殖人工成本要远远低于散养户。正是因为传统养殖的分散、劳动力密集、科技含量低、产品质量差、污染严重、生产成本高，产品价格低，使传统养殖方式没有任何竞争优势。在市场竞争中难以发展壮大，很容易被淘汰。而现代规模化养殖企业，则通过集约化经营、资金技术密集、科技贡献率高，无论在生产成本控制上，还是在质量管理等方面均胜一筹，是国际先进畜牧产业的必由之路。</w:t>
      </w:r>
    </w:p>
    <w:p>
      <w:pPr>
        <w:snapToGrid w:val="0"/>
        <w:ind w:left="105" w:leftChars="50" w:right="105" w:rightChars="50" w:firstLine="512" w:firstLineChars="200"/>
        <w:rPr>
          <w:rFonts w:hint="eastAsia" w:ascii="Times New Roman" w:hAnsi="Times New Roman" w:eastAsia="宋体" w:cs="Times New Roman"/>
          <w:color w:val="auto"/>
          <w:spacing w:val="8"/>
          <w:kern w:val="0"/>
          <w:sz w:val="24"/>
          <w:szCs w:val="24"/>
          <w:lang w:eastAsia="zh-CN"/>
        </w:rPr>
      </w:pPr>
      <w:r>
        <w:rPr>
          <w:rFonts w:hint="eastAsia" w:ascii="Times New Roman" w:hAnsi="Times New Roman" w:eastAsia="宋体" w:cs="Times New Roman"/>
          <w:color w:val="auto"/>
          <w:spacing w:val="8"/>
          <w:kern w:val="0"/>
          <w:sz w:val="24"/>
          <w:szCs w:val="24"/>
          <w:lang w:eastAsia="zh-CN"/>
        </w:rPr>
        <w:t>而自</w:t>
      </w:r>
      <w:r>
        <w:rPr>
          <w:rFonts w:hint="eastAsia" w:ascii="Times New Roman" w:hAnsi="Times New Roman" w:eastAsia="宋体" w:cs="Times New Roman"/>
          <w:color w:val="auto"/>
          <w:spacing w:val="8"/>
          <w:kern w:val="0"/>
          <w:sz w:val="24"/>
          <w:szCs w:val="24"/>
          <w:lang w:val="en-US" w:eastAsia="zh-CN"/>
        </w:rPr>
        <w:t>2018年8</w:t>
      </w:r>
      <w:r>
        <w:rPr>
          <w:rFonts w:hint="eastAsia" w:ascii="Times New Roman" w:hAnsi="Times New Roman" w:eastAsia="宋体" w:cs="Times New Roman"/>
          <w:color w:val="auto"/>
          <w:spacing w:val="8"/>
          <w:kern w:val="0"/>
          <w:sz w:val="24"/>
          <w:szCs w:val="24"/>
          <w:lang w:eastAsia="zh-CN"/>
        </w:rPr>
        <w:t>月我国发生非洲猪瘟疫情后，随着非洲猪瘟对于我们生活影响越来越大，国家也加大了恢复生猪养殖规模的力度，农业农村部推出了一系列的扶持生猪养殖的政策。</w:t>
      </w:r>
    </w:p>
    <w:p>
      <w:pPr>
        <w:snapToGrid w:val="0"/>
        <w:ind w:left="105" w:leftChars="50" w:right="105" w:rightChars="50" w:firstLine="512" w:firstLineChars="200"/>
        <w:rPr>
          <w:color w:val="auto"/>
        </w:rPr>
      </w:pPr>
      <w:r>
        <w:rPr>
          <w:rFonts w:hint="eastAsia" w:ascii="Times New Roman" w:hAnsi="Times New Roman" w:eastAsia="宋体" w:cs="Times New Roman"/>
          <w:color w:val="auto"/>
          <w:spacing w:val="8"/>
          <w:kern w:val="0"/>
          <w:sz w:val="24"/>
          <w:szCs w:val="24"/>
          <w:lang w:eastAsia="zh-CN"/>
        </w:rPr>
        <w:t>通江县是四川省现代畜牧业重点县。目前通江县正大力建设以生猪为重点的现代畜牧业重点县，坚持以小区建设和大户培育为突破口，推进畜禽养殖的规范化、标准化、良种化、市场化，并对生猪产业化项目列出专项资金重点给予大力支持，在项目申报、土地征用、融资、税收等巴中市方面实行优惠政策倾斜。同时，该县还积极支持农户与公司诚信合作，从事育肥猪养殖工作，对新发展养户给予建圈资金补贴，并组织有关部门给予沼气设施、环保设施配套，为养猪产业化发展创造良好的环境。</w:t>
      </w:r>
    </w:p>
    <w:p>
      <w:pPr>
        <w:snapToGrid w:val="0"/>
        <w:ind w:left="105" w:leftChars="50" w:right="105" w:rightChars="50" w:firstLine="512" w:firstLineChars="200"/>
        <w:rPr>
          <w:rFonts w:ascii="Times New Roman" w:hAnsi="Times New Roman" w:cs="Times New Roman"/>
          <w:color w:val="auto"/>
          <w:sz w:val="24"/>
        </w:rPr>
      </w:pPr>
      <w:r>
        <w:rPr>
          <w:rFonts w:hint="eastAsia" w:ascii="Times New Roman" w:hAnsi="Times New Roman" w:eastAsia="宋体" w:cs="Times New Roman"/>
          <w:color w:val="auto"/>
          <w:spacing w:val="8"/>
          <w:kern w:val="0"/>
          <w:sz w:val="24"/>
          <w:szCs w:val="24"/>
          <w:lang w:eastAsia="zh-CN"/>
        </w:rPr>
        <w:t>通江温氏畜牧有限公司</w:t>
      </w:r>
      <w:r>
        <w:rPr>
          <w:rFonts w:ascii="Times New Roman" w:cs="Times New Roman"/>
          <w:color w:val="auto"/>
          <w:sz w:val="24"/>
        </w:rPr>
        <w:t>是</w:t>
      </w:r>
      <w:r>
        <w:rPr>
          <w:rFonts w:hint="eastAsia" w:ascii="Times New Roman" w:cs="Times New Roman"/>
          <w:color w:val="auto"/>
          <w:sz w:val="24"/>
        </w:rPr>
        <w:t>温氏</w:t>
      </w:r>
      <w:r>
        <w:rPr>
          <w:rFonts w:hint="eastAsia" w:ascii="Times New Roman" w:cs="Times New Roman"/>
          <w:color w:val="auto"/>
          <w:sz w:val="24"/>
          <w:lang w:eastAsia="zh-CN"/>
        </w:rPr>
        <w:t>食品</w:t>
      </w:r>
      <w:r>
        <w:rPr>
          <w:rFonts w:hint="eastAsia" w:ascii="Times New Roman" w:cs="Times New Roman"/>
          <w:color w:val="auto"/>
          <w:sz w:val="24"/>
        </w:rPr>
        <w:t>集团股份有限公司</w:t>
      </w:r>
      <w:r>
        <w:rPr>
          <w:rFonts w:hint="eastAsia" w:ascii="Times New Roman" w:cs="Times New Roman"/>
          <w:color w:val="auto"/>
          <w:sz w:val="24"/>
          <w:lang w:eastAsia="zh-CN"/>
        </w:rPr>
        <w:t>全资子公司</w:t>
      </w:r>
      <w:r>
        <w:rPr>
          <w:rFonts w:ascii="Times New Roman" w:cs="Times New Roman"/>
          <w:color w:val="auto"/>
          <w:sz w:val="24"/>
        </w:rPr>
        <w:t>，</w:t>
      </w:r>
      <w:r>
        <w:rPr>
          <w:rFonts w:hint="eastAsia" w:ascii="Times New Roman" w:cs="Times New Roman"/>
          <w:color w:val="auto"/>
          <w:sz w:val="24"/>
        </w:rPr>
        <w:t>温氏</w:t>
      </w:r>
      <w:r>
        <w:rPr>
          <w:rFonts w:hint="eastAsia" w:ascii="Times New Roman" w:cs="Times New Roman"/>
          <w:color w:val="auto"/>
          <w:sz w:val="24"/>
          <w:lang w:eastAsia="zh-CN"/>
        </w:rPr>
        <w:t>食品</w:t>
      </w:r>
      <w:r>
        <w:rPr>
          <w:rFonts w:hint="eastAsia" w:ascii="Times New Roman" w:cs="Times New Roman"/>
          <w:color w:val="auto"/>
          <w:sz w:val="24"/>
        </w:rPr>
        <w:t>集团股份有限公司创立于1983年，现已发展成一家以畜禽养殖为主业、配套相关业务的跨地区现代农牧企业集团。</w:t>
      </w:r>
      <w:r>
        <w:rPr>
          <w:rFonts w:ascii="Times New Roman" w:cs="Times New Roman"/>
          <w:color w:val="auto"/>
          <w:sz w:val="24"/>
        </w:rPr>
        <w:t>为进一步推动农业产业现代化发展，助力乡村振兴，本着农民增收、企业增效的原则，公司拟投资</w:t>
      </w:r>
      <w:r>
        <w:rPr>
          <w:rFonts w:hint="eastAsia" w:ascii="Times New Roman" w:hAnsi="Times New Roman" w:cs="Times New Roman"/>
          <w:color w:val="auto"/>
          <w:sz w:val="24"/>
          <w:lang w:val="en-US" w:eastAsia="zh-CN"/>
        </w:rPr>
        <w:t>200</w:t>
      </w:r>
      <w:r>
        <w:rPr>
          <w:rFonts w:ascii="Times New Roman" w:hAnsi="Times New Roman" w:cs="Times New Roman"/>
          <w:color w:val="auto"/>
          <w:sz w:val="24"/>
        </w:rPr>
        <w:t>00</w:t>
      </w:r>
      <w:r>
        <w:rPr>
          <w:rFonts w:ascii="Times New Roman" w:cs="Times New Roman"/>
          <w:color w:val="auto"/>
          <w:sz w:val="24"/>
        </w:rPr>
        <w:t>万元，建设年存栏</w:t>
      </w:r>
      <w:r>
        <w:rPr>
          <w:rFonts w:hint="eastAsia" w:ascii="Times New Roman" w:hAnsi="Times New Roman" w:cs="Times New Roman"/>
          <w:color w:val="auto"/>
          <w:sz w:val="24"/>
          <w:lang w:val="en-US" w:eastAsia="zh-CN"/>
        </w:rPr>
        <w:t>15862</w:t>
      </w:r>
      <w:r>
        <w:rPr>
          <w:rFonts w:ascii="Times New Roman" w:cs="Times New Roman"/>
          <w:color w:val="auto"/>
          <w:sz w:val="24"/>
        </w:rPr>
        <w:t>头母猪种猪场一个。</w:t>
      </w:r>
    </w:p>
    <w:p>
      <w:pPr>
        <w:snapToGrid w:val="0"/>
        <w:ind w:left="105" w:leftChars="50" w:right="105" w:rightChars="5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项目目前已填报备案信息，在</w:t>
      </w:r>
      <w:r>
        <w:rPr>
          <w:rFonts w:hint="default" w:ascii="Times New Roman" w:hAnsi="Times New Roman" w:eastAsia="宋体" w:cs="Times New Roman"/>
          <w:color w:val="auto"/>
          <w:sz w:val="24"/>
          <w:lang w:eastAsia="zh-CN"/>
        </w:rPr>
        <w:t>通江县发展和改革局</w:t>
      </w:r>
      <w:r>
        <w:rPr>
          <w:rFonts w:hint="default" w:ascii="Times New Roman" w:hAnsi="Times New Roman" w:eastAsia="宋体" w:cs="Times New Roman"/>
          <w:color w:val="auto"/>
          <w:sz w:val="24"/>
        </w:rPr>
        <w:t>完成备案，备案号：川投资备【</w:t>
      </w:r>
      <w:r>
        <w:rPr>
          <w:rFonts w:hint="default" w:ascii="Times New Roman" w:hAnsi="Times New Roman" w:eastAsia="宋体" w:cs="Times New Roman"/>
          <w:color w:val="auto"/>
          <w:sz w:val="24"/>
          <w:lang w:val="en-US" w:eastAsia="zh-CN"/>
        </w:rPr>
        <w:t>2020-511921-03-03-472110</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FG</w:t>
      </w:r>
      <w:r>
        <w:rPr>
          <w:rFonts w:hint="default" w:ascii="Times New Roman" w:hAnsi="Times New Roman" w:eastAsia="宋体" w:cs="Times New Roman"/>
          <w:color w:val="auto"/>
          <w:sz w:val="24"/>
        </w:rPr>
        <w:t>QB-01</w:t>
      </w:r>
      <w:r>
        <w:rPr>
          <w:rFonts w:hint="default" w:ascii="Times New Roman" w:hAnsi="Times New Roman" w:eastAsia="宋体" w:cs="Times New Roman"/>
          <w:color w:val="auto"/>
          <w:sz w:val="24"/>
          <w:lang w:val="en-US" w:eastAsia="zh-CN"/>
        </w:rPr>
        <w:t>00</w:t>
      </w:r>
      <w:r>
        <w:rPr>
          <w:rFonts w:hint="default" w:ascii="Times New Roman" w:hAnsi="Times New Roman" w:eastAsia="宋体" w:cs="Times New Roman"/>
          <w:color w:val="auto"/>
          <w:sz w:val="24"/>
        </w:rPr>
        <w:t>号；根据《中华人民共和国环境保护法》、《中华人民共和国环境影响评价法》和《建设项目环境保护管理条例》的相关内容，项目建设前须进行环境影响评价工作。根据《建设项目环境影响评价分类管理名录》（部令44号、部令1号），本项目属于</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一、畜牧业 1畜禽养殖场、养殖小区（年出栏生猪5000头及以上）</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，本项目年存栏</w:t>
      </w:r>
      <w:r>
        <w:rPr>
          <w:rFonts w:hint="default" w:ascii="Times New Roman" w:hAnsi="Times New Roman" w:eastAsia="宋体" w:cs="Times New Roman"/>
          <w:color w:val="auto"/>
          <w:sz w:val="24"/>
          <w:lang w:val="en-US" w:eastAsia="zh-CN"/>
        </w:rPr>
        <w:t>15862</w:t>
      </w:r>
      <w:r>
        <w:rPr>
          <w:rFonts w:hint="default" w:ascii="Times New Roman" w:hAnsi="Times New Roman" w:eastAsia="宋体" w:cs="Times New Roman"/>
          <w:color w:val="auto"/>
          <w:sz w:val="24"/>
        </w:rPr>
        <w:t>头母猪，年出栏断奶小猪</w:t>
      </w:r>
      <w:r>
        <w:rPr>
          <w:rFonts w:hint="default" w:ascii="Times New Roman" w:hAnsi="Times New Roman" w:eastAsia="宋体" w:cs="Times New Roman"/>
          <w:color w:val="auto"/>
          <w:sz w:val="24"/>
          <w:lang w:val="en-US" w:eastAsia="zh-CN"/>
        </w:rPr>
        <w:t>312500</w:t>
      </w:r>
      <w:r>
        <w:rPr>
          <w:rFonts w:hint="default" w:ascii="Times New Roman" w:hAnsi="Times New Roman" w:eastAsia="宋体" w:cs="Times New Roman"/>
          <w:color w:val="auto"/>
          <w:sz w:val="24"/>
        </w:rPr>
        <w:t>头</w:t>
      </w:r>
      <w:r>
        <w:rPr>
          <w:rFonts w:hint="eastAsia" w:ascii="Times New Roman" w:hAnsi="Times New Roman" w:eastAsia="宋体" w:cs="Times New Roman"/>
          <w:color w:val="auto"/>
          <w:sz w:val="24"/>
          <w:lang w:eastAsia="zh-CN"/>
        </w:rPr>
        <w:t>（折合成年生猪</w:t>
      </w:r>
      <w:r>
        <w:rPr>
          <w:rFonts w:hint="eastAsia" w:ascii="Times New Roman" w:hAnsi="Times New Roman" w:eastAsia="宋体" w:cs="Times New Roman"/>
          <w:color w:val="auto"/>
          <w:sz w:val="24"/>
          <w:lang w:val="en-US" w:eastAsia="zh-CN"/>
        </w:rPr>
        <w:t>20313头）</w:t>
      </w:r>
      <w:r>
        <w:rPr>
          <w:rFonts w:hint="default" w:ascii="Times New Roman" w:hAnsi="Times New Roman" w:eastAsia="宋体" w:cs="Times New Roman"/>
          <w:color w:val="auto"/>
          <w:sz w:val="24"/>
        </w:rPr>
        <w:t>，应编制环境影响报告书。</w:t>
      </w:r>
    </w:p>
    <w:p>
      <w:pPr>
        <w:snapToGrid w:val="0"/>
        <w:ind w:left="105" w:leftChars="50" w:right="105" w:rightChars="50" w:firstLine="480" w:firstLineChars="200"/>
        <w:rPr>
          <w:rFonts w:ascii="Times New Roman" w:hAnsi="Times New Roman" w:cs="Times New Roman"/>
          <w:color w:val="auto"/>
          <w:sz w:val="24"/>
        </w:rPr>
      </w:pPr>
      <w:r>
        <w:rPr>
          <w:rFonts w:ascii="Times New Roman" w:hAnsi="Times New Roman" w:cs="Times New Roman"/>
          <w:color w:val="auto"/>
          <w:sz w:val="24"/>
        </w:rPr>
        <w:t>为此，</w:t>
      </w:r>
      <w:r>
        <w:rPr>
          <w:rFonts w:hint="eastAsia" w:ascii="Times New Roman" w:hAnsi="Times New Roman" w:cs="Times New Roman"/>
          <w:color w:val="auto"/>
          <w:sz w:val="24"/>
          <w:lang w:eastAsia="zh-CN"/>
        </w:rPr>
        <w:t>通江温氏畜牧有限公司</w:t>
      </w:r>
      <w:r>
        <w:rPr>
          <w:rFonts w:ascii="Times New Roman" w:hAnsi="Times New Roman" w:cs="Times New Roman"/>
          <w:color w:val="auto"/>
          <w:sz w:val="24"/>
        </w:rPr>
        <w:t>委托我公司开展本项目的环境影响评价工作。我单位在接受委托后，立即组织有关技术人员进行现场踏勘、资料收集，在此基础上按照有关技术规范要求，编制完成了《</w:t>
      </w:r>
      <w:r>
        <w:rPr>
          <w:rFonts w:hint="eastAsia" w:ascii="Times New Roman" w:hAnsi="Times New Roman" w:cs="Times New Roman"/>
          <w:color w:val="auto"/>
          <w:sz w:val="24"/>
          <w:lang w:eastAsia="zh-CN"/>
        </w:rPr>
        <w:t>通江温氏畜牧有限公司龙凤场镇种猪养殖项目</w:t>
      </w:r>
      <w:r>
        <w:rPr>
          <w:rFonts w:ascii="Times New Roman" w:hAnsi="Times New Roman" w:cs="Times New Roman"/>
          <w:color w:val="auto"/>
          <w:sz w:val="24"/>
        </w:rPr>
        <w:t>环境影响报告书》。</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eastAsia="zh-CN"/>
        </w:rPr>
      </w:pPr>
      <w:bookmarkStart w:id="7" w:name="_Toc9126"/>
      <w:r>
        <w:rPr>
          <w:rFonts w:hint="eastAsia" w:ascii="Times New Roman" w:hAnsi="Times New Roman" w:eastAsia="宋体" w:cs="Times New Roman"/>
          <w:color w:val="auto"/>
          <w:lang w:eastAsia="zh-CN"/>
        </w:rPr>
        <w:t>建设项目的特点</w:t>
      </w:r>
      <w:bookmarkEnd w:id="7"/>
    </w:p>
    <w:p>
      <w:pPr>
        <w:pStyle w:val="82"/>
        <w:keepNext w:val="0"/>
        <w:keepLines w:val="0"/>
        <w:widowControl w:val="0"/>
        <w:suppressLineNumbers w:val="0"/>
        <w:spacing w:before="0" w:beforeAutospacing="0" w:after="0" w:afterAutospacing="0" w:line="440" w:lineRule="exact"/>
        <w:ind w:right="0"/>
        <w:jc w:val="both"/>
        <w:rPr>
          <w:rFonts w:hint="default" w:ascii="Times New Roman" w:hAnsi="Times New Roman" w:cs="Times New Roman"/>
          <w:color w:val="auto"/>
          <w:lang w:val="en-US"/>
        </w:rPr>
      </w:pPr>
      <w:r>
        <w:rPr>
          <w:rFonts w:hint="eastAsia" w:ascii="Times New Roman" w:hAnsi="Times New Roman" w:eastAsia="宋体" w:cs="宋体"/>
          <w:color w:val="auto"/>
          <w:kern w:val="2"/>
          <w:sz w:val="24"/>
          <w:szCs w:val="20"/>
          <w:lang w:val="en-US" w:eastAsia="zh-CN" w:bidi="ar"/>
        </w:rPr>
        <w:t>本项目主要特点如下：</w:t>
      </w:r>
    </w:p>
    <w:p>
      <w:pPr>
        <w:pStyle w:val="82"/>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宋体"/>
          <w:color w:val="auto"/>
          <w:kern w:val="2"/>
          <w:sz w:val="24"/>
          <w:szCs w:val="20"/>
          <w:lang w:val="en-US" w:eastAsia="zh-CN" w:bidi="ar"/>
        </w:rPr>
        <w:t>（</w:t>
      </w:r>
      <w:r>
        <w:rPr>
          <w:rFonts w:hint="default" w:ascii="Times New Roman" w:hAnsi="Times New Roman" w:eastAsia="宋体" w:cs="Times New Roman"/>
          <w:color w:val="auto"/>
          <w:kern w:val="2"/>
          <w:sz w:val="24"/>
          <w:szCs w:val="20"/>
          <w:lang w:val="en-US" w:eastAsia="zh-CN" w:bidi="ar"/>
        </w:rPr>
        <w:t>1</w:t>
      </w:r>
      <w:r>
        <w:rPr>
          <w:rFonts w:hint="eastAsia" w:ascii="Times New Roman" w:hAnsi="Times New Roman" w:eastAsia="宋体" w:cs="宋体"/>
          <w:color w:val="auto"/>
          <w:kern w:val="2"/>
          <w:sz w:val="24"/>
          <w:szCs w:val="20"/>
          <w:lang w:val="en-US" w:eastAsia="zh-CN" w:bidi="ar"/>
        </w:rPr>
        <w:t>）本项目位于</w:t>
      </w:r>
      <w:r>
        <w:rPr>
          <w:rFonts w:hint="eastAsia" w:ascii="Times New Roman" w:hAnsi="Times New Roman" w:cs="宋体"/>
          <w:color w:val="auto"/>
          <w:kern w:val="2"/>
          <w:sz w:val="24"/>
          <w:szCs w:val="20"/>
          <w:lang w:val="en-US" w:eastAsia="zh-CN" w:bidi="ar"/>
        </w:rPr>
        <w:t>四川省巴中市通江县龙凤场镇环山村</w:t>
      </w:r>
      <w:r>
        <w:rPr>
          <w:rFonts w:hint="eastAsia" w:ascii="Times New Roman" w:hAnsi="Times New Roman" w:eastAsia="宋体" w:cs="宋体"/>
          <w:color w:val="auto"/>
          <w:kern w:val="2"/>
          <w:sz w:val="24"/>
          <w:szCs w:val="20"/>
          <w:lang w:val="en-US" w:eastAsia="zh-CN" w:bidi="ar"/>
        </w:rPr>
        <w:t>，项目占地为</w:t>
      </w:r>
      <w:r>
        <w:rPr>
          <w:rFonts w:hint="eastAsia" w:ascii="Times New Roman" w:hAnsi="Times New Roman" w:cs="宋体"/>
          <w:color w:val="auto"/>
          <w:kern w:val="2"/>
          <w:sz w:val="24"/>
          <w:szCs w:val="20"/>
          <w:lang w:val="en-US" w:eastAsia="zh-CN" w:bidi="ar"/>
        </w:rPr>
        <w:t>林地</w:t>
      </w:r>
      <w:r>
        <w:rPr>
          <w:rFonts w:hint="eastAsia" w:ascii="Times New Roman" w:hAnsi="Times New Roman" w:eastAsia="宋体" w:cs="宋体"/>
          <w:color w:val="auto"/>
          <w:kern w:val="2"/>
          <w:sz w:val="24"/>
          <w:szCs w:val="20"/>
          <w:lang w:val="en-US" w:eastAsia="zh-CN" w:bidi="ar"/>
        </w:rPr>
        <w:t>，项目选址范围内不占基本农田；场</w:t>
      </w:r>
      <w:r>
        <w:rPr>
          <w:rFonts w:hint="eastAsia" w:ascii="Times New Roman" w:hAnsi="Times New Roman" w:eastAsia="宋体" w:cs="宋体"/>
          <w:color w:val="auto"/>
          <w:kern w:val="2"/>
          <w:sz w:val="24"/>
          <w:szCs w:val="20"/>
          <w:highlight w:val="none"/>
          <w:lang w:val="en-US" w:eastAsia="zh-CN" w:bidi="ar"/>
        </w:rPr>
        <w:t>区周边</w:t>
      </w:r>
      <w:r>
        <w:rPr>
          <w:rFonts w:hint="eastAsia"/>
          <w:color w:val="auto"/>
          <w:highlight w:val="none"/>
          <w:lang w:eastAsia="zh-CN"/>
        </w:rPr>
        <w:t>主要为</w:t>
      </w:r>
      <w:r>
        <w:rPr>
          <w:rFonts w:hint="eastAsia" w:ascii="Times New Roman" w:hAnsi="Times New Roman" w:eastAsia="宋体" w:cs="宋体"/>
          <w:color w:val="auto"/>
          <w:kern w:val="2"/>
          <w:sz w:val="24"/>
          <w:szCs w:val="20"/>
          <w:highlight w:val="none"/>
          <w:lang w:val="en-US" w:eastAsia="zh-CN" w:bidi="ar"/>
        </w:rPr>
        <w:t>林地</w:t>
      </w:r>
      <w:r>
        <w:rPr>
          <w:rFonts w:hint="eastAsia" w:ascii="Times New Roman" w:hAnsi="Times New Roman" w:cs="宋体"/>
          <w:color w:val="auto"/>
          <w:kern w:val="2"/>
          <w:sz w:val="24"/>
          <w:szCs w:val="20"/>
          <w:highlight w:val="none"/>
          <w:lang w:val="en-US" w:eastAsia="zh-CN" w:bidi="ar"/>
        </w:rPr>
        <w:t>，少</w:t>
      </w:r>
      <w:r>
        <w:rPr>
          <w:rFonts w:hint="eastAsia" w:ascii="Times New Roman" w:hAnsi="Times New Roman" w:cs="宋体"/>
          <w:color w:val="auto"/>
          <w:kern w:val="2"/>
          <w:sz w:val="24"/>
          <w:szCs w:val="20"/>
          <w:lang w:val="en-US" w:eastAsia="zh-CN" w:bidi="ar"/>
        </w:rPr>
        <w:t>量耕地</w:t>
      </w:r>
      <w:r>
        <w:rPr>
          <w:rFonts w:hint="eastAsia" w:ascii="Times New Roman" w:hAnsi="Times New Roman" w:eastAsia="宋体" w:cs="宋体"/>
          <w:color w:val="auto"/>
          <w:kern w:val="2"/>
          <w:sz w:val="24"/>
          <w:szCs w:val="20"/>
          <w:lang w:val="en-US" w:eastAsia="zh-CN" w:bidi="ar"/>
        </w:rPr>
        <w:t>，无珍稀濒危物种、自然保护区、风景名胜区等生态敏感目标分布。</w:t>
      </w:r>
    </w:p>
    <w:p>
      <w:pPr>
        <w:pStyle w:val="82"/>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宋体"/>
          <w:color w:val="auto"/>
          <w:kern w:val="2"/>
          <w:sz w:val="24"/>
          <w:szCs w:val="20"/>
          <w:lang w:val="en-US" w:eastAsia="zh-CN" w:bidi="ar"/>
        </w:rPr>
        <w:t>（</w:t>
      </w:r>
      <w:r>
        <w:rPr>
          <w:rFonts w:hint="default" w:ascii="Times New Roman" w:hAnsi="Times New Roman" w:eastAsia="宋体" w:cs="Times New Roman"/>
          <w:color w:val="auto"/>
          <w:kern w:val="2"/>
          <w:sz w:val="24"/>
          <w:szCs w:val="20"/>
          <w:lang w:val="en-US" w:eastAsia="zh-CN" w:bidi="ar"/>
        </w:rPr>
        <w:t>2</w:t>
      </w:r>
      <w:r>
        <w:rPr>
          <w:rFonts w:hint="eastAsia" w:ascii="Times New Roman" w:hAnsi="Times New Roman" w:eastAsia="宋体" w:cs="宋体"/>
          <w:color w:val="auto"/>
          <w:kern w:val="2"/>
          <w:sz w:val="24"/>
          <w:szCs w:val="20"/>
          <w:lang w:val="en-US" w:eastAsia="zh-CN" w:bidi="ar"/>
        </w:rPr>
        <w:t>）本项目为</w:t>
      </w:r>
      <w:r>
        <w:rPr>
          <w:rFonts w:hint="eastAsia" w:ascii="Times New Roman" w:hAnsi="Times New Roman" w:cs="宋体"/>
          <w:color w:val="auto"/>
          <w:kern w:val="2"/>
          <w:sz w:val="24"/>
          <w:szCs w:val="20"/>
          <w:lang w:val="en-US" w:eastAsia="zh-CN" w:bidi="ar"/>
        </w:rPr>
        <w:t>种猪</w:t>
      </w:r>
      <w:r>
        <w:rPr>
          <w:rFonts w:hint="eastAsia" w:ascii="Times New Roman" w:hAnsi="Times New Roman" w:eastAsia="宋体" w:cs="宋体"/>
          <w:color w:val="auto"/>
          <w:kern w:val="2"/>
          <w:sz w:val="24"/>
          <w:szCs w:val="20"/>
          <w:lang w:val="en-US" w:eastAsia="zh-CN" w:bidi="ar"/>
        </w:rPr>
        <w:t>养殖项目，建成后常年存栏母猪</w:t>
      </w:r>
      <w:r>
        <w:rPr>
          <w:rFonts w:hint="eastAsia" w:ascii="Times New Roman" w:hAnsi="Times New Roman" w:cs="Times New Roman"/>
          <w:color w:val="auto"/>
          <w:kern w:val="2"/>
          <w:sz w:val="24"/>
          <w:szCs w:val="20"/>
          <w:lang w:val="en-US" w:eastAsia="zh-CN" w:bidi="ar"/>
        </w:rPr>
        <w:t>15862</w:t>
      </w:r>
      <w:r>
        <w:rPr>
          <w:rFonts w:hint="eastAsia" w:ascii="Times New Roman" w:hAnsi="Times New Roman" w:eastAsia="宋体" w:cs="宋体"/>
          <w:color w:val="auto"/>
          <w:kern w:val="2"/>
          <w:sz w:val="24"/>
          <w:szCs w:val="20"/>
          <w:lang w:val="en-US" w:eastAsia="zh-CN" w:bidi="ar"/>
        </w:rPr>
        <w:t>头、公猪</w:t>
      </w:r>
      <w:r>
        <w:rPr>
          <w:rFonts w:hint="eastAsia" w:ascii="Times New Roman" w:hAnsi="Times New Roman" w:cs="Times New Roman"/>
          <w:color w:val="auto"/>
          <w:kern w:val="2"/>
          <w:sz w:val="24"/>
          <w:szCs w:val="20"/>
          <w:lang w:val="en-US" w:eastAsia="zh-CN" w:bidi="ar"/>
        </w:rPr>
        <w:t>110</w:t>
      </w:r>
      <w:r>
        <w:rPr>
          <w:rFonts w:hint="eastAsia" w:ascii="Times New Roman" w:hAnsi="Times New Roman" w:eastAsia="宋体" w:cs="宋体"/>
          <w:color w:val="auto"/>
          <w:kern w:val="2"/>
          <w:sz w:val="24"/>
          <w:szCs w:val="20"/>
          <w:lang w:val="en-US" w:eastAsia="zh-CN" w:bidi="ar"/>
        </w:rPr>
        <w:t>头、仔猪</w:t>
      </w:r>
      <w:r>
        <w:rPr>
          <w:rFonts w:hint="eastAsia" w:ascii="Times New Roman" w:hAnsi="Times New Roman" w:cs="Times New Roman"/>
          <w:color w:val="auto"/>
          <w:kern w:val="2"/>
          <w:sz w:val="24"/>
          <w:szCs w:val="20"/>
          <w:lang w:val="en-US" w:eastAsia="zh-CN" w:bidi="ar"/>
        </w:rPr>
        <w:t>17980</w:t>
      </w:r>
      <w:r>
        <w:rPr>
          <w:rFonts w:hint="eastAsia" w:ascii="Times New Roman" w:hAnsi="Times New Roman" w:eastAsia="宋体" w:cs="宋体"/>
          <w:color w:val="auto"/>
          <w:kern w:val="2"/>
          <w:sz w:val="24"/>
          <w:szCs w:val="20"/>
          <w:lang w:val="en-US" w:eastAsia="zh-CN" w:bidi="ar"/>
        </w:rPr>
        <w:t>头</w:t>
      </w:r>
      <w:r>
        <w:rPr>
          <w:rFonts w:hint="eastAsia" w:ascii="Times New Roman" w:hAnsi="Times New Roman" w:cs="宋体"/>
          <w:color w:val="auto"/>
          <w:kern w:val="2"/>
          <w:sz w:val="24"/>
          <w:szCs w:val="20"/>
          <w:lang w:val="en-US" w:eastAsia="zh-CN" w:bidi="ar"/>
        </w:rPr>
        <w:t>（折合成年猪1169头），年出栏312500头商品猪苗（</w:t>
      </w:r>
      <w:r>
        <w:rPr>
          <w:rFonts w:hint="eastAsia" w:ascii="Times New Roman" w:hAnsi="Times New Roman" w:eastAsia="宋体" w:cs="Times New Roman"/>
          <w:color w:val="auto"/>
          <w:sz w:val="24"/>
          <w:lang w:eastAsia="zh-CN"/>
        </w:rPr>
        <w:t>折合成年生猪</w:t>
      </w:r>
      <w:r>
        <w:rPr>
          <w:rFonts w:hint="eastAsia" w:ascii="Times New Roman" w:hAnsi="Times New Roman" w:eastAsia="宋体" w:cs="Times New Roman"/>
          <w:color w:val="auto"/>
          <w:sz w:val="24"/>
          <w:lang w:val="en-US" w:eastAsia="zh-CN"/>
        </w:rPr>
        <w:t>20313头）</w:t>
      </w:r>
      <w:r>
        <w:rPr>
          <w:rFonts w:hint="eastAsia" w:ascii="Times New Roman" w:hAnsi="Times New Roman" w:eastAsia="宋体" w:cs="宋体"/>
          <w:color w:val="auto"/>
          <w:kern w:val="2"/>
          <w:sz w:val="24"/>
          <w:szCs w:val="20"/>
          <w:lang w:val="en-US" w:eastAsia="zh-CN" w:bidi="ar"/>
        </w:rPr>
        <w:t>。</w:t>
      </w:r>
      <w:r>
        <w:rPr>
          <w:rFonts w:hint="eastAsia" w:ascii="Times New Roman" w:hAnsi="Times New Roman" w:eastAsia="宋体" w:cs="宋体"/>
          <w:b/>
          <w:bCs w:val="0"/>
          <w:color w:val="auto"/>
          <w:kern w:val="2"/>
          <w:sz w:val="24"/>
          <w:szCs w:val="20"/>
          <w:lang w:val="en-US" w:eastAsia="zh-CN" w:bidi="ar"/>
        </w:rPr>
        <w:t>项目内不进行饲料加工、生猪屠宰。</w:t>
      </w:r>
    </w:p>
    <w:p>
      <w:pPr>
        <w:pStyle w:val="82"/>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宋体"/>
          <w:color w:val="auto"/>
          <w:kern w:val="2"/>
          <w:sz w:val="24"/>
          <w:szCs w:val="20"/>
          <w:lang w:val="en-US" w:eastAsia="zh-CN" w:bidi="ar"/>
        </w:rPr>
        <w:t>（</w:t>
      </w:r>
      <w:r>
        <w:rPr>
          <w:rFonts w:hint="default" w:ascii="Times New Roman" w:hAnsi="Times New Roman" w:eastAsia="宋体" w:cs="Times New Roman"/>
          <w:color w:val="auto"/>
          <w:kern w:val="2"/>
          <w:sz w:val="24"/>
          <w:szCs w:val="20"/>
          <w:lang w:val="en-US" w:eastAsia="zh-CN" w:bidi="ar"/>
        </w:rPr>
        <w:t>3</w:t>
      </w:r>
      <w:r>
        <w:rPr>
          <w:rFonts w:hint="eastAsia" w:ascii="Times New Roman" w:hAnsi="Times New Roman" w:eastAsia="宋体" w:cs="宋体"/>
          <w:color w:val="auto"/>
          <w:kern w:val="2"/>
          <w:sz w:val="24"/>
          <w:szCs w:val="20"/>
          <w:lang w:val="en-US" w:eastAsia="zh-CN" w:bidi="ar"/>
        </w:rPr>
        <w:t>）本项目采用干清粪工艺，粪便收集脱水后进入项目配套的</w:t>
      </w:r>
      <w:r>
        <w:rPr>
          <w:rFonts w:hint="eastAsia" w:ascii="Times New Roman" w:hAnsi="Times New Roman" w:cs="宋体"/>
          <w:color w:val="auto"/>
          <w:kern w:val="2"/>
          <w:sz w:val="24"/>
          <w:szCs w:val="20"/>
          <w:lang w:val="en-US" w:eastAsia="zh-CN" w:bidi="ar"/>
        </w:rPr>
        <w:t>堆肥车间内的异位发酵罐</w:t>
      </w:r>
      <w:r>
        <w:rPr>
          <w:rFonts w:hint="eastAsia" w:ascii="Times New Roman" w:hAnsi="Times New Roman" w:eastAsia="宋体" w:cs="宋体"/>
          <w:color w:val="auto"/>
          <w:kern w:val="2"/>
          <w:sz w:val="24"/>
          <w:szCs w:val="20"/>
          <w:lang w:val="en-US" w:eastAsia="zh-CN" w:bidi="ar"/>
        </w:rPr>
        <w:t>处理用于制作生物肥原料，实现日产日清。为实现项目“污水肥料化利用”，建设单位拟采用“</w:t>
      </w:r>
      <w:r>
        <w:rPr>
          <w:rFonts w:hint="eastAsia" w:ascii="Times New Roman" w:hAnsi="Times New Roman" w:cs="宋体"/>
          <w:color w:val="auto"/>
          <w:kern w:val="2"/>
          <w:sz w:val="24"/>
          <w:szCs w:val="20"/>
          <w:lang w:val="en-US" w:eastAsia="zh-CN" w:bidi="ar"/>
        </w:rPr>
        <w:t>固液分离+UASB厌氧+絮凝沉淀+两级A/O系统+混凝絮凝沉淀+消毒</w:t>
      </w:r>
      <w:r>
        <w:rPr>
          <w:rFonts w:hint="eastAsia" w:ascii="Times New Roman" w:hAnsi="Times New Roman" w:eastAsia="宋体" w:cs="宋体"/>
          <w:color w:val="auto"/>
          <w:kern w:val="2"/>
          <w:sz w:val="24"/>
          <w:szCs w:val="20"/>
          <w:lang w:val="en-US" w:eastAsia="zh-CN" w:bidi="ar"/>
        </w:rPr>
        <w:t>”工艺进行处理，与《畜禽养殖业污染治理工程技术规范》（</w:t>
      </w:r>
      <w:r>
        <w:rPr>
          <w:rFonts w:hint="default" w:ascii="Times New Roman" w:hAnsi="Times New Roman" w:eastAsia="宋体" w:cs="Times New Roman"/>
          <w:color w:val="auto"/>
          <w:kern w:val="2"/>
          <w:sz w:val="24"/>
          <w:szCs w:val="20"/>
          <w:lang w:val="en-US" w:eastAsia="zh-CN" w:bidi="ar"/>
        </w:rPr>
        <w:t>GBHJ497-2009</w:t>
      </w:r>
      <w:r>
        <w:rPr>
          <w:rFonts w:hint="eastAsia" w:ascii="Times New Roman" w:hAnsi="Times New Roman" w:eastAsia="宋体" w:cs="宋体"/>
          <w:color w:val="auto"/>
          <w:kern w:val="2"/>
          <w:sz w:val="24"/>
          <w:szCs w:val="20"/>
          <w:lang w:val="en-US" w:eastAsia="zh-CN" w:bidi="ar"/>
        </w:rPr>
        <w:t>）中规定的“粪污处理基本工艺模式</w:t>
      </w:r>
      <w:r>
        <w:rPr>
          <w:rFonts w:hint="default" w:ascii="Times New Roman" w:hAnsi="Times New Roman" w:eastAsia="宋体" w:cs="Times New Roman"/>
          <w:color w:val="auto"/>
          <w:kern w:val="2"/>
          <w:sz w:val="24"/>
          <w:szCs w:val="20"/>
          <w:lang w:val="en-US" w:eastAsia="zh-CN" w:bidi="ar"/>
        </w:rPr>
        <w:t>——</w:t>
      </w:r>
      <w:r>
        <w:rPr>
          <w:rFonts w:hint="eastAsia" w:ascii="Times New Roman" w:hAnsi="Times New Roman" w:eastAsia="宋体" w:cs="宋体"/>
          <w:color w:val="auto"/>
          <w:kern w:val="2"/>
          <w:sz w:val="24"/>
          <w:szCs w:val="20"/>
          <w:lang w:val="en-US" w:eastAsia="zh-CN" w:bidi="ar"/>
        </w:rPr>
        <w:t>模式</w:t>
      </w:r>
      <w:r>
        <w:rPr>
          <w:rFonts w:hint="default" w:ascii="Times New Roman" w:hAnsi="Times New Roman" w:eastAsia="宋体" w:cs="Times New Roman"/>
          <w:color w:val="auto"/>
          <w:kern w:val="2"/>
          <w:sz w:val="24"/>
          <w:szCs w:val="20"/>
          <w:lang w:val="en-US" w:eastAsia="zh-CN" w:bidi="ar"/>
        </w:rPr>
        <w:t>Ⅲ</w:t>
      </w:r>
      <w:r>
        <w:rPr>
          <w:rFonts w:hint="eastAsia" w:ascii="Times New Roman" w:hAnsi="Times New Roman" w:eastAsia="宋体" w:cs="宋体"/>
          <w:color w:val="auto"/>
          <w:kern w:val="2"/>
          <w:sz w:val="24"/>
          <w:szCs w:val="20"/>
          <w:lang w:val="en-US" w:eastAsia="zh-CN" w:bidi="ar"/>
        </w:rPr>
        <w:t>”相符，处理后的废水达《农田灌溉水质标准》（</w:t>
      </w:r>
      <w:r>
        <w:rPr>
          <w:rFonts w:hint="default" w:ascii="Times New Roman" w:hAnsi="Times New Roman" w:eastAsia="宋体" w:cs="Times New Roman"/>
          <w:color w:val="auto"/>
          <w:kern w:val="2"/>
          <w:sz w:val="24"/>
          <w:szCs w:val="20"/>
          <w:lang w:val="en-US" w:eastAsia="zh-CN" w:bidi="ar"/>
        </w:rPr>
        <w:t>GB5084-2005</w:t>
      </w:r>
      <w:r>
        <w:rPr>
          <w:rFonts w:hint="eastAsia" w:ascii="Times New Roman" w:hAnsi="Times New Roman" w:eastAsia="宋体" w:cs="宋体"/>
          <w:color w:val="auto"/>
          <w:kern w:val="2"/>
          <w:sz w:val="24"/>
          <w:szCs w:val="20"/>
          <w:lang w:val="en-US" w:eastAsia="zh-CN" w:bidi="ar"/>
        </w:rPr>
        <w:t>）中旱作标准后暂存于储存池内，</w:t>
      </w:r>
      <w:r>
        <w:rPr>
          <w:rFonts w:hint="eastAsia" w:ascii="Times New Roman" w:hAnsi="Times New Roman" w:cs="宋体"/>
          <w:color w:val="auto"/>
          <w:kern w:val="2"/>
          <w:sz w:val="24"/>
          <w:szCs w:val="20"/>
          <w:lang w:val="en-US" w:eastAsia="zh-CN" w:bidi="ar"/>
        </w:rPr>
        <w:t>用于周围林地灌溉，不外排。</w:t>
      </w:r>
    </w:p>
    <w:p>
      <w:pPr>
        <w:pStyle w:val="82"/>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宋体"/>
          <w:color w:val="auto"/>
          <w:kern w:val="2"/>
          <w:sz w:val="24"/>
          <w:szCs w:val="20"/>
          <w:lang w:val="en-US" w:eastAsia="zh-CN" w:bidi="ar"/>
        </w:rPr>
        <w:t>（</w:t>
      </w:r>
      <w:r>
        <w:rPr>
          <w:rFonts w:hint="eastAsia" w:ascii="Times New Roman" w:hAnsi="Times New Roman" w:cs="Times New Roman"/>
          <w:color w:val="auto"/>
          <w:kern w:val="2"/>
          <w:sz w:val="24"/>
          <w:szCs w:val="20"/>
          <w:lang w:val="en-US" w:eastAsia="zh-CN" w:bidi="ar"/>
        </w:rPr>
        <w:t>4</w:t>
      </w:r>
      <w:r>
        <w:rPr>
          <w:rFonts w:hint="eastAsia" w:ascii="Times New Roman" w:hAnsi="Times New Roman" w:eastAsia="宋体" w:cs="宋体"/>
          <w:color w:val="auto"/>
          <w:kern w:val="2"/>
          <w:sz w:val="24"/>
          <w:szCs w:val="20"/>
          <w:lang w:val="en-US" w:eastAsia="zh-CN" w:bidi="ar"/>
        </w:rPr>
        <w:t>）项目拟采取高温法对病死猪及胎盘进行无害化处理；对少量畜禽医疗废物统一收集后交由具有相应资质类别的危险废物处置单位处置；各类固体废物经减量化、无害化处理后，均能得到妥善处置，对周围环境的影响较小。</w:t>
      </w:r>
    </w:p>
    <w:p>
      <w:pPr>
        <w:pStyle w:val="82"/>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宋体"/>
          <w:color w:val="auto"/>
          <w:kern w:val="2"/>
          <w:sz w:val="24"/>
          <w:szCs w:val="20"/>
          <w:lang w:val="en-US" w:eastAsia="zh-CN" w:bidi="ar"/>
        </w:rPr>
        <w:t>（</w:t>
      </w:r>
      <w:r>
        <w:rPr>
          <w:rFonts w:hint="eastAsia" w:ascii="Times New Roman" w:hAnsi="Times New Roman" w:cs="Times New Roman"/>
          <w:color w:val="auto"/>
          <w:kern w:val="2"/>
          <w:sz w:val="24"/>
          <w:szCs w:val="20"/>
          <w:lang w:val="en-US" w:eastAsia="zh-CN" w:bidi="ar"/>
        </w:rPr>
        <w:t>5</w:t>
      </w:r>
      <w:r>
        <w:rPr>
          <w:rFonts w:hint="eastAsia" w:ascii="Times New Roman" w:hAnsi="Times New Roman" w:eastAsia="宋体" w:cs="宋体"/>
          <w:color w:val="auto"/>
          <w:kern w:val="2"/>
          <w:sz w:val="24"/>
          <w:szCs w:val="20"/>
          <w:lang w:val="en-US" w:eastAsia="zh-CN" w:bidi="ar"/>
        </w:rPr>
        <w:t>）项目</w:t>
      </w:r>
      <w:r>
        <w:rPr>
          <w:rFonts w:hint="default" w:ascii="Times New Roman" w:hAnsi="Times New Roman" w:eastAsia="宋体" w:cs="Times New Roman"/>
          <w:color w:val="auto"/>
          <w:kern w:val="2"/>
          <w:sz w:val="24"/>
          <w:szCs w:val="20"/>
          <w:lang w:val="en-US" w:eastAsia="zh-CN" w:bidi="ar"/>
        </w:rPr>
        <w:t>200m</w:t>
      </w:r>
      <w:r>
        <w:rPr>
          <w:rFonts w:hint="eastAsia" w:ascii="Times New Roman" w:hAnsi="Times New Roman" w:eastAsia="宋体" w:cs="宋体"/>
          <w:color w:val="auto"/>
          <w:kern w:val="2"/>
          <w:sz w:val="24"/>
          <w:szCs w:val="20"/>
          <w:lang w:val="en-US" w:eastAsia="zh-CN" w:bidi="ar"/>
        </w:rPr>
        <w:t>卫生防护距离范围内</w:t>
      </w:r>
      <w:r>
        <w:rPr>
          <w:rFonts w:hint="eastAsia" w:ascii="Arial Unicode MS" w:hAnsi="Arial Unicode MS" w:cs="宋体"/>
          <w:color w:val="auto"/>
          <w:kern w:val="2"/>
          <w:sz w:val="24"/>
          <w:szCs w:val="20"/>
          <w:lang w:val="en-US" w:eastAsia="zh-CN" w:bidi="ar"/>
        </w:rPr>
        <w:t>无农户</w:t>
      </w:r>
      <w:r>
        <w:rPr>
          <w:rFonts w:hint="eastAsia" w:ascii="Arial Unicode MS" w:hAnsi="Arial Unicode MS" w:eastAsia="宋体" w:cs="宋体"/>
          <w:color w:val="auto"/>
          <w:kern w:val="2"/>
          <w:sz w:val="24"/>
          <w:szCs w:val="20"/>
          <w:lang w:val="en-US" w:eastAsia="zh-CN" w:bidi="ar"/>
        </w:rPr>
        <w:t>，</w:t>
      </w:r>
      <w:r>
        <w:rPr>
          <w:rFonts w:hint="eastAsia" w:ascii="Arial Unicode MS" w:hAnsi="Arial Unicode MS" w:cs="宋体"/>
          <w:color w:val="auto"/>
          <w:kern w:val="2"/>
          <w:sz w:val="24"/>
          <w:szCs w:val="20"/>
          <w:lang w:val="en-US" w:eastAsia="zh-CN" w:bidi="ar"/>
        </w:rPr>
        <w:t>对周围敏感点影响较小</w:t>
      </w:r>
      <w:r>
        <w:rPr>
          <w:rFonts w:hint="eastAsia" w:ascii="Times New Roman" w:hAnsi="Times New Roman" w:eastAsia="宋体" w:cs="宋体"/>
          <w:color w:val="auto"/>
          <w:kern w:val="2"/>
          <w:sz w:val="24"/>
          <w:szCs w:val="20"/>
          <w:lang w:val="en-US" w:eastAsia="zh-CN" w:bidi="ar"/>
        </w:rPr>
        <w:t>。</w:t>
      </w:r>
    </w:p>
    <w:p>
      <w:pPr>
        <w:pStyle w:val="82"/>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lang w:val="en-US"/>
        </w:rPr>
      </w:pPr>
      <w:r>
        <w:rPr>
          <w:rFonts w:hint="eastAsia" w:ascii="Times New Roman" w:hAnsi="Times New Roman" w:eastAsia="宋体" w:cs="宋体"/>
          <w:color w:val="auto"/>
          <w:kern w:val="2"/>
          <w:sz w:val="24"/>
          <w:szCs w:val="20"/>
          <w:lang w:val="en-US" w:eastAsia="zh-CN" w:bidi="ar"/>
        </w:rPr>
        <w:t>综上，本项目养殖过程中产生的粪污经无害化处理后能够实现资源化利用，具有良好的经济和环境效益。</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lang w:eastAsia="zh-CN"/>
        </w:rPr>
      </w:pPr>
      <w:bookmarkStart w:id="8" w:name="_Toc16962"/>
      <w:r>
        <w:rPr>
          <w:rFonts w:hint="default" w:ascii="Times New Roman" w:hAnsi="Times New Roman" w:eastAsia="宋体" w:cs="Times New Roman"/>
          <w:color w:val="auto"/>
          <w:lang w:eastAsia="zh-CN"/>
        </w:rPr>
        <w:t>环境影响评价的工作过程</w:t>
      </w:r>
      <w:bookmarkEnd w:id="8"/>
    </w:p>
    <w:p>
      <w:pPr>
        <w:pStyle w:val="154"/>
        <w:ind w:firstLine="480"/>
        <w:rPr>
          <w:color w:val="auto"/>
        </w:rPr>
      </w:pPr>
      <w:r>
        <w:rPr>
          <w:rFonts w:hint="eastAsia"/>
          <w:bCs/>
          <w:color w:val="auto"/>
          <w:lang w:eastAsia="zh-CN"/>
        </w:rPr>
        <w:t>通江温氏畜牧有限公司</w:t>
      </w:r>
      <w:r>
        <w:rPr>
          <w:color w:val="auto"/>
        </w:rPr>
        <w:t>于20</w:t>
      </w:r>
      <w:r>
        <w:rPr>
          <w:rFonts w:hint="eastAsia"/>
          <w:color w:val="auto"/>
          <w:lang w:val="en-US" w:eastAsia="zh-CN"/>
        </w:rPr>
        <w:t>20</w:t>
      </w:r>
      <w:r>
        <w:rPr>
          <w:color w:val="auto"/>
        </w:rPr>
        <w:t>年</w:t>
      </w:r>
      <w:r>
        <w:rPr>
          <w:rFonts w:hint="eastAsia"/>
          <w:color w:val="auto"/>
          <w:lang w:val="en-US" w:eastAsia="zh-CN"/>
        </w:rPr>
        <w:t>7</w:t>
      </w:r>
      <w:r>
        <w:rPr>
          <w:color w:val="auto"/>
        </w:rPr>
        <w:t>月</w:t>
      </w:r>
      <w:r>
        <w:rPr>
          <w:rFonts w:hint="eastAsia"/>
          <w:color w:val="auto"/>
          <w:lang w:val="en-US" w:eastAsia="zh-CN"/>
        </w:rPr>
        <w:t>2</w:t>
      </w:r>
      <w:r>
        <w:rPr>
          <w:color w:val="auto"/>
        </w:rPr>
        <w:t>日委托四川</w:t>
      </w:r>
      <w:r>
        <w:rPr>
          <w:rFonts w:hint="eastAsia"/>
          <w:color w:val="auto"/>
          <w:lang w:eastAsia="zh-CN"/>
        </w:rPr>
        <w:t>国投环保科技有限公司</w:t>
      </w:r>
      <w:r>
        <w:rPr>
          <w:color w:val="auto"/>
        </w:rPr>
        <w:t>编制《</w:t>
      </w:r>
      <w:r>
        <w:rPr>
          <w:rFonts w:hint="eastAsia"/>
          <w:color w:val="auto"/>
          <w:lang w:eastAsia="zh-CN"/>
        </w:rPr>
        <w:t>通江温氏畜牧有限公司龙凤场镇种猪养殖项目</w:t>
      </w:r>
      <w:r>
        <w:rPr>
          <w:color w:val="auto"/>
        </w:rPr>
        <w:t>环境影响报告书》。在接受业主委托后，我单位随即组织技术力量，进行了详细的现场踏勘、环境现状调查、资料收集工作，并在此基础上严格按照环境影响评价相关技术导则、规范的要求进行《</w:t>
      </w:r>
      <w:r>
        <w:rPr>
          <w:rFonts w:hint="eastAsia"/>
          <w:color w:val="auto"/>
          <w:lang w:eastAsia="zh-CN"/>
        </w:rPr>
        <w:t>通江温氏畜牧有限公司龙凤场镇种猪养殖项目</w:t>
      </w:r>
      <w:r>
        <w:rPr>
          <w:color w:val="auto"/>
        </w:rPr>
        <w:t>环境影响报告书》的编制工作。</w:t>
      </w:r>
    </w:p>
    <w:p>
      <w:pPr>
        <w:ind w:firstLine="480" w:firstLineChars="200"/>
        <w:rPr>
          <w:rFonts w:ascii="Times New Roman" w:hAnsi="Times New Roman" w:cs="Times New Roman"/>
          <w:color w:val="auto"/>
        </w:rPr>
      </w:pPr>
      <w:r>
        <w:rPr>
          <w:rFonts w:ascii="Times New Roman" w:hAnsi="Times New Roman" w:cs="Times New Roman"/>
          <w:color w:val="auto"/>
          <w:sz w:val="24"/>
        </w:rPr>
        <w:t>在本项目环境影响报告书的编制过程中，得到了各级环保部门、相关行政管理部门以及项目业主的大力支持和协助。在此，一并致以衷心的感谢。</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eastAsia="zh-CN"/>
        </w:rPr>
      </w:pPr>
      <w:bookmarkStart w:id="9" w:name="_Toc15606"/>
      <w:r>
        <w:rPr>
          <w:rFonts w:hint="eastAsia" w:eastAsia="宋体" w:cs="Times New Roman"/>
          <w:color w:val="auto"/>
          <w:lang w:eastAsia="zh-CN"/>
        </w:rPr>
        <w:t>相关政策</w:t>
      </w:r>
      <w:r>
        <w:rPr>
          <w:rFonts w:hint="eastAsia" w:ascii="Times New Roman" w:hAnsi="Times New Roman" w:eastAsia="宋体" w:cs="Times New Roman"/>
          <w:color w:val="auto"/>
          <w:lang w:eastAsia="zh-CN"/>
        </w:rPr>
        <w:t>分析判定</w:t>
      </w:r>
      <w:bookmarkEnd w:id="9"/>
      <w:r>
        <w:rPr>
          <w:rFonts w:hint="eastAsia" w:eastAsia="宋体" w:cs="Times New Roman"/>
          <w:color w:val="auto"/>
          <w:lang w:eastAsia="zh-CN"/>
        </w:rPr>
        <w:t>情况</w:t>
      </w:r>
    </w:p>
    <w:p>
      <w:pPr>
        <w:snapToGrid w:val="0"/>
        <w:ind w:firstLine="480" w:firstLineChars="200"/>
        <w:rPr>
          <w:rFonts w:ascii="Times New Roman" w:hAnsi="Times New Roman" w:cs="Times New Roman"/>
          <w:color w:val="auto"/>
          <w:sz w:val="24"/>
        </w:rPr>
      </w:pPr>
      <w:r>
        <w:rPr>
          <w:rFonts w:ascii="Times New Roman" w:hAnsi="Times New Roman" w:cs="Times New Roman"/>
          <w:color w:val="auto"/>
          <w:sz w:val="24"/>
        </w:rPr>
        <w:t>根据国民经济行业分类和代码【GB/T4754-2017】，本项目代码为“</w:t>
      </w:r>
      <w:r>
        <w:rPr>
          <w:rFonts w:hint="eastAsia" w:ascii="Times New Roman" w:hAnsi="Times New Roman" w:cs="Times New Roman"/>
          <w:color w:val="auto"/>
          <w:sz w:val="24"/>
        </w:rPr>
        <w:t>031牲畜饲养</w:t>
      </w:r>
      <w:r>
        <w:rPr>
          <w:rFonts w:ascii="Times New Roman" w:hAnsi="Times New Roman" w:cs="Times New Roman"/>
          <w:color w:val="auto"/>
          <w:sz w:val="24"/>
        </w:rPr>
        <w:t>”。</w:t>
      </w:r>
    </w:p>
    <w:p>
      <w:pPr>
        <w:pStyle w:val="154"/>
        <w:ind w:firstLine="480"/>
        <w:rPr>
          <w:color w:val="auto"/>
        </w:rPr>
      </w:pPr>
      <w:r>
        <w:rPr>
          <w:rFonts w:hint="eastAsia"/>
          <w:color w:val="auto"/>
        </w:rPr>
        <w:t>根据国家发改委《产业结构调整指导目录（2019年本）》，本项目属第一类“鼓励类”第一条“农林业”第四小类“畜禽标准化规模养殖技术开发与应用”。</w:t>
      </w:r>
      <w:r>
        <w:rPr>
          <w:color w:val="auto"/>
        </w:rPr>
        <w:t>同时，</w:t>
      </w:r>
      <w:r>
        <w:rPr>
          <w:rFonts w:hint="eastAsia"/>
          <w:color w:val="auto"/>
        </w:rPr>
        <w:t>通江县发展和改革局</w:t>
      </w:r>
      <w:r>
        <w:rPr>
          <w:rFonts w:hint="eastAsia"/>
          <w:color w:val="auto"/>
          <w:lang w:eastAsia="zh-CN"/>
        </w:rPr>
        <w:t>以</w:t>
      </w:r>
      <w:r>
        <w:rPr>
          <w:rFonts w:hint="eastAsia"/>
          <w:color w:val="auto"/>
        </w:rPr>
        <w:t>川投资备【2020-511921-03-03-472110】FGQB-0100号</w:t>
      </w:r>
      <w:r>
        <w:rPr>
          <w:rFonts w:hint="eastAsia"/>
          <w:color w:val="auto"/>
          <w:lang w:eastAsia="zh-CN"/>
        </w:rPr>
        <w:t>文</w:t>
      </w:r>
      <w:r>
        <w:rPr>
          <w:color w:val="auto"/>
        </w:rPr>
        <w:t>对本项目进行了备案（见附件2）。</w:t>
      </w:r>
    </w:p>
    <w:p>
      <w:pPr>
        <w:pStyle w:val="154"/>
        <w:spacing w:line="360" w:lineRule="auto"/>
        <w:ind w:firstLine="480"/>
        <w:rPr>
          <w:rFonts w:hint="default" w:ascii="Times New Roman" w:hAnsi="Times New Roman" w:eastAsia="宋体" w:cs="Times New Roman"/>
          <w:bCs/>
          <w:color w:val="auto"/>
        </w:rPr>
      </w:pPr>
      <w:r>
        <w:rPr>
          <w:rFonts w:hint="default" w:ascii="Times New Roman" w:hAnsi="Times New Roman" w:eastAsia="宋体" w:cs="Times New Roman"/>
          <w:color w:val="auto"/>
        </w:rPr>
        <w:t>本项目符合《水污染防治行动计划》（简称“水十条”）、《土壤污染防治行动计划》（简称“土十条”）和《土壤污染防治行动计划四川省工作方案》</w:t>
      </w:r>
      <w:r>
        <w:rPr>
          <w:rFonts w:hint="default" w:ascii="Times New Roman" w:hAnsi="Times New Roman" w:eastAsia="宋体" w:cs="Times New Roman"/>
          <w:bCs/>
          <w:color w:val="auto"/>
        </w:rPr>
        <w:t>、</w:t>
      </w:r>
      <w:r>
        <w:rPr>
          <w:rFonts w:hint="default" w:ascii="Times New Roman" w:hAnsi="Times New Roman" w:eastAsia="宋体" w:cs="Times New Roman"/>
          <w:color w:val="auto"/>
        </w:rPr>
        <w:t>《畜禽规模养殖污染防治条例》、《国务院办公厅关于加快推进畜禽养殖废弃物资源化利用的意见》、《畜禽粪污资源化利用行动方案（2017—2020年）》、《全国生猪生产发展规划（2016-2020年）》、《</w:t>
      </w:r>
      <w:r>
        <w:rPr>
          <w:rFonts w:hint="default" w:ascii="Times New Roman" w:hAnsi="Times New Roman" w:eastAsia="宋体" w:cs="Times New Roman"/>
          <w:color w:val="auto"/>
          <w:spacing w:val="-7"/>
        </w:rPr>
        <w:t>四川省畜牧业发展“十三五”规划（2016-2020）</w:t>
      </w:r>
      <w:r>
        <w:rPr>
          <w:rFonts w:hint="default" w:ascii="Times New Roman" w:hAnsi="Times New Roman" w:eastAsia="宋体" w:cs="Times New Roman"/>
          <w:color w:val="auto"/>
        </w:rPr>
        <w:t>》、《四川省“十三五”生态保护与建设规划》</w:t>
      </w:r>
      <w:r>
        <w:rPr>
          <w:rFonts w:hint="eastAsia" w:cs="Times New Roman"/>
          <w:color w:val="auto"/>
          <w:lang w:eastAsia="zh-CN"/>
        </w:rPr>
        <w:t>、</w:t>
      </w:r>
      <w:r>
        <w:rPr>
          <w:rFonts w:hint="eastAsia"/>
          <w:bCs/>
          <w:color w:val="auto"/>
        </w:rPr>
        <w:t>、《</w:t>
      </w:r>
      <w:r>
        <w:rPr>
          <w:rFonts w:hint="eastAsia"/>
          <w:bCs/>
          <w:color w:val="auto"/>
          <w:lang w:eastAsia="zh-CN"/>
        </w:rPr>
        <w:t>通江县</w:t>
      </w:r>
      <w:r>
        <w:rPr>
          <w:rFonts w:hint="eastAsia"/>
          <w:bCs/>
          <w:color w:val="auto"/>
        </w:rPr>
        <w:t>土地利用总体规划》（2006-2020年）》</w:t>
      </w:r>
      <w:r>
        <w:rPr>
          <w:rFonts w:hint="default" w:ascii="Times New Roman" w:hAnsi="Times New Roman" w:eastAsia="宋体" w:cs="Times New Roman"/>
          <w:color w:val="auto"/>
        </w:rPr>
        <w:t>等</w:t>
      </w:r>
      <w:r>
        <w:rPr>
          <w:rFonts w:hint="default" w:ascii="Times New Roman" w:hAnsi="Times New Roman" w:eastAsia="宋体" w:cs="Times New Roman"/>
          <w:bCs/>
          <w:color w:val="auto"/>
        </w:rPr>
        <w:t>相关要求。本项目符合“三线一单”要求，不在生态红线</w:t>
      </w:r>
      <w:r>
        <w:rPr>
          <w:rFonts w:hint="eastAsia" w:cs="Times New Roman"/>
          <w:bCs/>
          <w:color w:val="auto"/>
          <w:lang w:eastAsia="zh-CN"/>
        </w:rPr>
        <w:t>内</w:t>
      </w:r>
      <w:r>
        <w:rPr>
          <w:rFonts w:hint="default" w:ascii="Times New Roman" w:hAnsi="Times New Roman" w:eastAsia="宋体" w:cs="Times New Roman"/>
          <w:bCs/>
          <w:color w:val="auto"/>
        </w:rPr>
        <w:t>，未突破环境质量底线，未突破资源利用上线，不在环境负面清单内。</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eastAsia="zh-CN"/>
        </w:rPr>
      </w:pPr>
      <w:bookmarkStart w:id="10" w:name="_Toc16943"/>
      <w:r>
        <w:rPr>
          <w:rFonts w:hint="eastAsia" w:ascii="Times New Roman" w:hAnsi="Times New Roman" w:eastAsia="宋体" w:cs="Times New Roman"/>
          <w:color w:val="auto"/>
          <w:lang w:eastAsia="zh-CN"/>
        </w:rPr>
        <w:t>关注的主要环境问题及环境影响</w:t>
      </w:r>
      <w:bookmarkEnd w:id="10"/>
    </w:p>
    <w:p>
      <w:pPr>
        <w:pStyle w:val="154"/>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根据本项目的特点和环境条件，本次评价关注的主要环境问题为项目运营后废水、废气等污染物排放以及固</w:t>
      </w:r>
      <w:r>
        <w:rPr>
          <w:rFonts w:hint="eastAsia" w:cs="Times New Roman"/>
          <w:color w:val="auto"/>
          <w:highlight w:val="none"/>
          <w:lang w:eastAsia="zh-CN"/>
        </w:rPr>
        <w:t>体</w:t>
      </w:r>
      <w:r>
        <w:rPr>
          <w:rFonts w:hint="default" w:ascii="Times New Roman" w:hAnsi="Times New Roman" w:eastAsia="宋体" w:cs="Times New Roman"/>
          <w:color w:val="auto"/>
          <w:highlight w:val="none"/>
        </w:rPr>
        <w:t>废物处置对区域环境及敏感点的影响程度，分析项目选址是否合理，同时论证项目拟采取的环保设施和污染防治措施的可行性和可靠性。</w:t>
      </w:r>
    </w:p>
    <w:p>
      <w:pPr>
        <w:pStyle w:val="154"/>
        <w:ind w:firstLine="480"/>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废水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主要关注运营期养殖废水和生活污水，废水污染因子为COD、BOD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、NH3-N、总磷、SS和粪大肠菌群。重点分析废</w:t>
      </w:r>
      <w:r>
        <w:rPr>
          <w:rFonts w:hint="default" w:ascii="Times New Roman" w:hAnsi="Times New Roman" w:eastAsia="宋体" w:cs="Times New Roman"/>
          <w:color w:val="auto"/>
        </w:rPr>
        <w:t>水水量、水质及处理工艺的可行性；废水不外排的可行性。</w:t>
      </w:r>
    </w:p>
    <w:p>
      <w:pPr>
        <w:pStyle w:val="15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废气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主要关注运营期养殖区、污水处理站、</w:t>
      </w:r>
      <w:r>
        <w:rPr>
          <w:rFonts w:hint="eastAsia" w:ascii="Times New Roman" w:hAnsi="Times New Roman" w:eastAsia="宋体" w:cs="Times New Roman"/>
          <w:color w:val="auto"/>
          <w:lang w:eastAsia="zh-CN"/>
        </w:rPr>
        <w:t>堆肥车间</w:t>
      </w:r>
      <w:r>
        <w:rPr>
          <w:rFonts w:hint="default" w:ascii="Times New Roman" w:hAnsi="Times New Roman" w:eastAsia="宋体" w:cs="Times New Roman"/>
          <w:color w:val="auto"/>
        </w:rPr>
        <w:t>恶臭。重点分析废气源强、治理措施的可行性及对周边大气环境的影响。</w:t>
      </w:r>
    </w:p>
    <w:p>
      <w:pPr>
        <w:pStyle w:val="15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噪</w:t>
      </w:r>
      <w:r>
        <w:rPr>
          <w:rFonts w:hint="eastAsia" w:ascii="Times New Roman" w:hAnsi="Times New Roman" w:eastAsia="宋体" w:cs="Times New Roman"/>
          <w:color w:val="auto"/>
          <w:lang w:eastAsia="zh-CN"/>
        </w:rPr>
        <w:t>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主要关注运营期场界噪声是否可以达到相应的标准要求。重点分析噪声控制措施及场界达标的可行性。</w:t>
      </w:r>
    </w:p>
    <w:p>
      <w:pPr>
        <w:pStyle w:val="15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主要关注猪粪、污水处理设施污泥及沼渣、病死猪及胎盘、畜禽医疗废物、生活垃圾等的处置及去向。重点分析固废的产生情况、暂存设施设置的规范要求及处置措施是否符合环保要求。</w:t>
      </w:r>
    </w:p>
    <w:p>
      <w:pPr>
        <w:pStyle w:val="154"/>
        <w:ind w:firstLine="480"/>
        <w:rPr>
          <w:color w:val="auto"/>
        </w:rPr>
      </w:pPr>
      <w:bookmarkStart w:id="11" w:name="_Toc10168"/>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环境影响评价的主要结论</w:t>
      </w:r>
      <w:bookmarkEnd w:id="11"/>
    </w:p>
    <w:p>
      <w:pPr>
        <w:pStyle w:val="154"/>
        <w:ind w:firstLine="480"/>
        <w:jc w:val="left"/>
        <w:rPr>
          <w:color w:val="auto"/>
        </w:rPr>
      </w:pPr>
      <w:r>
        <w:rPr>
          <w:color w:val="auto"/>
        </w:rPr>
        <w:t>本项目符合国家产业政策，选址可行。对各污染源采取的环保措施合理有效，技术可行，污染物能实现达标排放，满足总量控制要求，对评价区域环境质量的影响较小，环境风险水平可接受。因此，本评价认为，在该项目建设过程中有效落实各项环境保护设施及其它措施，并充分考虑环评提出的建议后，从环境保护角度分析，该项目的建设可行。</w:t>
      </w:r>
    </w:p>
    <w:p>
      <w:pPr>
        <w:rPr>
          <w:rFonts w:ascii="Times New Roman" w:hAnsi="Times New Roman" w:cs="Times New Roman"/>
          <w:color w:val="auto"/>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5"/>
        <w:rPr>
          <w:rFonts w:cs="Times New Roman"/>
          <w:color w:val="auto"/>
        </w:rPr>
      </w:pPr>
      <w:bookmarkStart w:id="12" w:name="_Toc22511"/>
      <w:r>
        <w:rPr>
          <w:rFonts w:cs="Times New Roman"/>
          <w:color w:val="auto"/>
        </w:rPr>
        <w:t>总则</w:t>
      </w:r>
      <w:bookmarkEnd w:id="12"/>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eastAsia="zh-CN"/>
        </w:rPr>
      </w:pPr>
      <w:bookmarkStart w:id="13" w:name="_Toc9097"/>
      <w:r>
        <w:rPr>
          <w:rFonts w:hint="eastAsia" w:ascii="Times New Roman" w:hAnsi="Times New Roman" w:eastAsia="宋体" w:cs="Times New Roman"/>
          <w:color w:val="auto"/>
          <w:lang w:eastAsia="zh-CN"/>
        </w:rPr>
        <w:t>评价目的及原则</w:t>
      </w:r>
      <w:bookmarkEnd w:id="13"/>
    </w:p>
    <w:p>
      <w:pPr>
        <w:pStyle w:val="7"/>
        <w:spacing w:before="0" w:after="0" w:line="360" w:lineRule="auto"/>
        <w:ind w:left="0" w:firstLine="0"/>
        <w:rPr>
          <w:rFonts w:hint="eastAsia" w:ascii="宋体" w:hAnsi="宋体" w:eastAsia="宋体" w:cs="宋体"/>
          <w:color w:val="auto"/>
        </w:rPr>
      </w:pPr>
      <w:bookmarkStart w:id="14" w:name="_Toc28649"/>
      <w:r>
        <w:rPr>
          <w:rFonts w:hint="eastAsia" w:ascii="宋体" w:hAnsi="宋体" w:eastAsia="宋体" w:cs="宋体"/>
          <w:color w:val="auto"/>
          <w:lang w:eastAsia="zh-CN"/>
        </w:rPr>
        <w:t>评价目的</w:t>
      </w:r>
      <w:bookmarkEnd w:id="14"/>
    </w:p>
    <w:p>
      <w:pPr>
        <w:pStyle w:val="154"/>
        <w:ind w:firstLine="480"/>
        <w:rPr>
          <w:rFonts w:hint="eastAsia"/>
          <w:color w:val="auto"/>
        </w:rPr>
      </w:pPr>
      <w:r>
        <w:rPr>
          <w:rFonts w:hint="eastAsia"/>
          <w:color w:val="auto"/>
        </w:rPr>
        <w:t>环境影响评价作为建设项目管理的一项制度，其基本目的是贯彻“保护环境”的基本国策，认真执行“以防为主，防治结合，综合利用”的环境管理方针。通过评价，查清建设项目所在区域的环境现状，根据该项目的工程特征和污染特征，分析项目建设对当地环境可能造成的不良影响，弄清影响程度和范围，从而制定避免污染、减少污染的防治对策，为项目实现合理布局、最佳设计提供科学依据。</w:t>
      </w:r>
    </w:p>
    <w:p>
      <w:pPr>
        <w:pStyle w:val="154"/>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本项目评价具体目的为：</w:t>
      </w:r>
    </w:p>
    <w:p>
      <w:pPr>
        <w:pStyle w:val="154"/>
        <w:numPr>
          <w:ilvl w:val="0"/>
          <w:numId w:val="3"/>
        </w:num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通过调查与监测，查清建设项目周围的自然环境和环境质量现状。</w:t>
      </w:r>
    </w:p>
    <w:p>
      <w:pPr>
        <w:pStyle w:val="154"/>
        <w:numPr>
          <w:ilvl w:val="0"/>
          <w:numId w:val="3"/>
        </w:numPr>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通过工程分析和类比调查，查清建设项目的主要污染源、污染物及排放量；</w:t>
      </w:r>
    </w:p>
    <w:p>
      <w:pPr>
        <w:pStyle w:val="154"/>
        <w:rPr>
          <w:rFonts w:hint="eastAsia" w:ascii="Times New Roman" w:hAnsi="Times New Roman" w:eastAsia="宋体" w:cs="Times New Roman"/>
          <w:color w:val="auto"/>
        </w:rPr>
      </w:pPr>
      <w:r>
        <w:rPr>
          <w:rFonts w:hint="eastAsia" w:ascii="Times New Roman" w:hAnsi="Times New Roman" w:eastAsia="宋体" w:cs="Times New Roman"/>
          <w:color w:val="auto"/>
        </w:rPr>
        <w:t>（3）通过分析和计算，预测主要污染物排放对周围环境的影响程度和范围，判断其是否满足排放标准、环境质量标准和总量控制要求。</w:t>
      </w:r>
    </w:p>
    <w:p>
      <w:pPr>
        <w:pStyle w:val="154"/>
        <w:ind w:firstLine="480"/>
        <w:rPr>
          <w:rFonts w:hint="eastAsia" w:ascii="Times New Roman" w:hAnsi="Times New Roman" w:eastAsia="宋体" w:cs="Times New Roman"/>
          <w:color w:val="auto"/>
        </w:rPr>
      </w:pPr>
      <w:r>
        <w:rPr>
          <w:rFonts w:hint="eastAsia" w:ascii="Times New Roman" w:hAnsi="Times New Roman" w:eastAsia="宋体" w:cs="Times New Roman"/>
          <w:color w:val="auto"/>
        </w:rPr>
        <w:t>（4）从技术、经济角度分析拟采取的环保措施的可行性和可靠性，必要时提出替代方案，为主管部门决策和加强环境管理提供依据。</w:t>
      </w:r>
    </w:p>
    <w:p>
      <w:pPr>
        <w:pStyle w:val="154"/>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（5）从环保法规、产业政策、环境特点、污染防治等方面综合分析，对厂址选择的合理性和建设项目的环境可行性给出明确结论</w:t>
      </w:r>
      <w:r>
        <w:rPr>
          <w:rFonts w:hint="eastAsia" w:ascii="Times New Roman" w:hAnsi="Times New Roman" w:eastAsia="宋体" w:cs="Times New Roman"/>
          <w:color w:val="auto"/>
          <w:lang w:eastAsia="zh-CN"/>
        </w:rPr>
        <w:t>。</w:t>
      </w:r>
    </w:p>
    <w:p>
      <w:pPr>
        <w:pStyle w:val="7"/>
        <w:spacing w:before="0" w:after="0" w:line="360" w:lineRule="auto"/>
        <w:ind w:left="0" w:firstLine="0"/>
        <w:rPr>
          <w:rFonts w:hint="eastAsia" w:ascii="宋体" w:hAnsi="宋体" w:eastAsia="宋体" w:cs="宋体"/>
          <w:color w:val="auto"/>
        </w:rPr>
      </w:pPr>
      <w:bookmarkStart w:id="15" w:name="_Toc29036"/>
      <w:r>
        <w:rPr>
          <w:rFonts w:hint="eastAsia" w:ascii="宋体" w:hAnsi="宋体" w:eastAsia="宋体" w:cs="宋体"/>
          <w:color w:val="auto"/>
          <w:lang w:eastAsia="zh-CN"/>
        </w:rPr>
        <w:t>评价原则</w:t>
      </w:r>
      <w:bookmarkEnd w:id="15"/>
    </w:p>
    <w:p>
      <w:pPr>
        <w:keepNext w:val="0"/>
        <w:keepLines w:val="0"/>
        <w:widowControl w:val="0"/>
        <w:suppressLineNumbers w:val="0"/>
        <w:spacing w:before="0" w:beforeAutospacing="0" w:after="0" w:afterAutospacing="0" w:line="440" w:lineRule="exact"/>
        <w:ind w:left="0" w:right="0" w:firstLine="480" w:firstLineChars="200"/>
        <w:jc w:val="both"/>
        <w:rPr>
          <w:color w:val="auto"/>
          <w:lang w:val="en-US"/>
        </w:rPr>
      </w:pPr>
      <w:r>
        <w:rPr>
          <w:rFonts w:hint="eastAsia" w:ascii="Times New Roman" w:hAnsi="Times New Roman" w:eastAsia="宋体" w:cs="宋体"/>
          <w:color w:val="auto"/>
          <w:kern w:val="2"/>
          <w:sz w:val="24"/>
          <w:szCs w:val="24"/>
          <w:lang w:val="en-US" w:eastAsia="zh-CN" w:bidi="ar"/>
        </w:rPr>
        <w:t>突出环境影响评价的源头预防作用，坚持保护和改善环境质量。</w:t>
      </w:r>
    </w:p>
    <w:p>
      <w:pPr>
        <w:keepNext w:val="0"/>
        <w:keepLines w:val="0"/>
        <w:widowControl w:val="0"/>
        <w:suppressLineNumbers w:val="0"/>
        <w:spacing w:before="0" w:beforeAutospacing="0" w:after="0" w:afterAutospacing="0" w:line="440" w:lineRule="exact"/>
        <w:ind w:left="0" w:right="0" w:firstLine="480" w:firstLineChars="200"/>
        <w:jc w:val="both"/>
        <w:rPr>
          <w:color w:val="auto"/>
          <w:lang w:val="en-US"/>
        </w:rPr>
      </w:pP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1</w:t>
      </w:r>
      <w:r>
        <w:rPr>
          <w:rFonts w:hint="eastAsia" w:ascii="Times New Roman" w:hAnsi="Times New Roman" w:eastAsia="宋体" w:cs="宋体"/>
          <w:color w:val="auto"/>
          <w:kern w:val="2"/>
          <w:sz w:val="24"/>
          <w:szCs w:val="24"/>
          <w:lang w:val="en-US" w:eastAsia="zh-CN" w:bidi="ar"/>
        </w:rPr>
        <w:t>）依法评价</w:t>
      </w:r>
    </w:p>
    <w:p>
      <w:pPr>
        <w:keepNext w:val="0"/>
        <w:keepLines w:val="0"/>
        <w:widowControl w:val="0"/>
        <w:suppressLineNumbers w:val="0"/>
        <w:spacing w:before="0" w:beforeAutospacing="0" w:after="0" w:afterAutospacing="0" w:line="440" w:lineRule="exact"/>
        <w:ind w:left="0" w:right="0" w:firstLine="480" w:firstLineChars="200"/>
        <w:jc w:val="both"/>
        <w:rPr>
          <w:color w:val="auto"/>
          <w:lang w:val="en-US"/>
        </w:rPr>
      </w:pPr>
      <w:r>
        <w:rPr>
          <w:rFonts w:hint="eastAsia" w:ascii="Times New Roman" w:hAnsi="Times New Roman" w:eastAsia="宋体" w:cs="宋体"/>
          <w:color w:val="auto"/>
          <w:kern w:val="2"/>
          <w:sz w:val="24"/>
          <w:szCs w:val="24"/>
          <w:lang w:val="en-US" w:eastAsia="zh-CN" w:bidi="ar"/>
        </w:rPr>
        <w:t>贯彻执行我国环境保护相关法律法规、标准、政策和规划等，优化项目建设，服务环境管理。</w:t>
      </w:r>
    </w:p>
    <w:p>
      <w:pPr>
        <w:keepNext w:val="0"/>
        <w:keepLines w:val="0"/>
        <w:widowControl w:val="0"/>
        <w:suppressLineNumbers w:val="0"/>
        <w:spacing w:before="0" w:beforeAutospacing="0" w:after="0" w:afterAutospacing="0" w:line="440" w:lineRule="exact"/>
        <w:ind w:left="0" w:right="0" w:firstLine="480" w:firstLineChars="200"/>
        <w:jc w:val="both"/>
        <w:rPr>
          <w:color w:val="auto"/>
          <w:lang w:val="en-US"/>
        </w:rPr>
      </w:pP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2</w:t>
      </w:r>
      <w:r>
        <w:rPr>
          <w:rFonts w:hint="eastAsia" w:ascii="Times New Roman" w:hAnsi="Times New Roman" w:eastAsia="宋体" w:cs="宋体"/>
          <w:color w:val="auto"/>
          <w:kern w:val="2"/>
          <w:sz w:val="24"/>
          <w:szCs w:val="24"/>
          <w:lang w:val="en-US" w:eastAsia="zh-CN" w:bidi="ar"/>
        </w:rPr>
        <w:t>）科学评价</w:t>
      </w:r>
    </w:p>
    <w:p>
      <w:pPr>
        <w:keepNext w:val="0"/>
        <w:keepLines w:val="0"/>
        <w:widowControl w:val="0"/>
        <w:suppressLineNumbers w:val="0"/>
        <w:spacing w:before="0" w:beforeAutospacing="0" w:after="0" w:afterAutospacing="0" w:line="440" w:lineRule="exact"/>
        <w:ind w:left="0" w:right="0" w:firstLine="480" w:firstLineChars="200"/>
        <w:jc w:val="both"/>
        <w:rPr>
          <w:color w:val="auto"/>
          <w:lang w:val="en-US"/>
        </w:rPr>
      </w:pPr>
      <w:r>
        <w:rPr>
          <w:rFonts w:hint="eastAsia" w:ascii="Times New Roman" w:hAnsi="Times New Roman" w:eastAsia="宋体" w:cs="宋体"/>
          <w:color w:val="auto"/>
          <w:kern w:val="2"/>
          <w:sz w:val="24"/>
          <w:szCs w:val="24"/>
          <w:lang w:val="en-US" w:eastAsia="zh-CN" w:bidi="ar"/>
        </w:rPr>
        <w:t>规范环境影响评价方法，科学分析项目建设对环境质量的影响。</w:t>
      </w:r>
    </w:p>
    <w:p>
      <w:pPr>
        <w:keepNext w:val="0"/>
        <w:keepLines w:val="0"/>
        <w:widowControl w:val="0"/>
        <w:suppressLineNumbers w:val="0"/>
        <w:spacing w:before="0" w:beforeAutospacing="0" w:after="0" w:afterAutospacing="0" w:line="440" w:lineRule="exact"/>
        <w:ind w:left="0" w:right="0" w:firstLine="480" w:firstLineChars="200"/>
        <w:jc w:val="both"/>
        <w:rPr>
          <w:color w:val="auto"/>
          <w:lang w:val="en-US"/>
        </w:rPr>
      </w:pP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3</w:t>
      </w:r>
      <w:r>
        <w:rPr>
          <w:rFonts w:hint="eastAsia" w:ascii="Times New Roman" w:hAnsi="Times New Roman" w:eastAsia="宋体" w:cs="宋体"/>
          <w:color w:val="auto"/>
          <w:kern w:val="2"/>
          <w:sz w:val="24"/>
          <w:szCs w:val="24"/>
          <w:lang w:val="en-US" w:eastAsia="zh-CN" w:bidi="ar"/>
        </w:rPr>
        <w:t>）突出重点</w:t>
      </w:r>
    </w:p>
    <w:p>
      <w:pPr>
        <w:keepNext w:val="0"/>
        <w:keepLines w:val="0"/>
        <w:widowControl w:val="0"/>
        <w:suppressLineNumbers w:val="0"/>
        <w:spacing w:before="0" w:beforeAutospacing="0" w:after="0" w:afterAutospacing="0" w:line="440" w:lineRule="exact"/>
        <w:ind w:left="0" w:right="0" w:firstLine="480" w:firstLineChars="200"/>
        <w:jc w:val="both"/>
        <w:rPr>
          <w:color w:val="auto"/>
          <w:lang w:val="en-US"/>
        </w:rPr>
      </w:pPr>
      <w:r>
        <w:rPr>
          <w:rFonts w:hint="eastAsia" w:ascii="Times New Roman" w:hAnsi="Times New Roman" w:eastAsia="宋体" w:cs="宋体"/>
          <w:color w:val="auto"/>
          <w:kern w:val="2"/>
          <w:sz w:val="24"/>
          <w:szCs w:val="24"/>
          <w:lang w:val="en-US" w:eastAsia="zh-CN" w:bidi="ar"/>
        </w:rPr>
        <w:t>根据项目工程内容及其特点，明确与环境要素间的作用效应关系，根据环境影响评价结论和审查意见，充分利用符合时效的数据资料及成果，对建设项目主要环境影响予以重点分析和评价。</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eastAsia="zh-CN"/>
        </w:rPr>
      </w:pPr>
      <w:bookmarkStart w:id="16" w:name="_Toc7277"/>
      <w:r>
        <w:rPr>
          <w:rFonts w:hint="eastAsia" w:ascii="Times New Roman" w:hAnsi="Times New Roman" w:eastAsia="宋体" w:cs="Times New Roman"/>
          <w:color w:val="auto"/>
          <w:lang w:eastAsia="zh-CN"/>
        </w:rPr>
        <w:t>编制依据</w:t>
      </w:r>
      <w:bookmarkEnd w:id="16"/>
    </w:p>
    <w:p>
      <w:pPr>
        <w:pStyle w:val="7"/>
        <w:spacing w:before="0" w:after="0" w:line="360" w:lineRule="auto"/>
        <w:ind w:left="0" w:firstLine="0"/>
        <w:rPr>
          <w:rFonts w:hint="eastAsia" w:ascii="宋体" w:hAnsi="宋体" w:eastAsia="宋体" w:cs="宋体"/>
          <w:color w:val="auto"/>
        </w:rPr>
      </w:pPr>
      <w:bookmarkStart w:id="17" w:name="_Toc376177509"/>
      <w:bookmarkStart w:id="18" w:name="_Toc8831"/>
      <w:bookmarkStart w:id="19" w:name="_Toc349939593"/>
      <w:r>
        <w:rPr>
          <w:rFonts w:hint="eastAsia" w:ascii="宋体" w:hAnsi="宋体" w:eastAsia="宋体" w:cs="宋体"/>
          <w:color w:val="auto"/>
        </w:rPr>
        <w:t>环境保护法律</w:t>
      </w:r>
      <w:bookmarkEnd w:id="17"/>
      <w:bookmarkEnd w:id="18"/>
      <w:bookmarkEnd w:id="19"/>
    </w:p>
    <w:p>
      <w:pPr>
        <w:pStyle w:val="154"/>
        <w:ind w:firstLine="480"/>
        <w:rPr>
          <w:color w:val="auto"/>
        </w:rPr>
      </w:pPr>
      <w:r>
        <w:rPr>
          <w:color w:val="auto"/>
        </w:rPr>
        <w:t>（1）《中华人民共和国环境保护法》（2014年修订，2015年1月1日起施行）；</w:t>
      </w:r>
    </w:p>
    <w:p>
      <w:pPr>
        <w:pStyle w:val="154"/>
        <w:ind w:firstLine="480"/>
        <w:rPr>
          <w:color w:val="auto"/>
        </w:rPr>
      </w:pPr>
      <w:r>
        <w:rPr>
          <w:color w:val="auto"/>
        </w:rPr>
        <w:t>（2）《中华人民共和国环境影响评价法》（201</w:t>
      </w:r>
      <w:r>
        <w:rPr>
          <w:rFonts w:hint="eastAsia"/>
          <w:color w:val="auto"/>
        </w:rPr>
        <w:t>8</w:t>
      </w:r>
      <w:r>
        <w:rPr>
          <w:color w:val="auto"/>
        </w:rPr>
        <w:t>年修订，201</w:t>
      </w:r>
      <w:r>
        <w:rPr>
          <w:rFonts w:hint="eastAsia"/>
          <w:color w:val="auto"/>
        </w:rPr>
        <w:t>8</w:t>
      </w:r>
      <w:r>
        <w:rPr>
          <w:color w:val="auto"/>
        </w:rPr>
        <w:t>年</w:t>
      </w:r>
      <w:r>
        <w:rPr>
          <w:rFonts w:hint="eastAsia"/>
          <w:color w:val="auto"/>
        </w:rPr>
        <w:t>12</w:t>
      </w:r>
      <w:r>
        <w:rPr>
          <w:color w:val="auto"/>
        </w:rPr>
        <w:t>月</w:t>
      </w:r>
      <w:r>
        <w:rPr>
          <w:rFonts w:hint="eastAsia"/>
          <w:color w:val="auto"/>
        </w:rPr>
        <w:t>29</w:t>
      </w:r>
      <w:r>
        <w:rPr>
          <w:color w:val="auto"/>
        </w:rPr>
        <w:t>日起施行）；</w:t>
      </w:r>
    </w:p>
    <w:p>
      <w:pPr>
        <w:pStyle w:val="154"/>
        <w:ind w:firstLine="480"/>
        <w:rPr>
          <w:color w:val="auto"/>
        </w:rPr>
      </w:pPr>
      <w:r>
        <w:rPr>
          <w:color w:val="auto"/>
        </w:rPr>
        <w:t>（3）《中华人民共和国大气污染防治法》（201</w:t>
      </w:r>
      <w:r>
        <w:rPr>
          <w:rFonts w:hint="eastAsia"/>
          <w:color w:val="auto"/>
          <w:lang w:val="en-US" w:eastAsia="zh-CN"/>
        </w:rPr>
        <w:t>8</w:t>
      </w:r>
      <w:r>
        <w:rPr>
          <w:color w:val="auto"/>
        </w:rPr>
        <w:t>年</w:t>
      </w:r>
      <w:r>
        <w:rPr>
          <w:rFonts w:hint="eastAsia"/>
          <w:color w:val="auto"/>
          <w:lang w:val="en-US" w:eastAsia="zh-CN"/>
        </w:rPr>
        <w:t>10月26日修订并</w:t>
      </w:r>
      <w:r>
        <w:rPr>
          <w:color w:val="auto"/>
        </w:rPr>
        <w:t>施行）；</w:t>
      </w:r>
    </w:p>
    <w:p>
      <w:pPr>
        <w:pStyle w:val="154"/>
        <w:ind w:firstLine="480"/>
        <w:rPr>
          <w:color w:val="auto"/>
        </w:rPr>
      </w:pPr>
      <w:r>
        <w:rPr>
          <w:color w:val="auto"/>
        </w:rPr>
        <w:t>（4）《中华人民共和国水污染防治法》（201</w:t>
      </w:r>
      <w:r>
        <w:rPr>
          <w:rFonts w:hint="eastAsia"/>
          <w:color w:val="auto"/>
        </w:rPr>
        <w:t>7</w:t>
      </w:r>
      <w:r>
        <w:rPr>
          <w:color w:val="auto"/>
        </w:rPr>
        <w:t>年修订，201</w:t>
      </w:r>
      <w:r>
        <w:rPr>
          <w:rFonts w:hint="eastAsia"/>
          <w:color w:val="auto"/>
        </w:rPr>
        <w:t>8</w:t>
      </w:r>
      <w:r>
        <w:rPr>
          <w:color w:val="auto"/>
        </w:rPr>
        <w:t>年1月1日起施行）；</w:t>
      </w:r>
    </w:p>
    <w:p>
      <w:pPr>
        <w:pStyle w:val="154"/>
        <w:ind w:firstLine="480"/>
        <w:rPr>
          <w:color w:val="auto"/>
        </w:rPr>
      </w:pPr>
      <w:r>
        <w:rPr>
          <w:color w:val="auto"/>
        </w:rPr>
        <w:t>（5）《中华人民共和国环境噪声污染防治法》（201</w:t>
      </w:r>
      <w:r>
        <w:rPr>
          <w:rFonts w:hint="eastAsia"/>
          <w:color w:val="auto"/>
        </w:rPr>
        <w:t>8</w:t>
      </w:r>
      <w:r>
        <w:rPr>
          <w:color w:val="auto"/>
        </w:rPr>
        <w:t>年</w:t>
      </w:r>
      <w:r>
        <w:rPr>
          <w:rFonts w:hint="eastAsia"/>
          <w:color w:val="auto"/>
        </w:rPr>
        <w:t>12月29日修订并施行</w:t>
      </w:r>
      <w:r>
        <w:rPr>
          <w:color w:val="auto"/>
        </w:rPr>
        <w:t>）；</w:t>
      </w:r>
    </w:p>
    <w:p>
      <w:pPr>
        <w:pStyle w:val="154"/>
        <w:ind w:firstLine="480"/>
        <w:rPr>
          <w:color w:val="auto"/>
        </w:rPr>
      </w:pPr>
      <w:r>
        <w:rPr>
          <w:color w:val="auto"/>
        </w:rPr>
        <w:t>（6）《中华人民共和国固体废物污染环境防治法》（20</w:t>
      </w:r>
      <w:r>
        <w:rPr>
          <w:rFonts w:hint="eastAsia"/>
          <w:color w:val="auto"/>
          <w:lang w:val="en-US" w:eastAsia="zh-CN"/>
        </w:rPr>
        <w:t>20</w:t>
      </w:r>
      <w:r>
        <w:rPr>
          <w:color w:val="auto"/>
        </w:rPr>
        <w:t>年修订）；</w:t>
      </w:r>
    </w:p>
    <w:p>
      <w:pPr>
        <w:pStyle w:val="154"/>
        <w:ind w:firstLine="480"/>
        <w:rPr>
          <w:color w:val="auto"/>
        </w:rPr>
      </w:pPr>
      <w:r>
        <w:rPr>
          <w:color w:val="auto"/>
        </w:rPr>
        <w:t>（7）《中华人民共和国清洁生产促进法》（2012年修订）；</w:t>
      </w:r>
    </w:p>
    <w:p>
      <w:pPr>
        <w:pStyle w:val="154"/>
        <w:ind w:firstLine="480"/>
        <w:rPr>
          <w:color w:val="auto"/>
        </w:rPr>
      </w:pPr>
      <w:r>
        <w:rPr>
          <w:color w:val="auto"/>
        </w:rPr>
        <w:t>（8）《</w:t>
      </w:r>
      <w:r>
        <w:rPr>
          <w:rFonts w:hint="eastAsia"/>
          <w:color w:val="auto"/>
        </w:rPr>
        <w:t>中华人民共和国畜牧法</w:t>
      </w:r>
      <w:r>
        <w:rPr>
          <w:color w:val="auto"/>
        </w:rPr>
        <w:t>》（201</w:t>
      </w:r>
      <w:r>
        <w:rPr>
          <w:rFonts w:hint="eastAsia"/>
          <w:color w:val="auto"/>
        </w:rPr>
        <w:t>5</w:t>
      </w:r>
      <w:r>
        <w:rPr>
          <w:color w:val="auto"/>
        </w:rPr>
        <w:t>年修订）</w:t>
      </w:r>
      <w:r>
        <w:rPr>
          <w:rFonts w:hint="eastAsia"/>
          <w:color w:val="auto"/>
        </w:rPr>
        <w:t>；</w:t>
      </w:r>
    </w:p>
    <w:p>
      <w:pPr>
        <w:pStyle w:val="154"/>
        <w:ind w:firstLine="480"/>
        <w:rPr>
          <w:color w:val="auto"/>
        </w:rPr>
      </w:pPr>
      <w:r>
        <w:rPr>
          <w:rFonts w:hint="eastAsia"/>
          <w:color w:val="auto"/>
        </w:rPr>
        <w:t>（9）</w:t>
      </w:r>
      <w:r>
        <w:rPr>
          <w:color w:val="auto"/>
        </w:rPr>
        <w:t>《中华人民共和国动物防疫法》</w:t>
      </w:r>
      <w:r>
        <w:rPr>
          <w:rFonts w:hint="eastAsia"/>
          <w:color w:val="auto"/>
        </w:rPr>
        <w:t>（</w:t>
      </w:r>
      <w:r>
        <w:rPr>
          <w:color w:val="auto"/>
        </w:rPr>
        <w:t>201</w:t>
      </w:r>
      <w:r>
        <w:rPr>
          <w:rFonts w:hint="eastAsia"/>
          <w:color w:val="auto"/>
        </w:rPr>
        <w:t>5</w:t>
      </w:r>
      <w:r>
        <w:rPr>
          <w:color w:val="auto"/>
        </w:rPr>
        <w:t>年修订</w:t>
      </w:r>
      <w:r>
        <w:rPr>
          <w:rFonts w:hint="eastAsia"/>
          <w:color w:val="auto"/>
        </w:rPr>
        <w:t>）；</w:t>
      </w:r>
    </w:p>
    <w:p>
      <w:pPr>
        <w:pStyle w:val="154"/>
        <w:ind w:firstLine="480"/>
        <w:rPr>
          <w:color w:val="auto"/>
        </w:rPr>
      </w:pPr>
      <w:r>
        <w:rPr>
          <w:rFonts w:hint="eastAsia"/>
          <w:color w:val="auto"/>
        </w:rPr>
        <w:t>（10）《中华人民共和国土地管理法》（</w:t>
      </w:r>
      <w:r>
        <w:rPr>
          <w:color w:val="auto"/>
        </w:rPr>
        <w:t>20</w:t>
      </w:r>
      <w:r>
        <w:rPr>
          <w:rFonts w:hint="eastAsia"/>
          <w:color w:val="auto"/>
        </w:rPr>
        <w:t>04</w:t>
      </w:r>
      <w:r>
        <w:rPr>
          <w:color w:val="auto"/>
        </w:rPr>
        <w:t>年修订</w:t>
      </w:r>
      <w:r>
        <w:rPr>
          <w:rFonts w:hint="eastAsia"/>
          <w:color w:val="auto"/>
        </w:rPr>
        <w:t>）</w:t>
      </w:r>
      <w:r>
        <w:rPr>
          <w:color w:val="auto"/>
        </w:rPr>
        <w:t>。</w:t>
      </w:r>
    </w:p>
    <w:p>
      <w:pPr>
        <w:pStyle w:val="7"/>
        <w:spacing w:before="0" w:after="0" w:line="360" w:lineRule="auto"/>
        <w:ind w:left="0" w:firstLine="0"/>
        <w:rPr>
          <w:rFonts w:cs="Times New Roman"/>
          <w:color w:val="auto"/>
        </w:rPr>
      </w:pPr>
      <w:bookmarkStart w:id="20" w:name="_Toc31231"/>
      <w:bookmarkStart w:id="21" w:name="_Toc376177510"/>
      <w:bookmarkStart w:id="22" w:name="_Toc349939594"/>
      <w:r>
        <w:rPr>
          <w:rFonts w:cs="Times New Roman"/>
          <w:color w:val="auto"/>
        </w:rPr>
        <w:t>行政法规</w:t>
      </w:r>
      <w:bookmarkEnd w:id="20"/>
      <w:bookmarkEnd w:id="21"/>
      <w:bookmarkEnd w:id="22"/>
    </w:p>
    <w:p>
      <w:pPr>
        <w:pStyle w:val="154"/>
        <w:numPr>
          <w:ilvl w:val="0"/>
          <w:numId w:val="4"/>
        </w:numPr>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《畜禽规模养殖污染防治条例》（中华人民共和国国务院令643号）</w:t>
      </w:r>
      <w:r>
        <w:rPr>
          <w:rFonts w:hint="default" w:ascii="Times New Roman" w:hAnsi="Times New Roman" w:eastAsia="宋体" w:cs="Times New Roman"/>
          <w:color w:val="auto"/>
          <w:lang w:eastAsia="zh-CN"/>
        </w:rPr>
        <w:t>；</w:t>
      </w:r>
    </w:p>
    <w:p>
      <w:pPr>
        <w:pStyle w:val="154"/>
        <w:numPr>
          <w:ilvl w:val="0"/>
          <w:numId w:val="4"/>
        </w:numPr>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《畜禽养殖业污染防治管理办法》（国家环境保护总局第9号）；</w:t>
      </w:r>
    </w:p>
    <w:p>
      <w:pPr>
        <w:pStyle w:val="154"/>
        <w:numPr>
          <w:ilvl w:val="0"/>
          <w:numId w:val="4"/>
        </w:numPr>
        <w:ind w:firstLine="480"/>
        <w:rPr>
          <w:color w:val="auto"/>
        </w:rPr>
      </w:pPr>
      <w:r>
        <w:rPr>
          <w:rFonts w:hint="default" w:ascii="Times New Roman" w:hAnsi="Times New Roman" w:eastAsia="宋体" w:cs="Times New Roman"/>
          <w:color w:val="auto"/>
          <w:lang w:eastAsia="zh-CN"/>
        </w:rPr>
        <w:t>《重大动物疫情应急条例》</w:t>
      </w:r>
      <w:r>
        <w:rPr>
          <w:rFonts w:hint="eastAsia" w:cs="Times New Roman"/>
          <w:color w:val="auto"/>
          <w:lang w:eastAsia="zh-CN"/>
        </w:rPr>
        <w:t>（</w:t>
      </w:r>
      <w:r>
        <w:rPr>
          <w:rFonts w:hint="default" w:ascii="Times New Roman" w:hAnsi="Times New Roman" w:eastAsia="宋体" w:cs="Times New Roman"/>
          <w:color w:val="auto"/>
          <w:lang w:eastAsia="zh-CN"/>
        </w:rPr>
        <w:t>2005 年11月18日国务院令第450号</w:t>
      </w:r>
      <w:r>
        <w:rPr>
          <w:rFonts w:hint="eastAsia" w:cs="Times New Roman"/>
          <w:color w:val="auto"/>
          <w:lang w:eastAsia="zh-CN"/>
        </w:rPr>
        <w:t>）；</w:t>
      </w:r>
    </w:p>
    <w:p>
      <w:pPr>
        <w:pStyle w:val="154"/>
        <w:numPr>
          <w:ilvl w:val="0"/>
          <w:numId w:val="4"/>
        </w:numPr>
        <w:ind w:firstLine="480"/>
        <w:rPr>
          <w:color w:val="auto"/>
        </w:rPr>
      </w:pPr>
      <w:r>
        <w:rPr>
          <w:color w:val="auto"/>
        </w:rPr>
        <w:t>《建设项目环境保护管理条例》（国务院令第682号，2017年10月1日施行）；</w:t>
      </w:r>
    </w:p>
    <w:p>
      <w:pPr>
        <w:pStyle w:val="154"/>
        <w:numPr>
          <w:ilvl w:val="0"/>
          <w:numId w:val="4"/>
        </w:numPr>
        <w:ind w:firstLine="480"/>
        <w:rPr>
          <w:color w:val="auto"/>
        </w:rPr>
      </w:pPr>
      <w:r>
        <w:rPr>
          <w:rFonts w:hint="eastAsia"/>
          <w:bCs/>
          <w:color w:val="auto"/>
        </w:rPr>
        <w:t>《国家危险废物名录》（</w:t>
      </w:r>
      <w:r>
        <w:rPr>
          <w:color w:val="auto"/>
        </w:rPr>
        <w:t>部令 第39号</w:t>
      </w:r>
      <w:r>
        <w:rPr>
          <w:rFonts w:hint="eastAsia"/>
          <w:bCs/>
          <w:color w:val="auto"/>
        </w:rPr>
        <w:t>）</w:t>
      </w:r>
      <w:r>
        <w:rPr>
          <w:rFonts w:hint="eastAsia"/>
          <w:bCs/>
          <w:color w:val="auto"/>
          <w:lang w:eastAsia="zh-CN"/>
        </w:rPr>
        <w:t>；</w:t>
      </w:r>
    </w:p>
    <w:p>
      <w:pPr>
        <w:pStyle w:val="154"/>
        <w:numPr>
          <w:ilvl w:val="0"/>
          <w:numId w:val="4"/>
        </w:numPr>
        <w:ind w:firstLine="480"/>
        <w:rPr>
          <w:color w:val="auto"/>
        </w:rPr>
      </w:pPr>
      <w:r>
        <w:rPr>
          <w:rFonts w:hint="eastAsia"/>
          <w:color w:val="auto"/>
        </w:rPr>
        <w:t>《水污染防治行动计划》</w:t>
      </w:r>
      <w:r>
        <w:rPr>
          <w:rFonts w:hint="eastAsia"/>
          <w:color w:val="auto"/>
          <w:lang w:eastAsia="zh-CN"/>
        </w:rPr>
        <w:t>；</w:t>
      </w:r>
    </w:p>
    <w:p>
      <w:pPr>
        <w:pStyle w:val="154"/>
        <w:numPr>
          <w:ilvl w:val="0"/>
          <w:numId w:val="4"/>
        </w:numPr>
        <w:ind w:firstLine="480"/>
        <w:rPr>
          <w:color w:val="auto"/>
        </w:rPr>
      </w:pPr>
      <w:r>
        <w:rPr>
          <w:rFonts w:hint="eastAsia"/>
          <w:color w:val="auto"/>
        </w:rPr>
        <w:t>《土壤污染防治行动计划》</w:t>
      </w:r>
      <w:r>
        <w:rPr>
          <w:rFonts w:hint="eastAsia"/>
          <w:color w:val="auto"/>
          <w:lang w:eastAsia="zh-CN"/>
        </w:rPr>
        <w:t>。</w:t>
      </w:r>
    </w:p>
    <w:p>
      <w:pPr>
        <w:pStyle w:val="7"/>
        <w:spacing w:before="0" w:after="0" w:line="360" w:lineRule="auto"/>
        <w:ind w:left="0" w:firstLine="0"/>
        <w:rPr>
          <w:rFonts w:cs="Times New Roman"/>
          <w:color w:val="auto"/>
        </w:rPr>
      </w:pPr>
      <w:bookmarkStart w:id="23" w:name="_Toc376177511"/>
      <w:bookmarkStart w:id="24" w:name="_Toc31112"/>
      <w:bookmarkStart w:id="25" w:name="_Toc349939595"/>
      <w:r>
        <w:rPr>
          <w:rFonts w:cs="Times New Roman"/>
          <w:color w:val="auto"/>
        </w:rPr>
        <w:t>部门规章</w:t>
      </w:r>
      <w:bookmarkEnd w:id="23"/>
      <w:bookmarkEnd w:id="24"/>
      <w:bookmarkEnd w:id="25"/>
    </w:p>
    <w:p>
      <w:pPr>
        <w:pStyle w:val="154"/>
        <w:ind w:firstLine="480"/>
        <w:rPr>
          <w:color w:val="auto"/>
        </w:rPr>
      </w:pPr>
      <w:r>
        <w:rPr>
          <w:color w:val="auto"/>
        </w:rPr>
        <w:t>（1）《产业结构调整指导目录（2019年本）》（国家发展和改革委员会令第29号，2020年1月1日起施行）；</w:t>
      </w:r>
    </w:p>
    <w:p>
      <w:pPr>
        <w:pStyle w:val="154"/>
        <w:ind w:firstLine="480"/>
        <w:rPr>
          <w:color w:val="auto"/>
        </w:rPr>
      </w:pPr>
      <w:r>
        <w:rPr>
          <w:color w:val="auto"/>
        </w:rPr>
        <w:t>（2）《建设项目环境影响评价分类管理名录》（部令</w:t>
      </w:r>
      <w:r>
        <w:rPr>
          <w:rFonts w:hint="eastAsia"/>
          <w:color w:val="auto"/>
        </w:rPr>
        <w:t>44号、</w:t>
      </w:r>
      <w:r>
        <w:rPr>
          <w:color w:val="auto"/>
        </w:rPr>
        <w:t>部令1号）；</w:t>
      </w:r>
    </w:p>
    <w:p>
      <w:pPr>
        <w:pStyle w:val="154"/>
        <w:ind w:firstLine="480"/>
        <w:rPr>
          <w:color w:val="auto"/>
        </w:rPr>
      </w:pPr>
      <w:r>
        <w:rPr>
          <w:color w:val="auto"/>
        </w:rPr>
        <w:t>（3）《建设项目环境影响评价文件分级审批规定》（环境保护部5号令，2009年3月1日起施行）；</w:t>
      </w:r>
    </w:p>
    <w:p>
      <w:pPr>
        <w:pStyle w:val="154"/>
        <w:ind w:firstLine="480"/>
        <w:rPr>
          <w:color w:val="auto"/>
        </w:rPr>
      </w:pPr>
      <w:r>
        <w:rPr>
          <w:color w:val="auto"/>
        </w:rPr>
        <w:t>（4）</w:t>
      </w:r>
      <w:r>
        <w:rPr>
          <w:rFonts w:hint="eastAsia"/>
          <w:color w:val="auto"/>
        </w:rPr>
        <w:t>《环境影响评价公众参与办法》（部令 第4号）；</w:t>
      </w:r>
    </w:p>
    <w:p>
      <w:pPr>
        <w:pStyle w:val="154"/>
        <w:ind w:firstLine="480"/>
        <w:rPr>
          <w:color w:val="auto"/>
        </w:rPr>
      </w:pPr>
      <w:r>
        <w:rPr>
          <w:color w:val="auto"/>
        </w:rPr>
        <w:t>（</w:t>
      </w:r>
      <w:r>
        <w:rPr>
          <w:rFonts w:hint="eastAsia"/>
          <w:color w:val="auto"/>
        </w:rPr>
        <w:t>5</w:t>
      </w:r>
      <w:r>
        <w:rPr>
          <w:color w:val="auto"/>
        </w:rPr>
        <w:t>）《建设项目环境影响评价政府信息公开指南》（试行）（环办[2013]103号）</w:t>
      </w:r>
      <w:r>
        <w:rPr>
          <w:rFonts w:hint="eastAsia"/>
          <w:color w:val="auto"/>
        </w:rPr>
        <w:t>；</w:t>
      </w:r>
    </w:p>
    <w:p>
      <w:pPr>
        <w:pStyle w:val="154"/>
        <w:ind w:firstLine="480"/>
        <w:rPr>
          <w:color w:val="auto"/>
        </w:rPr>
      </w:pPr>
      <w:r>
        <w:rPr>
          <w:rFonts w:hint="eastAsia"/>
          <w:color w:val="auto"/>
        </w:rPr>
        <w:t>（6）《国土资源部农业部关于完善设施用地管理有关问题的通知》（国土资源发[2010]155号）；</w:t>
      </w:r>
    </w:p>
    <w:p>
      <w:pPr>
        <w:pStyle w:val="154"/>
        <w:ind w:firstLine="480"/>
        <w:rPr>
          <w:color w:val="auto"/>
        </w:rPr>
      </w:pPr>
      <w:r>
        <w:rPr>
          <w:rFonts w:hint="eastAsia"/>
          <w:color w:val="auto"/>
        </w:rPr>
        <w:t>（7）《国务院办公厅关于加快推进畜禽养殖废弃物资源化利用的意见》（国办发〔2017〕48号）；</w:t>
      </w:r>
    </w:p>
    <w:p>
      <w:pPr>
        <w:pStyle w:val="154"/>
        <w:ind w:firstLine="480"/>
        <w:rPr>
          <w:color w:val="auto"/>
        </w:rPr>
      </w:pPr>
      <w:r>
        <w:rPr>
          <w:rFonts w:hint="eastAsia"/>
          <w:color w:val="auto"/>
        </w:rPr>
        <w:t>（8）《畜禽粪污资源化利用行动方案（2017—2020年）》。</w:t>
      </w:r>
    </w:p>
    <w:p>
      <w:pPr>
        <w:pStyle w:val="7"/>
        <w:spacing w:before="0" w:after="0" w:line="360" w:lineRule="auto"/>
        <w:ind w:left="0" w:firstLine="0"/>
        <w:rPr>
          <w:rFonts w:cs="Times New Roman"/>
          <w:color w:val="auto"/>
        </w:rPr>
      </w:pPr>
      <w:bookmarkStart w:id="26" w:name="_Toc24383"/>
      <w:bookmarkStart w:id="27" w:name="_Toc349939596"/>
      <w:bookmarkStart w:id="28" w:name="_Toc376177512"/>
      <w:r>
        <w:rPr>
          <w:rFonts w:cs="Times New Roman"/>
          <w:color w:val="auto"/>
        </w:rPr>
        <w:t>地方性法规及规章</w:t>
      </w:r>
      <w:bookmarkEnd w:id="26"/>
      <w:bookmarkEnd w:id="27"/>
      <w:bookmarkEnd w:id="28"/>
    </w:p>
    <w:p>
      <w:pPr>
        <w:pStyle w:val="154"/>
        <w:ind w:firstLine="480"/>
        <w:rPr>
          <w:color w:val="auto"/>
        </w:rPr>
      </w:pPr>
      <w:r>
        <w:rPr>
          <w:color w:val="auto"/>
        </w:rPr>
        <w:t>（1）《四川省环境保护条例》（2018年1月1日实施）；</w:t>
      </w:r>
    </w:p>
    <w:p>
      <w:pPr>
        <w:pStyle w:val="154"/>
        <w:ind w:firstLine="480"/>
        <w:rPr>
          <w:rStyle w:val="92"/>
          <w:b w:val="0"/>
          <w:bCs w:val="0"/>
          <w:color w:val="auto"/>
        </w:rPr>
      </w:pPr>
      <w:r>
        <w:rPr>
          <w:rStyle w:val="92"/>
          <w:b w:val="0"/>
          <w:bCs w:val="0"/>
          <w:color w:val="auto"/>
        </w:rPr>
        <w:t>（2）</w:t>
      </w:r>
      <w:r>
        <w:rPr>
          <w:rFonts w:hint="eastAsia"/>
          <w:color w:val="auto"/>
        </w:rPr>
        <w:t>《土壤污染防治行动计划四川省工作方案》</w:t>
      </w:r>
    </w:p>
    <w:p>
      <w:pPr>
        <w:pStyle w:val="154"/>
        <w:ind w:firstLine="480"/>
        <w:rPr>
          <w:color w:val="auto"/>
        </w:rPr>
      </w:pPr>
      <w:r>
        <w:rPr>
          <w:rStyle w:val="92"/>
          <w:b w:val="0"/>
          <w:bCs w:val="0"/>
          <w:color w:val="auto"/>
        </w:rPr>
        <w:t>（</w:t>
      </w:r>
      <w:r>
        <w:rPr>
          <w:rStyle w:val="92"/>
          <w:rFonts w:hint="eastAsia"/>
          <w:b w:val="0"/>
          <w:bCs w:val="0"/>
          <w:color w:val="auto"/>
        </w:rPr>
        <w:t>3</w:t>
      </w:r>
      <w:r>
        <w:rPr>
          <w:rStyle w:val="92"/>
          <w:b w:val="0"/>
          <w:bCs w:val="0"/>
          <w:color w:val="auto"/>
        </w:rPr>
        <w:t>）</w:t>
      </w:r>
      <w:r>
        <w:rPr>
          <w:color w:val="auto"/>
        </w:rPr>
        <w:t>《四川省大气污染防治行动计划实施细则》（2014年1月6日）；</w:t>
      </w:r>
    </w:p>
    <w:p>
      <w:pPr>
        <w:pStyle w:val="154"/>
        <w:ind w:firstLine="480"/>
        <w:rPr>
          <w:color w:val="auto"/>
        </w:rPr>
      </w:pPr>
      <w:r>
        <w:rPr>
          <w:rStyle w:val="92"/>
          <w:b w:val="0"/>
          <w:bCs w:val="0"/>
          <w:color w:val="auto"/>
        </w:rPr>
        <w:t>（4）</w:t>
      </w:r>
      <w:r>
        <w:rPr>
          <w:rFonts w:hint="eastAsia"/>
          <w:color w:val="auto"/>
        </w:rPr>
        <w:t>《四川省人民政府关于印发四川省生态保护红线方案的通知》（川府发〔2018〕24号）；</w:t>
      </w:r>
    </w:p>
    <w:p>
      <w:pPr>
        <w:pStyle w:val="154"/>
        <w:ind w:firstLine="480"/>
        <w:rPr>
          <w:rStyle w:val="92"/>
          <w:b w:val="0"/>
          <w:bCs w:val="0"/>
          <w:color w:val="auto"/>
        </w:rPr>
      </w:pPr>
      <w:r>
        <w:rPr>
          <w:color w:val="auto"/>
        </w:rPr>
        <w:t>（5）</w:t>
      </w:r>
      <w:r>
        <w:rPr>
          <w:rFonts w:hint="eastAsia"/>
          <w:color w:val="auto"/>
        </w:rPr>
        <w:t>四川省生态环境厅</w:t>
      </w:r>
      <w:r>
        <w:rPr>
          <w:rStyle w:val="92"/>
          <w:rFonts w:hint="eastAsia"/>
          <w:b w:val="0"/>
          <w:bCs w:val="0"/>
          <w:color w:val="auto"/>
        </w:rPr>
        <w:t>《关于调整建设项目环境影响评价文件分级审批权限的公告》（2019 年第 2 号）</w:t>
      </w:r>
      <w:r>
        <w:rPr>
          <w:rStyle w:val="92"/>
          <w:b w:val="0"/>
          <w:bCs w:val="0"/>
          <w:color w:val="auto"/>
        </w:rPr>
        <w:t>；</w:t>
      </w:r>
    </w:p>
    <w:p>
      <w:pPr>
        <w:pStyle w:val="154"/>
        <w:ind w:firstLine="480"/>
        <w:rPr>
          <w:rStyle w:val="92"/>
          <w:b w:val="0"/>
          <w:bCs w:val="0"/>
          <w:color w:val="auto"/>
        </w:rPr>
      </w:pPr>
      <w:r>
        <w:rPr>
          <w:rStyle w:val="92"/>
          <w:b w:val="0"/>
          <w:bCs w:val="0"/>
          <w:color w:val="auto"/>
        </w:rPr>
        <w:t>（</w:t>
      </w:r>
      <w:r>
        <w:rPr>
          <w:rStyle w:val="92"/>
          <w:rFonts w:hint="eastAsia"/>
          <w:b w:val="0"/>
          <w:bCs w:val="0"/>
          <w:color w:val="auto"/>
        </w:rPr>
        <w:t>6</w:t>
      </w:r>
      <w:r>
        <w:rPr>
          <w:rStyle w:val="92"/>
          <w:b w:val="0"/>
          <w:bCs w:val="0"/>
          <w:color w:val="auto"/>
        </w:rPr>
        <w:t>）《</w:t>
      </w:r>
      <w:r>
        <w:rPr>
          <w:color w:val="auto"/>
        </w:rPr>
        <w:t>关于依法加强环境影响评价管理防范环境风险的通知</w:t>
      </w:r>
      <w:r>
        <w:rPr>
          <w:rStyle w:val="92"/>
          <w:b w:val="0"/>
          <w:bCs w:val="0"/>
          <w:color w:val="auto"/>
        </w:rPr>
        <w:t>》（川环发[2006]1号）；</w:t>
      </w:r>
    </w:p>
    <w:p>
      <w:pPr>
        <w:pStyle w:val="154"/>
        <w:ind w:firstLine="480"/>
        <w:rPr>
          <w:rStyle w:val="92"/>
          <w:b w:val="0"/>
          <w:bCs w:val="0"/>
          <w:color w:val="auto"/>
        </w:rPr>
      </w:pPr>
      <w:r>
        <w:rPr>
          <w:rFonts w:hint="eastAsia"/>
          <w:color w:val="auto"/>
        </w:rPr>
        <w:t>（7）《四川省灰霾污染防治办法》（四川省人民政府令第</w:t>
      </w:r>
      <w:r>
        <w:rPr>
          <w:color w:val="auto"/>
        </w:rPr>
        <w:t>288</w:t>
      </w:r>
      <w:r>
        <w:rPr>
          <w:rFonts w:hint="eastAsia"/>
          <w:color w:val="auto"/>
        </w:rPr>
        <w:t>号）</w:t>
      </w:r>
    </w:p>
    <w:p>
      <w:pPr>
        <w:pStyle w:val="154"/>
        <w:ind w:firstLine="480"/>
        <w:rPr>
          <w:color w:val="auto"/>
        </w:rPr>
      </w:pPr>
      <w:r>
        <w:rPr>
          <w:rFonts w:hint="eastAsia"/>
          <w:color w:val="auto"/>
        </w:rPr>
        <w:t>（8）《四川省畜禽养殖污染防治技术指南（试行）》（川农业函〔2017〕647号）；</w:t>
      </w:r>
    </w:p>
    <w:p>
      <w:pPr>
        <w:pStyle w:val="154"/>
        <w:ind w:firstLine="480"/>
        <w:rPr>
          <w:color w:val="auto"/>
        </w:rPr>
      </w:pPr>
      <w:r>
        <w:rPr>
          <w:rFonts w:hint="eastAsia"/>
          <w:color w:val="auto"/>
        </w:rPr>
        <w:t>（</w:t>
      </w:r>
      <w:r>
        <w:rPr>
          <w:rFonts w:hint="eastAsia"/>
          <w:color w:val="auto"/>
          <w:lang w:val="en-US" w:eastAsia="zh-CN"/>
        </w:rPr>
        <w:t>9</w:t>
      </w:r>
      <w:r>
        <w:rPr>
          <w:rFonts w:hint="eastAsia"/>
          <w:color w:val="auto"/>
        </w:rPr>
        <w:t>）</w:t>
      </w:r>
      <w:r>
        <w:rPr>
          <w:rFonts w:hint="eastAsia"/>
          <w:color w:val="auto"/>
          <w:lang w:eastAsia="zh-CN"/>
        </w:rPr>
        <w:t>关于修订</w:t>
      </w:r>
      <w:r>
        <w:rPr>
          <w:rFonts w:hint="eastAsia"/>
          <w:color w:val="auto"/>
        </w:rPr>
        <w:t>《</w:t>
      </w:r>
      <w:r>
        <w:rPr>
          <w:rFonts w:hint="eastAsia"/>
          <w:color w:val="auto"/>
          <w:lang w:eastAsia="zh-CN"/>
        </w:rPr>
        <w:t>通江</w:t>
      </w:r>
      <w:r>
        <w:rPr>
          <w:rFonts w:hint="eastAsia"/>
          <w:color w:val="auto"/>
        </w:rPr>
        <w:t>县畜禽养殖禁养区限养区划定方案》的通知（</w:t>
      </w:r>
      <w:r>
        <w:rPr>
          <w:rFonts w:hint="eastAsia"/>
          <w:color w:val="auto"/>
          <w:lang w:eastAsia="zh-CN"/>
        </w:rPr>
        <w:t>通</w:t>
      </w:r>
      <w:r>
        <w:rPr>
          <w:rFonts w:hint="eastAsia"/>
          <w:color w:val="auto"/>
        </w:rPr>
        <w:t>府办</w:t>
      </w:r>
      <w:r>
        <w:rPr>
          <w:rFonts w:hint="eastAsia"/>
          <w:color w:val="auto"/>
          <w:lang w:eastAsia="zh-CN"/>
        </w:rPr>
        <w:t>发</w:t>
      </w:r>
      <w:r>
        <w:rPr>
          <w:rFonts w:hint="eastAsia"/>
          <w:color w:val="auto"/>
        </w:rPr>
        <w:t>[20</w:t>
      </w:r>
      <w:r>
        <w:rPr>
          <w:rFonts w:hint="eastAsia"/>
          <w:color w:val="auto"/>
          <w:lang w:val="en-US" w:eastAsia="zh-CN"/>
        </w:rPr>
        <w:t>20</w:t>
      </w:r>
      <w:r>
        <w:rPr>
          <w:rFonts w:hint="eastAsia"/>
          <w:color w:val="auto"/>
        </w:rPr>
        <w:t>]</w:t>
      </w:r>
      <w:r>
        <w:rPr>
          <w:rFonts w:hint="eastAsia"/>
          <w:color w:val="auto"/>
          <w:lang w:val="en-US" w:eastAsia="zh-CN"/>
        </w:rPr>
        <w:t>3</w:t>
      </w:r>
      <w:r>
        <w:rPr>
          <w:rFonts w:hint="eastAsia"/>
          <w:color w:val="auto"/>
        </w:rPr>
        <w:t>号）；</w:t>
      </w:r>
    </w:p>
    <w:p>
      <w:pPr>
        <w:pStyle w:val="154"/>
        <w:ind w:firstLine="480"/>
        <w:rPr>
          <w:color w:val="auto"/>
        </w:rPr>
      </w:pPr>
      <w:r>
        <w:rPr>
          <w:rFonts w:hint="eastAsia"/>
          <w:color w:val="auto"/>
        </w:rPr>
        <w:t>（1</w:t>
      </w:r>
      <w:r>
        <w:rPr>
          <w:rFonts w:hint="eastAsia"/>
          <w:color w:val="auto"/>
          <w:lang w:val="en-US" w:eastAsia="zh-CN"/>
        </w:rPr>
        <w:t>0</w:t>
      </w:r>
      <w:r>
        <w:rPr>
          <w:rFonts w:hint="eastAsia"/>
          <w:color w:val="auto"/>
        </w:rPr>
        <w:t>）《关于有效控制城市扬尘污染的通知》（环发</w:t>
      </w:r>
      <w:r>
        <w:rPr>
          <w:color w:val="auto"/>
        </w:rPr>
        <w:t>[2001]56</w:t>
      </w:r>
      <w:r>
        <w:rPr>
          <w:rFonts w:hint="eastAsia"/>
          <w:color w:val="auto"/>
        </w:rPr>
        <w:t>号）；</w:t>
      </w:r>
    </w:p>
    <w:p>
      <w:pPr>
        <w:pStyle w:val="154"/>
        <w:ind w:firstLine="480"/>
        <w:rPr>
          <w:color w:val="auto"/>
        </w:rPr>
      </w:pPr>
      <w:r>
        <w:rPr>
          <w:rFonts w:hint="eastAsia"/>
          <w:color w:val="auto"/>
        </w:rPr>
        <w:t>（1</w:t>
      </w:r>
      <w:r>
        <w:rPr>
          <w:rFonts w:hint="eastAsia"/>
          <w:color w:val="auto"/>
          <w:lang w:val="en-US" w:eastAsia="zh-CN"/>
        </w:rPr>
        <w:t>1</w:t>
      </w:r>
      <w:r>
        <w:rPr>
          <w:rFonts w:hint="eastAsia"/>
          <w:color w:val="auto"/>
        </w:rPr>
        <w:t>）《农业部办公厅关于病死动物无害化处理工艺有关问题的函》（农办医函[2013]62号）；</w:t>
      </w:r>
    </w:p>
    <w:p>
      <w:pPr>
        <w:pStyle w:val="154"/>
        <w:ind w:firstLine="480"/>
        <w:rPr>
          <w:rFonts w:hint="eastAsia"/>
          <w:color w:val="auto"/>
        </w:rPr>
      </w:pPr>
      <w:r>
        <w:rPr>
          <w:rFonts w:hint="eastAsia"/>
          <w:color w:val="auto"/>
        </w:rPr>
        <w:t>（1</w:t>
      </w:r>
      <w:r>
        <w:rPr>
          <w:rFonts w:hint="eastAsia"/>
          <w:color w:val="auto"/>
          <w:lang w:val="en-US" w:eastAsia="zh-CN"/>
        </w:rPr>
        <w:t>2</w:t>
      </w:r>
      <w:r>
        <w:rPr>
          <w:rFonts w:hint="eastAsia"/>
          <w:color w:val="auto"/>
        </w:rPr>
        <w:t>）《</w:t>
      </w:r>
      <w:r>
        <w:rPr>
          <w:color w:val="auto"/>
        </w:rPr>
        <w:t>农业部办公厅关于病死及病害动物和相关动物产品无害化处理有关问题的函</w:t>
      </w:r>
      <w:r>
        <w:rPr>
          <w:rFonts w:hint="eastAsia"/>
          <w:color w:val="auto"/>
        </w:rPr>
        <w:t>》。</w:t>
      </w:r>
    </w:p>
    <w:p>
      <w:pPr>
        <w:pStyle w:val="154"/>
        <w:ind w:firstLine="480"/>
        <w:rPr>
          <w:rFonts w:hint="eastAsia"/>
          <w:color w:val="auto"/>
        </w:rPr>
      </w:pPr>
      <w:r>
        <w:rPr>
          <w:rFonts w:hint="eastAsia" w:ascii="Times New Roman" w:hAnsi="Times New Roman"/>
          <w:color w:val="auto"/>
          <w:lang w:eastAsia="zh-CN"/>
        </w:rPr>
        <w:t>（</w:t>
      </w:r>
      <w:r>
        <w:rPr>
          <w:rFonts w:hint="eastAsia" w:ascii="Times New Roman" w:hAnsi="Times New Roman"/>
          <w:color w:val="auto"/>
          <w:lang w:val="en-US" w:eastAsia="zh-CN"/>
        </w:rPr>
        <w:t>13）</w:t>
      </w:r>
      <w:r>
        <w:rPr>
          <w:rFonts w:hint="eastAsia"/>
          <w:color w:val="auto"/>
        </w:rPr>
        <w:t>农业部关于打好农业面源污染防治攻坚战的实施意见；</w:t>
      </w:r>
    </w:p>
    <w:p>
      <w:pPr>
        <w:pStyle w:val="154"/>
        <w:ind w:firstLine="480"/>
        <w:rPr>
          <w:rFonts w:hint="eastAsia"/>
          <w:color w:val="auto"/>
        </w:rPr>
      </w:pPr>
      <w:r>
        <w:rPr>
          <w:rFonts w:hint="eastAsia" w:ascii="Times New Roman" w:hAnsi="Times New Roman"/>
          <w:color w:val="auto"/>
          <w:lang w:eastAsia="zh-CN"/>
        </w:rPr>
        <w:t>（</w:t>
      </w:r>
      <w:r>
        <w:rPr>
          <w:rFonts w:hint="eastAsia" w:ascii="Times New Roman" w:hAnsi="Times New Roman"/>
          <w:color w:val="auto"/>
          <w:lang w:val="en-US" w:eastAsia="zh-CN"/>
        </w:rPr>
        <w:t>14）</w:t>
      </w:r>
      <w:r>
        <w:rPr>
          <w:rFonts w:hint="eastAsia"/>
          <w:color w:val="auto"/>
        </w:rPr>
        <w:t>《国务院办公厅关于加快推进畜禽养殖废弃物资源化利用的意见》（国办发【2017】48号）；</w:t>
      </w:r>
    </w:p>
    <w:p>
      <w:pPr>
        <w:pStyle w:val="154"/>
        <w:ind w:firstLine="480"/>
        <w:rPr>
          <w:rFonts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15）</w:t>
      </w:r>
      <w:r>
        <w:rPr>
          <w:rFonts w:ascii="Times New Roman" w:hAnsi="Times New Roman"/>
          <w:color w:val="auto"/>
        </w:rPr>
        <w:t>巴中市人民政府《关于加快发展现代畜牧业的意见》（巴府发【2012】13号）；</w:t>
      </w:r>
    </w:p>
    <w:p>
      <w:pPr>
        <w:pStyle w:val="154"/>
        <w:ind w:firstLine="480"/>
        <w:rPr>
          <w:rFonts w:hint="eastAsia" w:ascii="Times New Roman" w:hAnsi="Times New Roman" w:eastAsia="宋体"/>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16）</w:t>
      </w:r>
      <w:r>
        <w:rPr>
          <w:rFonts w:ascii="Times New Roman" w:hAnsi="Times New Roman"/>
          <w:color w:val="auto"/>
        </w:rPr>
        <w:t>巴中市生态环境局、巴中市农业农村局《关于进一步做好生猪规模养殖环评管理相关工作的通知》（巴环境函【</w:t>
      </w:r>
      <w:r>
        <w:rPr>
          <w:rFonts w:hint="eastAsia" w:ascii="Times New Roman" w:hAnsi="Times New Roman"/>
          <w:color w:val="auto"/>
        </w:rPr>
        <w:t>2</w:t>
      </w:r>
      <w:r>
        <w:rPr>
          <w:rFonts w:ascii="Times New Roman" w:hAnsi="Times New Roman"/>
          <w:color w:val="auto"/>
        </w:rPr>
        <w:t>019】</w:t>
      </w:r>
      <w:r>
        <w:rPr>
          <w:rFonts w:hint="eastAsia" w:ascii="Times New Roman" w:hAnsi="Times New Roman"/>
          <w:color w:val="auto"/>
        </w:rPr>
        <w:t>9</w:t>
      </w:r>
      <w:r>
        <w:rPr>
          <w:rFonts w:ascii="Times New Roman" w:hAnsi="Times New Roman"/>
          <w:color w:val="auto"/>
        </w:rPr>
        <w:t>7号）</w:t>
      </w:r>
      <w:r>
        <w:rPr>
          <w:rFonts w:hint="eastAsia"/>
          <w:color w:val="auto"/>
          <w:lang w:eastAsia="zh-CN"/>
        </w:rPr>
        <w:t>；</w:t>
      </w:r>
    </w:p>
    <w:p>
      <w:pPr>
        <w:pStyle w:val="154"/>
        <w:ind w:firstLine="480"/>
        <w:rPr>
          <w:rFonts w:hint="eastAsia" w:ascii="Times New Roman" w:hAnsi="Times New Roman" w:eastAsia="宋体"/>
          <w:color w:val="auto"/>
          <w:lang w:eastAsia="zh-CN"/>
        </w:rPr>
      </w:pPr>
      <w:r>
        <w:rPr>
          <w:rFonts w:hint="eastAsia"/>
          <w:color w:val="auto"/>
          <w:lang w:eastAsia="zh-CN"/>
        </w:rPr>
        <w:t>（</w:t>
      </w:r>
      <w:r>
        <w:rPr>
          <w:rFonts w:hint="eastAsia"/>
          <w:color w:val="auto"/>
          <w:lang w:val="en-US" w:eastAsia="zh-CN"/>
        </w:rPr>
        <w:t>17）</w:t>
      </w:r>
      <w:r>
        <w:rPr>
          <w:rFonts w:hint="eastAsia"/>
          <w:color w:val="auto"/>
          <w:lang w:eastAsia="zh-CN"/>
        </w:rPr>
        <w:t>《</w:t>
      </w:r>
      <w:r>
        <w:rPr>
          <w:rFonts w:hint="eastAsia" w:ascii="Times New Roman" w:hAnsi="Times New Roman"/>
          <w:color w:val="auto"/>
        </w:rPr>
        <w:t>四川省生态环境厅关于进一步改进环评审批和监督执法服务高质量发展的通知</w:t>
      </w:r>
      <w:r>
        <w:rPr>
          <w:rFonts w:hint="eastAsia"/>
          <w:color w:val="auto"/>
          <w:lang w:eastAsia="zh-CN"/>
        </w:rPr>
        <w:t>》（</w:t>
      </w:r>
      <w:r>
        <w:rPr>
          <w:rFonts w:hint="eastAsia"/>
          <w:color w:val="auto"/>
        </w:rPr>
        <w:t>川</w:t>
      </w:r>
      <w:r>
        <w:rPr>
          <w:rFonts w:hint="eastAsia"/>
          <w:color w:val="auto"/>
          <w:lang w:eastAsia="zh-CN"/>
        </w:rPr>
        <w:t>环</w:t>
      </w:r>
      <w:r>
        <w:rPr>
          <w:rFonts w:hint="eastAsia"/>
          <w:color w:val="auto"/>
        </w:rPr>
        <w:t>函〔</w:t>
      </w:r>
      <w:r>
        <w:rPr>
          <w:rFonts w:hint="eastAsia"/>
          <w:color w:val="auto"/>
          <w:lang w:val="en-US" w:eastAsia="zh-CN"/>
        </w:rPr>
        <w:t>2020</w:t>
      </w:r>
      <w:r>
        <w:rPr>
          <w:rFonts w:hint="eastAsia"/>
          <w:color w:val="auto"/>
        </w:rPr>
        <w:t>〕</w:t>
      </w:r>
      <w:r>
        <w:rPr>
          <w:rFonts w:hint="eastAsia"/>
          <w:color w:val="auto"/>
          <w:lang w:val="en-US" w:eastAsia="zh-CN"/>
        </w:rPr>
        <w:t>220</w:t>
      </w:r>
      <w:r>
        <w:rPr>
          <w:rFonts w:hint="eastAsia"/>
          <w:color w:val="auto"/>
          <w:lang w:eastAsia="zh-CN"/>
        </w:rPr>
        <w:t>号）。</w:t>
      </w:r>
    </w:p>
    <w:p>
      <w:pPr>
        <w:pStyle w:val="7"/>
        <w:spacing w:before="0" w:after="0" w:line="360" w:lineRule="auto"/>
        <w:ind w:left="0" w:firstLine="0"/>
        <w:rPr>
          <w:rFonts w:cs="Times New Roman"/>
          <w:color w:val="auto"/>
        </w:rPr>
      </w:pPr>
      <w:bookmarkStart w:id="29" w:name="_Toc102532648"/>
      <w:bookmarkStart w:id="30" w:name="_Toc154987274"/>
      <w:bookmarkStart w:id="31" w:name="_Toc24027"/>
      <w:bookmarkStart w:id="32" w:name="_Toc102531209"/>
      <w:bookmarkStart w:id="33" w:name="_Toc83636253"/>
      <w:bookmarkStart w:id="34" w:name="_Toc154982379"/>
      <w:bookmarkStart w:id="35" w:name="_Toc405412750"/>
      <w:bookmarkStart w:id="36" w:name="_Toc154818497"/>
      <w:bookmarkStart w:id="37" w:name="_Toc80438852"/>
      <w:bookmarkStart w:id="38" w:name="_Toc80438680"/>
      <w:bookmarkStart w:id="39" w:name="_Toc321575574"/>
      <w:bookmarkStart w:id="40" w:name="_Toc123721498"/>
      <w:bookmarkStart w:id="41" w:name="_Toc154987516"/>
      <w:r>
        <w:rPr>
          <w:rFonts w:cs="Times New Roman"/>
          <w:color w:val="auto"/>
        </w:rPr>
        <w:t>技术规范</w:t>
      </w:r>
      <w:bookmarkEnd w:id="29"/>
      <w:bookmarkEnd w:id="30"/>
      <w:bookmarkEnd w:id="31"/>
      <w:bookmarkEnd w:id="32"/>
      <w:bookmarkEnd w:id="33"/>
      <w:bookmarkEnd w:id="34"/>
      <w:bookmarkEnd w:id="35"/>
      <w:bookmarkEnd w:id="36"/>
      <w:bookmarkEnd w:id="37"/>
      <w:bookmarkEnd w:id="38"/>
      <w:bookmarkEnd w:id="39"/>
      <w:bookmarkEnd w:id="40"/>
      <w:bookmarkEnd w:id="41"/>
    </w:p>
    <w:p>
      <w:pPr>
        <w:pStyle w:val="154"/>
        <w:ind w:firstLine="480"/>
        <w:rPr>
          <w:color w:val="auto"/>
        </w:rPr>
      </w:pPr>
      <w:r>
        <w:rPr>
          <w:color w:val="auto"/>
        </w:rPr>
        <w:t>（1）《建设项目环境影响评价技术导则 总纲》（HJ 2.1-2016）；</w:t>
      </w:r>
    </w:p>
    <w:p>
      <w:pPr>
        <w:pStyle w:val="154"/>
        <w:ind w:firstLine="480"/>
        <w:rPr>
          <w:color w:val="auto"/>
        </w:rPr>
      </w:pPr>
      <w:r>
        <w:rPr>
          <w:color w:val="auto"/>
        </w:rPr>
        <w:t>（2）《环境影响评价技术导则 大气环境》（HJ 2.2-20</w:t>
      </w:r>
      <w:r>
        <w:rPr>
          <w:rFonts w:hint="eastAsia"/>
          <w:color w:val="auto"/>
        </w:rPr>
        <w:t>1</w:t>
      </w:r>
      <w:r>
        <w:rPr>
          <w:color w:val="auto"/>
        </w:rPr>
        <w:t>8）；</w:t>
      </w:r>
    </w:p>
    <w:p>
      <w:pPr>
        <w:pStyle w:val="154"/>
        <w:ind w:firstLine="480"/>
        <w:rPr>
          <w:color w:val="auto"/>
        </w:rPr>
      </w:pPr>
      <w:r>
        <w:rPr>
          <w:color w:val="auto"/>
        </w:rPr>
        <w:t>（3）《环境影响评价技术导则 地表水环境》（HJ 2.3-</w:t>
      </w:r>
      <w:r>
        <w:rPr>
          <w:rFonts w:hint="eastAsia"/>
          <w:color w:val="auto"/>
        </w:rPr>
        <w:t>2018</w:t>
      </w:r>
      <w:r>
        <w:rPr>
          <w:color w:val="auto"/>
        </w:rPr>
        <w:t>）；</w:t>
      </w:r>
    </w:p>
    <w:p>
      <w:pPr>
        <w:pStyle w:val="154"/>
        <w:ind w:firstLine="480"/>
        <w:rPr>
          <w:color w:val="auto"/>
        </w:rPr>
      </w:pPr>
      <w:r>
        <w:rPr>
          <w:color w:val="auto"/>
        </w:rPr>
        <w:t>（4）《环境影响评价技术导则 声环境》（HJ 2.4-2009）；</w:t>
      </w:r>
    </w:p>
    <w:p>
      <w:pPr>
        <w:pStyle w:val="154"/>
        <w:ind w:firstLine="480"/>
        <w:rPr>
          <w:color w:val="auto"/>
        </w:rPr>
      </w:pPr>
      <w:r>
        <w:rPr>
          <w:color w:val="auto"/>
        </w:rPr>
        <w:t>（5）《环境影响评价技术导则 地下水环境》（HJ 610-2016）；</w:t>
      </w:r>
    </w:p>
    <w:p>
      <w:pPr>
        <w:pStyle w:val="154"/>
        <w:ind w:firstLine="480"/>
        <w:rPr>
          <w:color w:val="auto"/>
        </w:rPr>
      </w:pPr>
      <w:r>
        <w:rPr>
          <w:color w:val="auto"/>
        </w:rPr>
        <w:t>（6）《建设项目环境风险评价技术导则》（HJ 196-20</w:t>
      </w:r>
      <w:r>
        <w:rPr>
          <w:rFonts w:hint="eastAsia"/>
          <w:color w:val="auto"/>
        </w:rPr>
        <w:t>18</w:t>
      </w:r>
      <w:r>
        <w:rPr>
          <w:color w:val="auto"/>
        </w:rPr>
        <w:t>）；</w:t>
      </w:r>
    </w:p>
    <w:p>
      <w:pPr>
        <w:pStyle w:val="154"/>
        <w:ind w:firstLine="480"/>
        <w:rPr>
          <w:color w:val="auto"/>
        </w:rPr>
      </w:pPr>
      <w:r>
        <w:rPr>
          <w:rFonts w:hint="eastAsia"/>
          <w:color w:val="auto"/>
          <w:lang w:eastAsia="zh-CN"/>
        </w:rPr>
        <w:t>（</w:t>
      </w:r>
      <w:r>
        <w:rPr>
          <w:rFonts w:hint="eastAsia"/>
          <w:color w:val="auto"/>
          <w:lang w:val="en-US" w:eastAsia="zh-CN"/>
        </w:rPr>
        <w:t>7）</w:t>
      </w:r>
      <w:r>
        <w:rPr>
          <w:color w:val="auto"/>
        </w:rPr>
        <w:t>《环境影响评价技术导则-生态影响》（HJ19-2011）；</w:t>
      </w:r>
    </w:p>
    <w:p>
      <w:pPr>
        <w:pStyle w:val="154"/>
        <w:ind w:firstLine="480"/>
        <w:rPr>
          <w:color w:val="auto"/>
        </w:rPr>
      </w:pPr>
      <w:r>
        <w:rPr>
          <w:rFonts w:hint="eastAsia"/>
          <w:color w:val="auto"/>
        </w:rPr>
        <w:t>（8）</w:t>
      </w:r>
      <w:r>
        <w:rPr>
          <w:color w:val="auto"/>
        </w:rPr>
        <w:t>《畜禽规模养殖场粪污资源化利用设施建设规范（试行）》</w:t>
      </w:r>
      <w:r>
        <w:rPr>
          <w:rFonts w:hint="eastAsia"/>
          <w:color w:val="auto"/>
        </w:rPr>
        <w:t>（农办牧〔2018〕2号）；</w:t>
      </w:r>
    </w:p>
    <w:p>
      <w:pPr>
        <w:pStyle w:val="154"/>
        <w:ind w:firstLine="480"/>
        <w:rPr>
          <w:color w:val="auto"/>
        </w:rPr>
      </w:pPr>
      <w:r>
        <w:rPr>
          <w:rFonts w:hint="eastAsia"/>
          <w:color w:val="auto"/>
        </w:rPr>
        <w:t>（</w:t>
      </w:r>
      <w:r>
        <w:rPr>
          <w:rFonts w:hint="eastAsia"/>
          <w:color w:val="auto"/>
          <w:lang w:val="en-US" w:eastAsia="zh-CN"/>
        </w:rPr>
        <w:t>9</w:t>
      </w:r>
      <w:r>
        <w:rPr>
          <w:rFonts w:hint="eastAsia"/>
          <w:color w:val="auto"/>
        </w:rPr>
        <w:t>）《</w:t>
      </w:r>
      <w:r>
        <w:rPr>
          <w:color w:val="auto"/>
        </w:rPr>
        <w:t>病死及病害动物无害化处理技术规范</w:t>
      </w:r>
      <w:r>
        <w:rPr>
          <w:rFonts w:hint="eastAsia"/>
          <w:color w:val="auto"/>
        </w:rPr>
        <w:t>》（</w:t>
      </w:r>
      <w:r>
        <w:rPr>
          <w:rFonts w:hint="eastAsia"/>
          <w:bCs/>
          <w:color w:val="auto"/>
        </w:rPr>
        <w:t>农医发〔2017〕25号</w:t>
      </w:r>
      <w:r>
        <w:rPr>
          <w:rFonts w:hint="eastAsia"/>
          <w:color w:val="auto"/>
        </w:rPr>
        <w:t>）；</w:t>
      </w:r>
    </w:p>
    <w:p>
      <w:pPr>
        <w:pStyle w:val="154"/>
        <w:ind w:firstLine="480"/>
        <w:rPr>
          <w:color w:val="auto"/>
        </w:rPr>
      </w:pPr>
      <w:r>
        <w:rPr>
          <w:rFonts w:hint="eastAsia"/>
          <w:color w:val="auto"/>
        </w:rPr>
        <w:t>（</w:t>
      </w:r>
      <w:r>
        <w:rPr>
          <w:rFonts w:hint="eastAsia"/>
          <w:color w:val="auto"/>
          <w:lang w:val="en-US" w:eastAsia="zh-CN"/>
        </w:rPr>
        <w:t>10</w:t>
      </w:r>
      <w:r>
        <w:rPr>
          <w:rFonts w:hint="eastAsia"/>
          <w:color w:val="auto"/>
        </w:rPr>
        <w:t>）《畜禽养殖业污染防治技术规范》（HJ/T81-2001）；</w:t>
      </w:r>
    </w:p>
    <w:p>
      <w:pPr>
        <w:pStyle w:val="154"/>
        <w:ind w:firstLine="480"/>
        <w:rPr>
          <w:color w:val="auto"/>
        </w:rPr>
      </w:pPr>
      <w:r>
        <w:rPr>
          <w:rFonts w:hint="eastAsia"/>
          <w:color w:val="auto"/>
        </w:rPr>
        <w:t>（1</w:t>
      </w:r>
      <w:r>
        <w:rPr>
          <w:rFonts w:hint="eastAsia"/>
          <w:color w:val="auto"/>
          <w:lang w:val="en-US" w:eastAsia="zh-CN"/>
        </w:rPr>
        <w:t>1</w:t>
      </w:r>
      <w:r>
        <w:rPr>
          <w:rFonts w:hint="eastAsia"/>
          <w:color w:val="auto"/>
        </w:rPr>
        <w:t>）《畜禽养殖业污染治理工程技术规范》（HJ 497－2009）；</w:t>
      </w:r>
    </w:p>
    <w:p>
      <w:pPr>
        <w:pStyle w:val="154"/>
        <w:ind w:firstLine="480"/>
        <w:rPr>
          <w:color w:val="auto"/>
        </w:rPr>
      </w:pPr>
      <w:r>
        <w:rPr>
          <w:rFonts w:hint="eastAsia"/>
          <w:color w:val="auto"/>
        </w:rPr>
        <w:t>（1</w:t>
      </w:r>
      <w:r>
        <w:rPr>
          <w:rFonts w:hint="eastAsia"/>
          <w:color w:val="auto"/>
          <w:lang w:val="en-US" w:eastAsia="zh-CN"/>
        </w:rPr>
        <w:t>2</w:t>
      </w:r>
      <w:r>
        <w:rPr>
          <w:rFonts w:hint="eastAsia"/>
          <w:color w:val="auto"/>
        </w:rPr>
        <w:t>）《畜禽粪便无害化处理技术规范》（GB/T36195-2018）；</w:t>
      </w:r>
    </w:p>
    <w:p>
      <w:pPr>
        <w:pStyle w:val="154"/>
        <w:ind w:firstLine="480"/>
        <w:rPr>
          <w:color w:val="auto"/>
        </w:rPr>
      </w:pPr>
      <w:r>
        <w:rPr>
          <w:rFonts w:hint="eastAsia"/>
          <w:color w:val="auto"/>
        </w:rPr>
        <w:t>（</w:t>
      </w:r>
      <w:r>
        <w:rPr>
          <w:rFonts w:hint="eastAsia"/>
          <w:color w:val="auto"/>
          <w:lang w:val="en-US" w:eastAsia="zh-CN"/>
        </w:rPr>
        <w:t>13</w:t>
      </w:r>
      <w:r>
        <w:rPr>
          <w:rFonts w:hint="eastAsia"/>
          <w:color w:val="auto"/>
        </w:rPr>
        <w:t>）《畜禽粪便贮存设施设计要求》（GB/T27622-2011）；</w:t>
      </w:r>
    </w:p>
    <w:p>
      <w:pPr>
        <w:pStyle w:val="154"/>
        <w:ind w:firstLine="480"/>
        <w:rPr>
          <w:color w:val="auto"/>
        </w:rPr>
      </w:pPr>
      <w:r>
        <w:rPr>
          <w:rFonts w:hint="eastAsia"/>
          <w:color w:val="auto"/>
        </w:rPr>
        <w:t>（1</w:t>
      </w:r>
      <w:r>
        <w:rPr>
          <w:rFonts w:hint="eastAsia"/>
          <w:color w:val="auto"/>
          <w:lang w:val="en-US" w:eastAsia="zh-CN"/>
        </w:rPr>
        <w:t>4</w:t>
      </w:r>
      <w:r>
        <w:rPr>
          <w:rFonts w:hint="eastAsia"/>
          <w:color w:val="auto"/>
        </w:rPr>
        <w:t>）《畜禽养殖污水贮存设施设计要求》（GB/T 26624-2011）；</w:t>
      </w:r>
    </w:p>
    <w:p>
      <w:pPr>
        <w:pStyle w:val="154"/>
        <w:ind w:firstLine="480"/>
        <w:rPr>
          <w:color w:val="auto"/>
        </w:rPr>
      </w:pPr>
      <w:r>
        <w:rPr>
          <w:rFonts w:hint="eastAsia"/>
          <w:color w:val="auto"/>
        </w:rPr>
        <w:t>（1</w:t>
      </w:r>
      <w:r>
        <w:rPr>
          <w:rFonts w:hint="eastAsia"/>
          <w:color w:val="auto"/>
          <w:lang w:val="en-US" w:eastAsia="zh-CN"/>
        </w:rPr>
        <w:t>5</w:t>
      </w:r>
      <w:r>
        <w:rPr>
          <w:rFonts w:hint="eastAsia"/>
          <w:color w:val="auto"/>
        </w:rPr>
        <w:t>）《规模化畜禽养殖场沼气工程设计规范》（</w:t>
      </w:r>
      <w:r>
        <w:rPr>
          <w:color w:val="auto"/>
        </w:rPr>
        <w:t>NY/T1222-2006</w:t>
      </w:r>
      <w:r>
        <w:rPr>
          <w:rFonts w:hint="eastAsia"/>
          <w:color w:val="auto"/>
        </w:rPr>
        <w:t>）；</w:t>
      </w:r>
    </w:p>
    <w:p>
      <w:pPr>
        <w:pStyle w:val="154"/>
        <w:ind w:firstLine="480"/>
        <w:rPr>
          <w:color w:val="auto"/>
        </w:rPr>
      </w:pPr>
      <w:r>
        <w:rPr>
          <w:rFonts w:hint="eastAsia"/>
          <w:color w:val="auto"/>
        </w:rPr>
        <w:t>（1</w:t>
      </w:r>
      <w:r>
        <w:rPr>
          <w:rFonts w:hint="eastAsia"/>
          <w:color w:val="auto"/>
          <w:lang w:val="en-US" w:eastAsia="zh-CN"/>
        </w:rPr>
        <w:t>6</w:t>
      </w:r>
      <w:r>
        <w:rPr>
          <w:rFonts w:hint="eastAsia"/>
          <w:color w:val="auto"/>
        </w:rPr>
        <w:t>）《给水排水工程构筑物结构设计规范》（GB50069-2002）；</w:t>
      </w:r>
    </w:p>
    <w:p>
      <w:pPr>
        <w:pStyle w:val="154"/>
        <w:ind w:firstLine="480"/>
        <w:rPr>
          <w:color w:val="auto"/>
        </w:rPr>
      </w:pPr>
      <w:r>
        <w:rPr>
          <w:rFonts w:hint="eastAsia"/>
          <w:color w:val="auto"/>
        </w:rPr>
        <w:t>（1</w:t>
      </w:r>
      <w:r>
        <w:rPr>
          <w:rFonts w:hint="eastAsia"/>
          <w:color w:val="auto"/>
          <w:lang w:val="en-US" w:eastAsia="zh-CN"/>
        </w:rPr>
        <w:t>7</w:t>
      </w:r>
      <w:r>
        <w:rPr>
          <w:rFonts w:hint="eastAsia"/>
          <w:color w:val="auto"/>
        </w:rPr>
        <w:t>）《用水定额》（DB51/T 2138-2016）；</w:t>
      </w:r>
    </w:p>
    <w:p>
      <w:pPr>
        <w:pStyle w:val="154"/>
        <w:ind w:firstLine="480"/>
        <w:rPr>
          <w:color w:val="auto"/>
        </w:rPr>
      </w:pPr>
      <w:r>
        <w:rPr>
          <w:rFonts w:hint="eastAsia"/>
          <w:color w:val="auto"/>
        </w:rPr>
        <w:t>（1</w:t>
      </w:r>
      <w:r>
        <w:rPr>
          <w:rFonts w:hint="eastAsia"/>
          <w:color w:val="auto"/>
          <w:lang w:val="en-US" w:eastAsia="zh-CN"/>
        </w:rPr>
        <w:t>8</w:t>
      </w:r>
      <w:r>
        <w:rPr>
          <w:rFonts w:hint="eastAsia"/>
          <w:color w:val="auto"/>
        </w:rPr>
        <w:t>）《防治城市扬尘污染技术规范》（</w:t>
      </w:r>
      <w:r>
        <w:rPr>
          <w:color w:val="auto"/>
        </w:rPr>
        <w:t>HJ/T393-2007</w:t>
      </w:r>
      <w:r>
        <w:rPr>
          <w:rFonts w:hint="eastAsia"/>
          <w:color w:val="auto"/>
        </w:rPr>
        <w:t>）；</w:t>
      </w:r>
    </w:p>
    <w:p>
      <w:pPr>
        <w:pStyle w:val="154"/>
        <w:ind w:firstLine="480"/>
        <w:rPr>
          <w:color w:val="auto"/>
        </w:rPr>
      </w:pPr>
      <w:r>
        <w:rPr>
          <w:rFonts w:hint="eastAsia"/>
          <w:color w:val="auto"/>
        </w:rPr>
        <w:t>（1</w:t>
      </w:r>
      <w:r>
        <w:rPr>
          <w:rFonts w:hint="eastAsia"/>
          <w:color w:val="auto"/>
          <w:lang w:val="en-US" w:eastAsia="zh-CN"/>
        </w:rPr>
        <w:t>9</w:t>
      </w:r>
      <w:r>
        <w:rPr>
          <w:rFonts w:hint="eastAsia"/>
          <w:color w:val="auto"/>
        </w:rPr>
        <w:t>）《村镇规划卫生规范》（</w:t>
      </w:r>
      <w:r>
        <w:rPr>
          <w:color w:val="auto"/>
        </w:rPr>
        <w:t>GB18055-20</w:t>
      </w:r>
      <w:r>
        <w:rPr>
          <w:rFonts w:hint="eastAsia"/>
          <w:color w:val="auto"/>
        </w:rPr>
        <w:t>12）；</w:t>
      </w:r>
    </w:p>
    <w:p>
      <w:pPr>
        <w:pStyle w:val="154"/>
        <w:ind w:firstLine="480"/>
        <w:rPr>
          <w:color w:val="auto"/>
        </w:rPr>
      </w:pPr>
      <w:r>
        <w:rPr>
          <w:rFonts w:hint="eastAsia"/>
          <w:color w:val="auto"/>
        </w:rPr>
        <w:t>（</w:t>
      </w:r>
      <w:r>
        <w:rPr>
          <w:rFonts w:hint="eastAsia"/>
          <w:color w:val="auto"/>
          <w:lang w:val="en-US" w:eastAsia="zh-CN"/>
        </w:rPr>
        <w:t>20</w:t>
      </w:r>
      <w:r>
        <w:rPr>
          <w:rFonts w:hint="eastAsia"/>
          <w:color w:val="auto"/>
        </w:rPr>
        <w:t>）《排污许可证申请与核发技术规范 畜禽养殖行业》（HJ1029-2019）。</w:t>
      </w:r>
    </w:p>
    <w:p>
      <w:pPr>
        <w:pStyle w:val="7"/>
        <w:spacing w:before="0" w:after="0" w:line="360" w:lineRule="auto"/>
        <w:ind w:left="0" w:firstLine="0"/>
        <w:rPr>
          <w:rFonts w:cs="Times New Roman"/>
          <w:color w:val="auto"/>
        </w:rPr>
      </w:pPr>
      <w:bookmarkStart w:id="42" w:name="_Toc349939597"/>
      <w:bookmarkStart w:id="43" w:name="_Toc376177513"/>
      <w:bookmarkStart w:id="44" w:name="_Toc31921"/>
      <w:r>
        <w:rPr>
          <w:rFonts w:cs="Times New Roman"/>
          <w:color w:val="auto"/>
        </w:rPr>
        <w:t>相关规划</w:t>
      </w:r>
      <w:bookmarkEnd w:id="42"/>
      <w:bookmarkEnd w:id="43"/>
      <w:bookmarkEnd w:id="44"/>
    </w:p>
    <w:p>
      <w:pPr>
        <w:pStyle w:val="154"/>
        <w:ind w:firstLine="480"/>
        <w:rPr>
          <w:bCs/>
          <w:color w:val="auto"/>
        </w:rPr>
      </w:pPr>
      <w:r>
        <w:rPr>
          <w:rFonts w:hint="eastAsia"/>
          <w:bCs/>
          <w:color w:val="auto"/>
        </w:rPr>
        <w:t>（1）《全国生猪生产发展规划（2016-2020年）》；</w:t>
      </w:r>
    </w:p>
    <w:p>
      <w:pPr>
        <w:pStyle w:val="154"/>
        <w:ind w:firstLine="480"/>
        <w:rPr>
          <w:color w:val="auto"/>
        </w:rPr>
      </w:pPr>
      <w:r>
        <w:rPr>
          <w:rFonts w:hint="eastAsia"/>
          <w:color w:val="auto"/>
        </w:rPr>
        <w:t>（2）《</w:t>
      </w:r>
      <w:r>
        <w:rPr>
          <w:color w:val="auto"/>
          <w:spacing w:val="-7"/>
        </w:rPr>
        <w:t>四川省畜牧业发展“十三五”规划（2016-202</w:t>
      </w:r>
      <w:r>
        <w:rPr>
          <w:rFonts w:hint="eastAsia"/>
          <w:color w:val="auto"/>
          <w:spacing w:val="-7"/>
        </w:rPr>
        <w:t>0</w:t>
      </w:r>
      <w:r>
        <w:rPr>
          <w:color w:val="auto"/>
          <w:spacing w:val="-7"/>
        </w:rPr>
        <w:t>）</w:t>
      </w:r>
      <w:r>
        <w:rPr>
          <w:rFonts w:hint="eastAsia"/>
          <w:color w:val="auto"/>
        </w:rPr>
        <w:t>》；</w:t>
      </w:r>
    </w:p>
    <w:p>
      <w:pPr>
        <w:pStyle w:val="154"/>
        <w:ind w:firstLine="480"/>
        <w:rPr>
          <w:bCs/>
          <w:color w:val="auto"/>
        </w:rPr>
      </w:pPr>
      <w:r>
        <w:rPr>
          <w:rFonts w:hint="eastAsia"/>
          <w:bCs/>
          <w:color w:val="auto"/>
        </w:rPr>
        <w:t>（3）</w:t>
      </w:r>
      <w:r>
        <w:rPr>
          <w:bCs/>
          <w:color w:val="auto"/>
        </w:rPr>
        <w:t>《</w:t>
      </w:r>
      <w:r>
        <w:rPr>
          <w:rFonts w:hint="eastAsia"/>
          <w:bCs/>
          <w:color w:val="auto"/>
        </w:rPr>
        <w:t>四川省“十三五”生态保护与建设规划</w:t>
      </w:r>
      <w:r>
        <w:rPr>
          <w:bCs/>
          <w:color w:val="auto"/>
        </w:rPr>
        <w:t>》</w:t>
      </w:r>
      <w:r>
        <w:rPr>
          <w:rFonts w:hint="eastAsia"/>
          <w:bCs/>
          <w:color w:val="auto"/>
        </w:rPr>
        <w:t>；</w:t>
      </w:r>
    </w:p>
    <w:p>
      <w:pPr>
        <w:pStyle w:val="154"/>
        <w:ind w:firstLine="480"/>
        <w:rPr>
          <w:bCs/>
          <w:color w:val="auto"/>
        </w:rPr>
      </w:pPr>
      <w:r>
        <w:rPr>
          <w:rFonts w:hint="eastAsia"/>
          <w:bCs/>
          <w:color w:val="auto"/>
        </w:rPr>
        <w:t>（4）《</w:t>
      </w:r>
      <w:r>
        <w:rPr>
          <w:rFonts w:hint="eastAsia"/>
          <w:bCs/>
          <w:color w:val="auto"/>
          <w:lang w:eastAsia="zh-CN"/>
        </w:rPr>
        <w:t>通江</w:t>
      </w:r>
      <w:r>
        <w:rPr>
          <w:rFonts w:hint="eastAsia"/>
          <w:bCs/>
          <w:color w:val="auto"/>
        </w:rPr>
        <w:t>县土地利用总体规划》（2006-2020年）；</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eastAsia="zh-CN"/>
        </w:rPr>
      </w:pPr>
      <w:bookmarkStart w:id="45" w:name="_Toc470789036"/>
      <w:bookmarkStart w:id="46" w:name="_Toc4702"/>
      <w:r>
        <w:rPr>
          <w:rFonts w:hint="eastAsia" w:ascii="Times New Roman" w:hAnsi="Times New Roman" w:eastAsia="宋体" w:cs="Times New Roman"/>
          <w:color w:val="auto"/>
          <w:lang w:eastAsia="zh-CN"/>
        </w:rPr>
        <w:t>环境影响要素识别及评价因子</w:t>
      </w:r>
      <w:bookmarkEnd w:id="45"/>
      <w:bookmarkEnd w:id="46"/>
    </w:p>
    <w:p>
      <w:pPr>
        <w:pStyle w:val="7"/>
        <w:spacing w:before="0" w:after="0" w:line="360" w:lineRule="auto"/>
        <w:ind w:left="0" w:firstLine="0"/>
        <w:rPr>
          <w:rFonts w:cs="Times New Roman"/>
          <w:color w:val="auto"/>
        </w:rPr>
      </w:pPr>
      <w:bookmarkStart w:id="47" w:name="_Toc29752"/>
      <w:r>
        <w:rPr>
          <w:rFonts w:cs="Times New Roman"/>
          <w:color w:val="auto"/>
        </w:rPr>
        <w:t>环境影响要素识别</w:t>
      </w:r>
      <w:bookmarkEnd w:id="47"/>
    </w:p>
    <w:p>
      <w:pPr>
        <w:pStyle w:val="154"/>
        <w:ind w:firstLine="480"/>
        <w:rPr>
          <w:bCs/>
          <w:color w:val="auto"/>
        </w:rPr>
      </w:pPr>
      <w:r>
        <w:rPr>
          <w:rFonts w:hint="eastAsia"/>
          <w:bCs/>
          <w:color w:val="auto"/>
        </w:rPr>
        <w:t>（</w:t>
      </w:r>
      <w:r>
        <w:rPr>
          <w:bCs/>
          <w:color w:val="auto"/>
        </w:rPr>
        <w:t>1</w:t>
      </w:r>
      <w:r>
        <w:rPr>
          <w:rFonts w:hint="eastAsia"/>
          <w:bCs/>
          <w:color w:val="auto"/>
        </w:rPr>
        <w:t>）环境对工程制约因素分析</w:t>
      </w:r>
    </w:p>
    <w:p>
      <w:pPr>
        <w:pStyle w:val="154"/>
        <w:ind w:firstLine="480"/>
        <w:rPr>
          <w:bCs/>
          <w:color w:val="auto"/>
        </w:rPr>
      </w:pPr>
      <w:r>
        <w:rPr>
          <w:rFonts w:hint="eastAsia"/>
          <w:bCs/>
          <w:color w:val="auto"/>
        </w:rPr>
        <w:t>根据现场调查，项目所在区域自然环境状况较好，地形地貌、气候条件、地表水资源等对项目的制约作用较小。根据环境质量现状监测及现场调查，项目所在地的环境空气、地表水环境、声环境及生态环境现状均较良好，项目所在区域环境状况不会制约项目的建设和营运。外环境对项目制约作用很小。</w:t>
      </w:r>
    </w:p>
    <w:p>
      <w:pPr>
        <w:pStyle w:val="154"/>
        <w:ind w:firstLine="480"/>
        <w:rPr>
          <w:bCs/>
          <w:color w:val="auto"/>
        </w:rPr>
      </w:pPr>
      <w:r>
        <w:rPr>
          <w:rFonts w:hint="eastAsia"/>
          <w:bCs/>
          <w:color w:val="auto"/>
        </w:rPr>
        <w:t>（</w:t>
      </w:r>
      <w:r>
        <w:rPr>
          <w:bCs/>
          <w:color w:val="auto"/>
        </w:rPr>
        <w:t>2</w:t>
      </w:r>
      <w:r>
        <w:rPr>
          <w:rFonts w:hint="eastAsia"/>
          <w:bCs/>
          <w:color w:val="auto"/>
        </w:rPr>
        <w:t>）工程建设对环境影响分析</w:t>
      </w:r>
    </w:p>
    <w:p>
      <w:pPr>
        <w:pStyle w:val="154"/>
        <w:ind w:firstLine="480"/>
        <w:rPr>
          <w:rFonts w:ascii="Times New Roman" w:hAnsi="Times New Roman" w:eastAsia="宋体" w:cs="Times New Roman"/>
          <w:bCs/>
          <w:color w:val="auto"/>
          <w:sz w:val="24"/>
          <w:szCs w:val="24"/>
        </w:rPr>
      </w:pPr>
      <w:r>
        <w:rPr>
          <w:rFonts w:hint="eastAsia"/>
          <w:bCs/>
          <w:color w:val="auto"/>
        </w:rPr>
        <w:t>根据对各生产环节与环境要素关系的分析，按环境要素分类，施工期环境影响主要体现在：施工期烟尘、机械尾气，施工废水和施工人员生活污水，施工机械噪声，建筑垃圾和施工人员生活垃圾等对周边环境的影响；营运期环境影响体现在：养殖废水、圈舍臭气、养殖场噪声及猪粪便对周边环境的影响。项目对环境要素影响分析见下表，对环境要素影响性质分析见下表。</w:t>
      </w:r>
    </w:p>
    <w:p>
      <w:pPr>
        <w:numPr>
          <w:ilvl w:val="0"/>
          <w:numId w:val="5"/>
        </w:numPr>
        <w:ind w:left="0" w:leftChars="0" w:firstLine="403" w:firstLineChars="0"/>
        <w:jc w:val="center"/>
        <w:rPr>
          <w:rFonts w:hint="default" w:ascii="Times New Roman" w:hAnsi="Times New Roman" w:cs="Times New Roman"/>
          <w:b/>
          <w:bCs/>
          <w:color w:val="auto"/>
          <w:sz w:val="21"/>
          <w:szCs w:val="21"/>
          <w:lang w:val="en-US" w:eastAsia="zh-CN"/>
        </w:rPr>
      </w:pPr>
      <w:bookmarkStart w:id="48" w:name="_Ref456456253"/>
      <w:r>
        <w:rPr>
          <w:rFonts w:hint="default" w:ascii="Times New Roman" w:hAnsi="Times New Roman" w:cs="Times New Roman"/>
          <w:b/>
          <w:bCs/>
          <w:color w:val="auto"/>
          <w:sz w:val="21"/>
          <w:szCs w:val="21"/>
          <w:lang w:val="en-US" w:eastAsia="zh-CN"/>
        </w:rPr>
        <w:t xml:space="preserve">   工程建设对环境影响要素分析</w:t>
      </w:r>
      <w:bookmarkEnd w:id="48"/>
    </w:p>
    <w:tbl>
      <w:tblPr>
        <w:tblStyle w:val="88"/>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48"/>
        <w:gridCol w:w="1292"/>
        <w:gridCol w:w="2375"/>
        <w:gridCol w:w="1312"/>
        <w:gridCol w:w="1475"/>
        <w:gridCol w:w="13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b/>
                <w:color w:val="auto"/>
                <w:sz w:val="21"/>
              </w:rPr>
            </w:pPr>
            <w:r>
              <w:rPr>
                <w:rStyle w:val="2499"/>
                <w:rFonts w:hint="eastAsia"/>
                <w:b/>
                <w:color w:val="auto"/>
                <w:sz w:val="21"/>
              </w:rPr>
              <w:t>时期</w:t>
            </w:r>
          </w:p>
        </w:tc>
        <w:tc>
          <w:tcPr>
            <w:tcW w:w="3667" w:type="dxa"/>
            <w:gridSpan w:val="2"/>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b/>
                <w:color w:val="auto"/>
                <w:sz w:val="21"/>
              </w:rPr>
            </w:pPr>
            <w:r>
              <w:rPr>
                <w:rStyle w:val="2499"/>
                <w:rFonts w:hint="eastAsia"/>
                <w:b/>
                <w:color w:val="auto"/>
                <w:sz w:val="21"/>
              </w:rPr>
              <w:t>影响分析环境要素</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b/>
                <w:color w:val="auto"/>
                <w:sz w:val="21"/>
              </w:rPr>
            </w:pPr>
            <w:r>
              <w:rPr>
                <w:rStyle w:val="2499"/>
                <w:rFonts w:hint="eastAsia"/>
                <w:b/>
                <w:color w:val="auto"/>
                <w:sz w:val="21"/>
              </w:rPr>
              <w:t>有利影响</w:t>
            </w: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b/>
                <w:color w:val="auto"/>
                <w:sz w:val="21"/>
              </w:rPr>
            </w:pPr>
            <w:r>
              <w:rPr>
                <w:rStyle w:val="2499"/>
                <w:rFonts w:hint="eastAsia"/>
                <w:b/>
                <w:color w:val="auto"/>
                <w:sz w:val="21"/>
              </w:rPr>
              <w:t>不利影响</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b/>
                <w:color w:val="auto"/>
                <w:sz w:val="21"/>
              </w:rPr>
            </w:pPr>
            <w:r>
              <w:rPr>
                <w:rStyle w:val="2499"/>
                <w:rFonts w:hint="eastAsia"/>
                <w:b/>
                <w:color w:val="auto"/>
                <w:sz w:val="21"/>
              </w:rPr>
              <w:t>综合影响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施工期</w:t>
            </w:r>
          </w:p>
        </w:tc>
        <w:tc>
          <w:tcPr>
            <w:tcW w:w="1292"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自然环境</w:t>
            </w: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地形地貌</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工程地质</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土地资源</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生物资源</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生态环境</w:t>
            </w: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植</w:t>
            </w:r>
            <w:r>
              <w:rPr>
                <w:rStyle w:val="2499"/>
                <w:rFonts w:hint="default"/>
                <w:color w:val="auto"/>
                <w:sz w:val="21"/>
              </w:rPr>
              <w:t xml:space="preserve">  </w:t>
            </w:r>
            <w:r>
              <w:rPr>
                <w:rStyle w:val="2499"/>
                <w:rFonts w:hint="eastAsia"/>
                <w:color w:val="auto"/>
                <w:sz w:val="21"/>
              </w:rPr>
              <w:t>被</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景观资源</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土地利用</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水土流失</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-M</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社会环境</w:t>
            </w: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人民生活质量</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社会经济</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+M</w:t>
            </w: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劳动就业</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营运期</w:t>
            </w:r>
          </w:p>
        </w:tc>
        <w:tc>
          <w:tcPr>
            <w:tcW w:w="1292"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自然环境</w:t>
            </w: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地形地貌</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工程地质</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土地资源</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生物资源</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生态环境</w:t>
            </w: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景</w:t>
            </w:r>
            <w:r>
              <w:rPr>
                <w:rStyle w:val="2499"/>
                <w:rFonts w:hint="default"/>
                <w:color w:val="auto"/>
                <w:sz w:val="21"/>
              </w:rPr>
              <w:t xml:space="preserve"> </w:t>
            </w:r>
            <w:r>
              <w:rPr>
                <w:rStyle w:val="2499"/>
                <w:rFonts w:hint="eastAsia"/>
                <w:color w:val="auto"/>
                <w:sz w:val="21"/>
              </w:rPr>
              <w:t>观</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环境质量</w:t>
            </w: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地表水水质</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大气环境质量</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声环境质量</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社会环境</w:t>
            </w: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社会经济</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+M</w:t>
            </w: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292"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c>
          <w:tcPr>
            <w:tcW w:w="23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eastAsia"/>
                <w:color w:val="auto"/>
                <w:sz w:val="21"/>
              </w:rPr>
              <w:t>劳动就业</w:t>
            </w:r>
          </w:p>
        </w:tc>
        <w:tc>
          <w:tcPr>
            <w:tcW w:w="131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+M</w:t>
            </w:r>
          </w:p>
        </w:tc>
        <w:tc>
          <w:tcPr>
            <w:tcW w:w="1475"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p>
        </w:tc>
        <w:tc>
          <w:tcPr>
            <w:tcW w:w="1302" w:type="dxa"/>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Style w:val="2499"/>
                <w:rFonts w:hint="default"/>
                <w:color w:val="auto"/>
                <w:sz w:val="21"/>
              </w:rPr>
              <w:t>+M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8504" w:type="dxa"/>
            <w:gridSpan w:val="6"/>
            <w:tcBorders>
              <w:tl2br w:val="nil"/>
              <w:tr2bl w:val="nil"/>
            </w:tcBorders>
            <w:vAlign w:val="center"/>
          </w:tcPr>
          <w:p>
            <w:pPr>
              <w:pStyle w:val="262"/>
              <w:keepNext w:val="0"/>
              <w:keepLines w:val="0"/>
              <w:widowControl/>
              <w:suppressLineNumbers w:val="0"/>
              <w:spacing w:before="0" w:beforeAutospacing="0" w:after="0" w:afterAutospacing="0"/>
              <w:ind w:left="0" w:right="0"/>
              <w:rPr>
                <w:rStyle w:val="2499"/>
                <w:rFonts w:hint="default"/>
                <w:color w:val="auto"/>
                <w:sz w:val="21"/>
              </w:rPr>
            </w:pPr>
            <w:r>
              <w:rPr>
                <w:rFonts w:hint="default"/>
                <w:color w:val="auto"/>
              </w:rPr>
              <w:t>注：</w:t>
            </w:r>
            <w:r>
              <w:rPr>
                <w:rFonts w:hint="eastAsia"/>
                <w:color w:val="auto"/>
                <w:lang w:val="en-US" w:eastAsia="zh-CN"/>
              </w:rPr>
              <w:t>L</w:t>
            </w:r>
            <w:r>
              <w:rPr>
                <w:rFonts w:hint="default"/>
                <w:color w:val="auto"/>
              </w:rPr>
              <w:t>—重大影响；</w:t>
            </w:r>
            <w:r>
              <w:rPr>
                <w:rFonts w:hint="eastAsia"/>
                <w:color w:val="auto"/>
                <w:lang w:val="en-US" w:eastAsia="zh-CN"/>
              </w:rPr>
              <w:t>M</w:t>
            </w:r>
            <w:r>
              <w:rPr>
                <w:rFonts w:hint="default"/>
                <w:color w:val="auto"/>
              </w:rPr>
              <w:t>—中等影响；</w:t>
            </w:r>
            <w:r>
              <w:rPr>
                <w:rFonts w:hint="eastAsia"/>
                <w:color w:val="auto"/>
                <w:lang w:val="en-US" w:eastAsia="zh-CN"/>
              </w:rPr>
              <w:t>S</w:t>
            </w:r>
            <w:r>
              <w:rPr>
                <w:rFonts w:hint="default"/>
                <w:color w:val="auto"/>
              </w:rPr>
              <w:t>—轻微影响；“+”——表示有利影响；“-”——表示不利影响</w:t>
            </w:r>
          </w:p>
        </w:tc>
      </w:tr>
    </w:tbl>
    <w:p>
      <w:pPr>
        <w:numPr>
          <w:ilvl w:val="0"/>
          <w:numId w:val="5"/>
        </w:numPr>
        <w:ind w:left="0" w:leftChars="0" w:firstLine="403" w:firstLineChars="0"/>
        <w:jc w:val="center"/>
        <w:rPr>
          <w:rFonts w:hint="eastAsia" w:ascii="宋体" w:hAnsi="宋体" w:eastAsia="宋体" w:cs="宋体"/>
          <w:b/>
          <w:bCs/>
          <w:color w:val="auto"/>
          <w:lang w:val="en-US" w:eastAsia="zh-CN"/>
        </w:rPr>
      </w:pPr>
      <w:bookmarkStart w:id="49" w:name="_Ref456456289"/>
      <w:r>
        <w:rPr>
          <w:rFonts w:hint="eastAsia" w:ascii="宋体" w:hAnsi="宋体" w:eastAsia="宋体" w:cs="宋体"/>
          <w:b/>
          <w:bCs/>
          <w:color w:val="auto"/>
          <w:lang w:val="en-US" w:eastAsia="zh-CN"/>
        </w:rPr>
        <w:t xml:space="preserve">    项目对环境要素影响性质分析</w:t>
      </w:r>
      <w:bookmarkEnd w:id="49"/>
    </w:p>
    <w:tbl>
      <w:tblPr>
        <w:tblStyle w:val="88"/>
        <w:tblW w:w="850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43"/>
        <w:gridCol w:w="1797"/>
        <w:gridCol w:w="1080"/>
        <w:gridCol w:w="1095"/>
        <w:gridCol w:w="1080"/>
        <w:gridCol w:w="1099"/>
        <w:gridCol w:w="907"/>
        <w:gridCol w:w="9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时段</w:t>
            </w:r>
          </w:p>
        </w:tc>
        <w:tc>
          <w:tcPr>
            <w:tcW w:w="179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rPr>
            </w:pPr>
            <w:r>
              <w:rPr>
                <w:rFonts w:hint="default"/>
                <w:color w:val="auto"/>
              </w:rPr>
              <w:pict>
                <v:line id="直线 176" o:spid="_x0000_s2050" o:spt="20" style="position:absolute;left:0pt;margin-left:-0.3pt;margin-top:0.05pt;height:31.6pt;width:89.9pt;z-index:251667456;mso-width-relative:page;mso-height-relative:page;" coordsize="21600,21600" o:gfxdata="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8rs90gAAAAUBAAAPAAAAAAAAAAEAIAAA&#10;ACIAAABkcnMvZG93bnJldi54bWxQSwECFAAUAAAACACHTuJAGdKHbdkBAACiAwAADgAAAAAAAAAB&#10;ACAAAAAhAQAAZHJzL2Uyb0RvYy54bWxQSwUGAAAAAAYABgBZAQAAbAUAAAAA&#10;">
                  <v:path arrowok="t"/>
                  <v:fill focussize="0,0"/>
                  <v:stroke/>
                  <v:imagedata o:title=""/>
                  <o:lock v:ext="edit"/>
                </v:line>
              </w:pict>
            </w:r>
            <w:r>
              <w:rPr>
                <w:rFonts w:hint="default" w:cs="Times New Roman"/>
                <w:color w:val="auto"/>
              </w:rPr>
              <w:t xml:space="preserve">       </w:t>
            </w:r>
            <w:r>
              <w:rPr>
                <w:rFonts w:hint="eastAsia" w:cs="Times New Roman"/>
                <w:color w:val="auto"/>
              </w:rPr>
              <w:t>影响性质</w:t>
            </w:r>
          </w:p>
          <w:p>
            <w:pPr>
              <w:pStyle w:val="942"/>
              <w:keepNext w:val="0"/>
              <w:keepLines w:val="0"/>
              <w:suppressLineNumbers w:val="0"/>
              <w:spacing w:before="0" w:beforeAutospacing="0" w:after="0" w:afterAutospacing="0"/>
              <w:ind w:left="0" w:right="0"/>
              <w:jc w:val="left"/>
              <w:rPr>
                <w:rFonts w:hint="default" w:cs="Times New Roman"/>
                <w:color w:val="auto"/>
              </w:rPr>
            </w:pPr>
            <w:r>
              <w:rPr>
                <w:rFonts w:hint="eastAsia" w:cs="Times New Roman"/>
                <w:color w:val="auto"/>
              </w:rPr>
              <w:t>环境要素</w:t>
            </w:r>
          </w:p>
        </w:tc>
        <w:tc>
          <w:tcPr>
            <w:tcW w:w="1080"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短期影响</w:t>
            </w:r>
          </w:p>
        </w:tc>
        <w:tc>
          <w:tcPr>
            <w:tcW w:w="1095"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长期影响</w:t>
            </w:r>
          </w:p>
        </w:tc>
        <w:tc>
          <w:tcPr>
            <w:tcW w:w="1080"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可逆影响</w:t>
            </w:r>
          </w:p>
        </w:tc>
        <w:tc>
          <w:tcPr>
            <w:tcW w:w="1099"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不可逆影响</w:t>
            </w:r>
          </w:p>
        </w:tc>
        <w:tc>
          <w:tcPr>
            <w:tcW w:w="90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直接影响</w:t>
            </w:r>
          </w:p>
        </w:tc>
        <w:tc>
          <w:tcPr>
            <w:tcW w:w="903"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rPr>
            </w:pPr>
            <w:r>
              <w:rPr>
                <w:rFonts w:hint="eastAsia" w:cs="Times New Roman"/>
                <w:color w:val="auto"/>
              </w:rPr>
              <w:t>间接影响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rPr>
              <w:t>营运期</w:t>
            </w:r>
          </w:p>
        </w:tc>
        <w:tc>
          <w:tcPr>
            <w:tcW w:w="179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rPr>
              <w:t>地表水水质</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95"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99"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90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903"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79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rPr>
              <w:t>大气环境质量</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095"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99"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90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903"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79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rPr>
              <w:t>声环境质量</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095"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99"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90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903"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79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rPr>
              <w:t>地形、地貌</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095"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099"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90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903"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79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rPr>
              <w:t>植被</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095"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99"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90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903"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79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rPr>
              <w:t>土地利用</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1095"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80"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1099"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c>
          <w:tcPr>
            <w:tcW w:w="90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r>
              <w:rPr>
                <w:rFonts w:hint="eastAsia" w:ascii="宋体" w:hAnsi="宋体" w:cs="宋体"/>
                <w:color w:val="auto"/>
              </w:rPr>
              <w:t>◆</w:t>
            </w:r>
          </w:p>
        </w:tc>
        <w:tc>
          <w:tcPr>
            <w:tcW w:w="903"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rPr>
            </w:pPr>
          </w:p>
        </w:tc>
      </w:tr>
    </w:tbl>
    <w:p>
      <w:pPr>
        <w:pStyle w:val="262"/>
        <w:jc w:val="left"/>
        <w:rPr>
          <w:color w:val="auto"/>
        </w:rPr>
      </w:pPr>
      <w:bookmarkStart w:id="50" w:name="_Toc302306729"/>
      <w:r>
        <w:rPr>
          <w:rFonts w:hint="eastAsia"/>
          <w:color w:val="auto"/>
        </w:rPr>
        <w:t>注：表中</w:t>
      </w:r>
      <w:r>
        <w:rPr>
          <w:color w:val="auto"/>
        </w:rPr>
        <w:t>“</w:t>
      </w:r>
      <w:r>
        <w:rPr>
          <w:rFonts w:hint="eastAsia" w:ascii="宋体" w:hAnsi="宋体" w:cs="宋体"/>
          <w:color w:val="auto"/>
          <w:kern w:val="0"/>
        </w:rPr>
        <w:t>◆</w:t>
      </w:r>
      <w:r>
        <w:rPr>
          <w:color w:val="auto"/>
        </w:rPr>
        <w:t>”</w:t>
      </w:r>
      <w:r>
        <w:rPr>
          <w:rFonts w:hint="eastAsia"/>
          <w:color w:val="auto"/>
        </w:rPr>
        <w:t>表示相关联。</w:t>
      </w:r>
      <w:bookmarkEnd w:id="50"/>
    </w:p>
    <w:p>
      <w:pPr>
        <w:pStyle w:val="1385"/>
        <w:ind w:firstLine="480"/>
        <w:rPr>
          <w:color w:val="auto"/>
        </w:rPr>
      </w:pPr>
      <w:r>
        <w:rPr>
          <w:rFonts w:hint="eastAsia"/>
          <w:color w:val="auto"/>
        </w:rPr>
        <w:t>由以上两表可以看出：</w:t>
      </w:r>
    </w:p>
    <w:p>
      <w:pPr>
        <w:pStyle w:val="1385"/>
        <w:ind w:firstLine="480"/>
        <w:rPr>
          <w:color w:val="auto"/>
        </w:rPr>
      </w:pPr>
      <w:r>
        <w:rPr>
          <w:color w:val="auto"/>
        </w:rPr>
        <w:t>1</w:t>
      </w:r>
      <w:r>
        <w:rPr>
          <w:rFonts w:hint="eastAsia"/>
          <w:color w:val="auto"/>
        </w:rPr>
        <w:t>、不利影响</w:t>
      </w:r>
    </w:p>
    <w:p>
      <w:pPr>
        <w:pStyle w:val="1385"/>
        <w:ind w:firstLine="480"/>
        <w:rPr>
          <w:color w:val="auto"/>
          <w:szCs w:val="24"/>
        </w:rPr>
      </w:pPr>
      <w:r>
        <w:rPr>
          <w:rFonts w:hint="eastAsia"/>
          <w:color w:val="auto"/>
          <w:szCs w:val="24"/>
        </w:rPr>
        <w:t>从工程施工的环境影响因素及环境影响性质识别结果看，受工程建设影响的环境要素主要有：生态环境、地表水、环境空气、声环境和固体废物。</w:t>
      </w:r>
    </w:p>
    <w:p>
      <w:pPr>
        <w:pStyle w:val="1385"/>
        <w:ind w:firstLine="480"/>
        <w:rPr>
          <w:color w:val="auto"/>
          <w:szCs w:val="24"/>
        </w:rPr>
      </w:pPr>
      <w:r>
        <w:rPr>
          <w:color w:val="auto"/>
          <w:szCs w:val="24"/>
        </w:rPr>
        <w:t>2</w:t>
      </w:r>
      <w:r>
        <w:rPr>
          <w:rFonts w:hint="eastAsia"/>
          <w:color w:val="auto"/>
          <w:szCs w:val="24"/>
        </w:rPr>
        <w:t>、有利影响</w:t>
      </w:r>
    </w:p>
    <w:p>
      <w:pPr>
        <w:pStyle w:val="1385"/>
        <w:ind w:firstLine="480"/>
        <w:rPr>
          <w:color w:val="auto"/>
          <w:szCs w:val="24"/>
        </w:rPr>
      </w:pPr>
      <w:r>
        <w:rPr>
          <w:rFonts w:hint="eastAsia"/>
          <w:color w:val="auto"/>
          <w:szCs w:val="24"/>
        </w:rPr>
        <w:t>施工及营运过程中需雇佣工作人员，提供部分就业机会；施工期间使用大量的水泥、河砂、钢筋等建筑材料，营运期消耗大量饲料、向社会投放商品猪及仔猪，将带动当地经济的发展。</w:t>
      </w:r>
    </w:p>
    <w:p>
      <w:pPr>
        <w:pStyle w:val="7"/>
        <w:spacing w:before="0" w:after="0" w:line="360" w:lineRule="auto"/>
        <w:ind w:left="0" w:firstLine="0"/>
        <w:rPr>
          <w:rFonts w:cs="Times New Roman"/>
          <w:color w:val="auto"/>
        </w:rPr>
      </w:pPr>
      <w:bookmarkStart w:id="51" w:name="_Toc14775"/>
      <w:r>
        <w:rPr>
          <w:rFonts w:cs="Times New Roman"/>
          <w:color w:val="auto"/>
        </w:rPr>
        <w:t>评价因子</w:t>
      </w:r>
      <w:bookmarkEnd w:id="51"/>
    </w:p>
    <w:p>
      <w:pPr>
        <w:pStyle w:val="154"/>
        <w:ind w:firstLine="480"/>
        <w:rPr>
          <w:color w:val="auto"/>
        </w:rPr>
      </w:pPr>
      <w:r>
        <w:rPr>
          <w:color w:val="auto"/>
        </w:rPr>
        <w:t>根据环境影响要素的识别结果，结合建设项目的工程特点、污染物排放种类及去向，以及项目周围区域的环境质量现状，确定本评价的评价因子如下所示：</w:t>
      </w:r>
    </w:p>
    <w:p>
      <w:pPr>
        <w:numPr>
          <w:ilvl w:val="0"/>
          <w:numId w:val="5"/>
        </w:numPr>
        <w:ind w:left="0" w:leftChars="0" w:firstLine="403" w:firstLineChars="0"/>
        <w:jc w:val="center"/>
        <w:rPr>
          <w:rFonts w:hint="eastAsia" w:ascii="宋体" w:hAnsi="宋体" w:eastAsia="宋体" w:cs="宋体"/>
          <w:b/>
          <w:bCs/>
          <w:color w:val="auto"/>
        </w:rPr>
      </w:pPr>
      <w:r>
        <w:rPr>
          <w:rFonts w:hint="eastAsia" w:ascii="宋体" w:hAnsi="宋体" w:eastAsia="宋体" w:cs="宋体"/>
          <w:b/>
          <w:bCs/>
          <w:color w:val="auto"/>
          <w:lang w:val="en-US" w:eastAsia="zh-CN"/>
        </w:rPr>
        <w:t xml:space="preserve">   </w:t>
      </w:r>
      <w:r>
        <w:rPr>
          <w:rFonts w:hint="eastAsia" w:ascii="宋体" w:hAnsi="宋体" w:eastAsia="宋体" w:cs="宋体"/>
          <w:b/>
          <w:bCs/>
          <w:color w:val="auto"/>
        </w:rPr>
        <w:t>本项目评价因子一览表</w:t>
      </w:r>
    </w:p>
    <w:tbl>
      <w:tblPr>
        <w:tblStyle w:val="88"/>
        <w:tblW w:w="8737"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18"/>
        <w:gridCol w:w="4545"/>
        <w:gridCol w:w="307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napToGrid w:val="0"/>
                <w:color w:val="auto"/>
                <w:kern w:val="18"/>
              </w:rPr>
            </w:pPr>
            <w:r>
              <w:rPr>
                <w:rFonts w:hint="default" w:ascii="Times New Roman" w:hAnsi="Times New Roman" w:cs="Times New Roman"/>
                <w:b/>
                <w:snapToGrid w:val="0"/>
                <w:color w:val="auto"/>
                <w:kern w:val="18"/>
              </w:rPr>
              <w:t>评价项目</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napToGrid w:val="0"/>
                <w:color w:val="auto"/>
                <w:kern w:val="18"/>
              </w:rPr>
            </w:pPr>
            <w:r>
              <w:rPr>
                <w:rFonts w:hint="default" w:ascii="Times New Roman" w:hAnsi="Times New Roman" w:cs="Times New Roman"/>
                <w:b/>
                <w:snapToGrid w:val="0"/>
                <w:color w:val="auto"/>
                <w:kern w:val="18"/>
              </w:rPr>
              <w:t>现状评价因子</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napToGrid w:val="0"/>
                <w:color w:val="auto"/>
                <w:kern w:val="18"/>
              </w:rPr>
            </w:pPr>
            <w:r>
              <w:rPr>
                <w:rFonts w:hint="eastAsia" w:ascii="Times New Roman" w:hAnsi="Times New Roman" w:cs="Times New Roman"/>
                <w:b/>
                <w:snapToGrid w:val="0"/>
                <w:color w:val="auto"/>
                <w:kern w:val="18"/>
                <w:lang w:eastAsia="zh-CN"/>
              </w:rPr>
              <w:t>预测</w:t>
            </w:r>
            <w:r>
              <w:rPr>
                <w:rFonts w:hint="default" w:ascii="Times New Roman" w:hAnsi="Times New Roman" w:cs="Times New Roman"/>
                <w:b/>
                <w:snapToGrid w:val="0"/>
                <w:color w:val="auto"/>
                <w:kern w:val="18"/>
              </w:rPr>
              <w:t>评价因子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snapToGrid w:val="0"/>
                <w:color w:val="auto"/>
                <w:kern w:val="18"/>
              </w:rPr>
              <w:t>大气环境</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w:t>
            </w:r>
            <w:r>
              <w:rPr>
                <w:rFonts w:hint="eastAsia" w:ascii="Times New Roman" w:hAnsi="Times New Roman" w:cs="Times New Roman"/>
                <w:color w:val="auto"/>
              </w:rPr>
              <w:t>CO</w:t>
            </w:r>
            <w:r>
              <w:rPr>
                <w:rFonts w:hint="default" w:ascii="Times New Roman" w:hAnsi="Times New Roman" w:cs="Times New Roman"/>
                <w:color w:val="auto"/>
              </w:rPr>
              <w:t>、</w:t>
            </w:r>
            <w:r>
              <w:rPr>
                <w:rFonts w:hint="eastAsia" w:ascii="Times New Roman" w:hAnsi="Times New Roman" w:cs="Times New Roman"/>
                <w:color w:val="auto"/>
              </w:rPr>
              <w:t>O</w:t>
            </w:r>
            <w:r>
              <w:rPr>
                <w:rFonts w:hint="eastAsia" w:ascii="Times New Roman" w:hAnsi="Times New Roman" w:cs="Times New Roman"/>
                <w:color w:val="auto"/>
                <w:vertAlign w:val="subscript"/>
              </w:rPr>
              <w:t>3</w:t>
            </w:r>
            <w:r>
              <w:rPr>
                <w:rFonts w:hint="eastAsia" w:ascii="Times New Roman" w:hAnsi="Times New Roman" w:cs="Times New Roman"/>
                <w:color w:val="auto"/>
              </w:rPr>
              <w:t>、</w:t>
            </w:r>
            <w:r>
              <w:rPr>
                <w:rFonts w:hint="default" w:ascii="Times New Roman" w:hAnsi="Times New Roman"/>
                <w:color w:val="auto"/>
              </w:rPr>
              <w:t>H</w:t>
            </w:r>
            <w:r>
              <w:rPr>
                <w:rFonts w:hint="default" w:ascii="Times New Roman" w:hAnsi="Times New Roman"/>
                <w:color w:val="auto"/>
                <w:vertAlign w:val="subscript"/>
              </w:rPr>
              <w:t>2</w:t>
            </w:r>
            <w:r>
              <w:rPr>
                <w:rFonts w:hint="default" w:ascii="Times New Roman" w:hAnsi="Times New Roman"/>
                <w:color w:val="auto"/>
              </w:rPr>
              <w:t>S</w:t>
            </w:r>
            <w:r>
              <w:rPr>
                <w:rFonts w:hint="eastAsia" w:ascii="Times New Roman" w:hAnsi="Times New Roman"/>
                <w:color w:val="auto"/>
              </w:rPr>
              <w:t>、</w:t>
            </w:r>
            <w:r>
              <w:rPr>
                <w:rFonts w:hint="default" w:ascii="Times New Roman" w:hAnsi="Times New Roman"/>
                <w:color w:val="auto"/>
              </w:rPr>
              <w:t>NH</w:t>
            </w:r>
            <w:r>
              <w:rPr>
                <w:rFonts w:hint="default" w:ascii="Times New Roman" w:hAnsi="Times New Roman"/>
                <w:color w:val="auto"/>
                <w:vertAlign w:val="subscript"/>
              </w:rPr>
              <w:t>3</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olor w:val="auto"/>
              </w:rPr>
              <w:t>H</w:t>
            </w:r>
            <w:r>
              <w:rPr>
                <w:rFonts w:hint="default" w:ascii="Times New Roman" w:hAnsi="Times New Roman"/>
                <w:color w:val="auto"/>
                <w:vertAlign w:val="subscript"/>
              </w:rPr>
              <w:t>2</w:t>
            </w:r>
            <w:r>
              <w:rPr>
                <w:rFonts w:hint="default" w:ascii="Times New Roman" w:hAnsi="Times New Roman"/>
                <w:color w:val="auto"/>
              </w:rPr>
              <w:t>S</w:t>
            </w:r>
            <w:r>
              <w:rPr>
                <w:rFonts w:hint="eastAsia" w:ascii="Times New Roman" w:hAnsi="Times New Roman"/>
                <w:color w:val="auto"/>
              </w:rPr>
              <w:t>、</w:t>
            </w:r>
            <w:r>
              <w:rPr>
                <w:rFonts w:hint="default" w:ascii="Times New Roman" w:hAnsi="Times New Roman"/>
                <w:color w:val="auto"/>
              </w:rPr>
              <w:t>NH</w:t>
            </w:r>
            <w:r>
              <w:rPr>
                <w:rFonts w:hint="default" w:ascii="Times New Roman" w:hAnsi="Times New Roman"/>
                <w:color w:val="auto"/>
                <w:vertAlign w:val="subscript"/>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snapToGrid w:val="0"/>
                <w:color w:val="auto"/>
                <w:kern w:val="18"/>
              </w:rPr>
              <w:t>地表水</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snapToGrid w:val="0"/>
                <w:color w:val="auto"/>
                <w:kern w:val="18"/>
              </w:rPr>
              <w:t>环境</w:t>
            </w:r>
          </w:p>
        </w:tc>
        <w:tc>
          <w:tcPr>
            <w:tcW w:w="4545"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420" w:firstLineChars="200"/>
              <w:jc w:val="center"/>
              <w:rPr>
                <w:rFonts w:hint="default" w:ascii="Times New Roman" w:hAnsi="Times New Roman" w:cs="Times New Roman"/>
                <w:snapToGrid w:val="0"/>
                <w:color w:val="auto"/>
              </w:rPr>
            </w:pPr>
            <w:r>
              <w:rPr>
                <w:rFonts w:hint="default" w:ascii="Times New Roman" w:hAnsi="Times New Roman" w:cs="Times New Roman"/>
                <w:color w:val="auto"/>
              </w:rPr>
              <w:t>pH、COD</w:t>
            </w:r>
            <w:r>
              <w:rPr>
                <w:rFonts w:hint="default" w:ascii="Times New Roman" w:hAnsi="Times New Roman" w:cs="Times New Roman"/>
                <w:color w:val="auto"/>
                <w:vertAlign w:val="subscript"/>
              </w:rPr>
              <w:t>Cr</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cs="Times New Roman"/>
                <w:color w:val="auto"/>
              </w:rPr>
              <w:t>、氨氮、</w:t>
            </w:r>
            <w:r>
              <w:rPr>
                <w:rFonts w:hint="eastAsia" w:ascii="Times New Roman" w:hAnsi="Times New Roman" w:cs="Times New Roman"/>
                <w:color w:val="auto"/>
                <w:lang w:eastAsia="zh-CN"/>
              </w:rPr>
              <w:t>总磷、总氮、</w:t>
            </w:r>
            <w:r>
              <w:rPr>
                <w:rFonts w:hint="eastAsia"/>
                <w:color w:val="auto"/>
              </w:rPr>
              <w:t>粪大肠菌群</w:t>
            </w:r>
            <w:r>
              <w:rPr>
                <w:rFonts w:hint="default" w:ascii="Times New Roman" w:hAnsi="Times New Roman" w:cs="Times New Roman"/>
                <w:color w:val="auto"/>
              </w:rPr>
              <w:t>，共</w:t>
            </w:r>
            <w:r>
              <w:rPr>
                <w:rFonts w:hint="eastAsia" w:ascii="Times New Roman" w:hAnsi="Times New Roman" w:cs="Times New Roman"/>
                <w:color w:val="auto"/>
                <w:lang w:val="en-US" w:eastAsia="zh-CN"/>
              </w:rPr>
              <w:t>7</w:t>
            </w:r>
            <w:r>
              <w:rPr>
                <w:rFonts w:hint="default" w:ascii="Times New Roman" w:hAnsi="Times New Roman" w:cs="Times New Roman"/>
                <w:color w:val="auto"/>
              </w:rPr>
              <w:t>项</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snapToGrid w:val="0"/>
                <w:color w:val="auto"/>
                <w:kern w:val="18"/>
              </w:rPr>
            </w:pPr>
            <w:r>
              <w:rPr>
                <w:rFonts w:hint="eastAsia" w:ascii="Times New Roman" w:hAnsi="Times New Roman" w:cs="Times New Roman"/>
                <w:snapToGrid w:val="0"/>
                <w:color w:val="auto"/>
                <w:kern w:val="18"/>
              </w:rPr>
              <w:t>本项目生产废水经处理后全部综合利用，不直接排入地表水体，重点分析环境保护措施的可行性和可靠性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snapToGrid w:val="0"/>
                <w:color w:val="auto"/>
                <w:kern w:val="18"/>
              </w:rPr>
              <w:t>地下水</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snapToGrid w:val="0"/>
                <w:color w:val="auto"/>
                <w:kern w:val="18"/>
              </w:rPr>
              <w:t>环境</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eastAsiaTheme="minorEastAsia"/>
                <w:snapToGrid w:val="0"/>
                <w:color w:val="auto"/>
                <w:lang w:eastAsia="zh-CN"/>
              </w:rPr>
            </w:pPr>
            <w:r>
              <w:rPr>
                <w:rFonts w:hint="eastAsia" w:ascii="Times New Roman" w:hAnsi="Times New Roman" w:cs="Times New Roman"/>
                <w:color w:val="auto"/>
              </w:rPr>
              <w:t xml:space="preserve">K </w:t>
            </w:r>
            <w:r>
              <w:rPr>
                <w:rFonts w:hint="eastAsia" w:ascii="Times New Roman" w:hAnsi="Times New Roman" w:cs="Times New Roman"/>
                <w:color w:val="auto"/>
                <w:vertAlign w:val="superscript"/>
              </w:rPr>
              <w:t xml:space="preserve">+ </w:t>
            </w:r>
            <w:r>
              <w:rPr>
                <w:rFonts w:hint="eastAsia" w:ascii="Times New Roman" w:hAnsi="Times New Roman" w:cs="Times New Roman"/>
                <w:color w:val="auto"/>
              </w:rPr>
              <w:t xml:space="preserve">、Na </w:t>
            </w:r>
            <w:r>
              <w:rPr>
                <w:rFonts w:hint="eastAsia" w:ascii="Times New Roman" w:hAnsi="Times New Roman" w:cs="Times New Roman"/>
                <w:color w:val="auto"/>
                <w:vertAlign w:val="superscript"/>
              </w:rPr>
              <w:t>+</w:t>
            </w:r>
            <w:r>
              <w:rPr>
                <w:rFonts w:hint="eastAsia" w:ascii="Times New Roman" w:hAnsi="Times New Roman" w:cs="Times New Roman"/>
                <w:color w:val="auto"/>
              </w:rPr>
              <w:t xml:space="preserve"> 、Ca</w:t>
            </w:r>
            <w:r>
              <w:rPr>
                <w:rFonts w:hint="eastAsia" w:ascii="Times New Roman" w:hAnsi="Times New Roman" w:cs="Times New Roman"/>
                <w:color w:val="auto"/>
                <w:vertAlign w:val="superscript"/>
              </w:rPr>
              <w:t xml:space="preserve"> 2+</w:t>
            </w:r>
            <w:r>
              <w:rPr>
                <w:rFonts w:hint="eastAsia" w:ascii="Times New Roman" w:hAnsi="Times New Roman" w:cs="Times New Roman"/>
                <w:color w:val="auto"/>
              </w:rPr>
              <w:t xml:space="preserve"> 、Mg </w:t>
            </w:r>
            <w:r>
              <w:rPr>
                <w:rFonts w:hint="eastAsia" w:ascii="Times New Roman" w:hAnsi="Times New Roman" w:cs="Times New Roman"/>
                <w:color w:val="auto"/>
                <w:vertAlign w:val="superscript"/>
              </w:rPr>
              <w:t xml:space="preserve">2+ </w:t>
            </w:r>
            <w:r>
              <w:rPr>
                <w:rFonts w:hint="eastAsia" w:ascii="Times New Roman" w:hAnsi="Times New Roman" w:cs="Times New Roman"/>
                <w:color w:val="auto"/>
              </w:rPr>
              <w:t>、CO</w:t>
            </w:r>
            <w:r>
              <w:rPr>
                <w:rFonts w:hint="eastAsia" w:ascii="Times New Roman" w:hAnsi="Times New Roman" w:cs="Times New Roman"/>
                <w:color w:val="auto"/>
                <w:vertAlign w:val="subscript"/>
              </w:rPr>
              <w:t>3</w:t>
            </w:r>
            <w:r>
              <w:rPr>
                <w:rFonts w:hint="eastAsia" w:ascii="Times New Roman" w:hAnsi="Times New Roman" w:cs="Times New Roman"/>
                <w:color w:val="auto"/>
              </w:rPr>
              <w:t xml:space="preserve"> </w:t>
            </w:r>
            <w:r>
              <w:rPr>
                <w:rFonts w:hint="eastAsia" w:ascii="Times New Roman" w:hAnsi="Times New Roman" w:cs="Times New Roman"/>
                <w:color w:val="auto"/>
                <w:vertAlign w:val="superscript"/>
              </w:rPr>
              <w:t xml:space="preserve">2- </w:t>
            </w:r>
            <w:r>
              <w:rPr>
                <w:rFonts w:hint="eastAsia" w:ascii="Times New Roman" w:hAnsi="Times New Roman" w:cs="Times New Roman"/>
                <w:color w:val="auto"/>
              </w:rPr>
              <w:t xml:space="preserve">、HCO </w:t>
            </w:r>
            <w:r>
              <w:rPr>
                <w:rFonts w:hint="eastAsia" w:ascii="Times New Roman" w:hAnsi="Times New Roman" w:cs="Times New Roman"/>
                <w:color w:val="auto"/>
                <w:vertAlign w:val="superscript"/>
              </w:rPr>
              <w:t>3-</w:t>
            </w:r>
            <w:r>
              <w:rPr>
                <w:rFonts w:hint="eastAsia" w:ascii="Times New Roman" w:hAnsi="Times New Roman" w:cs="Times New Roman"/>
                <w:color w:val="auto"/>
              </w:rPr>
              <w:t xml:space="preserve"> 、Cl</w:t>
            </w:r>
            <w:r>
              <w:rPr>
                <w:rFonts w:hint="eastAsia" w:ascii="Times New Roman" w:hAnsi="Times New Roman" w:cs="Times New Roman"/>
                <w:color w:val="auto"/>
                <w:vertAlign w:val="superscript"/>
              </w:rPr>
              <w:t>-</w:t>
            </w:r>
            <w:r>
              <w:rPr>
                <w:rFonts w:hint="eastAsia" w:ascii="Times New Roman" w:hAnsi="Times New Roman" w:cs="Times New Roman"/>
                <w:color w:val="auto"/>
              </w:rPr>
              <w:t xml:space="preserve"> 、SO</w:t>
            </w:r>
            <w:r>
              <w:rPr>
                <w:rFonts w:hint="eastAsia" w:ascii="Times New Roman" w:hAnsi="Times New Roman" w:cs="Times New Roman"/>
                <w:color w:val="auto"/>
                <w:vertAlign w:val="subscript"/>
              </w:rPr>
              <w:t xml:space="preserve">4 </w:t>
            </w:r>
            <w:r>
              <w:rPr>
                <w:rFonts w:hint="eastAsia" w:ascii="Times New Roman" w:hAnsi="Times New Roman" w:cs="Times New Roman"/>
                <w:color w:val="auto"/>
                <w:vertAlign w:val="superscript"/>
              </w:rPr>
              <w:t>2-</w:t>
            </w:r>
            <w:r>
              <w:rPr>
                <w:rFonts w:hint="eastAsia" w:ascii="Times New Roman" w:hAnsi="Times New Roman" w:cs="Times New Roman"/>
                <w:color w:val="auto"/>
              </w:rPr>
              <w:t>、pH、氨氮、总大肠菌群、耗氧量、硝酸盐氮</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snapToGrid w:val="0"/>
                <w:color w:val="auto"/>
                <w:lang w:val="en-US" w:eastAsia="zh-CN"/>
              </w:rPr>
            </w:pPr>
            <w:r>
              <w:rPr>
                <w:rFonts w:hint="eastAsia" w:ascii="Times New Roman" w:hAnsi="Times New Roman" w:cs="Times New Roman"/>
                <w:snapToGrid w:val="0"/>
                <w:color w:val="auto"/>
                <w:lang w:eastAsia="zh-CN"/>
              </w:rPr>
              <w:t>氨氮、</w:t>
            </w:r>
            <w:r>
              <w:rPr>
                <w:rFonts w:hint="eastAsia" w:ascii="Times New Roman" w:hAnsi="Times New Roman" w:cs="Times New Roman"/>
                <w:snapToGrid w:val="0"/>
                <w:color w:val="auto"/>
                <w:lang w:val="en-US" w:eastAsia="zh-CN"/>
              </w:rPr>
              <w:t>COD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snapToGrid w:val="0"/>
                <w:color w:val="auto"/>
                <w:kern w:val="18"/>
              </w:rPr>
              <w:t>土壤</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eastAsia" w:ascii="Times New Roman" w:hAnsi="Times New Roman" w:cs="Times New Roman"/>
                <w:snapToGrid w:val="0"/>
                <w:color w:val="auto"/>
                <w:kern w:val="18"/>
              </w:rPr>
              <w:t>pH、砷、铅、镉、总铬、汞、铜、镍、锌共9项</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eastAsia" w:ascii="Times New Roman" w:hAnsi="Times New Roman" w:cs="Times New Roman"/>
                <w:snapToGrid w:val="0"/>
                <w:color w:val="auto"/>
                <w:kern w:val="18"/>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snapToGrid w:val="0"/>
                <w:color w:val="auto"/>
                <w:kern w:val="18"/>
              </w:rPr>
              <w:t>噪声</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snapToGrid w:val="0"/>
                <w:color w:val="auto"/>
                <w:kern w:val="18"/>
              </w:rPr>
              <w:t>等效连续A声级</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rPr>
            </w:pPr>
            <w:r>
              <w:rPr>
                <w:rFonts w:hint="default" w:ascii="Times New Roman" w:hAnsi="Times New Roman" w:cs="Times New Roman"/>
                <w:snapToGrid w:val="0"/>
                <w:color w:val="auto"/>
                <w:kern w:val="18"/>
              </w:rPr>
              <w:t>等效连续A声级</w:t>
            </w:r>
          </w:p>
        </w:tc>
      </w:tr>
    </w:tbl>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eastAsia="zh-CN"/>
        </w:rPr>
      </w:pPr>
      <w:bookmarkStart w:id="52" w:name="_Toc27910"/>
      <w:r>
        <w:rPr>
          <w:rFonts w:hint="eastAsia" w:ascii="Times New Roman" w:hAnsi="Times New Roman" w:eastAsia="宋体" w:cs="Times New Roman"/>
          <w:color w:val="auto"/>
          <w:lang w:eastAsia="zh-CN"/>
        </w:rPr>
        <w:t>评价标准</w:t>
      </w:r>
      <w:bookmarkEnd w:id="52"/>
    </w:p>
    <w:p>
      <w:pPr>
        <w:pStyle w:val="154"/>
        <w:rPr>
          <w:color w:val="auto"/>
        </w:rPr>
      </w:pPr>
      <w:r>
        <w:rPr>
          <w:color w:val="auto"/>
        </w:rPr>
        <w:t>确定本项目环境质量评价标准和污染物排放标准如下：</w:t>
      </w:r>
    </w:p>
    <w:p>
      <w:pPr>
        <w:pStyle w:val="7"/>
        <w:spacing w:before="0" w:after="0" w:line="360" w:lineRule="auto"/>
        <w:ind w:left="0" w:firstLine="0"/>
        <w:rPr>
          <w:rFonts w:cs="Times New Roman"/>
          <w:color w:val="auto"/>
        </w:rPr>
      </w:pPr>
      <w:bookmarkStart w:id="53" w:name="_Toc14569"/>
      <w:r>
        <w:rPr>
          <w:rFonts w:cs="Times New Roman"/>
          <w:color w:val="auto"/>
        </w:rPr>
        <w:t>环境质量标准</w:t>
      </w:r>
      <w:bookmarkEnd w:id="53"/>
    </w:p>
    <w:p>
      <w:pPr>
        <w:pStyle w:val="154"/>
        <w:ind w:firstLine="480"/>
        <w:rPr>
          <w:color w:val="auto"/>
        </w:rPr>
      </w:pPr>
      <w:r>
        <w:rPr>
          <w:color w:val="auto"/>
        </w:rPr>
        <w:t>（1）环境空气</w:t>
      </w:r>
    </w:p>
    <w:p>
      <w:pPr>
        <w:autoSpaceDE w:val="0"/>
        <w:autoSpaceDN w:val="0"/>
        <w:adjustRightInd w:val="0"/>
        <w:ind w:firstLine="480" w:firstLineChars="200"/>
        <w:jc w:val="left"/>
        <w:rPr>
          <w:rFonts w:hint="eastAsia" w:ascii="宋体" w:hAnsi="宋体" w:eastAsia="宋体" w:cs="宋体"/>
          <w:b/>
          <w:bCs/>
          <w:color w:val="auto"/>
          <w:lang w:val="en-US" w:eastAsia="zh-CN"/>
        </w:rPr>
      </w:pPr>
      <w:r>
        <w:rPr>
          <w:rFonts w:ascii="Times New Roman" w:hAnsi="Times New Roman" w:cs="Times New Roman"/>
          <w:color w:val="auto"/>
          <w:sz w:val="24"/>
          <w:szCs w:val="24"/>
        </w:rPr>
        <w:t>环境空气执行《环境空气质量标准》（GB3095-2012）中的二级标准</w:t>
      </w:r>
      <w:r>
        <w:rPr>
          <w:rFonts w:hint="eastAsia" w:ascii="Times New Roman" w:hAnsi="Times New Roman" w:cs="Times New Roman"/>
          <w:color w:val="auto"/>
          <w:sz w:val="24"/>
          <w:szCs w:val="24"/>
          <w:lang w:eastAsia="zh-CN"/>
        </w:rPr>
        <w:t>其修改单（生态环境部【</w:t>
      </w:r>
      <w:r>
        <w:rPr>
          <w:rFonts w:hint="eastAsia" w:ascii="Times New Roman" w:hAnsi="Times New Roman" w:cs="Times New Roman"/>
          <w:color w:val="auto"/>
          <w:sz w:val="24"/>
          <w:szCs w:val="24"/>
          <w:lang w:val="en-US" w:eastAsia="zh-CN"/>
        </w:rPr>
        <w:t>2018】29号公告标准修改单）</w:t>
      </w:r>
      <w:r>
        <w:rPr>
          <w:rFonts w:ascii="Times New Roman" w:hAnsi="Times New Roman" w:cs="Times New Roman"/>
          <w:color w:val="auto"/>
          <w:sz w:val="24"/>
          <w:szCs w:val="24"/>
        </w:rPr>
        <w:t>，</w:t>
      </w:r>
      <w:r>
        <w:rPr>
          <w:rFonts w:hint="eastAsia" w:ascii="Times New Roman" w:hAnsi="Times New Roman" w:cs="Times New Roman"/>
          <w:color w:val="auto"/>
          <w:sz w:val="24"/>
          <w:szCs w:val="24"/>
        </w:rPr>
        <w:t>氨、硫化氢执行《环境影响评价技术导则大气环境》（HJ2.2-2018）中附录D</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其具体标准限值见下表所示。</w:t>
      </w:r>
    </w:p>
    <w:p>
      <w:pPr>
        <w:numPr>
          <w:ilvl w:val="0"/>
          <w:numId w:val="6"/>
        </w:numPr>
        <w:tabs>
          <w:tab w:val="left" w:pos="0"/>
        </w:tabs>
        <w:ind w:left="425" w:leftChars="0" w:hanging="425" w:firstLineChars="0"/>
        <w:jc w:val="center"/>
        <w:rPr>
          <w:rFonts w:hint="default" w:ascii="Times New Roman" w:hAnsi="Times New Roman" w:cs="Times New Roman"/>
          <w:b/>
          <w:bCs/>
          <w:color w:val="auto"/>
        </w:rPr>
      </w:pP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环境</w:t>
      </w:r>
      <w:r>
        <w:rPr>
          <w:rFonts w:hint="default" w:ascii="Times New Roman" w:hAnsi="Times New Roman" w:cs="Times New Roman"/>
          <w:b/>
          <w:bCs/>
          <w:color w:val="auto"/>
        </w:rPr>
        <w:t>空气质量标准  单位：mg/m</w:t>
      </w:r>
      <w:r>
        <w:rPr>
          <w:rFonts w:hint="default" w:ascii="Times New Roman" w:hAnsi="Times New Roman" w:cs="Times New Roman"/>
          <w:b/>
          <w:bCs/>
          <w:color w:val="auto"/>
          <w:vertAlign w:val="superscript"/>
        </w:rPr>
        <w:t>3</w:t>
      </w:r>
    </w:p>
    <w:tbl>
      <w:tblPr>
        <w:tblStyle w:val="88"/>
        <w:tblW w:w="831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534"/>
        <w:gridCol w:w="1058"/>
        <w:gridCol w:w="1450"/>
        <w:gridCol w:w="1425"/>
        <w:gridCol w:w="1425"/>
        <w:gridCol w:w="142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restart"/>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r>
              <w:rPr>
                <w:rFonts w:hint="default" w:ascii="Times New Roman" w:hAnsi="Times New Roman" w:cs="Times New Roman"/>
                <w:b/>
                <w:bCs/>
                <w:color w:val="auto"/>
                <w:sz w:val="21"/>
              </w:rPr>
              <w:t>评价标准</w:t>
            </w:r>
          </w:p>
        </w:tc>
        <w:tc>
          <w:tcPr>
            <w:tcW w:w="1058" w:type="dxa"/>
            <w:vMerge w:val="restart"/>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r>
              <w:rPr>
                <w:rFonts w:hint="default" w:ascii="Times New Roman" w:hAnsi="Times New Roman" w:cs="Times New Roman"/>
                <w:b/>
                <w:bCs/>
                <w:color w:val="auto"/>
                <w:sz w:val="21"/>
              </w:rPr>
              <w:t>污染物名称</w:t>
            </w:r>
          </w:p>
        </w:tc>
        <w:tc>
          <w:tcPr>
            <w:tcW w:w="5724" w:type="dxa"/>
            <w:gridSpan w:val="4"/>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r>
              <w:rPr>
                <w:rFonts w:hint="default" w:ascii="Times New Roman" w:hAnsi="Times New Roman" w:cs="Times New Roman"/>
                <w:b/>
                <w:bCs/>
                <w:color w:val="auto"/>
                <w:sz w:val="21"/>
              </w:rPr>
              <w:t>浓度限值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058"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450"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lang w:eastAsia="zh-CN"/>
              </w:rPr>
            </w:pPr>
            <w:r>
              <w:rPr>
                <w:rFonts w:hint="default" w:ascii="Times New Roman" w:hAnsi="Times New Roman" w:cs="Times New Roman"/>
                <w:b/>
                <w:bCs/>
                <w:color w:val="auto"/>
                <w:sz w:val="21"/>
              </w:rPr>
              <w:t>1小时平均</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rPr>
            </w:pPr>
            <w:r>
              <w:rPr>
                <w:rFonts w:hint="eastAsia" w:ascii="Times New Roman" w:hAnsi="Times New Roman" w:cs="Times New Roman"/>
                <w:b/>
                <w:color w:val="auto"/>
                <w:sz w:val="21"/>
                <w:lang w:eastAsia="zh-CN"/>
              </w:rPr>
              <w:t>日最大</w:t>
            </w:r>
            <w:r>
              <w:rPr>
                <w:rFonts w:hint="default" w:ascii="Times New Roman" w:hAnsi="Times New Roman" w:cs="Times New Roman"/>
                <w:b/>
                <w:color w:val="auto"/>
                <w:sz w:val="21"/>
                <w:lang w:eastAsia="zh-CN"/>
              </w:rPr>
              <w:t>8小时</w:t>
            </w:r>
            <w:r>
              <w:rPr>
                <w:rFonts w:hint="eastAsia" w:ascii="Times New Roman" w:hAnsi="Times New Roman" w:cs="Times New Roman"/>
                <w:b/>
                <w:color w:val="auto"/>
                <w:sz w:val="21"/>
                <w:lang w:eastAsia="zh-CN"/>
              </w:rPr>
              <w:t>平均</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lang w:eastAsia="zh-CN"/>
              </w:rPr>
            </w:pPr>
            <w:r>
              <w:rPr>
                <w:rFonts w:hint="default" w:ascii="Times New Roman" w:hAnsi="Times New Roman" w:cs="Times New Roman"/>
                <w:b/>
                <w:bCs/>
                <w:color w:val="auto"/>
                <w:sz w:val="21"/>
              </w:rPr>
              <w:t>日平均</w:t>
            </w:r>
          </w:p>
        </w:tc>
        <w:tc>
          <w:tcPr>
            <w:tcW w:w="1424"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lang w:eastAsia="zh-CN"/>
              </w:rPr>
            </w:pPr>
            <w:r>
              <w:rPr>
                <w:rFonts w:hint="default" w:ascii="Times New Roman" w:hAnsi="Times New Roman" w:cs="Times New Roman"/>
                <w:b/>
                <w:bCs/>
                <w:color w:val="auto"/>
                <w:sz w:val="21"/>
              </w:rPr>
              <w:t>年均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restart"/>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rPr>
              <w:t>GB3095-</w:t>
            </w:r>
            <w:r>
              <w:rPr>
                <w:rFonts w:hint="default" w:ascii="Times New Roman" w:hAnsi="Times New Roman" w:cs="Times New Roman"/>
                <w:color w:val="auto"/>
                <w:sz w:val="21"/>
                <w:lang w:eastAsia="zh-CN"/>
              </w:rPr>
              <w:t>2012</w:t>
            </w:r>
          </w:p>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rPr>
              <w:t>二级标准</w:t>
            </w:r>
          </w:p>
        </w:tc>
        <w:tc>
          <w:tcPr>
            <w:tcW w:w="1058"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SO</w:t>
            </w:r>
            <w:r>
              <w:rPr>
                <w:rFonts w:hint="default" w:ascii="Times New Roman" w:hAnsi="Times New Roman" w:cs="Times New Roman"/>
                <w:color w:val="auto"/>
                <w:sz w:val="21"/>
                <w:vertAlign w:val="subscript"/>
              </w:rPr>
              <w:t>2</w:t>
            </w:r>
          </w:p>
        </w:tc>
        <w:tc>
          <w:tcPr>
            <w:tcW w:w="1450"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0.50</w:t>
            </w:r>
          </w:p>
        </w:tc>
        <w:tc>
          <w:tcPr>
            <w:tcW w:w="14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0.15</w:t>
            </w:r>
          </w:p>
        </w:tc>
        <w:tc>
          <w:tcPr>
            <w:tcW w:w="1424"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0.06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058"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NO</w:t>
            </w:r>
            <w:r>
              <w:rPr>
                <w:rFonts w:hint="default" w:ascii="Times New Roman" w:hAnsi="Times New Roman" w:cs="Times New Roman"/>
                <w:color w:val="auto"/>
                <w:sz w:val="21"/>
                <w:vertAlign w:val="subscript"/>
              </w:rPr>
              <w:t>2</w:t>
            </w:r>
          </w:p>
        </w:tc>
        <w:tc>
          <w:tcPr>
            <w:tcW w:w="1450"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0.20</w:t>
            </w:r>
          </w:p>
        </w:tc>
        <w:tc>
          <w:tcPr>
            <w:tcW w:w="14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eastAsia="zh-CN"/>
              </w:rPr>
              <w:t>0.0</w:t>
            </w:r>
            <w:r>
              <w:rPr>
                <w:rFonts w:hint="eastAsia" w:ascii="Times New Roman" w:hAnsi="Times New Roman" w:cs="Times New Roman"/>
                <w:color w:val="auto"/>
                <w:sz w:val="21"/>
                <w:lang w:val="en-US" w:eastAsia="zh-CN"/>
              </w:rPr>
              <w:t>8</w:t>
            </w:r>
          </w:p>
        </w:tc>
        <w:tc>
          <w:tcPr>
            <w:tcW w:w="1424"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058"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PM</w:t>
            </w:r>
            <w:r>
              <w:rPr>
                <w:rFonts w:hint="default" w:ascii="Times New Roman" w:hAnsi="Times New Roman" w:cs="Times New Roman"/>
                <w:color w:val="auto"/>
                <w:sz w:val="21"/>
                <w:vertAlign w:val="subscript"/>
              </w:rPr>
              <w:t>10</w:t>
            </w:r>
          </w:p>
        </w:tc>
        <w:tc>
          <w:tcPr>
            <w:tcW w:w="1450"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c>
          <w:tcPr>
            <w:tcW w:w="14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0.15</w:t>
            </w:r>
          </w:p>
        </w:tc>
        <w:tc>
          <w:tcPr>
            <w:tcW w:w="1424"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0.07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058"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rPr>
              <w:t>PM</w:t>
            </w:r>
            <w:r>
              <w:rPr>
                <w:rFonts w:hint="default" w:ascii="Times New Roman" w:hAnsi="Times New Roman" w:cs="Times New Roman"/>
                <w:color w:val="auto"/>
                <w:sz w:val="21"/>
                <w:vertAlign w:val="subscript"/>
                <w:lang w:eastAsia="zh-CN"/>
              </w:rPr>
              <w:t>2.5</w:t>
            </w:r>
          </w:p>
        </w:tc>
        <w:tc>
          <w:tcPr>
            <w:tcW w:w="1450"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c>
          <w:tcPr>
            <w:tcW w:w="14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0.075</w:t>
            </w:r>
          </w:p>
        </w:tc>
        <w:tc>
          <w:tcPr>
            <w:tcW w:w="1424"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0.035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058"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eastAsia" w:ascii="Times New Roman" w:hAnsi="Times New Roman" w:cs="Times New Roman"/>
                <w:color w:val="auto"/>
                <w:sz w:val="21"/>
                <w:lang w:eastAsia="zh-CN"/>
              </w:rPr>
              <w:t>CO</w:t>
            </w:r>
          </w:p>
        </w:tc>
        <w:tc>
          <w:tcPr>
            <w:tcW w:w="1450"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10</w:t>
            </w:r>
          </w:p>
        </w:tc>
        <w:tc>
          <w:tcPr>
            <w:tcW w:w="14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4</w:t>
            </w:r>
          </w:p>
        </w:tc>
        <w:tc>
          <w:tcPr>
            <w:tcW w:w="1424"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058"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eastAsia" w:ascii="Times New Roman" w:hAnsi="Times New Roman" w:cs="Times New Roman"/>
                <w:color w:val="auto"/>
                <w:sz w:val="21"/>
                <w:lang w:eastAsia="zh-CN"/>
              </w:rPr>
              <w:t>O</w:t>
            </w:r>
            <w:r>
              <w:rPr>
                <w:rFonts w:hint="eastAsia" w:ascii="Times New Roman" w:hAnsi="Times New Roman" w:cs="Times New Roman"/>
                <w:color w:val="auto"/>
                <w:sz w:val="21"/>
                <w:vertAlign w:val="subscript"/>
                <w:lang w:eastAsia="zh-CN"/>
              </w:rPr>
              <w:t>3</w:t>
            </w:r>
          </w:p>
        </w:tc>
        <w:tc>
          <w:tcPr>
            <w:tcW w:w="1450"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0.2</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0.16</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c>
          <w:tcPr>
            <w:tcW w:w="1424"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rPr>
              <w:t>HJ2.2-2018</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rPr>
              <w:t>附录D</w:t>
            </w:r>
          </w:p>
        </w:tc>
        <w:tc>
          <w:tcPr>
            <w:tcW w:w="1058"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eastAsia" w:ascii="Times New Roman" w:hAnsi="Times New Roman" w:cs="Times New Roman"/>
                <w:color w:val="auto"/>
                <w:sz w:val="21"/>
                <w:lang w:eastAsia="zh-CN"/>
              </w:rPr>
              <w:t>NH</w:t>
            </w:r>
            <w:r>
              <w:rPr>
                <w:rFonts w:hint="eastAsia" w:ascii="Times New Roman" w:hAnsi="Times New Roman" w:cs="Times New Roman"/>
                <w:color w:val="auto"/>
                <w:sz w:val="21"/>
                <w:vertAlign w:val="subscript"/>
                <w:lang w:eastAsia="zh-CN"/>
              </w:rPr>
              <w:t>3</w:t>
            </w:r>
          </w:p>
        </w:tc>
        <w:tc>
          <w:tcPr>
            <w:tcW w:w="1450"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eastAsia" w:ascii="Times New Roman" w:hAnsi="Times New Roman" w:cs="Times New Roman"/>
                <w:color w:val="auto"/>
                <w:sz w:val="21"/>
                <w:lang w:eastAsia="zh-CN"/>
              </w:rPr>
              <w:t>0.2</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c>
          <w:tcPr>
            <w:tcW w:w="1424"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53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1058"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eastAsia" w:ascii="Times New Roman" w:hAnsi="Times New Roman" w:cs="Times New Roman"/>
                <w:color w:val="auto"/>
                <w:sz w:val="21"/>
                <w:lang w:eastAsia="zh-CN"/>
              </w:rPr>
              <w:t>H</w:t>
            </w:r>
            <w:r>
              <w:rPr>
                <w:rFonts w:hint="eastAsia" w:ascii="Times New Roman" w:hAnsi="Times New Roman" w:cs="Times New Roman"/>
                <w:color w:val="auto"/>
                <w:sz w:val="21"/>
                <w:vertAlign w:val="subscript"/>
                <w:lang w:eastAsia="zh-CN"/>
              </w:rPr>
              <w:t>2</w:t>
            </w:r>
            <w:r>
              <w:rPr>
                <w:rFonts w:hint="eastAsia" w:ascii="Times New Roman" w:hAnsi="Times New Roman" w:cs="Times New Roman"/>
                <w:color w:val="auto"/>
                <w:sz w:val="21"/>
                <w:lang w:eastAsia="zh-CN"/>
              </w:rPr>
              <w:t>S</w:t>
            </w:r>
          </w:p>
        </w:tc>
        <w:tc>
          <w:tcPr>
            <w:tcW w:w="1450"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eastAsia" w:ascii="Times New Roman" w:hAnsi="Times New Roman" w:cs="Times New Roman"/>
                <w:color w:val="auto"/>
                <w:sz w:val="21"/>
                <w:lang w:eastAsia="zh-CN"/>
              </w:rPr>
              <w:t>0.01</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c>
          <w:tcPr>
            <w:tcW w:w="1425"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c>
          <w:tcPr>
            <w:tcW w:w="1424" w:type="dxa"/>
            <w:tcBorders>
              <w:tl2br w:val="nil"/>
              <w:tr2bl w:val="nil"/>
            </w:tcBorders>
            <w:vAlign w:val="center"/>
          </w:tcPr>
          <w:p>
            <w:pPr>
              <w:pStyle w:val="163"/>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eastAsia="zh-CN"/>
              </w:rPr>
            </w:pPr>
            <w:r>
              <w:rPr>
                <w:rFonts w:hint="default" w:ascii="Times New Roman" w:hAnsi="Times New Roman" w:cs="Times New Roman"/>
                <w:color w:val="auto"/>
                <w:sz w:val="21"/>
                <w:lang w:eastAsia="zh-CN"/>
              </w:rPr>
              <w:t>—</w:t>
            </w:r>
          </w:p>
        </w:tc>
      </w:tr>
    </w:tbl>
    <w:p>
      <w:pPr>
        <w:pStyle w:val="154"/>
        <w:ind w:firstLine="480"/>
        <w:rPr>
          <w:color w:val="auto"/>
        </w:rPr>
      </w:pPr>
      <w:r>
        <w:rPr>
          <w:color w:val="auto"/>
        </w:rPr>
        <w:t>（2）地表水</w:t>
      </w:r>
    </w:p>
    <w:p>
      <w:pPr>
        <w:pStyle w:val="154"/>
        <w:ind w:firstLine="480"/>
        <w:rPr>
          <w:rFonts w:hint="eastAsia"/>
          <w:color w:val="auto"/>
          <w:lang w:val="en-US" w:eastAsia="zh-CN"/>
        </w:rPr>
      </w:pPr>
      <w:r>
        <w:rPr>
          <w:color w:val="auto"/>
        </w:rPr>
        <w:t>地表水执行《地表水环境质量标准》（GB3838-2002）中的</w:t>
      </w:r>
      <w:r>
        <w:rPr>
          <w:rFonts w:hint="eastAsia" w:ascii="宋体" w:hAnsi="宋体" w:cs="宋体"/>
          <w:color w:val="auto"/>
        </w:rPr>
        <w:t>Ⅲ</w:t>
      </w:r>
      <w:r>
        <w:rPr>
          <w:color w:val="auto"/>
        </w:rPr>
        <w:t>类水域标准，具体标准值见下表。</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地表水环境质量标准（GB3838-2002）（摘录）单位：mg/L（pH无量纲）</w:t>
      </w:r>
    </w:p>
    <w:tbl>
      <w:tblPr>
        <w:tblStyle w:val="88"/>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49"/>
        <w:gridCol w:w="810"/>
        <w:gridCol w:w="840"/>
        <w:gridCol w:w="961"/>
        <w:gridCol w:w="1075"/>
        <w:gridCol w:w="1462"/>
        <w:gridCol w:w="950"/>
        <w:gridCol w:w="107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49"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rPr>
            </w:pPr>
            <w:r>
              <w:rPr>
                <w:rFonts w:hint="default" w:ascii="Times New Roman" w:hAnsi="Times New Roman" w:cs="Times New Roman"/>
                <w:b/>
                <w:color w:val="auto"/>
                <w:kern w:val="0"/>
              </w:rPr>
              <w:t>项目</w:t>
            </w:r>
          </w:p>
        </w:tc>
        <w:tc>
          <w:tcPr>
            <w:tcW w:w="810"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rPr>
            </w:pPr>
            <w:r>
              <w:rPr>
                <w:rFonts w:hint="default" w:ascii="Times New Roman" w:hAnsi="Times New Roman" w:cs="Times New Roman"/>
                <w:color w:val="auto"/>
                <w:kern w:val="0"/>
              </w:rPr>
              <w:t>pH</w:t>
            </w:r>
          </w:p>
        </w:tc>
        <w:tc>
          <w:tcPr>
            <w:tcW w:w="840"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rPr>
            </w:pPr>
            <w:r>
              <w:rPr>
                <w:rFonts w:hint="default" w:ascii="Times New Roman" w:hAnsi="Times New Roman" w:cs="Times New Roman"/>
                <w:color w:val="auto"/>
                <w:kern w:val="0"/>
              </w:rPr>
              <w:t>COD</w:t>
            </w:r>
          </w:p>
        </w:tc>
        <w:tc>
          <w:tcPr>
            <w:tcW w:w="961"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rPr>
            </w:pPr>
            <w:r>
              <w:rPr>
                <w:rFonts w:hint="default" w:ascii="Times New Roman" w:hAnsi="Times New Roman" w:cs="Times New Roman"/>
                <w:color w:val="auto"/>
                <w:kern w:val="0"/>
              </w:rPr>
              <w:t>BOD</w:t>
            </w:r>
            <w:r>
              <w:rPr>
                <w:rFonts w:hint="default" w:ascii="Times New Roman" w:hAnsi="Times New Roman" w:cs="Times New Roman"/>
                <w:color w:val="auto"/>
                <w:kern w:val="0"/>
                <w:vertAlign w:val="subscript"/>
              </w:rPr>
              <w:t>5</w:t>
            </w: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rPr>
            </w:pPr>
            <w:r>
              <w:rPr>
                <w:rFonts w:hint="default" w:ascii="Times New Roman" w:hAnsi="Times New Roman" w:cs="Times New Roman"/>
                <w:color w:val="auto"/>
                <w:kern w:val="0"/>
              </w:rPr>
              <w:t>NH</w:t>
            </w:r>
            <w:r>
              <w:rPr>
                <w:rFonts w:hint="default" w:ascii="Times New Roman" w:hAnsi="Times New Roman" w:cs="Times New Roman"/>
                <w:color w:val="auto"/>
                <w:kern w:val="0"/>
                <w:vertAlign w:val="subscript"/>
              </w:rPr>
              <w:t>3</w:t>
            </w:r>
            <w:r>
              <w:rPr>
                <w:rFonts w:hint="default" w:ascii="Times New Roman" w:hAnsi="Times New Roman" w:cs="Times New Roman"/>
                <w:color w:val="auto"/>
                <w:kern w:val="0"/>
              </w:rPr>
              <w:t>-N</w:t>
            </w:r>
          </w:p>
        </w:tc>
        <w:tc>
          <w:tcPr>
            <w:tcW w:w="1462"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rPr>
              <w:t>总磷</w:t>
            </w:r>
          </w:p>
        </w:tc>
        <w:tc>
          <w:tcPr>
            <w:tcW w:w="950"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eastAsia" w:ascii="Times New Roman" w:hAnsi="Times New Roman" w:cs="Times New Roman" w:eastAsiaTheme="minorEastAsia"/>
                <w:color w:val="auto"/>
                <w:kern w:val="0"/>
                <w:lang w:eastAsia="zh-CN"/>
              </w:rPr>
            </w:pPr>
            <w:r>
              <w:rPr>
                <w:rFonts w:hint="eastAsia" w:ascii="Times New Roman" w:hAnsi="Times New Roman" w:cs="Times New Roman"/>
                <w:color w:val="auto"/>
                <w:kern w:val="0"/>
                <w:lang w:eastAsia="zh-CN"/>
              </w:rPr>
              <w:t>总氮</w:t>
            </w: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eastAsiaTheme="minorEastAsia"/>
                <w:color w:val="auto"/>
                <w:kern w:val="0"/>
                <w:lang w:val="en-US" w:eastAsia="zh-CN"/>
              </w:rPr>
            </w:pPr>
            <w:r>
              <w:rPr>
                <w:rFonts w:hint="eastAsia" w:ascii="Times New Roman" w:hAnsi="Times New Roman" w:cs="Times New Roman"/>
                <w:color w:val="auto"/>
                <w:kern w:val="0"/>
                <w:lang w:eastAsia="zh-CN"/>
              </w:rPr>
              <w:t>粪大肠菌群（个</w:t>
            </w:r>
            <w:r>
              <w:rPr>
                <w:rFonts w:hint="eastAsia" w:ascii="Times New Roman" w:hAnsi="Times New Roman" w:cs="Times New Roman"/>
                <w:color w:val="auto"/>
                <w:kern w:val="0"/>
                <w:lang w:val="en-US" w:eastAsia="zh-CN"/>
              </w:rPr>
              <w:t>/L）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49"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rPr>
            </w:pPr>
            <w:r>
              <w:rPr>
                <w:rFonts w:hint="eastAsia" w:ascii="宋体" w:hAnsi="宋体" w:eastAsia="宋体" w:cs="宋体"/>
                <w:b/>
                <w:color w:val="auto"/>
                <w:kern w:val="0"/>
              </w:rPr>
              <w:t>Ⅲ</w:t>
            </w:r>
            <w:r>
              <w:rPr>
                <w:rFonts w:hint="default" w:ascii="Times New Roman" w:hAnsi="Times New Roman" w:cs="Times New Roman"/>
                <w:b/>
                <w:color w:val="auto"/>
                <w:kern w:val="0"/>
              </w:rPr>
              <w:t>类标准</w:t>
            </w:r>
          </w:p>
        </w:tc>
        <w:tc>
          <w:tcPr>
            <w:tcW w:w="810"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rPr>
            </w:pPr>
            <w:r>
              <w:rPr>
                <w:rFonts w:hint="default" w:ascii="Times New Roman" w:hAnsi="Times New Roman" w:cs="Times New Roman"/>
                <w:color w:val="auto"/>
                <w:kern w:val="0"/>
              </w:rPr>
              <w:t>6～9</w:t>
            </w:r>
          </w:p>
        </w:tc>
        <w:tc>
          <w:tcPr>
            <w:tcW w:w="840"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rPr>
            </w:pPr>
            <w:r>
              <w:rPr>
                <w:rFonts w:hint="default" w:ascii="Times New Roman" w:hAnsi="Times New Roman" w:cs="Times New Roman"/>
                <w:color w:val="auto"/>
                <w:kern w:val="0"/>
              </w:rPr>
              <w:t>20</w:t>
            </w:r>
          </w:p>
        </w:tc>
        <w:tc>
          <w:tcPr>
            <w:tcW w:w="961"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rPr>
            </w:pPr>
            <w:r>
              <w:rPr>
                <w:rFonts w:hint="default" w:ascii="Times New Roman" w:hAnsi="Times New Roman" w:cs="Times New Roman"/>
                <w:color w:val="auto"/>
                <w:kern w:val="0"/>
              </w:rPr>
              <w:t>4</w:t>
            </w: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rPr>
            </w:pPr>
            <w:r>
              <w:rPr>
                <w:rFonts w:hint="default" w:ascii="Times New Roman" w:hAnsi="Times New Roman" w:cs="Times New Roman"/>
                <w:color w:val="auto"/>
                <w:kern w:val="0"/>
              </w:rPr>
              <w:t>1.0</w:t>
            </w:r>
          </w:p>
        </w:tc>
        <w:tc>
          <w:tcPr>
            <w:tcW w:w="1462"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rPr>
              <w:t>0.2</w:t>
            </w:r>
          </w:p>
        </w:tc>
        <w:tc>
          <w:tcPr>
            <w:tcW w:w="950"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rPr>
            </w:pPr>
            <w:r>
              <w:rPr>
                <w:rFonts w:hint="default" w:ascii="Times New Roman" w:hAnsi="Times New Roman" w:cs="Times New Roman"/>
                <w:color w:val="auto"/>
                <w:kern w:val="0"/>
              </w:rPr>
              <w:t>1.0</w:t>
            </w:r>
          </w:p>
        </w:tc>
        <w:tc>
          <w:tcPr>
            <w:tcW w:w="1075" w:type="dxa"/>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eastAsiaTheme="minorEastAsia"/>
                <w:color w:val="auto"/>
                <w:kern w:val="0"/>
                <w:lang w:val="en-US" w:eastAsia="zh-CN"/>
              </w:rPr>
            </w:pPr>
            <w:r>
              <w:rPr>
                <w:rFonts w:hint="default" w:ascii="Arial" w:hAnsi="Arial" w:cs="Arial"/>
                <w:color w:val="auto"/>
                <w:kern w:val="0"/>
                <w:lang w:val="en-US" w:eastAsia="zh-CN"/>
              </w:rPr>
              <w:t>≤</w:t>
            </w:r>
            <w:r>
              <w:rPr>
                <w:rFonts w:hint="eastAsia" w:ascii="Times New Roman" w:hAnsi="Times New Roman" w:cs="Times New Roman"/>
                <w:color w:val="auto"/>
                <w:kern w:val="0"/>
                <w:lang w:val="en-US" w:eastAsia="zh-CN"/>
              </w:rPr>
              <w:t>10000</w:t>
            </w:r>
          </w:p>
        </w:tc>
      </w:tr>
    </w:tbl>
    <w:p>
      <w:pPr>
        <w:pStyle w:val="154"/>
        <w:ind w:firstLine="480"/>
        <w:rPr>
          <w:color w:val="auto"/>
        </w:rPr>
      </w:pPr>
      <w:r>
        <w:rPr>
          <w:color w:val="auto"/>
        </w:rPr>
        <w:t>（3）地下水</w:t>
      </w:r>
    </w:p>
    <w:p>
      <w:pPr>
        <w:pStyle w:val="154"/>
        <w:ind w:firstLine="480"/>
        <w:rPr>
          <w:color w:val="auto"/>
        </w:rPr>
      </w:pPr>
      <w:r>
        <w:rPr>
          <w:color w:val="auto"/>
        </w:rPr>
        <w:t>地下水执行《地下水质量标准》（GB/T14848-2017）中的</w:t>
      </w:r>
      <w:r>
        <w:rPr>
          <w:rFonts w:hint="eastAsia" w:ascii="宋体" w:hAnsi="宋体" w:cs="宋体"/>
          <w:color w:val="auto"/>
        </w:rPr>
        <w:t>Ⅲ</w:t>
      </w:r>
      <w:r>
        <w:rPr>
          <w:color w:val="auto"/>
        </w:rPr>
        <w:t>类水域标准，具体标准值见下表。</w:t>
      </w:r>
    </w:p>
    <w:p>
      <w:pPr>
        <w:numPr>
          <w:ilvl w:val="0"/>
          <w:numId w:val="6"/>
        </w:numPr>
        <w:tabs>
          <w:tab w:val="left" w:pos="0"/>
        </w:tabs>
        <w:ind w:left="425" w:leftChars="0" w:hanging="425" w:firstLineChars="0"/>
        <w:jc w:val="center"/>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地下水质量标准（GB/T14848-2017）（摘录）单位：mg/L（pH无量纲）</w:t>
      </w:r>
    </w:p>
    <w:tbl>
      <w:tblPr>
        <w:tblStyle w:val="88"/>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925"/>
        <w:gridCol w:w="926"/>
        <w:gridCol w:w="926"/>
        <w:gridCol w:w="924"/>
        <w:gridCol w:w="924"/>
        <w:gridCol w:w="924"/>
        <w:gridCol w:w="1664"/>
        <w:gridCol w:w="13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rPr>
            </w:pPr>
            <w:r>
              <w:rPr>
                <w:rFonts w:hint="default" w:ascii="Times New Roman" w:hAnsi="Times New Roman" w:cs="Times New Roman"/>
                <w:b/>
                <w:color w:val="auto"/>
                <w:kern w:val="0"/>
              </w:rPr>
              <w:t>项目</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pH值</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lang w:val="en-US" w:eastAsia="zh-CN"/>
              </w:rPr>
            </w:pPr>
            <w:r>
              <w:rPr>
                <w:rFonts w:hint="default" w:ascii="Times New Roman" w:hAnsi="Times New Roman" w:eastAsia="宋体" w:cs="Times New Roman"/>
                <w:b/>
                <w:bCs/>
                <w:color w:val="auto"/>
                <w:kern w:val="0"/>
              </w:rPr>
              <w:t>氨氮</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sz w:val="21"/>
                <w:szCs w:val="21"/>
                <w:lang w:val="en-US" w:eastAsia="zh-CN"/>
              </w:rPr>
              <w:t>硝酸盐</w:t>
            </w:r>
            <w:r>
              <w:rPr>
                <w:rFonts w:hint="default" w:ascii="Times New Roman" w:hAnsi="Times New Roman" w:eastAsia="宋体" w:cs="Times New Roman"/>
                <w:b/>
                <w:bCs/>
                <w:color w:val="auto"/>
                <w:kern w:val="0"/>
              </w:rPr>
              <w:t>（以N计）</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lang w:val="en-US" w:eastAsia="zh-CN"/>
              </w:rPr>
            </w:pPr>
            <w:r>
              <w:rPr>
                <w:rFonts w:hint="default" w:ascii="Times New Roman" w:hAnsi="Times New Roman" w:eastAsia="宋体" w:cs="Times New Roman"/>
                <w:b/>
                <w:bCs/>
                <w:color w:val="auto"/>
                <w:kern w:val="0"/>
              </w:rPr>
              <w:t>亚硝酸盐（以N计）</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lang w:val="en-US" w:eastAsia="zh-CN"/>
              </w:rPr>
            </w:pPr>
            <w:r>
              <w:rPr>
                <w:rFonts w:hint="default" w:ascii="Times New Roman" w:hAnsi="Times New Roman" w:eastAsia="宋体" w:cs="Times New Roman"/>
                <w:b/>
                <w:bCs/>
                <w:color w:val="auto"/>
                <w:kern w:val="0"/>
              </w:rPr>
              <w:t>砷</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汞</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六价铬</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rPr>
            </w:pPr>
            <w:r>
              <w:rPr>
                <w:rFonts w:hint="eastAsia" w:ascii="宋体" w:hAnsi="宋体" w:eastAsia="宋体" w:cs="宋体"/>
                <w:b/>
                <w:color w:val="auto"/>
                <w:kern w:val="0"/>
              </w:rPr>
              <w:t>Ⅲ</w:t>
            </w:r>
            <w:r>
              <w:rPr>
                <w:rFonts w:hint="default" w:ascii="Times New Roman" w:hAnsi="Times New Roman" w:cs="Times New Roman"/>
                <w:b/>
                <w:color w:val="auto"/>
                <w:kern w:val="0"/>
              </w:rPr>
              <w:t>类标准</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6.5~8.5</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0.5</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lang w:val="en-US"/>
              </w:rPr>
            </w:pPr>
            <w:r>
              <w:rPr>
                <w:rFonts w:hint="default" w:ascii="Arial" w:hAnsi="Arial" w:eastAsia="宋体" w:cs="Arial"/>
                <w:color w:val="auto"/>
                <w:kern w:val="0"/>
              </w:rPr>
              <w:t>≤</w:t>
            </w:r>
            <w:r>
              <w:rPr>
                <w:rFonts w:hint="eastAsia" w:ascii="Times New Roman" w:hAnsi="Times New Roman" w:eastAsia="宋体" w:cs="Times New Roman"/>
                <w:color w:val="auto"/>
                <w:kern w:val="0"/>
                <w:lang w:val="en-US" w:eastAsia="zh-CN"/>
              </w:rPr>
              <w:t>20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default" w:ascii="Arial" w:hAnsi="Arial" w:eastAsia="宋体" w:cs="Arial"/>
                <w:color w:val="auto"/>
                <w:kern w:val="0"/>
              </w:rPr>
              <w:t>≤</w:t>
            </w:r>
            <w:r>
              <w:rPr>
                <w:rFonts w:hint="eastAsia" w:ascii="Times New Roman" w:hAnsi="Times New Roman" w:eastAsia="宋体" w:cs="Times New Roman"/>
                <w:color w:val="auto"/>
                <w:kern w:val="0"/>
                <w:lang w:val="en-US" w:eastAsia="zh-CN"/>
              </w:rPr>
              <w:t>1.0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0.01</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0.001</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0.05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rPr>
            </w:pPr>
            <w:r>
              <w:rPr>
                <w:rFonts w:hint="default" w:ascii="Times New Roman" w:hAnsi="Times New Roman" w:cs="Times New Roman"/>
                <w:b/>
                <w:color w:val="auto"/>
                <w:kern w:val="0"/>
              </w:rPr>
              <w:t>项目</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rPr>
              <w:t>铅</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rPr>
              <w:t>镉</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kern w:val="0"/>
                <w:lang w:eastAsia="zh-CN"/>
              </w:rPr>
            </w:pPr>
            <w:r>
              <w:rPr>
                <w:rFonts w:hint="eastAsia" w:ascii="Times New Roman" w:hAnsi="Times New Roman" w:eastAsia="宋体" w:cs="Times New Roman"/>
                <w:b/>
                <w:bCs/>
                <w:color w:val="auto"/>
                <w:kern w:val="0"/>
                <w:lang w:eastAsia="zh-CN"/>
              </w:rPr>
              <w:t>氰化物</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铁</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锰</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耗氧量</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硫酸盐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rPr>
            </w:pPr>
            <w:r>
              <w:rPr>
                <w:rFonts w:hint="eastAsia" w:ascii="宋体" w:hAnsi="宋体" w:eastAsia="宋体" w:cs="宋体"/>
                <w:b/>
                <w:color w:val="auto"/>
                <w:kern w:val="0"/>
              </w:rPr>
              <w:t>Ⅲ</w:t>
            </w:r>
            <w:r>
              <w:rPr>
                <w:rFonts w:hint="default" w:ascii="Times New Roman" w:hAnsi="Times New Roman" w:cs="Times New Roman"/>
                <w:b/>
                <w:color w:val="auto"/>
                <w:kern w:val="0"/>
              </w:rPr>
              <w:t>类标准</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0.01</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0.005</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lang w:val="en-US" w:eastAsia="zh-CN"/>
              </w:rPr>
            </w:pPr>
            <w:r>
              <w:rPr>
                <w:rFonts w:hint="default" w:ascii="Arial" w:hAnsi="Arial" w:eastAsia="宋体" w:cs="Arial"/>
                <w:color w:val="auto"/>
                <w:kern w:val="0"/>
              </w:rPr>
              <w:t>≤</w:t>
            </w:r>
            <w:r>
              <w:rPr>
                <w:rFonts w:hint="eastAsia" w:ascii="Times New Roman" w:hAnsi="Times New Roman" w:eastAsia="宋体" w:cs="Times New Roman"/>
                <w:color w:val="auto"/>
                <w:kern w:val="0"/>
                <w:lang w:val="en-US" w:eastAsia="zh-CN"/>
              </w:rPr>
              <w:t>0.05</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0.3</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0.1</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3.0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250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rPr>
            </w:pPr>
            <w:r>
              <w:rPr>
                <w:rFonts w:hint="default" w:ascii="Times New Roman" w:hAnsi="Times New Roman" w:cs="Times New Roman"/>
                <w:b/>
                <w:color w:val="auto"/>
                <w:kern w:val="0"/>
              </w:rPr>
              <w:t>项目</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溶解性总固体</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氯化物</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kern w:val="0"/>
                <w:lang w:eastAsia="zh-CN"/>
              </w:rPr>
            </w:pPr>
            <w:r>
              <w:rPr>
                <w:rFonts w:hint="eastAsia" w:ascii="Times New Roman" w:hAnsi="Times New Roman" w:eastAsia="宋体" w:cs="Times New Roman"/>
                <w:b/>
                <w:bCs/>
                <w:color w:val="auto"/>
                <w:kern w:val="0"/>
                <w:lang w:eastAsia="zh-CN"/>
              </w:rPr>
              <w:t>氟化物</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阴离子表面活性剂</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钠</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lang w:val="en-US" w:eastAsia="zh-CN"/>
              </w:rPr>
            </w:pPr>
            <w:r>
              <w:rPr>
                <w:rFonts w:hint="eastAsia" w:ascii="Times New Roman" w:hAnsi="Times New Roman" w:eastAsia="宋体" w:cs="Times New Roman"/>
                <w:b/>
                <w:bCs/>
                <w:color w:val="auto"/>
                <w:kern w:val="0"/>
                <w:lang w:eastAsia="zh-CN"/>
              </w:rPr>
              <w:t>总大肠菌群（</w:t>
            </w:r>
            <w:r>
              <w:rPr>
                <w:rFonts w:hint="eastAsia" w:ascii="Times New Roman" w:hAnsi="Times New Roman" w:eastAsia="宋体" w:cs="Times New Roman"/>
                <w:b/>
                <w:bCs/>
                <w:color w:val="auto"/>
                <w:kern w:val="0"/>
                <w:lang w:val="en-US" w:eastAsia="zh-CN"/>
              </w:rPr>
              <w:t>MPN/100mL)</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eastAsia" w:ascii="Times New Roman" w:hAnsi="Times New Roman" w:eastAsia="宋体" w:cs="Times New Roman"/>
                <w:b/>
                <w:bCs/>
                <w:color w:val="auto"/>
                <w:kern w:val="0"/>
                <w:lang w:eastAsia="zh-CN"/>
              </w:rPr>
              <w:t>菌落总数（</w:t>
            </w:r>
            <w:r>
              <w:rPr>
                <w:rFonts w:hint="eastAsia" w:ascii="Times New Roman" w:hAnsi="Times New Roman" w:eastAsia="宋体" w:cs="Times New Roman"/>
                <w:b/>
                <w:bCs/>
                <w:color w:val="auto"/>
                <w:kern w:val="0"/>
                <w:lang w:val="en-US" w:eastAsia="zh-CN"/>
              </w:rPr>
              <w:t>CFU/mL)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rPr>
            </w:pPr>
            <w:r>
              <w:rPr>
                <w:rFonts w:hint="eastAsia" w:ascii="宋体" w:hAnsi="宋体" w:eastAsia="宋体" w:cs="宋体"/>
                <w:b/>
                <w:color w:val="auto"/>
                <w:kern w:val="0"/>
              </w:rPr>
              <w:t>Ⅲ</w:t>
            </w:r>
            <w:r>
              <w:rPr>
                <w:rFonts w:hint="default" w:ascii="Times New Roman" w:hAnsi="Times New Roman" w:cs="Times New Roman"/>
                <w:b/>
                <w:color w:val="auto"/>
                <w:kern w:val="0"/>
              </w:rPr>
              <w:t>类标准</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1000</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250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lang w:val="en-US" w:eastAsia="zh-CN"/>
              </w:rPr>
            </w:pPr>
            <w:r>
              <w:rPr>
                <w:rFonts w:hint="default" w:ascii="Arial" w:hAnsi="Arial" w:eastAsia="宋体" w:cs="Arial"/>
                <w:color w:val="auto"/>
                <w:kern w:val="0"/>
              </w:rPr>
              <w:t>≤</w:t>
            </w:r>
            <w:r>
              <w:rPr>
                <w:rFonts w:hint="eastAsia" w:ascii="Times New Roman" w:hAnsi="Times New Roman" w:eastAsia="宋体" w:cs="Times New Roman"/>
                <w:color w:val="auto"/>
                <w:kern w:val="0"/>
                <w:lang w:val="en-US" w:eastAsia="zh-CN"/>
              </w:rPr>
              <w:t>1.0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0.3</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Arial" w:hAnsi="Arial" w:eastAsia="宋体" w:cs="Arial"/>
                <w:color w:val="auto"/>
                <w:kern w:val="0"/>
              </w:rPr>
              <w:t>≤</w:t>
            </w:r>
            <w:r>
              <w:rPr>
                <w:rFonts w:hint="default" w:ascii="Times New Roman" w:hAnsi="Times New Roman" w:eastAsia="宋体" w:cs="Times New Roman"/>
                <w:color w:val="auto"/>
                <w:kern w:val="0"/>
              </w:rPr>
              <w:t>200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lang w:val="en-US" w:eastAsia="zh-CN"/>
              </w:rPr>
            </w:pPr>
            <w:r>
              <w:rPr>
                <w:rFonts w:hint="default" w:ascii="Arial" w:hAnsi="Arial" w:eastAsia="宋体" w:cs="Arial"/>
                <w:color w:val="auto"/>
                <w:kern w:val="0"/>
              </w:rPr>
              <w:t>≤</w:t>
            </w:r>
            <w:r>
              <w:rPr>
                <w:rFonts w:hint="eastAsia" w:ascii="Times New Roman" w:hAnsi="Times New Roman" w:eastAsia="宋体" w:cs="Times New Roman"/>
                <w:color w:val="auto"/>
                <w:kern w:val="0"/>
                <w:lang w:val="en-US" w:eastAsia="zh-CN"/>
              </w:rPr>
              <w:t>3</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val="en-US" w:eastAsia="zh-CN"/>
              </w:rPr>
            </w:pPr>
            <w:r>
              <w:rPr>
                <w:rFonts w:hint="default" w:ascii="Arial" w:hAnsi="Arial" w:eastAsia="宋体" w:cs="Arial"/>
                <w:color w:val="auto"/>
                <w:kern w:val="0"/>
              </w:rPr>
              <w:t>≤</w:t>
            </w:r>
            <w:r>
              <w:rPr>
                <w:rFonts w:hint="eastAsia" w:ascii="Times New Roman" w:hAnsi="Times New Roman" w:eastAsia="宋体" w:cs="Times New Roman"/>
                <w:color w:val="auto"/>
                <w:kern w:val="0"/>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41" w:type="dxa"/>
            <w:tcBorders>
              <w:tl2br w:val="nil"/>
              <w:tr2bl w:val="nil"/>
            </w:tcBorders>
            <w:vAlign w:val="center"/>
          </w:tcPr>
          <w:p>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eastAsia" w:ascii="宋体" w:hAnsi="宋体" w:eastAsia="宋体" w:cs="宋体"/>
                <w:b/>
                <w:color w:val="auto"/>
                <w:kern w:val="0"/>
              </w:rPr>
            </w:pPr>
            <w:r>
              <w:rPr>
                <w:rFonts w:hint="default" w:ascii="Times New Roman" w:hAnsi="Times New Roman" w:cs="Times New Roman"/>
                <w:b/>
                <w:color w:val="auto"/>
                <w:kern w:val="0"/>
              </w:rPr>
              <w:t>项目</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b/>
                <w:bCs/>
                <w:color w:val="auto"/>
                <w:kern w:val="0"/>
              </w:rPr>
            </w:pPr>
            <w:r>
              <w:rPr>
                <w:rFonts w:hint="default" w:ascii="Times New Roman" w:hAnsi="Times New Roman" w:eastAsia="宋体" w:cs="Times New Roman"/>
                <w:b/>
                <w:bCs/>
                <w:color w:val="auto"/>
                <w:sz w:val="21"/>
                <w:szCs w:val="21"/>
                <w:lang w:val="en-US" w:eastAsia="zh-CN"/>
              </w:rPr>
              <w:t>挥发性酚类</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b/>
                <w:bCs/>
                <w:color w:val="auto"/>
                <w:kern w:val="0"/>
              </w:rPr>
            </w:pPr>
            <w:r>
              <w:rPr>
                <w:rFonts w:hint="default" w:ascii="Times New Roman" w:hAnsi="Times New Roman" w:eastAsia="宋体" w:cs="Times New Roman"/>
                <w:b/>
                <w:bCs/>
                <w:color w:val="auto"/>
                <w:sz w:val="21"/>
                <w:szCs w:val="21"/>
                <w:lang w:val="en-US" w:eastAsia="zh-CN"/>
              </w:rPr>
              <w:t>总硬度</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41" w:type="dxa"/>
            <w:tcBorders>
              <w:tl2br w:val="nil"/>
              <w:tr2bl w:val="nil"/>
            </w:tcBorders>
            <w:vAlign w:val="center"/>
          </w:tcPr>
          <w:p>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eastAsia" w:ascii="宋体" w:hAnsi="宋体" w:eastAsia="宋体" w:cs="宋体"/>
                <w:b/>
                <w:color w:val="auto"/>
                <w:kern w:val="0"/>
              </w:rPr>
            </w:pPr>
            <w:r>
              <w:rPr>
                <w:rFonts w:hint="eastAsia" w:ascii="宋体" w:hAnsi="宋体" w:eastAsia="宋体" w:cs="宋体"/>
                <w:b/>
                <w:color w:val="auto"/>
                <w:kern w:val="0"/>
              </w:rPr>
              <w:t>Ⅲ</w:t>
            </w:r>
            <w:r>
              <w:rPr>
                <w:rFonts w:hint="default" w:ascii="Times New Roman" w:hAnsi="Times New Roman" w:cs="Times New Roman"/>
                <w:b/>
                <w:color w:val="auto"/>
                <w:kern w:val="0"/>
              </w:rPr>
              <w:t>类标准</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lang w:val="en-US" w:eastAsia="zh-CN"/>
              </w:rPr>
            </w:pPr>
            <w:r>
              <w:rPr>
                <w:rFonts w:hint="default" w:ascii="Arial" w:hAnsi="Arial" w:eastAsia="宋体" w:cs="Arial"/>
                <w:color w:val="auto"/>
                <w:kern w:val="0"/>
              </w:rPr>
              <w:t>≤</w:t>
            </w:r>
            <w:r>
              <w:rPr>
                <w:rFonts w:hint="eastAsia" w:ascii="Times New Roman" w:hAnsi="Times New Roman" w:eastAsia="宋体" w:cs="Times New Roman"/>
                <w:color w:val="auto"/>
                <w:kern w:val="0"/>
                <w:lang w:val="en-US" w:eastAsia="zh-CN"/>
              </w:rPr>
              <w:t>0.002</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lang w:val="en-US" w:eastAsia="zh-CN"/>
              </w:rPr>
            </w:pPr>
            <w:r>
              <w:rPr>
                <w:rFonts w:hint="default" w:ascii="Arial" w:hAnsi="Arial" w:eastAsia="宋体" w:cs="Arial"/>
                <w:color w:val="auto"/>
                <w:kern w:val="0"/>
              </w:rPr>
              <w:t>≤</w:t>
            </w:r>
            <w:r>
              <w:rPr>
                <w:rFonts w:hint="eastAsia" w:ascii="Arial" w:hAnsi="Arial" w:eastAsia="宋体" w:cs="Arial"/>
                <w:color w:val="auto"/>
                <w:kern w:val="0"/>
                <w:lang w:val="en-US" w:eastAsia="zh-CN"/>
              </w:rPr>
              <w:t>450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rPr>
            </w:pPr>
          </w:p>
        </w:tc>
      </w:tr>
    </w:tbl>
    <w:p>
      <w:pPr>
        <w:pStyle w:val="154"/>
        <w:ind w:firstLine="480"/>
        <w:rPr>
          <w:color w:val="auto"/>
          <w:highlight w:val="none"/>
        </w:rPr>
      </w:pPr>
      <w:r>
        <w:rPr>
          <w:color w:val="auto"/>
          <w:highlight w:val="none"/>
        </w:rPr>
        <w:t>（4）声环境</w:t>
      </w:r>
    </w:p>
    <w:p>
      <w:pPr>
        <w:pStyle w:val="154"/>
        <w:ind w:firstLine="480"/>
        <w:rPr>
          <w:rFonts w:hint="eastAsia" w:ascii="宋体" w:hAnsi="宋体" w:eastAsia="宋体" w:cs="宋体"/>
          <w:b/>
          <w:bCs/>
          <w:color w:val="auto"/>
          <w:highlight w:val="none"/>
        </w:rPr>
      </w:pPr>
      <w:r>
        <w:rPr>
          <w:color w:val="auto"/>
          <w:highlight w:val="none"/>
        </w:rPr>
        <w:t>区域环境噪声执行《声环境质量标准》（GB3096-2008）中</w:t>
      </w:r>
      <w:r>
        <w:rPr>
          <w:rFonts w:hint="eastAsia"/>
          <w:color w:val="auto"/>
          <w:highlight w:val="none"/>
          <w:lang w:eastAsia="zh-CN"/>
        </w:rPr>
        <w:t>表</w:t>
      </w:r>
      <w:r>
        <w:rPr>
          <w:rFonts w:hint="eastAsia"/>
          <w:color w:val="auto"/>
          <w:highlight w:val="none"/>
        </w:rPr>
        <w:t>2</w:t>
      </w:r>
      <w:r>
        <w:rPr>
          <w:color w:val="auto"/>
          <w:highlight w:val="none"/>
        </w:rPr>
        <w:t>标准。</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声环境质量标准（GB3096-2008）  单位：dB（A）</w:t>
      </w:r>
    </w:p>
    <w:tbl>
      <w:tblPr>
        <w:tblStyle w:val="88"/>
        <w:tblW w:w="831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041"/>
        <w:gridCol w:w="3092"/>
        <w:gridCol w:w="318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0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类别</w:t>
            </w:r>
          </w:p>
        </w:tc>
        <w:tc>
          <w:tcPr>
            <w:tcW w:w="309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昼间</w:t>
            </w:r>
          </w:p>
        </w:tc>
        <w:tc>
          <w:tcPr>
            <w:tcW w:w="318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0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rPr>
              <w:t>2</w:t>
            </w:r>
            <w:r>
              <w:rPr>
                <w:rFonts w:hint="eastAsia" w:ascii="Times New Roman" w:hAnsi="Times New Roman" w:cs="Times New Roman"/>
                <w:color w:val="auto"/>
                <w:lang w:eastAsia="zh-CN"/>
              </w:rPr>
              <w:t>类</w:t>
            </w:r>
          </w:p>
        </w:tc>
        <w:tc>
          <w:tcPr>
            <w:tcW w:w="309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6</w:t>
            </w:r>
            <w:r>
              <w:rPr>
                <w:rFonts w:hint="eastAsia" w:ascii="Times New Roman" w:hAnsi="Times New Roman" w:cs="Times New Roman"/>
                <w:color w:val="auto"/>
              </w:rPr>
              <w:t>0</w:t>
            </w:r>
          </w:p>
        </w:tc>
        <w:tc>
          <w:tcPr>
            <w:tcW w:w="318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5</w:t>
            </w:r>
            <w:r>
              <w:rPr>
                <w:rFonts w:hint="eastAsia" w:ascii="Times New Roman" w:hAnsi="Times New Roman" w:cs="Times New Roman"/>
                <w:color w:val="auto"/>
              </w:rPr>
              <w:t>0</w:t>
            </w:r>
          </w:p>
        </w:tc>
      </w:tr>
    </w:tbl>
    <w:p>
      <w:pPr>
        <w:pStyle w:val="154"/>
        <w:ind w:firstLine="480"/>
        <w:rPr>
          <w:color w:val="auto"/>
        </w:rPr>
      </w:pPr>
      <w:r>
        <w:rPr>
          <w:color w:val="auto"/>
        </w:rPr>
        <w:t>（</w:t>
      </w:r>
      <w:r>
        <w:rPr>
          <w:rFonts w:hint="eastAsia"/>
          <w:color w:val="auto"/>
        </w:rPr>
        <w:t>5）土壤环境</w:t>
      </w:r>
    </w:p>
    <w:p>
      <w:pPr>
        <w:pStyle w:val="154"/>
        <w:ind w:firstLine="480"/>
        <w:rPr>
          <w:color w:val="auto"/>
        </w:rPr>
      </w:pPr>
      <w:r>
        <w:rPr>
          <w:rFonts w:hint="eastAsia"/>
          <w:color w:val="auto"/>
        </w:rPr>
        <w:t>根据《国土资源部农业部关于完善设施用地管理有关问题的通知》（国土资源发[2010]155号），</w:t>
      </w:r>
      <w:r>
        <w:rPr>
          <w:rFonts w:hint="eastAsia"/>
          <w:color w:val="auto"/>
          <w:lang w:eastAsia="zh-CN"/>
        </w:rPr>
        <w:t>“</w:t>
      </w:r>
      <w:r>
        <w:rPr>
          <w:rFonts w:hint="eastAsia"/>
          <w:color w:val="auto"/>
        </w:rPr>
        <w:t>直接用于经营性养殖的畜禽舍、工厂化作物栽培或水产养殖的生产设施用地及其相应附属设施用地为设施农用地，按农用地管理</w:t>
      </w:r>
      <w:r>
        <w:rPr>
          <w:rFonts w:hint="eastAsia"/>
          <w:color w:val="auto"/>
          <w:lang w:eastAsia="zh-CN"/>
        </w:rPr>
        <w:t>”</w:t>
      </w:r>
      <w:r>
        <w:rPr>
          <w:rFonts w:hint="eastAsia"/>
          <w:color w:val="auto"/>
        </w:rPr>
        <w:t>。本项目</w:t>
      </w:r>
      <w:r>
        <w:rPr>
          <w:rFonts w:hint="eastAsia"/>
          <w:color w:val="auto"/>
          <w:lang w:eastAsia="zh-CN"/>
        </w:rPr>
        <w:t>为林地，</w:t>
      </w:r>
      <w:r>
        <w:rPr>
          <w:rFonts w:hint="eastAsia"/>
          <w:color w:val="auto"/>
        </w:rPr>
        <w:t>土壤环境执行《土壤环境质量 农用地土壤污染风险管控标准（试行）》（GB 15618-2018），其风险筛选值见下表。</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农用地土壤污染风险筛选值（基本项目）  单位：mg/kg</w:t>
      </w:r>
    </w:p>
    <w:tbl>
      <w:tblPr>
        <w:tblStyle w:val="88"/>
        <w:tblW w:w="8316"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48"/>
        <w:gridCol w:w="745"/>
        <w:gridCol w:w="747"/>
        <w:gridCol w:w="1563"/>
        <w:gridCol w:w="1519"/>
        <w:gridCol w:w="1755"/>
        <w:gridCol w:w="133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22" w:hRule="exact"/>
        </w:trPr>
        <w:tc>
          <w:tcPr>
            <w:tcW w:w="648"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eastAsia"/>
                <w:color w:val="auto"/>
              </w:rPr>
              <w:t>序号</w:t>
            </w:r>
          </w:p>
        </w:tc>
        <w:tc>
          <w:tcPr>
            <w:tcW w:w="1492" w:type="dxa"/>
            <w:gridSpan w:val="2"/>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default"/>
                <w:color w:val="auto"/>
              </w:rPr>
              <w:t>污染物项目</w:t>
            </w:r>
            <w:r>
              <w:rPr>
                <w:rFonts w:hint="eastAsia"/>
                <w:color w:val="auto"/>
                <w:vertAlign w:val="superscript"/>
              </w:rPr>
              <w:t>①②</w:t>
            </w:r>
          </w:p>
        </w:tc>
        <w:tc>
          <w:tcPr>
            <w:tcW w:w="6176" w:type="dxa"/>
            <w:gridSpan w:val="4"/>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风险筛选值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1492" w:type="dxa"/>
            <w:gridSpan w:val="2"/>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p</w:t>
            </w:r>
            <w:r>
              <w:rPr>
                <w:rFonts w:hint="default" w:ascii="Times New Roman" w:cs="Times New Roman"/>
                <w:color w:val="auto"/>
                <w:spacing w:val="-3"/>
              </w:rPr>
              <w:t>H</w:t>
            </w:r>
            <w:r>
              <w:rPr>
                <w:rFonts w:hint="eastAsia"/>
                <w:color w:val="auto"/>
              </w:rPr>
              <w:t>≤</w:t>
            </w:r>
            <w:r>
              <w:rPr>
                <w:rFonts w:hint="default" w:ascii="Times New Roman" w:cs="Times New Roman"/>
                <w:color w:val="auto"/>
                <w:spacing w:val="1"/>
              </w:rPr>
              <w:t>5</w:t>
            </w:r>
            <w:r>
              <w:rPr>
                <w:rFonts w:hint="default" w:ascii="Times New Roman" w:cs="Times New Roman"/>
                <w:color w:val="auto"/>
              </w:rPr>
              <w:t>.5</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5</w:t>
            </w:r>
            <w:r>
              <w:rPr>
                <w:rFonts w:hint="default" w:ascii="Times New Roman" w:cs="Times New Roman"/>
                <w:color w:val="auto"/>
                <w:spacing w:val="-2"/>
              </w:rPr>
              <w:t>.</w:t>
            </w:r>
            <w:r>
              <w:rPr>
                <w:rFonts w:hint="default" w:ascii="Times New Roman" w:cs="Times New Roman"/>
                <w:color w:val="auto"/>
                <w:spacing w:val="1"/>
              </w:rPr>
              <w:t>5</w:t>
            </w:r>
            <w:r>
              <w:rPr>
                <w:rFonts w:hint="eastAsia"/>
                <w:color w:val="auto"/>
              </w:rPr>
              <w:t>＜</w:t>
            </w:r>
            <w:r>
              <w:rPr>
                <w:rFonts w:hint="default" w:ascii="Times New Roman" w:cs="Times New Roman"/>
                <w:color w:val="auto"/>
                <w:spacing w:val="1"/>
              </w:rPr>
              <w:t>p</w:t>
            </w:r>
            <w:r>
              <w:rPr>
                <w:rFonts w:hint="default" w:ascii="Times New Roman" w:cs="Times New Roman"/>
                <w:color w:val="auto"/>
                <w:spacing w:val="-3"/>
              </w:rPr>
              <w:t>H</w:t>
            </w:r>
            <w:r>
              <w:rPr>
                <w:rFonts w:hint="eastAsia"/>
                <w:color w:val="auto"/>
              </w:rPr>
              <w:t>≤</w:t>
            </w:r>
            <w:r>
              <w:rPr>
                <w:rFonts w:hint="default" w:ascii="Times New Roman" w:cs="Times New Roman"/>
                <w:color w:val="auto"/>
                <w:spacing w:val="1"/>
              </w:rPr>
              <w:t>6</w:t>
            </w:r>
            <w:r>
              <w:rPr>
                <w:rFonts w:hint="default" w:ascii="Times New Roman" w:cs="Times New Roman"/>
                <w:color w:val="auto"/>
              </w:rPr>
              <w:t>.5</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6</w:t>
            </w:r>
            <w:r>
              <w:rPr>
                <w:rFonts w:hint="default" w:ascii="Times New Roman" w:cs="Times New Roman"/>
                <w:color w:val="auto"/>
              </w:rPr>
              <w:t>.</w:t>
            </w:r>
            <w:r>
              <w:rPr>
                <w:rFonts w:hint="default" w:ascii="Times New Roman" w:cs="Times New Roman"/>
                <w:color w:val="auto"/>
                <w:spacing w:val="-2"/>
              </w:rPr>
              <w:t>5</w:t>
            </w:r>
            <w:r>
              <w:rPr>
                <w:rFonts w:hint="default" w:ascii="Times New Roman" w:cs="Times New Roman"/>
                <w:color w:val="auto"/>
                <w:w w:val="99"/>
              </w:rPr>
              <w:t>&lt;</w:t>
            </w:r>
            <w:r>
              <w:rPr>
                <w:rFonts w:hint="default" w:ascii="Times New Roman" w:cs="Times New Roman"/>
                <w:color w:val="auto"/>
              </w:rPr>
              <w:t xml:space="preserve"> </w:t>
            </w:r>
            <w:r>
              <w:rPr>
                <w:rFonts w:hint="default" w:ascii="Times New Roman" w:cs="Times New Roman"/>
                <w:color w:val="auto"/>
                <w:spacing w:val="1"/>
              </w:rPr>
              <w:t>p</w:t>
            </w:r>
            <w:r>
              <w:rPr>
                <w:rFonts w:hint="default" w:ascii="Times New Roman" w:cs="Times New Roman"/>
                <w:color w:val="auto"/>
                <w:spacing w:val="-1"/>
              </w:rPr>
              <w:t>H</w:t>
            </w:r>
            <w:r>
              <w:rPr>
                <w:rFonts w:hint="eastAsia"/>
                <w:color w:val="auto"/>
              </w:rPr>
              <w:t>≤</w:t>
            </w:r>
            <w:r>
              <w:rPr>
                <w:rFonts w:hint="default" w:ascii="Times New Roman" w:cs="Times New Roman"/>
                <w:color w:val="auto"/>
                <w:spacing w:val="1"/>
              </w:rPr>
              <w:t>7</w:t>
            </w:r>
            <w:r>
              <w:rPr>
                <w:rFonts w:hint="default" w:ascii="Times New Roman" w:cs="Times New Roman"/>
                <w:color w:val="auto"/>
                <w:spacing w:val="-2"/>
              </w:rPr>
              <w:t>.</w:t>
            </w:r>
            <w:r>
              <w:rPr>
                <w:rFonts w:hint="default" w:ascii="Times New Roman" w:cs="Times New Roman"/>
                <w:color w:val="auto"/>
              </w:rPr>
              <w:t>5</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p</w:t>
            </w:r>
            <w:r>
              <w:rPr>
                <w:rFonts w:hint="default" w:ascii="Times New Roman" w:cs="Times New Roman"/>
                <w:color w:val="auto"/>
                <w:spacing w:val="-1"/>
              </w:rPr>
              <w:t>H</w:t>
            </w:r>
            <w:r>
              <w:rPr>
                <w:rFonts w:hint="default" w:ascii="Times New Roman" w:cs="Times New Roman"/>
                <w:color w:val="auto"/>
                <w:spacing w:val="-1"/>
                <w:w w:val="99"/>
              </w:rPr>
              <w:t>&gt;</w:t>
            </w:r>
            <w:r>
              <w:rPr>
                <w:rFonts w:hint="default" w:ascii="Times New Roman" w:cs="Times New Roman"/>
                <w:color w:val="auto"/>
                <w:spacing w:val="1"/>
              </w:rPr>
              <w:t>7</w:t>
            </w:r>
            <w:r>
              <w:rPr>
                <w:rFonts w:hint="default" w:ascii="Times New Roman" w:cs="Times New Roman"/>
                <w:color w:val="auto"/>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52" w:hRule="exact"/>
        </w:trPr>
        <w:tc>
          <w:tcPr>
            <w:tcW w:w="648"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rPr>
              <w:t>1</w:t>
            </w:r>
          </w:p>
        </w:tc>
        <w:tc>
          <w:tcPr>
            <w:tcW w:w="745"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镉</w:t>
            </w: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水田</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spacing w:val="-2"/>
              </w:rPr>
              <w:t>.</w:t>
            </w:r>
            <w:r>
              <w:rPr>
                <w:rFonts w:hint="default" w:ascii="Times New Roman" w:cs="Times New Roman"/>
                <w:color w:val="auto"/>
              </w:rPr>
              <w:t>3</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spacing w:val="-2"/>
              </w:rPr>
              <w:t>.</w:t>
            </w:r>
            <w:r>
              <w:rPr>
                <w:rFonts w:hint="default" w:ascii="Times New Roman" w:cs="Times New Roman"/>
                <w:color w:val="auto"/>
              </w:rPr>
              <w:t>4</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rPr>
              <w:t>.6</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rPr>
              <w:t>.8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52" w:hRule="exact"/>
        </w:trPr>
        <w:tc>
          <w:tcPr>
            <w:tcW w:w="648"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5"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其他</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spacing w:val="-2"/>
              </w:rPr>
              <w:t>.</w:t>
            </w:r>
            <w:r>
              <w:rPr>
                <w:rFonts w:hint="default" w:ascii="Times New Roman" w:cs="Times New Roman"/>
                <w:color w:val="auto"/>
              </w:rPr>
              <w:t>3</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spacing w:val="-2"/>
              </w:rPr>
              <w:t>.</w:t>
            </w:r>
            <w:r>
              <w:rPr>
                <w:rFonts w:hint="default" w:ascii="Times New Roman" w:cs="Times New Roman"/>
                <w:color w:val="auto"/>
              </w:rPr>
              <w:t>3</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rPr>
              <w:t>.3</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rPr>
              <w:t>.6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rPr>
              <w:t>2</w:t>
            </w:r>
          </w:p>
        </w:tc>
        <w:tc>
          <w:tcPr>
            <w:tcW w:w="745"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汞</w:t>
            </w: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水田</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spacing w:val="-2"/>
              </w:rPr>
              <w:t>.</w:t>
            </w:r>
            <w:r>
              <w:rPr>
                <w:rFonts w:hint="default" w:ascii="Times New Roman" w:cs="Times New Roman"/>
                <w:color w:val="auto"/>
              </w:rPr>
              <w:t>5</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spacing w:val="-2"/>
              </w:rPr>
              <w:t>.</w:t>
            </w:r>
            <w:r>
              <w:rPr>
                <w:rFonts w:hint="default" w:ascii="Times New Roman" w:cs="Times New Roman"/>
                <w:color w:val="auto"/>
              </w:rPr>
              <w:t>5</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0</w:t>
            </w:r>
            <w:r>
              <w:rPr>
                <w:rFonts w:hint="default" w:ascii="Times New Roman" w:cs="Times New Roman"/>
                <w:color w:val="auto"/>
              </w:rPr>
              <w:t>.6</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5"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其他</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w:t>
            </w:r>
            <w:r>
              <w:rPr>
                <w:rFonts w:hint="default" w:ascii="Times New Roman" w:cs="Times New Roman"/>
                <w:color w:val="auto"/>
              </w:rPr>
              <w:t>3</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w:t>
            </w:r>
            <w:r>
              <w:rPr>
                <w:rFonts w:hint="default" w:ascii="Times New Roman" w:cs="Times New Roman"/>
                <w:color w:val="auto"/>
              </w:rPr>
              <w:t>8</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rPr>
              <w:t>.4</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3</w:t>
            </w:r>
            <w:r>
              <w:rPr>
                <w:rFonts w:hint="default" w:ascii="Times New Roman" w:cs="Times New Roman"/>
                <w:color w:val="auto"/>
              </w:rPr>
              <w:t>.4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rPr>
              <w:t>3</w:t>
            </w:r>
          </w:p>
        </w:tc>
        <w:tc>
          <w:tcPr>
            <w:tcW w:w="745"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砷</w:t>
            </w: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水田</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3</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3</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rPr>
              <w:t>5</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2"/>
              </w:rPr>
              <w:t>2</w:t>
            </w:r>
            <w:r>
              <w:rPr>
                <w:rFonts w:hint="default" w:ascii="Times New Roman" w:cs="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5"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其他</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4</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4</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3</w:t>
            </w:r>
            <w:r>
              <w:rPr>
                <w:rFonts w:hint="default" w:ascii="Times New Roman" w:cs="Times New Roman"/>
                <w:color w:val="auto"/>
              </w:rPr>
              <w:t>0</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rPr>
              <w:t>4</w:t>
            </w:r>
          </w:p>
        </w:tc>
        <w:tc>
          <w:tcPr>
            <w:tcW w:w="745"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铅</w:t>
            </w: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水田</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8</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10</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14</w:t>
            </w:r>
            <w:r>
              <w:rPr>
                <w:rFonts w:hint="default" w:ascii="Times New Roman" w:cs="Times New Roman"/>
                <w:color w:val="auto"/>
              </w:rPr>
              <w:t>0</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2"/>
              </w:rPr>
              <w:t>2</w:t>
            </w:r>
            <w:r>
              <w:rPr>
                <w:rFonts w:hint="default" w:ascii="Times New Roman" w:cs="Times New Roman"/>
                <w:color w:val="auto"/>
                <w:spacing w:val="1"/>
              </w:rPr>
              <w:t>4</w:t>
            </w:r>
            <w:r>
              <w:rPr>
                <w:rFonts w:hint="default" w:ascii="Times New Roman" w:cs="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5"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其他</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7</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9</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2</w:t>
            </w:r>
            <w:r>
              <w:rPr>
                <w:rFonts w:hint="default" w:ascii="Times New Roman" w:cs="Times New Roman"/>
                <w:color w:val="auto"/>
              </w:rPr>
              <w:t>0</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7</w:t>
            </w:r>
            <w:r>
              <w:rPr>
                <w:rFonts w:hint="default" w:ascii="Times New Roman" w:cs="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rPr>
              <w:t>5</w:t>
            </w:r>
          </w:p>
        </w:tc>
        <w:tc>
          <w:tcPr>
            <w:tcW w:w="745"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铬</w:t>
            </w: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水田</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spacing w:val="-2"/>
              </w:rPr>
              <w:t>5</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spacing w:val="-2"/>
              </w:rPr>
              <w:t>5</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3</w:t>
            </w:r>
            <w:r>
              <w:rPr>
                <w:rFonts w:hint="default" w:ascii="Times New Roman" w:cs="Times New Roman"/>
                <w:color w:val="auto"/>
                <w:spacing w:val="-2"/>
              </w:rPr>
              <w:t>0</w:t>
            </w:r>
            <w:r>
              <w:rPr>
                <w:rFonts w:hint="default" w:ascii="Times New Roman" w:cs="Times New Roman"/>
                <w:color w:val="auto"/>
              </w:rPr>
              <w:t>0</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3</w:t>
            </w:r>
            <w:r>
              <w:rPr>
                <w:rFonts w:hint="default" w:ascii="Times New Roman" w:cs="Times New Roman"/>
                <w:color w:val="auto"/>
                <w:spacing w:val="-2"/>
              </w:rPr>
              <w:t>5</w:t>
            </w:r>
            <w:r>
              <w:rPr>
                <w:rFonts w:hint="default" w:ascii="Times New Roman" w:cs="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5"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其他</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5</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5</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spacing w:val="-2"/>
              </w:rPr>
              <w:t>0</w:t>
            </w:r>
            <w:r>
              <w:rPr>
                <w:rFonts w:hint="default" w:ascii="Times New Roman" w:cs="Times New Roman"/>
                <w:color w:val="auto"/>
              </w:rPr>
              <w:t>0</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spacing w:val="-2"/>
              </w:rPr>
              <w:t>5</w:t>
            </w:r>
            <w:r>
              <w:rPr>
                <w:rFonts w:hint="default" w:ascii="Times New Roman" w:cs="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rPr>
              <w:t>6</w:t>
            </w:r>
          </w:p>
        </w:tc>
        <w:tc>
          <w:tcPr>
            <w:tcW w:w="745" w:type="dxa"/>
            <w:vMerge w:val="restart"/>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铜</w:t>
            </w: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果园</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5</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5</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spacing w:val="-2"/>
              </w:rPr>
              <w:t>0</w:t>
            </w:r>
            <w:r>
              <w:rPr>
                <w:rFonts w:hint="default" w:ascii="Times New Roman" w:cs="Times New Roman"/>
                <w:color w:val="auto"/>
              </w:rPr>
              <w:t>0</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spacing w:val="-2"/>
              </w:rPr>
              <w:t>0</w:t>
            </w:r>
            <w:r>
              <w:rPr>
                <w:rFonts w:hint="default" w:ascii="Times New Roman" w:cs="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5" w:type="dxa"/>
            <w:vMerge w:val="continue"/>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p>
        </w:tc>
        <w:tc>
          <w:tcPr>
            <w:tcW w:w="747"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其他</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5</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5</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0</w:t>
            </w:r>
            <w:r>
              <w:rPr>
                <w:rFonts w:hint="default" w:ascii="Times New Roman" w:cs="Times New Roman"/>
                <w:color w:val="auto"/>
              </w:rPr>
              <w:t>0</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0</w:t>
            </w:r>
            <w:r>
              <w:rPr>
                <w:rFonts w:hint="default" w:ascii="Times New Roman" w:cs="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rPr>
              <w:t>7</w:t>
            </w:r>
          </w:p>
        </w:tc>
        <w:tc>
          <w:tcPr>
            <w:tcW w:w="1492" w:type="dxa"/>
            <w:gridSpan w:val="2"/>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镍</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6</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7</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0</w:t>
            </w:r>
            <w:r>
              <w:rPr>
                <w:rFonts w:hint="default" w:ascii="Times New Roman" w:cs="Times New Roman"/>
                <w:color w:val="auto"/>
              </w:rPr>
              <w:t>0</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1</w:t>
            </w:r>
            <w:r>
              <w:rPr>
                <w:rFonts w:hint="default" w:ascii="Times New Roman" w:cs="Times New Roman"/>
                <w:color w:val="auto"/>
                <w:spacing w:val="-2"/>
              </w:rPr>
              <w:t>9</w:t>
            </w:r>
            <w:r>
              <w:rPr>
                <w:rFonts w:hint="default" w:ascii="Times New Roman" w:cs="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rPr>
              <w:t>8</w:t>
            </w:r>
          </w:p>
        </w:tc>
        <w:tc>
          <w:tcPr>
            <w:tcW w:w="1492" w:type="dxa"/>
            <w:gridSpan w:val="2"/>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eastAsia"/>
                <w:color w:val="auto"/>
              </w:rPr>
              <w:t>锌</w:t>
            </w:r>
          </w:p>
        </w:tc>
        <w:tc>
          <w:tcPr>
            <w:tcW w:w="1563"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spacing w:val="-2"/>
              </w:rPr>
              <w:t>0</w:t>
            </w:r>
            <w:r>
              <w:rPr>
                <w:rFonts w:hint="default" w:ascii="Times New Roman" w:cs="Times New Roman"/>
                <w:color w:val="auto"/>
              </w:rPr>
              <w:t>0</w:t>
            </w:r>
          </w:p>
        </w:tc>
        <w:tc>
          <w:tcPr>
            <w:tcW w:w="151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spacing w:val="-2"/>
              </w:rPr>
              <w:t>0</w:t>
            </w:r>
            <w:r>
              <w:rPr>
                <w:rFonts w:hint="default" w:ascii="Times New Roman" w:cs="Times New Roman"/>
                <w:color w:val="auto"/>
              </w:rPr>
              <w:t>0</w:t>
            </w:r>
          </w:p>
        </w:tc>
        <w:tc>
          <w:tcPr>
            <w:tcW w:w="1755"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2</w:t>
            </w:r>
            <w:r>
              <w:rPr>
                <w:rFonts w:hint="default" w:ascii="Times New Roman" w:cs="Times New Roman"/>
                <w:color w:val="auto"/>
                <w:spacing w:val="-2"/>
              </w:rPr>
              <w:t>5</w:t>
            </w:r>
            <w:r>
              <w:rPr>
                <w:rFonts w:hint="default" w:ascii="Times New Roman" w:cs="Times New Roman"/>
                <w:color w:val="auto"/>
              </w:rPr>
              <w:t>0</w:t>
            </w:r>
          </w:p>
        </w:tc>
        <w:tc>
          <w:tcPr>
            <w:tcW w:w="1339" w:type="dxa"/>
            <w:tcBorders>
              <w:tl2br w:val="nil"/>
              <w:tr2bl w:val="nil"/>
            </w:tcBorders>
            <w:vAlign w:val="center"/>
          </w:tcPr>
          <w:p>
            <w:pPr>
              <w:pStyle w:val="3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rPr>
            </w:pPr>
            <w:r>
              <w:rPr>
                <w:rFonts w:hint="default" w:ascii="Times New Roman" w:cs="Times New Roman"/>
                <w:color w:val="auto"/>
                <w:spacing w:val="1"/>
              </w:rPr>
              <w:t>3</w:t>
            </w:r>
            <w:r>
              <w:rPr>
                <w:rFonts w:hint="default" w:ascii="Times New Roman" w:cs="Times New Roman"/>
                <w:color w:val="auto"/>
                <w:spacing w:val="-2"/>
              </w:rPr>
              <w:t>0</w:t>
            </w:r>
            <w:r>
              <w:rPr>
                <w:rFonts w:hint="default" w:ascii="Times New Roman" w:cs="Times New Roman"/>
                <w:color w:val="auto"/>
              </w:rPr>
              <w:t>0</w:t>
            </w:r>
          </w:p>
        </w:tc>
      </w:tr>
    </w:tbl>
    <w:p>
      <w:pPr>
        <w:pStyle w:val="36"/>
        <w:kinsoku w:val="0"/>
        <w:overflowPunct w:val="0"/>
        <w:rPr>
          <w:rFonts w:ascii="Times New Roman" w:hAnsi="Times New Roman" w:cs="Times New Roman"/>
          <w:color w:val="auto"/>
          <w:sz w:val="24"/>
          <w:szCs w:val="24"/>
        </w:rPr>
      </w:pPr>
      <w:bookmarkStart w:id="54" w:name="3.3"/>
      <w:bookmarkEnd w:id="54"/>
      <w:bookmarkStart w:id="55" w:name="4.1基本项目"/>
      <w:bookmarkEnd w:id="55"/>
      <w:bookmarkStart w:id="56" w:name="3.5"/>
      <w:bookmarkEnd w:id="56"/>
      <w:bookmarkStart w:id="57" w:name="注：①重金属和类金属砷均按元素总量计。"/>
      <w:bookmarkEnd w:id="57"/>
      <w:bookmarkStart w:id="58" w:name="4.2其他项目"/>
      <w:bookmarkEnd w:id="58"/>
      <w:bookmarkStart w:id="59" w:name="4_农用地土壤污染风险筛选值"/>
      <w:bookmarkEnd w:id="59"/>
      <w:bookmarkStart w:id="60" w:name="bookmark0"/>
      <w:bookmarkEnd w:id="60"/>
      <w:bookmarkStart w:id="61" w:name="3.4"/>
      <w:bookmarkEnd w:id="61"/>
      <w:r>
        <w:rPr>
          <w:rFonts w:hint="eastAsia"/>
          <w:color w:val="auto"/>
        </w:rPr>
        <w:t>注：</w:t>
      </w:r>
      <w:bookmarkStart w:id="62" w:name="指农用地土壤中污染物含量等于或者低于该值的，对农产品质量安全、农作物生长或土壤生"/>
      <w:bookmarkEnd w:id="62"/>
      <w:bookmarkStart w:id="63" w:name="指农用地土壤中污染物含量超过该值的，食用农产品不符合质量安全标准等农用地土壤污染"/>
      <w:bookmarkEnd w:id="63"/>
      <w:bookmarkStart w:id="64" w:name="指因土壤污染导致食用农产品质量安全、农作物生长或土壤生态环境受到不利影响。"/>
      <w:bookmarkEnd w:id="64"/>
      <w:r>
        <w:rPr>
          <w:rFonts w:hint="eastAsia"/>
          <w:color w:val="auto"/>
        </w:rPr>
        <w:t>①重金属和类金属砷均按元素总量计。</w:t>
      </w:r>
      <w:bookmarkStart w:id="65" w:name="②对于水旱轮作地，采用其中较严格的风险筛选值。"/>
      <w:bookmarkEnd w:id="65"/>
      <w:r>
        <w:rPr>
          <w:rFonts w:hint="eastAsia"/>
          <w:color w:val="auto"/>
        </w:rPr>
        <w:t>②对于水旱轮作地，采用其中较严格的风险筛选值。</w:t>
      </w:r>
    </w:p>
    <w:p>
      <w:pPr>
        <w:pStyle w:val="7"/>
        <w:spacing w:before="0" w:after="0" w:line="360" w:lineRule="auto"/>
        <w:ind w:left="0" w:firstLine="0"/>
        <w:rPr>
          <w:rFonts w:cs="Times New Roman"/>
          <w:color w:val="auto"/>
        </w:rPr>
      </w:pPr>
      <w:bookmarkStart w:id="66" w:name="_Toc4159"/>
      <w:r>
        <w:rPr>
          <w:rFonts w:cs="Times New Roman"/>
          <w:color w:val="auto"/>
        </w:rPr>
        <w:t>污染物排放标准</w:t>
      </w:r>
      <w:bookmarkEnd w:id="66"/>
    </w:p>
    <w:p>
      <w:pPr>
        <w:pStyle w:val="154"/>
        <w:ind w:firstLine="480"/>
        <w:rPr>
          <w:color w:val="auto"/>
        </w:rPr>
      </w:pPr>
      <w:r>
        <w:rPr>
          <w:color w:val="auto"/>
        </w:rPr>
        <w:t>（1）废水</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本项目废水排水量执行《畜禽养殖业污染物排放标准》（GB18596-2001）中表4集约化畜禽养殖业干清粪工艺最高允许排水量，具体见表2.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；废水排放浓度执行《农田灌溉水质标准》（GB5084-2005）中旱作标准，具体见表2.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p>
    <w:p>
      <w:pPr>
        <w:numPr>
          <w:ilvl w:val="0"/>
          <w:numId w:val="6"/>
        </w:numPr>
        <w:tabs>
          <w:tab w:val="left" w:pos="0"/>
        </w:tabs>
        <w:ind w:left="425" w:leftChars="0" w:hanging="425" w:firstLineChars="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   集约化畜禽养殖业干清粪工艺最高允许排水量表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2937"/>
        <w:gridCol w:w="2935"/>
        <w:gridCol w:w="2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26" w:hRule="atLeast"/>
          <w:jc w:val="center"/>
        </w:trPr>
        <w:tc>
          <w:tcPr>
            <w:tcW w:w="2937"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5872" w:type="dxa"/>
            <w:gridSpan w:val="2"/>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猪[m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/（百头.d）]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26" w:hRule="atLeast"/>
          <w:jc w:val="center"/>
        </w:trPr>
        <w:tc>
          <w:tcPr>
            <w:tcW w:w="2937"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季节</w:t>
            </w:r>
          </w:p>
        </w:tc>
        <w:tc>
          <w:tcPr>
            <w:tcW w:w="2935"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冬季</w:t>
            </w:r>
          </w:p>
        </w:tc>
        <w:tc>
          <w:tcPr>
            <w:tcW w:w="2937"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夏季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26" w:hRule="atLeast"/>
          <w:jc w:val="center"/>
        </w:trPr>
        <w:tc>
          <w:tcPr>
            <w:tcW w:w="2937"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2935"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1.2</w:t>
            </w:r>
          </w:p>
        </w:tc>
        <w:tc>
          <w:tcPr>
            <w:tcW w:w="2937"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1.8</w:t>
            </w:r>
          </w:p>
        </w:tc>
      </w:tr>
    </w:tbl>
    <w:p>
      <w:pPr>
        <w:pStyle w:val="154"/>
        <w:ind w:firstLine="480"/>
        <w:rPr>
          <w:color w:val="auto"/>
        </w:rPr>
      </w:pPr>
      <w:r>
        <w:rPr>
          <w:rFonts w:hint="eastAsia" w:cs="Times New Roman"/>
          <w:color w:val="auto"/>
          <w:sz w:val="21"/>
          <w:szCs w:val="21"/>
          <w:lang w:eastAsia="zh-CN"/>
        </w:rPr>
        <w:t>注</w:t>
      </w:r>
      <w:r>
        <w:rPr>
          <w:rFonts w:hint="eastAsia" w:ascii="Times New Roman" w:hAnsi="Times New Roman" w:cs="Times New Roman"/>
          <w:color w:val="auto"/>
          <w:sz w:val="21"/>
          <w:szCs w:val="21"/>
        </w:rPr>
        <w:t>：百头指存栏数。春，秋季污水最高允许排放量按冬、夏两季的平均值计算。</w:t>
      </w:r>
    </w:p>
    <w:p>
      <w:pPr>
        <w:numPr>
          <w:ilvl w:val="0"/>
          <w:numId w:val="6"/>
        </w:numPr>
        <w:tabs>
          <w:tab w:val="left" w:pos="0"/>
        </w:tabs>
        <w:ind w:left="425" w:leftChars="0" w:hanging="425" w:firstLineChars="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   农田灌溉用水水质基本控制项目标准值表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469"/>
        <w:gridCol w:w="2935"/>
        <w:gridCol w:w="1468"/>
        <w:gridCol w:w="1468"/>
        <w:gridCol w:w="14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vMerge w:val="restart"/>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935" w:type="dxa"/>
            <w:vMerge w:val="restart"/>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项目类别</w:t>
            </w:r>
          </w:p>
        </w:tc>
        <w:tc>
          <w:tcPr>
            <w:tcW w:w="4405" w:type="dxa"/>
            <w:gridSpan w:val="3"/>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作物种类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vMerge w:val="continue"/>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color w:val="auto"/>
                <w:sz w:val="21"/>
                <w:szCs w:val="21"/>
              </w:rPr>
            </w:pPr>
          </w:p>
        </w:tc>
        <w:tc>
          <w:tcPr>
            <w:tcW w:w="2935" w:type="dxa"/>
            <w:vMerge w:val="continue"/>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color w:val="auto"/>
                <w:sz w:val="21"/>
                <w:szCs w:val="21"/>
              </w:rPr>
            </w:pP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水作</w:t>
            </w: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旱作</w:t>
            </w:r>
          </w:p>
        </w:tc>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蔬菜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935"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化学需氧量/(mg/L) ≤</w:t>
            </w: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150</w:t>
            </w: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lightGray"/>
              </w:rPr>
            </w:pPr>
            <w:r>
              <w:rPr>
                <w:rFonts w:hint="default" w:ascii="Times New Roman" w:hAnsi="Times New Roman" w:eastAsia="宋体" w:cs="Times New Roman"/>
                <w:b w:val="0"/>
                <w:bCs/>
                <w:color w:val="auto"/>
                <w:sz w:val="21"/>
                <w:szCs w:val="21"/>
                <w:highlight w:val="lightGray"/>
              </w:rPr>
              <w:t>200</w:t>
            </w:r>
          </w:p>
        </w:tc>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100</w:t>
            </w:r>
            <w:r>
              <w:rPr>
                <w:rFonts w:hint="default" w:ascii="Times New Roman" w:hAnsi="Times New Roman" w:eastAsia="宋体" w:cs="Times New Roman"/>
                <w:b w:val="0"/>
                <w:bCs/>
                <w:color w:val="auto"/>
                <w:sz w:val="21"/>
                <w:szCs w:val="21"/>
                <w:vertAlign w:val="superscript"/>
              </w:rPr>
              <w:t>a</w:t>
            </w:r>
            <w:r>
              <w:rPr>
                <w:rFonts w:hint="default" w:ascii="Times New Roman" w:hAnsi="Times New Roman" w:eastAsia="宋体" w:cs="Times New Roman"/>
                <w:b w:val="0"/>
                <w:bCs/>
                <w:color w:val="auto"/>
                <w:sz w:val="21"/>
                <w:szCs w:val="21"/>
              </w:rPr>
              <w:t>，60</w:t>
            </w:r>
            <w:r>
              <w:rPr>
                <w:rFonts w:hint="default" w:ascii="Times New Roman" w:hAnsi="Times New Roman" w:eastAsia="宋体" w:cs="Times New Roman"/>
                <w:b w:val="0"/>
                <w:bCs/>
                <w:color w:val="auto"/>
                <w:sz w:val="21"/>
                <w:szCs w:val="21"/>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935"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生化需氧量/(mg/L) ≤</w:t>
            </w: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60</w:t>
            </w: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lightGray"/>
              </w:rPr>
            </w:pPr>
            <w:r>
              <w:rPr>
                <w:rFonts w:hint="default" w:ascii="Times New Roman" w:hAnsi="Times New Roman" w:eastAsia="宋体" w:cs="Times New Roman"/>
                <w:b w:val="0"/>
                <w:bCs/>
                <w:color w:val="auto"/>
                <w:sz w:val="21"/>
                <w:szCs w:val="21"/>
                <w:highlight w:val="lightGray"/>
              </w:rPr>
              <w:t>100</w:t>
            </w:r>
          </w:p>
        </w:tc>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40</w:t>
            </w:r>
            <w:r>
              <w:rPr>
                <w:rFonts w:hint="default" w:ascii="Times New Roman" w:hAnsi="Times New Roman" w:eastAsia="宋体" w:cs="Times New Roman"/>
                <w:b w:val="0"/>
                <w:bCs/>
                <w:color w:val="auto"/>
                <w:sz w:val="21"/>
                <w:szCs w:val="21"/>
                <w:vertAlign w:val="superscript"/>
              </w:rPr>
              <w:t>a</w:t>
            </w:r>
            <w:r>
              <w:rPr>
                <w:rFonts w:hint="default" w:ascii="Times New Roman" w:hAnsi="Times New Roman" w:eastAsia="宋体" w:cs="Times New Roman"/>
                <w:b w:val="0"/>
                <w:bCs/>
                <w:color w:val="auto"/>
                <w:sz w:val="21"/>
                <w:szCs w:val="21"/>
              </w:rPr>
              <w:t>，15</w:t>
            </w:r>
            <w:r>
              <w:rPr>
                <w:rFonts w:hint="default" w:ascii="Times New Roman" w:hAnsi="Times New Roman" w:eastAsia="宋体" w:cs="Times New Roman"/>
                <w:b w:val="0"/>
                <w:bCs/>
                <w:color w:val="auto"/>
                <w:sz w:val="21"/>
                <w:szCs w:val="21"/>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935"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悬浮物/(mg/L) ≤</w:t>
            </w: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80</w:t>
            </w: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lightGray"/>
              </w:rPr>
            </w:pPr>
            <w:r>
              <w:rPr>
                <w:rFonts w:hint="default" w:ascii="Times New Roman" w:hAnsi="Times New Roman" w:eastAsia="宋体" w:cs="Times New Roman"/>
                <w:b w:val="0"/>
                <w:bCs/>
                <w:color w:val="auto"/>
                <w:sz w:val="21"/>
                <w:szCs w:val="21"/>
                <w:highlight w:val="lightGray"/>
              </w:rPr>
              <w:t>100</w:t>
            </w:r>
          </w:p>
        </w:tc>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60</w:t>
            </w:r>
            <w:r>
              <w:rPr>
                <w:rFonts w:hint="default" w:ascii="Times New Roman" w:hAnsi="Times New Roman" w:eastAsia="宋体" w:cs="Times New Roman"/>
                <w:b w:val="0"/>
                <w:bCs/>
                <w:color w:val="auto"/>
                <w:sz w:val="21"/>
                <w:szCs w:val="21"/>
                <w:vertAlign w:val="superscript"/>
              </w:rPr>
              <w:t>a</w:t>
            </w:r>
            <w:r>
              <w:rPr>
                <w:rFonts w:hint="default" w:ascii="Times New Roman" w:hAnsi="Times New Roman" w:eastAsia="宋体" w:cs="Times New Roman"/>
                <w:b w:val="0"/>
                <w:bCs/>
                <w:color w:val="auto"/>
                <w:sz w:val="21"/>
                <w:szCs w:val="21"/>
              </w:rPr>
              <w:t>，15</w:t>
            </w:r>
            <w:r>
              <w:rPr>
                <w:rFonts w:hint="default" w:ascii="Times New Roman" w:hAnsi="Times New Roman" w:eastAsia="宋体" w:cs="Times New Roman"/>
                <w:b w:val="0"/>
                <w:bCs/>
                <w:color w:val="auto"/>
                <w:sz w:val="21"/>
                <w:szCs w:val="21"/>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935"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 ≤</w:t>
            </w:r>
          </w:p>
        </w:tc>
        <w:tc>
          <w:tcPr>
            <w:tcW w:w="4405" w:type="dxa"/>
            <w:gridSpan w:val="3"/>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lightGray"/>
              </w:rPr>
            </w:pPr>
            <w:r>
              <w:rPr>
                <w:rFonts w:hint="default" w:ascii="Times New Roman" w:hAnsi="Times New Roman" w:eastAsia="宋体" w:cs="Times New Roman"/>
                <w:b w:val="0"/>
                <w:bCs/>
                <w:color w:val="auto"/>
                <w:sz w:val="21"/>
                <w:szCs w:val="21"/>
                <w:highlight w:val="lightGray"/>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935"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4405" w:type="dxa"/>
            <w:gridSpan w:val="3"/>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lightGray"/>
              </w:rPr>
            </w:pPr>
            <w:r>
              <w:rPr>
                <w:rFonts w:hint="default" w:ascii="Times New Roman" w:hAnsi="Times New Roman" w:eastAsia="宋体" w:cs="Times New Roman"/>
                <w:b w:val="0"/>
                <w:bCs/>
                <w:color w:val="auto"/>
                <w:sz w:val="21"/>
                <w:szCs w:val="21"/>
                <w:highlight w:val="lightGray"/>
              </w:rPr>
              <w:t>5.5~8.5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935"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粪大肠菌群数/(个/100mL) ≤</w:t>
            </w: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4000</w:t>
            </w:r>
          </w:p>
        </w:tc>
        <w:tc>
          <w:tcPr>
            <w:tcW w:w="1468"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lightGray"/>
              </w:rPr>
              <w:t>4000</w:t>
            </w:r>
          </w:p>
        </w:tc>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2000</w:t>
            </w:r>
            <w:r>
              <w:rPr>
                <w:rFonts w:hint="default" w:ascii="Times New Roman" w:hAnsi="Times New Roman" w:eastAsia="宋体" w:cs="Times New Roman"/>
                <w:b w:val="0"/>
                <w:bCs/>
                <w:color w:val="auto"/>
                <w:sz w:val="21"/>
                <w:szCs w:val="21"/>
                <w:vertAlign w:val="superscript"/>
              </w:rPr>
              <w:t>a</w:t>
            </w:r>
            <w:r>
              <w:rPr>
                <w:rFonts w:hint="default" w:ascii="Times New Roman" w:hAnsi="Times New Roman" w:eastAsia="宋体" w:cs="Times New Roman"/>
                <w:b w:val="0"/>
                <w:bCs/>
                <w:color w:val="auto"/>
                <w:sz w:val="21"/>
                <w:szCs w:val="21"/>
              </w:rPr>
              <w:t>，1000</w:t>
            </w:r>
            <w:r>
              <w:rPr>
                <w:rFonts w:hint="default" w:ascii="Times New Roman" w:hAnsi="Times New Roman" w:eastAsia="宋体" w:cs="Times New Roman"/>
                <w:b w:val="0"/>
                <w:bCs/>
                <w:color w:val="auto"/>
                <w:sz w:val="21"/>
                <w:szCs w:val="21"/>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935"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蛔虫卵数/(个/L) ≤</w:t>
            </w:r>
          </w:p>
        </w:tc>
        <w:tc>
          <w:tcPr>
            <w:tcW w:w="2936" w:type="dxa"/>
            <w:gridSpan w:val="2"/>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lightGray"/>
              </w:rPr>
              <w:t>2</w:t>
            </w:r>
          </w:p>
        </w:tc>
        <w:tc>
          <w:tcPr>
            <w:tcW w:w="1469" w:type="dxa"/>
            <w:noWrap w:val="0"/>
            <w:vAlign w:val="center"/>
          </w:tcPr>
          <w:p>
            <w:pPr>
              <w:pStyle w:val="1855"/>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r>
              <w:rPr>
                <w:rFonts w:hint="default" w:ascii="Times New Roman" w:hAnsi="Times New Roman" w:eastAsia="宋体" w:cs="Times New Roman"/>
                <w:b w:val="0"/>
                <w:bCs/>
                <w:color w:val="auto"/>
                <w:sz w:val="21"/>
                <w:szCs w:val="21"/>
                <w:vertAlign w:val="superscript"/>
              </w:rPr>
              <w:t>a</w:t>
            </w:r>
            <w:r>
              <w:rPr>
                <w:rFonts w:hint="default" w:ascii="Times New Roman" w:hAnsi="Times New Roman" w:eastAsia="宋体" w:cs="Times New Roman"/>
                <w:b w:val="0"/>
                <w:bCs/>
                <w:color w:val="auto"/>
                <w:sz w:val="21"/>
                <w:szCs w:val="21"/>
              </w:rPr>
              <w:t>，1</w:t>
            </w:r>
            <w:r>
              <w:rPr>
                <w:rFonts w:hint="default" w:ascii="Times New Roman" w:hAnsi="Times New Roman" w:eastAsia="宋体" w:cs="Times New Roman"/>
                <w:b w:val="0"/>
                <w:bCs/>
                <w:color w:val="auto"/>
                <w:sz w:val="21"/>
                <w:szCs w:val="21"/>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8809" w:type="dxa"/>
            <w:gridSpan w:val="5"/>
            <w:noWrap w:val="0"/>
            <w:vAlign w:val="center"/>
          </w:tcPr>
          <w:p>
            <w:pPr>
              <w:pStyle w:val="1855"/>
              <w:keepNext w:val="0"/>
              <w:keepLines w:val="0"/>
              <w:suppressLineNumbers w:val="0"/>
              <w:spacing w:beforeAutospacing="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注：a、加工、烹调及去皮蔬菜；b、生食类蔬菜、瓜类和草本水果。</w:t>
            </w:r>
          </w:p>
        </w:tc>
      </w:tr>
    </w:tbl>
    <w:p>
      <w:pPr>
        <w:pStyle w:val="154"/>
        <w:ind w:left="0" w:leftChars="0" w:firstLine="0" w:firstLineChars="0"/>
        <w:rPr>
          <w:color w:val="auto"/>
        </w:rPr>
      </w:pPr>
      <w:r>
        <w:rPr>
          <w:color w:val="auto"/>
        </w:rPr>
        <w:t>（2）废气</w:t>
      </w:r>
    </w:p>
    <w:p>
      <w:pPr>
        <w:adjustRightInd w:val="0"/>
        <w:snapToGrid w:val="0"/>
        <w:ind w:firstLine="480" w:firstLineChars="200"/>
        <w:jc w:val="left"/>
        <w:rPr>
          <w:rFonts w:hint="eastAsia" w:ascii="宋体" w:hAnsi="宋体" w:eastAsia="宋体" w:cs="宋体"/>
          <w:b/>
          <w:bCs w:val="0"/>
          <w:color w:val="auto"/>
          <w:sz w:val="21"/>
          <w:szCs w:val="21"/>
          <w:lang w:val="en-US" w:eastAsia="zh-CN"/>
        </w:rPr>
      </w:pPr>
      <w:r>
        <w:rPr>
          <w:rFonts w:hint="eastAsia" w:ascii="Times New Roman" w:hAnsi="Times New Roman" w:cs="Times New Roman"/>
          <w:bCs/>
          <w:color w:val="auto"/>
          <w:sz w:val="24"/>
        </w:rPr>
        <w:t>①臭气浓度执行《畜禽养殖业污染物排放标准》（GB18596-2001）中表</w:t>
      </w:r>
      <w:r>
        <w:rPr>
          <w:rFonts w:hint="eastAsia" w:ascii="Times New Roman" w:hAnsi="Times New Roman" w:cs="Times New Roman"/>
          <w:bCs/>
          <w:color w:val="auto"/>
          <w:sz w:val="24"/>
          <w:lang w:val="en-US" w:eastAsia="zh-CN"/>
        </w:rPr>
        <w:t>7</w:t>
      </w:r>
      <w:r>
        <w:rPr>
          <w:rFonts w:hint="eastAsia" w:ascii="Times New Roman" w:hAnsi="Times New Roman" w:cs="Times New Roman"/>
          <w:bCs/>
          <w:color w:val="auto"/>
          <w:sz w:val="24"/>
        </w:rPr>
        <w:t>标准，标准值见表</w:t>
      </w:r>
      <w:r>
        <w:rPr>
          <w:rFonts w:hint="eastAsia" w:ascii="Times New Roman" w:hAnsi="Times New Roman" w:cs="Times New Roman"/>
          <w:bCs/>
          <w:color w:val="auto"/>
          <w:sz w:val="24"/>
          <w:lang w:val="en-US" w:eastAsia="zh-CN"/>
        </w:rPr>
        <w:t>2.4-8</w:t>
      </w:r>
      <w:r>
        <w:rPr>
          <w:rFonts w:hint="eastAsia" w:ascii="Times New Roman" w:hAnsi="Times New Roman" w:cs="Times New Roman"/>
          <w:bCs/>
          <w:color w:val="auto"/>
          <w:sz w:val="24"/>
        </w:rPr>
        <w:t>。</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《畜禽养殖业污染物排放标准-集约化畜禽养殖业恶臭污染物排放标准》（GB18596-2001）</w:t>
      </w:r>
    </w:p>
    <w:tbl>
      <w:tblPr>
        <w:tblStyle w:val="88"/>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536"/>
        <w:gridCol w:w="596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b/>
                <w:color w:val="auto"/>
                <w:sz w:val="21"/>
                <w:lang w:eastAsia="zh-CN"/>
              </w:rPr>
            </w:pPr>
            <w:r>
              <w:rPr>
                <w:rFonts w:hint="eastAsia" w:ascii="Times New Roman" w:hAnsi="Times New Roman"/>
                <w:b/>
                <w:color w:val="auto"/>
                <w:sz w:val="21"/>
                <w:lang w:eastAsia="zh-CN"/>
              </w:rPr>
              <w:t>控制项目</w:t>
            </w:r>
          </w:p>
        </w:tc>
        <w:tc>
          <w:tcPr>
            <w:tcW w:w="5968"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b/>
                <w:color w:val="auto"/>
                <w:sz w:val="21"/>
                <w:lang w:eastAsia="zh-CN"/>
              </w:rPr>
            </w:pPr>
            <w:r>
              <w:rPr>
                <w:rFonts w:hint="eastAsia" w:ascii="Times New Roman" w:hAnsi="Times New Roman"/>
                <w:b/>
                <w:color w:val="auto"/>
                <w:sz w:val="21"/>
                <w:lang w:eastAsia="zh-CN"/>
              </w:rPr>
              <w:t>标准值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eastAsia="zh-CN"/>
              </w:rPr>
            </w:pPr>
            <w:r>
              <w:rPr>
                <w:rFonts w:hint="eastAsia" w:ascii="Times New Roman" w:hAnsi="Times New Roman"/>
                <w:color w:val="auto"/>
                <w:sz w:val="21"/>
                <w:lang w:eastAsia="zh-CN"/>
              </w:rPr>
              <w:t>臭气浓度（无量纲）</w:t>
            </w:r>
          </w:p>
        </w:tc>
        <w:tc>
          <w:tcPr>
            <w:tcW w:w="5968"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70</w:t>
            </w:r>
          </w:p>
        </w:tc>
      </w:tr>
    </w:tbl>
    <w:p>
      <w:pPr>
        <w:adjustRightInd w:val="0"/>
        <w:snapToGrid w:val="0"/>
        <w:ind w:firstLine="480" w:firstLineChars="200"/>
        <w:jc w:val="left"/>
        <w:rPr>
          <w:rFonts w:hint="default" w:ascii="宋体" w:hAnsi="宋体" w:eastAsia="宋体" w:cs="宋体"/>
          <w:b/>
          <w:bCs w:val="0"/>
          <w:color w:val="auto"/>
          <w:sz w:val="21"/>
          <w:szCs w:val="21"/>
          <w:lang w:val="en-US" w:eastAsia="zh-CN"/>
        </w:rPr>
      </w:pPr>
      <w:r>
        <w:rPr>
          <w:rFonts w:hint="eastAsia" w:ascii="Times New Roman" w:hAnsi="Times New Roman" w:cs="Times New Roman"/>
          <w:bCs/>
          <w:color w:val="auto"/>
          <w:sz w:val="24"/>
          <w:lang w:eastAsia="zh-CN"/>
        </w:rPr>
        <w:t>②</w:t>
      </w:r>
      <w:r>
        <w:rPr>
          <w:rFonts w:hint="eastAsia" w:ascii="Times New Roman" w:hAnsi="Times New Roman" w:cs="Times New Roman"/>
          <w:bCs/>
          <w:color w:val="auto"/>
          <w:sz w:val="24"/>
        </w:rPr>
        <w:t>H</w:t>
      </w:r>
      <w:r>
        <w:rPr>
          <w:rFonts w:hint="eastAsia" w:ascii="Times New Roman" w:hAnsi="Times New Roman" w:cs="Times New Roman"/>
          <w:bCs/>
          <w:color w:val="auto"/>
          <w:sz w:val="24"/>
          <w:lang w:val="en-US" w:eastAsia="zh-CN"/>
        </w:rPr>
        <w:t>2</w:t>
      </w:r>
      <w:r>
        <w:rPr>
          <w:rFonts w:hint="eastAsia" w:ascii="Times New Roman" w:hAnsi="Times New Roman" w:cs="Times New Roman"/>
          <w:bCs/>
          <w:color w:val="auto"/>
          <w:sz w:val="24"/>
        </w:rPr>
        <w:t>S、NH</w:t>
      </w:r>
      <w:r>
        <w:rPr>
          <w:rFonts w:hint="eastAsia" w:ascii="Times New Roman" w:hAnsi="Times New Roman" w:cs="Times New Roman"/>
          <w:bCs/>
          <w:color w:val="auto"/>
          <w:sz w:val="24"/>
          <w:vertAlign w:val="subscript"/>
        </w:rPr>
        <w:t xml:space="preserve">3 </w:t>
      </w:r>
      <w:r>
        <w:rPr>
          <w:rFonts w:hint="eastAsia" w:ascii="Times New Roman" w:hAnsi="Times New Roman" w:cs="Times New Roman"/>
          <w:bCs/>
          <w:color w:val="auto"/>
          <w:sz w:val="24"/>
        </w:rPr>
        <w:t>执行《恶臭污染物排放标准》（GB14554-93）二级标准</w:t>
      </w:r>
      <w:r>
        <w:rPr>
          <w:rFonts w:hint="eastAsia" w:ascii="Times New Roman" w:hAnsi="Times New Roman" w:cs="Times New Roman"/>
          <w:bCs/>
          <w:color w:val="auto"/>
          <w:sz w:val="24"/>
          <w:lang w:eastAsia="zh-CN"/>
        </w:rPr>
        <w:t>，详情见表</w:t>
      </w:r>
      <w:r>
        <w:rPr>
          <w:rFonts w:hint="eastAsia" w:ascii="Times New Roman" w:hAnsi="Times New Roman" w:cs="Times New Roman"/>
          <w:bCs/>
          <w:color w:val="auto"/>
          <w:sz w:val="24"/>
          <w:lang w:val="en-US" w:eastAsia="zh-CN"/>
        </w:rPr>
        <w:t>2.4-9</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 xml:space="preserve"> 《恶臭污染物排放标准》（GB14554-93）标准限值</w:t>
      </w:r>
    </w:p>
    <w:tbl>
      <w:tblPr>
        <w:tblStyle w:val="88"/>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25"/>
        <w:gridCol w:w="3351"/>
        <w:gridCol w:w="1530"/>
        <w:gridCol w:w="151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7" w:hRule="atLeast"/>
        </w:trPr>
        <w:tc>
          <w:tcPr>
            <w:tcW w:w="21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335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厂界无组织排放浓度限值（mg/m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5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eastAsia="zh-CN"/>
              </w:rPr>
              <w:t>排放量（</w:t>
            </w:r>
            <w:r>
              <w:rPr>
                <w:rFonts w:hint="eastAsia" w:ascii="Times New Roman" w:hAnsi="Times New Roman" w:cs="Times New Roman"/>
                <w:color w:val="auto"/>
                <w:lang w:val="en-US" w:eastAsia="zh-CN"/>
              </w:rPr>
              <w:t>kg/h）</w:t>
            </w:r>
          </w:p>
        </w:tc>
        <w:tc>
          <w:tcPr>
            <w:tcW w:w="151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排气筒高度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1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氨</w:t>
            </w:r>
          </w:p>
        </w:tc>
        <w:tc>
          <w:tcPr>
            <w:tcW w:w="335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rPr>
              <w:t>1.5</w:t>
            </w:r>
          </w:p>
        </w:tc>
        <w:tc>
          <w:tcPr>
            <w:tcW w:w="15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4.9</w:t>
            </w:r>
          </w:p>
        </w:tc>
        <w:tc>
          <w:tcPr>
            <w:tcW w:w="1516"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1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硫化氢</w:t>
            </w:r>
          </w:p>
        </w:tc>
        <w:tc>
          <w:tcPr>
            <w:tcW w:w="335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rPr>
              <w:t>0.06</w:t>
            </w:r>
          </w:p>
        </w:tc>
        <w:tc>
          <w:tcPr>
            <w:tcW w:w="15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0.33</w:t>
            </w:r>
          </w:p>
        </w:tc>
        <w:tc>
          <w:tcPr>
            <w:tcW w:w="151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rPr>
            </w:pPr>
          </w:p>
        </w:tc>
      </w:tr>
    </w:tbl>
    <w:p>
      <w:pPr>
        <w:adjustRightInd w:val="0"/>
        <w:snapToGrid w:val="0"/>
        <w:ind w:firstLine="480" w:firstLineChars="200"/>
        <w:jc w:val="left"/>
        <w:rPr>
          <w:rFonts w:hint="eastAsia" w:ascii="Times New Roman" w:hAnsi="Times New Roman" w:cs="Times New Roman"/>
          <w:bCs/>
          <w:color w:val="auto"/>
          <w:sz w:val="24"/>
        </w:rPr>
      </w:pPr>
      <w:r>
        <w:rPr>
          <w:rFonts w:hint="eastAsia" w:ascii="Times New Roman" w:hAnsi="Times New Roman" w:cs="Times New Roman"/>
          <w:bCs/>
          <w:color w:val="auto"/>
          <w:sz w:val="24"/>
          <w:lang w:eastAsia="zh-CN"/>
        </w:rPr>
        <w:t>③</w:t>
      </w:r>
      <w:r>
        <w:rPr>
          <w:rFonts w:hint="eastAsia" w:ascii="Times New Roman" w:hAnsi="Times New Roman" w:cs="Times New Roman"/>
          <w:bCs/>
          <w:color w:val="auto"/>
          <w:sz w:val="24"/>
        </w:rPr>
        <w:t>油烟执行《饮食业油烟排放标准》（试行）（</w:t>
      </w:r>
      <w:r>
        <w:rPr>
          <w:rFonts w:ascii="Times New Roman" w:hAnsi="Times New Roman" w:cs="Times New Roman"/>
          <w:bCs/>
          <w:color w:val="auto"/>
          <w:sz w:val="24"/>
        </w:rPr>
        <w:t>GB18483-2001</w:t>
      </w:r>
      <w:r>
        <w:rPr>
          <w:rFonts w:hint="eastAsia" w:ascii="Times New Roman" w:hAnsi="Times New Roman" w:cs="Times New Roman"/>
          <w:bCs/>
          <w:color w:val="auto"/>
          <w:sz w:val="24"/>
        </w:rPr>
        <w:t>）相应标准。</w:t>
      </w:r>
    </w:p>
    <w:p>
      <w:pPr>
        <w:pStyle w:val="2"/>
        <w:rPr>
          <w:rFonts w:hint="eastAsia" w:ascii="Times New Roman" w:hAnsi="Times New Roman" w:cs="Times New Roman"/>
          <w:bCs/>
          <w:color w:val="auto"/>
          <w:sz w:val="24"/>
        </w:rPr>
      </w:pPr>
    </w:p>
    <w:p>
      <w:pPr>
        <w:rPr>
          <w:rFonts w:hint="default"/>
          <w:color w:val="auto"/>
          <w:lang w:val="en-US" w:eastAsia="zh-CN"/>
        </w:rPr>
      </w:pP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饮食业单位的油烟最高允许排放浓度和油烟净化设施最低去除效率</w:t>
      </w:r>
    </w:p>
    <w:tbl>
      <w:tblPr>
        <w:tblStyle w:val="88"/>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536"/>
        <w:gridCol w:w="596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b/>
                <w:color w:val="auto"/>
                <w:sz w:val="21"/>
              </w:rPr>
            </w:pPr>
            <w:r>
              <w:rPr>
                <w:rFonts w:hint="eastAsia" w:ascii="Times New Roman" w:hAnsi="Times New Roman"/>
                <w:b/>
                <w:color w:val="auto"/>
                <w:sz w:val="21"/>
              </w:rPr>
              <w:t>规模</w:t>
            </w:r>
          </w:p>
        </w:tc>
        <w:tc>
          <w:tcPr>
            <w:tcW w:w="5968"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b/>
                <w:color w:val="auto"/>
                <w:sz w:val="21"/>
              </w:rPr>
            </w:pPr>
            <w:r>
              <w:rPr>
                <w:rFonts w:hint="eastAsia" w:ascii="Times New Roman" w:hAnsi="Times New Roman"/>
                <w:b/>
                <w:color w:val="auto"/>
                <w:sz w:val="21"/>
              </w:rPr>
              <w:t>小型</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最高允许排放浓度</w:t>
            </w:r>
            <w:r>
              <w:rPr>
                <w:rFonts w:hint="default" w:ascii="Times New Roman" w:hAnsi="Times New Roman"/>
                <w:color w:val="auto"/>
                <w:sz w:val="21"/>
              </w:rPr>
              <w:t>mg/m</w:t>
            </w:r>
            <w:r>
              <w:rPr>
                <w:rFonts w:hint="default" w:ascii="Times New Roman" w:hAnsi="Times New Roman"/>
                <w:color w:val="auto"/>
                <w:sz w:val="21"/>
                <w:vertAlign w:val="superscript"/>
              </w:rPr>
              <w:t>3</w:t>
            </w:r>
          </w:p>
        </w:tc>
        <w:tc>
          <w:tcPr>
            <w:tcW w:w="5968"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净化设施最低去除效率</w:t>
            </w:r>
            <w:r>
              <w:rPr>
                <w:rFonts w:hint="default" w:ascii="Times New Roman" w:hAnsi="Times New Roman"/>
                <w:color w:val="auto"/>
                <w:sz w:val="21"/>
              </w:rPr>
              <w:t>%</w:t>
            </w:r>
          </w:p>
        </w:tc>
        <w:tc>
          <w:tcPr>
            <w:tcW w:w="5968"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60</w:t>
            </w:r>
          </w:p>
        </w:tc>
      </w:tr>
    </w:tbl>
    <w:p>
      <w:pPr>
        <w:pStyle w:val="154"/>
        <w:ind w:firstLine="480"/>
        <w:rPr>
          <w:color w:val="auto"/>
        </w:rPr>
      </w:pPr>
      <w:r>
        <w:rPr>
          <w:color w:val="auto"/>
        </w:rPr>
        <w:t>（3）噪声</w:t>
      </w:r>
    </w:p>
    <w:p>
      <w:pPr>
        <w:adjustRightInd w:val="0"/>
        <w:ind w:firstLine="480"/>
        <w:rPr>
          <w:rFonts w:hint="eastAsia" w:ascii="宋体" w:hAnsi="宋体" w:eastAsia="宋体" w:cs="宋体"/>
          <w:b/>
          <w:bCs w:val="0"/>
          <w:color w:val="auto"/>
          <w:sz w:val="21"/>
          <w:szCs w:val="21"/>
          <w:lang w:val="en-US" w:eastAsia="zh-CN"/>
        </w:rPr>
      </w:pPr>
      <w:r>
        <w:rPr>
          <w:rFonts w:ascii="Times New Roman" w:hAnsi="Times New Roman" w:cs="Times New Roman"/>
          <w:color w:val="auto"/>
          <w:sz w:val="24"/>
          <w:szCs w:val="24"/>
        </w:rPr>
        <w:t>施工期执行《建筑施工场界环境噪声排放标准》（GB12523-2011）标准，营运期执行《工业企业厂界环境噪声排放标准》（GB12348-2008）中的</w:t>
      </w:r>
      <w:r>
        <w:rPr>
          <w:rFonts w:hint="eastAsia" w:ascii="Times New Roman" w:hAnsi="Times New Roman" w:cs="Times New Roman"/>
          <w:color w:val="auto"/>
          <w:sz w:val="24"/>
          <w:szCs w:val="24"/>
        </w:rPr>
        <w:t>2</w:t>
      </w:r>
      <w:r>
        <w:rPr>
          <w:rFonts w:ascii="Times New Roman" w:hAnsi="Times New Roman" w:cs="Times New Roman"/>
          <w:color w:val="auto"/>
          <w:sz w:val="24"/>
          <w:szCs w:val="24"/>
        </w:rPr>
        <w:t>类标准，具体标准值见以下两表。</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建筑施工场界环境噪声排放限值（摘录）  单位：dB（A）</w:t>
      </w:r>
    </w:p>
    <w:tbl>
      <w:tblPr>
        <w:tblStyle w:val="88"/>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昼间</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70</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55</w:t>
            </w:r>
          </w:p>
        </w:tc>
      </w:tr>
    </w:tbl>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 xml:space="preserve">  工业企业厂界噪声排放标准  单位：dB（A）</w:t>
      </w:r>
    </w:p>
    <w:tbl>
      <w:tblPr>
        <w:tblStyle w:val="88"/>
        <w:tblW w:w="831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3012"/>
        <w:gridCol w:w="2651"/>
        <w:gridCol w:w="265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3012"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类别</w:t>
            </w:r>
          </w:p>
        </w:tc>
        <w:tc>
          <w:tcPr>
            <w:tcW w:w="265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昼间</w:t>
            </w:r>
          </w:p>
        </w:tc>
        <w:tc>
          <w:tcPr>
            <w:tcW w:w="26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3012"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rPr>
              <w:t>2</w:t>
            </w:r>
            <w:r>
              <w:rPr>
                <w:rFonts w:hint="default" w:ascii="Times New Roman" w:hAnsi="Times New Roman" w:cs="Times New Roman"/>
                <w:color w:val="auto"/>
              </w:rPr>
              <w:t>类标准</w:t>
            </w:r>
          </w:p>
        </w:tc>
        <w:tc>
          <w:tcPr>
            <w:tcW w:w="265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6</w:t>
            </w:r>
            <w:r>
              <w:rPr>
                <w:rFonts w:hint="eastAsia" w:ascii="Times New Roman" w:hAnsi="Times New Roman" w:cs="Times New Roman"/>
                <w:color w:val="auto"/>
              </w:rPr>
              <w:t>0</w:t>
            </w:r>
          </w:p>
        </w:tc>
        <w:tc>
          <w:tcPr>
            <w:tcW w:w="26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5</w:t>
            </w:r>
            <w:r>
              <w:rPr>
                <w:rFonts w:hint="eastAsia" w:ascii="Times New Roman" w:hAnsi="Times New Roman" w:cs="Times New Roman"/>
                <w:color w:val="auto"/>
              </w:rPr>
              <w:t>0</w:t>
            </w:r>
          </w:p>
        </w:tc>
      </w:tr>
    </w:tbl>
    <w:p>
      <w:pPr>
        <w:pStyle w:val="154"/>
        <w:ind w:firstLine="480"/>
        <w:rPr>
          <w:color w:val="auto"/>
        </w:rPr>
      </w:pPr>
      <w:r>
        <w:rPr>
          <w:color w:val="auto"/>
        </w:rPr>
        <w:t>（4）固体废物</w:t>
      </w:r>
    </w:p>
    <w:p>
      <w:pPr>
        <w:pStyle w:val="154"/>
        <w:ind w:firstLine="480"/>
        <w:rPr>
          <w:rFonts w:hint="eastAsia" w:cs="Times New Roman"/>
          <w:color w:val="auto"/>
          <w:sz w:val="24"/>
          <w:szCs w:val="24"/>
          <w:lang w:eastAsia="zh-CN"/>
        </w:rPr>
      </w:pPr>
      <w:r>
        <w:rPr>
          <w:rFonts w:hint="eastAsia"/>
          <w:color w:val="auto"/>
        </w:rPr>
        <w:t>畜禽粪便执行《畜禽养殖业污染物排放标准》（GB18596-2001）表 6 中的畜禽养殖业废渣无害化环境标准，</w:t>
      </w:r>
      <w:r>
        <w:rPr>
          <w:rFonts w:ascii="Times New Roman" w:hAnsi="Times New Roman" w:cs="Times New Roman"/>
          <w:color w:val="auto"/>
          <w:sz w:val="24"/>
          <w:szCs w:val="24"/>
        </w:rPr>
        <w:t>具体标准值见以下表</w:t>
      </w:r>
      <w:r>
        <w:rPr>
          <w:rFonts w:hint="eastAsia" w:cs="Times New Roman"/>
          <w:color w:val="auto"/>
          <w:sz w:val="24"/>
          <w:szCs w:val="24"/>
          <w:lang w:eastAsia="zh-CN"/>
        </w:rPr>
        <w:t>。</w:t>
      </w:r>
    </w:p>
    <w:p>
      <w:pPr>
        <w:numPr>
          <w:ilvl w:val="0"/>
          <w:numId w:val="6"/>
        </w:numPr>
        <w:tabs>
          <w:tab w:val="left" w:pos="0"/>
        </w:tabs>
        <w:ind w:left="425" w:leftChars="0" w:hanging="425" w:firstLineChars="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《畜禽养殖业污染物排放标准- 畜禽养殖业废渣无害化标准》（GB18596-2001）</w:t>
      </w:r>
    </w:p>
    <w:tbl>
      <w:tblPr>
        <w:tblStyle w:val="88"/>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eastAsiaTheme="minorEastAsia"/>
                <w:b/>
                <w:color w:val="auto"/>
                <w:lang w:eastAsia="zh-CN"/>
              </w:rPr>
            </w:pPr>
            <w:r>
              <w:rPr>
                <w:rFonts w:hint="eastAsia" w:ascii="Times New Roman" w:hAnsi="Times New Roman" w:cs="Times New Roman"/>
                <w:b/>
                <w:color w:val="auto"/>
                <w:lang w:eastAsia="zh-CN"/>
              </w:rPr>
              <w:t>控制目标</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eastAsiaTheme="minorEastAsia"/>
                <w:b/>
                <w:color w:val="auto"/>
                <w:lang w:eastAsia="zh-CN"/>
              </w:rPr>
            </w:pPr>
            <w:r>
              <w:rPr>
                <w:rFonts w:hint="eastAsia" w:ascii="Times New Roman" w:hAnsi="Times New Roman" w:cs="Times New Roman"/>
                <w:b/>
                <w:color w:val="auto"/>
                <w:lang w:eastAsia="zh-CN"/>
              </w:rPr>
              <w:t>标准值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粪大肠菌群数</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rPr>
              <w:t>≤1</w:t>
            </w:r>
            <w:r>
              <w:rPr>
                <w:rFonts w:hint="eastAsia" w:ascii="Times New Roman" w:hAnsi="Times New Roman" w:cs="Times New Roman"/>
                <w:color w:val="auto"/>
                <w:lang w:val="en-US" w:eastAsia="zh-CN"/>
              </w:rPr>
              <w:t>0</w:t>
            </w:r>
            <w:r>
              <w:rPr>
                <w:rFonts w:hint="eastAsia" w:ascii="Times New Roman" w:hAnsi="Times New Roman" w:cs="Times New Roman"/>
                <w:color w:val="auto"/>
                <w:vertAlign w:val="superscript"/>
                <w:lang w:val="en-US" w:eastAsia="zh-CN"/>
              </w:rPr>
              <w:t>5</w:t>
            </w:r>
            <w:r>
              <w:rPr>
                <w:rFonts w:hint="eastAsia" w:ascii="Times New Roman" w:hAnsi="Times New Roman" w:cs="Times New Roman"/>
                <w:color w:val="auto"/>
              </w:rPr>
              <w:t>个/公斤</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蛔虫卵</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rPr>
              <w:t>死亡率≥95%</w:t>
            </w:r>
          </w:p>
        </w:tc>
      </w:tr>
    </w:tbl>
    <w:p>
      <w:pPr>
        <w:pStyle w:val="1385"/>
        <w:ind w:firstLine="480"/>
        <w:rPr>
          <w:rFonts w:hint="eastAsia"/>
          <w:color w:val="auto"/>
        </w:rPr>
      </w:pPr>
      <w:r>
        <w:rPr>
          <w:rFonts w:hint="eastAsia"/>
          <w:color w:val="auto"/>
        </w:rPr>
        <w:t>其它一般固体废物执行《一般工业固体废物贮存、处置场污染控制标准》（GB18599-2001）及2013年修改单要求；</w:t>
      </w:r>
    </w:p>
    <w:p>
      <w:pPr>
        <w:pStyle w:val="1385"/>
        <w:ind w:firstLine="480"/>
        <w:rPr>
          <w:rFonts w:hint="eastAsia"/>
          <w:color w:val="auto"/>
          <w:lang w:eastAsia="zh-CN"/>
        </w:rPr>
      </w:pPr>
      <w:r>
        <w:rPr>
          <w:rFonts w:hint="eastAsia"/>
          <w:color w:val="auto"/>
        </w:rPr>
        <w:t>危险废物执行《危险废物贮存污染控制标准》（GB18579-2001）及2013修改单要求</w:t>
      </w:r>
      <w:r>
        <w:rPr>
          <w:rFonts w:hint="eastAsia"/>
          <w:color w:val="auto"/>
          <w:lang w:eastAsia="zh-CN"/>
        </w:rPr>
        <w:t>。</w:t>
      </w:r>
    </w:p>
    <w:p>
      <w:pPr>
        <w:pStyle w:val="154"/>
        <w:ind w:firstLine="480"/>
        <w:rPr>
          <w:rFonts w:hint="eastAsia"/>
          <w:color w:val="auto"/>
        </w:rPr>
      </w:pPr>
      <w:r>
        <w:rPr>
          <w:rFonts w:hint="eastAsia"/>
          <w:color w:val="auto"/>
          <w:lang w:eastAsia="zh-CN"/>
        </w:rPr>
        <w:t>（</w:t>
      </w:r>
      <w:r>
        <w:rPr>
          <w:rFonts w:hint="eastAsia"/>
          <w:color w:val="auto"/>
          <w:lang w:val="en-US" w:eastAsia="zh-CN"/>
        </w:rPr>
        <w:t>5）</w:t>
      </w:r>
      <w:r>
        <w:rPr>
          <w:rFonts w:hint="eastAsia"/>
          <w:color w:val="auto"/>
        </w:rPr>
        <w:t>生态环境</w:t>
      </w:r>
    </w:p>
    <w:p>
      <w:pPr>
        <w:pStyle w:val="154"/>
        <w:ind w:firstLine="480"/>
        <w:rPr>
          <w:rFonts w:hint="eastAsia"/>
          <w:color w:val="auto"/>
          <w:lang w:eastAsia="zh-CN"/>
        </w:rPr>
      </w:pPr>
      <w:r>
        <w:rPr>
          <w:rFonts w:hint="eastAsia"/>
          <w:color w:val="auto"/>
        </w:rPr>
        <w:t>生态环境按《环境影响评价技术导则 生态影响》（HJ19-2011）执行。以不破坏生态系统完整性为目标；水土流失以不增加土壤侵蚀强度为标准。</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lang w:eastAsia="zh-CN"/>
        </w:rPr>
      </w:pPr>
      <w:bookmarkStart w:id="67" w:name="_Toc21488"/>
      <w:r>
        <w:rPr>
          <w:rFonts w:hint="default" w:ascii="Times New Roman" w:hAnsi="Times New Roman" w:eastAsia="宋体" w:cs="Times New Roman"/>
          <w:color w:val="auto"/>
          <w:lang w:eastAsia="zh-CN"/>
        </w:rPr>
        <w:t>评价工作等级、评价范围和评价时段</w:t>
      </w:r>
      <w:bookmarkEnd w:id="67"/>
    </w:p>
    <w:p>
      <w:pPr>
        <w:pStyle w:val="7"/>
        <w:spacing w:before="0" w:after="0" w:line="360" w:lineRule="auto"/>
        <w:ind w:left="0" w:firstLine="0"/>
        <w:rPr>
          <w:rFonts w:cs="Times New Roman"/>
          <w:color w:val="auto"/>
        </w:rPr>
      </w:pPr>
      <w:bookmarkStart w:id="68" w:name="_Toc319588823"/>
      <w:bookmarkStart w:id="69" w:name="_Toc405412753"/>
      <w:bookmarkStart w:id="70" w:name="_Toc319591134"/>
      <w:bookmarkStart w:id="71" w:name="_Toc31666"/>
      <w:bookmarkStart w:id="72" w:name="_Toc321575577"/>
      <w:r>
        <w:rPr>
          <w:rFonts w:cs="Times New Roman"/>
          <w:color w:val="auto"/>
        </w:rPr>
        <w:t>评价工作等级</w:t>
      </w:r>
      <w:bookmarkEnd w:id="68"/>
      <w:bookmarkEnd w:id="69"/>
      <w:bookmarkEnd w:id="70"/>
      <w:bookmarkEnd w:id="71"/>
      <w:bookmarkEnd w:id="72"/>
    </w:p>
    <w:p>
      <w:pPr>
        <w:ind w:firstLine="480" w:firstLineChars="200"/>
        <w:rPr>
          <w:color w:val="auto"/>
          <w:sz w:val="24"/>
          <w:szCs w:val="24"/>
        </w:rPr>
      </w:pPr>
      <w:r>
        <w:rPr>
          <w:color w:val="auto"/>
          <w:sz w:val="24"/>
          <w:szCs w:val="24"/>
        </w:rPr>
        <w:t>1、大气环境</w:t>
      </w:r>
    </w:p>
    <w:p>
      <w:pPr>
        <w:pStyle w:val="1385"/>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 2.2-2018）中推荐的大气评价工作等级划分原则，选择1-3种主要污染物，分别计算每一种污染物的最大地面浓度占标率P</w:t>
      </w:r>
      <w:r>
        <w:rPr>
          <w:rFonts w:hint="default" w:ascii="Times New Roman" w:hAnsi="Times New Roman" w:cs="Times New Roman"/>
          <w:color w:val="auto"/>
          <w:vertAlign w:val="subscript"/>
        </w:rPr>
        <w:t>i</w:t>
      </w:r>
      <w:r>
        <w:rPr>
          <w:rFonts w:hint="default" w:ascii="Times New Roman" w:hAnsi="Times New Roman" w:cs="Times New Roman"/>
          <w:color w:val="auto"/>
        </w:rPr>
        <w:t>，计算公式如下：</w:t>
      </w:r>
    </w:p>
    <w:p>
      <w:pPr>
        <w:pStyle w:val="1385"/>
        <w:ind w:firstLine="480"/>
        <w:jc w:val="center"/>
        <w:rPr>
          <w:rFonts w:hint="default" w:ascii="Times New Roman" w:hAnsi="Times New Roman" w:cs="Times New Roman"/>
          <w:color w:val="auto"/>
        </w:rPr>
      </w:pPr>
      <m:oMathPara>
        <m:oMath>
          <m:sSub>
            <m:sSubPr>
              <m:ctrlPr>
                <w:rPr>
                  <w:rFonts w:hint="default" w:ascii="Cambria Math" w:hAnsi="Cambria Math" w:cs="Times New Roman"/>
                  <w:color w:val="auto"/>
                </w:rPr>
              </m:ctrlPr>
            </m:sSubPr>
            <m:e>
              <m:r>
                <m:rPr>
                  <m:sty m:val="p"/>
                </m:rPr>
                <w:rPr>
                  <w:rFonts w:hint="default" w:ascii="Cambria Math" w:hAnsi="Cambria Math" w:cs="Times New Roman"/>
                  <w:color w:val="auto"/>
                </w:rPr>
                <m:t>P</m:t>
              </m:r>
              <m:ctrlPr>
                <w:rPr>
                  <w:rFonts w:hint="default" w:ascii="Cambria Math" w:hAnsi="Cambria Math" w:cs="Times New Roman"/>
                  <w:color w:val="auto"/>
                </w:rPr>
              </m:ctrlPr>
            </m:e>
            <m:sub>
              <m:r>
                <m:rPr>
                  <m:sty m:val="p"/>
                </m:rPr>
                <w:rPr>
                  <w:rFonts w:hint="default" w:ascii="Cambria Math" w:hAnsi="Cambria Math" w:cs="Times New Roman"/>
                  <w:color w:val="auto"/>
                </w:rPr>
                <m:t>i</m:t>
              </m:r>
              <m:ctrlPr>
                <w:rPr>
                  <w:rFonts w:hint="default" w:ascii="Cambria Math" w:hAnsi="Cambria Math" w:cs="Times New Roman"/>
                  <w:color w:val="auto"/>
                </w:rPr>
              </m:ctrlPr>
            </m:sub>
          </m:sSub>
          <m:r>
            <m:rPr>
              <m:sty m:val="p"/>
            </m:rPr>
            <w:rPr>
              <w:rFonts w:hint="default" w:ascii="Cambria Math" w:hAnsi="Cambria Math" w:cs="Times New Roman"/>
              <w:color w:val="auto"/>
            </w:rPr>
            <m:t>=</m:t>
          </m:r>
          <m:f>
            <m:fPr>
              <m:ctrlPr>
                <w:rPr>
                  <w:rFonts w:hint="default" w:ascii="Cambria Math" w:hAnsi="Cambria Math" w:cs="Times New Roman"/>
                  <w:color w:val="auto"/>
                </w:rPr>
              </m:ctrlPr>
            </m:fPr>
            <m:num>
              <m:sSub>
                <m:sSubPr>
                  <m:ctrlPr>
                    <w:rPr>
                      <w:rFonts w:hint="default" w:ascii="Cambria Math" w:hAnsi="Cambria Math" w:cs="Times New Roman"/>
                      <w:color w:val="auto"/>
                    </w:rPr>
                  </m:ctrlPr>
                </m:sSubPr>
                <m:e>
                  <m:r>
                    <m:rPr>
                      <m:sty m:val="p"/>
                    </m:rPr>
                    <w:rPr>
                      <w:rFonts w:hint="default" w:ascii="Cambria Math" w:hAnsi="Cambria Math" w:cs="Times New Roman"/>
                      <w:color w:val="auto"/>
                    </w:rPr>
                    <m:t>ρ</m:t>
                  </m:r>
                  <m:ctrlPr>
                    <w:rPr>
                      <w:rFonts w:hint="default" w:ascii="Cambria Math" w:hAnsi="Cambria Math" w:cs="Times New Roman"/>
                      <w:color w:val="auto"/>
                    </w:rPr>
                  </m:ctrlPr>
                </m:e>
                <m:sub>
                  <m:r>
                    <m:rPr>
                      <m:sty m:val="p"/>
                    </m:rPr>
                    <w:rPr>
                      <w:rFonts w:hint="default" w:ascii="Cambria Math" w:hAnsi="Cambria Math" w:cs="Times New Roman"/>
                      <w:color w:val="auto"/>
                    </w:rPr>
                    <m:t>i</m:t>
                  </m:r>
                  <m:ctrlPr>
                    <w:rPr>
                      <w:rFonts w:hint="default" w:ascii="Cambria Math" w:hAnsi="Cambria Math" w:cs="Times New Roman"/>
                      <w:color w:val="auto"/>
                    </w:rPr>
                  </m:ctrlPr>
                </m:sub>
              </m:sSub>
              <m:ctrlPr>
                <w:rPr>
                  <w:rFonts w:hint="default" w:ascii="Cambria Math" w:hAnsi="Cambria Math" w:cs="Times New Roman"/>
                  <w:color w:val="auto"/>
                </w:rPr>
              </m:ctrlPr>
            </m:num>
            <m:den>
              <m:sSub>
                <m:sSubPr>
                  <m:ctrlPr>
                    <w:rPr>
                      <w:rFonts w:hint="default" w:ascii="Cambria Math" w:hAnsi="Cambria Math" w:cs="Times New Roman"/>
                      <w:color w:val="auto"/>
                    </w:rPr>
                  </m:ctrlPr>
                </m:sSubPr>
                <m:e>
                  <m:r>
                    <m:rPr>
                      <m:sty m:val="p"/>
                    </m:rPr>
                    <w:rPr>
                      <w:rFonts w:hint="default" w:ascii="Cambria Math" w:hAnsi="Cambria Math" w:cs="Times New Roman"/>
                      <w:color w:val="auto"/>
                    </w:rPr>
                    <m:t>ρ</m:t>
                  </m:r>
                  <m:ctrlPr>
                    <w:rPr>
                      <w:rFonts w:hint="default" w:ascii="Cambria Math" w:hAnsi="Cambria Math" w:cs="Times New Roman"/>
                      <w:color w:val="auto"/>
                    </w:rPr>
                  </m:ctrlPr>
                </m:e>
                <m:sub>
                  <m:r>
                    <m:rPr>
                      <m:sty m:val="p"/>
                    </m:rPr>
                    <w:rPr>
                      <w:rFonts w:hint="default" w:ascii="Cambria Math" w:hAnsi="Cambria Math" w:cs="Times New Roman"/>
                      <w:color w:val="auto"/>
                    </w:rPr>
                    <m:t>oi</m:t>
                  </m:r>
                  <m:ctrlPr>
                    <w:rPr>
                      <w:rFonts w:hint="default" w:ascii="Cambria Math" w:hAnsi="Cambria Math" w:cs="Times New Roman"/>
                      <w:color w:val="auto"/>
                    </w:rPr>
                  </m:ctrlPr>
                </m:sub>
              </m:sSub>
              <m:ctrlPr>
                <w:rPr>
                  <w:rFonts w:hint="default" w:ascii="Cambria Math" w:hAnsi="Cambria Math" w:cs="Times New Roman"/>
                  <w:color w:val="auto"/>
                </w:rPr>
              </m:ctrlPr>
            </m:den>
          </m:f>
          <m:r>
            <m:rPr>
              <m:sty m:val="p"/>
            </m:rPr>
            <w:rPr>
              <w:rFonts w:hint="default" w:ascii="Cambria Math" w:hAnsi="Cambria Math" w:cs="Times New Roman"/>
              <w:color w:val="auto"/>
            </w:rPr>
            <m:t>×100%</m:t>
          </m:r>
        </m:oMath>
      </m:oMathPara>
    </w:p>
    <w:p>
      <w:pPr>
        <w:pStyle w:val="1385"/>
        <w:ind w:firstLine="480"/>
        <w:rPr>
          <w:rFonts w:hint="default" w:ascii="Times New Roman" w:hAnsi="Times New Roman" w:cs="Times New Roman"/>
          <w:color w:val="auto"/>
        </w:rPr>
      </w:pPr>
      <w:r>
        <w:rPr>
          <w:rFonts w:hint="default" w:ascii="Times New Roman" w:hAnsi="Times New Roman" w:cs="Times New Roman"/>
          <w:color w:val="auto"/>
        </w:rPr>
        <w:t>式中：Pi—第i个污染物的最大地面浓度占标率，%；</w:t>
      </w:r>
    </w:p>
    <w:p>
      <w:pPr>
        <w:pStyle w:val="1385"/>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sty m:val="p"/>
              </m:rPr>
              <w:rPr>
                <w:rFonts w:hint="default" w:ascii="Cambria Math" w:hAnsi="Cambria Math" w:cs="Times New Roman"/>
                <w:color w:val="auto"/>
              </w:rPr>
              <m:t>ρ</m:t>
            </m:r>
            <m:ctrlPr>
              <w:rPr>
                <w:rFonts w:hint="default" w:ascii="Cambria Math" w:hAnsi="Cambria Math" w:cs="Times New Roman"/>
                <w:color w:val="auto"/>
              </w:rPr>
            </m:ctrlPr>
          </m:e>
          <m:sub>
            <m:r>
              <m:rPr>
                <m:sty m:val="p"/>
              </m:rPr>
              <w:rPr>
                <w:rFonts w:hint="default" w:ascii="Cambria Math" w:hAnsi="Cambria Math" w:cs="Times New Roman"/>
                <w:color w:val="auto"/>
              </w:rPr>
              <m:t>i</m:t>
            </m:r>
            <m:ctrlPr>
              <w:rPr>
                <w:rFonts w:hint="default" w:ascii="Cambria Math" w:hAnsi="Cambria Math" w:cs="Times New Roman"/>
                <w:color w:val="auto"/>
              </w:rPr>
            </m:ctrlPr>
          </m:sub>
        </m:sSub>
      </m:oMath>
      <w:r>
        <w:rPr>
          <w:rFonts w:hint="default" w:ascii="Times New Roman" w:hAnsi="Times New Roman" w:cs="Times New Roman"/>
          <w:color w:val="auto"/>
        </w:rPr>
        <w:t>—采用估算模式计算出的第i个污染物的最大1h地面空气质量浓度，μg/m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385"/>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m:sty m:val="p"/>
              </m:rPr>
              <w:rPr>
                <w:rFonts w:hint="default" w:ascii="Cambria Math" w:hAnsi="Cambria Math" w:cs="Times New Roman"/>
                <w:color w:val="auto"/>
              </w:rPr>
              <m:t>ρ</m:t>
            </m:r>
            <m:ctrlPr>
              <w:rPr>
                <w:rFonts w:hint="default" w:ascii="Cambria Math" w:hAnsi="Cambria Math" w:cs="Times New Roman"/>
                <w:color w:val="auto"/>
              </w:rPr>
            </m:ctrlPr>
          </m:e>
          <m:sub>
            <m:r>
              <m:rPr>
                <m:sty m:val="p"/>
              </m:rPr>
              <w:rPr>
                <w:rFonts w:hint="default" w:ascii="Cambria Math" w:hAnsi="Cambria Math" w:cs="Times New Roman"/>
                <w:color w:val="auto"/>
              </w:rPr>
              <m:t>oi</m:t>
            </m:r>
            <m:ctrlPr>
              <w:rPr>
                <w:rFonts w:hint="default" w:ascii="Cambria Math" w:hAnsi="Cambria Math" w:cs="Times New Roman"/>
                <w:color w:val="auto"/>
              </w:rPr>
            </m:ctrlPr>
          </m:sub>
        </m:sSub>
      </m:oMath>
      <w:r>
        <w:rPr>
          <w:rFonts w:hint="default" w:ascii="Times New Roman" w:hAnsi="Times New Roman" w:cs="Times New Roman"/>
          <w:color w:val="auto"/>
        </w:rPr>
        <w:t>—第i个污染物的环境空气质量标准，μg/m</w:t>
      </w:r>
      <w:r>
        <w:rPr>
          <w:rFonts w:hint="default" w:ascii="Times New Roman" w:hAnsi="Times New Roman" w:cs="Times New Roman"/>
          <w:color w:val="auto"/>
          <w:vertAlign w:val="superscript"/>
        </w:rPr>
        <w:t>3</w:t>
      </w:r>
      <w:r>
        <w:rPr>
          <w:rFonts w:hint="default" w:ascii="Times New Roman" w:hAnsi="Times New Roman" w:cs="Times New Roman"/>
          <w:color w:val="auto"/>
        </w:rPr>
        <w:t>。一般选用GB3095中1h平均质量浓度的二级浓度限值，如项目位于一类环境空气功能区，应选择相应的一级浓度限值；对该标准中未包含的污染物，使用5.2 确定的各评价因子1h平均质量浓度限值。对仅有8h平均质量浓度限值、日平均质量浓度限值或年平均质量浓度限值的，可分别按2倍、3倍、6倍折算为1h平均质量浓度限值。</w:t>
      </w:r>
    </w:p>
    <w:p>
      <w:pPr>
        <w:pStyle w:val="1385"/>
        <w:ind w:firstLine="480"/>
        <w:rPr>
          <w:color w:val="auto"/>
        </w:rPr>
      </w:pPr>
      <w:r>
        <w:rPr>
          <w:rFonts w:hint="eastAsia"/>
          <w:color w:val="auto"/>
        </w:rPr>
        <w:t>评价工作等级按下表的分级判据进行划分，如果污染物数</w:t>
      </w:r>
      <w:r>
        <w:rPr>
          <w:color w:val="auto"/>
        </w:rPr>
        <w:t>i</w:t>
      </w:r>
      <w:r>
        <w:rPr>
          <w:rFonts w:hint="eastAsia"/>
          <w:color w:val="auto"/>
        </w:rPr>
        <w:t>大于</w:t>
      </w:r>
      <w:r>
        <w:rPr>
          <w:color w:val="auto"/>
        </w:rPr>
        <w:t>1</w:t>
      </w:r>
      <w:r>
        <w:rPr>
          <w:rFonts w:hint="eastAsia"/>
          <w:color w:val="auto"/>
        </w:rPr>
        <w:t>，取</w:t>
      </w:r>
      <w:r>
        <w:rPr>
          <w:color w:val="auto"/>
        </w:rPr>
        <w:t>P</w:t>
      </w:r>
      <w:r>
        <w:rPr>
          <w:rFonts w:hint="eastAsia"/>
          <w:color w:val="auto"/>
        </w:rPr>
        <w:t>值中最大者（</w:t>
      </w:r>
      <w:r>
        <w:rPr>
          <w:color w:val="auto"/>
        </w:rPr>
        <w:t>P</w:t>
      </w:r>
      <w:r>
        <w:rPr>
          <w:color w:val="auto"/>
          <w:vertAlign w:val="subscript"/>
        </w:rPr>
        <w:t>max</w:t>
      </w:r>
      <w:r>
        <w:rPr>
          <w:rFonts w:hint="eastAsia"/>
          <w:color w:val="auto"/>
        </w:rPr>
        <w:t>）。当同一项目有多个污染源（两个及以上）时，则按各污染源分别确定其评价等级，并取评价等级最高者作为项目的评价等级。</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大气环境影响评价工作等级确定</w:t>
      </w:r>
    </w:p>
    <w:tbl>
      <w:tblPr>
        <w:tblStyle w:val="88"/>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396"/>
        <w:gridCol w:w="610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96"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评价工作等级</w:t>
            </w:r>
          </w:p>
        </w:tc>
        <w:tc>
          <w:tcPr>
            <w:tcW w:w="6108"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评价工作等级判据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96"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一级</w:t>
            </w:r>
          </w:p>
        </w:tc>
        <w:tc>
          <w:tcPr>
            <w:tcW w:w="6108"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Pmax≥</w:t>
            </w:r>
            <w:r>
              <w:rPr>
                <w:rFonts w:hint="eastAsia" w:ascii="Times New Roman" w:hAnsi="Times New Roman"/>
                <w:color w:val="auto"/>
                <w:sz w:val="21"/>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96"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二级</w:t>
            </w:r>
          </w:p>
        </w:tc>
        <w:tc>
          <w:tcPr>
            <w:tcW w:w="6108"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1%≤</w:t>
            </w:r>
            <w:r>
              <w:rPr>
                <w:rFonts w:hint="default" w:ascii="Times New Roman" w:hAnsi="Times New Roman"/>
                <w:color w:val="auto"/>
                <w:sz w:val="21"/>
              </w:rPr>
              <w:t>Pmax</w:t>
            </w:r>
            <w:r>
              <w:rPr>
                <w:rFonts w:hint="eastAsia" w:ascii="Times New Roman" w:hAnsi="Times New Roman"/>
                <w:color w:val="auto"/>
                <w:sz w:val="21"/>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96"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三级</w:t>
            </w:r>
          </w:p>
        </w:tc>
        <w:tc>
          <w:tcPr>
            <w:tcW w:w="6108"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Pmax&lt;</w:t>
            </w:r>
            <w:r>
              <w:rPr>
                <w:rFonts w:hint="eastAsia" w:ascii="Times New Roman" w:hAnsi="Times New Roman"/>
                <w:color w:val="auto"/>
                <w:sz w:val="21"/>
              </w:rPr>
              <w:t>1</w:t>
            </w:r>
            <w:r>
              <w:rPr>
                <w:rFonts w:hint="default" w:ascii="Times New Roman" w:hAnsi="Times New Roman"/>
                <w:color w:val="auto"/>
                <w:sz w:val="21"/>
              </w:rPr>
              <w:t>%</w:t>
            </w:r>
          </w:p>
        </w:tc>
      </w:tr>
    </w:tbl>
    <w:p>
      <w:pPr>
        <w:ind w:firstLine="480" w:firstLineChars="200"/>
        <w:rPr>
          <w:rFonts w:hint="default" w:ascii="Times New Roman" w:hAnsi="Times New Roman" w:eastAsia="宋体" w:cs="Times New Roman"/>
          <w:color w:val="auto"/>
          <w:sz w:val="24"/>
          <w:szCs w:val="24"/>
        </w:rPr>
      </w:pPr>
      <w:bookmarkStart w:id="73" w:name="_Toc321575578"/>
      <w:bookmarkStart w:id="74" w:name="_Toc319588824"/>
      <w:bookmarkStart w:id="75" w:name="_Toc319591135"/>
      <w:bookmarkStart w:id="76" w:name="_Toc405412754"/>
      <w:r>
        <w:rPr>
          <w:rFonts w:hint="eastAsia" w:ascii="Times New Roman" w:hAnsi="Times New Roman" w:eastAsia="宋体" w:cs="Times New Roman"/>
          <w:b w:val="0"/>
          <w:color w:val="auto"/>
          <w:sz w:val="24"/>
          <w:lang w:eastAsia="zh-CN"/>
        </w:rPr>
        <w:t>根据</w:t>
      </w:r>
      <w:r>
        <w:rPr>
          <w:rFonts w:hint="eastAsia" w:ascii="Times New Roman" w:hAnsi="Times New Roman" w:eastAsia="宋体" w:cs="Times New Roman"/>
          <w:b w:val="0"/>
          <w:color w:val="auto"/>
          <w:sz w:val="24"/>
          <w:lang w:val="en-US" w:eastAsia="zh-CN"/>
        </w:rPr>
        <w:t>5.2.1章节估算结果，</w:t>
      </w:r>
      <w:r>
        <w:rPr>
          <w:rFonts w:hint="default" w:ascii="Times New Roman" w:hAnsi="Times New Roman" w:eastAsia="宋体" w:cs="Times New Roman"/>
          <w:b w:val="0"/>
          <w:color w:val="auto"/>
          <w:sz w:val="24"/>
        </w:rPr>
        <w:t>本项目Pmax最大值出现为</w:t>
      </w:r>
      <w:r>
        <w:rPr>
          <w:rFonts w:hint="default" w:ascii="Times New Roman" w:hAnsi="Times New Roman" w:eastAsia="宋体" w:cs="Times New Roman"/>
          <w:b w:val="0"/>
          <w:color w:val="auto"/>
          <w:sz w:val="24"/>
          <w:lang w:val="en-US" w:eastAsia="zh-CN"/>
        </w:rPr>
        <w:t>1#</w:t>
      </w:r>
      <w:r>
        <w:rPr>
          <w:rFonts w:hint="default" w:ascii="Times New Roman" w:hAnsi="Times New Roman" w:eastAsia="宋体" w:cs="Times New Roman"/>
          <w:b w:val="0"/>
          <w:color w:val="auto"/>
          <w:sz w:val="24"/>
        </w:rPr>
        <w:t>排气筒排放的H</w:t>
      </w:r>
      <w:r>
        <w:rPr>
          <w:rFonts w:hint="default" w:ascii="Times New Roman" w:hAnsi="Times New Roman" w:eastAsia="宋体" w:cs="Times New Roman"/>
          <w:b w:val="0"/>
          <w:color w:val="auto"/>
          <w:sz w:val="24"/>
          <w:vertAlign w:val="subscript"/>
        </w:rPr>
        <w:t>2</w:t>
      </w:r>
      <w:r>
        <w:rPr>
          <w:rFonts w:hint="default" w:ascii="Times New Roman" w:hAnsi="Times New Roman" w:eastAsia="宋体" w:cs="Times New Roman"/>
          <w:b w:val="0"/>
          <w:color w:val="auto"/>
          <w:sz w:val="24"/>
        </w:rPr>
        <w:t>SPmax值为4.0907%</w:t>
      </w:r>
      <w:r>
        <w:rPr>
          <w:rFonts w:hint="default" w:ascii="Times New Roman" w:hAnsi="Times New Roman" w:eastAsia="宋体" w:cs="Times New Roman"/>
          <w:b w:val="0"/>
          <w:color w:val="auto"/>
          <w:sz w:val="24"/>
          <w:lang w:eastAsia="zh-CN"/>
        </w:rPr>
        <w:t>，</w:t>
      </w:r>
      <w:r>
        <w:rPr>
          <w:rFonts w:hint="default" w:ascii="Times New Roman" w:hAnsi="Times New Roman" w:eastAsia="宋体" w:cs="Times New Roman"/>
          <w:b w:val="0"/>
          <w:color w:val="auto"/>
          <w:sz w:val="24"/>
        </w:rPr>
        <w:t>Cmax为0.4091μg/m³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根据《环境影响评价技术导则 大气环境》（HJ2.2-2018）分级判据，确定本项目大气环境影响评价工作等级为二级.结合《环境影响评价技术导则  大气环境》（HJ2.2-2018）等级判定依据，1.0%≤</w:t>
      </w:r>
      <w:r>
        <w:rPr>
          <w:rFonts w:hint="default" w:ascii="Times New Roman" w:hAnsi="Times New Roman" w:eastAsia="宋体" w:cs="Times New Roman"/>
          <w:i/>
          <w:color w:val="auto"/>
          <w:sz w:val="24"/>
          <w:szCs w:val="24"/>
        </w:rPr>
        <w:t>Pi</w:t>
      </w:r>
      <w:r>
        <w:rPr>
          <w:rFonts w:hint="default" w:ascii="Times New Roman" w:hAnsi="Times New Roman" w:eastAsia="宋体" w:cs="Times New Roman"/>
          <w:color w:val="auto"/>
          <w:sz w:val="24"/>
          <w:szCs w:val="24"/>
          <w:vertAlign w:val="subscript"/>
        </w:rPr>
        <w:t>max</w:t>
      </w:r>
      <w:r>
        <w:rPr>
          <w:rFonts w:hint="default" w:ascii="Times New Roman" w:hAnsi="Times New Roman" w:eastAsia="宋体" w:cs="Times New Roman"/>
          <w:color w:val="auto"/>
          <w:sz w:val="24"/>
          <w:szCs w:val="24"/>
        </w:rPr>
        <w:t>＜10%，确定本项目大气环境影响评价工作等级为二级。</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2、地表水环境</w:t>
      </w:r>
      <w:bookmarkEnd w:id="73"/>
      <w:bookmarkEnd w:id="74"/>
      <w:bookmarkEnd w:id="75"/>
      <w:bookmarkEnd w:id="76"/>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根据建设单位提供的资料，本项目拟采用干清粪工艺，不将清水用作圈舍粪尿日常清理，大大减少了污粪产生量并实现粪尿及时清理。根据工程分析，项目运营期废水产生总量为</w:t>
      </w:r>
      <w:r>
        <w:rPr>
          <w:rFonts w:hint="eastAsia" w:ascii="Times New Roman" w:hAnsi="Times New Roman" w:eastAsia="宋体" w:cs="Times New Roman"/>
          <w:color w:val="auto"/>
          <w:sz w:val="24"/>
          <w:szCs w:val="24"/>
          <w:lang w:val="en-US" w:eastAsia="zh-CN"/>
        </w:rPr>
        <w:t>233.75</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/d，其中养殖废水产生总量为</w:t>
      </w:r>
      <w:r>
        <w:rPr>
          <w:rFonts w:hint="eastAsia" w:ascii="Times New Roman" w:hAnsi="Times New Roman" w:eastAsia="宋体" w:cs="Times New Roman"/>
          <w:color w:val="auto"/>
          <w:sz w:val="24"/>
          <w:szCs w:val="24"/>
          <w:lang w:val="en-US" w:eastAsia="zh-CN"/>
        </w:rPr>
        <w:t>216.95</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/d，生活污水产生总量为</w:t>
      </w:r>
      <w:r>
        <w:rPr>
          <w:rFonts w:ascii="Times New Roman" w:hAnsi="Times New Roman" w:eastAsia="宋体" w:cs="Times New Roman"/>
          <w:color w:val="auto"/>
          <w:sz w:val="24"/>
          <w:szCs w:val="24"/>
        </w:rPr>
        <w:t>16.</w:t>
      </w:r>
      <w:r>
        <w:rPr>
          <w:rFonts w:hint="eastAsia" w:ascii="Times New Roman" w:hAnsi="Times New Roman" w:eastAsia="宋体" w:cs="Times New Roman"/>
          <w:color w:val="auto"/>
          <w:sz w:val="24"/>
          <w:szCs w:val="24"/>
        </w:rPr>
        <w:t>8m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猪场养殖废水和生活污水经收集后，进入拟建的“</w:t>
      </w:r>
      <w:r>
        <w:rPr>
          <w:rFonts w:hint="default" w:ascii="Times New Roman" w:hAnsi="Times New Roman" w:eastAsia="宋体" w:cs="Times New Roman"/>
          <w:color w:val="auto"/>
          <w:sz w:val="24"/>
          <w:szCs w:val="24"/>
        </w:rPr>
        <w:t>固液分离+UASB厌氧+絮凝沉淀+两级A/O系统+混凝絮凝沉淀+消毒</w:t>
      </w:r>
      <w:r>
        <w:rPr>
          <w:rFonts w:hint="eastAsia" w:ascii="Times New Roman" w:hAnsi="Times New Roman" w:eastAsia="宋体" w:cs="Times New Roman"/>
          <w:color w:val="auto"/>
          <w:sz w:val="24"/>
          <w:szCs w:val="24"/>
        </w:rPr>
        <w:t>”污水处理设施处理达《农田灌溉水质标准》（GB5084-2005）中旱作标准后暂存于储存池内，</w:t>
      </w:r>
      <w:r>
        <w:rPr>
          <w:rFonts w:hint="eastAsia" w:ascii="Times New Roman" w:hAnsi="Times New Roman" w:eastAsia="宋体" w:cs="Times New Roman"/>
          <w:color w:val="auto"/>
          <w:sz w:val="24"/>
          <w:szCs w:val="24"/>
          <w:lang w:eastAsia="zh-CN"/>
        </w:rPr>
        <w:t>用于周围林地灌溉，不外排</w:t>
      </w:r>
      <w:r>
        <w:rPr>
          <w:rFonts w:hint="eastAsia" w:ascii="Times New Roman" w:hAnsi="Times New Roman" w:eastAsia="宋体" w:cs="Times New Roman"/>
          <w:color w:val="auto"/>
          <w:sz w:val="24"/>
          <w:szCs w:val="24"/>
        </w:rPr>
        <w:t>。</w:t>
      </w:r>
    </w:p>
    <w:p>
      <w:pPr>
        <w:pStyle w:val="154"/>
        <w:ind w:firstLine="480"/>
        <w:rPr>
          <w:color w:val="auto"/>
          <w:kern w:val="0"/>
        </w:rPr>
      </w:pPr>
      <w:r>
        <w:rPr>
          <w:color w:val="auto"/>
        </w:rPr>
        <w:t>根据</w:t>
      </w:r>
      <w:r>
        <w:rPr>
          <w:rFonts w:hAnsi="黑体"/>
          <w:color w:val="auto"/>
          <w:kern w:val="0"/>
        </w:rPr>
        <w:t>《</w:t>
      </w:r>
      <w:r>
        <w:rPr>
          <w:color w:val="auto"/>
        </w:rPr>
        <w:t>环境影响评价技术导则 地表水环境</w:t>
      </w:r>
      <w:r>
        <w:rPr>
          <w:rFonts w:hAnsi="黑体"/>
          <w:color w:val="auto"/>
          <w:kern w:val="0"/>
        </w:rPr>
        <w:t>》（</w:t>
      </w:r>
      <w:r>
        <w:rPr>
          <w:color w:val="auto"/>
          <w:kern w:val="0"/>
        </w:rPr>
        <w:t>HJ2.3—2018</w:t>
      </w:r>
      <w:r>
        <w:rPr>
          <w:rFonts w:hAnsi="黑体"/>
          <w:color w:val="auto"/>
          <w:kern w:val="0"/>
        </w:rPr>
        <w:t>）表</w:t>
      </w:r>
      <w:r>
        <w:rPr>
          <w:rFonts w:hint="eastAsia" w:hAnsi="黑体"/>
          <w:color w:val="auto"/>
          <w:kern w:val="0"/>
        </w:rPr>
        <w:t>1注10，建设项目生产工艺中有废水产生，经处理后废水</w:t>
      </w:r>
      <w:r>
        <w:rPr>
          <w:rFonts w:hint="eastAsia" w:hAnsi="黑体"/>
          <w:color w:val="auto"/>
          <w:kern w:val="0"/>
          <w:lang w:eastAsia="zh-CN"/>
        </w:rPr>
        <w:t>一部分用于生产回用，一部分用于林地灌溉</w:t>
      </w:r>
      <w:r>
        <w:rPr>
          <w:rFonts w:hint="eastAsia" w:hAnsi="黑体"/>
          <w:color w:val="auto"/>
          <w:kern w:val="0"/>
        </w:rPr>
        <w:t>，无废水排放，按三级B评价。</w:t>
      </w:r>
    </w:p>
    <w:p>
      <w:pPr>
        <w:numPr>
          <w:ilvl w:val="0"/>
          <w:numId w:val="7"/>
        </w:numPr>
        <w:tabs>
          <w:tab w:val="left" w:pos="0"/>
        </w:tabs>
        <w:ind w:left="425" w:leftChars="0" w:hanging="425" w:firstLineChars="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   地面水环境影响评价工作等级判定</w:t>
      </w:r>
    </w:p>
    <w:tbl>
      <w:tblPr>
        <w:tblStyle w:val="89"/>
        <w:tblW w:w="0" w:type="auto"/>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3"/>
        <w:gridCol w:w="284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vMerge w:val="restart"/>
            <w:tcBorders>
              <w:top w:val="single" w:color="auto" w:sz="12"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lang w:val="en-US"/>
              </w:rPr>
            </w:pPr>
            <w:bookmarkStart w:id="77" w:name="_Toc405412756"/>
            <w:bookmarkStart w:id="78" w:name="_Toc319591137"/>
            <w:bookmarkStart w:id="79" w:name="_Toc319588826"/>
            <w:bookmarkStart w:id="80" w:name="_Toc321575580"/>
            <w:r>
              <w:rPr>
                <w:rFonts w:hint="eastAsia" w:ascii="Times New Roman" w:hAnsi="Times New Roman" w:eastAsia="宋体" w:cs="宋体"/>
                <w:b/>
                <w:color w:val="auto"/>
                <w:kern w:val="2"/>
                <w:sz w:val="21"/>
                <w:szCs w:val="21"/>
                <w:highlight w:val="none"/>
                <w:lang w:val="en-US" w:eastAsia="zh-CN" w:bidi="ar"/>
              </w:rPr>
              <w:t>评价等级</w:t>
            </w:r>
          </w:p>
        </w:tc>
        <w:tc>
          <w:tcPr>
            <w:tcW w:w="5686" w:type="dxa"/>
            <w:gridSpan w:val="2"/>
            <w:tcBorders>
              <w:top w:val="single" w:color="auto" w:sz="12"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lang w:val="en-US"/>
              </w:rPr>
            </w:pPr>
            <w:r>
              <w:rPr>
                <w:rFonts w:hint="eastAsia" w:ascii="Times New Roman" w:hAnsi="Times New Roman" w:eastAsia="宋体" w:cs="宋体"/>
                <w:b/>
                <w:color w:val="auto"/>
                <w:kern w:val="2"/>
                <w:sz w:val="21"/>
                <w:szCs w:val="21"/>
                <w:highlight w:val="none"/>
                <w:lang w:val="en-US" w:eastAsia="zh-CN" w:bidi="ar"/>
              </w:rPr>
              <w:t>判定依据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vMerge w:val="continue"/>
            <w:tcBorders>
              <w:top w:val="single" w:color="auto" w:sz="12"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lang w:val="en-US"/>
              </w:rPr>
            </w:pPr>
            <w:r>
              <w:rPr>
                <w:rFonts w:hint="eastAsia" w:ascii="Times New Roman" w:hAnsi="Times New Roman" w:eastAsia="宋体" w:cs="宋体"/>
                <w:b/>
                <w:color w:val="auto"/>
                <w:kern w:val="2"/>
                <w:sz w:val="21"/>
                <w:szCs w:val="21"/>
                <w:highlight w:val="none"/>
                <w:lang w:val="en-US" w:eastAsia="zh-CN" w:bidi="ar"/>
              </w:rPr>
              <w:t>排放方式</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b/>
                <w:color w:val="auto"/>
                <w:highlight w:val="none"/>
                <w:lang w:val="en-US"/>
              </w:rPr>
            </w:pPr>
            <w:r>
              <w:rPr>
                <w:rFonts w:hint="eastAsia" w:ascii="Times New Roman" w:hAnsi="Times New Roman" w:eastAsia="宋体" w:cs="宋体"/>
                <w:b/>
                <w:color w:val="auto"/>
                <w:kern w:val="2"/>
                <w:sz w:val="21"/>
                <w:szCs w:val="24"/>
                <w:highlight w:val="none"/>
                <w:lang w:val="en-US" w:eastAsia="zh-CN" w:bidi="ar"/>
              </w:rPr>
              <w:t>废水排放量</w:t>
            </w:r>
            <w:r>
              <w:rPr>
                <w:rFonts w:hint="default" w:ascii="Times New Roman" w:hAnsi="Times New Roman" w:eastAsia="宋体" w:cs="Times New Roman"/>
                <w:b/>
                <w:color w:val="auto"/>
                <w:kern w:val="2"/>
                <w:sz w:val="21"/>
                <w:szCs w:val="24"/>
                <w:highlight w:val="none"/>
                <w:lang w:val="en-US" w:eastAsia="zh-CN" w:bidi="ar"/>
              </w:rPr>
              <w:t>Q/</w:t>
            </w:r>
            <w:r>
              <w:rPr>
                <w:rFonts w:hint="eastAsia" w:ascii="Times New Roman" w:hAnsi="Times New Roman" w:eastAsia="宋体" w:cs="宋体"/>
                <w:b/>
                <w:color w:val="auto"/>
                <w:kern w:val="2"/>
                <w:sz w:val="21"/>
                <w:szCs w:val="24"/>
                <w:highlight w:val="none"/>
                <w:lang w:val="en-US" w:eastAsia="zh-CN" w:bidi="ar"/>
              </w:rPr>
              <w:t>（</w:t>
            </w:r>
            <w:r>
              <w:rPr>
                <w:rFonts w:hint="default" w:ascii="Times New Roman" w:hAnsi="Times New Roman" w:eastAsia="宋体" w:cs="Times New Roman"/>
                <w:b/>
                <w:color w:val="auto"/>
                <w:kern w:val="2"/>
                <w:sz w:val="21"/>
                <w:szCs w:val="24"/>
                <w:highlight w:val="none"/>
                <w:lang w:val="en-US" w:eastAsia="zh-CN" w:bidi="ar"/>
              </w:rPr>
              <w:t>m</w:t>
            </w:r>
            <w:r>
              <w:rPr>
                <w:rFonts w:hint="default" w:ascii="Times New Roman" w:hAnsi="Times New Roman" w:eastAsia="宋体" w:cs="Times New Roman"/>
                <w:b/>
                <w:color w:val="auto"/>
                <w:kern w:val="2"/>
                <w:sz w:val="21"/>
                <w:szCs w:val="24"/>
                <w:highlight w:val="none"/>
                <w:vertAlign w:val="superscript"/>
                <w:lang w:val="en-US" w:eastAsia="zh-CN" w:bidi="ar"/>
              </w:rPr>
              <w:t>3</w:t>
            </w:r>
            <w:r>
              <w:rPr>
                <w:rFonts w:hint="default" w:ascii="Times New Roman" w:hAnsi="Times New Roman" w:eastAsia="宋体" w:cs="Times New Roman"/>
                <w:b/>
                <w:color w:val="auto"/>
                <w:kern w:val="2"/>
                <w:sz w:val="21"/>
                <w:szCs w:val="24"/>
                <w:highlight w:val="none"/>
                <w:lang w:val="en-US" w:eastAsia="zh-CN" w:bidi="ar"/>
              </w:rPr>
              <w:t>/d</w:t>
            </w:r>
            <w:r>
              <w:rPr>
                <w:rFonts w:hint="eastAsia" w:ascii="Times New Roman" w:hAnsi="Times New Roman" w:eastAsia="宋体" w:cs="宋体"/>
                <w:b/>
                <w:color w:val="auto"/>
                <w:kern w:val="2"/>
                <w:sz w:val="21"/>
                <w:szCs w:val="24"/>
                <w:highlight w:val="none"/>
                <w:lang w:val="en-US" w:eastAsia="zh-CN" w:bidi="ar"/>
              </w:rPr>
              <w:t>）；</w:t>
            </w:r>
          </w:p>
          <w:p>
            <w:pPr>
              <w:pStyle w:val="82"/>
              <w:keepNext w:val="0"/>
              <w:keepLines w:val="0"/>
              <w:widowControl w:val="0"/>
              <w:suppressLineNumbers w:val="0"/>
              <w:adjustRightInd w:val="0"/>
              <w:snapToGrid w:val="0"/>
              <w:spacing w:before="0" w:beforeAutospacing="0" w:after="0" w:afterAutospacing="0"/>
              <w:ind w:left="0" w:leftChars="0" w:right="0" w:firstLine="0" w:firstLineChars="0"/>
              <w:jc w:val="both"/>
              <w:rPr>
                <w:rFonts w:hint="default" w:ascii="Times New Roman" w:hAnsi="Times New Roman" w:cs="Times New Roman"/>
                <w:b/>
                <w:color w:val="auto"/>
                <w:highlight w:val="none"/>
                <w:lang w:val="en-US"/>
              </w:rPr>
            </w:pPr>
            <w:r>
              <w:rPr>
                <w:rFonts w:hint="eastAsia" w:ascii="Times New Roman" w:hAnsi="Times New Roman" w:eastAsia="宋体" w:cs="宋体"/>
                <w:b/>
                <w:color w:val="auto"/>
                <w:kern w:val="2"/>
                <w:sz w:val="21"/>
                <w:szCs w:val="21"/>
                <w:highlight w:val="none"/>
                <w:lang w:val="en-US" w:eastAsia="zh-CN" w:bidi="ar"/>
              </w:rPr>
              <w:t>水污染物当量数</w:t>
            </w:r>
            <w:r>
              <w:rPr>
                <w:rFonts w:hint="default" w:ascii="Times New Roman" w:hAnsi="Times New Roman" w:eastAsia="宋体" w:cs="Times New Roman"/>
                <w:b/>
                <w:color w:val="auto"/>
                <w:kern w:val="2"/>
                <w:sz w:val="21"/>
                <w:szCs w:val="21"/>
                <w:highlight w:val="none"/>
                <w:lang w:val="en-US" w:eastAsia="zh-CN" w:bidi="ar"/>
              </w:rPr>
              <w:t>W/</w:t>
            </w:r>
            <w:r>
              <w:rPr>
                <w:rFonts w:hint="eastAsia" w:ascii="Times New Roman" w:hAnsi="Times New Roman" w:eastAsia="宋体" w:cs="宋体"/>
                <w:b/>
                <w:color w:val="auto"/>
                <w:kern w:val="2"/>
                <w:sz w:val="21"/>
                <w:szCs w:val="21"/>
                <w:highlight w:val="none"/>
                <w:lang w:val="en-US" w:eastAsia="zh-CN" w:bidi="ar"/>
              </w:rPr>
              <w:t>（无量纲）</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一级</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直接排放</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Q≥20000</w:t>
            </w:r>
            <w:r>
              <w:rPr>
                <w:rFonts w:hint="eastAsia" w:ascii="Times New Roman" w:hAnsi="Times New Roman" w:eastAsia="宋体" w:cs="宋体"/>
                <w:color w:val="auto"/>
                <w:kern w:val="2"/>
                <w:sz w:val="21"/>
                <w:szCs w:val="21"/>
                <w:highlight w:val="none"/>
                <w:lang w:val="en-US" w:eastAsia="zh-CN" w:bidi="ar"/>
              </w:rPr>
              <w:t>或</w:t>
            </w:r>
            <w:r>
              <w:rPr>
                <w:rFonts w:hint="default" w:ascii="Times New Roman" w:hAnsi="Times New Roman" w:eastAsia="宋体" w:cs="Times New Roman"/>
                <w:color w:val="auto"/>
                <w:kern w:val="2"/>
                <w:sz w:val="21"/>
                <w:szCs w:val="21"/>
                <w:highlight w:val="none"/>
                <w:lang w:val="en-US" w:eastAsia="zh-CN" w:bidi="ar"/>
              </w:rPr>
              <w:t>W≥60000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二级</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直接排放</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842"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三级</w:t>
            </w:r>
            <w:r>
              <w:rPr>
                <w:rFonts w:hint="default" w:ascii="Times New Roman" w:hAnsi="Times New Roman" w:eastAsia="宋体" w:cs="Times New Roman"/>
                <w:color w:val="auto"/>
                <w:kern w:val="2"/>
                <w:sz w:val="21"/>
                <w:szCs w:val="21"/>
                <w:highlight w:val="none"/>
                <w:lang w:val="en-US" w:eastAsia="zh-CN" w:bidi="ar"/>
              </w:rPr>
              <w:t>A</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直接排放</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Q&lt;200</w:t>
            </w:r>
            <w:r>
              <w:rPr>
                <w:rFonts w:hint="eastAsia" w:ascii="Times New Roman" w:hAnsi="Times New Roman" w:eastAsia="宋体" w:cs="宋体"/>
                <w:color w:val="auto"/>
                <w:kern w:val="2"/>
                <w:sz w:val="21"/>
                <w:szCs w:val="21"/>
                <w:highlight w:val="none"/>
                <w:lang w:val="en-US" w:eastAsia="zh-CN" w:bidi="ar"/>
              </w:rPr>
              <w:t>且</w:t>
            </w:r>
            <w:r>
              <w:rPr>
                <w:rFonts w:hint="default" w:ascii="Times New Roman" w:hAnsi="Times New Roman" w:eastAsia="宋体" w:cs="Times New Roman"/>
                <w:color w:val="auto"/>
                <w:kern w:val="2"/>
                <w:sz w:val="21"/>
                <w:szCs w:val="21"/>
                <w:highlight w:val="none"/>
                <w:lang w:val="en-US" w:eastAsia="zh-CN" w:bidi="ar"/>
              </w:rPr>
              <w:t>W&lt;6000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三级</w:t>
            </w:r>
            <w:r>
              <w:rPr>
                <w:rFonts w:hint="default" w:ascii="Times New Roman" w:hAnsi="Times New Roman" w:eastAsia="宋体" w:cs="Times New Roman"/>
                <w:color w:val="auto"/>
                <w:kern w:val="2"/>
                <w:sz w:val="21"/>
                <w:szCs w:val="21"/>
                <w:highlight w:val="none"/>
                <w:lang w:val="en-US" w:eastAsia="zh-CN" w:bidi="ar"/>
              </w:rPr>
              <w:t>B</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间接排放</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3"/>
            <w:tcBorders>
              <w:top w:val="single" w:color="auto" w:sz="4" w:space="0"/>
              <w:left w:val="nil"/>
              <w:bottom w:val="single" w:color="auto" w:sz="12"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1</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水污染物当量数等于该污染物的年排放量除以该污染物的污染当量值</w:t>
            </w:r>
            <w:r>
              <w:rPr>
                <w:rFonts w:hint="default" w:ascii="Times New Roman" w:hAnsi="Times New Roman" w:eastAsia="宋体" w:cs="Times New Roman"/>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见附录</w:t>
            </w:r>
            <w:r>
              <w:rPr>
                <w:rFonts w:hint="default" w:ascii="Times New Roman" w:hAnsi="Times New Roman" w:eastAsia="宋体" w:cs="Times New Roman"/>
                <w:color w:val="auto"/>
                <w:kern w:val="2"/>
                <w:sz w:val="18"/>
                <w:szCs w:val="18"/>
                <w:highlight w:val="none"/>
                <w:lang w:val="en-US" w:eastAsia="zh-CN" w:bidi="ar"/>
              </w:rPr>
              <w:t>A</w:t>
            </w:r>
            <w:r>
              <w:rPr>
                <w:rFonts w:hint="eastAsia" w:ascii="Times New Roman" w:hAnsi="Times New Roman" w:eastAsia="宋体" w:cs="宋体"/>
                <w:color w:val="auto"/>
                <w:kern w:val="2"/>
                <w:sz w:val="18"/>
                <w:szCs w:val="18"/>
                <w:highlight w:val="none"/>
                <w:lang w:val="en-US" w:eastAsia="zh-CN" w:bidi="ar"/>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2</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3</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厂区存在堆积物（露天堆放的原料、燃料、废渣等以及垃圾堆放场）、降尘污染的，应将初期雨污水纳入废水排放量，相应的主要污染物纳入水污染当量计算。</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4</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建设项目直接排放第一类污染物的，其评价等级为一级；建设项目直接排放的污染物为受纳水体超标因子的，评价等级不低于二级。</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5</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直接排放受纳水体影响范围涉及饮用水水源保护区、饮用水取水口、重点保护与珍稀水生生物的栖息地、重要水生生物的自然产卵场等保护目标时，评价等级不低于二级。</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6</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建设项目向河流、湖库排放温排水引起受纳水体水温变化超过水环境质量标准要求，且评价范围有水温敏感目标时，评价等级为一级。</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7</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建设项目利用海水作为调节温度介质，排水量</w:t>
            </w:r>
            <w:r>
              <w:rPr>
                <w:rFonts w:hint="default" w:ascii="Times New Roman" w:hAnsi="Times New Roman" w:eastAsia="宋体" w:cs="Times New Roman"/>
                <w:color w:val="auto"/>
                <w:kern w:val="2"/>
                <w:sz w:val="18"/>
                <w:szCs w:val="18"/>
                <w:highlight w:val="none"/>
                <w:lang w:val="en-US" w:eastAsia="zh-CN" w:bidi="ar"/>
              </w:rPr>
              <w:t>≥500</w:t>
            </w:r>
            <w:r>
              <w:rPr>
                <w:rFonts w:hint="eastAsia" w:ascii="Times New Roman" w:hAnsi="Times New Roman" w:eastAsia="宋体" w:cs="宋体"/>
                <w:color w:val="auto"/>
                <w:kern w:val="2"/>
                <w:sz w:val="18"/>
                <w:szCs w:val="18"/>
                <w:highlight w:val="none"/>
                <w:lang w:val="en-US" w:eastAsia="zh-CN" w:bidi="ar"/>
              </w:rPr>
              <w:t>万</w:t>
            </w:r>
            <w:r>
              <w:rPr>
                <w:rFonts w:hint="default" w:ascii="Times New Roman" w:hAnsi="Times New Roman" w:eastAsia="宋体" w:cs="Times New Roman"/>
                <w:color w:val="auto"/>
                <w:kern w:val="2"/>
                <w:sz w:val="18"/>
                <w:szCs w:val="18"/>
                <w:highlight w:val="none"/>
                <w:lang w:val="en-US" w:eastAsia="zh-CN" w:bidi="ar"/>
              </w:rPr>
              <w:t>m</w:t>
            </w:r>
            <w:r>
              <w:rPr>
                <w:rFonts w:hint="default" w:ascii="Times New Roman" w:hAnsi="Times New Roman" w:eastAsia="宋体" w:cs="Times New Roman"/>
                <w:color w:val="auto"/>
                <w:kern w:val="2"/>
                <w:sz w:val="18"/>
                <w:szCs w:val="18"/>
                <w:highlight w:val="none"/>
                <w:vertAlign w:val="superscript"/>
                <w:lang w:val="en-US" w:eastAsia="zh-CN" w:bidi="ar"/>
              </w:rPr>
              <w:t>3</w:t>
            </w:r>
            <w:r>
              <w:rPr>
                <w:rFonts w:hint="default" w:ascii="Times New Roman" w:hAnsi="Times New Roman" w:eastAsia="宋体" w:cs="Times New Roman"/>
                <w:color w:val="auto"/>
                <w:kern w:val="2"/>
                <w:sz w:val="18"/>
                <w:szCs w:val="18"/>
                <w:highlight w:val="none"/>
                <w:lang w:val="en-US" w:eastAsia="zh-CN" w:bidi="ar"/>
              </w:rPr>
              <w:t>/d</w:t>
            </w:r>
            <w:r>
              <w:rPr>
                <w:rFonts w:hint="eastAsia" w:ascii="Times New Roman" w:hAnsi="Times New Roman" w:eastAsia="宋体" w:cs="宋体"/>
                <w:color w:val="auto"/>
                <w:kern w:val="2"/>
                <w:sz w:val="18"/>
                <w:szCs w:val="18"/>
                <w:highlight w:val="none"/>
                <w:lang w:val="en-US" w:eastAsia="zh-CN" w:bidi="ar"/>
              </w:rPr>
              <w:t>，评价等级为一级；排水量</w:t>
            </w:r>
            <w:r>
              <w:rPr>
                <w:rFonts w:hint="default" w:ascii="Times New Roman" w:hAnsi="Times New Roman" w:eastAsia="宋体" w:cs="Times New Roman"/>
                <w:color w:val="auto"/>
                <w:kern w:val="2"/>
                <w:sz w:val="18"/>
                <w:szCs w:val="18"/>
                <w:highlight w:val="none"/>
                <w:lang w:val="en-US" w:eastAsia="zh-CN" w:bidi="ar"/>
              </w:rPr>
              <w:t>&lt;500</w:t>
            </w:r>
            <w:r>
              <w:rPr>
                <w:rFonts w:hint="eastAsia" w:ascii="Times New Roman" w:hAnsi="Times New Roman" w:eastAsia="宋体" w:cs="宋体"/>
                <w:color w:val="auto"/>
                <w:kern w:val="2"/>
                <w:sz w:val="18"/>
                <w:szCs w:val="18"/>
                <w:highlight w:val="none"/>
                <w:lang w:val="en-US" w:eastAsia="zh-CN" w:bidi="ar"/>
              </w:rPr>
              <w:t>万</w:t>
            </w:r>
            <w:r>
              <w:rPr>
                <w:rFonts w:hint="default" w:ascii="Times New Roman" w:hAnsi="Times New Roman" w:eastAsia="宋体" w:cs="Times New Roman"/>
                <w:color w:val="auto"/>
                <w:kern w:val="2"/>
                <w:sz w:val="18"/>
                <w:szCs w:val="18"/>
                <w:highlight w:val="none"/>
                <w:lang w:val="en-US" w:eastAsia="zh-CN" w:bidi="ar"/>
              </w:rPr>
              <w:t>m</w:t>
            </w:r>
            <w:r>
              <w:rPr>
                <w:rFonts w:hint="default" w:ascii="Times New Roman" w:hAnsi="Times New Roman" w:eastAsia="宋体" w:cs="Times New Roman"/>
                <w:color w:val="auto"/>
                <w:kern w:val="2"/>
                <w:sz w:val="18"/>
                <w:szCs w:val="18"/>
                <w:highlight w:val="none"/>
                <w:vertAlign w:val="superscript"/>
                <w:lang w:val="en-US" w:eastAsia="zh-CN" w:bidi="ar"/>
              </w:rPr>
              <w:t>3</w:t>
            </w:r>
            <w:r>
              <w:rPr>
                <w:rFonts w:hint="default" w:ascii="Times New Roman" w:hAnsi="Times New Roman" w:eastAsia="宋体" w:cs="Times New Roman"/>
                <w:color w:val="auto"/>
                <w:kern w:val="2"/>
                <w:sz w:val="18"/>
                <w:szCs w:val="18"/>
                <w:highlight w:val="none"/>
                <w:lang w:val="en-US" w:eastAsia="zh-CN" w:bidi="ar"/>
              </w:rPr>
              <w:t>/d</w:t>
            </w:r>
            <w:r>
              <w:rPr>
                <w:rFonts w:hint="eastAsia" w:ascii="Times New Roman" w:hAnsi="Times New Roman" w:eastAsia="宋体" w:cs="宋体"/>
                <w:color w:val="auto"/>
                <w:kern w:val="2"/>
                <w:sz w:val="18"/>
                <w:szCs w:val="18"/>
                <w:highlight w:val="none"/>
                <w:lang w:val="en-US" w:eastAsia="zh-CN" w:bidi="ar"/>
              </w:rPr>
              <w:t>，评价等级为二级。</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8</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仅涉及清净下水排放的，如其排放水质满足受纳水体水环境质量标准要求的，评价等级为三级</w:t>
            </w:r>
            <w:r>
              <w:rPr>
                <w:rFonts w:hint="default" w:ascii="Times New Roman" w:hAnsi="Times New Roman" w:eastAsia="宋体" w:cs="Times New Roman"/>
                <w:color w:val="auto"/>
                <w:kern w:val="2"/>
                <w:sz w:val="18"/>
                <w:szCs w:val="18"/>
                <w:highlight w:val="none"/>
                <w:lang w:val="en-US" w:eastAsia="zh-CN" w:bidi="ar"/>
              </w:rPr>
              <w:t>A</w:t>
            </w:r>
            <w:r>
              <w:rPr>
                <w:rFonts w:hint="eastAsia" w:ascii="Times New Roman" w:hAnsi="Times New Roman" w:eastAsia="宋体" w:cs="宋体"/>
                <w:color w:val="auto"/>
                <w:kern w:val="2"/>
                <w:sz w:val="18"/>
                <w:szCs w:val="18"/>
                <w:highlight w:val="none"/>
                <w:lang w:val="en-US" w:eastAsia="zh-CN" w:bidi="ar"/>
              </w:rPr>
              <w:t>。</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9</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依托现有排放口，且对外环境未新增排放污染物的直接排放建设项目，评价等级参照间接排放，定为三级</w:t>
            </w:r>
            <w:r>
              <w:rPr>
                <w:rFonts w:hint="default" w:ascii="Times New Roman" w:hAnsi="Times New Roman" w:eastAsia="宋体" w:cs="Times New Roman"/>
                <w:color w:val="auto"/>
                <w:kern w:val="2"/>
                <w:sz w:val="18"/>
                <w:szCs w:val="18"/>
                <w:highlight w:val="none"/>
                <w:lang w:val="en-US" w:eastAsia="zh-CN" w:bidi="ar"/>
              </w:rPr>
              <w:t>B.</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Cs w:val="21"/>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10</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建设项目生产工艺中有废水产生，但作为回水利用，不排放到外环境的，按三级</w:t>
            </w:r>
            <w:r>
              <w:rPr>
                <w:rFonts w:hint="default" w:ascii="Times New Roman" w:hAnsi="Times New Roman" w:eastAsia="宋体" w:cs="Times New Roman"/>
                <w:color w:val="auto"/>
                <w:kern w:val="2"/>
                <w:sz w:val="18"/>
                <w:szCs w:val="18"/>
                <w:highlight w:val="none"/>
                <w:lang w:val="en-US" w:eastAsia="zh-CN" w:bidi="ar"/>
              </w:rPr>
              <w:t>B</w:t>
            </w:r>
            <w:r>
              <w:rPr>
                <w:rFonts w:hint="eastAsia" w:ascii="Times New Roman" w:hAnsi="Times New Roman" w:eastAsia="宋体" w:cs="宋体"/>
                <w:color w:val="auto"/>
                <w:kern w:val="2"/>
                <w:sz w:val="18"/>
                <w:szCs w:val="18"/>
                <w:highlight w:val="none"/>
                <w:lang w:val="en-US" w:eastAsia="zh-CN" w:bidi="ar"/>
              </w:rPr>
              <w:t>评价。</w:t>
            </w:r>
          </w:p>
        </w:tc>
      </w:tr>
    </w:tbl>
    <w:p>
      <w:pPr>
        <w:ind w:firstLine="480" w:firstLineChars="200"/>
        <w:rPr>
          <w:color w:val="auto"/>
          <w:sz w:val="24"/>
          <w:szCs w:val="24"/>
        </w:rPr>
      </w:pPr>
      <w:r>
        <w:rPr>
          <w:color w:val="auto"/>
          <w:sz w:val="24"/>
          <w:szCs w:val="24"/>
        </w:rPr>
        <w:t>3、地下水环境</w:t>
      </w:r>
      <w:bookmarkEnd w:id="77"/>
    </w:p>
    <w:p>
      <w:pPr>
        <w:pStyle w:val="154"/>
        <w:ind w:firstLine="480"/>
        <w:rPr>
          <w:color w:val="auto"/>
        </w:rPr>
      </w:pPr>
      <w:r>
        <w:rPr>
          <w:color w:val="auto"/>
        </w:rPr>
        <w:t>根据建设项目对地下水环境影响程度，结合《建设项目环境影响评价分类管理名录》，将建设项目分为四类，其中I类、II类及</w:t>
      </w:r>
      <w:r>
        <w:rPr>
          <w:rFonts w:hint="eastAsia" w:ascii="宋体" w:hAnsi="宋体" w:cs="宋体"/>
          <w:color w:val="auto"/>
        </w:rPr>
        <w:t>Ⅲ</w:t>
      </w:r>
      <w:r>
        <w:rPr>
          <w:color w:val="auto"/>
        </w:rPr>
        <w:t>类建设项目的地下水环境影响评价应执行本标准，IV类建设项目不开展地下水环境影响评价，分类详见《环境影响评价技术导则 地下水环境》（HJ610-2016）附录A（以下简称附录A）。依据附录A，本项目属</w:t>
      </w:r>
      <w:r>
        <w:rPr>
          <w:rFonts w:hint="eastAsia" w:ascii="宋体" w:hAnsi="宋体" w:cs="宋体"/>
          <w:color w:val="auto"/>
        </w:rPr>
        <w:t>Ⅲ</w:t>
      </w:r>
      <w:r>
        <w:rPr>
          <w:color w:val="auto"/>
        </w:rPr>
        <w:t>类项目</w:t>
      </w:r>
      <w:r>
        <w:rPr>
          <w:rFonts w:hint="eastAsia"/>
          <w:color w:val="auto"/>
        </w:rPr>
        <w:t>。</w:t>
      </w:r>
      <w:r>
        <w:rPr>
          <w:color w:val="auto"/>
        </w:rPr>
        <w:t>地下水环境影响评级等级的划分应依据建设项目行业分类和地下水环境敏感程度分级进行判定，具体见以下两表：</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地下水环境敏感程度分级表</w:t>
      </w:r>
    </w:p>
    <w:tbl>
      <w:tblPr>
        <w:tblStyle w:val="88"/>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49"/>
        <w:gridCol w:w="707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分级</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项目场地的地下水环境敏感特征</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敏感</w:t>
            </w:r>
          </w:p>
        </w:tc>
        <w:tc>
          <w:tcPr>
            <w:tcW w:w="7073"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较敏感</w:t>
            </w:r>
          </w:p>
        </w:tc>
        <w:tc>
          <w:tcPr>
            <w:tcW w:w="7073"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集中式饮用水源地（包括已建成的在用、备用、应急水源地，在建和规划的水源地）准保护区以外的补给径流区；特殊地下水资源（如矿泉水、温泉等）保护区以外的分布区以及分散居民饮用水源等其它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不敏感（√）</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上述地区之外的其它地区</w:t>
            </w:r>
          </w:p>
        </w:tc>
      </w:tr>
    </w:tbl>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项目评价工作等级分级表</w:t>
      </w:r>
    </w:p>
    <w:tbl>
      <w:tblPr>
        <w:tblStyle w:val="88"/>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1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项目类别</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环境敏感程度</w:t>
            </w:r>
          </w:p>
        </w:tc>
        <w:tc>
          <w:tcPr>
            <w:tcW w:w="21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宋体" w:hAnsi="宋体" w:eastAsia="宋体" w:cs="宋体"/>
                <w:b/>
                <w:color w:val="auto"/>
              </w:rPr>
              <w:t>Ⅰ</w:t>
            </w:r>
            <w:r>
              <w:rPr>
                <w:rFonts w:hint="default" w:ascii="Times New Roman" w:hAnsi="Times New Roman" w:cs="Times New Roman"/>
                <w:b/>
                <w:color w:val="auto"/>
              </w:rPr>
              <w:t>类项目</w:t>
            </w:r>
          </w:p>
        </w:tc>
        <w:tc>
          <w:tcPr>
            <w:tcW w:w="2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宋体" w:hAnsi="宋体" w:eastAsia="宋体" w:cs="宋体"/>
                <w:b/>
                <w:color w:val="auto"/>
              </w:rPr>
              <w:t>Ⅱ</w:t>
            </w:r>
            <w:r>
              <w:rPr>
                <w:rFonts w:hint="default" w:ascii="Times New Roman" w:hAnsi="Times New Roman" w:cs="Times New Roman"/>
                <w:b/>
                <w:color w:val="auto"/>
              </w:rPr>
              <w:t>类项目</w:t>
            </w:r>
          </w:p>
        </w:tc>
        <w:tc>
          <w:tcPr>
            <w:tcW w:w="2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宋体" w:hAnsi="宋体" w:eastAsia="宋体" w:cs="宋体"/>
                <w:b/>
                <w:color w:val="auto"/>
                <w:highlight w:val="lightGray"/>
                <w:shd w:val="clear" w:color="auto" w:fill="auto"/>
              </w:rPr>
              <w:t>Ⅲ</w:t>
            </w:r>
            <w:r>
              <w:rPr>
                <w:rFonts w:hint="default" w:ascii="Times New Roman" w:hAnsi="Times New Roman" w:cs="Times New Roman"/>
                <w:b/>
                <w:color w:val="auto"/>
                <w:highlight w:val="lightGray"/>
                <w:shd w:val="clear" w:color="auto" w:fill="auto"/>
              </w:rPr>
              <w:t>类项目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1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敏感</w:t>
            </w:r>
          </w:p>
        </w:tc>
        <w:tc>
          <w:tcPr>
            <w:tcW w:w="21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一</w:t>
            </w:r>
          </w:p>
        </w:tc>
        <w:tc>
          <w:tcPr>
            <w:tcW w:w="2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一</w:t>
            </w:r>
          </w:p>
        </w:tc>
        <w:tc>
          <w:tcPr>
            <w:tcW w:w="2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二</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1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较敏感</w:t>
            </w:r>
          </w:p>
        </w:tc>
        <w:tc>
          <w:tcPr>
            <w:tcW w:w="21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一</w:t>
            </w:r>
          </w:p>
        </w:tc>
        <w:tc>
          <w:tcPr>
            <w:tcW w:w="2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二</w:t>
            </w:r>
          </w:p>
        </w:tc>
        <w:tc>
          <w:tcPr>
            <w:tcW w:w="2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三</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1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highlight w:val="lightGray"/>
                <w:shd w:val="clear" w:color="auto" w:fill="auto"/>
              </w:rPr>
              <w:t>不敏感</w:t>
            </w:r>
          </w:p>
        </w:tc>
        <w:tc>
          <w:tcPr>
            <w:tcW w:w="21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二</w:t>
            </w:r>
          </w:p>
        </w:tc>
        <w:tc>
          <w:tcPr>
            <w:tcW w:w="2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三</w:t>
            </w:r>
          </w:p>
        </w:tc>
        <w:tc>
          <w:tcPr>
            <w:tcW w:w="2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highlight w:val="lightGray"/>
                <w:shd w:val="clear" w:color="auto" w:fill="auto"/>
              </w:rPr>
              <w:t>三</w:t>
            </w:r>
          </w:p>
        </w:tc>
      </w:tr>
    </w:tbl>
    <w:p>
      <w:pPr>
        <w:pStyle w:val="154"/>
        <w:ind w:firstLine="480"/>
        <w:rPr>
          <w:b/>
          <w:color w:val="auto"/>
        </w:rPr>
      </w:pPr>
      <w:r>
        <w:rPr>
          <w:color w:val="auto"/>
        </w:rPr>
        <w:t>根据《环境影响评价技术导则 地下水环境》（HJ610-2016），本项目属</w:t>
      </w:r>
      <w:r>
        <w:rPr>
          <w:rFonts w:hint="eastAsia"/>
          <w:color w:val="auto"/>
        </w:rPr>
        <w:t>Ⅲ</w:t>
      </w:r>
      <w:r>
        <w:rPr>
          <w:color w:val="auto"/>
        </w:rPr>
        <w:t>类项目，地下水环境敏感程度为不敏感，根据（HJ610-2016）判定依据，综合判定本项目为三级评价。</w:t>
      </w:r>
    </w:p>
    <w:p>
      <w:pPr>
        <w:ind w:firstLine="480" w:firstLineChars="200"/>
        <w:rPr>
          <w:color w:val="auto"/>
          <w:sz w:val="24"/>
          <w:szCs w:val="24"/>
        </w:rPr>
      </w:pPr>
      <w:bookmarkStart w:id="81" w:name="_Toc319591136"/>
      <w:bookmarkStart w:id="82" w:name="_Toc405412755"/>
      <w:bookmarkStart w:id="83" w:name="_Toc319588825"/>
      <w:bookmarkStart w:id="84" w:name="_Toc321575579"/>
      <w:r>
        <w:rPr>
          <w:color w:val="auto"/>
          <w:sz w:val="24"/>
          <w:szCs w:val="24"/>
        </w:rPr>
        <w:t>4、</w:t>
      </w:r>
      <w:bookmarkEnd w:id="81"/>
      <w:bookmarkEnd w:id="82"/>
      <w:bookmarkEnd w:id="83"/>
      <w:bookmarkEnd w:id="84"/>
      <w:r>
        <w:rPr>
          <w:rFonts w:hint="eastAsia"/>
          <w:color w:val="auto"/>
          <w:sz w:val="24"/>
          <w:szCs w:val="24"/>
        </w:rPr>
        <w:t>声环境</w:t>
      </w:r>
    </w:p>
    <w:p>
      <w:pPr>
        <w:pStyle w:val="154"/>
        <w:ind w:firstLine="480"/>
        <w:rPr>
          <w:rFonts w:hint="eastAsia"/>
          <w:color w:val="auto"/>
        </w:rPr>
      </w:pPr>
      <w:r>
        <w:rPr>
          <w:rFonts w:hint="eastAsia"/>
          <w:color w:val="auto"/>
        </w:rPr>
        <w:t>声环境评价工作等级划分的基本原则见</w:t>
      </w:r>
      <w:r>
        <w:rPr>
          <w:rFonts w:hint="eastAsia"/>
          <w:color w:val="auto"/>
          <w:lang w:eastAsia="zh-CN"/>
        </w:rPr>
        <w:t>下表</w:t>
      </w:r>
      <w:r>
        <w:rPr>
          <w:rFonts w:hint="eastAsia"/>
          <w:color w:val="auto"/>
        </w:rPr>
        <w:t>：</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声环境评价工作等级划分基本原则</w:t>
      </w:r>
    </w:p>
    <w:tbl>
      <w:tblPr>
        <w:tblStyle w:val="88"/>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49"/>
        <w:gridCol w:w="707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eastAsia" w:ascii="Times New Roman" w:hAnsi="Times New Roman" w:cs="Times New Roman"/>
                <w:b/>
                <w:color w:val="auto"/>
                <w:lang w:eastAsia="zh-CN"/>
              </w:rPr>
              <w:t>等级</w:t>
            </w:r>
            <w:r>
              <w:rPr>
                <w:rFonts w:hint="default" w:ascii="Times New Roman" w:hAnsi="Times New Roman" w:cs="Times New Roman"/>
                <w:b/>
                <w:color w:val="auto"/>
              </w:rPr>
              <w:t>分级</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b/>
                <w:color w:val="auto"/>
                <w:lang w:eastAsia="zh-CN"/>
              </w:rPr>
            </w:pPr>
            <w:r>
              <w:rPr>
                <w:rFonts w:hint="eastAsia" w:ascii="Times New Roman" w:hAnsi="Times New Roman" w:cs="Times New Roman"/>
                <w:b/>
                <w:color w:val="auto"/>
                <w:lang w:eastAsia="zh-CN"/>
              </w:rPr>
              <w:t>等级划分基本原则</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一级</w:t>
            </w:r>
          </w:p>
        </w:tc>
        <w:tc>
          <w:tcPr>
            <w:tcW w:w="7073"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rPr>
                <w:rFonts w:hint="eastAsia" w:eastAsia="宋体"/>
                <w:color w:val="auto"/>
                <w:sz w:val="21"/>
                <w:szCs w:val="21"/>
                <w:lang w:eastAsia="zh-CN"/>
              </w:rPr>
            </w:pPr>
            <w:r>
              <w:rPr>
                <w:rFonts w:hint="default" w:ascii="Times New Roman" w:hAnsi="Times New Roman" w:eastAsia="宋体" w:cs="Times New Roman"/>
                <w:color w:val="auto"/>
                <w:sz w:val="21"/>
                <w:szCs w:val="21"/>
              </w:rPr>
              <w:t>评价范围内有适用于GB3096规定的0类声环境功能区域，以及对噪声有特别限制要求的保护区等敏感目标，或建设项目建设前后评价范围内敏感目标噪声级增高量达5dB(A)以上（不含5dB(A)），或受影响人口数量显著增多时</w:t>
            </w:r>
            <w:r>
              <w:rPr>
                <w:rFonts w:hint="eastAsia" w:ascii="Times New Roman" w:hAnsi="Times New Roman"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二级</w:t>
            </w:r>
          </w:p>
        </w:tc>
        <w:tc>
          <w:tcPr>
            <w:tcW w:w="7073"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rPr>
                <w:rFonts w:hint="eastAsia" w:eastAsia="宋体"/>
                <w:color w:val="auto"/>
                <w:sz w:val="21"/>
                <w:szCs w:val="21"/>
                <w:lang w:eastAsia="zh-CN"/>
              </w:rPr>
            </w:pPr>
            <w:r>
              <w:rPr>
                <w:rFonts w:hint="eastAsia"/>
                <w:color w:val="auto"/>
                <w:sz w:val="21"/>
                <w:szCs w:val="21"/>
              </w:rPr>
              <w:t>建设项目所处的声环境功能区为GB3096规定的1类、2类地区，或建设项目建设前后评价范围内敏感目标噪声级增高量达3dB(A)-5dB(A)(含5 dB(A))，或受噪声影响人口数量增加较多时</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三级</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cs="Times New Roman" w:eastAsiaTheme="minorEastAsia"/>
                <w:color w:val="auto"/>
                <w:lang w:eastAsia="zh-CN"/>
              </w:rPr>
            </w:pPr>
            <w:r>
              <w:rPr>
                <w:rFonts w:hint="eastAsia" w:ascii="Times New Roman" w:hAnsi="Times New Roman" w:cs="Times New Roman"/>
                <w:color w:val="auto"/>
              </w:rPr>
              <w:t>建设项目所处的声环境功能区为GB3096规定的3类、4类地区，或建设项目建设前后评价范围内敏感目标噪声级增高量达3dB(A)以下（不含3dB(A)），且受影响人口数量变化不大时</w:t>
            </w:r>
            <w:r>
              <w:rPr>
                <w:rFonts w:hint="eastAsia" w:ascii="Times New Roman" w:hAnsi="Times New Roman" w:cs="Times New Roman"/>
                <w:color w:val="auto"/>
                <w:lang w:eastAsia="zh-CN"/>
              </w:rPr>
              <w:t>。</w:t>
            </w:r>
          </w:p>
        </w:tc>
      </w:tr>
    </w:tbl>
    <w:p>
      <w:pPr>
        <w:pStyle w:val="154"/>
        <w:ind w:firstLine="480"/>
        <w:rPr>
          <w:rFonts w:hint="eastAsia"/>
          <w:color w:val="auto"/>
        </w:rPr>
      </w:pPr>
      <w:r>
        <w:rPr>
          <w:rFonts w:hint="eastAsia"/>
          <w:color w:val="auto"/>
        </w:rPr>
        <w:t>根据《环境影响评价技术导则  声环境》（HJ2.4-2009）的规定，结合项目特点，本项目声环境影响评价工作等级判定见表2.</w:t>
      </w:r>
      <w:r>
        <w:rPr>
          <w:rFonts w:hint="eastAsia"/>
          <w:color w:val="auto"/>
          <w:lang w:val="en-US" w:eastAsia="zh-CN"/>
        </w:rPr>
        <w:t>5</w:t>
      </w:r>
      <w:r>
        <w:rPr>
          <w:rFonts w:hint="eastAsia"/>
          <w:color w:val="auto"/>
        </w:rPr>
        <w:t>-6。</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声环境影响评价工作等级判定表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916"/>
        <w:gridCol w:w="3389"/>
        <w:gridCol w:w="1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noWrap w:val="0"/>
            <w:vAlign w:val="center"/>
          </w:tcPr>
          <w:p>
            <w:pPr>
              <w:pStyle w:val="1855"/>
              <w:keepNext w:val="0"/>
              <w:keepLines w:val="0"/>
              <w:suppressLineNumbers w:val="0"/>
              <w:spacing w:beforeAutospacing="0" w:afterAutospacing="0"/>
              <w:ind w:left="0" w:right="0"/>
              <w:rPr>
                <w:rFonts w:hint="default"/>
                <w:color w:val="auto"/>
                <w:sz w:val="21"/>
                <w:szCs w:val="21"/>
              </w:rPr>
            </w:pPr>
            <w:r>
              <w:rPr>
                <w:rFonts w:hint="default"/>
                <w:color w:val="auto"/>
                <w:sz w:val="21"/>
                <w:szCs w:val="21"/>
              </w:rPr>
              <w:t>项目</w:t>
            </w:r>
          </w:p>
        </w:tc>
        <w:tc>
          <w:tcPr>
            <w:tcW w:w="1916" w:type="dxa"/>
            <w:noWrap w:val="0"/>
            <w:vAlign w:val="center"/>
          </w:tcPr>
          <w:p>
            <w:pPr>
              <w:pStyle w:val="1855"/>
              <w:keepNext w:val="0"/>
              <w:keepLines w:val="0"/>
              <w:suppressLineNumbers w:val="0"/>
              <w:spacing w:beforeAutospacing="0" w:afterAutospacing="0"/>
              <w:ind w:left="0" w:right="0"/>
              <w:rPr>
                <w:rFonts w:hint="default"/>
                <w:color w:val="auto"/>
                <w:sz w:val="21"/>
                <w:szCs w:val="21"/>
              </w:rPr>
            </w:pPr>
            <w:r>
              <w:rPr>
                <w:rFonts w:hint="default"/>
                <w:color w:val="auto"/>
                <w:sz w:val="21"/>
                <w:szCs w:val="21"/>
              </w:rPr>
              <w:t>声环境功能区</w:t>
            </w:r>
          </w:p>
        </w:tc>
        <w:tc>
          <w:tcPr>
            <w:tcW w:w="3389" w:type="dxa"/>
            <w:noWrap w:val="0"/>
            <w:vAlign w:val="center"/>
          </w:tcPr>
          <w:p>
            <w:pPr>
              <w:pStyle w:val="1855"/>
              <w:keepNext w:val="0"/>
              <w:keepLines w:val="0"/>
              <w:suppressLineNumbers w:val="0"/>
              <w:spacing w:beforeAutospacing="0" w:afterAutospacing="0"/>
              <w:ind w:left="0" w:right="0"/>
              <w:rPr>
                <w:rFonts w:hint="default"/>
                <w:color w:val="auto"/>
                <w:sz w:val="21"/>
                <w:szCs w:val="21"/>
              </w:rPr>
            </w:pPr>
            <w:r>
              <w:rPr>
                <w:rFonts w:hint="default"/>
                <w:color w:val="auto"/>
                <w:sz w:val="21"/>
                <w:szCs w:val="21"/>
              </w:rPr>
              <w:t>项目建设前后噪声级的变化程度</w:t>
            </w:r>
          </w:p>
        </w:tc>
        <w:tc>
          <w:tcPr>
            <w:tcW w:w="1995" w:type="dxa"/>
            <w:noWrap w:val="0"/>
            <w:vAlign w:val="center"/>
          </w:tcPr>
          <w:p>
            <w:pPr>
              <w:pStyle w:val="1855"/>
              <w:keepNext w:val="0"/>
              <w:keepLines w:val="0"/>
              <w:suppressLineNumbers w:val="0"/>
              <w:spacing w:beforeAutospacing="0" w:afterAutospacing="0"/>
              <w:ind w:left="0" w:right="0"/>
              <w:rPr>
                <w:rFonts w:hint="default"/>
                <w:color w:val="auto"/>
                <w:sz w:val="21"/>
                <w:szCs w:val="21"/>
              </w:rPr>
            </w:pPr>
            <w:r>
              <w:rPr>
                <w:rFonts w:hint="default"/>
                <w:color w:val="auto"/>
                <w:sz w:val="21"/>
                <w:szCs w:val="21"/>
              </w:rPr>
              <w:t>受噪声影响范围内的人口数量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noWrap w:val="0"/>
            <w:vAlign w:val="center"/>
          </w:tcPr>
          <w:p>
            <w:pPr>
              <w:pStyle w:val="1855"/>
              <w:keepNext w:val="0"/>
              <w:keepLines w:val="0"/>
              <w:suppressLineNumbers w:val="0"/>
              <w:spacing w:beforeAutospacing="0" w:afterAutospacing="0"/>
              <w:ind w:left="0" w:right="0"/>
              <w:rPr>
                <w:rFonts w:hint="default"/>
                <w:color w:val="auto"/>
                <w:sz w:val="21"/>
                <w:szCs w:val="21"/>
              </w:rPr>
            </w:pPr>
            <w:r>
              <w:rPr>
                <w:rFonts w:hint="default"/>
                <w:color w:val="auto"/>
                <w:sz w:val="21"/>
                <w:szCs w:val="21"/>
              </w:rPr>
              <w:t>评价标准判据</w:t>
            </w:r>
          </w:p>
        </w:tc>
        <w:tc>
          <w:tcPr>
            <w:tcW w:w="1916" w:type="dxa"/>
            <w:noWrap w:val="0"/>
            <w:vAlign w:val="center"/>
          </w:tcPr>
          <w:p>
            <w:pPr>
              <w:pStyle w:val="1855"/>
              <w:keepNext w:val="0"/>
              <w:keepLines w:val="0"/>
              <w:suppressLineNumbers w:val="0"/>
              <w:spacing w:beforeAutospacing="0" w:afterAutospacing="0"/>
              <w:ind w:left="0" w:right="0"/>
              <w:rPr>
                <w:rFonts w:hint="default"/>
                <w:b w:val="0"/>
                <w:bCs/>
                <w:color w:val="auto"/>
                <w:sz w:val="21"/>
                <w:szCs w:val="21"/>
              </w:rPr>
            </w:pPr>
            <w:r>
              <w:rPr>
                <w:rFonts w:hint="default"/>
                <w:b w:val="0"/>
                <w:bCs/>
                <w:color w:val="auto"/>
                <w:sz w:val="21"/>
                <w:szCs w:val="21"/>
              </w:rPr>
              <w:t>2类</w:t>
            </w:r>
          </w:p>
        </w:tc>
        <w:tc>
          <w:tcPr>
            <w:tcW w:w="3389" w:type="dxa"/>
            <w:noWrap w:val="0"/>
            <w:vAlign w:val="center"/>
          </w:tcPr>
          <w:p>
            <w:pPr>
              <w:pStyle w:val="1855"/>
              <w:keepNext w:val="0"/>
              <w:keepLines w:val="0"/>
              <w:suppressLineNumbers w:val="0"/>
              <w:spacing w:beforeAutospacing="0" w:afterAutospacing="0"/>
              <w:ind w:left="0" w:right="0"/>
              <w:rPr>
                <w:rFonts w:hint="default"/>
                <w:b w:val="0"/>
                <w:bCs/>
                <w:color w:val="auto"/>
                <w:sz w:val="21"/>
                <w:szCs w:val="21"/>
              </w:rPr>
            </w:pPr>
            <w:r>
              <w:rPr>
                <w:rFonts w:hint="default"/>
                <w:b w:val="0"/>
                <w:bCs/>
                <w:color w:val="auto"/>
                <w:sz w:val="21"/>
                <w:szCs w:val="21"/>
              </w:rPr>
              <w:t>噪声级增高量在3dB（A）以下</w:t>
            </w:r>
          </w:p>
        </w:tc>
        <w:tc>
          <w:tcPr>
            <w:tcW w:w="1995" w:type="dxa"/>
            <w:noWrap w:val="0"/>
            <w:vAlign w:val="center"/>
          </w:tcPr>
          <w:p>
            <w:pPr>
              <w:pStyle w:val="1855"/>
              <w:keepNext w:val="0"/>
              <w:keepLines w:val="0"/>
              <w:suppressLineNumbers w:val="0"/>
              <w:spacing w:beforeAutospacing="0" w:afterAutospacing="0"/>
              <w:ind w:left="0" w:right="0"/>
              <w:rPr>
                <w:rFonts w:hint="default"/>
                <w:b w:val="0"/>
                <w:bCs/>
                <w:color w:val="auto"/>
                <w:sz w:val="21"/>
                <w:szCs w:val="21"/>
              </w:rPr>
            </w:pPr>
            <w:r>
              <w:rPr>
                <w:rFonts w:hint="default"/>
                <w:b w:val="0"/>
                <w:bCs/>
                <w:color w:val="auto"/>
                <w:sz w:val="21"/>
                <w:szCs w:val="21"/>
              </w:rPr>
              <w:t>变化不大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noWrap w:val="0"/>
            <w:vAlign w:val="center"/>
          </w:tcPr>
          <w:p>
            <w:pPr>
              <w:pStyle w:val="1855"/>
              <w:keepNext w:val="0"/>
              <w:keepLines w:val="0"/>
              <w:suppressLineNumbers w:val="0"/>
              <w:spacing w:beforeAutospacing="0" w:afterAutospacing="0"/>
              <w:ind w:left="0" w:right="0"/>
              <w:rPr>
                <w:rFonts w:hint="default"/>
                <w:color w:val="auto"/>
                <w:sz w:val="21"/>
                <w:szCs w:val="21"/>
              </w:rPr>
            </w:pPr>
            <w:r>
              <w:rPr>
                <w:rFonts w:hint="default"/>
                <w:color w:val="auto"/>
                <w:sz w:val="21"/>
                <w:szCs w:val="21"/>
              </w:rPr>
              <w:t>实际情况</w:t>
            </w:r>
          </w:p>
        </w:tc>
        <w:tc>
          <w:tcPr>
            <w:tcW w:w="1916" w:type="dxa"/>
            <w:noWrap w:val="0"/>
            <w:vAlign w:val="center"/>
          </w:tcPr>
          <w:p>
            <w:pPr>
              <w:pStyle w:val="1855"/>
              <w:keepNext w:val="0"/>
              <w:keepLines w:val="0"/>
              <w:suppressLineNumbers w:val="0"/>
              <w:spacing w:beforeAutospacing="0" w:afterAutospacing="0"/>
              <w:ind w:left="0" w:right="0"/>
              <w:rPr>
                <w:rFonts w:hint="default"/>
                <w:b w:val="0"/>
                <w:bCs/>
                <w:color w:val="auto"/>
                <w:sz w:val="21"/>
                <w:szCs w:val="21"/>
              </w:rPr>
            </w:pPr>
            <w:r>
              <w:rPr>
                <w:rFonts w:hint="default"/>
                <w:b w:val="0"/>
                <w:bCs/>
                <w:color w:val="auto"/>
                <w:sz w:val="21"/>
                <w:szCs w:val="21"/>
              </w:rPr>
              <w:t>2类</w:t>
            </w:r>
          </w:p>
        </w:tc>
        <w:tc>
          <w:tcPr>
            <w:tcW w:w="3389" w:type="dxa"/>
            <w:noWrap w:val="0"/>
            <w:vAlign w:val="center"/>
          </w:tcPr>
          <w:p>
            <w:pPr>
              <w:pStyle w:val="1855"/>
              <w:keepNext w:val="0"/>
              <w:keepLines w:val="0"/>
              <w:suppressLineNumbers w:val="0"/>
              <w:spacing w:beforeAutospacing="0" w:afterAutospacing="0"/>
              <w:ind w:left="0" w:right="0"/>
              <w:rPr>
                <w:rFonts w:hint="default"/>
                <w:b w:val="0"/>
                <w:bCs/>
                <w:color w:val="auto"/>
                <w:sz w:val="21"/>
                <w:szCs w:val="21"/>
              </w:rPr>
            </w:pPr>
            <w:r>
              <w:rPr>
                <w:rFonts w:hint="default"/>
                <w:b w:val="0"/>
                <w:bCs/>
                <w:color w:val="auto"/>
                <w:sz w:val="21"/>
                <w:szCs w:val="21"/>
              </w:rPr>
              <w:t>噪声级增高量在3dB（A）以下</w:t>
            </w:r>
          </w:p>
        </w:tc>
        <w:tc>
          <w:tcPr>
            <w:tcW w:w="1995" w:type="dxa"/>
            <w:noWrap w:val="0"/>
            <w:vAlign w:val="center"/>
          </w:tcPr>
          <w:p>
            <w:pPr>
              <w:pStyle w:val="1855"/>
              <w:keepNext w:val="0"/>
              <w:keepLines w:val="0"/>
              <w:suppressLineNumbers w:val="0"/>
              <w:spacing w:beforeAutospacing="0" w:afterAutospacing="0"/>
              <w:ind w:left="0" w:right="0"/>
              <w:rPr>
                <w:rFonts w:hint="default"/>
                <w:b w:val="0"/>
                <w:bCs/>
                <w:color w:val="auto"/>
                <w:sz w:val="21"/>
                <w:szCs w:val="21"/>
              </w:rPr>
            </w:pPr>
            <w:r>
              <w:rPr>
                <w:rFonts w:hint="default"/>
                <w:b w:val="0"/>
                <w:bCs/>
                <w:color w:val="auto"/>
                <w:sz w:val="21"/>
                <w:szCs w:val="21"/>
              </w:rPr>
              <w:t>变化不大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noWrap w:val="0"/>
            <w:vAlign w:val="center"/>
          </w:tcPr>
          <w:p>
            <w:pPr>
              <w:pStyle w:val="1855"/>
              <w:keepNext w:val="0"/>
              <w:keepLines w:val="0"/>
              <w:suppressLineNumbers w:val="0"/>
              <w:spacing w:beforeAutospacing="0" w:afterAutospacing="0"/>
              <w:ind w:left="0" w:right="0"/>
              <w:rPr>
                <w:rFonts w:hint="default"/>
                <w:color w:val="auto"/>
                <w:sz w:val="21"/>
                <w:szCs w:val="21"/>
              </w:rPr>
            </w:pPr>
            <w:r>
              <w:rPr>
                <w:rFonts w:hint="default"/>
                <w:color w:val="auto"/>
                <w:sz w:val="21"/>
                <w:szCs w:val="21"/>
              </w:rPr>
              <w:t>评价等级判定</w:t>
            </w:r>
          </w:p>
        </w:tc>
        <w:tc>
          <w:tcPr>
            <w:tcW w:w="7300" w:type="dxa"/>
            <w:gridSpan w:val="3"/>
            <w:noWrap w:val="0"/>
            <w:vAlign w:val="center"/>
          </w:tcPr>
          <w:p>
            <w:pPr>
              <w:pStyle w:val="1855"/>
              <w:keepNext w:val="0"/>
              <w:keepLines w:val="0"/>
              <w:suppressLineNumbers w:val="0"/>
              <w:spacing w:beforeAutospacing="0" w:afterAutospacing="0"/>
              <w:ind w:left="0" w:right="0"/>
              <w:rPr>
                <w:rFonts w:hint="default"/>
                <w:b w:val="0"/>
                <w:bCs/>
                <w:color w:val="auto"/>
                <w:sz w:val="21"/>
                <w:szCs w:val="21"/>
              </w:rPr>
            </w:pPr>
            <w:r>
              <w:rPr>
                <w:rFonts w:hint="default"/>
                <w:b w:val="0"/>
                <w:bCs/>
                <w:color w:val="auto"/>
                <w:sz w:val="21"/>
                <w:szCs w:val="21"/>
              </w:rPr>
              <w:t>声环境影响评价工作等级判定结果：二级评价</w:t>
            </w:r>
          </w:p>
        </w:tc>
      </w:tr>
    </w:tbl>
    <w:p>
      <w:pPr>
        <w:pStyle w:val="154"/>
        <w:ind w:firstLine="480"/>
        <w:rPr>
          <w:color w:val="auto"/>
        </w:rPr>
      </w:pPr>
      <w:r>
        <w:rPr>
          <w:color w:val="auto"/>
        </w:rPr>
        <w:t>本项目所在区域为</w:t>
      </w:r>
      <w:r>
        <w:rPr>
          <w:rFonts w:hint="eastAsia"/>
          <w:color w:val="auto"/>
        </w:rPr>
        <w:t>农村</w:t>
      </w:r>
      <w:r>
        <w:rPr>
          <w:color w:val="auto"/>
        </w:rPr>
        <w:t>环境，其声环境功能区划为《声环境质量标准》（GB3096-2008）中</w:t>
      </w:r>
      <w:r>
        <w:rPr>
          <w:rFonts w:hint="eastAsia"/>
          <w:color w:val="auto"/>
        </w:rPr>
        <w:t>2</w:t>
      </w:r>
      <w:r>
        <w:rPr>
          <w:color w:val="auto"/>
        </w:rPr>
        <w:t>类区</w:t>
      </w:r>
      <w:r>
        <w:rPr>
          <w:rFonts w:hint="eastAsia"/>
          <w:color w:val="auto"/>
          <w:lang w:eastAsia="zh-CN"/>
        </w:rPr>
        <w:t>，</w:t>
      </w:r>
      <w:r>
        <w:rPr>
          <w:color w:val="auto"/>
        </w:rPr>
        <w:t>项目建设前后评价范围内敏感目标噪声级增高量在3dB(A)以下（不含3dB(A)），且受影响人口数量变化不大。因此，根据《环境影响评价技术导则 声环境》（HJ2.4-2009）中关于噪声环境影响评价工作等级划分的基本原则，以及结合本项目的实际情况，本项目声环境影响评价工作确定为</w:t>
      </w:r>
      <w:r>
        <w:rPr>
          <w:rFonts w:hint="eastAsia"/>
          <w:color w:val="auto"/>
        </w:rPr>
        <w:t>二</w:t>
      </w:r>
      <w:r>
        <w:rPr>
          <w:color w:val="auto"/>
        </w:rPr>
        <w:t>级评价。</w:t>
      </w:r>
    </w:p>
    <w:bookmarkEnd w:id="78"/>
    <w:bookmarkEnd w:id="79"/>
    <w:bookmarkEnd w:id="80"/>
    <w:p>
      <w:pPr>
        <w:ind w:firstLine="480" w:firstLineChars="200"/>
        <w:rPr>
          <w:color w:val="auto"/>
          <w:sz w:val="24"/>
          <w:szCs w:val="24"/>
        </w:rPr>
      </w:pPr>
      <w:r>
        <w:rPr>
          <w:rFonts w:hint="eastAsia"/>
          <w:color w:val="auto"/>
          <w:sz w:val="24"/>
          <w:szCs w:val="24"/>
        </w:rPr>
        <w:t>5</w:t>
      </w:r>
      <w:r>
        <w:rPr>
          <w:color w:val="auto"/>
          <w:sz w:val="24"/>
          <w:szCs w:val="24"/>
        </w:rPr>
        <w:t>、</w:t>
      </w:r>
      <w:r>
        <w:rPr>
          <w:rFonts w:hint="eastAsia"/>
          <w:color w:val="auto"/>
          <w:sz w:val="24"/>
          <w:szCs w:val="24"/>
        </w:rPr>
        <w:t>生态</w:t>
      </w:r>
      <w:r>
        <w:rPr>
          <w:color w:val="auto"/>
          <w:sz w:val="24"/>
          <w:szCs w:val="24"/>
        </w:rPr>
        <w:t>环境</w:t>
      </w:r>
    </w:p>
    <w:p>
      <w:pPr>
        <w:pStyle w:val="154"/>
        <w:ind w:firstLine="480"/>
        <w:rPr>
          <w:color w:val="auto"/>
        </w:rPr>
      </w:pPr>
      <w:r>
        <w:rPr>
          <w:color w:val="auto"/>
        </w:rPr>
        <w:t>本项目所在区域为</w:t>
      </w:r>
      <w:r>
        <w:rPr>
          <w:rFonts w:hint="eastAsia"/>
          <w:color w:val="auto"/>
        </w:rPr>
        <w:t>农村</w:t>
      </w:r>
      <w:r>
        <w:rPr>
          <w:color w:val="auto"/>
        </w:rPr>
        <w:t>环境，为一般区域</w:t>
      </w:r>
      <w:r>
        <w:rPr>
          <w:rFonts w:hint="eastAsia"/>
          <w:color w:val="auto"/>
        </w:rPr>
        <w:t>，</w:t>
      </w:r>
      <w:r>
        <w:rPr>
          <w:bCs/>
          <w:color w:val="auto"/>
        </w:rPr>
        <w:t>本项目占地</w:t>
      </w:r>
      <w:r>
        <w:rPr>
          <w:rFonts w:hint="eastAsia"/>
          <w:bCs/>
          <w:color w:val="auto"/>
          <w:lang w:val="en-US" w:eastAsia="zh-CN"/>
        </w:rPr>
        <w:t>704</w:t>
      </w:r>
      <w:r>
        <w:rPr>
          <w:rFonts w:hint="eastAsia"/>
          <w:bCs/>
          <w:color w:val="auto"/>
        </w:rPr>
        <w:t>亩（</w:t>
      </w:r>
      <w:r>
        <w:rPr>
          <w:rFonts w:hint="eastAsia"/>
          <w:bCs/>
          <w:color w:val="auto"/>
          <w:lang w:val="en-US" w:eastAsia="zh-CN"/>
        </w:rPr>
        <w:t>0.47</w:t>
      </w:r>
      <w:r>
        <w:rPr>
          <w:rFonts w:hint="eastAsia"/>
          <w:bCs/>
          <w:color w:val="auto"/>
        </w:rPr>
        <w:t>km</w:t>
      </w:r>
      <w:r>
        <w:rPr>
          <w:rFonts w:hint="eastAsia"/>
          <w:bCs/>
          <w:color w:val="auto"/>
          <w:vertAlign w:val="superscript"/>
        </w:rPr>
        <w:t>2</w:t>
      </w:r>
      <w:r>
        <w:rPr>
          <w:rFonts w:hint="eastAsia"/>
          <w:bCs/>
          <w:color w:val="auto"/>
        </w:rPr>
        <w:t>），根据《环境影响评价技术导则  生态影响》（HJ19 2011），</w:t>
      </w:r>
      <w:r>
        <w:rPr>
          <w:color w:val="auto"/>
        </w:rPr>
        <w:t>本项目</w:t>
      </w:r>
      <w:r>
        <w:rPr>
          <w:rFonts w:hint="eastAsia"/>
          <w:color w:val="auto"/>
        </w:rPr>
        <w:t>生态</w:t>
      </w:r>
      <w:r>
        <w:rPr>
          <w:color w:val="auto"/>
        </w:rPr>
        <w:t>环境影响评价工作确定为</w:t>
      </w:r>
      <w:r>
        <w:rPr>
          <w:rFonts w:hint="eastAsia"/>
          <w:color w:val="auto"/>
        </w:rPr>
        <w:t>三</w:t>
      </w:r>
      <w:r>
        <w:rPr>
          <w:color w:val="auto"/>
        </w:rPr>
        <w:t>级评价。</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生态影响评价工作等级划分表</w:t>
      </w:r>
    </w:p>
    <w:tbl>
      <w:tblPr>
        <w:tblStyle w:val="88"/>
        <w:tblW w:w="852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30" w:type="dxa"/>
            <w:vMerge w:val="restart"/>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影响区域生态敏感性</w:t>
            </w:r>
          </w:p>
        </w:tc>
        <w:tc>
          <w:tcPr>
            <w:tcW w:w="6392" w:type="dxa"/>
            <w:gridSpan w:val="3"/>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工程占地（水域）范围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30" w:type="dxa"/>
            <w:vMerge w:val="continue"/>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130"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面积≥20km</w:t>
            </w:r>
            <w:r>
              <w:rPr>
                <w:rFonts w:hint="eastAsia"/>
                <w:color w:val="auto"/>
                <w:sz w:val="21"/>
                <w:szCs w:val="21"/>
                <w:vertAlign w:val="superscript"/>
              </w:rPr>
              <w:t>2</w:t>
            </w:r>
          </w:p>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或长度≥100km</w:t>
            </w:r>
          </w:p>
        </w:tc>
        <w:tc>
          <w:tcPr>
            <w:tcW w:w="2131"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面积2km</w:t>
            </w:r>
            <w:r>
              <w:rPr>
                <w:rFonts w:hint="eastAsia"/>
                <w:color w:val="auto"/>
                <w:sz w:val="21"/>
                <w:szCs w:val="21"/>
                <w:vertAlign w:val="superscript"/>
              </w:rPr>
              <w:t>2</w:t>
            </w:r>
            <w:r>
              <w:rPr>
                <w:rFonts w:hint="eastAsia"/>
                <w:color w:val="auto"/>
                <w:sz w:val="21"/>
                <w:szCs w:val="21"/>
              </w:rPr>
              <w:t>~20km</w:t>
            </w:r>
            <w:r>
              <w:rPr>
                <w:rFonts w:hint="eastAsia"/>
                <w:color w:val="auto"/>
                <w:sz w:val="21"/>
                <w:szCs w:val="21"/>
                <w:vertAlign w:val="superscript"/>
              </w:rPr>
              <w:t>2</w:t>
            </w:r>
          </w:p>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或长度50km ~100km</w:t>
            </w:r>
          </w:p>
        </w:tc>
        <w:tc>
          <w:tcPr>
            <w:tcW w:w="2131"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面积≤2km</w:t>
            </w:r>
            <w:r>
              <w:rPr>
                <w:rFonts w:hint="eastAsia"/>
                <w:color w:val="auto"/>
                <w:sz w:val="21"/>
                <w:szCs w:val="21"/>
                <w:vertAlign w:val="superscript"/>
              </w:rPr>
              <w:t>2</w:t>
            </w:r>
          </w:p>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或长度≤50km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30"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特殊生态敏感区</w:t>
            </w:r>
          </w:p>
        </w:tc>
        <w:tc>
          <w:tcPr>
            <w:tcW w:w="2130"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一级</w:t>
            </w:r>
          </w:p>
        </w:tc>
        <w:tc>
          <w:tcPr>
            <w:tcW w:w="2131"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一级</w:t>
            </w:r>
          </w:p>
        </w:tc>
        <w:tc>
          <w:tcPr>
            <w:tcW w:w="2131"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一级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30"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重要生态敏感区</w:t>
            </w:r>
          </w:p>
        </w:tc>
        <w:tc>
          <w:tcPr>
            <w:tcW w:w="2130"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一级</w:t>
            </w:r>
          </w:p>
        </w:tc>
        <w:tc>
          <w:tcPr>
            <w:tcW w:w="2131"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二级</w:t>
            </w:r>
          </w:p>
        </w:tc>
        <w:tc>
          <w:tcPr>
            <w:tcW w:w="2131"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30"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一般区域</w:t>
            </w:r>
          </w:p>
        </w:tc>
        <w:tc>
          <w:tcPr>
            <w:tcW w:w="2130"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二级</w:t>
            </w:r>
          </w:p>
        </w:tc>
        <w:tc>
          <w:tcPr>
            <w:tcW w:w="2131"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三级</w:t>
            </w:r>
          </w:p>
        </w:tc>
        <w:tc>
          <w:tcPr>
            <w:tcW w:w="2131"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shd w:val="clear" w:color="FFFFFF" w:fill="D9D9D9"/>
              </w:rPr>
              <w:t>三级</w:t>
            </w:r>
          </w:p>
        </w:tc>
      </w:tr>
    </w:tbl>
    <w:p>
      <w:pPr>
        <w:numPr>
          <w:ilvl w:val="0"/>
          <w:numId w:val="8"/>
        </w:numPr>
        <w:ind w:firstLine="480" w:firstLineChars="200"/>
        <w:rPr>
          <w:rFonts w:hint="eastAsia"/>
          <w:color w:val="auto"/>
          <w:sz w:val="24"/>
          <w:szCs w:val="24"/>
        </w:rPr>
      </w:pPr>
      <w:r>
        <w:rPr>
          <w:rFonts w:hint="eastAsia"/>
          <w:color w:val="auto"/>
          <w:sz w:val="24"/>
          <w:szCs w:val="24"/>
          <w:lang w:eastAsia="zh-CN"/>
        </w:rPr>
        <w:t>土壤</w:t>
      </w:r>
      <w:r>
        <w:rPr>
          <w:rFonts w:hint="eastAsia"/>
          <w:color w:val="auto"/>
          <w:sz w:val="24"/>
          <w:szCs w:val="24"/>
        </w:rPr>
        <w:t>环境</w:t>
      </w:r>
    </w:p>
    <w:p>
      <w:pPr>
        <w:pStyle w:val="23"/>
        <w:spacing w:line="440" w:lineRule="exact"/>
        <w:ind w:firstLine="480"/>
        <w:rPr>
          <w:rFonts w:ascii="Times New Roman" w:hAnsi="Times New Roman"/>
          <w:color w:val="auto"/>
        </w:rPr>
      </w:pPr>
      <w:r>
        <w:rPr>
          <w:rFonts w:ascii="Times New Roman" w:hAnsi="Times New Roman"/>
          <w:color w:val="auto"/>
        </w:rPr>
        <w:t>根据项目建设内容及其对土壤环境可能产生的影响，判定本项目土壤影响类型为污染影响型。根据行业特征、工艺特点或规模大小等将建设项目类别分为Ⅰ类、Ⅱ类、Ⅲ类、Ⅳ类，分类详见《环境影响评价技术导则  土壤环境》（HJ964-2018）附录A（以下简称 附录A）。其中Ⅰ类、Ⅱ类及Ⅲ类建设项目的土壤环境影响评价应执行导则要求，Ⅳ类建设项目可不开展土壤环境影响评价；自身为敏感目标的建设项目，可根据需要仅对土壤环境现状进行调查。</w:t>
      </w:r>
    </w:p>
    <w:p>
      <w:pPr>
        <w:pStyle w:val="23"/>
        <w:spacing w:line="440" w:lineRule="exact"/>
        <w:ind w:firstLine="480"/>
        <w:rPr>
          <w:rFonts w:ascii="Times New Roman" w:hAnsi="Times New Roman"/>
          <w:color w:val="auto"/>
        </w:rPr>
      </w:pPr>
      <w:r>
        <w:rPr>
          <w:rFonts w:hint="eastAsia" w:ascii="宋体" w:hAnsi="宋体" w:cs="宋体"/>
          <w:color w:val="auto"/>
        </w:rPr>
        <w:t>①</w:t>
      </w:r>
      <w:r>
        <w:rPr>
          <w:rFonts w:ascii="Times New Roman" w:hAnsi="Times New Roman"/>
          <w:color w:val="auto"/>
        </w:rPr>
        <w:t>项目类别</w:t>
      </w:r>
    </w:p>
    <w:p>
      <w:pPr>
        <w:pStyle w:val="23"/>
        <w:spacing w:line="440" w:lineRule="exact"/>
        <w:ind w:firstLine="480"/>
        <w:rPr>
          <w:rFonts w:ascii="Times New Roman" w:hAnsi="Times New Roman"/>
          <w:color w:val="auto"/>
        </w:rPr>
      </w:pPr>
      <w:r>
        <w:rPr>
          <w:rFonts w:ascii="Times New Roman" w:hAnsi="Times New Roman"/>
          <w:color w:val="auto"/>
        </w:rPr>
        <w:t>根据附录A，本项目年出栏仔猪</w:t>
      </w:r>
      <w:r>
        <w:rPr>
          <w:rFonts w:hint="eastAsia" w:ascii="Times New Roman" w:hAnsi="Times New Roman"/>
          <w:color w:val="auto"/>
          <w:lang w:val="en-US" w:eastAsia="zh-CN"/>
        </w:rPr>
        <w:t>312500</w:t>
      </w:r>
      <w:r>
        <w:rPr>
          <w:rFonts w:ascii="Times New Roman" w:hAnsi="Times New Roman"/>
          <w:color w:val="auto"/>
        </w:rPr>
        <w:t>头（折合为成年猪约</w:t>
      </w:r>
      <w:r>
        <w:rPr>
          <w:rFonts w:hint="eastAsia" w:ascii="Times New Roman" w:hAnsi="Times New Roman"/>
          <w:color w:val="auto"/>
          <w:lang w:val="en-US" w:eastAsia="zh-CN"/>
        </w:rPr>
        <w:t>20313</w:t>
      </w:r>
      <w:r>
        <w:rPr>
          <w:rFonts w:ascii="Times New Roman" w:hAnsi="Times New Roman"/>
          <w:color w:val="auto"/>
        </w:rPr>
        <w:t>头），小于10万头；因此本项目属于农林牧渔业中的年出栏生猪5000头（其他畜禽种类折合猪的养殖规模）及以上的畜禽养殖场或养殖小区类项目，属Ⅲ类项目。</w:t>
      </w:r>
      <w:r>
        <w:rPr>
          <w:rFonts w:hint="eastAsia" w:ascii="Times New Roman" w:hAnsi="Times New Roman"/>
          <w:color w:val="auto"/>
        </w:rPr>
        <w:t>具体情况</w:t>
      </w:r>
      <w:r>
        <w:rPr>
          <w:rFonts w:ascii="Times New Roman" w:hAnsi="Times New Roman"/>
          <w:color w:val="auto"/>
        </w:rPr>
        <w:t>详见表</w:t>
      </w:r>
      <w:r>
        <w:rPr>
          <w:rFonts w:hint="eastAsia" w:ascii="Times New Roman" w:hAnsi="Times New Roman"/>
          <w:color w:val="auto"/>
        </w:rPr>
        <w:t>2.</w:t>
      </w:r>
      <w:r>
        <w:rPr>
          <w:rFonts w:hint="eastAsia" w:ascii="Times New Roman" w:hAnsi="Times New Roman"/>
          <w:color w:val="auto"/>
          <w:lang w:val="en-US" w:eastAsia="zh-CN"/>
        </w:rPr>
        <w:t>5</w:t>
      </w:r>
      <w:r>
        <w:rPr>
          <w:rFonts w:hint="eastAsia" w:ascii="Times New Roman" w:hAnsi="Times New Roman"/>
          <w:color w:val="auto"/>
        </w:rPr>
        <w:t>-</w:t>
      </w:r>
      <w:r>
        <w:rPr>
          <w:rFonts w:hint="eastAsia" w:ascii="Times New Roman" w:hAnsi="Times New Roman"/>
          <w:color w:val="auto"/>
          <w:lang w:val="en-US" w:eastAsia="zh-CN"/>
        </w:rPr>
        <w:t>8</w:t>
      </w:r>
      <w:r>
        <w:rPr>
          <w:rFonts w:ascii="Times New Roman" w:hAnsi="Times New Roman"/>
          <w:color w:val="auto"/>
        </w:rPr>
        <w:t>。</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土壤环境影响评价项目类别</w:t>
      </w:r>
    </w:p>
    <w:tbl>
      <w:tblPr>
        <w:tblStyle w:val="88"/>
        <w:tblW w:w="4998" w:type="pct"/>
        <w:tblInd w:w="0" w:type="dxa"/>
        <w:tblLayout w:type="autofit"/>
        <w:tblCellMar>
          <w:top w:w="0" w:type="dxa"/>
          <w:left w:w="0" w:type="dxa"/>
          <w:bottom w:w="0" w:type="dxa"/>
          <w:right w:w="0" w:type="dxa"/>
        </w:tblCellMar>
      </w:tblPr>
      <w:tblGrid>
        <w:gridCol w:w="1519"/>
        <w:gridCol w:w="1278"/>
        <w:gridCol w:w="2935"/>
        <w:gridCol w:w="1873"/>
        <w:gridCol w:w="698"/>
      </w:tblGrid>
      <w:tr>
        <w:tblPrEx>
          <w:tblCellMar>
            <w:top w:w="0" w:type="dxa"/>
            <w:left w:w="0" w:type="dxa"/>
            <w:bottom w:w="0" w:type="dxa"/>
            <w:right w:w="0" w:type="dxa"/>
          </w:tblCellMar>
        </w:tblPrEx>
        <w:tc>
          <w:tcPr>
            <w:tcW w:w="914" w:type="pct"/>
            <w:tcBorders>
              <w:top w:val="single" w:color="auto" w:sz="12" w:space="0"/>
              <w:bottom w:val="single" w:color="000000" w:sz="4" w:space="0"/>
              <w:right w:val="single" w:color="000000" w:sz="4" w:space="0"/>
              <w:tl2br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42" w:rightChars="20"/>
              <w:jc w:val="center"/>
              <w:rPr>
                <w:rFonts w:hint="default"/>
                <w:b/>
                <w:color w:val="auto"/>
                <w:sz w:val="21"/>
                <w:szCs w:val="21"/>
              </w:rPr>
            </w:pPr>
            <w:r>
              <w:rPr>
                <w:rFonts w:hint="default"/>
                <w:b/>
                <w:color w:val="auto"/>
                <w:sz w:val="21"/>
                <w:szCs w:val="21"/>
              </w:rPr>
              <w:t xml:space="preserve">      项目类别</w:t>
            </w:r>
          </w:p>
          <w:p>
            <w:pPr>
              <w:pStyle w:val="163"/>
              <w:keepNext w:val="0"/>
              <w:keepLines w:val="0"/>
              <w:suppressLineNumbers w:val="0"/>
              <w:kinsoku w:val="0"/>
              <w:overflowPunct w:val="0"/>
              <w:spacing w:before="0" w:beforeAutospacing="0" w:after="0" w:afterAutospacing="0"/>
              <w:ind w:left="0" w:right="0"/>
              <w:rPr>
                <w:rFonts w:hint="default"/>
                <w:b/>
                <w:color w:val="auto"/>
                <w:sz w:val="21"/>
                <w:szCs w:val="21"/>
              </w:rPr>
            </w:pPr>
            <w:r>
              <w:rPr>
                <w:rFonts w:hint="default"/>
                <w:b/>
                <w:color w:val="auto"/>
                <w:sz w:val="21"/>
                <w:szCs w:val="21"/>
              </w:rPr>
              <w:t>行业类型</w:t>
            </w:r>
          </w:p>
        </w:tc>
        <w:tc>
          <w:tcPr>
            <w:tcW w:w="769"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default"/>
                <w:b/>
                <w:color w:val="auto"/>
                <w:sz w:val="21"/>
                <w:szCs w:val="21"/>
              </w:rPr>
              <w:t>Ⅰ类</w:t>
            </w:r>
          </w:p>
        </w:tc>
        <w:tc>
          <w:tcPr>
            <w:tcW w:w="1766"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default"/>
                <w:b/>
                <w:color w:val="auto"/>
                <w:sz w:val="21"/>
                <w:szCs w:val="21"/>
              </w:rPr>
              <w:t>Ⅱ类</w:t>
            </w:r>
          </w:p>
        </w:tc>
        <w:tc>
          <w:tcPr>
            <w:tcW w:w="1127"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default"/>
                <w:b/>
                <w:color w:val="auto"/>
                <w:sz w:val="21"/>
                <w:szCs w:val="21"/>
              </w:rPr>
              <w:t>Ⅲ类</w:t>
            </w:r>
          </w:p>
        </w:tc>
        <w:tc>
          <w:tcPr>
            <w:tcW w:w="420" w:type="pct"/>
            <w:tcBorders>
              <w:top w:val="single" w:color="auto" w:sz="12" w:space="0"/>
              <w:left w:val="single" w:color="000000" w:sz="4" w:space="0"/>
              <w:bottom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default"/>
                <w:b/>
                <w:color w:val="auto"/>
                <w:sz w:val="21"/>
                <w:szCs w:val="21"/>
              </w:rPr>
              <w:t>Ⅳ类</w:t>
            </w:r>
          </w:p>
        </w:tc>
      </w:tr>
      <w:tr>
        <w:tblPrEx>
          <w:tblCellMar>
            <w:top w:w="0" w:type="dxa"/>
            <w:left w:w="0" w:type="dxa"/>
            <w:bottom w:w="0" w:type="dxa"/>
            <w:right w:w="0" w:type="dxa"/>
          </w:tblCellMar>
        </w:tblPrEx>
        <w:tc>
          <w:tcPr>
            <w:tcW w:w="914" w:type="pct"/>
            <w:tcBorders>
              <w:top w:val="single" w:color="000000" w:sz="4" w:space="0"/>
              <w:bottom w:val="single" w:color="auto" w:sz="12" w:space="0"/>
              <w:right w:val="single" w:color="000000" w:sz="4" w:space="0"/>
            </w:tcBorders>
            <w:shd w:val="clear" w:color="auto" w:fill="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农林牧渔业</w:t>
            </w:r>
          </w:p>
        </w:tc>
        <w:tc>
          <w:tcPr>
            <w:tcW w:w="769" w:type="pct"/>
            <w:tcBorders>
              <w:top w:val="single" w:color="000000" w:sz="4" w:space="0"/>
              <w:left w:val="single" w:color="000000" w:sz="4" w:space="0"/>
              <w:bottom w:val="single" w:color="auto" w:sz="12" w:space="0"/>
              <w:right w:val="single" w:color="000000" w:sz="4" w:space="0"/>
            </w:tcBorders>
            <w:shd w:val="clear" w:color="auto" w:fill="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灌溉面积大于50万亩的灌区工程</w:t>
            </w:r>
          </w:p>
        </w:tc>
        <w:tc>
          <w:tcPr>
            <w:tcW w:w="1766" w:type="pct"/>
            <w:tcBorders>
              <w:top w:val="single" w:color="000000" w:sz="4" w:space="0"/>
              <w:left w:val="single" w:color="000000" w:sz="4" w:space="0"/>
              <w:bottom w:val="single" w:color="auto" w:sz="12" w:space="0"/>
              <w:right w:val="single" w:color="000000" w:sz="4" w:space="0"/>
            </w:tcBorders>
            <w:shd w:val="clear" w:color="auto" w:fill="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shd w:val="clear" w:color="auto" w:fill="auto"/>
              </w:rPr>
            </w:pPr>
            <w:r>
              <w:rPr>
                <w:rFonts w:hint="default"/>
                <w:color w:val="auto"/>
                <w:sz w:val="21"/>
                <w:szCs w:val="21"/>
                <w:shd w:val="clear" w:color="auto" w:fill="auto"/>
              </w:rPr>
              <w:t>新建</w:t>
            </w:r>
            <w:r>
              <w:rPr>
                <w:rFonts w:hint="default"/>
                <w:color w:val="auto"/>
                <w:spacing w:val="-53"/>
                <w:sz w:val="21"/>
                <w:szCs w:val="21"/>
                <w:shd w:val="clear" w:color="auto" w:fill="auto"/>
              </w:rPr>
              <w:t xml:space="preserve"> </w:t>
            </w:r>
            <w:r>
              <w:rPr>
                <w:rFonts w:hint="default"/>
                <w:color w:val="auto"/>
                <w:sz w:val="21"/>
                <w:szCs w:val="21"/>
                <w:shd w:val="clear" w:color="auto" w:fill="auto"/>
              </w:rPr>
              <w:t>5万亩至</w:t>
            </w:r>
            <w:r>
              <w:rPr>
                <w:rFonts w:hint="default"/>
                <w:color w:val="auto"/>
                <w:spacing w:val="-56"/>
                <w:sz w:val="21"/>
                <w:szCs w:val="21"/>
                <w:shd w:val="clear" w:color="auto" w:fill="auto"/>
              </w:rPr>
              <w:t xml:space="preserve"> </w:t>
            </w:r>
            <w:r>
              <w:rPr>
                <w:rFonts w:hint="default"/>
                <w:color w:val="auto"/>
                <w:sz w:val="21"/>
                <w:szCs w:val="21"/>
                <w:shd w:val="clear" w:color="auto" w:fill="auto"/>
              </w:rPr>
              <w:t>50万亩的、改造</w:t>
            </w:r>
            <w:r>
              <w:rPr>
                <w:rFonts w:hint="default"/>
                <w:color w:val="auto"/>
                <w:spacing w:val="-56"/>
                <w:sz w:val="21"/>
                <w:szCs w:val="21"/>
                <w:shd w:val="clear" w:color="auto" w:fill="auto"/>
              </w:rPr>
              <w:t xml:space="preserve"> </w:t>
            </w:r>
            <w:r>
              <w:rPr>
                <w:rFonts w:hint="default"/>
                <w:color w:val="auto"/>
                <w:sz w:val="21"/>
                <w:szCs w:val="21"/>
                <w:shd w:val="clear" w:color="auto" w:fill="auto"/>
              </w:rPr>
              <w:t>30万亩及以上的灌区工程；年出栏生猪</w:t>
            </w:r>
            <w:r>
              <w:rPr>
                <w:rFonts w:hint="default"/>
                <w:color w:val="auto"/>
                <w:spacing w:val="-58"/>
                <w:sz w:val="21"/>
                <w:szCs w:val="21"/>
                <w:shd w:val="clear" w:color="auto" w:fill="auto"/>
              </w:rPr>
              <w:t xml:space="preserve"> </w:t>
            </w:r>
            <w:r>
              <w:rPr>
                <w:rFonts w:hint="default"/>
                <w:color w:val="auto"/>
                <w:sz w:val="21"/>
                <w:szCs w:val="21"/>
                <w:shd w:val="clear" w:color="auto" w:fill="auto"/>
              </w:rPr>
              <w:t>10</w:t>
            </w:r>
            <w:r>
              <w:rPr>
                <w:rFonts w:hint="default"/>
                <w:color w:val="auto"/>
                <w:spacing w:val="-5"/>
                <w:sz w:val="21"/>
                <w:szCs w:val="21"/>
                <w:shd w:val="clear" w:color="auto" w:fill="auto"/>
              </w:rPr>
              <w:t>万头（其他畜禽种类折合猪的</w:t>
            </w:r>
            <w:r>
              <w:rPr>
                <w:rFonts w:hint="default"/>
                <w:color w:val="auto"/>
                <w:sz w:val="21"/>
                <w:szCs w:val="21"/>
                <w:shd w:val="clear" w:color="auto" w:fill="auto"/>
              </w:rPr>
              <w:t>养殖规模）及以上的畜禽养殖场或养殖小区</w:t>
            </w:r>
          </w:p>
        </w:tc>
        <w:tc>
          <w:tcPr>
            <w:tcW w:w="1127" w:type="pct"/>
            <w:tcBorders>
              <w:top w:val="single" w:color="000000" w:sz="4" w:space="0"/>
              <w:left w:val="single" w:color="000000" w:sz="4" w:space="0"/>
              <w:bottom w:val="single" w:color="auto" w:sz="12" w:space="0"/>
              <w:right w:val="single" w:color="000000" w:sz="4" w:space="0"/>
            </w:tcBorders>
            <w:shd w:val="clear" w:color="auto" w:fill="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shd w:val="clear" w:color="auto" w:fill="auto"/>
              </w:rPr>
            </w:pPr>
            <w:r>
              <w:rPr>
                <w:rFonts w:hint="default"/>
                <w:color w:val="auto"/>
                <w:sz w:val="21"/>
                <w:szCs w:val="21"/>
                <w:shd w:val="clear" w:color="auto" w:fill="auto"/>
              </w:rPr>
              <w:t>年出栏生猪</w:t>
            </w:r>
            <w:r>
              <w:rPr>
                <w:rFonts w:hint="default"/>
                <w:color w:val="auto"/>
                <w:spacing w:val="-55"/>
                <w:sz w:val="21"/>
                <w:szCs w:val="21"/>
                <w:shd w:val="clear" w:color="auto" w:fill="auto"/>
              </w:rPr>
              <w:t xml:space="preserve"> </w:t>
            </w:r>
            <w:r>
              <w:rPr>
                <w:rFonts w:hint="default"/>
                <w:color w:val="auto"/>
                <w:sz w:val="21"/>
                <w:szCs w:val="21"/>
                <w:shd w:val="clear" w:color="auto" w:fill="auto"/>
              </w:rPr>
              <w:t>5000头（其他畜禽种类折合猪的养殖规模）及以上的畜禽养殖场或养殖小区</w:t>
            </w:r>
          </w:p>
        </w:tc>
        <w:tc>
          <w:tcPr>
            <w:tcW w:w="420" w:type="pct"/>
            <w:tcBorders>
              <w:top w:val="single" w:color="000000" w:sz="4" w:space="0"/>
              <w:left w:val="single" w:color="000000" w:sz="4" w:space="0"/>
              <w:bottom w:val="single" w:color="auto" w:sz="12"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其他</w:t>
            </w:r>
          </w:p>
        </w:tc>
      </w:tr>
    </w:tbl>
    <w:p>
      <w:pPr>
        <w:pStyle w:val="23"/>
        <w:spacing w:line="440" w:lineRule="exact"/>
        <w:ind w:firstLine="480"/>
        <w:rPr>
          <w:rFonts w:ascii="Times New Roman" w:hAnsi="Times New Roman"/>
          <w:color w:val="auto"/>
        </w:rPr>
      </w:pPr>
      <w:r>
        <w:rPr>
          <w:rFonts w:hint="eastAsia" w:ascii="宋体" w:hAnsi="宋体" w:cs="宋体"/>
          <w:color w:val="auto"/>
        </w:rPr>
        <w:t>②</w:t>
      </w:r>
      <w:r>
        <w:rPr>
          <w:rFonts w:ascii="Times New Roman" w:hAnsi="Times New Roman"/>
          <w:color w:val="auto"/>
        </w:rPr>
        <w:t>项目占地规模</w:t>
      </w:r>
    </w:p>
    <w:p>
      <w:pPr>
        <w:pStyle w:val="23"/>
        <w:spacing w:line="440" w:lineRule="exact"/>
        <w:ind w:firstLine="480"/>
        <w:rPr>
          <w:rFonts w:ascii="Times New Roman" w:hAnsi="Times New Roman"/>
          <w:color w:val="auto"/>
        </w:rPr>
      </w:pPr>
      <w:r>
        <w:rPr>
          <w:rFonts w:ascii="Times New Roman" w:hAnsi="Times New Roman"/>
          <w:color w:val="auto"/>
        </w:rPr>
        <w:t>本项目占地</w:t>
      </w:r>
      <w:r>
        <w:rPr>
          <w:rFonts w:hint="eastAsia" w:ascii="Times New Roman" w:hAnsi="Times New Roman"/>
          <w:color w:val="auto"/>
          <w:lang w:val="en-US" w:eastAsia="zh-CN"/>
        </w:rPr>
        <w:t>46.9</w:t>
      </w:r>
      <w:r>
        <w:rPr>
          <w:rFonts w:ascii="Times New Roman" w:hAnsi="Times New Roman"/>
          <w:color w:val="auto"/>
        </w:rPr>
        <w:t>hm</w:t>
      </w:r>
      <w:r>
        <w:rPr>
          <w:rFonts w:ascii="Times New Roman" w:hAnsi="Times New Roman"/>
          <w:color w:val="auto"/>
          <w:vertAlign w:val="superscript"/>
        </w:rPr>
        <w:t>2</w:t>
      </w:r>
      <w:r>
        <w:rPr>
          <w:rFonts w:ascii="Times New Roman" w:hAnsi="Times New Roman"/>
          <w:color w:val="auto"/>
        </w:rPr>
        <w:t>，占地规模属于</w:t>
      </w:r>
      <w:r>
        <w:rPr>
          <w:rFonts w:ascii="Times New Roman" w:hAnsi="Times New Roman"/>
          <w:b/>
          <w:bCs/>
          <w:color w:val="auto"/>
        </w:rPr>
        <w:t>中型</w:t>
      </w:r>
      <w:r>
        <w:rPr>
          <w:rFonts w:ascii="Times New Roman" w:hAnsi="Times New Roman"/>
          <w:bCs/>
          <w:color w:val="auto"/>
        </w:rPr>
        <w:t>（</w:t>
      </w:r>
      <w:r>
        <w:rPr>
          <w:rFonts w:ascii="Times New Roman" w:hAnsi="Times New Roman"/>
          <w:color w:val="auto"/>
        </w:rPr>
        <w:t>5~50hm</w:t>
      </w:r>
      <w:r>
        <w:rPr>
          <w:rFonts w:ascii="Times New Roman" w:hAnsi="Times New Roman"/>
          <w:color w:val="auto"/>
          <w:vertAlign w:val="superscript"/>
        </w:rPr>
        <w:t>2</w:t>
      </w:r>
      <w:r>
        <w:rPr>
          <w:rFonts w:ascii="Times New Roman" w:hAnsi="Times New Roman"/>
          <w:color w:val="auto"/>
        </w:rPr>
        <w:t>）。</w:t>
      </w:r>
    </w:p>
    <w:p>
      <w:pPr>
        <w:pStyle w:val="23"/>
        <w:spacing w:line="440" w:lineRule="exact"/>
        <w:ind w:firstLine="480"/>
        <w:rPr>
          <w:rFonts w:ascii="Times New Roman" w:hAnsi="Times New Roman"/>
          <w:color w:val="auto"/>
        </w:rPr>
      </w:pPr>
      <w:r>
        <w:rPr>
          <w:rFonts w:hint="eastAsia" w:ascii="宋体" w:hAnsi="宋体" w:cs="宋体"/>
          <w:color w:val="auto"/>
        </w:rPr>
        <w:t>③</w:t>
      </w:r>
      <w:r>
        <w:rPr>
          <w:rFonts w:ascii="Times New Roman" w:hAnsi="Times New Roman"/>
          <w:color w:val="auto"/>
        </w:rPr>
        <w:t>项目所在地周边土壤环境敏感程度</w:t>
      </w:r>
    </w:p>
    <w:p>
      <w:pPr>
        <w:pStyle w:val="23"/>
        <w:spacing w:line="440" w:lineRule="exact"/>
        <w:ind w:firstLine="480"/>
        <w:rPr>
          <w:rFonts w:hint="eastAsia"/>
          <w:color w:val="auto"/>
        </w:rPr>
      </w:pPr>
      <w:r>
        <w:rPr>
          <w:rFonts w:ascii="Times New Roman" w:hAnsi="Times New Roman"/>
          <w:color w:val="auto"/>
        </w:rPr>
        <w:t>建设项目所在地周边的土壤环境敏感程度可分为敏感、较敏感、不敏感，判定依据见表</w:t>
      </w:r>
      <w:r>
        <w:rPr>
          <w:rFonts w:hint="eastAsia" w:ascii="Times New Roman" w:hAnsi="Times New Roman"/>
          <w:color w:val="auto"/>
        </w:rPr>
        <w:t>2.</w:t>
      </w:r>
      <w:r>
        <w:rPr>
          <w:rFonts w:hint="eastAsia" w:ascii="Times New Roman" w:hAnsi="Times New Roman"/>
          <w:color w:val="auto"/>
          <w:lang w:val="en-US" w:eastAsia="zh-CN"/>
        </w:rPr>
        <w:t>5</w:t>
      </w:r>
      <w:r>
        <w:rPr>
          <w:rFonts w:hint="eastAsia" w:ascii="Times New Roman" w:hAnsi="Times New Roman"/>
          <w:color w:val="auto"/>
        </w:rPr>
        <w:t>-</w:t>
      </w:r>
      <w:r>
        <w:rPr>
          <w:rFonts w:hint="eastAsia" w:ascii="Times New Roman" w:hAnsi="Times New Roman"/>
          <w:color w:val="auto"/>
          <w:lang w:val="en-US" w:eastAsia="zh-CN"/>
        </w:rPr>
        <w:t>9</w:t>
      </w:r>
      <w:r>
        <w:rPr>
          <w:rFonts w:ascii="Times New Roman" w:hAnsi="Times New Roman"/>
          <w:color w:val="auto"/>
        </w:rPr>
        <w:t>：</w:t>
      </w:r>
    </w:p>
    <w:p>
      <w:pPr>
        <w:numPr>
          <w:ilvl w:val="0"/>
          <w:numId w:val="7"/>
        </w:numPr>
        <w:tabs>
          <w:tab w:val="left" w:pos="0"/>
        </w:tabs>
        <w:ind w:left="425" w:leftChars="0" w:hanging="425" w:firstLineChars="0"/>
        <w:jc w:val="center"/>
        <w:rPr>
          <w:rFonts w:hint="default" w:ascii="Times New Roman" w:hAnsi="Times New Roman" w:cs="Times New Roman"/>
          <w:b/>
          <w:bCs/>
          <w:color w:val="auto"/>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sz w:val="21"/>
          <w:szCs w:val="21"/>
          <w:lang w:val="en-US" w:eastAsia="zh-CN"/>
        </w:rPr>
        <w:t>污染影响型敏感程度分级表</w:t>
      </w:r>
    </w:p>
    <w:tbl>
      <w:tblPr>
        <w:tblStyle w:val="88"/>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49"/>
        <w:gridCol w:w="707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敏感程度</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判定依据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敏感</w:t>
            </w:r>
          </w:p>
        </w:tc>
        <w:tc>
          <w:tcPr>
            <w:tcW w:w="7073"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建设项目周边存在耕地、园地、牧草地、饮用水源地或居民区、学校、医院、疗养院、养老院等土壤环境敏感目标的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较敏感</w:t>
            </w:r>
          </w:p>
        </w:tc>
        <w:tc>
          <w:tcPr>
            <w:tcW w:w="7073" w:type="dxa"/>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不敏感</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其他情况</w:t>
            </w:r>
          </w:p>
        </w:tc>
      </w:tr>
    </w:tbl>
    <w:p>
      <w:pPr>
        <w:pStyle w:val="154"/>
        <w:ind w:firstLine="496"/>
        <w:rPr>
          <w:rFonts w:hint="eastAsia" w:asciiTheme="minorHAnsi" w:eastAsiaTheme="minorEastAsia" w:cstheme="minorBidi"/>
          <w:color w:val="auto"/>
          <w:spacing w:val="4"/>
          <w:szCs w:val="21"/>
        </w:rPr>
      </w:pPr>
      <w:r>
        <w:rPr>
          <w:rFonts w:hint="eastAsia" w:asciiTheme="minorHAnsi" w:eastAsiaTheme="minorEastAsia" w:cstheme="minorBidi"/>
          <w:color w:val="auto"/>
          <w:spacing w:val="4"/>
          <w:szCs w:val="21"/>
        </w:rPr>
        <w:t>据现场调查，本项目周边存在</w:t>
      </w:r>
      <w:r>
        <w:rPr>
          <w:rFonts w:hint="eastAsia" w:asciiTheme="minorHAnsi" w:eastAsiaTheme="minorEastAsia" w:cstheme="minorBidi"/>
          <w:color w:val="auto"/>
          <w:spacing w:val="4"/>
          <w:szCs w:val="21"/>
          <w:lang w:eastAsia="zh-CN"/>
        </w:rPr>
        <w:t>少量</w:t>
      </w:r>
      <w:r>
        <w:rPr>
          <w:rFonts w:hint="eastAsia" w:asciiTheme="minorHAnsi" w:eastAsiaTheme="minorEastAsia" w:cstheme="minorBidi"/>
          <w:color w:val="auto"/>
          <w:spacing w:val="4"/>
          <w:szCs w:val="21"/>
        </w:rPr>
        <w:t>耕地，因此</w:t>
      </w:r>
      <w:r>
        <w:rPr>
          <w:rFonts w:hint="eastAsia" w:asciiTheme="minorHAnsi" w:eastAsiaTheme="minorEastAsia" w:cstheme="minorBidi"/>
          <w:color w:val="auto"/>
          <w:spacing w:val="4"/>
          <w:szCs w:val="21"/>
          <w:lang w:eastAsia="zh-CN"/>
        </w:rPr>
        <w:t>，</w:t>
      </w:r>
      <w:r>
        <w:rPr>
          <w:rFonts w:hint="eastAsia" w:asciiTheme="minorHAnsi" w:eastAsiaTheme="minorEastAsia" w:cstheme="minorBidi"/>
          <w:color w:val="auto"/>
          <w:spacing w:val="4"/>
          <w:szCs w:val="21"/>
        </w:rPr>
        <w:t>确定区内土壤环境敏感程度为“敏感”。</w:t>
      </w:r>
    </w:p>
    <w:p>
      <w:pPr>
        <w:pStyle w:val="23"/>
        <w:spacing w:line="440" w:lineRule="exact"/>
        <w:ind w:firstLine="480"/>
        <w:rPr>
          <w:rFonts w:ascii="Times New Roman" w:hAnsi="Times New Roman"/>
          <w:color w:val="auto"/>
        </w:rPr>
      </w:pPr>
      <w:r>
        <w:rPr>
          <w:rFonts w:hint="eastAsia" w:ascii="宋体" w:hAnsi="宋体" w:cs="宋体"/>
          <w:color w:val="auto"/>
        </w:rPr>
        <w:t>④</w:t>
      </w:r>
      <w:r>
        <w:rPr>
          <w:rFonts w:ascii="Times New Roman" w:hAnsi="Times New Roman"/>
          <w:color w:val="auto"/>
        </w:rPr>
        <w:t>评价等级</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污染</w:t>
      </w:r>
      <w:r>
        <w:rPr>
          <w:rFonts w:hint="default" w:ascii="Times New Roman" w:hAnsi="Times New Roman" w:eastAsia="宋体" w:cs="Times New Roman"/>
          <w:b/>
          <w:bCs/>
          <w:color w:val="auto"/>
        </w:rPr>
        <w:t>影响型评价工作等级划分表</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99"/>
        <w:gridCol w:w="874"/>
        <w:gridCol w:w="704"/>
        <w:gridCol w:w="793"/>
        <w:gridCol w:w="707"/>
        <w:gridCol w:w="735"/>
        <w:gridCol w:w="851"/>
        <w:gridCol w:w="692"/>
        <w:gridCol w:w="649"/>
        <w:gridCol w:w="72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4" w:hRule="atLeast"/>
        </w:trPr>
        <w:tc>
          <w:tcPr>
            <w:tcW w:w="1799" w:type="dxa"/>
            <w:vMerge w:val="restart"/>
            <w:noWrap w:val="0"/>
            <w:vAlign w:val="center"/>
            <mc:AlternateContent>
              <mc:Choice Requires="wpsCustomData">
                <wpsCustomData:diagonals>
                  <wpsCustomData:diagonal from="30000" to="14700">
                    <wpsCustomData:border w:val="single" w:color="auto" w:sz="12" w:space="0"/>
                  </wpsCustomData:diagonal>
                  <wpsCustomData:diagonal from="30000" to="5000">
                    <wpsCustomData:border w:val="single" w:color="auto" w:sz="12" w:space="0"/>
                  </wpsCustomData:diagonal>
                </wpsCustomData:diagonals>
              </mc:Choice>
            </mc:AlternateContent>
          </w:tcPr>
          <w:p>
            <w:pPr>
              <w:pStyle w:val="46"/>
              <w:keepNext w:val="0"/>
              <w:keepLines w:val="0"/>
              <w:suppressLineNumbers w:val="0"/>
              <w:adjustRightInd w:val="0"/>
              <w:snapToGrid w:val="0"/>
              <w:spacing w:before="0" w:beforeAutospacing="0" w:after="0" w:afterAutospacing="0" w:line="240" w:lineRule="auto"/>
              <w:ind w:left="0" w:leftChars="0" w:right="0" w:firstLine="0" w:firstLineChars="0"/>
              <w:jc w:val="both"/>
              <mc:AlternateContent>
                <mc:Choice Requires="wpsCustomData">
                  <wpsCustomData:diagonalParaType/>
                </mc:Choice>
              </mc:AlternateContent>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rPr>
              <w:t>敏感程</w:t>
            </w:r>
            <w:r>
              <w:rPr>
                <w:rFonts w:hint="default" w:ascii="Times New Roman" w:hAnsi="Times New Roman" w:eastAsia="宋体" w:cs="Times New Roman"/>
                <w:snapToGrid w:val="0"/>
                <w:color w:val="auto"/>
                <w:kern w:val="0"/>
                <w:sz w:val="21"/>
                <w:szCs w:val="21"/>
                <w:lang w:eastAsia="zh-CN"/>
              </w:rPr>
              <w:t>度</w:t>
            </w:r>
          </w:p>
          <w:p>
            <w:pPr>
              <w:pStyle w:val="46"/>
              <w:keepNext w:val="0"/>
              <w:keepLines w:val="0"/>
              <w:suppressLineNumbers w:val="0"/>
              <w:adjustRightInd w:val="0"/>
              <w:snapToGrid w:val="0"/>
              <w:spacing w:before="0" w:beforeAutospacing="0" w:after="0" w:afterAutospacing="0"/>
              <w:ind w:left="0" w:leftChars="0" w:right="0" w:firstLine="0" w:firstLineChars="0"/>
              <w:jc w:val="both"/>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评价工作等级</w:t>
            </w:r>
          </w:p>
          <w:p>
            <w:pPr>
              <w:pStyle w:val="46"/>
              <w:keepNext w:val="0"/>
              <w:keepLines w:val="0"/>
              <w:suppressLineNumbers w:val="0"/>
              <w:adjustRightInd w:val="0"/>
              <w:snapToGrid w:val="0"/>
              <w:spacing w:before="0" w:beforeAutospacing="0" w:after="0" w:afterAutospacing="0" w:line="240" w:lineRule="auto"/>
              <w:ind w:left="0" w:leftChars="0" w:right="0" w:firstLine="0" w:firstLineChars="0"/>
              <w:jc w:val="both"/>
              <mc:AlternateContent>
                <mc:Choice Requires="wpsCustomData">
                  <wpsCustomData:diagonalParaType/>
                </mc:Choice>
              </mc:AlternateContent>
              <w:rPr>
                <w:rFonts w:hint="default" w:ascii="Times New Roman" w:hAnsi="Times New Roman" w:eastAsia="宋体" w:cs="Times New Roman"/>
                <w:snapToGrid w:val="0"/>
                <w:color w:val="auto"/>
                <w:kern w:val="0"/>
                <w:sz w:val="21"/>
                <w:szCs w:val="21"/>
              </w:rPr>
            </w:pPr>
          </w:p>
          <w:p>
            <w:pPr>
              <w:pStyle w:val="46"/>
              <w:keepNext w:val="0"/>
              <w:keepLines w:val="0"/>
              <w:suppressLineNumbers w:val="0"/>
              <w:adjustRightInd w:val="0"/>
              <w:snapToGrid w:val="0"/>
              <w:spacing w:before="0" w:beforeAutospacing="0" w:after="0" w:afterAutospacing="0"/>
              <w:ind w:left="0" w:leftChars="0" w:right="0" w:firstLine="0" w:firstLineChars="0"/>
              <w:jc w:val="both"/>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占地规模</w:t>
            </w:r>
          </w:p>
          <w:p>
            <w:pPr>
              <w:pStyle w:val="46"/>
              <w:keepNext w:val="0"/>
              <w:keepLines w:val="0"/>
              <w:suppressLineNumbers w:val="0"/>
              <w:adjustRightInd w:val="0"/>
              <w:snapToGrid w:val="0"/>
              <w:spacing w:before="0" w:beforeAutospacing="0" w:after="0" w:afterAutospacing="0"/>
              <w:ind w:left="0" w:leftChars="0" w:right="0" w:firstLine="0" w:firstLineChars="0"/>
              <w:jc w:val="both"/>
              <w:rPr>
                <w:rFonts w:hint="default" w:ascii="Times New Roman" w:hAnsi="Times New Roman" w:eastAsia="宋体" w:cs="Times New Roman"/>
                <w:snapToGrid w:val="0"/>
                <w:color w:val="auto"/>
                <w:kern w:val="0"/>
                <w:sz w:val="21"/>
                <w:szCs w:val="21"/>
              </w:rPr>
            </w:pPr>
          </w:p>
        </w:tc>
        <w:tc>
          <w:tcPr>
            <w:tcW w:w="2371" w:type="dxa"/>
            <w:gridSpan w:val="3"/>
            <w:noWrap w:val="0"/>
            <w:vAlign w:val="center"/>
          </w:tcPr>
          <w:p>
            <w:pPr>
              <w:pStyle w:val="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1 \* ROMAN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类</w:t>
            </w:r>
          </w:p>
        </w:tc>
        <w:tc>
          <w:tcPr>
            <w:tcW w:w="2293" w:type="dxa"/>
            <w:gridSpan w:val="3"/>
            <w:noWrap w:val="0"/>
            <w:vAlign w:val="center"/>
          </w:tcPr>
          <w:p>
            <w:pPr>
              <w:pStyle w:val="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2 \* ROMAN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color w:val="auto"/>
                <w:sz w:val="21"/>
                <w:szCs w:val="21"/>
              </w:rPr>
              <w:t>II</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类</w:t>
            </w:r>
          </w:p>
        </w:tc>
        <w:tc>
          <w:tcPr>
            <w:tcW w:w="2065" w:type="dxa"/>
            <w:gridSpan w:val="3"/>
            <w:noWrap w:val="0"/>
            <w:vAlign w:val="center"/>
          </w:tcPr>
          <w:p>
            <w:pPr>
              <w:pStyle w:val="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3 \* ROMAN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color w:val="auto"/>
                <w:sz w:val="21"/>
                <w:szCs w:val="21"/>
              </w:rPr>
              <w:t>III</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trPr>
        <w:tc>
          <w:tcPr>
            <w:tcW w:w="1799" w:type="dxa"/>
            <w:vMerge w:val="continue"/>
            <w:noWrap w:val="0"/>
            <w:vAlign w:val="center"/>
          </w:tcPr>
          <w:p>
            <w:pPr>
              <w:pStyle w:val="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rPr>
            </w:pPr>
          </w:p>
        </w:tc>
        <w:tc>
          <w:tcPr>
            <w:tcW w:w="874" w:type="dxa"/>
            <w:noWrap w:val="0"/>
            <w:vAlign w:val="center"/>
          </w:tcPr>
          <w:p>
            <w:pPr>
              <w:pStyle w:val="46"/>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大</w:t>
            </w:r>
          </w:p>
        </w:tc>
        <w:tc>
          <w:tcPr>
            <w:tcW w:w="704" w:type="dxa"/>
            <w:noWrap w:val="0"/>
            <w:vAlign w:val="center"/>
          </w:tcPr>
          <w:p>
            <w:pPr>
              <w:pStyle w:val="46"/>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中</w:t>
            </w:r>
          </w:p>
        </w:tc>
        <w:tc>
          <w:tcPr>
            <w:tcW w:w="793" w:type="dxa"/>
            <w:noWrap w:val="0"/>
            <w:vAlign w:val="center"/>
          </w:tcPr>
          <w:p>
            <w:pPr>
              <w:pStyle w:val="46"/>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小</w:t>
            </w:r>
          </w:p>
        </w:tc>
        <w:tc>
          <w:tcPr>
            <w:tcW w:w="707" w:type="dxa"/>
            <w:noWrap w:val="0"/>
            <w:vAlign w:val="center"/>
          </w:tcPr>
          <w:p>
            <w:pPr>
              <w:pStyle w:val="46"/>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大</w:t>
            </w:r>
          </w:p>
        </w:tc>
        <w:tc>
          <w:tcPr>
            <w:tcW w:w="735" w:type="dxa"/>
            <w:noWrap w:val="0"/>
            <w:vAlign w:val="center"/>
          </w:tcPr>
          <w:p>
            <w:pPr>
              <w:pStyle w:val="46"/>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中</w:t>
            </w:r>
          </w:p>
        </w:tc>
        <w:tc>
          <w:tcPr>
            <w:tcW w:w="851" w:type="dxa"/>
            <w:noWrap w:val="0"/>
            <w:vAlign w:val="center"/>
          </w:tcPr>
          <w:p>
            <w:pPr>
              <w:pStyle w:val="46"/>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小</w:t>
            </w:r>
          </w:p>
        </w:tc>
        <w:tc>
          <w:tcPr>
            <w:tcW w:w="692" w:type="dxa"/>
            <w:noWrap w:val="0"/>
            <w:vAlign w:val="center"/>
          </w:tcPr>
          <w:p>
            <w:pPr>
              <w:pStyle w:val="46"/>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大</w:t>
            </w:r>
          </w:p>
        </w:tc>
        <w:tc>
          <w:tcPr>
            <w:tcW w:w="649" w:type="dxa"/>
            <w:noWrap w:val="0"/>
            <w:vAlign w:val="center"/>
          </w:tcPr>
          <w:p>
            <w:pPr>
              <w:pStyle w:val="46"/>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中</w:t>
            </w:r>
          </w:p>
        </w:tc>
        <w:tc>
          <w:tcPr>
            <w:tcW w:w="724" w:type="dxa"/>
            <w:noWrap w:val="0"/>
            <w:vAlign w:val="center"/>
          </w:tcPr>
          <w:p>
            <w:pPr>
              <w:pStyle w:val="46"/>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17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敏感</w:t>
            </w:r>
          </w:p>
        </w:tc>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一级</w:t>
            </w:r>
          </w:p>
        </w:tc>
        <w:tc>
          <w:tcPr>
            <w:tcW w:w="70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一级</w:t>
            </w:r>
          </w:p>
        </w:tc>
        <w:tc>
          <w:tcPr>
            <w:tcW w:w="7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一级</w:t>
            </w:r>
          </w:p>
        </w:tc>
        <w:tc>
          <w:tcPr>
            <w:tcW w:w="7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二级</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二级</w:t>
            </w:r>
          </w:p>
        </w:tc>
        <w:tc>
          <w:tcPr>
            <w:tcW w:w="85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二级</w:t>
            </w:r>
          </w:p>
        </w:tc>
        <w:tc>
          <w:tcPr>
            <w:tcW w:w="6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三级</w:t>
            </w:r>
          </w:p>
        </w:tc>
        <w:tc>
          <w:tcPr>
            <w:tcW w:w="64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hd w:val="clear" w:color="FFFFFF" w:fill="D9D9D9"/>
              </w:rPr>
            </w:pPr>
            <w:r>
              <w:rPr>
                <w:rFonts w:hint="default" w:ascii="Times New Roman" w:hAnsi="Times New Roman" w:eastAsia="宋体" w:cs="Times New Roman"/>
                <w:snapToGrid w:val="0"/>
                <w:color w:val="auto"/>
                <w:kern w:val="0"/>
                <w:shd w:val="clear" w:color="FFFFFF" w:fill="D9D9D9"/>
              </w:rPr>
              <w:t>三级</w:t>
            </w:r>
          </w:p>
        </w:tc>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shd w:val="clear" w:color="auto" w:fill="auto"/>
              </w:rPr>
              <w:t>三级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7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较敏感</w:t>
            </w:r>
          </w:p>
        </w:tc>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一级</w:t>
            </w:r>
          </w:p>
        </w:tc>
        <w:tc>
          <w:tcPr>
            <w:tcW w:w="70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一级</w:t>
            </w:r>
          </w:p>
        </w:tc>
        <w:tc>
          <w:tcPr>
            <w:tcW w:w="7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二级</w:t>
            </w:r>
          </w:p>
        </w:tc>
        <w:tc>
          <w:tcPr>
            <w:tcW w:w="7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二级</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二级</w:t>
            </w:r>
          </w:p>
        </w:tc>
        <w:tc>
          <w:tcPr>
            <w:tcW w:w="85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三级</w:t>
            </w:r>
          </w:p>
        </w:tc>
        <w:tc>
          <w:tcPr>
            <w:tcW w:w="6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三级</w:t>
            </w:r>
          </w:p>
        </w:tc>
        <w:tc>
          <w:tcPr>
            <w:tcW w:w="64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三级</w:t>
            </w:r>
          </w:p>
        </w:tc>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7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不敏感</w:t>
            </w:r>
          </w:p>
        </w:tc>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一级</w:t>
            </w:r>
          </w:p>
        </w:tc>
        <w:tc>
          <w:tcPr>
            <w:tcW w:w="70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二级</w:t>
            </w:r>
          </w:p>
        </w:tc>
        <w:tc>
          <w:tcPr>
            <w:tcW w:w="7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二级</w:t>
            </w:r>
          </w:p>
        </w:tc>
        <w:tc>
          <w:tcPr>
            <w:tcW w:w="7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二级</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三级</w:t>
            </w:r>
          </w:p>
        </w:tc>
        <w:tc>
          <w:tcPr>
            <w:tcW w:w="85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三级</w:t>
            </w:r>
          </w:p>
        </w:tc>
        <w:tc>
          <w:tcPr>
            <w:tcW w:w="6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三级</w:t>
            </w:r>
          </w:p>
        </w:tc>
        <w:tc>
          <w:tcPr>
            <w:tcW w:w="64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shd w:val="clear" w:color="auto" w:fill="auto"/>
              </w:rPr>
              <w:t>-</w:t>
            </w:r>
          </w:p>
        </w:tc>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28" w:type="dxa"/>
            <w:gridSpan w:val="10"/>
            <w:noWrap w:val="0"/>
            <w:vAlign w:val="center"/>
          </w:tcPr>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0"/>
              </w:rPr>
            </w:pPr>
            <w:r>
              <w:rPr>
                <w:rFonts w:hint="default" w:ascii="Times New Roman" w:hAnsi="Times New Roman" w:eastAsia="宋体" w:cs="Times New Roman"/>
                <w:snapToGrid w:val="0"/>
                <w:color w:val="auto"/>
                <w:kern w:val="0"/>
              </w:rPr>
              <w:t>注：“-”表示可不开展土壤环境影响评价工作。</w:t>
            </w:r>
          </w:p>
        </w:tc>
      </w:tr>
    </w:tbl>
    <w:p>
      <w:pPr>
        <w:pStyle w:val="23"/>
        <w:spacing w:line="360" w:lineRule="auto"/>
        <w:ind w:firstLine="480"/>
        <w:rPr>
          <w:rFonts w:hint="eastAsia" w:ascii="Times New Roman" w:hAnsi="Times New Roman" w:eastAsia="宋体"/>
          <w:color w:val="auto"/>
          <w:lang w:eastAsia="zh-CN"/>
        </w:rPr>
      </w:pPr>
      <w:r>
        <w:rPr>
          <w:rFonts w:ascii="Times New Roman" w:hAnsi="Times New Roman"/>
          <w:color w:val="auto"/>
        </w:rPr>
        <w:t>根据附录A，本项目年出栏仔猪</w:t>
      </w:r>
      <w:r>
        <w:rPr>
          <w:rFonts w:hint="eastAsia" w:ascii="Times New Roman" w:hAnsi="Times New Roman"/>
          <w:color w:val="auto"/>
          <w:lang w:val="en-US" w:eastAsia="zh-CN"/>
        </w:rPr>
        <w:t>312500</w:t>
      </w:r>
      <w:r>
        <w:rPr>
          <w:rFonts w:ascii="Times New Roman" w:hAnsi="Times New Roman"/>
          <w:color w:val="auto"/>
        </w:rPr>
        <w:t>头（折合为成年猪约</w:t>
      </w:r>
      <w:r>
        <w:rPr>
          <w:rFonts w:hint="eastAsia" w:ascii="Times New Roman" w:hAnsi="Times New Roman"/>
          <w:color w:val="auto"/>
          <w:lang w:val="en-US" w:eastAsia="zh-CN"/>
        </w:rPr>
        <w:t>20313</w:t>
      </w:r>
      <w:r>
        <w:rPr>
          <w:rFonts w:ascii="Times New Roman" w:hAnsi="Times New Roman"/>
          <w:color w:val="auto"/>
        </w:rPr>
        <w:t>头），小于10万头；因此本项目属于农林牧渔业中的年出栏生猪5000头（其他畜禽种类折合猪的养殖规模）及以上的畜禽养殖场或养殖小区类项目，属Ⅲ类项目</w:t>
      </w:r>
      <w:r>
        <w:rPr>
          <w:rFonts w:hint="eastAsia"/>
          <w:color w:val="auto"/>
          <w:lang w:eastAsia="zh-CN"/>
        </w:rPr>
        <w:t>。</w:t>
      </w:r>
    </w:p>
    <w:p>
      <w:pPr>
        <w:pStyle w:val="23"/>
        <w:spacing w:line="440" w:lineRule="exact"/>
        <w:ind w:firstLine="480"/>
        <w:rPr>
          <w:rFonts w:hint="eastAsia" w:asciiTheme="minorHAnsi" w:eastAsiaTheme="minorEastAsia" w:cstheme="minorBidi"/>
          <w:color w:val="auto"/>
          <w:spacing w:val="4"/>
          <w:szCs w:val="21"/>
        </w:rPr>
      </w:pPr>
      <w:r>
        <w:rPr>
          <w:rFonts w:ascii="Times New Roman" w:hAnsi="Times New Roman"/>
          <w:color w:val="auto"/>
        </w:rPr>
        <w:t>根据上述识别结果，本项目为污染影响型建设项目，为农林牧渔业中的年出栏生猪5000头（其他畜禽种类折合猪的养殖规模）及以上的畜禽养殖场或养殖小区类项目，属Ⅲ类项目。占地规模属中型，土壤环境敏感程度为敏感，综合判定评价等级为</w:t>
      </w:r>
      <w:r>
        <w:rPr>
          <w:rFonts w:hint="eastAsia" w:ascii="Times New Roman" w:hAnsi="Times New Roman"/>
          <w:color w:val="auto"/>
        </w:rPr>
        <w:t>“</w:t>
      </w:r>
      <w:r>
        <w:rPr>
          <w:rFonts w:ascii="Times New Roman" w:hAnsi="Times New Roman"/>
          <w:b/>
          <w:color w:val="auto"/>
        </w:rPr>
        <w:t>三级</w:t>
      </w:r>
      <w:r>
        <w:rPr>
          <w:rFonts w:hint="eastAsia" w:ascii="Times New Roman" w:hAnsi="Times New Roman"/>
          <w:color w:val="auto"/>
        </w:rPr>
        <w:t>”</w:t>
      </w:r>
      <w:r>
        <w:rPr>
          <w:rFonts w:ascii="Times New Roman" w:hAnsi="Times New Roman"/>
          <w:color w:val="auto"/>
        </w:rPr>
        <w:t>。</w:t>
      </w:r>
    </w:p>
    <w:p>
      <w:pPr>
        <w:ind w:firstLine="480" w:firstLineChars="200"/>
        <w:rPr>
          <w:rFonts w:hint="eastAsia" w:asciiTheme="minorHAnsi" w:eastAsiaTheme="minorEastAsia" w:cstheme="minorBidi"/>
          <w:color w:val="auto"/>
          <w:spacing w:val="4"/>
          <w:szCs w:val="21"/>
        </w:rPr>
      </w:pPr>
      <w:r>
        <w:rPr>
          <w:rFonts w:hint="eastAsia"/>
          <w:color w:val="auto"/>
          <w:sz w:val="24"/>
          <w:szCs w:val="24"/>
          <w:lang w:val="en-US" w:eastAsia="zh-CN"/>
        </w:rPr>
        <w:t>7</w:t>
      </w:r>
      <w:r>
        <w:rPr>
          <w:rFonts w:hint="eastAsia"/>
          <w:color w:val="auto"/>
          <w:sz w:val="24"/>
          <w:szCs w:val="24"/>
        </w:rPr>
        <w:t>、环境风险</w:t>
      </w:r>
    </w:p>
    <w:p>
      <w:pPr>
        <w:pStyle w:val="154"/>
        <w:ind w:firstLine="496"/>
        <w:rPr>
          <w:rFonts w:hint="default" w:ascii="Times New Roman" w:hAnsi="Times New Roman" w:eastAsia="宋体" w:cs="Times New Roman"/>
          <w:b/>
          <w:bCs/>
          <w:color w:val="auto"/>
          <w:lang w:val="en-US" w:eastAsia="zh-CN"/>
        </w:rPr>
      </w:pPr>
      <w:r>
        <w:rPr>
          <w:rFonts w:hint="eastAsia"/>
          <w:color w:val="auto"/>
          <w:spacing w:val="4"/>
        </w:rPr>
        <w:t>根据《建设项目环境风险评价技术导则》（</w:t>
      </w:r>
      <w:r>
        <w:rPr>
          <w:color w:val="auto"/>
          <w:spacing w:val="4"/>
        </w:rPr>
        <w:t>HJ 169-2018</w:t>
      </w:r>
      <w:r>
        <w:rPr>
          <w:rFonts w:hint="eastAsia"/>
          <w:color w:val="auto"/>
          <w:spacing w:val="4"/>
        </w:rPr>
        <w:t>），环境风险评价工作等级需先根据建设项目涉及的物质及工艺系统危险性和所在地的环境敏感性确定环境风险潜势，再根据环境风险潜势来进行判定。</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环境风险评价工作等级划分</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环境风险潜势</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Ⅳ、Ⅳ</w:t>
            </w:r>
            <w:r>
              <w:rPr>
                <w:rFonts w:hint="eastAsia"/>
                <w:color w:val="auto"/>
                <w:spacing w:val="4"/>
                <w:vertAlign w:val="superscript"/>
              </w:rPr>
              <w:t>+</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Ⅲ</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Ⅱ</w:t>
            </w:r>
          </w:p>
        </w:tc>
        <w:tc>
          <w:tcPr>
            <w:tcW w:w="1001"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评价工作等级</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一</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二</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三</w:t>
            </w:r>
          </w:p>
        </w:tc>
        <w:tc>
          <w:tcPr>
            <w:tcW w:w="1001"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rPr>
            </w:pPr>
            <w:r>
              <w:rPr>
                <w:rFonts w:hint="eastAsia"/>
                <w:color w:val="auto"/>
                <w:spacing w:val="4"/>
              </w:rPr>
              <w:t>简单分析</w:t>
            </w:r>
            <w:r>
              <w:rPr>
                <w:rFonts w:hint="eastAsia"/>
                <w:color w:val="auto"/>
                <w:spacing w:val="4"/>
                <w:vertAlign w:val="superscript"/>
              </w:rPr>
              <w: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left"/>
              <w:rPr>
                <w:rFonts w:hint="default"/>
                <w:color w:val="auto"/>
                <w:spacing w:val="4"/>
              </w:rPr>
            </w:pPr>
            <w:r>
              <w:rPr>
                <w:rFonts w:hint="default"/>
                <w:color w:val="auto"/>
                <w:spacing w:val="4"/>
                <w:vertAlign w:val="superscript"/>
              </w:rPr>
              <w:t>a</w:t>
            </w:r>
            <w:r>
              <w:rPr>
                <w:rFonts w:hint="eastAsia"/>
                <w:color w:val="auto"/>
                <w:spacing w:val="4"/>
              </w:rPr>
              <w:t>是相对于详细评价工作内容而言，在描述危险物质、环境影响途径、环境危害后果、风险防范措施等方面给出定性的说明。</w:t>
            </w:r>
          </w:p>
        </w:tc>
      </w:tr>
    </w:tbl>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按照《建设项目环境风险评价技术导则》（HJ169-2018）附录B临界量进行判别，结果见表</w:t>
      </w:r>
      <w:r>
        <w:rPr>
          <w:rFonts w:hint="eastAsia" w:ascii="Times New Roman" w:hAnsi="Times New Roman" w:eastAsia="宋体" w:cs="Times New Roman"/>
          <w:color w:val="auto"/>
          <w:sz w:val="24"/>
          <w:szCs w:val="24"/>
          <w:lang w:val="en-US" w:eastAsia="zh-CN"/>
        </w:rPr>
        <w:t>2.5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w:t>
      </w:r>
    </w:p>
    <w:p>
      <w:pPr>
        <w:numPr>
          <w:ilvl w:val="0"/>
          <w:numId w:val="7"/>
        </w:numPr>
        <w:tabs>
          <w:tab w:val="left" w:pos="0"/>
        </w:tabs>
        <w:ind w:left="425" w:leftChars="0" w:hanging="425" w:firstLineChars="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    危险物质数量与临界量比值判别表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743"/>
        <w:gridCol w:w="1237"/>
        <w:gridCol w:w="1651"/>
        <w:gridCol w:w="1201"/>
        <w:gridCol w:w="2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0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物料名称</w:t>
            </w:r>
          </w:p>
        </w:tc>
        <w:tc>
          <w:tcPr>
            <w:tcW w:w="7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CAS号</w:t>
            </w:r>
          </w:p>
        </w:tc>
        <w:tc>
          <w:tcPr>
            <w:tcW w:w="9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最大储存量(吨)</w:t>
            </w:r>
          </w:p>
        </w:tc>
        <w:tc>
          <w:tcPr>
            <w:tcW w:w="70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临界量(吨)</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w:t>
            </w:r>
          </w:p>
        </w:tc>
        <w:tc>
          <w:tcPr>
            <w:tcW w:w="7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w:t>
            </w:r>
          </w:p>
        </w:tc>
        <w:tc>
          <w:tcPr>
            <w:tcW w:w="70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沼气（甲烷）</w:t>
            </w:r>
          </w:p>
        </w:tc>
        <w:tc>
          <w:tcPr>
            <w:tcW w:w="7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74-82-8</w:t>
            </w:r>
          </w:p>
        </w:tc>
        <w:tc>
          <w:tcPr>
            <w:tcW w:w="9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w:t>
            </w:r>
          </w:p>
        </w:tc>
        <w:tc>
          <w:tcPr>
            <w:tcW w:w="70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0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过氧乙酸</w:t>
            </w:r>
          </w:p>
        </w:tc>
        <w:tc>
          <w:tcPr>
            <w:tcW w:w="7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p>
        </w:tc>
        <w:tc>
          <w:tcPr>
            <w:tcW w:w="9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70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99" w:type="pct"/>
            <w:gridSpan w:val="5"/>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0.045064</w:t>
            </w:r>
          </w:p>
        </w:tc>
      </w:tr>
    </w:tbl>
    <w:p>
      <w:pPr>
        <w:spacing w:line="360" w:lineRule="auto"/>
        <w:ind w:firstLine="480" w:firstLineChars="200"/>
        <w:rPr>
          <w:rFonts w:hint="eastAsia"/>
          <w:color w:val="auto"/>
          <w:spacing w:val="4"/>
          <w:sz w:val="24"/>
        </w:rPr>
      </w:pPr>
      <w:r>
        <w:rPr>
          <w:rFonts w:ascii="Times New Roman" w:hAnsi="Times New Roman" w:eastAsia="宋体" w:cs="Times New Roman"/>
          <w:color w:val="auto"/>
          <w:sz w:val="24"/>
          <w:szCs w:val="24"/>
        </w:rPr>
        <w:t>经计算，本项目危险物质数量与临界量比值</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vertAlign w:val="subscript"/>
        </w:rPr>
        <w:t>1</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vertAlign w:val="subscript"/>
        </w:rPr>
        <w:t>1</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0.045064</w:t>
      </w:r>
      <w:r>
        <w:rPr>
          <w:rFonts w:ascii="Times New Roman" w:hAnsi="Times New Roman" w:eastAsia="宋体" w:cs="Times New Roman"/>
          <w:color w:val="auto"/>
          <w:sz w:val="24"/>
          <w:szCs w:val="24"/>
        </w:rPr>
        <w:t>&lt;1，根据HJ169-2018附录C.1.1当Q&lt;1时，项目环境风险潜势为Ⅰ。</w:t>
      </w:r>
    </w:p>
    <w:p>
      <w:pPr>
        <w:tabs>
          <w:tab w:val="left" w:pos="1220"/>
        </w:tabs>
        <w:ind w:firstLine="520" w:firstLineChars="210"/>
        <w:rPr>
          <w:color w:val="auto"/>
          <w:spacing w:val="4"/>
          <w:sz w:val="24"/>
        </w:rPr>
      </w:pPr>
      <w:r>
        <w:rPr>
          <w:rFonts w:hint="eastAsia"/>
          <w:color w:val="auto"/>
          <w:spacing w:val="4"/>
          <w:sz w:val="24"/>
        </w:rPr>
        <w:t>由表可知，拟建项目环境风险评价工作等级可仅开展简单分析。</w:t>
      </w:r>
    </w:p>
    <w:p>
      <w:pPr>
        <w:pStyle w:val="7"/>
        <w:spacing w:before="0" w:after="0" w:line="360" w:lineRule="auto"/>
        <w:ind w:left="0" w:firstLine="0"/>
        <w:rPr>
          <w:rFonts w:cs="Times New Roman"/>
          <w:color w:val="auto"/>
        </w:rPr>
      </w:pPr>
      <w:bookmarkStart w:id="85" w:name="_Toc31768"/>
      <w:bookmarkStart w:id="86" w:name="_Toc405412761"/>
      <w:bookmarkStart w:id="87" w:name="_Toc319591139"/>
      <w:bookmarkStart w:id="88" w:name="_Toc321575582"/>
      <w:bookmarkStart w:id="89" w:name="_Toc319588828"/>
      <w:r>
        <w:rPr>
          <w:rFonts w:cs="Times New Roman"/>
          <w:color w:val="auto"/>
        </w:rPr>
        <w:t>评价范围</w:t>
      </w:r>
      <w:bookmarkEnd w:id="85"/>
      <w:bookmarkEnd w:id="86"/>
    </w:p>
    <w:p>
      <w:pPr>
        <w:pStyle w:val="154"/>
        <w:ind w:firstLine="480"/>
        <w:rPr>
          <w:rFonts w:hint="default" w:ascii="Times New Roman" w:hAnsi="Times New Roman" w:eastAsia="宋体" w:cs="Times New Roman"/>
          <w:b/>
          <w:bCs/>
          <w:color w:val="auto"/>
          <w:lang w:val="en-US" w:eastAsia="zh-CN"/>
        </w:rPr>
      </w:pPr>
      <w:r>
        <w:rPr>
          <w:color w:val="auto"/>
        </w:rPr>
        <w:t>根据《环境影响评价技术导则》中关于评价范围的划分原则，以及结合本项目现场踏勘调查实际情况，确定本项目评价范围如下：</w:t>
      </w:r>
    </w:p>
    <w:bookmarkEnd w:id="87"/>
    <w:bookmarkEnd w:id="88"/>
    <w:bookmarkEnd w:id="89"/>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本项目环境影响评价等级及范围一览表</w:t>
      </w:r>
    </w:p>
    <w:tbl>
      <w:tblPr>
        <w:tblStyle w:val="88"/>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07"/>
        <w:gridCol w:w="5875"/>
        <w:gridCol w:w="134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评价要素</w:t>
            </w:r>
          </w:p>
        </w:tc>
        <w:tc>
          <w:tcPr>
            <w:tcW w:w="587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评价范围</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评价等级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环境空气</w:t>
            </w:r>
          </w:p>
        </w:tc>
        <w:tc>
          <w:tcPr>
            <w:tcW w:w="5875" w:type="dxa"/>
            <w:tcBorders>
              <w:tl2br w:val="nil"/>
              <w:tr2bl w:val="nil"/>
            </w:tcBorders>
            <w:vAlign w:val="center"/>
          </w:tcPr>
          <w:p>
            <w:pPr>
              <w:pStyle w:val="87"/>
              <w:keepNext w:val="0"/>
              <w:keepLines w:val="0"/>
              <w:suppressLineNumbers w:val="0"/>
              <w:spacing w:before="0" w:beforeAutospacing="0" w:after="0" w:afterAutospacing="0"/>
              <w:ind w:left="0" w:right="0" w:firstLine="0" w:firstLineChars="0"/>
              <w:jc w:val="left"/>
              <w:rPr>
                <w:rFonts w:hint="default"/>
                <w:color w:val="auto"/>
                <w:szCs w:val="21"/>
              </w:rPr>
            </w:pPr>
            <w:r>
              <w:rPr>
                <w:rFonts w:hint="eastAsia"/>
                <w:color w:val="auto"/>
                <w:szCs w:val="21"/>
              </w:rPr>
              <w:t>本项目评价范围为以厂址为中心</w:t>
            </w:r>
            <w:r>
              <w:rPr>
                <w:rFonts w:hint="eastAsia"/>
                <w:color w:val="auto"/>
                <w:szCs w:val="21"/>
                <w:lang w:eastAsia="zh-CN"/>
              </w:rPr>
              <w:t>，</w:t>
            </w:r>
            <w:r>
              <w:rPr>
                <w:rFonts w:hint="default"/>
                <w:color w:val="auto"/>
                <w:szCs w:val="21"/>
              </w:rPr>
              <w:t>边长5km的矩形区域</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二级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kern w:val="0"/>
              </w:rPr>
              <w:t>地表水环境</w:t>
            </w:r>
          </w:p>
        </w:tc>
        <w:tc>
          <w:tcPr>
            <w:tcW w:w="5875" w:type="dxa"/>
            <w:tcBorders>
              <w:tl2br w:val="nil"/>
              <w:tr2bl w:val="nil"/>
            </w:tcBorders>
            <w:vAlign w:val="center"/>
          </w:tcPr>
          <w:p>
            <w:pPr>
              <w:pStyle w:val="87"/>
              <w:keepNext w:val="0"/>
              <w:keepLines w:val="0"/>
              <w:suppressLineNumbers w:val="0"/>
              <w:spacing w:before="0" w:beforeAutospacing="0" w:after="0" w:afterAutospacing="0"/>
              <w:ind w:left="0" w:right="0" w:firstLine="0" w:firstLineChars="0"/>
              <w:jc w:val="left"/>
              <w:rPr>
                <w:rFonts w:hint="default"/>
                <w:snapToGrid w:val="0"/>
                <w:color w:val="auto"/>
                <w:szCs w:val="21"/>
              </w:rPr>
            </w:pPr>
            <w:r>
              <w:rPr>
                <w:rFonts w:hint="eastAsia"/>
                <w:snapToGrid w:val="0"/>
                <w:color w:val="auto"/>
                <w:szCs w:val="21"/>
              </w:rPr>
              <w:t>本项目所产生的废水不外排，故本项目不划定地表水环境评价范围</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三级B</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声环境</w:t>
            </w:r>
          </w:p>
        </w:tc>
        <w:tc>
          <w:tcPr>
            <w:tcW w:w="5875" w:type="dxa"/>
            <w:tcBorders>
              <w:tl2br w:val="nil"/>
              <w:tr2bl w:val="nil"/>
            </w:tcBorders>
            <w:vAlign w:val="center"/>
          </w:tcPr>
          <w:p>
            <w:pPr>
              <w:pStyle w:val="87"/>
              <w:keepNext w:val="0"/>
              <w:keepLines w:val="0"/>
              <w:suppressLineNumbers w:val="0"/>
              <w:spacing w:before="0" w:beforeAutospacing="0" w:after="0" w:afterAutospacing="0"/>
              <w:ind w:left="0" w:right="0" w:firstLine="0" w:firstLineChars="0"/>
              <w:jc w:val="left"/>
              <w:rPr>
                <w:rFonts w:hint="default"/>
                <w:color w:val="auto"/>
                <w:szCs w:val="21"/>
              </w:rPr>
            </w:pPr>
            <w:r>
              <w:rPr>
                <w:rFonts w:hint="default"/>
                <w:color w:val="auto"/>
              </w:rPr>
              <w:t>厂界200m范围内区域</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二级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kern w:val="0"/>
              </w:rPr>
              <w:t>地下水环境</w:t>
            </w:r>
          </w:p>
        </w:tc>
        <w:tc>
          <w:tcPr>
            <w:tcW w:w="5875" w:type="dxa"/>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rPr>
            </w:pPr>
            <w:r>
              <w:rPr>
                <w:rFonts w:hint="default" w:ascii="Times New Roman" w:hAnsi="Times New Roman" w:eastAsia="宋体" w:cs="Times New Roman"/>
                <w:color w:val="auto"/>
              </w:rPr>
              <w:t>本项目地下水环境评价范围为项目所在地周边</w:t>
            </w:r>
            <w:r>
              <w:rPr>
                <w:rFonts w:hint="eastAsia" w:ascii="Times New Roman" w:hAnsi="Times New Roman" w:eastAsia="宋体" w:cs="Times New Roman"/>
                <w:color w:val="auto"/>
                <w:lang w:val="en-US" w:eastAsia="zh-CN"/>
              </w:rPr>
              <w:t>1.59</w:t>
            </w:r>
            <w:r>
              <w:rPr>
                <w:rFonts w:hint="default" w:ascii="Times New Roman" w:hAnsi="Times New Roman" w:eastAsia="宋体" w:cs="Times New Roman"/>
                <w:color w:val="auto"/>
              </w:rPr>
              <w:t>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的区域范围</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三级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生态环境</w:t>
            </w:r>
          </w:p>
        </w:tc>
        <w:tc>
          <w:tcPr>
            <w:tcW w:w="587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left"/>
              <w:rPr>
                <w:rFonts w:hint="default" w:ascii="Times New Roman" w:hAnsi="Times New Roman" w:cs="Times New Roman"/>
                <w:color w:val="auto"/>
              </w:rPr>
            </w:pPr>
            <w:r>
              <w:rPr>
                <w:rFonts w:hint="default"/>
                <w:color w:val="auto"/>
                <w:sz w:val="21"/>
                <w:szCs w:val="21"/>
              </w:rPr>
              <w:t>以拟建厂址为中心，项目各边界向外延伸500m所包围的区域范围</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三级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kern w:val="0"/>
                <w:lang w:eastAsia="zh-CN"/>
              </w:rPr>
            </w:pPr>
            <w:r>
              <w:rPr>
                <w:rFonts w:hint="eastAsia" w:ascii="Times New Roman" w:hAnsi="Times New Roman" w:cs="Times New Roman"/>
                <w:color w:val="auto"/>
                <w:kern w:val="0"/>
                <w:lang w:eastAsia="zh-CN"/>
              </w:rPr>
              <w:t>土壤环境</w:t>
            </w:r>
          </w:p>
        </w:tc>
        <w:tc>
          <w:tcPr>
            <w:tcW w:w="587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left"/>
              <w:rPr>
                <w:rFonts w:hint="default" w:ascii="Times New Roman" w:cs="Times New Roman"/>
                <w:color w:val="auto"/>
              </w:rPr>
            </w:pPr>
            <w:r>
              <w:rPr>
                <w:rFonts w:hint="eastAsia" w:ascii="Times New Roman" w:cs="Times New Roman"/>
                <w:color w:val="auto"/>
              </w:rPr>
              <w:t>项目评价范围为厂址外0.05km范围</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三级</w:t>
            </w:r>
          </w:p>
        </w:tc>
      </w:tr>
    </w:tbl>
    <w:p>
      <w:pPr>
        <w:pStyle w:val="7"/>
        <w:spacing w:before="0" w:after="0" w:line="360" w:lineRule="auto"/>
        <w:ind w:left="0" w:firstLine="0"/>
        <w:rPr>
          <w:rFonts w:cs="Times New Roman"/>
          <w:color w:val="auto"/>
        </w:rPr>
      </w:pPr>
      <w:bookmarkStart w:id="90" w:name="_Toc145487231"/>
      <w:bookmarkStart w:id="91" w:name="_Toc154987519"/>
      <w:bookmarkStart w:id="92" w:name="_Toc319588827"/>
      <w:bookmarkStart w:id="93" w:name="_Toc405412758"/>
      <w:bookmarkStart w:id="94" w:name="_Toc25424"/>
      <w:bookmarkStart w:id="95" w:name="_Toc319591138"/>
      <w:bookmarkStart w:id="96" w:name="_Toc163123383"/>
      <w:bookmarkStart w:id="97" w:name="_Toc154982382"/>
      <w:bookmarkStart w:id="98" w:name="_Toc145487112"/>
      <w:bookmarkStart w:id="99" w:name="_Toc154818500"/>
      <w:bookmarkStart w:id="100" w:name="_Toc154987277"/>
      <w:r>
        <w:rPr>
          <w:rFonts w:hint="eastAsia" w:cs="Times New Roman"/>
          <w:color w:val="auto"/>
          <w:lang w:eastAsia="zh-CN"/>
        </w:rPr>
        <w:t>主要保护目标</w:t>
      </w:r>
      <w:bookmarkEnd w:id="90"/>
      <w:bookmarkEnd w:id="91"/>
      <w:bookmarkEnd w:id="92"/>
      <w:bookmarkEnd w:id="93"/>
      <w:bookmarkEnd w:id="94"/>
      <w:bookmarkEnd w:id="95"/>
      <w:bookmarkEnd w:id="96"/>
      <w:bookmarkEnd w:id="97"/>
      <w:bookmarkEnd w:id="98"/>
      <w:bookmarkEnd w:id="99"/>
      <w:bookmarkEnd w:id="100"/>
    </w:p>
    <w:p>
      <w:pPr>
        <w:pStyle w:val="154"/>
        <w:ind w:firstLine="480"/>
        <w:rPr>
          <w:color w:val="auto"/>
        </w:rPr>
      </w:pPr>
      <w:r>
        <w:rPr>
          <w:rFonts w:hint="eastAsia"/>
          <w:color w:val="auto"/>
          <w:lang w:eastAsia="zh-CN"/>
        </w:rPr>
        <w:t>根据现场勘查，本项目位于四川省巴中市通江县龙凤场镇环山村，项目周边为农村环境，周边主要为林地及少量耕地，无其他工业企业。本项目外环境关系比较简单。详见下表。</w:t>
      </w:r>
    </w:p>
    <w:p>
      <w:pPr>
        <w:pStyle w:val="154"/>
        <w:ind w:firstLine="480"/>
        <w:rPr>
          <w:rFonts w:hint="default" w:ascii="Times New Roman" w:hAnsi="Times New Roman" w:eastAsia="宋体" w:cs="Times New Roman"/>
          <w:b/>
          <w:bCs/>
          <w:color w:val="auto"/>
          <w:lang w:val="en-US" w:eastAsia="zh-CN"/>
        </w:rPr>
      </w:pPr>
      <w:r>
        <w:rPr>
          <w:rFonts w:hint="eastAsia"/>
          <w:bCs/>
          <w:color w:val="auto"/>
          <w:lang w:eastAsia="zh-CN"/>
        </w:rPr>
        <w:t>据调查，本项目位于山顶，四周均为林地，</w:t>
      </w:r>
      <w:r>
        <w:rPr>
          <w:rFonts w:hint="eastAsia"/>
          <w:bCs/>
          <w:color w:val="auto"/>
          <w:lang w:val="en-US" w:eastAsia="zh-CN"/>
        </w:rPr>
        <w:t>项目内东北侧为长沟小水库（灌溉），</w:t>
      </w:r>
      <w:r>
        <w:rPr>
          <w:rFonts w:hint="eastAsia"/>
          <w:bCs/>
          <w:color w:val="auto"/>
          <w:lang w:eastAsia="zh-CN"/>
        </w:rPr>
        <w:t>项目内东侧</w:t>
      </w:r>
      <w:r>
        <w:rPr>
          <w:rFonts w:hint="eastAsia"/>
          <w:bCs/>
          <w:color w:val="auto"/>
          <w:lang w:val="en-US" w:eastAsia="zh-CN"/>
        </w:rPr>
        <w:t>为磨山坪小型水库（灌溉），项目西北侧山脚处约770米为火焰沟三社（约25户），山脚西侧和西北侧为四社的2处居民点，即高家院（约289米）和竹林里（约110米）（约18户），山脚西南侧为</w:t>
      </w:r>
      <w:r>
        <w:rPr>
          <w:rFonts w:hint="default" w:ascii="Times New Roman" w:hAnsi="Times New Roman" w:eastAsia="宋体" w:cs="Times New Roman"/>
          <w:color w:val="auto"/>
          <w:lang w:eastAsia="zh-CN"/>
        </w:rPr>
        <w:t>火焰村四社四合面</w:t>
      </w:r>
      <w:r>
        <w:rPr>
          <w:rFonts w:hint="eastAsia" w:cs="Times New Roman"/>
          <w:color w:val="auto"/>
          <w:lang w:eastAsia="zh-CN"/>
        </w:rPr>
        <w:t>（约</w:t>
      </w:r>
      <w:r>
        <w:rPr>
          <w:rFonts w:hint="eastAsia" w:cs="Times New Roman"/>
          <w:color w:val="auto"/>
          <w:lang w:val="en-US" w:eastAsia="zh-CN"/>
        </w:rPr>
        <w:t>328米）</w:t>
      </w:r>
      <w:r>
        <w:rPr>
          <w:rFonts w:hint="eastAsia"/>
          <w:bCs/>
          <w:color w:val="auto"/>
          <w:lang w:val="en-US" w:eastAsia="zh-CN"/>
        </w:rPr>
        <w:t>和</w:t>
      </w:r>
      <w:r>
        <w:rPr>
          <w:rFonts w:hint="default" w:ascii="Times New Roman" w:hAnsi="Times New Roman" w:eastAsia="宋体" w:cs="Times New Roman"/>
          <w:color w:val="auto"/>
          <w:lang w:eastAsia="zh-CN"/>
        </w:rPr>
        <w:t>火焰村</w:t>
      </w:r>
      <w:r>
        <w:rPr>
          <w:rFonts w:hint="eastAsia" w:ascii="Times New Roman" w:hAnsi="Times New Roman" w:cs="Times New Roman"/>
          <w:color w:val="auto"/>
          <w:lang w:eastAsia="zh-CN"/>
        </w:rPr>
        <w:t>三</w:t>
      </w:r>
      <w:r>
        <w:rPr>
          <w:rFonts w:hint="default" w:ascii="Times New Roman" w:hAnsi="Times New Roman" w:eastAsia="宋体" w:cs="Times New Roman"/>
          <w:color w:val="auto"/>
          <w:lang w:eastAsia="zh-CN"/>
        </w:rPr>
        <w:t>社</w:t>
      </w:r>
      <w:r>
        <w:rPr>
          <w:rFonts w:hint="eastAsia" w:ascii="Times New Roman" w:hAnsi="Times New Roman" w:cs="Times New Roman"/>
          <w:color w:val="auto"/>
          <w:lang w:eastAsia="zh-CN"/>
        </w:rPr>
        <w:t>新房子</w:t>
      </w:r>
      <w:r>
        <w:rPr>
          <w:rFonts w:hint="eastAsia" w:cs="Times New Roman"/>
          <w:color w:val="auto"/>
          <w:lang w:eastAsia="zh-CN"/>
        </w:rPr>
        <w:t>（</w:t>
      </w:r>
      <w:r>
        <w:rPr>
          <w:rFonts w:hint="eastAsia" w:cs="Times New Roman"/>
          <w:color w:val="auto"/>
          <w:lang w:val="en-US" w:eastAsia="zh-CN"/>
        </w:rPr>
        <w:t>810米）</w:t>
      </w:r>
      <w:r>
        <w:rPr>
          <w:rFonts w:hint="eastAsia" w:cs="Times New Roman"/>
          <w:color w:val="auto"/>
          <w:lang w:eastAsia="zh-CN"/>
        </w:rPr>
        <w:t>两处居民点</w:t>
      </w:r>
      <w:r>
        <w:rPr>
          <w:rFonts w:hint="eastAsia"/>
          <w:bCs/>
          <w:color w:val="auto"/>
          <w:lang w:val="en-US" w:eastAsia="zh-CN"/>
        </w:rPr>
        <w:t>（约28户），项目东侧约253米为周家岩散户（2户）。</w:t>
      </w:r>
    </w:p>
    <w:p>
      <w:pPr>
        <w:numPr>
          <w:ilvl w:val="0"/>
          <w:numId w:val="7"/>
        </w:numPr>
        <w:tabs>
          <w:tab w:val="left" w:pos="0"/>
        </w:tabs>
        <w:ind w:left="425" w:leftChars="0" w:hanging="425" w:firstLineChars="0"/>
        <w:jc w:val="center"/>
        <w:rPr>
          <w:rFonts w:ascii="Times New Roman" w:hAnsi="Times New Roman" w:eastAsia="宋体"/>
          <w:b/>
          <w:color w:val="auto"/>
          <w:sz w:val="21"/>
          <w:szCs w:val="21"/>
        </w:rPr>
      </w:pP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 xml:space="preserve"> </w:t>
      </w:r>
      <w:r>
        <w:rPr>
          <w:rFonts w:ascii="Times New Roman" w:eastAsia="宋体"/>
          <w:b/>
          <w:color w:val="auto"/>
          <w:sz w:val="21"/>
          <w:szCs w:val="21"/>
        </w:rPr>
        <w:t>项目主要环境保护目标及敏感点</w:t>
      </w:r>
    </w:p>
    <w:tbl>
      <w:tblPr>
        <w:tblStyle w:val="88"/>
        <w:tblW w:w="832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
        <w:gridCol w:w="857"/>
        <w:gridCol w:w="991"/>
        <w:gridCol w:w="597"/>
        <w:gridCol w:w="832"/>
        <w:gridCol w:w="2237"/>
        <w:gridCol w:w="1014"/>
        <w:gridCol w:w="1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gridBefore w:val="1"/>
          <w:wBefore w:w="1" w:type="dxa"/>
          <w:cantSplit/>
          <w:trHeight w:val="86" w:hRule="atLeast"/>
          <w:jc w:val="center"/>
        </w:trPr>
        <w:tc>
          <w:tcPr>
            <w:tcW w:w="85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eastAsia="宋体"/>
                <w:b/>
                <w:bCs/>
                <w:color w:val="auto"/>
              </w:rPr>
            </w:pPr>
            <w:r>
              <w:rPr>
                <w:rFonts w:hint="default" w:hAnsi="宋体" w:eastAsia="宋体"/>
                <w:b/>
                <w:bCs/>
                <w:color w:val="auto"/>
              </w:rPr>
              <w:t>环境要素</w:t>
            </w:r>
          </w:p>
        </w:tc>
        <w:tc>
          <w:tcPr>
            <w:tcW w:w="991"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eastAsia="宋体"/>
                <w:b/>
                <w:bCs/>
                <w:color w:val="auto"/>
              </w:rPr>
            </w:pPr>
            <w:r>
              <w:rPr>
                <w:rFonts w:hint="default" w:hAnsi="宋体" w:eastAsia="宋体"/>
                <w:b/>
                <w:bCs/>
                <w:color w:val="auto"/>
              </w:rPr>
              <w:t>保护对象</w:t>
            </w:r>
          </w:p>
        </w:tc>
        <w:tc>
          <w:tcPr>
            <w:tcW w:w="597" w:type="dxa"/>
            <w:tcBorders>
              <w:righ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eastAsia="宋体"/>
                <w:b/>
                <w:bCs/>
                <w:color w:val="auto"/>
              </w:rPr>
            </w:pPr>
            <w:r>
              <w:rPr>
                <w:rFonts w:hint="default" w:hAnsi="宋体" w:eastAsia="宋体"/>
                <w:b/>
                <w:bCs/>
                <w:color w:val="auto"/>
              </w:rPr>
              <w:t>性质</w:t>
            </w:r>
          </w:p>
        </w:tc>
        <w:tc>
          <w:tcPr>
            <w:tcW w:w="832" w:type="dxa"/>
            <w:tcBorders>
              <w:lef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eastAsia" w:hAnsi="宋体" w:eastAsia="宋体"/>
                <w:b/>
                <w:bCs/>
                <w:color w:val="auto"/>
                <w:lang w:eastAsia="zh-CN"/>
              </w:rPr>
            </w:pPr>
            <w:r>
              <w:rPr>
                <w:rFonts w:hint="eastAsia" w:hAnsi="宋体"/>
                <w:b/>
                <w:bCs/>
                <w:color w:val="auto"/>
                <w:lang w:eastAsia="zh-CN"/>
              </w:rPr>
              <w:t>方向</w:t>
            </w:r>
          </w:p>
        </w:tc>
        <w:tc>
          <w:tcPr>
            <w:tcW w:w="223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eastAsia="宋体"/>
                <w:b/>
                <w:bCs/>
                <w:color w:val="auto"/>
              </w:rPr>
            </w:pPr>
            <w:r>
              <w:rPr>
                <w:rFonts w:hint="default" w:hAnsi="宋体" w:eastAsia="宋体"/>
                <w:b/>
                <w:bCs/>
                <w:color w:val="auto"/>
              </w:rPr>
              <w:t>距离</w:t>
            </w:r>
            <w:r>
              <w:rPr>
                <w:rFonts w:hint="default" w:eastAsia="宋体"/>
                <w:b/>
                <w:bCs/>
                <w:color w:val="auto"/>
              </w:rPr>
              <w:t>(m)</w:t>
            </w:r>
          </w:p>
        </w:tc>
        <w:tc>
          <w:tcPr>
            <w:tcW w:w="1014"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eastAsia="宋体"/>
                <w:b/>
                <w:bCs/>
                <w:color w:val="auto"/>
              </w:rPr>
            </w:pPr>
            <w:r>
              <w:rPr>
                <w:rFonts w:hint="default" w:hAnsi="宋体" w:eastAsia="宋体"/>
                <w:b/>
                <w:bCs/>
                <w:color w:val="auto"/>
              </w:rPr>
              <w:t>规模</w:t>
            </w:r>
          </w:p>
        </w:tc>
        <w:tc>
          <w:tcPr>
            <w:tcW w:w="1799"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eastAsia="宋体"/>
                <w:b/>
                <w:bCs/>
                <w:color w:val="auto"/>
              </w:rPr>
            </w:pPr>
            <w:r>
              <w:rPr>
                <w:rFonts w:hint="default" w:hAnsi="宋体" w:eastAsia="宋体"/>
                <w:b/>
                <w:bCs/>
                <w:color w:val="auto"/>
              </w:rPr>
              <w:t>环境功能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gridBefore w:val="1"/>
          <w:wBefore w:w="1" w:type="dxa"/>
          <w:cantSplit/>
          <w:trHeight w:val="270" w:hRule="atLeast"/>
          <w:jc w:val="center"/>
        </w:trPr>
        <w:tc>
          <w:tcPr>
            <w:tcW w:w="857" w:type="dxa"/>
            <w:vMerge w:val="restart"/>
            <w:tcBorders>
              <w:tl2br w:val="nil"/>
              <w:tr2bl w:val="nil"/>
            </w:tcBorders>
            <w:noWrap w:val="0"/>
            <w:vAlign w:val="center"/>
          </w:tcPr>
          <w:p>
            <w:pPr>
              <w:pStyle w:val="462"/>
              <w:keepNext w:val="0"/>
              <w:keepLines w:val="0"/>
              <w:suppressLineNumbers w:val="0"/>
              <w:spacing w:before="100" w:beforeAutospacing="1" w:after="0" w:afterAutospacing="0" w:line="240" w:lineRule="auto"/>
              <w:ind w:left="0" w:right="0"/>
              <w:jc w:val="center"/>
              <w:rPr>
                <w:rFonts w:hint="default" w:ascii="Times New Roman" w:hAnsi="Times New Roman" w:eastAsia="宋体" w:cs="Times New Roman"/>
                <w:color w:val="auto"/>
              </w:rPr>
            </w:pPr>
          </w:p>
          <w:p>
            <w:pPr>
              <w:pStyle w:val="462"/>
              <w:keepNext w:val="0"/>
              <w:keepLines w:val="0"/>
              <w:suppressLineNumbers w:val="0"/>
              <w:spacing w:before="100" w:beforeAutospacing="1" w:after="0" w:afterAutospacing="0" w:line="240" w:lineRule="auto"/>
              <w:ind w:left="0" w:right="0"/>
              <w:jc w:val="center"/>
              <w:rPr>
                <w:rFonts w:hint="default" w:ascii="Times New Roman" w:hAnsi="Times New Roman" w:eastAsia="宋体" w:cs="Times New Roman"/>
                <w:color w:val="auto"/>
              </w:rPr>
            </w:pPr>
          </w:p>
          <w:p>
            <w:pPr>
              <w:pStyle w:val="462"/>
              <w:keepNext w:val="0"/>
              <w:keepLines w:val="0"/>
              <w:suppressLineNumbers w:val="0"/>
              <w:spacing w:before="100" w:beforeAutospacing="1"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空气</w:t>
            </w:r>
            <w:r>
              <w:rPr>
                <w:rFonts w:hint="default" w:ascii="Times New Roman" w:hAnsi="Times New Roman" w:eastAsia="宋体" w:cs="Times New Roman"/>
                <w:color w:val="auto"/>
                <w:lang w:eastAsia="zh-CN"/>
              </w:rPr>
              <w:t>环境、</w:t>
            </w:r>
            <w:r>
              <w:rPr>
                <w:rFonts w:hint="default" w:ascii="Times New Roman" w:hAnsi="Times New Roman" w:eastAsia="宋体" w:cs="Times New Roman"/>
                <w:color w:val="auto"/>
              </w:rPr>
              <w:t>声环境</w:t>
            </w:r>
          </w:p>
        </w:tc>
        <w:tc>
          <w:tcPr>
            <w:tcW w:w="991"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火焰村三社</w:t>
            </w:r>
          </w:p>
        </w:tc>
        <w:tc>
          <w:tcPr>
            <w:tcW w:w="597" w:type="dxa"/>
            <w:tcBorders>
              <w:righ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居住</w:t>
            </w:r>
          </w:p>
        </w:tc>
        <w:tc>
          <w:tcPr>
            <w:tcW w:w="832" w:type="dxa"/>
            <w:tcBorders>
              <w:lef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WNW</w:t>
            </w:r>
          </w:p>
        </w:tc>
        <w:tc>
          <w:tcPr>
            <w:tcW w:w="223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红线外水平</w:t>
            </w:r>
            <w:r>
              <w:rPr>
                <w:rFonts w:hint="eastAsia" w:ascii="Times New Roman" w:hAnsi="Times New Roman" w:cs="Times New Roman"/>
                <w:color w:val="auto"/>
                <w:sz w:val="21"/>
                <w:szCs w:val="21"/>
                <w:lang w:val="en-US" w:eastAsia="zh-CN"/>
              </w:rPr>
              <w:t>770</w:t>
            </w:r>
            <w:r>
              <w:rPr>
                <w:rFonts w:hint="default" w:ascii="Times New Roman" w:hAnsi="Times New Roman" w:eastAsia="宋体" w:cs="Times New Roman"/>
                <w:color w:val="auto"/>
                <w:sz w:val="21"/>
                <w:szCs w:val="21"/>
              </w:rPr>
              <w:t>m，地势高</w:t>
            </w:r>
            <w:r>
              <w:rPr>
                <w:rFonts w:hint="eastAsia" w:ascii="Times New Roman" w:hAnsi="Times New Roman" w:cs="Times New Roman"/>
                <w:color w:val="auto"/>
                <w:sz w:val="21"/>
                <w:szCs w:val="21"/>
                <w:lang w:eastAsia="zh-CN"/>
              </w:rPr>
              <w:t>差</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p>
        </w:tc>
        <w:tc>
          <w:tcPr>
            <w:tcW w:w="1014"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户</w:t>
            </w:r>
          </w:p>
        </w:tc>
        <w:tc>
          <w:tcPr>
            <w:tcW w:w="1799" w:type="dxa"/>
            <w:vMerge w:val="restart"/>
            <w:tcBorders>
              <w:tl2br w:val="nil"/>
              <w:tr2bl w:val="nil"/>
            </w:tcBorders>
            <w:noWrap w:val="0"/>
            <w:vAlign w:val="center"/>
          </w:tcPr>
          <w:p>
            <w:pPr>
              <w:pStyle w:val="462"/>
              <w:keepNext w:val="0"/>
              <w:keepLines w:val="0"/>
              <w:suppressLineNumbers w:val="0"/>
              <w:spacing w:before="100" w:beforeAutospacing="1"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《环境空气质量标准》（GB3095-2012）二级标准</w:t>
            </w:r>
          </w:p>
          <w:p>
            <w:pPr>
              <w:pStyle w:val="462"/>
              <w:keepNext w:val="0"/>
              <w:keepLines w:val="0"/>
              <w:suppressLineNumbers w:val="0"/>
              <w:spacing w:before="100" w:beforeAutospacing="1"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《声环境质量标准》(GB3096-2008)</w:t>
            </w:r>
            <w:r>
              <w:rPr>
                <w:rFonts w:hint="eastAsia" w:ascii="宋体" w:hAnsi="宋体" w:cs="宋体"/>
                <w:color w:val="auto"/>
                <w:lang w:val="en-US" w:eastAsia="zh-CN"/>
              </w:rPr>
              <w:t>2</w:t>
            </w:r>
            <w:r>
              <w:rPr>
                <w:rFonts w:hint="default" w:ascii="Times New Roman" w:hAnsi="Times New Roman" w:eastAsia="宋体" w:cs="Times New Roman"/>
                <w:color w:val="auto"/>
              </w:rPr>
              <w:t>类标准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557" w:hRule="atLeast"/>
          <w:jc w:val="center"/>
        </w:trPr>
        <w:tc>
          <w:tcPr>
            <w:tcW w:w="858" w:type="dxa"/>
            <w:gridSpan w:val="2"/>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c>
          <w:tcPr>
            <w:tcW w:w="991"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火焰村四社高家院</w:t>
            </w:r>
          </w:p>
        </w:tc>
        <w:tc>
          <w:tcPr>
            <w:tcW w:w="597" w:type="dxa"/>
            <w:tcBorders>
              <w:righ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居住</w:t>
            </w:r>
          </w:p>
        </w:tc>
        <w:tc>
          <w:tcPr>
            <w:tcW w:w="832" w:type="dxa"/>
            <w:tcBorders>
              <w:lef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W</w:t>
            </w:r>
          </w:p>
        </w:tc>
        <w:tc>
          <w:tcPr>
            <w:tcW w:w="223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红线外水平</w:t>
            </w:r>
            <w:r>
              <w:rPr>
                <w:rFonts w:hint="eastAsia" w:ascii="Times New Roman" w:hAnsi="Times New Roman" w:cs="Times New Roman"/>
                <w:color w:val="auto"/>
                <w:sz w:val="21"/>
                <w:szCs w:val="21"/>
                <w:lang w:val="en-US" w:eastAsia="zh-CN"/>
              </w:rPr>
              <w:t>289</w:t>
            </w:r>
            <w:r>
              <w:rPr>
                <w:rFonts w:hint="default" w:ascii="Times New Roman" w:hAnsi="Times New Roman" w:eastAsia="宋体" w:cs="Times New Roman"/>
                <w:color w:val="auto"/>
                <w:sz w:val="21"/>
                <w:szCs w:val="21"/>
              </w:rPr>
              <w:t>m，地势高</w:t>
            </w:r>
            <w:r>
              <w:rPr>
                <w:rFonts w:hint="eastAsia" w:ascii="Times New Roman" w:hAnsi="Times New Roman" w:cs="Times New Roman"/>
                <w:color w:val="auto"/>
                <w:sz w:val="21"/>
                <w:szCs w:val="21"/>
                <w:lang w:eastAsia="zh-CN"/>
              </w:rPr>
              <w:t>差</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p>
        </w:tc>
        <w:tc>
          <w:tcPr>
            <w:tcW w:w="1014"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eastAsia" w:ascii="Times New Roman" w:hAnsi="Times New Roman" w:cs="Times New Roman"/>
                <w:color w:val="auto"/>
                <w:lang w:val="en-US" w:eastAsia="zh-CN"/>
              </w:rPr>
              <w:t>12</w:t>
            </w:r>
            <w:r>
              <w:rPr>
                <w:rFonts w:hint="default" w:ascii="Times New Roman" w:hAnsi="Times New Roman" w:eastAsia="宋体" w:cs="Times New Roman"/>
                <w:color w:val="auto"/>
              </w:rPr>
              <w:t>户</w:t>
            </w:r>
          </w:p>
        </w:tc>
        <w:tc>
          <w:tcPr>
            <w:tcW w:w="1799" w:type="dxa"/>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557" w:hRule="atLeast"/>
          <w:jc w:val="center"/>
        </w:trPr>
        <w:tc>
          <w:tcPr>
            <w:tcW w:w="858" w:type="dxa"/>
            <w:gridSpan w:val="2"/>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c>
          <w:tcPr>
            <w:tcW w:w="991"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火焰村四社</w:t>
            </w:r>
            <w:r>
              <w:rPr>
                <w:rFonts w:hint="eastAsia" w:ascii="Times New Roman" w:hAnsi="Times New Roman" w:cs="Times New Roman"/>
                <w:color w:val="auto"/>
                <w:lang w:eastAsia="zh-CN"/>
              </w:rPr>
              <w:t>竹林里</w:t>
            </w:r>
          </w:p>
        </w:tc>
        <w:tc>
          <w:tcPr>
            <w:tcW w:w="597" w:type="dxa"/>
            <w:tcBorders>
              <w:righ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居住</w:t>
            </w:r>
          </w:p>
        </w:tc>
        <w:tc>
          <w:tcPr>
            <w:tcW w:w="832" w:type="dxa"/>
            <w:tcBorders>
              <w:lef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WNW</w:t>
            </w:r>
          </w:p>
        </w:tc>
        <w:tc>
          <w:tcPr>
            <w:tcW w:w="223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红线外水平1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m，地势高</w:t>
            </w:r>
            <w:r>
              <w:rPr>
                <w:rFonts w:hint="eastAsia" w:ascii="Times New Roman" w:hAnsi="Times New Roman" w:cs="Times New Roman"/>
                <w:color w:val="auto"/>
                <w:sz w:val="21"/>
                <w:szCs w:val="21"/>
                <w:lang w:eastAsia="zh-CN"/>
              </w:rPr>
              <w:t>差</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p>
        </w:tc>
        <w:tc>
          <w:tcPr>
            <w:tcW w:w="1014"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6</w:t>
            </w:r>
            <w:r>
              <w:rPr>
                <w:rFonts w:hint="default" w:ascii="Times New Roman" w:hAnsi="Times New Roman" w:eastAsia="宋体" w:cs="Times New Roman"/>
                <w:color w:val="auto"/>
              </w:rPr>
              <w:t>户</w:t>
            </w:r>
          </w:p>
        </w:tc>
        <w:tc>
          <w:tcPr>
            <w:tcW w:w="1799" w:type="dxa"/>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858" w:type="dxa"/>
            <w:gridSpan w:val="2"/>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c>
          <w:tcPr>
            <w:tcW w:w="991" w:type="dxa"/>
            <w:tcBorders>
              <w:tl2br w:val="nil"/>
              <w:tr2bl w:val="nil"/>
            </w:tcBorders>
            <w:noWrap w:val="0"/>
            <w:vAlign w:val="center"/>
          </w:tcPr>
          <w:p>
            <w:pPr>
              <w:pStyle w:val="462"/>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火焰村四社四合面</w:t>
            </w:r>
          </w:p>
        </w:tc>
        <w:tc>
          <w:tcPr>
            <w:tcW w:w="597" w:type="dxa"/>
            <w:tcBorders>
              <w:righ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居住</w:t>
            </w:r>
          </w:p>
        </w:tc>
        <w:tc>
          <w:tcPr>
            <w:tcW w:w="832" w:type="dxa"/>
            <w:tcBorders>
              <w:lef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WSW</w:t>
            </w:r>
          </w:p>
        </w:tc>
        <w:tc>
          <w:tcPr>
            <w:tcW w:w="223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红线外水平</w:t>
            </w:r>
            <w:r>
              <w:rPr>
                <w:rFonts w:hint="eastAsia" w:ascii="Times New Roman" w:hAnsi="Times New Roman" w:cs="Times New Roman"/>
                <w:color w:val="auto"/>
                <w:sz w:val="21"/>
                <w:szCs w:val="21"/>
                <w:lang w:val="en-US" w:eastAsia="zh-CN"/>
              </w:rPr>
              <w:t>328</w:t>
            </w:r>
            <w:r>
              <w:rPr>
                <w:rFonts w:hint="default" w:ascii="Times New Roman" w:hAnsi="Times New Roman" w:eastAsia="宋体" w:cs="Times New Roman"/>
                <w:color w:val="auto"/>
                <w:sz w:val="21"/>
                <w:szCs w:val="21"/>
              </w:rPr>
              <w:t>m，地势高</w:t>
            </w:r>
            <w:r>
              <w:rPr>
                <w:rFonts w:hint="eastAsia" w:ascii="Times New Roman" w:hAnsi="Times New Roman" w:cs="Times New Roman"/>
                <w:color w:val="auto"/>
                <w:sz w:val="21"/>
                <w:szCs w:val="21"/>
                <w:lang w:eastAsia="zh-CN"/>
              </w:rPr>
              <w:t>差</w:t>
            </w:r>
            <w:r>
              <w:rPr>
                <w:rFonts w:hint="default" w:ascii="Times New Roman" w:hAnsi="Times New Roman" w:eastAsia="宋体" w:cs="Times New Roman"/>
                <w:color w:val="auto"/>
                <w:sz w:val="21"/>
                <w:szCs w:val="21"/>
                <w:lang w:val="en-US" w:eastAsia="zh-CN"/>
              </w:rPr>
              <w:t>100-180</w:t>
            </w:r>
            <w:r>
              <w:rPr>
                <w:rFonts w:hint="default" w:ascii="Times New Roman" w:hAnsi="Times New Roman" w:eastAsia="宋体" w:cs="Times New Roman"/>
                <w:color w:val="auto"/>
                <w:sz w:val="21"/>
                <w:szCs w:val="21"/>
              </w:rPr>
              <w:t>m</w:t>
            </w:r>
          </w:p>
        </w:tc>
        <w:tc>
          <w:tcPr>
            <w:tcW w:w="1014"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eastAsia" w:ascii="Times New Roman" w:hAnsi="Times New Roman" w:cs="Times New Roman"/>
                <w:color w:val="auto"/>
                <w:lang w:val="en-US" w:eastAsia="zh-CN"/>
              </w:rPr>
              <w:t>8</w:t>
            </w:r>
            <w:r>
              <w:rPr>
                <w:rFonts w:hint="default" w:ascii="Times New Roman" w:hAnsi="Times New Roman" w:eastAsia="宋体" w:cs="Times New Roman"/>
                <w:color w:val="auto"/>
              </w:rPr>
              <w:t>户</w:t>
            </w:r>
          </w:p>
        </w:tc>
        <w:tc>
          <w:tcPr>
            <w:tcW w:w="1799" w:type="dxa"/>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565" w:hRule="atLeast"/>
          <w:jc w:val="center"/>
        </w:trPr>
        <w:tc>
          <w:tcPr>
            <w:tcW w:w="858" w:type="dxa"/>
            <w:gridSpan w:val="2"/>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c>
          <w:tcPr>
            <w:tcW w:w="991" w:type="dxa"/>
            <w:tcBorders>
              <w:tl2br w:val="nil"/>
              <w:tr2bl w:val="nil"/>
            </w:tcBorders>
            <w:noWrap w:val="0"/>
            <w:vAlign w:val="center"/>
          </w:tcPr>
          <w:p>
            <w:pPr>
              <w:pStyle w:val="46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火焰村</w:t>
            </w:r>
            <w:r>
              <w:rPr>
                <w:rFonts w:hint="eastAsia" w:ascii="Times New Roman" w:hAnsi="Times New Roman" w:cs="Times New Roman"/>
                <w:color w:val="auto"/>
                <w:lang w:eastAsia="zh-CN"/>
              </w:rPr>
              <w:t>三</w:t>
            </w:r>
            <w:r>
              <w:rPr>
                <w:rFonts w:hint="default" w:ascii="Times New Roman" w:hAnsi="Times New Roman" w:eastAsia="宋体" w:cs="Times New Roman"/>
                <w:color w:val="auto"/>
                <w:lang w:eastAsia="zh-CN"/>
              </w:rPr>
              <w:t>社</w:t>
            </w:r>
            <w:r>
              <w:rPr>
                <w:rFonts w:hint="eastAsia" w:ascii="Times New Roman" w:hAnsi="Times New Roman" w:cs="Times New Roman"/>
                <w:color w:val="auto"/>
                <w:lang w:eastAsia="zh-CN"/>
              </w:rPr>
              <w:t>新房子</w:t>
            </w:r>
          </w:p>
        </w:tc>
        <w:tc>
          <w:tcPr>
            <w:tcW w:w="597" w:type="dxa"/>
            <w:tcBorders>
              <w:righ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居住</w:t>
            </w:r>
          </w:p>
        </w:tc>
        <w:tc>
          <w:tcPr>
            <w:tcW w:w="832" w:type="dxa"/>
            <w:tcBorders>
              <w:lef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WSW</w:t>
            </w:r>
          </w:p>
        </w:tc>
        <w:tc>
          <w:tcPr>
            <w:tcW w:w="223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红线外水平</w:t>
            </w:r>
            <w:r>
              <w:rPr>
                <w:rFonts w:hint="eastAsia" w:ascii="Times New Roman" w:hAnsi="Times New Roman" w:cs="Times New Roman"/>
                <w:color w:val="auto"/>
                <w:sz w:val="21"/>
                <w:szCs w:val="21"/>
                <w:lang w:val="en-US" w:eastAsia="zh-CN"/>
              </w:rPr>
              <w:t>810</w:t>
            </w:r>
            <w:r>
              <w:rPr>
                <w:rFonts w:hint="default" w:ascii="Times New Roman" w:hAnsi="Times New Roman" w:eastAsia="宋体" w:cs="Times New Roman"/>
                <w:color w:val="auto"/>
                <w:sz w:val="21"/>
                <w:szCs w:val="21"/>
              </w:rPr>
              <w:t>m，地势高</w:t>
            </w:r>
            <w:r>
              <w:rPr>
                <w:rFonts w:hint="eastAsia" w:ascii="Times New Roman" w:hAnsi="Times New Roman" w:cs="Times New Roman"/>
                <w:color w:val="auto"/>
                <w:sz w:val="21"/>
                <w:szCs w:val="21"/>
                <w:lang w:eastAsia="zh-CN"/>
              </w:rPr>
              <w:t>差</w:t>
            </w:r>
            <w:r>
              <w:rPr>
                <w:rFonts w:hint="eastAsia" w:ascii="Times New Roman" w:hAnsi="Times New Roman" w:cs="Times New Roman"/>
                <w:color w:val="auto"/>
                <w:sz w:val="21"/>
                <w:szCs w:val="21"/>
                <w:lang w:val="en-US" w:eastAsia="zh-CN"/>
              </w:rPr>
              <w:t>60</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90</w:t>
            </w:r>
            <w:r>
              <w:rPr>
                <w:rFonts w:hint="default" w:ascii="Times New Roman" w:hAnsi="Times New Roman" w:eastAsia="宋体" w:cs="Times New Roman"/>
                <w:color w:val="auto"/>
                <w:sz w:val="21"/>
                <w:szCs w:val="21"/>
              </w:rPr>
              <w:t>m</w:t>
            </w:r>
          </w:p>
        </w:tc>
        <w:tc>
          <w:tcPr>
            <w:tcW w:w="1014"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10户</w:t>
            </w:r>
          </w:p>
        </w:tc>
        <w:tc>
          <w:tcPr>
            <w:tcW w:w="1799" w:type="dxa"/>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565" w:hRule="atLeast"/>
          <w:jc w:val="center"/>
        </w:trPr>
        <w:tc>
          <w:tcPr>
            <w:tcW w:w="858" w:type="dxa"/>
            <w:gridSpan w:val="2"/>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c>
          <w:tcPr>
            <w:tcW w:w="991" w:type="dxa"/>
            <w:tcBorders>
              <w:tl2br w:val="nil"/>
              <w:tr2bl w:val="nil"/>
            </w:tcBorders>
            <w:noWrap w:val="0"/>
            <w:vAlign w:val="center"/>
          </w:tcPr>
          <w:p>
            <w:pPr>
              <w:pStyle w:val="462"/>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eastAsia" w:ascii="Times New Roman" w:hAnsi="Times New Roman" w:cs="Times New Roman"/>
                <w:color w:val="auto"/>
                <w:lang w:eastAsia="zh-CN"/>
              </w:rPr>
              <w:t>周家岩散户</w:t>
            </w:r>
          </w:p>
        </w:tc>
        <w:tc>
          <w:tcPr>
            <w:tcW w:w="597" w:type="dxa"/>
            <w:tcBorders>
              <w:righ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居住</w:t>
            </w:r>
          </w:p>
        </w:tc>
        <w:tc>
          <w:tcPr>
            <w:tcW w:w="832" w:type="dxa"/>
            <w:tcBorders>
              <w:lef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E</w:t>
            </w:r>
          </w:p>
        </w:tc>
        <w:tc>
          <w:tcPr>
            <w:tcW w:w="223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红线外水平</w:t>
            </w: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53</w:t>
            </w:r>
            <w:r>
              <w:rPr>
                <w:rFonts w:hint="default" w:ascii="Times New Roman" w:hAnsi="Times New Roman" w:eastAsia="宋体" w:cs="Times New Roman"/>
                <w:color w:val="auto"/>
                <w:sz w:val="21"/>
                <w:szCs w:val="21"/>
              </w:rPr>
              <w:t>m，地势高</w:t>
            </w:r>
            <w:r>
              <w:rPr>
                <w:rFonts w:hint="eastAsia" w:ascii="Times New Roman" w:hAnsi="Times New Roman" w:cs="Times New Roman"/>
                <w:color w:val="auto"/>
                <w:sz w:val="21"/>
                <w:szCs w:val="21"/>
                <w:lang w:eastAsia="zh-CN"/>
              </w:rPr>
              <w:t>差</w:t>
            </w:r>
            <w:r>
              <w:rPr>
                <w:rFonts w:hint="eastAsia" w:ascii="Times New Roman" w:hAnsi="Times New Roman" w:cs="Times New Roman"/>
                <w:color w:val="auto"/>
                <w:sz w:val="21"/>
                <w:szCs w:val="21"/>
                <w:lang w:val="en-US" w:eastAsia="zh-CN"/>
              </w:rPr>
              <w:t>41</w:t>
            </w:r>
            <w:r>
              <w:rPr>
                <w:rFonts w:hint="default" w:ascii="Times New Roman" w:hAnsi="Times New Roman" w:eastAsia="宋体" w:cs="Times New Roman"/>
                <w:color w:val="auto"/>
                <w:sz w:val="21"/>
                <w:szCs w:val="21"/>
              </w:rPr>
              <w:t>m</w:t>
            </w:r>
          </w:p>
        </w:tc>
        <w:tc>
          <w:tcPr>
            <w:tcW w:w="1014"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2户</w:t>
            </w:r>
          </w:p>
        </w:tc>
        <w:tc>
          <w:tcPr>
            <w:tcW w:w="1799" w:type="dxa"/>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58" w:type="dxa"/>
            <w:gridSpan w:val="2"/>
            <w:vMerge w:val="restart"/>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地表水环境</w:t>
            </w:r>
          </w:p>
        </w:tc>
        <w:tc>
          <w:tcPr>
            <w:tcW w:w="991"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磨山坪水库</w:t>
            </w:r>
          </w:p>
        </w:tc>
        <w:tc>
          <w:tcPr>
            <w:tcW w:w="597" w:type="dxa"/>
            <w:tcBorders>
              <w:righ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灌溉</w:t>
            </w:r>
          </w:p>
        </w:tc>
        <w:tc>
          <w:tcPr>
            <w:tcW w:w="832" w:type="dxa"/>
            <w:tcBorders>
              <w:lef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EN</w:t>
            </w:r>
          </w:p>
        </w:tc>
        <w:tc>
          <w:tcPr>
            <w:tcW w:w="223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w:t>
            </w:r>
            <w:r>
              <w:rPr>
                <w:rFonts w:hint="eastAsia" w:ascii="Times New Roman" w:hAnsi="Times New Roman" w:cs="Times New Roman"/>
                <w:color w:val="auto"/>
                <w:sz w:val="21"/>
                <w:szCs w:val="21"/>
                <w:lang w:eastAsia="zh-CN"/>
              </w:rPr>
              <w:t>范围</w:t>
            </w:r>
            <w:r>
              <w:rPr>
                <w:rFonts w:hint="default" w:ascii="Times New Roman" w:hAnsi="Times New Roman" w:eastAsia="宋体" w:cs="Times New Roman"/>
                <w:color w:val="auto"/>
                <w:sz w:val="21"/>
                <w:szCs w:val="21"/>
                <w:lang w:eastAsia="zh-CN"/>
              </w:rPr>
              <w:t>内</w:t>
            </w:r>
          </w:p>
        </w:tc>
        <w:tc>
          <w:tcPr>
            <w:tcW w:w="1014"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9" w:type="dxa"/>
            <w:vMerge w:val="restart"/>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《地表水环境质量标准》（GB3838-2002）III类水域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58" w:type="dxa"/>
            <w:gridSpan w:val="2"/>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c>
          <w:tcPr>
            <w:tcW w:w="991"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长沟水库</w:t>
            </w:r>
          </w:p>
        </w:tc>
        <w:tc>
          <w:tcPr>
            <w:tcW w:w="597" w:type="dxa"/>
            <w:tcBorders>
              <w:righ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灌溉</w:t>
            </w:r>
          </w:p>
        </w:tc>
        <w:tc>
          <w:tcPr>
            <w:tcW w:w="832" w:type="dxa"/>
            <w:tcBorders>
              <w:left w:val="single" w:color="000000" w:sz="8" w:space="0"/>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E</w:t>
            </w:r>
          </w:p>
        </w:tc>
        <w:tc>
          <w:tcPr>
            <w:tcW w:w="2237"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w:t>
            </w:r>
            <w:r>
              <w:rPr>
                <w:rFonts w:hint="eastAsia" w:ascii="Times New Roman" w:hAnsi="Times New Roman" w:cs="Times New Roman"/>
                <w:color w:val="auto"/>
                <w:sz w:val="21"/>
                <w:szCs w:val="21"/>
                <w:lang w:eastAsia="zh-CN"/>
              </w:rPr>
              <w:t>范围</w:t>
            </w:r>
            <w:r>
              <w:rPr>
                <w:rFonts w:hint="default" w:ascii="Times New Roman" w:hAnsi="Times New Roman" w:eastAsia="宋体" w:cs="Times New Roman"/>
                <w:color w:val="auto"/>
                <w:sz w:val="21"/>
                <w:szCs w:val="21"/>
                <w:lang w:eastAsia="zh-CN"/>
              </w:rPr>
              <w:t>内</w:t>
            </w:r>
          </w:p>
        </w:tc>
        <w:tc>
          <w:tcPr>
            <w:tcW w:w="1014" w:type="dxa"/>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99" w:type="dxa"/>
            <w:vMerge w:val="continue"/>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328" w:type="dxa"/>
            <w:gridSpan w:val="8"/>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地下水环境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保护目标</w:t>
            </w:r>
          </w:p>
        </w:tc>
        <w:tc>
          <w:tcPr>
            <w:tcW w:w="5050" w:type="dxa"/>
            <w:gridSpan w:val="3"/>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保护级别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评价范围内潜水含水层</w:t>
            </w:r>
          </w:p>
        </w:tc>
        <w:tc>
          <w:tcPr>
            <w:tcW w:w="5050" w:type="dxa"/>
            <w:gridSpan w:val="3"/>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《地下水质量标准》（GB/T14848-2017）中的Ⅲ类标准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328" w:type="dxa"/>
            <w:gridSpan w:val="8"/>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土壤环境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保护目标</w:t>
            </w:r>
          </w:p>
        </w:tc>
        <w:tc>
          <w:tcPr>
            <w:tcW w:w="5050" w:type="dxa"/>
            <w:gridSpan w:val="3"/>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保护级别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评价范围内耕地</w:t>
            </w:r>
          </w:p>
        </w:tc>
        <w:tc>
          <w:tcPr>
            <w:tcW w:w="5050" w:type="dxa"/>
            <w:gridSpan w:val="3"/>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土壤环境质量农用地土壤污染风险管控标准（试行）》</w:t>
            </w:r>
          </w:p>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（GB15618-2018）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328" w:type="dxa"/>
            <w:gridSpan w:val="8"/>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生态环境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保护目标</w:t>
            </w:r>
          </w:p>
        </w:tc>
        <w:tc>
          <w:tcPr>
            <w:tcW w:w="5050" w:type="dxa"/>
            <w:gridSpan w:val="3"/>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保护级别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评价范围内陆生生态环境、水</w:t>
            </w:r>
          </w:p>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生生态环境</w:t>
            </w:r>
          </w:p>
        </w:tc>
        <w:tc>
          <w:tcPr>
            <w:tcW w:w="5050" w:type="dxa"/>
            <w:gridSpan w:val="3"/>
            <w:tcBorders>
              <w:tl2br w:val="nil"/>
              <w:tr2bl w:val="nil"/>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bl>
    <w:p>
      <w:pPr>
        <w:pStyle w:val="7"/>
        <w:spacing w:before="0" w:after="0" w:line="360" w:lineRule="auto"/>
        <w:ind w:left="0" w:firstLine="0"/>
        <w:rPr>
          <w:rFonts w:cs="Times New Roman"/>
          <w:color w:val="auto"/>
        </w:rPr>
      </w:pPr>
      <w:bookmarkStart w:id="101" w:name="_Toc17952"/>
      <w:r>
        <w:rPr>
          <w:rFonts w:hint="eastAsia" w:cs="Times New Roman"/>
          <w:color w:val="auto"/>
          <w:lang w:eastAsia="zh-CN"/>
        </w:rPr>
        <w:t>污染控制目标</w:t>
      </w:r>
      <w:bookmarkEnd w:id="101"/>
    </w:p>
    <w:p>
      <w:pPr>
        <w:pStyle w:val="154"/>
        <w:keepNext w:val="0"/>
        <w:keepLines w:val="0"/>
        <w:pageBreakBefore w:val="0"/>
        <w:widowControl w:val="0"/>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按照国家“达标排放”、“清洁生产”、“总量控制”的原则，严格控制各种污染物的产生与排放，减少工程建设对周围环境的影响，达到保护环境的目的。</w:t>
      </w:r>
    </w:p>
    <w:p>
      <w:pPr>
        <w:pStyle w:val="154"/>
        <w:keepNext w:val="0"/>
        <w:keepLines w:val="0"/>
        <w:pageBreakBefore w:val="0"/>
        <w:widowControl w:val="0"/>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(1)废水污染控制目标</w:t>
      </w:r>
    </w:p>
    <w:p>
      <w:pPr>
        <w:pStyle w:val="154"/>
        <w:keepNext w:val="0"/>
        <w:keepLines w:val="0"/>
        <w:pageBreakBefore w:val="0"/>
        <w:widowControl w:val="0"/>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做好清污分流、分级控制；项目应本着“节约用水、一水多用”的原则，探讨</w:t>
      </w:r>
    </w:p>
    <w:p>
      <w:pPr>
        <w:pStyle w:val="154"/>
        <w:keepNext w:val="0"/>
        <w:keepLines w:val="0"/>
        <w:pageBreakBefore w:val="0"/>
        <w:widowControl w:val="0"/>
        <w:kinsoku/>
        <w:wordWrap/>
        <w:overflowPunct/>
        <w:topLinePunct w:val="0"/>
        <w:autoSpaceDE w:val="0"/>
        <w:autoSpaceDN w:val="0"/>
        <w:bidi w:val="0"/>
        <w:adjustRightInd w:val="0"/>
        <w:snapToGrid/>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废水循环利用、重复利用的途径，最大限度综合利用废水。</w:t>
      </w:r>
    </w:p>
    <w:p>
      <w:pPr>
        <w:pStyle w:val="154"/>
        <w:keepNext w:val="0"/>
        <w:keepLines w:val="0"/>
        <w:pageBreakBefore w:val="0"/>
        <w:widowControl w:val="0"/>
        <w:numPr>
          <w:ilvl w:val="0"/>
          <w:numId w:val="9"/>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废气污染控制目标</w:t>
      </w:r>
    </w:p>
    <w:p>
      <w:pPr>
        <w:pStyle w:val="154"/>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确保评价区环境空气质量不因本项目的实施而下降。</w:t>
      </w:r>
    </w:p>
    <w:p>
      <w:pPr>
        <w:pStyle w:val="154"/>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(3)噪声污染控制目标</w:t>
      </w:r>
    </w:p>
    <w:p>
      <w:pPr>
        <w:pStyle w:val="154"/>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项目所在区域声环境达到功能要求，厂界达标。</w:t>
      </w:r>
    </w:p>
    <w:p>
      <w:pPr>
        <w:pStyle w:val="154"/>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(4)固废污染控制目标</w:t>
      </w:r>
    </w:p>
    <w:p>
      <w:pPr>
        <w:pStyle w:val="154"/>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落实固体废物的处理处置方案，并确保不会由固废处置造成二次污染。固体</w:t>
      </w:r>
    </w:p>
    <w:p>
      <w:pPr>
        <w:pStyle w:val="154"/>
        <w:keepNext w:val="0"/>
        <w:keepLines w:val="0"/>
        <w:pageBreakBefore w:val="0"/>
        <w:widowControl w:val="0"/>
        <w:numPr>
          <w:ilvl w:val="0"/>
          <w:numId w:val="0"/>
        </w:numPr>
        <w:kinsoku/>
        <w:wordWrap/>
        <w:overflowPunct/>
        <w:topLinePunct w:val="0"/>
        <w:autoSpaceDE w:val="0"/>
        <w:autoSpaceDN w:val="0"/>
        <w:bidi w:val="0"/>
        <w:adjustRightInd w:val="0"/>
        <w:snapToGrid/>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废物应立足于回收或综合利用。</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cs="Times New Roman"/>
          <w:color w:val="auto"/>
        </w:rPr>
      </w:pPr>
      <w:r>
        <w:rPr>
          <w:rFonts w:hint="eastAsia" w:cs="Times New Roman"/>
          <w:color w:val="auto"/>
          <w:lang w:val="en-US" w:eastAsia="zh-CN"/>
        </w:rPr>
        <w:t xml:space="preserve"> </w:t>
      </w:r>
      <w:bookmarkStart w:id="102" w:name="_Toc7997"/>
      <w:r>
        <w:rPr>
          <w:rFonts w:cs="Times New Roman"/>
          <w:color w:val="auto"/>
        </w:rPr>
        <w:t>产业政策</w:t>
      </w:r>
      <w:r>
        <w:rPr>
          <w:rFonts w:hint="eastAsia" w:cs="Times New Roman"/>
          <w:color w:val="auto"/>
          <w:lang w:eastAsia="zh-CN"/>
        </w:rPr>
        <w:t>及规划符合性</w:t>
      </w:r>
      <w:bookmarkEnd w:id="102"/>
    </w:p>
    <w:p>
      <w:pPr>
        <w:pStyle w:val="7"/>
        <w:spacing w:before="0" w:after="0" w:line="360" w:lineRule="auto"/>
        <w:ind w:left="0" w:firstLine="0"/>
        <w:rPr>
          <w:rFonts w:hint="eastAsia" w:cs="Times New Roman"/>
          <w:color w:val="auto"/>
        </w:rPr>
      </w:pPr>
      <w:bookmarkStart w:id="103" w:name="_Toc28266"/>
      <w:r>
        <w:rPr>
          <w:rFonts w:hint="eastAsia" w:cs="Times New Roman"/>
          <w:color w:val="auto"/>
        </w:rPr>
        <w:t>产业政策符合性分析</w:t>
      </w:r>
      <w:bookmarkEnd w:id="103"/>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本项目为通江温氏畜牧有限公司龙凤场镇种猪养殖项目。</w:t>
      </w:r>
      <w:r>
        <w:rPr>
          <w:rFonts w:ascii="Times New Roman" w:hAnsi="Times New Roman" w:eastAsia="宋体" w:cs="Times New Roman"/>
          <w:color w:val="auto"/>
          <w:kern w:val="2"/>
          <w:sz w:val="24"/>
          <w:szCs w:val="24"/>
          <w:lang w:val="en-US" w:eastAsia="zh-CN" w:bidi="ar-SA"/>
        </w:rPr>
        <w:t>根据国民经济行业分类和代码【GB/T4754-2017】，本项目代码为“</w:t>
      </w:r>
      <w:r>
        <w:rPr>
          <w:rFonts w:hint="eastAsia" w:ascii="Times New Roman" w:hAnsi="Times New Roman" w:eastAsia="宋体" w:cs="Times New Roman"/>
          <w:color w:val="auto"/>
          <w:kern w:val="2"/>
          <w:sz w:val="24"/>
          <w:szCs w:val="24"/>
          <w:lang w:val="en-US" w:eastAsia="zh-CN" w:bidi="ar-SA"/>
        </w:rPr>
        <w:t>0313</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猪</w:t>
      </w:r>
      <w:r>
        <w:rPr>
          <w:rFonts w:ascii="Times New Roman" w:hAnsi="Times New Roman" w:eastAsia="宋体" w:cs="Times New Roman"/>
          <w:color w:val="auto"/>
          <w:kern w:val="2"/>
          <w:sz w:val="24"/>
          <w:szCs w:val="24"/>
          <w:lang w:val="en-US" w:eastAsia="zh-CN" w:bidi="ar-SA"/>
        </w:rPr>
        <w:t>的饲养”。</w:t>
      </w:r>
      <w:r>
        <w:rPr>
          <w:rFonts w:hint="eastAsia" w:ascii="Times New Roman" w:hAnsi="Times New Roman" w:eastAsia="宋体" w:cs="Times New Roman"/>
          <w:color w:val="auto"/>
          <w:kern w:val="2"/>
          <w:sz w:val="24"/>
          <w:szCs w:val="24"/>
          <w:lang w:val="en-US" w:eastAsia="zh-CN" w:bidi="ar-SA"/>
        </w:rPr>
        <w:t>根据《产业结构调整指导目录（2019 年本）》，生猪养殖项目属于“第一类鼓励类”“一、农林业”中的 “4、畜禽标准化规模养殖技术开发与应用”。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同时，通江县发展和改革局以川投资备【2020-511921-03-03-472110】FGQB-0100号文对本项目进行了备案（见附件2）。</w:t>
      </w:r>
    </w:p>
    <w:p>
      <w:pPr>
        <w:pStyle w:val="154"/>
        <w:ind w:firstLine="482"/>
        <w:rPr>
          <w:b/>
          <w:color w:val="auto"/>
        </w:rPr>
      </w:pPr>
      <w:r>
        <w:rPr>
          <w:b/>
          <w:color w:val="auto"/>
        </w:rPr>
        <w:t>因此，本项目的建设符合国家现行产业政策。</w:t>
      </w:r>
    </w:p>
    <w:p>
      <w:pPr>
        <w:pStyle w:val="7"/>
        <w:spacing w:before="0" w:after="0" w:line="360" w:lineRule="auto"/>
        <w:ind w:left="0" w:firstLine="0"/>
        <w:rPr>
          <w:rFonts w:hint="eastAsia" w:cs="Times New Roman"/>
          <w:color w:val="auto"/>
        </w:rPr>
      </w:pPr>
      <w:bookmarkStart w:id="104" w:name="_Toc5059"/>
      <w:r>
        <w:rPr>
          <w:rFonts w:hint="eastAsia" w:cs="Times New Roman"/>
          <w:color w:val="auto"/>
          <w:lang w:eastAsia="zh-CN"/>
        </w:rPr>
        <w:t>与相关规划</w:t>
      </w:r>
      <w:r>
        <w:rPr>
          <w:rFonts w:hint="eastAsia" w:cs="Times New Roman"/>
          <w:color w:val="auto"/>
        </w:rPr>
        <w:t>产业政策符合性分析</w:t>
      </w:r>
      <w:bookmarkEnd w:id="104"/>
    </w:p>
    <w:p>
      <w:pPr>
        <w:pStyle w:val="8"/>
        <w:bidi w:val="0"/>
        <w:rPr>
          <w:color w:val="auto"/>
        </w:rPr>
      </w:pPr>
      <w:r>
        <w:rPr>
          <w:rFonts w:hint="eastAsia"/>
          <w:color w:val="auto"/>
        </w:rPr>
        <w:t>与《全国生猪生产发展规划（2016-2020年）》符合性分析</w:t>
      </w:r>
    </w:p>
    <w:p>
      <w:pPr>
        <w:snapToGrid w:val="0"/>
        <w:ind w:firstLine="480" w:firstLineChars="200"/>
        <w:rPr>
          <w:rFonts w:ascii="Times New Roman" w:hAnsi="Times New Roman" w:cs="Times New Roman"/>
          <w:bCs/>
          <w:color w:val="auto"/>
          <w:sz w:val="24"/>
        </w:rPr>
      </w:pPr>
      <w:r>
        <w:rPr>
          <w:rFonts w:ascii="Times New Roman" w:hAnsi="Times New Roman" w:cs="Times New Roman"/>
          <w:bCs/>
          <w:color w:val="auto"/>
          <w:sz w:val="24"/>
        </w:rPr>
        <w:t>农业部印发了《全国生猪生产发展规划（2016—2020年）》</w:t>
      </w:r>
      <w:r>
        <w:rPr>
          <w:rFonts w:hint="eastAsia" w:ascii="Times New Roman" w:hAnsi="Times New Roman" w:cs="Times New Roman"/>
          <w:bCs/>
          <w:color w:val="auto"/>
          <w:sz w:val="24"/>
        </w:rPr>
        <w:t>。本项目属规划的重点发展区，属标准化规模养殖，本项目运行过程中坚持粪便综合利用和病死猪无害化处理，做到生猪生产与环境保护协调发展，项目与</w:t>
      </w:r>
      <w:r>
        <w:rPr>
          <w:rFonts w:ascii="Times New Roman" w:hAnsi="Times New Roman" w:cs="Times New Roman"/>
          <w:bCs/>
          <w:color w:val="auto"/>
          <w:sz w:val="24"/>
        </w:rPr>
        <w:t>《全国生猪生产发展规划（2016—2020年）》相符</w:t>
      </w:r>
      <w:r>
        <w:rPr>
          <w:rFonts w:hint="eastAsia" w:ascii="Times New Roman" w:hAnsi="Times New Roman" w:cs="Times New Roman"/>
          <w:bCs/>
          <w:color w:val="auto"/>
          <w:sz w:val="24"/>
        </w:rPr>
        <w:t>，</w:t>
      </w:r>
      <w:r>
        <w:rPr>
          <w:rFonts w:ascii="Times New Roman" w:hAnsi="Times New Roman" w:cs="Times New Roman"/>
          <w:bCs/>
          <w:color w:val="auto"/>
          <w:sz w:val="24"/>
        </w:rPr>
        <w:t>具体符合性分析见下表</w:t>
      </w:r>
      <w:r>
        <w:rPr>
          <w:rFonts w:hint="eastAsia" w:ascii="Times New Roman" w:hAnsi="Times New Roman" w:cs="Times New Roman"/>
          <w:bCs/>
          <w:color w:val="auto"/>
          <w:sz w:val="24"/>
        </w:rPr>
        <w:t>。</w:t>
      </w:r>
    </w:p>
    <w:p>
      <w:pPr>
        <w:widowControl/>
        <w:spacing w:line="240" w:lineRule="auto"/>
        <w:jc w:val="left"/>
        <w:rPr>
          <w:rFonts w:hint="eastAsia" w:ascii="宋体" w:hAnsi="宋体" w:eastAsia="宋体" w:cs="宋体"/>
          <w:b/>
          <w:bCs/>
          <w:color w:val="auto"/>
          <w:lang w:val="en-US" w:eastAsia="zh-CN"/>
        </w:rPr>
      </w:pPr>
      <w:r>
        <w:rPr>
          <w:rFonts w:ascii="Times New Roman" w:hAnsi="Times New Roman" w:cs="Times New Roman"/>
          <w:bCs/>
          <w:color w:val="auto"/>
          <w:sz w:val="24"/>
        </w:rPr>
        <w:br w:type="page"/>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与</w:t>
      </w:r>
      <w:r>
        <w:rPr>
          <w:rFonts w:hint="default" w:ascii="Times New Roman" w:hAnsi="Times New Roman" w:eastAsia="宋体" w:cs="Times New Roman"/>
          <w:b/>
          <w:bCs/>
          <w:color w:val="auto"/>
        </w:rPr>
        <w:t>《全国生猪生产发展规划（2016-2020年）》符合性分析</w:t>
      </w:r>
    </w:p>
    <w:tbl>
      <w:tblPr>
        <w:tblStyle w:val="88"/>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961"/>
        <w:gridCol w:w="1659"/>
        <w:gridCol w:w="9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9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《全国生猪生产发展规划（2016-2020年）》</w:t>
            </w:r>
          </w:p>
        </w:tc>
        <w:tc>
          <w:tcPr>
            <w:tcW w:w="165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w:t>
            </w:r>
          </w:p>
        </w:tc>
        <w:tc>
          <w:tcPr>
            <w:tcW w:w="902"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522" w:type="dxa"/>
            <w:gridSpan w:val="3"/>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四、区域布局</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9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综合考虑环境承载能力、资源禀赋，消费偏好和屠宰加工等因素，充分发挥区域比较优势，分类推进重点发展区、约束发展区、潜力增长区和适度发展区生猪生产协调发展。</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（一）重点发展区</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包括河北、山东、河南、重庆、广西、四川、海南7省（市）。2014年，猪肉产量2166.6万吨，占全国的38.2%。作为我国传统生猪主产区，该区域养殖总量大、调出量大，在满足本区域需求的同时，还要供应上海、江苏、浙江和广东等沿海省份。预计年均增长1%左右，成为稳定我国猪肉供给的核心区域。主要任务是，依托现有发展基础，加快产业转型升级，提高规模化、标准化、产业化、信息化水平，加强粪便综合利用，完善良种繁育体系，扩大屠宰加工能力，加强冷链物流配送体系建设，推进生猪“就近屠宰、冷链配送”经营方式，提高综合生产能力和市场竞争力；开发利用地方品种资源，打造地方特色生猪养殖。</w:t>
            </w:r>
          </w:p>
        </w:tc>
        <w:tc>
          <w:tcPr>
            <w:tcW w:w="165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本项目位于四川省，属于重点发展区。</w:t>
            </w:r>
          </w:p>
        </w:tc>
        <w:tc>
          <w:tcPr>
            <w:tcW w:w="902"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522" w:type="dxa"/>
            <w:gridSpan w:val="3"/>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五、主要任务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9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（三）发展标准化规模养殖</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坚持良种良法配套、设施工艺结合、增产增效并重、生产生态协调，建立健全标准化生产体系，大力发展生猪适度规模养殖，着力推进生态养殖、清洁养殖，提高规模养殖场自动化装备水平、标准化生产水平和现代化管理水平。继续实施标准化养殖扶持项目，完善生猪调出大县奖励政策，支持养殖场基础设施改造，改进养殖工艺，提高设施化装备水平。完善生猪规模养殖标准，推行精细化管理，加强高效适用技术集成创新与推广，提高母猪繁殖力和仔猪成活率，增强综合生产能力。加快推广散装饲料，鼓励养殖场改造提升散装饲料储存输送装备，降低生猪养殖饲料成本。继续开展畜禽养殖标准化示范创建活动，加强部省市县四级联创，切实发挥示范场的辐射带动作用。</w:t>
            </w:r>
          </w:p>
        </w:tc>
        <w:tc>
          <w:tcPr>
            <w:tcW w:w="165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本项目为</w:t>
            </w:r>
            <w:r>
              <w:rPr>
                <w:rFonts w:hint="eastAsia" w:ascii="Times New Roman" w:hAnsi="Times New Roman" w:eastAsia="宋体" w:cs="Times New Roman"/>
                <w:bCs/>
                <w:color w:val="auto"/>
                <w:sz w:val="21"/>
                <w:szCs w:val="21"/>
                <w:lang w:eastAsia="zh-CN"/>
              </w:rPr>
              <w:t>种猪</w:t>
            </w:r>
            <w:r>
              <w:rPr>
                <w:rFonts w:hint="default" w:ascii="Times New Roman" w:hAnsi="Times New Roman" w:eastAsia="宋体" w:cs="Times New Roman"/>
                <w:bCs/>
                <w:color w:val="auto"/>
                <w:sz w:val="21"/>
                <w:szCs w:val="21"/>
              </w:rPr>
              <w:t>规模化养殖。项目运行过程中应不断提高母猪繁殖力和仔猪成活率，增强综合生产能力。</w:t>
            </w:r>
          </w:p>
        </w:tc>
        <w:tc>
          <w:tcPr>
            <w:tcW w:w="902"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9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（四）推动废弃物综合利用</w:t>
            </w:r>
          </w:p>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开展畜牧业绿色发展示范县创建活动，突出重点水网地区和主产区，整县推进粪便综合利用和病死猪无害化处理，促进生猪生产与环境保护协调发展。做大做强生猪废弃物综合利用产业，建立与猪肉产量、废弃物综合利用率和无害化处理率相挂钩的财政补助机制。调整优化生猪养殖区域布局，总结推广经济适用粪便综合利用模式，积极探索PPP（政企合作模式）运行机制，打通粪便无害化还田利用通道，促进有机肥就地就近综合利用。完善有机肥生产、使用补贴政策，继续实施畜禽养殖废弃物资源化利用试点项目，支持规模养殖场配套建设粪便无害化处理设施设备，引导形成规模适度、农牧结合的废弃物综合利用机制。落实《国务院办公厅关于建立病死畜禽无害化处理机制的意见》，建成病死猪无害化处理体系，探索推广安全、高效、环保、低耗能、高附加值的无害化处理技术。加强病死猪无害化处理设施建设，落实病死猪无害化处理财政补助政策。</w:t>
            </w:r>
          </w:p>
        </w:tc>
        <w:tc>
          <w:tcPr>
            <w:tcW w:w="165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本项目运行过程中坚持粪便综合利用和病死猪无害化处理，做到生猪生产与环境保护协调发展。</w:t>
            </w:r>
          </w:p>
        </w:tc>
        <w:tc>
          <w:tcPr>
            <w:tcW w:w="902"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pPr>
        <w:pStyle w:val="8"/>
        <w:bidi w:val="0"/>
        <w:rPr>
          <w:rFonts w:cs="Times New Roman"/>
          <w:color w:val="auto"/>
        </w:rPr>
      </w:pPr>
      <w:r>
        <w:rPr>
          <w:rFonts w:hint="eastAsia" w:cs="Times New Roman"/>
          <w:color w:val="auto"/>
        </w:rPr>
        <w:t>与《</w:t>
      </w:r>
      <w:r>
        <w:rPr>
          <w:rFonts w:cs="Times New Roman"/>
          <w:color w:val="auto"/>
          <w:spacing w:val="-7"/>
          <w:szCs w:val="24"/>
        </w:rPr>
        <w:t>四川省畜牧业发展“十三五”规划（2016-202</w:t>
      </w:r>
      <w:r>
        <w:rPr>
          <w:rFonts w:hint="eastAsia" w:cs="Times New Roman"/>
          <w:color w:val="auto"/>
          <w:spacing w:val="-7"/>
          <w:szCs w:val="24"/>
        </w:rPr>
        <w:t>0</w:t>
      </w:r>
      <w:r>
        <w:rPr>
          <w:rFonts w:cs="Times New Roman"/>
          <w:color w:val="auto"/>
          <w:spacing w:val="-7"/>
          <w:szCs w:val="24"/>
        </w:rPr>
        <w:t>）</w:t>
      </w:r>
      <w:r>
        <w:rPr>
          <w:rFonts w:hint="eastAsia" w:cs="Times New Roman"/>
          <w:color w:val="auto"/>
        </w:rPr>
        <w:t>》符合性分析</w:t>
      </w:r>
    </w:p>
    <w:p>
      <w:pPr>
        <w:snapToGrid w:val="0"/>
        <w:ind w:firstLine="480" w:firstLineChars="200"/>
        <w:rPr>
          <w:rFonts w:hint="eastAsia" w:ascii="Times New Roman" w:hAnsi="Times New Roman" w:eastAsia="宋体" w:cs="Times New Roman"/>
          <w:b/>
          <w:bCs/>
          <w:color w:val="auto"/>
          <w:lang w:val="en-US" w:eastAsia="zh-CN"/>
        </w:rPr>
      </w:pPr>
      <w:r>
        <w:rPr>
          <w:rFonts w:ascii="Times New Roman" w:hAnsi="Times New Roman" w:cs="Times New Roman"/>
          <w:bCs/>
          <w:color w:val="auto"/>
          <w:sz w:val="24"/>
        </w:rPr>
        <w:t>四川省农业</w:t>
      </w:r>
      <w:r>
        <w:rPr>
          <w:rFonts w:hint="eastAsia" w:ascii="Times New Roman" w:hAnsi="Times New Roman" w:cs="Times New Roman"/>
          <w:bCs/>
          <w:color w:val="auto"/>
          <w:sz w:val="24"/>
        </w:rPr>
        <w:t>厅</w:t>
      </w:r>
      <w:r>
        <w:rPr>
          <w:rFonts w:ascii="Times New Roman" w:hAnsi="Times New Roman" w:cs="Times New Roman"/>
          <w:bCs/>
          <w:color w:val="auto"/>
          <w:sz w:val="24"/>
        </w:rPr>
        <w:t>印发了《四川省畜牧业发展“十三五”规划（2016-202</w:t>
      </w:r>
      <w:r>
        <w:rPr>
          <w:rFonts w:hint="eastAsia" w:ascii="Times New Roman" w:hAnsi="Times New Roman" w:cs="Times New Roman"/>
          <w:bCs/>
          <w:color w:val="auto"/>
          <w:sz w:val="24"/>
        </w:rPr>
        <w:t>0</w:t>
      </w:r>
      <w:r>
        <w:rPr>
          <w:rFonts w:ascii="Times New Roman" w:hAnsi="Times New Roman" w:cs="Times New Roman"/>
          <w:bCs/>
          <w:color w:val="auto"/>
          <w:sz w:val="24"/>
        </w:rPr>
        <w:t>）》</w:t>
      </w:r>
      <w:r>
        <w:rPr>
          <w:rFonts w:hint="eastAsia" w:ascii="Times New Roman" w:hAnsi="Times New Roman" w:cs="Times New Roman"/>
          <w:bCs/>
          <w:color w:val="auto"/>
          <w:sz w:val="24"/>
        </w:rPr>
        <w:t>。本项目属规划的重点发展区，属标准化规模养殖，本项目运行过程中坚持粪便综合利用和病死猪无害化处理，做到生猪生产与环境保护协调发展，项目与</w:t>
      </w:r>
      <w:r>
        <w:rPr>
          <w:rFonts w:ascii="Times New Roman" w:hAnsi="Times New Roman" w:cs="Times New Roman"/>
          <w:bCs/>
          <w:color w:val="auto"/>
          <w:sz w:val="24"/>
        </w:rPr>
        <w:t>《</w:t>
      </w:r>
      <w:r>
        <w:rPr>
          <w:rFonts w:hint="eastAsia" w:ascii="Times New Roman" w:hAnsi="Times New Roman" w:cs="Times New Roman"/>
          <w:bCs/>
          <w:color w:val="auto"/>
          <w:sz w:val="24"/>
        </w:rPr>
        <w:t>四川省畜牧业发展“十三五”规划（2016-2020）</w:t>
      </w:r>
      <w:r>
        <w:rPr>
          <w:rFonts w:ascii="Times New Roman" w:hAnsi="Times New Roman" w:cs="Times New Roman"/>
          <w:bCs/>
          <w:color w:val="auto"/>
          <w:sz w:val="24"/>
        </w:rPr>
        <w:t>》相符</w:t>
      </w:r>
      <w:r>
        <w:rPr>
          <w:rFonts w:hint="eastAsia" w:ascii="Times New Roman" w:hAnsi="Times New Roman" w:cs="Times New Roman"/>
          <w:bCs/>
          <w:color w:val="auto"/>
          <w:sz w:val="24"/>
        </w:rPr>
        <w:t>，</w:t>
      </w:r>
      <w:r>
        <w:rPr>
          <w:rFonts w:ascii="Times New Roman" w:hAnsi="Times New Roman" w:cs="Times New Roman"/>
          <w:bCs/>
          <w:color w:val="auto"/>
          <w:sz w:val="24"/>
        </w:rPr>
        <w:t>具体符合性分析见下表</w:t>
      </w:r>
      <w:r>
        <w:rPr>
          <w:rFonts w:hint="eastAsia" w:ascii="Times New Roman" w:hAnsi="Times New Roman" w:cs="Times New Roman"/>
          <w:bCs/>
          <w:color w:val="auto"/>
          <w:sz w:val="24"/>
        </w:rPr>
        <w:t>。</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sz w:val="21"/>
          <w:szCs w:val="21"/>
        </w:rPr>
        <w:t>与《四川省畜牧业发展“十三五”规划（2016-2020）》符合性分析</w:t>
      </w:r>
    </w:p>
    <w:tbl>
      <w:tblPr>
        <w:tblStyle w:val="88"/>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353"/>
        <w:gridCol w:w="2269"/>
        <w:gridCol w:w="90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《四川省畜牧业发展“十三五”规划（2016-2020）》</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本项目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cs="Times New Roman"/>
                <w:bCs/>
                <w:color w:val="auto"/>
              </w:rPr>
            </w:pPr>
            <w:r>
              <w:rPr>
                <w:rFonts w:hint="default" w:ascii="Times New Roman" w:hAnsi="Times New Roman" w:eastAsia="宋体" w:cs="Times New Roman"/>
                <w:color w:val="auto"/>
                <w:szCs w:val="24"/>
              </w:rPr>
              <w:t>发展目标</w:t>
            </w:r>
            <w:r>
              <w:rPr>
                <w:rFonts w:hint="eastAsia" w:ascii="Times New Roman" w:hAnsi="Times New Roman" w:eastAsia="宋体" w:cs="Times New Roman"/>
                <w:color w:val="auto"/>
                <w:szCs w:val="24"/>
              </w:rPr>
              <w:t>：</w:t>
            </w:r>
            <w:r>
              <w:rPr>
                <w:rFonts w:hint="default" w:ascii="Times New Roman" w:hAnsi="Times New Roman" w:eastAsia="宋体" w:cs="Times New Roman"/>
                <w:color w:val="auto"/>
                <w:szCs w:val="24"/>
              </w:rPr>
              <w:t>到2020年，畜牧业现代化建设取得显著进展。肉蛋奶主要畜产品供给得到有效保障，构建“生产标准化、发展绿色化、经营规模化、产品品牌化、监管法制化”的畜产品生产体系，走出一条“产出高效、产品安全、资源节约、环境友好”的畜牧业现代化道路，初步建成畜禽种业大省和畜牧业经济强省。</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cs="Times New Roman"/>
                <w:bCs/>
                <w:color w:val="auto"/>
              </w:rPr>
            </w:pPr>
            <w:r>
              <w:rPr>
                <w:rFonts w:hint="eastAsia" w:ascii="Times New Roman" w:hAnsi="Times New Roman" w:cs="Times New Roman"/>
                <w:bCs/>
                <w:color w:val="auto"/>
              </w:rPr>
              <w:t>本项目标准化规模养殖，粪污无害化处理，</w:t>
            </w:r>
            <w:r>
              <w:rPr>
                <w:rFonts w:hint="eastAsia" w:ascii="Times New Roman" w:hAnsi="Times New Roman" w:eastAsia="宋体" w:cs="Times New Roman"/>
                <w:color w:val="auto"/>
                <w:szCs w:val="24"/>
              </w:rPr>
              <w:t>走</w:t>
            </w:r>
            <w:r>
              <w:rPr>
                <w:rFonts w:hint="default" w:ascii="Times New Roman" w:hAnsi="Times New Roman" w:eastAsia="宋体" w:cs="Times New Roman"/>
                <w:color w:val="auto"/>
                <w:szCs w:val="24"/>
              </w:rPr>
              <w:t>“产出高效、产品安全、资源节约、环境友好”的畜牧业现代化道路</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推进标准化规模养殖。综合考虑资源禀赋、环境承载能力等因素，因地制宜发展适度规模养殖，培育畜牧业大产业，大基地，打造畜牧业大集团，构建畜牧业大集群，大力延伸畜牧业链条，加快畜牧业生产方式转变。一是继续实施标准化规模养殖扶持项目，加强养殖场基础设施改造，提升设施化装备水平。二是深入开展畜禽养殖标准化示范创建，突出畜禽良种化、养殖设施化、生产规范化、防疫制度化、粪污无害化、监管常态化。建立健全标准生产体系，推进高效适用生产技术的集成创新与推广，切实发挥示范场的辐射带动作用。三是发挥大型一体化企业的引领作用，大力发展年出栏生猪500头、肉牛50头、肉羊300只、肉鸡3万只和存栏奶牛100头、蛋鸡1万只的畜禽规模养殖场，依托龙头企业科技、人才、信息、资金等优势，带动规模养殖场提高管理水平和技术水平，促进畜禽养殖的标准化、规模化和产业化，使适度规模养殖成为我省畜禽生产发展的主体，切实增强畜牧业综合生产能力。</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cs="Times New Roman"/>
                <w:bCs/>
                <w:color w:val="auto"/>
              </w:rPr>
            </w:pPr>
            <w:r>
              <w:rPr>
                <w:rFonts w:hint="eastAsia" w:ascii="Times New Roman" w:hAnsi="Times New Roman" w:cs="Times New Roman"/>
                <w:bCs/>
                <w:color w:val="auto"/>
              </w:rPr>
              <w:t>本项目标准化规模养殖，施行养殖设施化、生产规模化、防疫制度化、粪污无害化</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w:t>
            </w:r>
          </w:p>
        </w:tc>
      </w:tr>
    </w:tbl>
    <w:p>
      <w:pPr>
        <w:pStyle w:val="8"/>
        <w:bidi w:val="0"/>
        <w:rPr>
          <w:rFonts w:cs="Times New Roman"/>
          <w:color w:val="auto"/>
        </w:rPr>
      </w:pPr>
      <w:r>
        <w:rPr>
          <w:rFonts w:hint="eastAsia" w:cs="Times New Roman"/>
          <w:color w:val="auto"/>
        </w:rPr>
        <w:t>与《</w:t>
      </w:r>
      <w:r>
        <w:rPr>
          <w:rFonts w:ascii="ˎ̥" w:hAnsi="ˎ̥"/>
          <w:color w:val="auto"/>
        </w:rPr>
        <w:t>四川省“十三五”生态保护与建设规划</w:t>
      </w:r>
      <w:r>
        <w:rPr>
          <w:rFonts w:hint="eastAsia" w:cs="Times New Roman"/>
          <w:color w:val="auto"/>
        </w:rPr>
        <w:t>》符合性分析</w:t>
      </w:r>
    </w:p>
    <w:p>
      <w:pPr>
        <w:snapToGrid w:val="0"/>
        <w:ind w:firstLine="480" w:firstLineChars="200"/>
        <w:rPr>
          <w:rFonts w:hint="default" w:ascii="Times New Roman" w:hAnsi="Times New Roman" w:eastAsia="宋体" w:cs="Times New Roman"/>
          <w:b/>
          <w:bCs/>
          <w:color w:val="auto"/>
          <w:lang w:val="en-US" w:eastAsia="zh-CN"/>
        </w:rPr>
      </w:pPr>
      <w:r>
        <w:rPr>
          <w:rFonts w:hint="eastAsia" w:ascii="Times New Roman" w:hAnsi="Times New Roman" w:cs="Times New Roman"/>
          <w:bCs/>
          <w:color w:val="auto"/>
          <w:sz w:val="24"/>
        </w:rPr>
        <w:t>四川省人民政府办公厅</w:t>
      </w:r>
      <w:r>
        <w:rPr>
          <w:rFonts w:ascii="Times New Roman" w:hAnsi="Times New Roman" w:cs="Times New Roman"/>
          <w:bCs/>
          <w:color w:val="auto"/>
          <w:sz w:val="24"/>
        </w:rPr>
        <w:t>印发了《</w:t>
      </w:r>
      <w:r>
        <w:rPr>
          <w:rFonts w:hint="eastAsia" w:ascii="Times New Roman" w:hAnsi="Times New Roman" w:cs="Times New Roman"/>
          <w:bCs/>
          <w:color w:val="auto"/>
          <w:sz w:val="24"/>
        </w:rPr>
        <w:t>四川省“十三五”生态保护与建设规划</w:t>
      </w:r>
      <w:r>
        <w:rPr>
          <w:rFonts w:ascii="Times New Roman" w:hAnsi="Times New Roman" w:cs="Times New Roman"/>
          <w:bCs/>
          <w:color w:val="auto"/>
          <w:sz w:val="24"/>
        </w:rPr>
        <w:t>》</w:t>
      </w:r>
      <w:r>
        <w:rPr>
          <w:rFonts w:hint="eastAsia" w:ascii="Times New Roman" w:hAnsi="Times New Roman" w:cs="Times New Roman"/>
          <w:bCs/>
          <w:color w:val="auto"/>
          <w:sz w:val="24"/>
        </w:rPr>
        <w:t>。本项目属规划的重点发展区，属标准化规模养殖，本项目运行过程中坚持粪便综合利用和病死猪无害化处理，做到生猪生产与环境保护协调发展，项目与</w:t>
      </w:r>
      <w:r>
        <w:rPr>
          <w:rFonts w:ascii="Times New Roman" w:hAnsi="Times New Roman" w:cs="Times New Roman"/>
          <w:bCs/>
          <w:color w:val="auto"/>
          <w:sz w:val="24"/>
        </w:rPr>
        <w:t>《</w:t>
      </w:r>
      <w:r>
        <w:rPr>
          <w:rFonts w:hint="eastAsia" w:ascii="Times New Roman" w:hAnsi="Times New Roman" w:cs="Times New Roman"/>
          <w:bCs/>
          <w:color w:val="auto"/>
          <w:sz w:val="24"/>
        </w:rPr>
        <w:t>四川省“十三五”生态保护与建设规划</w:t>
      </w:r>
      <w:r>
        <w:rPr>
          <w:rFonts w:ascii="Times New Roman" w:hAnsi="Times New Roman" w:cs="Times New Roman"/>
          <w:bCs/>
          <w:color w:val="auto"/>
          <w:sz w:val="24"/>
        </w:rPr>
        <w:t>》相符</w:t>
      </w:r>
      <w:r>
        <w:rPr>
          <w:rFonts w:hint="eastAsia" w:ascii="Times New Roman" w:hAnsi="Times New Roman" w:cs="Times New Roman"/>
          <w:bCs/>
          <w:color w:val="auto"/>
          <w:sz w:val="24"/>
        </w:rPr>
        <w:t>，</w:t>
      </w:r>
      <w:r>
        <w:rPr>
          <w:rFonts w:ascii="Times New Roman" w:hAnsi="Times New Roman" w:cs="Times New Roman"/>
          <w:bCs/>
          <w:color w:val="auto"/>
          <w:sz w:val="24"/>
        </w:rPr>
        <w:t>具体符合性分析见下表</w:t>
      </w:r>
      <w:r>
        <w:rPr>
          <w:rFonts w:hint="eastAsia" w:ascii="Times New Roman" w:hAnsi="Times New Roman" w:cs="Times New Roman"/>
          <w:bCs/>
          <w:color w:val="auto"/>
          <w:sz w:val="24"/>
        </w:rPr>
        <w:t>。</w:t>
      </w:r>
    </w:p>
    <w:p>
      <w:pPr>
        <w:numPr>
          <w:ilvl w:val="0"/>
          <w:numId w:val="10"/>
        </w:numPr>
        <w:tabs>
          <w:tab w:val="left" w:pos="0"/>
        </w:tabs>
        <w:ind w:left="425" w:leftChars="0" w:hanging="425" w:firstLineChars="0"/>
        <w:jc w:val="center"/>
        <w:rPr>
          <w:rFonts w:hint="eastAsia" w:ascii="宋体" w:hAnsi="宋体" w:eastAsia="宋体" w:cs="宋体"/>
          <w:b/>
          <w:bCs/>
          <w:color w:val="auto"/>
          <w:sz w:val="21"/>
          <w:szCs w:val="21"/>
        </w:rPr>
      </w:pPr>
      <w:r>
        <w:rPr>
          <w:rFonts w:hint="eastAsia" w:ascii="Times New Roman" w:hAnsi="Times New Roman" w:eastAsia="宋体" w:cs="Times New Roman"/>
          <w:b/>
          <w:bCs/>
          <w:color w:val="auto"/>
          <w:lang w:val="en-US" w:eastAsia="zh-CN"/>
        </w:rPr>
        <w:t xml:space="preserve">  </w:t>
      </w:r>
      <w:r>
        <w:rPr>
          <w:rFonts w:hint="eastAsia" w:ascii="宋体" w:hAnsi="宋体" w:eastAsia="宋体" w:cs="宋体"/>
          <w:b/>
          <w:bCs/>
          <w:color w:val="auto"/>
          <w:sz w:val="21"/>
          <w:szCs w:val="21"/>
        </w:rPr>
        <w:t>与《四川省“十三五”生态保护与建设规划》符合性分析</w:t>
      </w:r>
    </w:p>
    <w:tbl>
      <w:tblPr>
        <w:tblStyle w:val="88"/>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353"/>
        <w:gridCol w:w="2269"/>
        <w:gridCol w:w="90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《四川省“十三五”生态保护与建设规划》</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本项目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Cs w:val="24"/>
              </w:rPr>
            </w:pPr>
            <w:r>
              <w:rPr>
                <w:rFonts w:hint="eastAsia" w:ascii="Times New Roman" w:hAnsi="Times New Roman" w:eastAsia="宋体" w:cs="Times New Roman"/>
                <w:color w:val="auto"/>
                <w:szCs w:val="24"/>
              </w:rPr>
              <w:t>采取“种养结合、以地定畜、生态循环”模式和工程处理措施，实施重点区域畜禽养殖污染防控与治理，以废弃物资源化利用为途径，整县推进畜禽养殖污染防治。养殖密集区推行粪污集中处理和资源化综合利用。</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cs="Times New Roman"/>
                <w:bCs/>
                <w:color w:val="auto"/>
              </w:rPr>
            </w:pPr>
            <w:r>
              <w:rPr>
                <w:rFonts w:hint="eastAsia" w:ascii="宋体" w:hAnsi="宋体" w:eastAsia="宋体" w:cs="宋体"/>
                <w:bCs/>
                <w:color w:val="auto"/>
              </w:rPr>
              <w:t>本项目采取生态循环的模式以及工程处理措施，以废弃物资源化利用为途径，做到畜禽粪污无害化</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Cs w:val="24"/>
              </w:rPr>
            </w:pPr>
            <w:r>
              <w:rPr>
                <w:rFonts w:hint="eastAsia" w:ascii="Times New Roman" w:hAnsi="Times New Roman" w:eastAsia="宋体" w:cs="Times New Roman"/>
                <w:color w:val="auto"/>
                <w:szCs w:val="24"/>
              </w:rPr>
              <w:t>规模化畜禽养殖场（小区）配套建设废弃物处理设施比例达到85%以上，畜禽粪便养分还田率达到60%。</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eastAsia" w:ascii="Times New Roman" w:hAnsi="Times New Roman" w:cs="Times New Roman" w:eastAsiaTheme="minorEastAsia"/>
                <w:bCs/>
                <w:color w:val="auto"/>
                <w:lang w:eastAsia="zh-CN"/>
              </w:rPr>
            </w:pPr>
            <w:r>
              <w:rPr>
                <w:rFonts w:hint="eastAsia" w:ascii="Times New Roman" w:hAnsi="Times New Roman" w:cs="Times New Roman"/>
                <w:bCs/>
                <w:color w:val="auto"/>
              </w:rPr>
              <w:t>本项目废弃物处理比例为100%，畜禽粪便养分用作有机肥</w:t>
            </w:r>
            <w:r>
              <w:rPr>
                <w:rFonts w:hint="eastAsia" w:ascii="Times New Roman" w:hAnsi="Times New Roman" w:cs="Times New Roman"/>
                <w:bCs/>
                <w:color w:val="auto"/>
                <w:lang w:eastAsia="zh-CN"/>
              </w:rPr>
              <w:t>外售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w:t>
            </w:r>
          </w:p>
        </w:tc>
      </w:tr>
    </w:tbl>
    <w:p>
      <w:pPr>
        <w:pStyle w:val="8"/>
        <w:bidi w:val="0"/>
        <w:rPr>
          <w:rFonts w:cs="Times New Roman"/>
          <w:color w:val="auto"/>
        </w:rPr>
      </w:pPr>
      <w:r>
        <w:rPr>
          <w:rFonts w:hint="eastAsia" w:cs="Times New Roman"/>
          <w:color w:val="auto"/>
        </w:rPr>
        <w:t>与</w:t>
      </w:r>
      <w:r>
        <w:rPr>
          <w:rFonts w:hint="eastAsia" w:cs="Times New Roman"/>
          <w:bCs w:val="0"/>
          <w:color w:val="auto"/>
          <w:szCs w:val="24"/>
        </w:rPr>
        <w:t>《</w:t>
      </w:r>
      <w:r>
        <w:rPr>
          <w:rFonts w:hint="eastAsia" w:cs="Times New Roman"/>
          <w:bCs w:val="0"/>
          <w:color w:val="auto"/>
          <w:szCs w:val="24"/>
          <w:lang w:eastAsia="zh-CN"/>
        </w:rPr>
        <w:t>通江县</w:t>
      </w:r>
      <w:r>
        <w:rPr>
          <w:rFonts w:hint="eastAsia" w:cs="Times New Roman"/>
          <w:bCs w:val="0"/>
          <w:color w:val="auto"/>
          <w:szCs w:val="24"/>
        </w:rPr>
        <w:t>土地利用总体规划》（2006-2020年）</w:t>
      </w:r>
      <w:r>
        <w:rPr>
          <w:rFonts w:hint="eastAsia" w:cs="Times New Roman"/>
          <w:color w:val="auto"/>
        </w:rPr>
        <w:t>符合性分析</w:t>
      </w:r>
    </w:p>
    <w:p>
      <w:pPr>
        <w:adjustRightInd w:val="0"/>
        <w:snapToGrid w:val="0"/>
        <w:ind w:firstLine="518" w:firstLineChars="216"/>
        <w:rPr>
          <w:b/>
          <w:color w:val="auto"/>
        </w:rPr>
      </w:pPr>
      <w:r>
        <w:rPr>
          <w:rFonts w:hint="eastAsia" w:ascii="Times New Roman" w:hAnsi="Times New Roman" w:cs="Times New Roman"/>
          <w:bCs/>
          <w:color w:val="auto"/>
          <w:sz w:val="24"/>
          <w:szCs w:val="24"/>
        </w:rPr>
        <w:t>根据《通江县土地利用总体规划》（2006-2020年）</w:t>
      </w:r>
      <w:r>
        <w:rPr>
          <w:rFonts w:hint="eastAsia"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rPr>
        <w:t>规划范围为通江县所辖14个建制镇和35个乡，其辖区土地面积为4125.60平方公里。土地利用总体规划图可知，本项目占地为</w:t>
      </w:r>
      <w:r>
        <w:rPr>
          <w:rFonts w:hint="eastAsia" w:ascii="Times New Roman" w:hAnsi="Times New Roman" w:cs="Times New Roman"/>
          <w:bCs/>
          <w:color w:val="auto"/>
          <w:sz w:val="24"/>
          <w:szCs w:val="24"/>
          <w:lang w:eastAsia="zh-CN"/>
        </w:rPr>
        <w:t>林地</w:t>
      </w:r>
      <w:r>
        <w:rPr>
          <w:rFonts w:hint="eastAsia" w:ascii="Times New Roman" w:hAnsi="Times New Roman" w:cs="Times New Roman"/>
          <w:bCs/>
          <w:color w:val="auto"/>
          <w:sz w:val="24"/>
          <w:szCs w:val="24"/>
        </w:rPr>
        <w:t>，</w:t>
      </w:r>
      <w:r>
        <w:rPr>
          <w:rFonts w:hint="eastAsia" w:ascii="Times New Roman" w:hAnsi="Times New Roman" w:cs="Times New Roman"/>
          <w:bCs/>
          <w:color w:val="auto"/>
          <w:sz w:val="24"/>
          <w:szCs w:val="24"/>
          <w:lang w:eastAsia="zh-CN"/>
        </w:rPr>
        <w:t>无</w:t>
      </w:r>
      <w:r>
        <w:rPr>
          <w:rFonts w:hint="eastAsia" w:ascii="Times New Roman" w:hAnsi="Times New Roman" w:cs="Times New Roman"/>
          <w:bCs/>
          <w:color w:val="auto"/>
          <w:sz w:val="24"/>
          <w:szCs w:val="24"/>
        </w:rPr>
        <w:t>基本农田保护区，详见附图2，因此本项目建设符合《</w:t>
      </w:r>
      <w:r>
        <w:rPr>
          <w:rFonts w:hint="eastAsia" w:ascii="Times New Roman" w:hAnsi="Times New Roman" w:cs="Times New Roman"/>
          <w:bCs/>
          <w:color w:val="auto"/>
          <w:sz w:val="24"/>
          <w:szCs w:val="24"/>
          <w:lang w:eastAsia="zh-CN"/>
        </w:rPr>
        <w:t>通江县</w:t>
      </w:r>
      <w:r>
        <w:rPr>
          <w:rFonts w:hint="eastAsia" w:ascii="Times New Roman" w:hAnsi="Times New Roman" w:cs="Times New Roman"/>
          <w:bCs/>
          <w:color w:val="auto"/>
          <w:sz w:val="24"/>
          <w:szCs w:val="24"/>
        </w:rPr>
        <w:t>土地利用总体规划》（2006-2020年）。</w:t>
      </w:r>
    </w:p>
    <w:p>
      <w:pPr>
        <w:pStyle w:val="7"/>
        <w:spacing w:before="0" w:after="0" w:line="360" w:lineRule="auto"/>
        <w:ind w:left="0" w:firstLine="0"/>
        <w:rPr>
          <w:rFonts w:cs="Times New Roman"/>
          <w:color w:val="auto"/>
        </w:rPr>
      </w:pPr>
      <w:bookmarkStart w:id="105" w:name="_Toc17356"/>
      <w:r>
        <w:rPr>
          <w:rFonts w:hint="eastAsia" w:cs="Times New Roman"/>
          <w:color w:val="auto"/>
          <w:lang w:eastAsia="zh-CN"/>
        </w:rPr>
        <w:t>与</w:t>
      </w:r>
      <w:r>
        <w:rPr>
          <w:rFonts w:cs="Times New Roman"/>
          <w:color w:val="auto"/>
        </w:rPr>
        <w:t>相关</w:t>
      </w:r>
      <w:r>
        <w:rPr>
          <w:rFonts w:hint="eastAsia" w:cs="Times New Roman"/>
          <w:color w:val="auto"/>
          <w:lang w:eastAsia="zh-CN"/>
        </w:rPr>
        <w:t>法律</w:t>
      </w:r>
      <w:r>
        <w:rPr>
          <w:rFonts w:cs="Times New Roman"/>
          <w:color w:val="auto"/>
        </w:rPr>
        <w:t>、规章</w:t>
      </w:r>
      <w:r>
        <w:rPr>
          <w:rFonts w:hint="eastAsia" w:cs="Times New Roman"/>
          <w:color w:val="auto"/>
          <w:lang w:eastAsia="zh-CN"/>
        </w:rPr>
        <w:t>符合性分析</w:t>
      </w:r>
      <w:bookmarkEnd w:id="105"/>
    </w:p>
    <w:p>
      <w:pPr>
        <w:pStyle w:val="8"/>
        <w:bidi w:val="0"/>
        <w:rPr>
          <w:rFonts w:hint="eastAsia" w:cs="Times New Roman"/>
          <w:color w:val="auto"/>
        </w:rPr>
      </w:pPr>
      <w:r>
        <w:rPr>
          <w:rFonts w:hint="eastAsia" w:cs="Times New Roman"/>
          <w:color w:val="auto"/>
        </w:rPr>
        <w:t>与《中华人民共和国水污染防治法》符合性分析</w:t>
      </w:r>
    </w:p>
    <w:p>
      <w:pPr>
        <w:pStyle w:val="154"/>
        <w:ind w:firstLine="480"/>
        <w:rPr>
          <w:rFonts w:hint="eastAsia" w:ascii="Times New Roman" w:hAnsi="Times New Roman" w:eastAsia="宋体" w:cs="Times New Roman"/>
          <w:b/>
          <w:bCs/>
          <w:color w:val="auto"/>
          <w:lang w:val="en-US" w:eastAsia="zh-CN"/>
        </w:rPr>
      </w:pPr>
      <w:r>
        <w:rPr>
          <w:rFonts w:ascii="Times New Roman" w:eastAsia="宋体"/>
          <w:color w:val="auto"/>
        </w:rPr>
        <w:t>养猪场猪粪采用干清粪工艺后，其余粪渣及尿液使用高压水枪进行冲洗，形成的养殖废水经管道收集后</w:t>
      </w:r>
      <w:r>
        <w:rPr>
          <w:rFonts w:hint="eastAsia"/>
          <w:color w:val="auto"/>
          <w:lang w:eastAsia="zh-CN"/>
        </w:rPr>
        <w:t>汇</w:t>
      </w:r>
      <w:r>
        <w:rPr>
          <w:rFonts w:ascii="Times New Roman" w:eastAsia="宋体"/>
          <w:color w:val="auto"/>
        </w:rPr>
        <w:t>同场区生活污水进入污水处理站。拟建项目污水处理站采用《畜禽养殖业污染治理项目技术规范》（</w:t>
      </w:r>
      <w:r>
        <w:rPr>
          <w:rFonts w:ascii="Times New Roman" w:hAnsi="Times New Roman" w:eastAsia="宋体"/>
          <w:color w:val="auto"/>
        </w:rPr>
        <w:t>HJ497-2009</w:t>
      </w:r>
      <w:r>
        <w:rPr>
          <w:rFonts w:ascii="Times New Roman" w:eastAsia="宋体"/>
          <w:color w:val="auto"/>
        </w:rPr>
        <w:t>）中推荐的模式</w:t>
      </w:r>
      <w:r>
        <w:rPr>
          <w:rFonts w:eastAsia="宋体"/>
          <w:color w:val="auto"/>
        </w:rPr>
        <w:t>Ⅲ</w:t>
      </w:r>
      <w:r>
        <w:rPr>
          <w:rFonts w:ascii="Times New Roman" w:eastAsia="宋体"/>
          <w:color w:val="auto"/>
        </w:rPr>
        <w:t>处理工艺，即</w:t>
      </w:r>
      <w:r>
        <w:rPr>
          <w:rFonts w:ascii="Times New Roman" w:hAnsi="Times New Roman" w:eastAsia="宋体"/>
          <w:color w:val="auto"/>
        </w:rPr>
        <w:t>“</w:t>
      </w:r>
      <w:r>
        <w:rPr>
          <w:rFonts w:hint="eastAsia" w:ascii="Times New Roman" w:hAnsi="Times New Roman" w:eastAsia="宋体"/>
          <w:color w:val="auto"/>
        </w:rPr>
        <w:t>固液分离+UASB厌氧+絮凝沉淀+两级A/O系统+混凝絮凝沉淀+消毒</w:t>
      </w:r>
      <w:r>
        <w:rPr>
          <w:rFonts w:ascii="Times New Roman" w:hAnsi="Times New Roman" w:eastAsia="宋体"/>
          <w:color w:val="auto"/>
        </w:rPr>
        <w:t>”</w:t>
      </w:r>
      <w:r>
        <w:rPr>
          <w:rFonts w:ascii="Times New Roman" w:eastAsia="宋体"/>
          <w:color w:val="auto"/>
        </w:rPr>
        <w:t>工艺，处理规模为</w:t>
      </w:r>
      <w:r>
        <w:rPr>
          <w:rFonts w:hint="eastAsia"/>
          <w:color w:val="auto"/>
          <w:lang w:val="en-US" w:eastAsia="zh-CN"/>
        </w:rPr>
        <w:t>7</w:t>
      </w:r>
      <w:r>
        <w:rPr>
          <w:rFonts w:ascii="Times New Roman" w:hAnsi="Times New Roman" w:eastAsia="宋体"/>
          <w:color w:val="auto"/>
        </w:rPr>
        <w:t>00m</w:t>
      </w:r>
      <w:r>
        <w:rPr>
          <w:rFonts w:ascii="Times New Roman" w:hAnsi="Times New Roman" w:eastAsia="宋体"/>
          <w:color w:val="auto"/>
          <w:vertAlign w:val="superscript"/>
        </w:rPr>
        <w:t>3</w:t>
      </w:r>
      <w:r>
        <w:rPr>
          <w:rFonts w:ascii="Times New Roman" w:hAnsi="Times New Roman" w:eastAsia="宋体"/>
          <w:color w:val="auto"/>
        </w:rPr>
        <w:t>/d</w:t>
      </w:r>
      <w:r>
        <w:rPr>
          <w:rFonts w:ascii="Times New Roman" w:eastAsia="宋体"/>
          <w:color w:val="auto"/>
        </w:rPr>
        <w:t>。处理后的废水达《畜禽养殖业污染物排放标准》（GB18596-2001）中</w:t>
      </w:r>
      <w:r>
        <w:rPr>
          <w:rFonts w:hint="eastAsia" w:ascii="Times New Roman" w:eastAsia="宋体"/>
          <w:color w:val="auto"/>
        </w:rPr>
        <w:t>相应</w:t>
      </w:r>
      <w:r>
        <w:rPr>
          <w:rFonts w:ascii="Times New Roman" w:eastAsia="宋体"/>
          <w:color w:val="auto"/>
        </w:rPr>
        <w:t>标准后全部用于</w:t>
      </w:r>
      <w:r>
        <w:rPr>
          <w:rFonts w:hint="eastAsia"/>
          <w:color w:val="auto"/>
          <w:lang w:eastAsia="zh-CN"/>
        </w:rPr>
        <w:t>生产线回用及</w:t>
      </w:r>
      <w:r>
        <w:rPr>
          <w:rFonts w:ascii="Times New Roman" w:eastAsia="宋体"/>
          <w:color w:val="auto"/>
        </w:rPr>
        <w:t>绿化林地灌溉等，综合利用。</w:t>
      </w:r>
      <w:r>
        <w:rPr>
          <w:rFonts w:hint="eastAsia"/>
          <w:color w:val="auto"/>
        </w:rPr>
        <w:t>因此本项目符合《中华人民共和国水污染防治法》（2018年1月1日实施）要求的畜禽养殖废水处理。</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lang w:val="en-US" w:eastAsia="zh-CN"/>
        </w:rPr>
        <w:t xml:space="preserve">  本</w:t>
      </w:r>
      <w:r>
        <w:rPr>
          <w:rFonts w:hint="default" w:ascii="Times New Roman" w:hAnsi="Times New Roman" w:eastAsia="宋体" w:cs="Times New Roman"/>
          <w:b/>
          <w:bCs/>
          <w:color w:val="auto"/>
          <w:sz w:val="21"/>
          <w:szCs w:val="21"/>
        </w:rPr>
        <w:t>项目与《中华人民共和国水污染防治法》符合性分析</w:t>
      </w:r>
    </w:p>
    <w:tbl>
      <w:tblPr>
        <w:tblStyle w:val="88"/>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31"/>
        <w:gridCol w:w="4644"/>
        <w:gridCol w:w="1948"/>
        <w:gridCol w:w="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法律</w:t>
            </w:r>
          </w:p>
        </w:tc>
        <w:tc>
          <w:tcPr>
            <w:tcW w:w="464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要求</w:t>
            </w:r>
          </w:p>
        </w:tc>
        <w:tc>
          <w:tcPr>
            <w:tcW w:w="19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本项目</w:t>
            </w:r>
          </w:p>
        </w:tc>
        <w:tc>
          <w:tcPr>
            <w:tcW w:w="79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是否符合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31" w:type="dxa"/>
            <w:vMerge w:val="restart"/>
            <w:tcBorders>
              <w:tl2br w:val="nil"/>
              <w:tr2bl w:val="nil"/>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rPr>
            </w:pPr>
            <w:r>
              <w:rPr>
                <w:rFonts w:hint="eastAsia" w:ascii="宋体" w:hAnsi="宋体" w:eastAsia="宋体" w:cs="宋体"/>
                <w:color w:val="auto"/>
                <w:sz w:val="21"/>
                <w:szCs w:val="21"/>
              </w:rPr>
              <w:t>《中华人民共和国水污染防治法》（2018年1月1日实施）</w:t>
            </w:r>
          </w:p>
        </w:tc>
        <w:tc>
          <w:tcPr>
            <w:tcW w:w="4644" w:type="dxa"/>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color w:val="auto"/>
                <w:kern w:val="0"/>
                <w:sz w:val="21"/>
                <w:szCs w:val="21"/>
              </w:rPr>
            </w:pPr>
            <w:r>
              <w:rPr>
                <w:rFonts w:hint="eastAsia"/>
                <w:color w:val="auto"/>
                <w:kern w:val="0"/>
                <w:sz w:val="21"/>
                <w:szCs w:val="21"/>
              </w:rPr>
              <w:t>第五十六条 国家支持畜禽养殖场、养殖小区建设畜禽粪便、废水的综合利用或者无害化处理设施。</w:t>
            </w:r>
          </w:p>
          <w:p>
            <w:pPr>
              <w:keepNext w:val="0"/>
              <w:keepLines w:val="0"/>
              <w:suppressLineNumbers w:val="0"/>
              <w:spacing w:before="0" w:beforeAutospacing="0" w:after="0" w:afterAutospacing="0" w:line="240" w:lineRule="auto"/>
              <w:ind w:left="0" w:right="0"/>
              <w:rPr>
                <w:rFonts w:hint="default"/>
                <w:color w:val="auto"/>
                <w:kern w:val="0"/>
                <w:sz w:val="21"/>
                <w:szCs w:val="21"/>
              </w:rPr>
            </w:pPr>
            <w:r>
              <w:rPr>
                <w:rFonts w:hint="eastAsia"/>
                <w:color w:val="auto"/>
                <w:kern w:val="0"/>
                <w:sz w:val="21"/>
                <w:szCs w:val="21"/>
              </w:rPr>
              <w:t>畜禽养殖场、养殖小区应当保证其畜禽粪便、废水的综合利用或者无害化处理设施正常运转，保证污水达标排放，防止污染水环境。</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eastAsia"/>
                <w:color w:val="auto"/>
                <w:kern w:val="0"/>
                <w:sz w:val="21"/>
                <w:szCs w:val="21"/>
              </w:rPr>
              <w:t>畜禽散养密集区所在地县、乡级人民政府应当组织对畜禽粪便污水进行分户收集、集中处理利用。</w:t>
            </w:r>
          </w:p>
        </w:tc>
        <w:tc>
          <w:tcPr>
            <w:tcW w:w="19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sz w:val="21"/>
                <w:szCs w:val="21"/>
              </w:rPr>
              <w:t>本项目畜禽粪便</w:t>
            </w:r>
            <w:r>
              <w:rPr>
                <w:rFonts w:hint="eastAsia" w:ascii="宋体" w:hAnsi="宋体" w:eastAsia="宋体" w:cs="宋体"/>
                <w:color w:val="auto"/>
                <w:sz w:val="21"/>
                <w:szCs w:val="21"/>
                <w:lang w:eastAsia="zh-CN"/>
              </w:rPr>
              <w:t>进入堆肥车间进行异位发酵罐发酵成有机肥外售</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养殖废水进入污水处理站，</w:t>
            </w:r>
            <w:r>
              <w:rPr>
                <w:rFonts w:hint="eastAsia" w:ascii="宋体" w:hAnsi="宋体" w:eastAsia="宋体" w:cs="宋体"/>
                <w:color w:val="auto"/>
                <w:sz w:val="21"/>
                <w:szCs w:val="21"/>
              </w:rPr>
              <w:t>可实现畜禽粪便、废水无害化。</w:t>
            </w:r>
          </w:p>
        </w:tc>
        <w:tc>
          <w:tcPr>
            <w:tcW w:w="79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78" w:hRule="atLeast"/>
        </w:trPr>
        <w:tc>
          <w:tcPr>
            <w:tcW w:w="1131"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rPr>
            </w:pPr>
          </w:p>
        </w:tc>
        <w:tc>
          <w:tcPr>
            <w:tcW w:w="4644" w:type="dxa"/>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color w:val="auto"/>
                <w:kern w:val="0"/>
                <w:sz w:val="21"/>
                <w:szCs w:val="21"/>
              </w:rPr>
            </w:pPr>
            <w:r>
              <w:rPr>
                <w:rFonts w:hint="default"/>
                <w:color w:val="auto"/>
                <w:kern w:val="0"/>
                <w:sz w:val="21"/>
                <w:szCs w:val="21"/>
              </w:rPr>
              <w:t>第五十八条 农田灌溉用水应当符合相应的水质标准，防止污染土壤、地下水和农产品。</w:t>
            </w:r>
          </w:p>
          <w:p>
            <w:pPr>
              <w:keepNext w:val="0"/>
              <w:keepLines w:val="0"/>
              <w:suppressLineNumbers w:val="0"/>
              <w:spacing w:before="0" w:beforeAutospacing="0" w:after="0" w:afterAutospacing="0" w:line="240" w:lineRule="auto"/>
              <w:ind w:left="0" w:right="0"/>
              <w:rPr>
                <w:rFonts w:hint="default"/>
                <w:color w:val="auto"/>
                <w:kern w:val="0"/>
                <w:sz w:val="21"/>
                <w:szCs w:val="21"/>
              </w:rPr>
            </w:pPr>
            <w:r>
              <w:rPr>
                <w:rFonts w:hint="default"/>
                <w:color w:val="auto"/>
                <w:kern w:val="0"/>
                <w:sz w:val="21"/>
                <w:szCs w:val="21"/>
              </w:rPr>
              <w:t>禁止向农田灌溉渠道排放工业废水或者医疗污水。向农田灌溉渠道排放城镇污水以及未综合利用的畜禽养殖废水、农产品加工废水的，应当保证其下游最近的灌溉取水点的水质符合农田灌溉水质标准。</w:t>
            </w:r>
          </w:p>
        </w:tc>
        <w:tc>
          <w:tcPr>
            <w:tcW w:w="1948" w:type="dxa"/>
            <w:tcBorders>
              <w:tl2br w:val="nil"/>
              <w:tr2bl w:val="nil"/>
            </w:tcBorders>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废水进污水处理站</w:t>
            </w:r>
          </w:p>
          <w:p>
            <w:pPr>
              <w:keepNext w:val="0"/>
              <w:keepLines w:val="0"/>
              <w:suppressLineNumbers w:val="0"/>
              <w:spacing w:before="0" w:beforeAutospacing="0" w:after="0" w:afterAutospacing="0" w:line="240" w:lineRule="auto"/>
              <w:ind w:left="0" w:right="0"/>
              <w:rPr>
                <w:rFonts w:hint="eastAsia" w:eastAsia="宋体"/>
                <w:color w:val="auto"/>
                <w:kern w:val="0"/>
                <w:sz w:val="21"/>
                <w:szCs w:val="21"/>
                <w:lang w:eastAsia="zh-CN"/>
              </w:rPr>
            </w:pPr>
            <w:r>
              <w:rPr>
                <w:rFonts w:hint="eastAsia" w:ascii="宋体" w:hAnsi="宋体" w:eastAsia="宋体" w:cs="宋体"/>
                <w:color w:val="auto"/>
                <w:sz w:val="21"/>
                <w:szCs w:val="21"/>
              </w:rPr>
              <w:t>进行处理，用作</w:t>
            </w:r>
            <w:r>
              <w:rPr>
                <w:rFonts w:hint="eastAsia" w:ascii="宋体" w:hAnsi="宋体" w:eastAsia="宋体" w:cs="宋体"/>
                <w:color w:val="auto"/>
                <w:sz w:val="21"/>
                <w:szCs w:val="21"/>
                <w:lang w:eastAsia="zh-CN"/>
              </w:rPr>
              <w:t>生产线回用和</w:t>
            </w:r>
            <w:r>
              <w:rPr>
                <w:rFonts w:hint="eastAsia" w:ascii="宋体" w:hAnsi="宋体" w:eastAsia="宋体" w:cs="宋体"/>
                <w:color w:val="auto"/>
                <w:sz w:val="21"/>
                <w:szCs w:val="21"/>
              </w:rPr>
              <w:t>厂区绿化</w:t>
            </w:r>
            <w:r>
              <w:rPr>
                <w:rFonts w:hint="eastAsia" w:ascii="宋体" w:hAnsi="宋体" w:eastAsia="宋体" w:cs="宋体"/>
                <w:color w:val="auto"/>
                <w:sz w:val="21"/>
                <w:szCs w:val="21"/>
                <w:lang w:eastAsia="zh-CN"/>
              </w:rPr>
              <w:t>林地灌溉</w:t>
            </w:r>
            <w:r>
              <w:rPr>
                <w:rFonts w:hint="eastAsia" w:ascii="宋体" w:hAnsi="宋体" w:eastAsia="宋体" w:cs="宋体"/>
                <w:color w:val="auto"/>
                <w:sz w:val="21"/>
                <w:szCs w:val="21"/>
              </w:rPr>
              <w:t>，无废水排放</w:t>
            </w:r>
            <w:r>
              <w:rPr>
                <w:rFonts w:hint="eastAsia" w:ascii="宋体" w:hAnsi="宋体" w:eastAsia="宋体" w:cs="宋体"/>
                <w:color w:val="auto"/>
                <w:sz w:val="21"/>
                <w:szCs w:val="21"/>
                <w:lang w:eastAsia="zh-CN"/>
              </w:rPr>
              <w:t>。</w:t>
            </w:r>
          </w:p>
        </w:tc>
        <w:tc>
          <w:tcPr>
            <w:tcW w:w="79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是</w:t>
            </w:r>
          </w:p>
        </w:tc>
      </w:tr>
    </w:tbl>
    <w:p>
      <w:pPr>
        <w:pStyle w:val="8"/>
        <w:bidi w:val="0"/>
        <w:rPr>
          <w:rFonts w:hint="eastAsia" w:cs="Times New Roman"/>
          <w:color w:val="auto"/>
        </w:rPr>
      </w:pPr>
      <w:r>
        <w:rPr>
          <w:rFonts w:hint="eastAsia" w:cs="Times New Roman"/>
          <w:color w:val="auto"/>
        </w:rPr>
        <w:t>与《水污染防治行动计划》符合性分析</w:t>
      </w:r>
    </w:p>
    <w:p>
      <w:pPr>
        <w:pStyle w:val="154"/>
        <w:ind w:firstLine="480"/>
        <w:rPr>
          <w:rFonts w:hint="default" w:ascii="Times New Roman" w:hAnsi="Times New Roman" w:eastAsia="宋体" w:cs="Times New Roman"/>
          <w:b/>
          <w:bCs/>
          <w:color w:val="auto"/>
          <w:lang w:val="en-US" w:eastAsia="zh-CN"/>
        </w:rPr>
      </w:pPr>
      <w:r>
        <w:rPr>
          <w:rFonts w:hint="eastAsia"/>
          <w:color w:val="auto"/>
        </w:rPr>
        <w:t>本项目与《水污染防治行动计划》（简称“水十条”）符合性分析见下表：</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本项目与《水污染防治行动计划》符合性分析</w:t>
      </w:r>
    </w:p>
    <w:tbl>
      <w:tblPr>
        <w:tblStyle w:val="88"/>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31"/>
        <w:gridCol w:w="4644"/>
        <w:gridCol w:w="1948"/>
        <w:gridCol w:w="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eastAsia" w:ascii="Times New Roman" w:hAnsi="Times New Roman" w:eastAsia="宋体" w:cs="Times New Roman"/>
                <w:b/>
                <w:bCs/>
                <w:color w:val="auto"/>
                <w:kern w:val="0"/>
              </w:rPr>
              <w:t>文件</w:t>
            </w:r>
          </w:p>
        </w:tc>
        <w:tc>
          <w:tcPr>
            <w:tcW w:w="464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eastAsia" w:ascii="Times New Roman" w:hAnsi="Times New Roman" w:eastAsia="宋体" w:cs="Times New Roman"/>
                <w:b/>
                <w:bCs/>
                <w:color w:val="auto"/>
                <w:kern w:val="0"/>
              </w:rPr>
              <w:t>要求</w:t>
            </w:r>
          </w:p>
        </w:tc>
        <w:tc>
          <w:tcPr>
            <w:tcW w:w="19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eastAsia" w:ascii="Times New Roman" w:hAnsi="Times New Roman" w:eastAsia="宋体" w:cs="Times New Roman"/>
                <w:b/>
                <w:bCs/>
                <w:color w:val="auto"/>
                <w:kern w:val="0"/>
              </w:rPr>
              <w:t>本项目</w:t>
            </w:r>
          </w:p>
        </w:tc>
        <w:tc>
          <w:tcPr>
            <w:tcW w:w="79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rPr>
            </w:pPr>
            <w:r>
              <w:rPr>
                <w:rFonts w:hint="eastAsia" w:ascii="Times New Roman" w:hAnsi="Times New Roman" w:eastAsia="宋体" w:cs="Times New Roman"/>
                <w:b/>
                <w:bCs/>
                <w:color w:val="auto"/>
                <w:kern w:val="0"/>
              </w:rPr>
              <w:t>是否符合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2" w:hRule="atLeast"/>
        </w:trPr>
        <w:tc>
          <w:tcPr>
            <w:tcW w:w="1131"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rPr>
              <w:t>《水污染防治行动计划》</w:t>
            </w:r>
          </w:p>
        </w:tc>
        <w:tc>
          <w:tcPr>
            <w:tcW w:w="464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rPr>
              <w:t>（三）推进农业农村污染防治。…自2016年起，新建、改建、扩建规模化畜禽养殖场（小区）要实施雨污分流、粪便污水资源化利用。</w:t>
            </w:r>
          </w:p>
        </w:tc>
        <w:tc>
          <w:tcPr>
            <w:tcW w:w="1948"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0"/>
              </w:rPr>
            </w:pPr>
            <w:r>
              <w:rPr>
                <w:rFonts w:hint="default" w:ascii="Times New Roman" w:hAnsi="Times New Roman" w:eastAsia="宋体" w:cs="Times New Roman"/>
                <w:color w:val="auto"/>
              </w:rPr>
              <w:t>本项目属新建规</w:t>
            </w:r>
            <w:r>
              <w:rPr>
                <w:rFonts w:hint="default" w:ascii="Times New Roman" w:hAnsi="Times New Roman" w:eastAsia="宋体" w:cs="Times New Roman"/>
                <w:color w:val="auto"/>
                <w:lang w:eastAsia="zh-CN"/>
              </w:rPr>
              <w:t>模</w:t>
            </w:r>
            <w:r>
              <w:rPr>
                <w:rFonts w:hint="default" w:ascii="Times New Roman" w:hAnsi="Times New Roman" w:eastAsia="宋体" w:cs="Times New Roman"/>
                <w:color w:val="auto"/>
              </w:rPr>
              <w:t>化畜禽养殖场，本项目实施雨污分流，粪污进行资源化利用。</w:t>
            </w:r>
          </w:p>
        </w:tc>
        <w:tc>
          <w:tcPr>
            <w:tcW w:w="79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32" w:hRule="atLeast"/>
        </w:trPr>
        <w:tc>
          <w:tcPr>
            <w:tcW w:w="1131"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p>
        </w:tc>
        <w:tc>
          <w:tcPr>
            <w:tcW w:w="464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p>
        </w:tc>
        <w:tc>
          <w:tcPr>
            <w:tcW w:w="1948"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p>
        </w:tc>
        <w:tc>
          <w:tcPr>
            <w:tcW w:w="79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p>
        </w:tc>
      </w:tr>
    </w:tbl>
    <w:p>
      <w:pPr>
        <w:pStyle w:val="154"/>
        <w:ind w:firstLine="480"/>
        <w:rPr>
          <w:color w:val="auto"/>
        </w:rPr>
      </w:pPr>
      <w:r>
        <w:rPr>
          <w:bCs/>
          <w:color w:val="auto"/>
        </w:rPr>
        <w:t>通过上表分析可知，</w:t>
      </w:r>
      <w:r>
        <w:rPr>
          <w:rFonts w:hint="eastAsia"/>
          <w:color w:val="auto"/>
          <w:kern w:val="0"/>
        </w:rPr>
        <w:t>本项目符合</w:t>
      </w:r>
      <w:r>
        <w:rPr>
          <w:rFonts w:hint="eastAsia"/>
          <w:color w:val="auto"/>
        </w:rPr>
        <w:t>《水污染防治行动计划》</w:t>
      </w:r>
      <w:r>
        <w:rPr>
          <w:rFonts w:hint="eastAsia"/>
          <w:color w:val="auto"/>
          <w:kern w:val="0"/>
        </w:rPr>
        <w:t>的要求。</w:t>
      </w:r>
    </w:p>
    <w:p>
      <w:pPr>
        <w:pStyle w:val="8"/>
        <w:bidi w:val="0"/>
        <w:rPr>
          <w:rFonts w:hint="eastAsia" w:cs="Times New Roman"/>
          <w:color w:val="auto"/>
        </w:rPr>
      </w:pPr>
      <w:r>
        <w:rPr>
          <w:rFonts w:hint="eastAsia" w:cs="Times New Roman"/>
          <w:color w:val="auto"/>
        </w:rPr>
        <w:t>与《土壤污染防治行动计划》和《土壤污染防治行动计划四川省工作方案》符合性分析</w:t>
      </w:r>
    </w:p>
    <w:p>
      <w:pPr>
        <w:pStyle w:val="154"/>
        <w:ind w:firstLine="480"/>
        <w:rPr>
          <w:rFonts w:hint="default" w:ascii="Times New Roman" w:hAnsi="Times New Roman" w:eastAsia="宋体" w:cs="Times New Roman"/>
          <w:b/>
          <w:bCs/>
          <w:color w:val="auto"/>
          <w:lang w:val="en-US" w:eastAsia="zh-CN"/>
        </w:rPr>
      </w:pPr>
      <w:r>
        <w:rPr>
          <w:rFonts w:hint="eastAsia"/>
          <w:color w:val="auto"/>
        </w:rPr>
        <w:t>本项目与《土壤污染防治行动计划》（简称“土十条”）和《土壤污染防治行动计划四川省工作方案》符合性分析见下表：</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本</w:t>
      </w:r>
      <w:r>
        <w:rPr>
          <w:rFonts w:hint="default" w:ascii="Times New Roman" w:hAnsi="Times New Roman" w:eastAsia="宋体" w:cs="Times New Roman"/>
          <w:b/>
          <w:bCs/>
          <w:color w:val="auto"/>
        </w:rPr>
        <w:t>项目与《土壤污染防治行动计划》和《土壤污染防治行动计划四川省工作方案》符合性分析</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132"/>
        <w:gridCol w:w="4644"/>
        <w:gridCol w:w="1947"/>
        <w:gridCol w:w="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6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ascii="Times New Roman" w:hAnsi="Times New Roman" w:eastAsia="宋体" w:cs="Times New Roman"/>
                <w:color w:val="auto"/>
                <w:kern w:val="0"/>
              </w:rPr>
              <w:t>文件</w:t>
            </w:r>
          </w:p>
        </w:tc>
        <w:tc>
          <w:tcPr>
            <w:tcW w:w="27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ascii="Times New Roman" w:hAnsi="Times New Roman" w:eastAsia="宋体" w:cs="Times New Roman"/>
                <w:color w:val="auto"/>
                <w:kern w:val="0"/>
              </w:rPr>
              <w:t>要求</w:t>
            </w:r>
          </w:p>
        </w:tc>
        <w:tc>
          <w:tcPr>
            <w:tcW w:w="1142"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ascii="Times New Roman" w:hAnsi="Times New Roman" w:eastAsia="宋体" w:cs="Times New Roman"/>
                <w:color w:val="auto"/>
                <w:kern w:val="0"/>
              </w:rPr>
              <w:t>本项目</w:t>
            </w:r>
          </w:p>
        </w:tc>
        <w:tc>
          <w:tcPr>
            <w:tcW w:w="468"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ascii="Times New Roman" w:hAnsi="Times New Roman" w:eastAsia="宋体" w:cs="Times New Roman"/>
                <w:color w:val="auto"/>
                <w:kern w:val="0"/>
              </w:rPr>
              <w:t>是否符合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6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r>
              <w:rPr>
                <w:rFonts w:hint="eastAsia" w:ascii="宋体" w:hAnsi="宋体" w:eastAsia="宋体" w:cs="宋体"/>
                <w:color w:val="auto"/>
              </w:rPr>
              <w:t>《土壤污染防治行动计划</w:t>
            </w:r>
            <w:r>
              <w:rPr>
                <w:rFonts w:hint="eastAsia" w:ascii="Times New Roman" w:hAnsi="Times New Roman" w:cs="Times New Roman"/>
                <w:color w:val="auto"/>
              </w:rPr>
              <w:t>》</w:t>
            </w:r>
          </w:p>
        </w:tc>
        <w:tc>
          <w:tcPr>
            <w:tcW w:w="2724" w:type="pct"/>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left"/>
              <w:rPr>
                <w:rFonts w:hint="default"/>
                <w:color w:val="auto"/>
                <w:kern w:val="0"/>
              </w:rPr>
            </w:pPr>
            <w:r>
              <w:rPr>
                <w:rFonts w:hint="default"/>
                <w:color w:val="auto"/>
                <w:sz w:val="21"/>
                <w:szCs w:val="21"/>
              </w:rPr>
              <w:t>强化畜禽养殖污染防治。严格规范兽药、饲料添加剂的生产和使用，防止过量使用，促进源头减量。加强畜禽粪便综合利用，在部分生猪大县开展种养业有机结合、循环发展试点。鼓励支持畜禽粪便处理利用设施建设，到2020年，规模化养殖场、养殖小区配套建设废弃物处理设施比例达到75%以上。</w:t>
            </w:r>
          </w:p>
        </w:tc>
        <w:tc>
          <w:tcPr>
            <w:tcW w:w="1142" w:type="pct"/>
            <w:vMerge w:val="restart"/>
            <w:tcBorders>
              <w:tl2br w:val="nil"/>
              <w:tr2bl w:val="nil"/>
            </w:tcBorders>
            <w:vAlign w:val="center"/>
          </w:tcPr>
          <w:p>
            <w:pPr>
              <w:pStyle w:val="154"/>
              <w:keepNext w:val="0"/>
              <w:keepLines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default"/>
                <w:color w:val="auto"/>
                <w:sz w:val="21"/>
                <w:szCs w:val="21"/>
              </w:rPr>
              <w:t>1</w:t>
            </w:r>
            <w:r>
              <w:rPr>
                <w:rFonts w:hint="eastAsia"/>
                <w:color w:val="auto"/>
                <w:sz w:val="21"/>
                <w:szCs w:val="21"/>
              </w:rPr>
              <w:t>、本项目运营过程中严格规范兽药、饲料添加剂的使用，</w:t>
            </w:r>
            <w:r>
              <w:rPr>
                <w:rFonts w:hint="default"/>
                <w:color w:val="auto"/>
                <w:sz w:val="21"/>
                <w:szCs w:val="21"/>
              </w:rPr>
              <w:t>防止</w:t>
            </w:r>
            <w:r>
              <w:rPr>
                <w:rFonts w:hint="eastAsia"/>
                <w:color w:val="auto"/>
                <w:sz w:val="21"/>
                <w:szCs w:val="21"/>
              </w:rPr>
              <w:t>过渡使用。</w:t>
            </w:r>
          </w:p>
          <w:p>
            <w:pPr>
              <w:pStyle w:val="154"/>
              <w:keepNext w:val="0"/>
              <w:keepLines w:val="0"/>
              <w:suppressLineNumbers w:val="0"/>
              <w:spacing w:before="0" w:beforeAutospacing="0" w:after="0" w:afterAutospacing="0" w:line="240" w:lineRule="auto"/>
              <w:ind w:left="0" w:right="0" w:firstLine="0" w:firstLineChars="0"/>
              <w:jc w:val="left"/>
              <w:rPr>
                <w:rFonts w:hint="default"/>
                <w:color w:val="auto"/>
                <w:kern w:val="0"/>
                <w:sz w:val="21"/>
                <w:szCs w:val="21"/>
              </w:rPr>
            </w:pPr>
            <w:r>
              <w:rPr>
                <w:rFonts w:hint="default"/>
                <w:color w:val="auto"/>
                <w:sz w:val="21"/>
                <w:szCs w:val="21"/>
              </w:rPr>
              <w:t>2</w:t>
            </w:r>
            <w:r>
              <w:rPr>
                <w:rFonts w:hint="eastAsia"/>
                <w:color w:val="auto"/>
                <w:sz w:val="21"/>
                <w:szCs w:val="21"/>
              </w:rPr>
              <w:t>、</w:t>
            </w:r>
            <w:r>
              <w:rPr>
                <w:rFonts w:hint="eastAsia" w:ascii="宋体" w:hAnsi="宋体" w:cs="宋体"/>
                <w:color w:val="auto"/>
                <w:sz w:val="21"/>
              </w:rPr>
              <w:t>本项目粪污去</w:t>
            </w:r>
            <w:r>
              <w:rPr>
                <w:rFonts w:hint="eastAsia" w:ascii="宋体" w:hAnsi="宋体" w:cs="宋体"/>
                <w:color w:val="auto"/>
                <w:sz w:val="21"/>
                <w:lang w:eastAsia="zh-CN"/>
              </w:rPr>
              <w:t>有机肥发酵罐</w:t>
            </w:r>
            <w:r>
              <w:rPr>
                <w:rFonts w:hint="eastAsia" w:ascii="宋体" w:hAnsi="宋体" w:cs="宋体"/>
                <w:color w:val="auto"/>
                <w:sz w:val="21"/>
              </w:rPr>
              <w:t>。</w:t>
            </w:r>
          </w:p>
        </w:tc>
        <w:tc>
          <w:tcPr>
            <w:tcW w:w="468"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eastAsia" w:ascii="Times New Roman" w:hAnsi="Times New Roman" w:eastAsia="宋体" w:cs="Times New Roman"/>
                <w:color w:val="auto"/>
                <w:kern w:val="0"/>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68" w:hRule="atLeast"/>
        </w:trPr>
        <w:tc>
          <w:tcPr>
            <w:tcW w:w="66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r>
              <w:rPr>
                <w:rFonts w:hint="eastAsia"/>
                <w:color w:val="auto"/>
              </w:rPr>
              <w:t>《土壤污染防治行动计划四川省工作方案》</w:t>
            </w:r>
          </w:p>
        </w:tc>
        <w:tc>
          <w:tcPr>
            <w:tcW w:w="272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r>
              <w:rPr>
                <w:rFonts w:hint="default" w:ascii="Times New Roman" w:hAnsi="Times New Roman"/>
                <w:color w:val="auto"/>
              </w:rPr>
              <w:t>强化畜禽养殖污染防治。严格规范兽药、饲料添加剂的生产和使用，建立兽药</w:t>
            </w:r>
            <w:r>
              <w:rPr>
                <w:rFonts w:hint="eastAsia" w:ascii="Times New Roman" w:hAnsi="Times New Roman"/>
                <w:color w:val="auto"/>
              </w:rPr>
              <w:t>、</w:t>
            </w:r>
            <w:r>
              <w:rPr>
                <w:rFonts w:hint="default" w:ascii="Times New Roman" w:hAnsi="Times New Roman"/>
                <w:color w:val="auto"/>
              </w:rPr>
              <w:t>饲料添加剂的销售管控体系</w:t>
            </w:r>
            <w:r>
              <w:rPr>
                <w:rFonts w:hint="eastAsia" w:ascii="Times New Roman" w:hAnsi="Times New Roman"/>
                <w:color w:val="auto"/>
              </w:rPr>
              <w:t>，</w:t>
            </w:r>
            <w:r>
              <w:rPr>
                <w:rFonts w:hint="default" w:ascii="Times New Roman" w:hAnsi="Times New Roman"/>
                <w:color w:val="auto"/>
              </w:rPr>
              <w:t>防止过量使用，促进源头减量。加强畜禽粪便综合利用，在部分生猪大县开展种养业有机结合、循环发展试点</w:t>
            </w:r>
            <w:r>
              <w:rPr>
                <w:rFonts w:hint="eastAsia" w:ascii="Times New Roman" w:hAnsi="Times New Roman"/>
                <w:color w:val="auto"/>
              </w:rPr>
              <w:t>，</w:t>
            </w:r>
            <w:r>
              <w:rPr>
                <w:rFonts w:hint="default" w:ascii="Times New Roman" w:hAnsi="Times New Roman"/>
                <w:color w:val="auto"/>
              </w:rPr>
              <w:t>采用政府和社会资本合作</w:t>
            </w:r>
            <w:r>
              <w:rPr>
                <w:rFonts w:hint="eastAsia" w:ascii="Times New Roman" w:hAnsi="Times New Roman"/>
                <w:color w:val="auto"/>
              </w:rPr>
              <w:t>（PPP）模式推进畜禽粪便综合利用，逐步扩大实施范围。开展畜牧业绿色示范县（市、区）创建活动，鼓励支持规模化养殖场、养殖小区畜禽粪便处理利用设施建设。到2020年，力争创建10个畜牧业绿色示范县（市、区），规模化</w:t>
            </w:r>
            <w:r>
              <w:rPr>
                <w:rFonts w:hint="default" w:ascii="Times New Roman" w:hAnsi="Times New Roman"/>
                <w:color w:val="auto"/>
              </w:rPr>
              <w:t>养殖场、养殖小区配套自建或可依托的废弃物处理设施比例达到75%以上。</w:t>
            </w:r>
          </w:p>
        </w:tc>
        <w:tc>
          <w:tcPr>
            <w:tcW w:w="1142" w:type="pct"/>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rPr>
            </w:pPr>
          </w:p>
        </w:tc>
        <w:tc>
          <w:tcPr>
            <w:tcW w:w="468"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是</w:t>
            </w:r>
          </w:p>
        </w:tc>
      </w:tr>
    </w:tbl>
    <w:p>
      <w:pPr>
        <w:pStyle w:val="154"/>
        <w:ind w:firstLine="480"/>
        <w:rPr>
          <w:color w:val="auto"/>
        </w:rPr>
      </w:pPr>
      <w:r>
        <w:rPr>
          <w:bCs/>
          <w:color w:val="auto"/>
        </w:rPr>
        <w:t>通过上表分析可知，</w:t>
      </w:r>
      <w:r>
        <w:rPr>
          <w:rFonts w:hint="eastAsia"/>
          <w:color w:val="auto"/>
          <w:kern w:val="0"/>
        </w:rPr>
        <w:t>本项目符合</w:t>
      </w:r>
      <w:r>
        <w:rPr>
          <w:rFonts w:hint="eastAsia"/>
          <w:color w:val="auto"/>
        </w:rPr>
        <w:t>《土壤污染防治行动计划》和《土壤污染防治行动计划四川省工作方案》</w:t>
      </w:r>
      <w:r>
        <w:rPr>
          <w:rFonts w:hint="eastAsia"/>
          <w:color w:val="auto"/>
          <w:kern w:val="0"/>
        </w:rPr>
        <w:t>的要求。</w:t>
      </w:r>
    </w:p>
    <w:p>
      <w:pPr>
        <w:pStyle w:val="8"/>
        <w:bidi w:val="0"/>
        <w:rPr>
          <w:rFonts w:hint="eastAsia" w:cs="Times New Roman"/>
          <w:color w:val="auto"/>
        </w:rPr>
      </w:pPr>
      <w:r>
        <w:rPr>
          <w:rFonts w:hint="eastAsia" w:cs="Times New Roman"/>
          <w:color w:val="auto"/>
        </w:rPr>
        <w:t>与《畜禽规模养殖污染防治条例》符合性</w:t>
      </w:r>
    </w:p>
    <w:p>
      <w:pPr>
        <w:pStyle w:val="1385"/>
        <w:ind w:firstLine="480"/>
        <w:rPr>
          <w:rFonts w:hint="default" w:ascii="Times New Roman" w:hAnsi="Times New Roman" w:eastAsia="宋体" w:cs="Times New Roman"/>
          <w:b/>
          <w:bCs/>
          <w:color w:val="auto"/>
          <w:lang w:val="en-US" w:eastAsia="zh-CN"/>
        </w:rPr>
      </w:pPr>
      <w:r>
        <w:rPr>
          <w:rFonts w:hint="eastAsia"/>
          <w:color w:val="auto"/>
        </w:rPr>
        <w:t>根据中华人民共和国国务院令第</w:t>
      </w:r>
      <w:r>
        <w:rPr>
          <w:color w:val="auto"/>
        </w:rPr>
        <w:t>643</w:t>
      </w:r>
      <w:r>
        <w:rPr>
          <w:rFonts w:hint="eastAsia"/>
          <w:color w:val="auto"/>
        </w:rPr>
        <w:t>号《畜禽规模养殖污染防治条例》，结合本项目的实际情况，其选址符合性分析如下表所示。</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bookmarkStart w:id="106" w:name="_Ref456722254"/>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项目与《畜禽规模养殖污染防治条例》符合情况一览表</w:t>
      </w:r>
      <w:bookmarkEnd w:id="106"/>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35"/>
        <w:gridCol w:w="4163"/>
        <w:gridCol w:w="3103"/>
        <w:gridCol w:w="6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序号</w:t>
            </w:r>
          </w:p>
        </w:tc>
        <w:tc>
          <w:tcPr>
            <w:tcW w:w="2506" w:type="pct"/>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《畜禽规模养殖污染防治条例》相关要求</w:t>
            </w:r>
          </w:p>
        </w:tc>
        <w:tc>
          <w:tcPr>
            <w:tcW w:w="1868" w:type="pct"/>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本项目情况</w:t>
            </w:r>
          </w:p>
        </w:tc>
        <w:tc>
          <w:tcPr>
            <w:tcW w:w="362" w:type="pct"/>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1</w:t>
            </w:r>
          </w:p>
        </w:tc>
        <w:tc>
          <w:tcPr>
            <w:tcW w:w="2506"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第十一条：禁止在下列区域内建设畜禽养殖场、养殖小区：（一）饮用水水源保护区，风景名胜区；（二）自然保护区的核心区和缓冲区；（三）城镇居民区、文化教育科学研究区等人口集中区域；（四）法律、法规规定的其他禁止</w:t>
            </w:r>
            <w:r>
              <w:rPr>
                <w:rFonts w:hint="default" w:ascii="Times New Roman" w:hAnsi="Times New Roman"/>
                <w:color w:val="auto"/>
                <w:sz w:val="21"/>
              </w:rPr>
              <w:t xml:space="preserve"> </w:t>
            </w:r>
            <w:r>
              <w:rPr>
                <w:rFonts w:hint="eastAsia" w:ascii="Times New Roman" w:hAnsi="Times New Roman"/>
                <w:color w:val="auto"/>
                <w:sz w:val="21"/>
              </w:rPr>
              <w:t>养殖区域。</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不在禁止建设区域</w:t>
            </w:r>
          </w:p>
        </w:tc>
        <w:tc>
          <w:tcPr>
            <w:tcW w:w="362" w:type="pct"/>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2</w:t>
            </w:r>
          </w:p>
        </w:tc>
        <w:tc>
          <w:tcPr>
            <w:tcW w:w="2506"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第</w:t>
            </w:r>
            <w:r>
              <w:rPr>
                <w:rFonts w:hint="eastAsia" w:ascii="Times New Roman" w:hAnsi="Times New Roman"/>
                <w:color w:val="auto"/>
                <w:spacing w:val="3"/>
                <w:sz w:val="21"/>
              </w:rPr>
              <w:t>十</w:t>
            </w:r>
            <w:r>
              <w:rPr>
                <w:rFonts w:hint="eastAsia" w:ascii="Times New Roman" w:hAnsi="Times New Roman"/>
                <w:color w:val="auto"/>
                <w:sz w:val="21"/>
              </w:rPr>
              <w:t>二</w:t>
            </w:r>
            <w:r>
              <w:rPr>
                <w:rFonts w:hint="eastAsia" w:ascii="Times New Roman" w:hAnsi="Times New Roman"/>
                <w:color w:val="auto"/>
                <w:spacing w:val="4"/>
                <w:sz w:val="21"/>
              </w:rPr>
              <w:t>条</w:t>
            </w:r>
            <w:r>
              <w:rPr>
                <w:rFonts w:hint="eastAsia" w:ascii="Times New Roman" w:hAnsi="Times New Roman"/>
                <w:color w:val="auto"/>
                <w:spacing w:val="-8"/>
                <w:sz w:val="21"/>
              </w:rPr>
              <w:t>：</w:t>
            </w:r>
            <w:r>
              <w:rPr>
                <w:rFonts w:hint="eastAsia" w:ascii="Times New Roman" w:hAnsi="Times New Roman"/>
                <w:color w:val="auto"/>
                <w:sz w:val="21"/>
              </w:rPr>
              <w:t>新建</w:t>
            </w:r>
            <w:r>
              <w:rPr>
                <w:rFonts w:hint="eastAsia" w:ascii="Times New Roman" w:hAnsi="Times New Roman"/>
                <w:color w:val="auto"/>
                <w:spacing w:val="-8"/>
                <w:sz w:val="21"/>
              </w:rPr>
              <w:t>、</w:t>
            </w:r>
            <w:r>
              <w:rPr>
                <w:rFonts w:hint="eastAsia" w:ascii="Times New Roman" w:hAnsi="Times New Roman"/>
                <w:color w:val="auto"/>
                <w:sz w:val="21"/>
              </w:rPr>
              <w:t>改建</w:t>
            </w:r>
            <w:r>
              <w:rPr>
                <w:rFonts w:hint="eastAsia" w:ascii="Times New Roman" w:hAnsi="Times New Roman"/>
                <w:color w:val="auto"/>
                <w:spacing w:val="-8"/>
                <w:sz w:val="21"/>
              </w:rPr>
              <w:t>、</w:t>
            </w:r>
            <w:r>
              <w:rPr>
                <w:rFonts w:hint="eastAsia" w:ascii="Times New Roman" w:hAnsi="Times New Roman"/>
                <w:color w:val="auto"/>
                <w:sz w:val="21"/>
              </w:rPr>
              <w:t>扩建畜禽养殖场</w:t>
            </w:r>
            <w:r>
              <w:rPr>
                <w:rFonts w:hint="eastAsia" w:ascii="Times New Roman" w:hAnsi="Times New Roman"/>
                <w:color w:val="auto"/>
                <w:spacing w:val="-12"/>
                <w:sz w:val="21"/>
              </w:rPr>
              <w:t>、</w:t>
            </w:r>
            <w:r>
              <w:rPr>
                <w:rFonts w:hint="eastAsia" w:ascii="Times New Roman" w:hAnsi="Times New Roman"/>
                <w:color w:val="auto"/>
                <w:sz w:val="21"/>
              </w:rPr>
              <w:t>养殖小区</w:t>
            </w:r>
            <w:r>
              <w:rPr>
                <w:rFonts w:hint="eastAsia" w:ascii="Times New Roman" w:hAnsi="Times New Roman"/>
                <w:color w:val="auto"/>
                <w:spacing w:val="-12"/>
                <w:sz w:val="21"/>
              </w:rPr>
              <w:t>，</w:t>
            </w:r>
            <w:r>
              <w:rPr>
                <w:rFonts w:hint="eastAsia" w:ascii="Times New Roman" w:hAnsi="Times New Roman"/>
                <w:color w:val="auto"/>
                <w:sz w:val="21"/>
              </w:rPr>
              <w:t>应当符合畜牧业发展规划</w:t>
            </w:r>
            <w:r>
              <w:rPr>
                <w:rFonts w:hint="eastAsia" w:ascii="Times New Roman" w:hAnsi="Times New Roman"/>
                <w:color w:val="auto"/>
                <w:spacing w:val="-12"/>
                <w:sz w:val="21"/>
              </w:rPr>
              <w:t>、</w:t>
            </w:r>
            <w:r>
              <w:rPr>
                <w:rFonts w:hint="eastAsia" w:ascii="Times New Roman" w:hAnsi="Times New Roman"/>
                <w:color w:val="auto"/>
                <w:sz w:val="21"/>
              </w:rPr>
              <w:t>畜禽养殖污染防治规划</w:t>
            </w:r>
            <w:r>
              <w:rPr>
                <w:rFonts w:hint="eastAsia" w:ascii="Times New Roman" w:hAnsi="Times New Roman"/>
                <w:color w:val="auto"/>
                <w:spacing w:val="-12"/>
                <w:sz w:val="21"/>
              </w:rPr>
              <w:t>，</w:t>
            </w:r>
            <w:r>
              <w:rPr>
                <w:rFonts w:hint="eastAsia" w:ascii="Times New Roman" w:hAnsi="Times New Roman"/>
                <w:color w:val="auto"/>
                <w:sz w:val="21"/>
              </w:rPr>
              <w:t>满足动物防疫条件</w:t>
            </w:r>
            <w:r>
              <w:rPr>
                <w:rFonts w:hint="eastAsia" w:ascii="Times New Roman" w:hAnsi="Times New Roman"/>
                <w:color w:val="auto"/>
                <w:spacing w:val="-12"/>
                <w:sz w:val="21"/>
              </w:rPr>
              <w:t>，</w:t>
            </w:r>
            <w:r>
              <w:rPr>
                <w:rFonts w:hint="eastAsia" w:ascii="Times New Roman" w:hAnsi="Times New Roman"/>
                <w:color w:val="auto"/>
                <w:sz w:val="21"/>
              </w:rPr>
              <w:t>并进行环境影响评价</w:t>
            </w:r>
            <w:r>
              <w:rPr>
                <w:rFonts w:hint="eastAsia" w:ascii="Times New Roman" w:hAnsi="Times New Roman"/>
                <w:color w:val="auto"/>
                <w:spacing w:val="-12"/>
                <w:sz w:val="21"/>
              </w:rPr>
              <w:t>。</w:t>
            </w:r>
            <w:r>
              <w:rPr>
                <w:rFonts w:hint="eastAsia" w:ascii="Times New Roman" w:hAnsi="Times New Roman"/>
                <w:color w:val="auto"/>
                <w:sz w:val="21"/>
              </w:rPr>
              <w:t>对环</w:t>
            </w:r>
            <w:r>
              <w:rPr>
                <w:rFonts w:hint="eastAsia" w:ascii="Times New Roman" w:hAnsi="Times New Roman"/>
                <w:color w:val="auto"/>
                <w:spacing w:val="12"/>
                <w:sz w:val="21"/>
              </w:rPr>
              <w:t>境可能造成重大影响的大型畜禽养殖</w:t>
            </w:r>
            <w:r>
              <w:rPr>
                <w:rFonts w:hint="eastAsia" w:ascii="Times New Roman" w:hAnsi="Times New Roman"/>
                <w:color w:val="auto"/>
                <w:sz w:val="21"/>
              </w:rPr>
              <w:t>场</w:t>
            </w:r>
            <w:r>
              <w:rPr>
                <w:rFonts w:hint="eastAsia" w:ascii="Times New Roman" w:hAnsi="Times New Roman"/>
                <w:color w:val="auto"/>
                <w:spacing w:val="-12"/>
                <w:sz w:val="21"/>
              </w:rPr>
              <w:t>、</w:t>
            </w:r>
            <w:r>
              <w:rPr>
                <w:rFonts w:hint="eastAsia" w:ascii="Times New Roman" w:hAnsi="Times New Roman"/>
                <w:color w:val="auto"/>
                <w:sz w:val="21"/>
              </w:rPr>
              <w:t>养殖小区</w:t>
            </w:r>
            <w:r>
              <w:rPr>
                <w:rFonts w:hint="eastAsia" w:ascii="Times New Roman" w:hAnsi="Times New Roman"/>
                <w:color w:val="auto"/>
                <w:spacing w:val="-12"/>
                <w:sz w:val="21"/>
              </w:rPr>
              <w:t>，</w:t>
            </w:r>
            <w:r>
              <w:rPr>
                <w:rFonts w:hint="eastAsia" w:ascii="Times New Roman" w:hAnsi="Times New Roman"/>
                <w:color w:val="auto"/>
                <w:sz w:val="21"/>
              </w:rPr>
              <w:t>应当编制环境影响报告书</w:t>
            </w:r>
            <w:r>
              <w:rPr>
                <w:rFonts w:hint="eastAsia" w:ascii="Times New Roman" w:hAnsi="Times New Roman"/>
                <w:color w:val="auto"/>
                <w:spacing w:val="-12"/>
                <w:sz w:val="21"/>
              </w:rPr>
              <w:t>；</w:t>
            </w:r>
            <w:r>
              <w:rPr>
                <w:rFonts w:hint="eastAsia" w:ascii="Times New Roman" w:hAnsi="Times New Roman"/>
                <w:color w:val="auto"/>
                <w:sz w:val="21"/>
              </w:rPr>
              <w:t>其他畜禽养殖场</w:t>
            </w:r>
            <w:r>
              <w:rPr>
                <w:rFonts w:hint="eastAsia" w:ascii="Times New Roman" w:hAnsi="Times New Roman"/>
                <w:color w:val="auto"/>
                <w:spacing w:val="-12"/>
                <w:sz w:val="21"/>
              </w:rPr>
              <w:t>、</w:t>
            </w:r>
            <w:r>
              <w:rPr>
                <w:rFonts w:hint="eastAsia" w:ascii="Times New Roman" w:hAnsi="Times New Roman"/>
                <w:color w:val="auto"/>
                <w:sz w:val="21"/>
              </w:rPr>
              <w:t>养殖小区应当填报环境影响登记表。</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本项目属于新建</w:t>
            </w:r>
            <w:r>
              <w:rPr>
                <w:rFonts w:hint="eastAsia" w:ascii="Times New Roman" w:hAnsi="Times New Roman"/>
                <w:color w:val="auto"/>
                <w:spacing w:val="3"/>
                <w:sz w:val="21"/>
              </w:rPr>
              <w:t>的</w:t>
            </w:r>
            <w:r>
              <w:rPr>
                <w:rFonts w:hint="eastAsia" w:ascii="Times New Roman" w:hAnsi="Times New Roman"/>
                <w:color w:val="auto"/>
                <w:sz w:val="21"/>
              </w:rPr>
              <w:t>畜禽养殖场</w:t>
            </w:r>
            <w:r>
              <w:rPr>
                <w:rFonts w:hint="eastAsia" w:ascii="Times New Roman" w:hAnsi="Times New Roman"/>
                <w:color w:val="auto"/>
                <w:spacing w:val="3"/>
                <w:sz w:val="21"/>
              </w:rPr>
              <w:t>，符</w:t>
            </w:r>
            <w:r>
              <w:rPr>
                <w:rFonts w:hint="eastAsia" w:ascii="Times New Roman" w:hAnsi="Times New Roman"/>
                <w:color w:val="auto"/>
                <w:sz w:val="21"/>
              </w:rPr>
              <w:t>合相关规划</w:t>
            </w:r>
            <w:r>
              <w:rPr>
                <w:rFonts w:hint="eastAsia" w:ascii="Times New Roman" w:hAnsi="Times New Roman"/>
                <w:color w:val="auto"/>
                <w:spacing w:val="3"/>
                <w:sz w:val="21"/>
              </w:rPr>
              <w:t>。</w:t>
            </w:r>
            <w:r>
              <w:rPr>
                <w:rFonts w:hint="eastAsia" w:ascii="Times New Roman" w:hAnsi="Times New Roman"/>
                <w:color w:val="auto"/>
                <w:sz w:val="21"/>
              </w:rPr>
              <w:t>本项目环境影响</w:t>
            </w:r>
            <w:r>
              <w:rPr>
                <w:rFonts w:hint="eastAsia" w:ascii="Times New Roman" w:hAnsi="Times New Roman"/>
                <w:color w:val="auto"/>
                <w:spacing w:val="3"/>
                <w:sz w:val="21"/>
              </w:rPr>
              <w:t>评</w:t>
            </w:r>
            <w:r>
              <w:rPr>
                <w:rFonts w:hint="eastAsia" w:ascii="Times New Roman" w:hAnsi="Times New Roman"/>
                <w:color w:val="auto"/>
                <w:sz w:val="21"/>
              </w:rPr>
              <w:t>价文件为环境影响报告书。</w:t>
            </w:r>
          </w:p>
        </w:tc>
        <w:tc>
          <w:tcPr>
            <w:tcW w:w="3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3</w:t>
            </w:r>
          </w:p>
        </w:tc>
        <w:tc>
          <w:tcPr>
            <w:tcW w:w="2506"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第十三条：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本项目建设有粪便、污水与雨水分流设施，厂内粪污去</w:t>
            </w:r>
            <w:r>
              <w:rPr>
                <w:rFonts w:hint="eastAsia" w:ascii="Times New Roman" w:hAnsi="Times New Roman"/>
                <w:color w:val="auto"/>
                <w:sz w:val="21"/>
                <w:lang w:eastAsia="zh-CN"/>
              </w:rPr>
              <w:t>异位发酵罐发酵</w:t>
            </w:r>
            <w:r>
              <w:rPr>
                <w:rFonts w:hint="eastAsia" w:ascii="Times New Roman" w:hAnsi="Times New Roman"/>
                <w:color w:val="auto"/>
                <w:sz w:val="21"/>
              </w:rPr>
              <w:t>处理，猪场内设有</w:t>
            </w:r>
            <w:r>
              <w:rPr>
                <w:rFonts w:hint="default" w:ascii="Times New Roman" w:hAnsi="Times New Roman"/>
                <w:color w:val="auto"/>
                <w:sz w:val="21"/>
              </w:rPr>
              <w:t>1</w:t>
            </w:r>
            <w:r>
              <w:rPr>
                <w:rFonts w:hint="eastAsia" w:ascii="Times New Roman" w:hAnsi="Times New Roman"/>
                <w:color w:val="auto"/>
                <w:sz w:val="21"/>
              </w:rPr>
              <w:t>个病死猪发酵处理车间，对病死猪进行无害化处理。</w:t>
            </w:r>
          </w:p>
        </w:tc>
        <w:tc>
          <w:tcPr>
            <w:tcW w:w="3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5</w:t>
            </w:r>
          </w:p>
        </w:tc>
        <w:tc>
          <w:tcPr>
            <w:tcW w:w="2506"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第十九条：从事畜禽养殖活动和畜禽养殖废弃物处理活动，应当及时对畜禽粪便、畜禽尸体、污水等进行收集、贮存、清运，防止恶臭和畜禽养殖废弃物渗出、泄漏。</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宋体" w:hAnsi="宋体" w:eastAsia="宋体" w:cs="宋体"/>
                <w:color w:val="auto"/>
                <w:sz w:val="21"/>
                <w:szCs w:val="21"/>
              </w:rPr>
              <w:t>本项目畜禽粪便</w:t>
            </w:r>
            <w:r>
              <w:rPr>
                <w:rFonts w:hint="eastAsia" w:ascii="宋体" w:hAnsi="宋体" w:cs="宋体"/>
                <w:color w:val="auto"/>
                <w:sz w:val="21"/>
                <w:szCs w:val="21"/>
                <w:lang w:eastAsia="zh-CN"/>
              </w:rPr>
              <w:t>、病死猪处理后的残渣以及污水处理站的污泥残渣</w:t>
            </w:r>
            <w:r>
              <w:rPr>
                <w:rFonts w:hint="eastAsia" w:ascii="宋体" w:hAnsi="宋体" w:eastAsia="宋体" w:cs="宋体"/>
                <w:color w:val="auto"/>
                <w:sz w:val="21"/>
                <w:szCs w:val="21"/>
                <w:lang w:eastAsia="zh-CN"/>
              </w:rPr>
              <w:t>进入堆肥车间进行发酵罐发酵成有机肥外售</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养殖废水进入污水处理站，</w:t>
            </w:r>
            <w:r>
              <w:rPr>
                <w:rFonts w:hint="eastAsia" w:ascii="宋体" w:hAnsi="宋体" w:eastAsia="宋体" w:cs="宋体"/>
                <w:color w:val="auto"/>
                <w:sz w:val="21"/>
                <w:szCs w:val="21"/>
              </w:rPr>
              <w:t>可实现畜禽粪便、废水无害化。</w:t>
            </w:r>
          </w:p>
        </w:tc>
        <w:tc>
          <w:tcPr>
            <w:tcW w:w="3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6</w:t>
            </w:r>
          </w:p>
        </w:tc>
        <w:tc>
          <w:tcPr>
            <w:tcW w:w="2506"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第二十一条：染疫畜禽以及染疫畜禽排泄物、染疫畜禽产品、病死或者死因不明的畜禽尸体等病害畜禽养殖废弃物，应当按照有关法律、法规和国务院农牧主管部门的规定，进行深埋、化制、焚烧、发酵等无害化处理，不得随意处置。</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厂内设有</w:t>
            </w:r>
            <w:r>
              <w:rPr>
                <w:rFonts w:hint="default" w:ascii="Times New Roman" w:hAnsi="Times New Roman"/>
                <w:color w:val="auto"/>
                <w:sz w:val="21"/>
              </w:rPr>
              <w:t>1</w:t>
            </w:r>
            <w:r>
              <w:rPr>
                <w:rFonts w:hint="eastAsia" w:ascii="Times New Roman" w:hAnsi="Times New Roman"/>
                <w:color w:val="auto"/>
                <w:sz w:val="21"/>
              </w:rPr>
              <w:t>个病死猪发酵处理车间，对病死猪进行无害化处理。</w:t>
            </w:r>
          </w:p>
        </w:tc>
        <w:tc>
          <w:tcPr>
            <w:tcW w:w="3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bl>
    <w:p>
      <w:pPr>
        <w:pStyle w:val="1385"/>
        <w:ind w:firstLine="480"/>
        <w:rPr>
          <w:color w:val="auto"/>
        </w:rPr>
      </w:pPr>
      <w:r>
        <w:rPr>
          <w:rFonts w:hint="eastAsia"/>
          <w:color w:val="auto"/>
        </w:rPr>
        <w:t>因此，本项目符合《畜禽规模养殖污染防治条例》中相关要求。</w:t>
      </w:r>
    </w:p>
    <w:p>
      <w:pPr>
        <w:pStyle w:val="8"/>
        <w:bidi w:val="0"/>
        <w:rPr>
          <w:rFonts w:hint="eastAsia" w:cs="Times New Roman"/>
          <w:color w:val="auto"/>
        </w:rPr>
      </w:pPr>
      <w:r>
        <w:rPr>
          <w:rFonts w:hint="eastAsia" w:cs="Times New Roman"/>
          <w:color w:val="auto"/>
        </w:rPr>
        <w:t>与《国务院办公厅关于加快推进畜禽养殖废弃物资源化利用的意见》（国办发〔2017〕48号）符合性分析</w:t>
      </w:r>
    </w:p>
    <w:p>
      <w:pPr>
        <w:snapToGrid w:val="0"/>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根据《国务院办公厅关于加快推进畜禽养殖废弃物资源化利用的意见》（国办发〔2017〕48号）中的指导思想“全面贯彻党的十八大和十八届三中、四中、五中、六中全会精神……全面推进畜禽养殖废弃物资源化利用，加快构建种养结合、农牧循环的可持续发展新格局，为全面建成小康社会提供有力支撑”，及严格落实畜禽规模养殖环评制度中内容“新建或改扩建畜禽规模养殖场，应突出养分综合利用，配套与养殖规模和处理工艺相适应的粪污消纳用地，配备必要的粪污收集、贮存、处理、利用设施，依法进行环境影响评价”。</w:t>
      </w:r>
    </w:p>
    <w:p>
      <w:pPr>
        <w:snapToGrid w:val="0"/>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本项目</w:t>
      </w:r>
      <w:r>
        <w:rPr>
          <w:rFonts w:hint="eastAsia" w:ascii="Times New Roman" w:hAnsi="Times New Roman" w:cs="Times New Roman"/>
          <w:color w:val="auto"/>
          <w:sz w:val="24"/>
          <w:lang w:eastAsia="zh-CN"/>
        </w:rPr>
        <w:t>为</w:t>
      </w:r>
      <w:r>
        <w:rPr>
          <w:rFonts w:hint="eastAsia" w:ascii="Times New Roman" w:hAnsi="Times New Roman" w:cs="Times New Roman"/>
          <w:color w:val="auto"/>
          <w:sz w:val="24"/>
        </w:rPr>
        <w:t>新建畜禽规模养殖场，突出养分综合利用，配套了与养殖规模和处理工艺相适应的粪污消纳用地及必要的粪污收集、贮存、处理、利用设施，符合《国务院办公厅关于加快推进畜禽养殖废弃物资源化利用的意见》。</w:t>
      </w:r>
    </w:p>
    <w:p>
      <w:pPr>
        <w:pStyle w:val="8"/>
        <w:bidi w:val="0"/>
        <w:rPr>
          <w:rFonts w:hint="default" w:ascii="Times New Roman" w:hAnsi="Times New Roman" w:eastAsia="宋体" w:cs="Times New Roman"/>
          <w:color w:val="auto"/>
        </w:rPr>
      </w:pPr>
      <w:r>
        <w:rPr>
          <w:rFonts w:hint="default" w:ascii="Times New Roman" w:hAnsi="Times New Roman" w:eastAsia="宋体" w:cs="Times New Roman"/>
          <w:color w:val="auto"/>
        </w:rPr>
        <w:t>与《</w:t>
      </w:r>
      <w:r>
        <w:rPr>
          <w:rFonts w:hint="eastAsia" w:ascii="Times New Roman" w:hAnsi="Times New Roman" w:eastAsia="宋体" w:cs="Times New Roman"/>
          <w:color w:val="auto"/>
          <w:lang w:eastAsia="zh-CN"/>
        </w:rPr>
        <w:t>农</w:t>
      </w:r>
      <w:r>
        <w:rPr>
          <w:rFonts w:hint="default" w:ascii="Times New Roman" w:hAnsi="Times New Roman" w:eastAsia="宋体" w:cs="Times New Roman"/>
          <w:color w:val="auto"/>
        </w:rPr>
        <w:t>业农村部办公厅 生态环境部办公厅关于进一步明确畜禽粪污还田利用要求强化养殖污染监管的通知》（农办牧〔2020〕23号）符合性分析</w:t>
      </w:r>
    </w:p>
    <w:p>
      <w:pPr>
        <w:snapToGrid w:val="0"/>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rPr>
        <w:t>根据《</w:t>
      </w:r>
      <w:r>
        <w:rPr>
          <w:rFonts w:hint="eastAsia" w:ascii="Times New Roman" w:hAnsi="Times New Roman" w:cs="Times New Roman"/>
          <w:color w:val="auto"/>
          <w:sz w:val="24"/>
          <w:lang w:eastAsia="zh-CN"/>
        </w:rPr>
        <w:t>农</w:t>
      </w:r>
      <w:r>
        <w:rPr>
          <w:rFonts w:hint="eastAsia" w:ascii="Times New Roman" w:hAnsi="Times New Roman" w:cs="Times New Roman"/>
          <w:color w:val="auto"/>
          <w:sz w:val="24"/>
        </w:rPr>
        <w:t>业农村部办公厅 生态环境部办公厅关于进一步明确畜禽粪污还田利用要求强化养殖污染监管的通知》（农办牧〔2020〕23号）中的</w:t>
      </w:r>
      <w:r>
        <w:rPr>
          <w:rFonts w:hint="eastAsia" w:ascii="Times New Roman" w:hAnsi="Times New Roman" w:cs="Times New Roman"/>
          <w:color w:val="auto"/>
          <w:sz w:val="24"/>
          <w:lang w:eastAsia="zh-CN"/>
        </w:rPr>
        <w:t>相关通知。其符合性分析如下表所示。</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项目与《</w:t>
      </w:r>
      <w:r>
        <w:rPr>
          <w:rFonts w:hint="eastAsia" w:ascii="Times New Roman" w:hAnsi="Times New Roman" w:eastAsia="宋体" w:cs="Times New Roman"/>
          <w:b/>
          <w:bCs/>
          <w:color w:val="auto"/>
          <w:lang w:eastAsia="zh-CN"/>
        </w:rPr>
        <w:t>农</w:t>
      </w:r>
      <w:r>
        <w:rPr>
          <w:rFonts w:hint="default" w:ascii="Times New Roman" w:hAnsi="Times New Roman" w:eastAsia="宋体" w:cs="Times New Roman"/>
          <w:b/>
          <w:bCs/>
          <w:color w:val="auto"/>
        </w:rPr>
        <w:t>业农村部办公厅 生态环境部办公厅关于进一步明确畜禽粪污还田利用要求强化养殖污染监管的通知》符合情况一览表</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238"/>
        <w:gridCol w:w="599"/>
        <w:gridCol w:w="3913"/>
        <w:gridCol w:w="3299"/>
        <w:gridCol w:w="25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序号</w:t>
            </w:r>
          </w:p>
        </w:tc>
        <w:tc>
          <w:tcPr>
            <w:tcW w:w="0" w:type="auto"/>
            <w:gridSpan w:val="2"/>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w:t>
            </w:r>
            <w:r>
              <w:rPr>
                <w:rFonts w:hint="default" w:ascii="Times New Roman" w:hAnsi="Times New Roman" w:eastAsia="宋体" w:cs="Times New Roman"/>
                <w:color w:val="auto"/>
              </w:rPr>
              <w:t>关于进一步明确畜禽粪污还田利用要求强化养殖污染监管的通知</w:t>
            </w:r>
            <w:r>
              <w:rPr>
                <w:rFonts w:hint="eastAsia" w:cs="Times New Roman"/>
                <w:color w:val="auto"/>
                <w:szCs w:val="21"/>
              </w:rPr>
              <w:t>》相关要求</w:t>
            </w:r>
          </w:p>
        </w:tc>
        <w:tc>
          <w:tcPr>
            <w:tcW w:w="0" w:type="auto"/>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本项目情况</w:t>
            </w:r>
          </w:p>
        </w:tc>
        <w:tc>
          <w:tcPr>
            <w:tcW w:w="0" w:type="auto"/>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1</w:t>
            </w:r>
          </w:p>
        </w:tc>
        <w:tc>
          <w:tcPr>
            <w:tcW w:w="0" w:type="auto"/>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　一、畅通还田利用渠道</w:t>
            </w: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　（一）鼓励畜禽粪污还田利用。国家支持畜禽养殖场户建设畜禽粪污无害化处理和资源化利用设施，鼓励采取粪肥还田、制取沼气、生产有机肥等方式进行资源化利用</w:t>
            </w: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lang w:eastAsia="zh-CN"/>
              </w:rPr>
              <w:t>本项目粪污异位发酵罐发酵生产有机肥进行资源化利用。</w:t>
            </w:r>
          </w:p>
        </w:tc>
        <w:tc>
          <w:tcPr>
            <w:tcW w:w="0" w:type="auto"/>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2</w:t>
            </w:r>
          </w:p>
        </w:tc>
        <w:tc>
          <w:tcPr>
            <w:tcW w:w="0" w:type="auto"/>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rPr>
            </w:pP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二）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 25246），配套土地面积应达到《畜禽粪污土地承载力测算技术指南》（以下简称《指南》）要求的最小面积。对配套土地不足的养殖场户，粪污经处理后向环境排放的，应符合《畜禽养殖业污染物排放标准》（GB 18596）和地方有关排放标准。用于农田灌溉的，应符合《农田灌溉水质标准》（GB5084）。</w:t>
            </w: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rPr>
              <w:t>本项目畜禽粪污的处理</w:t>
            </w:r>
            <w:r>
              <w:rPr>
                <w:rFonts w:hint="eastAsia" w:ascii="Times New Roman" w:hAnsi="Times New Roman"/>
                <w:color w:val="auto"/>
                <w:sz w:val="21"/>
                <w:lang w:eastAsia="zh-CN"/>
              </w:rPr>
              <w:t>已</w:t>
            </w:r>
            <w:r>
              <w:rPr>
                <w:rFonts w:hint="eastAsia" w:ascii="Times New Roman" w:hAnsi="Times New Roman"/>
                <w:color w:val="auto"/>
                <w:sz w:val="21"/>
              </w:rPr>
              <w:t>根据排放去向或利用方式的不同执行相应的标准规范</w:t>
            </w:r>
            <w:r>
              <w:rPr>
                <w:rFonts w:hint="eastAsia" w:ascii="Times New Roman" w:hAnsi="Times New Roman"/>
                <w:color w:val="auto"/>
                <w:sz w:val="21"/>
                <w:lang w:eastAsia="zh-CN"/>
              </w:rPr>
              <w:t>。</w:t>
            </w:r>
          </w:p>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lang w:eastAsia="zh-CN"/>
              </w:rPr>
              <w:t>本项目采用干清粪工艺，粪污经堆肥发酵后作为有机肥外售，不外排。废水经污水处理站处理后达到</w:t>
            </w:r>
            <w:r>
              <w:rPr>
                <w:rFonts w:hint="default" w:ascii="Times New Roman" w:hAnsi="Times New Roman" w:eastAsia="宋体" w:cs="Times New Roman"/>
                <w:color w:val="auto"/>
                <w:sz w:val="21"/>
              </w:rPr>
              <w:t>《农田灌溉水质标准》（GB5084）</w:t>
            </w:r>
            <w:r>
              <w:rPr>
                <w:rFonts w:hint="eastAsia" w:ascii="Times New Roman" w:hAnsi="Times New Roman" w:eastAsia="宋体" w:cs="Times New Roman"/>
                <w:color w:val="auto"/>
                <w:sz w:val="21"/>
                <w:lang w:eastAsia="zh-CN"/>
              </w:rPr>
              <w:t>用于林地灌溉。</w:t>
            </w:r>
          </w:p>
        </w:tc>
        <w:tc>
          <w:tcPr>
            <w:tcW w:w="0" w:type="auto"/>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3</w:t>
            </w:r>
          </w:p>
        </w:tc>
        <w:tc>
          <w:tcPr>
            <w:tcW w:w="0" w:type="auto"/>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　二、加强事中事后监管</w:t>
            </w: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default" w:ascii="Times New Roman" w:hAnsi="Times New Roman"/>
                <w:color w:val="auto"/>
                <w:sz w:val="21"/>
              </w:rPr>
              <w:t>（一）落实养殖场户主体责任。养殖场户应当切实履行粪污利用和污染防治主体责任，采取措施，对畜禽粪污进行科学处理和资源化利用，防止污染环境。从事畜禽规模养殖要严格落实《中华人民共和国固体废物污染环境防治法》《中华人民共和国水污染防治法》《畜禽规模养殖污染防治条例》要求，建设粪污无害化处理和资源化利用设施并确保其正常运行，或委托第三方代为实现粪污无害化处理和资源化利用。对畜禽规模养殖污染防治设施配套不到位，粪污未经无害化处理直接还田或向环境排放，不符合国家和地方排放标准的，农业农村部门要加强技术指导和服务，生态环境部门要依法查处</w:t>
            </w: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rPr>
              <w:t>本项目建设有粪便、污水与雨水分流设施，厂内粪污去</w:t>
            </w:r>
            <w:r>
              <w:rPr>
                <w:rFonts w:hint="eastAsia" w:ascii="Times New Roman" w:hAnsi="Times New Roman"/>
                <w:color w:val="auto"/>
                <w:sz w:val="21"/>
                <w:lang w:eastAsia="zh-CN"/>
              </w:rPr>
              <w:t>异位发酵罐发酵</w:t>
            </w:r>
            <w:r>
              <w:rPr>
                <w:rFonts w:hint="eastAsia" w:ascii="Times New Roman" w:hAnsi="Times New Roman"/>
                <w:color w:val="auto"/>
                <w:sz w:val="21"/>
              </w:rPr>
              <w:t>处理，猪场内设有</w:t>
            </w:r>
            <w:r>
              <w:rPr>
                <w:rFonts w:hint="default" w:ascii="Times New Roman" w:hAnsi="Times New Roman"/>
                <w:color w:val="auto"/>
                <w:sz w:val="21"/>
              </w:rPr>
              <w:t>1</w:t>
            </w:r>
            <w:r>
              <w:rPr>
                <w:rFonts w:hint="eastAsia" w:ascii="Times New Roman" w:hAnsi="Times New Roman"/>
                <w:color w:val="auto"/>
                <w:sz w:val="21"/>
              </w:rPr>
              <w:t>个病死猪发酵处理车间，对病死猪进行无害化处理。</w:t>
            </w:r>
            <w:r>
              <w:rPr>
                <w:rFonts w:hint="eastAsia" w:ascii="Times New Roman" w:hAnsi="Times New Roman"/>
                <w:color w:val="auto"/>
                <w:sz w:val="21"/>
                <w:lang w:eastAsia="zh-CN"/>
              </w:rPr>
              <w:t>废水经污水处理站处理后达到</w:t>
            </w:r>
            <w:r>
              <w:rPr>
                <w:rFonts w:hint="default" w:ascii="Times New Roman" w:hAnsi="Times New Roman" w:eastAsia="宋体" w:cs="Times New Roman"/>
                <w:color w:val="auto"/>
                <w:sz w:val="21"/>
              </w:rPr>
              <w:t>《农田灌溉水质标准》（GB5084）</w:t>
            </w:r>
            <w:r>
              <w:rPr>
                <w:rFonts w:hint="eastAsia" w:ascii="Times New Roman" w:hAnsi="Times New Roman" w:eastAsia="宋体" w:cs="Times New Roman"/>
                <w:color w:val="auto"/>
                <w:sz w:val="21"/>
                <w:lang w:eastAsia="zh-CN"/>
              </w:rPr>
              <w:t>用于林地灌溉。通过采取</w:t>
            </w:r>
            <w:r>
              <w:rPr>
                <w:rFonts w:hint="default" w:ascii="Times New Roman" w:hAnsi="Times New Roman"/>
                <w:color w:val="auto"/>
                <w:sz w:val="21"/>
              </w:rPr>
              <w:t>采取措施，</w:t>
            </w:r>
            <w:r>
              <w:rPr>
                <w:rFonts w:hint="eastAsia" w:ascii="Times New Roman" w:hAnsi="Times New Roman"/>
                <w:color w:val="auto"/>
                <w:sz w:val="21"/>
                <w:lang w:eastAsia="zh-CN"/>
              </w:rPr>
              <w:t>确保</w:t>
            </w:r>
            <w:r>
              <w:rPr>
                <w:rFonts w:hint="default" w:ascii="Times New Roman" w:hAnsi="Times New Roman"/>
                <w:color w:val="auto"/>
                <w:sz w:val="21"/>
              </w:rPr>
              <w:t>对畜禽粪污进行科学处理和资源化利用</w:t>
            </w:r>
            <w:r>
              <w:rPr>
                <w:rFonts w:hint="eastAsia" w:ascii="Times New Roman" w:hAnsi="Times New Roman"/>
                <w:color w:val="auto"/>
                <w:sz w:val="21"/>
                <w:lang w:eastAsia="zh-CN"/>
              </w:rPr>
              <w:t>。</w:t>
            </w:r>
          </w:p>
        </w:tc>
        <w:tc>
          <w:tcPr>
            <w:tcW w:w="0" w:type="auto"/>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5</w:t>
            </w:r>
          </w:p>
        </w:tc>
        <w:tc>
          <w:tcPr>
            <w:tcW w:w="0" w:type="auto"/>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default" w:ascii="Times New Roman" w:hAnsi="Times New Roman"/>
                <w:color w:val="auto"/>
                <w:sz w:val="21"/>
              </w:rPr>
              <w:t>（二）强化粪污还田利用过程监管。养殖场户应依法配置粪污贮存设施，设施总容积不得低于当地农林作物生产用肥的最大间隔时间内产生粪污的总量，配套土地面积不得小于《指南》要求的最小面积；配套土地面积不足的，应委托第三方代为实现粪污资源化。达不到前述要求且无法证明粪污去向的，视同超出土地消纳能力。</w:t>
            </w: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rPr>
              <w:t>本项目配套有机肥处理站，采用好氧（</w:t>
            </w:r>
            <w:r>
              <w:rPr>
                <w:rFonts w:hint="eastAsia" w:ascii="Times New Roman" w:hAnsi="Times New Roman"/>
                <w:color w:val="auto"/>
                <w:sz w:val="21"/>
                <w:lang w:eastAsia="zh-CN"/>
              </w:rPr>
              <w:t>异位发酵罐</w:t>
            </w:r>
            <w:r>
              <w:rPr>
                <w:rFonts w:hint="eastAsia" w:ascii="Times New Roman" w:hAnsi="Times New Roman"/>
                <w:color w:val="auto"/>
                <w:sz w:val="21"/>
              </w:rPr>
              <w:t>）堆肥方式进行处理，根据《畜禽粪污土地承载力测算技术指南》中相关规定测算，本项目需配套</w:t>
            </w:r>
            <w:r>
              <w:rPr>
                <w:rFonts w:hint="eastAsia" w:ascii="Times New Roman" w:hAnsi="Times New Roman"/>
                <w:color w:val="auto"/>
                <w:sz w:val="21"/>
                <w:lang w:val="en-US" w:eastAsia="zh-CN"/>
              </w:rPr>
              <w:t>975.37</w:t>
            </w:r>
            <w:r>
              <w:rPr>
                <w:rFonts w:hint="eastAsia" w:ascii="Times New Roman" w:hAnsi="Times New Roman"/>
                <w:color w:val="auto"/>
                <w:sz w:val="21"/>
              </w:rPr>
              <w:t>亩消纳土地，配套</w:t>
            </w:r>
            <w:r>
              <w:rPr>
                <w:rFonts w:hint="eastAsia" w:ascii="Times New Roman" w:hAnsi="Times New Roman"/>
                <w:color w:val="auto"/>
                <w:sz w:val="21"/>
                <w:lang w:val="en-US" w:eastAsia="zh-CN"/>
              </w:rPr>
              <w:t>1194</w:t>
            </w:r>
            <w:r>
              <w:rPr>
                <w:rFonts w:hint="eastAsia" w:ascii="Times New Roman" w:hAnsi="Times New Roman"/>
                <w:color w:val="auto"/>
                <w:sz w:val="21"/>
              </w:rPr>
              <w:t>亩消纳土地，已签订消纳协议。</w:t>
            </w:r>
            <w:r>
              <w:rPr>
                <w:rFonts w:hint="eastAsia" w:ascii="Times New Roman" w:hAnsi="Times New Roman"/>
                <w:color w:val="auto"/>
                <w:sz w:val="21"/>
                <w:lang w:eastAsia="zh-CN"/>
              </w:rPr>
              <w:t>同时配套</w:t>
            </w:r>
            <w:r>
              <w:rPr>
                <w:rFonts w:hint="eastAsia"/>
                <w:color w:val="auto"/>
                <w:sz w:val="21"/>
                <w:szCs w:val="21"/>
                <w:lang w:val="en-US" w:eastAsia="zh-CN"/>
              </w:rPr>
              <w:t>2</w:t>
            </w:r>
            <w:r>
              <w:rPr>
                <w:rFonts w:hint="default"/>
                <w:color w:val="auto"/>
                <w:sz w:val="21"/>
                <w:szCs w:val="21"/>
              </w:rPr>
              <w:t>座</w:t>
            </w:r>
            <w:r>
              <w:rPr>
                <w:rFonts w:hint="eastAsia"/>
                <w:color w:val="auto"/>
                <w:sz w:val="21"/>
                <w:szCs w:val="21"/>
                <w:lang w:eastAsia="zh-CN"/>
              </w:rPr>
              <w:t>单个</w:t>
            </w:r>
            <w:r>
              <w:rPr>
                <w:rFonts w:hint="default"/>
                <w:color w:val="auto"/>
                <w:sz w:val="21"/>
                <w:szCs w:val="21"/>
              </w:rPr>
              <w:t>容积</w:t>
            </w:r>
            <w:r>
              <w:rPr>
                <w:rFonts w:hint="eastAsia"/>
                <w:color w:val="auto"/>
                <w:sz w:val="21"/>
                <w:szCs w:val="21"/>
                <w:lang w:val="en-US" w:eastAsia="zh-CN"/>
              </w:rPr>
              <w:t>4</w:t>
            </w:r>
            <w:r>
              <w:rPr>
                <w:rFonts w:hint="default"/>
                <w:color w:val="auto"/>
                <w:sz w:val="21"/>
                <w:szCs w:val="21"/>
              </w:rPr>
              <w:t>000m</w:t>
            </w:r>
            <w:r>
              <w:rPr>
                <w:rFonts w:hint="default"/>
                <w:color w:val="auto"/>
                <w:sz w:val="21"/>
                <w:szCs w:val="21"/>
                <w:vertAlign w:val="superscript"/>
              </w:rPr>
              <w:t>3</w:t>
            </w:r>
            <w:r>
              <w:rPr>
                <w:rFonts w:hint="eastAsia"/>
                <w:strike w:val="0"/>
                <w:dstrike w:val="0"/>
                <w:color w:val="auto"/>
                <w:sz w:val="21"/>
                <w:szCs w:val="21"/>
                <w:vertAlign w:val="baseline"/>
                <w:lang w:eastAsia="zh-CN"/>
              </w:rPr>
              <w:t>的储存池</w:t>
            </w:r>
            <w:r>
              <w:rPr>
                <w:rFonts w:hint="default"/>
                <w:color w:val="auto"/>
                <w:sz w:val="21"/>
                <w:szCs w:val="21"/>
              </w:rPr>
              <w:t>用于</w:t>
            </w:r>
            <w:r>
              <w:rPr>
                <w:rFonts w:hint="eastAsia"/>
                <w:color w:val="auto"/>
                <w:sz w:val="21"/>
                <w:szCs w:val="21"/>
              </w:rPr>
              <w:t>储存处理后</w:t>
            </w:r>
            <w:r>
              <w:rPr>
                <w:rFonts w:hint="default"/>
                <w:color w:val="auto"/>
                <w:sz w:val="21"/>
                <w:szCs w:val="21"/>
              </w:rPr>
              <w:t>的</w:t>
            </w:r>
            <w:r>
              <w:rPr>
                <w:rFonts w:hint="eastAsia"/>
                <w:color w:val="auto"/>
                <w:sz w:val="21"/>
                <w:szCs w:val="21"/>
              </w:rPr>
              <w:t>尾</w:t>
            </w:r>
            <w:r>
              <w:rPr>
                <w:rFonts w:hint="default"/>
                <w:color w:val="auto"/>
                <w:sz w:val="21"/>
                <w:szCs w:val="21"/>
              </w:rPr>
              <w:t>水</w:t>
            </w:r>
            <w:r>
              <w:rPr>
                <w:rFonts w:hint="eastAsia"/>
                <w:color w:val="auto"/>
                <w:sz w:val="21"/>
                <w:szCs w:val="21"/>
                <w:lang w:eastAsia="zh-CN"/>
              </w:rPr>
              <w:t>。</w:t>
            </w:r>
          </w:p>
        </w:tc>
        <w:tc>
          <w:tcPr>
            <w:tcW w:w="0" w:type="auto"/>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6</w:t>
            </w:r>
          </w:p>
        </w:tc>
        <w:tc>
          <w:tcPr>
            <w:tcW w:w="0" w:type="auto"/>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　三、强化保障和支撑</w:t>
            </w: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default" w:ascii="Times New Roman" w:hAnsi="Times New Roman"/>
                <w:color w:val="auto"/>
                <w:sz w:val="21"/>
              </w:rPr>
              <w:t>（一）完善粪肥还田管理制度。督促指导规模养殖场制定畜禽粪肥还田利用计划，根据养殖规模明确配套农田面积、农田类型、种植制度、粪肥使用时间及使用量等。推动建立畜禽粪污处理和粪肥利用台账，避免施用超量或时间不合理，并作为监督执法的重要依据。加强日常监测，及时掌握粪污养分和有害物质含量，严防还田环境风险。</w:t>
            </w: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lang w:eastAsia="zh-CN"/>
              </w:rPr>
              <w:t>本项目将</w:t>
            </w:r>
            <w:r>
              <w:rPr>
                <w:rFonts w:hint="default" w:ascii="Times New Roman" w:hAnsi="Times New Roman"/>
                <w:color w:val="auto"/>
                <w:sz w:val="21"/>
              </w:rPr>
              <w:t>建立畜禽粪污处理和粪肥利用台账，避免施用超量或时间不合理</w:t>
            </w:r>
            <w:r>
              <w:rPr>
                <w:rFonts w:hint="eastAsia" w:ascii="Times New Roman" w:hAnsi="Times New Roman"/>
                <w:color w:val="auto"/>
                <w:sz w:val="21"/>
                <w:lang w:eastAsia="zh-CN"/>
              </w:rPr>
              <w:t>。</w:t>
            </w:r>
          </w:p>
        </w:tc>
        <w:tc>
          <w:tcPr>
            <w:tcW w:w="0" w:type="auto"/>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7</w:t>
            </w:r>
          </w:p>
        </w:tc>
        <w:tc>
          <w:tcPr>
            <w:tcW w:w="0" w:type="auto"/>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default" w:ascii="Times New Roman" w:hAnsi="Times New Roman"/>
                <w:color w:val="auto"/>
                <w:sz w:val="21"/>
              </w:rPr>
              <w:t>（二）加强技术和装备支撑。加快畜禽粪污资源化利用先进工艺、技术和装备研发，着力破除粪污资源化利用过程中的技术和成本障碍。鼓励养殖场户全量收集和利用畜禽粪污，根据实际情况选择合理的输送和施用方式，不再强制要求固液分离。结合本地实际，推行经济高效的粪污资源化利用技术模式，积极推广全量机械化施用，逐步改进粪肥施用方式。</w:t>
            </w:r>
          </w:p>
        </w:tc>
        <w:tc>
          <w:tcPr>
            <w:tcW w:w="0" w:type="auto"/>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lang w:eastAsia="zh-CN"/>
              </w:rPr>
              <w:t>本项目采用干清粪工艺，粪污经堆肥发酵后作为有机肥外售，不外排。废水经污水处理站处理后达到</w:t>
            </w:r>
            <w:r>
              <w:rPr>
                <w:rFonts w:hint="default" w:ascii="Times New Roman" w:hAnsi="Times New Roman" w:eastAsia="宋体" w:cs="Times New Roman"/>
                <w:color w:val="auto"/>
                <w:sz w:val="21"/>
              </w:rPr>
              <w:t>《农田灌溉水质标准》（GB5084）</w:t>
            </w:r>
            <w:r>
              <w:rPr>
                <w:rFonts w:hint="eastAsia" w:ascii="Times New Roman" w:hAnsi="Times New Roman" w:eastAsia="宋体" w:cs="Times New Roman"/>
                <w:color w:val="auto"/>
                <w:sz w:val="21"/>
                <w:lang w:eastAsia="zh-CN"/>
              </w:rPr>
              <w:t>用于林地灌溉。</w:t>
            </w:r>
            <w:r>
              <w:rPr>
                <w:rFonts w:hint="eastAsia" w:ascii="Times New Roman" w:hAnsi="Times New Roman" w:eastAsia="宋体"/>
                <w:color w:val="auto"/>
                <w:sz w:val="21"/>
                <w:lang w:eastAsia="zh-CN"/>
              </w:rPr>
              <w:t>实现</w:t>
            </w:r>
            <w:r>
              <w:rPr>
                <w:rFonts w:hint="default" w:ascii="Times New Roman" w:hAnsi="Times New Roman"/>
                <w:color w:val="auto"/>
                <w:sz w:val="21"/>
              </w:rPr>
              <w:t>经济高效的粪污资源化利用技术模式</w:t>
            </w:r>
          </w:p>
        </w:tc>
        <w:tc>
          <w:tcPr>
            <w:tcW w:w="0" w:type="auto"/>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bl>
    <w:p>
      <w:pPr>
        <w:pStyle w:val="154"/>
        <w:ind w:firstLine="480"/>
        <w:rPr>
          <w:color w:val="auto"/>
        </w:rPr>
      </w:pPr>
      <w:r>
        <w:rPr>
          <w:bCs/>
          <w:color w:val="auto"/>
        </w:rPr>
        <w:t>通过上表分析可知，</w:t>
      </w:r>
      <w:r>
        <w:rPr>
          <w:rFonts w:hint="eastAsia"/>
          <w:color w:val="auto"/>
          <w:kern w:val="0"/>
        </w:rPr>
        <w:t>本项目符合</w:t>
      </w:r>
      <w:r>
        <w:rPr>
          <w:rFonts w:hint="eastAsia"/>
          <w:color w:val="auto"/>
        </w:rPr>
        <w:t>《</w:t>
      </w:r>
      <w:r>
        <w:rPr>
          <w:rFonts w:hint="default" w:ascii="Times New Roman" w:hAnsi="Times New Roman" w:eastAsia="宋体" w:cs="Times New Roman"/>
          <w:color w:val="auto"/>
        </w:rPr>
        <w:t>业农村部办公厅 生态环境部办公厅关于进一步明确畜禽粪污还田利用要求强化养殖污染监管的通知</w:t>
      </w:r>
      <w:r>
        <w:rPr>
          <w:rFonts w:hint="eastAsia"/>
          <w:color w:val="auto"/>
        </w:rPr>
        <w:t>》</w:t>
      </w:r>
      <w:r>
        <w:rPr>
          <w:rFonts w:hint="eastAsia"/>
          <w:color w:val="auto"/>
          <w:kern w:val="0"/>
        </w:rPr>
        <w:t>的要求。</w:t>
      </w:r>
    </w:p>
    <w:p>
      <w:pPr>
        <w:pStyle w:val="7"/>
        <w:spacing w:before="0" w:after="0" w:line="360" w:lineRule="auto"/>
        <w:ind w:left="0" w:firstLine="0"/>
        <w:rPr>
          <w:rFonts w:cs="Times New Roman"/>
          <w:color w:val="auto"/>
        </w:rPr>
      </w:pPr>
      <w:bookmarkStart w:id="107" w:name="_Toc2402"/>
      <w:r>
        <w:rPr>
          <w:rFonts w:hint="eastAsia" w:cs="Times New Roman"/>
          <w:color w:val="auto"/>
        </w:rPr>
        <w:t>与“三线一单”</w:t>
      </w:r>
      <w:r>
        <w:rPr>
          <w:rFonts w:cs="Times New Roman"/>
          <w:color w:val="auto"/>
        </w:rPr>
        <w:t>符合性分析</w:t>
      </w:r>
      <w:bookmarkEnd w:id="107"/>
    </w:p>
    <w:p>
      <w:pPr>
        <w:snapToGrid w:val="0"/>
        <w:ind w:firstLine="480" w:firstLineChars="200"/>
        <w:rPr>
          <w:rFonts w:ascii="Times New Roman" w:hAnsi="Times New Roman" w:cs="Times New Roman"/>
          <w:bCs/>
          <w:color w:val="auto"/>
          <w:sz w:val="24"/>
          <w:szCs w:val="24"/>
        </w:rPr>
      </w:pPr>
      <w:r>
        <w:rPr>
          <w:rFonts w:hint="eastAsia" w:ascii="Times New Roman" w:hAnsi="Times New Roman" w:cs="Times New Roman"/>
          <w:bCs/>
          <w:color w:val="auto"/>
          <w:sz w:val="24"/>
        </w:rPr>
        <w:t>生态红线：本项目位于</w:t>
      </w:r>
      <w:r>
        <w:rPr>
          <w:rFonts w:hint="eastAsia" w:ascii="Times New Roman" w:hAnsi="Times New Roman" w:cs="Times New Roman"/>
          <w:bCs/>
          <w:color w:val="auto"/>
          <w:sz w:val="24"/>
          <w:lang w:eastAsia="zh-CN"/>
        </w:rPr>
        <w:t>四川省巴中市通江县龙凤场镇环山村</w:t>
      </w:r>
      <w:r>
        <w:rPr>
          <w:rFonts w:hint="eastAsia" w:ascii="Times New Roman" w:hAnsi="Times New Roman" w:cs="Times New Roman"/>
          <w:bCs/>
          <w:color w:val="auto"/>
          <w:sz w:val="24"/>
          <w:szCs w:val="24"/>
        </w:rPr>
        <w:t>。本项目不涉及自然保护区、风景名胜区、饮用水源地，不在</w:t>
      </w:r>
      <w:r>
        <w:rPr>
          <w:rFonts w:hint="eastAsia" w:ascii="Times New Roman" w:hAnsi="Times New Roman" w:cs="Times New Roman"/>
          <w:bCs/>
          <w:color w:val="auto"/>
          <w:sz w:val="24"/>
          <w:szCs w:val="24"/>
          <w:lang w:eastAsia="zh-CN"/>
        </w:rPr>
        <w:t>巴中市</w:t>
      </w:r>
      <w:r>
        <w:rPr>
          <w:rFonts w:hint="eastAsia" w:ascii="Times New Roman" w:hAnsi="Times New Roman" w:cs="Times New Roman"/>
          <w:bCs/>
          <w:color w:val="auto"/>
          <w:sz w:val="24"/>
          <w:szCs w:val="24"/>
        </w:rPr>
        <w:t>生态保护红线内（见附图</w:t>
      </w:r>
      <w:r>
        <w:rPr>
          <w:rFonts w:hint="eastAsia" w:ascii="Times New Roman" w:hAnsi="Times New Roman" w:cs="Times New Roman"/>
          <w:bCs/>
          <w:color w:val="auto"/>
          <w:sz w:val="24"/>
          <w:szCs w:val="24"/>
          <w:lang w:val="en-US" w:eastAsia="zh-CN"/>
        </w:rPr>
        <w:t>10</w:t>
      </w:r>
      <w:r>
        <w:rPr>
          <w:rFonts w:hint="eastAsia" w:ascii="Times New Roman" w:hAnsi="Times New Roman" w:cs="Times New Roman"/>
          <w:bCs/>
          <w:color w:val="auto"/>
          <w:sz w:val="24"/>
          <w:szCs w:val="24"/>
        </w:rPr>
        <w:t>）。</w:t>
      </w:r>
    </w:p>
    <w:p>
      <w:pPr>
        <w:snapToGrid w:val="0"/>
        <w:ind w:firstLine="480" w:firstLineChars="200"/>
        <w:rPr>
          <w:rFonts w:ascii="Times New Roman" w:hAnsi="Times New Roman" w:cs="Times New Roman"/>
          <w:bCs/>
          <w:color w:val="auto"/>
          <w:sz w:val="24"/>
          <w:szCs w:val="24"/>
        </w:rPr>
      </w:pPr>
      <w:r>
        <w:rPr>
          <w:rFonts w:hint="eastAsia" w:ascii="Times New Roman" w:hAnsi="Times New Roman" w:cs="Times New Roman"/>
          <w:bCs/>
          <w:color w:val="auto"/>
          <w:sz w:val="24"/>
          <w:szCs w:val="24"/>
        </w:rPr>
        <w:t>环境质量底线：本项目建设不会改变区域大气环境、地表水环境、地下水环境、土壤环境、声环境质量现状。</w:t>
      </w:r>
    </w:p>
    <w:p>
      <w:pPr>
        <w:snapToGrid w:val="0"/>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资源利用上线</w:t>
      </w:r>
      <w:r>
        <w:rPr>
          <w:rFonts w:hint="eastAsia" w:ascii="Times New Roman" w:hAnsi="Times New Roman" w:cs="Times New Roman"/>
          <w:bCs/>
          <w:color w:val="auto"/>
          <w:sz w:val="24"/>
          <w:szCs w:val="24"/>
        </w:rPr>
        <w:t>：本项目对当地资源利用主要是水资源，项目取用山上山泉水作为本项目用水，未突破资源利用上线要求。本项目产生的废水经处理后用作</w:t>
      </w:r>
      <w:r>
        <w:rPr>
          <w:rFonts w:hint="eastAsia" w:ascii="Times New Roman" w:hAnsi="Times New Roman" w:cs="Times New Roman"/>
          <w:bCs/>
          <w:color w:val="auto"/>
          <w:sz w:val="24"/>
          <w:szCs w:val="24"/>
          <w:lang w:eastAsia="zh-CN"/>
        </w:rPr>
        <w:t>生产线回用和厂区绿化林地灌溉</w:t>
      </w:r>
      <w:r>
        <w:rPr>
          <w:rFonts w:hint="eastAsia" w:ascii="Times New Roman" w:hAnsi="Times New Roman" w:cs="Times New Roman"/>
          <w:bCs/>
          <w:color w:val="auto"/>
          <w:sz w:val="24"/>
          <w:szCs w:val="24"/>
        </w:rPr>
        <w:t>。</w:t>
      </w:r>
    </w:p>
    <w:p>
      <w:pPr>
        <w:snapToGrid w:val="0"/>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环境准入负面清单</w:t>
      </w:r>
      <w:r>
        <w:rPr>
          <w:rFonts w:hint="eastAsia" w:ascii="Times New Roman" w:hAnsi="Times New Roman" w:cs="Times New Roman"/>
          <w:bCs/>
          <w:color w:val="auto"/>
          <w:sz w:val="24"/>
          <w:szCs w:val="24"/>
        </w:rPr>
        <w:t>：同时，通江县发展和改革局以川投资备【2020-511921-03-03-472110】FGQB-0100号文对本项目进行了备案（见附件2）。</w:t>
      </w:r>
      <w:r>
        <w:rPr>
          <w:rFonts w:ascii="Times New Roman" w:hAnsi="Times New Roman" w:cs="Times New Roman"/>
          <w:bCs/>
          <w:color w:val="auto"/>
          <w:sz w:val="24"/>
          <w:szCs w:val="24"/>
        </w:rPr>
        <w:t>本项目属《产业结构调整指导目录(201</w:t>
      </w:r>
      <w:r>
        <w:rPr>
          <w:rFonts w:hint="eastAsia" w:ascii="Times New Roman" w:hAnsi="Times New Roman" w:cs="Times New Roman"/>
          <w:bCs/>
          <w:color w:val="auto"/>
          <w:sz w:val="24"/>
          <w:szCs w:val="24"/>
          <w:lang w:val="en-US" w:eastAsia="zh-CN"/>
        </w:rPr>
        <w:t>9</w:t>
      </w:r>
      <w:r>
        <w:rPr>
          <w:rFonts w:ascii="Times New Roman" w:hAnsi="Times New Roman" w:cs="Times New Roman"/>
          <w:bCs/>
          <w:color w:val="auto"/>
          <w:sz w:val="24"/>
          <w:szCs w:val="24"/>
        </w:rPr>
        <w:t>年本)》允许类</w:t>
      </w:r>
      <w:r>
        <w:rPr>
          <w:rFonts w:hint="eastAsia" w:ascii="Times New Roman" w:hAnsi="Times New Roman" w:cs="Times New Roman"/>
          <w:bCs/>
          <w:color w:val="auto"/>
          <w:sz w:val="24"/>
          <w:szCs w:val="24"/>
        </w:rPr>
        <w:t>。</w:t>
      </w:r>
    </w:p>
    <w:p>
      <w:pPr>
        <w:snapToGrid w:val="0"/>
        <w:ind w:firstLine="480" w:firstLineChars="200"/>
        <w:rPr>
          <w:rFonts w:hint="eastAsia" w:ascii="Times New Roman" w:hAnsi="Times New Roman" w:cs="Times New Roman"/>
          <w:bCs/>
          <w:color w:val="auto"/>
          <w:sz w:val="24"/>
          <w:szCs w:val="24"/>
        </w:rPr>
      </w:pPr>
      <w:r>
        <w:rPr>
          <w:rFonts w:ascii="Times New Roman" w:hAnsi="Times New Roman" w:cs="Times New Roman"/>
          <w:bCs/>
          <w:color w:val="auto"/>
          <w:sz w:val="24"/>
          <w:szCs w:val="24"/>
        </w:rPr>
        <w:t>综上</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本项目符合</w:t>
      </w:r>
      <w:r>
        <w:rPr>
          <w:rFonts w:hint="eastAsia" w:ascii="Times New Roman" w:hAnsi="Times New Roman" w:cs="Times New Roman"/>
          <w:bCs/>
          <w:color w:val="auto"/>
          <w:sz w:val="24"/>
          <w:szCs w:val="24"/>
        </w:rPr>
        <w:t>“三线一单”要求，不在生态红线，未突破环境质量底线，未突破资源利用上线，不在环境负面清单内。</w:t>
      </w:r>
    </w:p>
    <w:p>
      <w:pPr>
        <w:pStyle w:val="7"/>
        <w:spacing w:before="0" w:after="0" w:line="360" w:lineRule="auto"/>
        <w:ind w:left="0" w:firstLine="0"/>
        <w:rPr>
          <w:rFonts w:hint="default" w:ascii="Times New Roman" w:hAnsi="Times New Roman" w:cs="Times New Roman"/>
          <w:color w:val="auto"/>
        </w:rPr>
      </w:pPr>
      <w:r>
        <w:rPr>
          <w:rFonts w:hint="default" w:ascii="Times New Roman" w:hAnsi="Times New Roman" w:cs="Times New Roman"/>
          <w:color w:val="auto"/>
        </w:rPr>
        <w:t>与承诺制审批的符合性分析</w:t>
      </w:r>
    </w:p>
    <w:p>
      <w:pPr>
        <w:spacing w:line="360" w:lineRule="auto"/>
        <w:ind w:firstLine="480" w:firstLineChars="200"/>
        <w:rPr>
          <w:rFonts w:hint="eastAsia"/>
          <w:color w:val="auto"/>
          <w:kern w:val="24"/>
          <w:sz w:val="24"/>
          <w:lang w:eastAsia="zh-CN"/>
        </w:rPr>
      </w:pPr>
      <w:r>
        <w:rPr>
          <w:rFonts w:hint="eastAsia"/>
          <w:color w:val="auto"/>
          <w:kern w:val="24"/>
          <w:sz w:val="24"/>
        </w:rPr>
        <w:t>根据</w:t>
      </w:r>
      <w:r>
        <w:rPr>
          <w:rFonts w:hint="eastAsia"/>
          <w:color w:val="auto"/>
          <w:kern w:val="24"/>
          <w:sz w:val="24"/>
          <w:lang w:eastAsia="zh-CN"/>
        </w:rPr>
        <w:t>四川省生态环境厅</w:t>
      </w:r>
      <w:r>
        <w:rPr>
          <w:rFonts w:hint="eastAsia"/>
          <w:color w:val="auto"/>
          <w:kern w:val="24"/>
          <w:sz w:val="24"/>
        </w:rPr>
        <w:t>《关于进一步改进环评审批和监督执法服务高质量发展的通知》（川环函〔2020〕220号文），为贯彻落实《国务院办公厅关于进一步精简审批优化服务精准稳妥推进企业复工复产的通知》（国办发明电〔2020〕6号）《生态环境部关于统筹做好疫情防控和经济社会发展生态环保工作的指导意见》（环综合〔2020〕13号）以及《关于做好环评审批正面清单落实工作的函》（环评函〔2020〕19号），结合工程建设项目审批制度改革相关要求，现就我省贯彻落实环评审批和监督执法“两个正面清单”，实行建设项目环评“三个一批”（豁免管理一批、承诺审批一批、加快推进一批）管理，</w:t>
      </w:r>
      <w:r>
        <w:rPr>
          <w:rFonts w:hint="eastAsia"/>
          <w:color w:val="auto"/>
          <w:kern w:val="24"/>
          <w:sz w:val="24"/>
          <w:lang w:eastAsia="zh-CN"/>
        </w:rPr>
        <w:t>跟本项目相关</w:t>
      </w:r>
      <w:r>
        <w:rPr>
          <w:rFonts w:hint="eastAsia"/>
          <w:color w:val="auto"/>
          <w:kern w:val="24"/>
          <w:sz w:val="24"/>
        </w:rPr>
        <w:t>要求通知如下</w:t>
      </w:r>
      <w:r>
        <w:rPr>
          <w:rFonts w:hint="eastAsia"/>
          <w:color w:val="auto"/>
          <w:kern w:val="24"/>
          <w:sz w:val="24"/>
          <w:lang w:eastAsia="zh-CN"/>
        </w:rPr>
        <w:t>：</w:t>
      </w:r>
    </w:p>
    <w:p>
      <w:pPr>
        <w:spacing w:line="360" w:lineRule="auto"/>
        <w:ind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（二）承诺审批一批</w:t>
      </w:r>
    </w:p>
    <w:p>
      <w:pPr>
        <w:spacing w:line="360" w:lineRule="auto"/>
        <w:ind w:firstLine="480" w:firstLineChars="200"/>
        <w:rPr>
          <w:rFonts w:hint="default" w:ascii="Times New Roman" w:hAnsi="Times New Roman" w:eastAsia="宋体" w:cs="Times New Roman"/>
          <w:color w:val="auto"/>
          <w:kern w:val="24"/>
          <w:sz w:val="24"/>
          <w:szCs w:val="24"/>
          <w:lang w:eastAsia="zh-CN"/>
        </w:rPr>
      </w:pP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b/>
          <w:bCs/>
          <w:color w:val="auto"/>
          <w:kern w:val="24"/>
          <w:sz w:val="24"/>
          <w:szCs w:val="24"/>
        </w:rPr>
        <w:t>拓展环评告知承诺制审批改革试点。</w:t>
      </w:r>
      <w:r>
        <w:rPr>
          <w:rFonts w:hint="default" w:ascii="Times New Roman" w:hAnsi="Times New Roman" w:eastAsia="宋体" w:cs="Times New Roman"/>
          <w:color w:val="auto"/>
          <w:kern w:val="24"/>
          <w:sz w:val="24"/>
          <w:szCs w:val="24"/>
        </w:rPr>
        <w:t>对环境影响总体可控、受疫情影响较大、就业密集型等民生相关的部分行业，包括工程建设、社会事业与服务业、制造业、畜牧业、交通运输业等多个领域，共涉及《名录》中17大类44小类行业（附件2），开展环评告知承诺制审批改革。疫情防控期间，对疫情结束后仍需使用的三类建设项目，可以实行告知承诺制审批。</w:t>
      </w:r>
      <w:r>
        <w:rPr>
          <w:rFonts w:hint="default" w:ascii="Times New Roman" w:hAnsi="Times New Roman" w:eastAsia="宋体" w:cs="Times New Roman"/>
          <w:color w:val="auto"/>
          <w:kern w:val="24"/>
          <w:sz w:val="24"/>
          <w:szCs w:val="24"/>
          <w:lang w:eastAsia="zh-CN"/>
        </w:rPr>
        <w:t>”</w:t>
      </w:r>
    </w:p>
    <w:p>
      <w:pPr>
        <w:spacing w:line="360" w:lineRule="auto"/>
        <w:ind w:firstLine="480" w:firstLineChars="200"/>
        <w:rPr>
          <w:rFonts w:hint="eastAsia"/>
          <w:color w:val="auto"/>
          <w:lang w:val="en-US" w:eastAsia="zh-CN"/>
        </w:rPr>
      </w:pPr>
      <w:r>
        <w:rPr>
          <w:rFonts w:hint="eastAsia"/>
          <w:color w:val="auto"/>
          <w:kern w:val="24"/>
          <w:sz w:val="24"/>
          <w:lang w:eastAsia="zh-CN"/>
        </w:rPr>
        <w:t>根据文件附件</w:t>
      </w:r>
      <w:r>
        <w:rPr>
          <w:rFonts w:hint="eastAsia"/>
          <w:color w:val="auto"/>
          <w:kern w:val="24"/>
          <w:sz w:val="24"/>
          <w:lang w:val="en-US" w:eastAsia="zh-CN"/>
        </w:rPr>
        <w:t>2，本项目是属于《纳入告知承诺制审批改革试点的项目名录》中“一、畜牧业   畜禽养殖场、养殖小区（对其中生猪养殖项目，按照《关于进一步做好当前生猪规模养殖环评管理相关工作的通知》（环办环评函〔2019〕872号）执行）。”</w:t>
      </w:r>
    </w:p>
    <w:p>
      <w:pPr>
        <w:pStyle w:val="266"/>
        <w:spacing w:line="360" w:lineRule="auto"/>
        <w:ind w:firstLine="480" w:firstLineChars="200"/>
        <w:rPr>
          <w:rFonts w:hint="eastAsia"/>
          <w:color w:val="auto"/>
        </w:rPr>
      </w:pPr>
      <w:r>
        <w:rPr>
          <w:rFonts w:hint="default" w:ascii="Times New Roman" w:hAnsi="Times New Roman" w:eastAsia="宋体" w:cs="Times New Roman"/>
          <w:bCs/>
          <w:color w:val="auto"/>
          <w:highlight w:val="none"/>
        </w:rPr>
        <w:t>因此本项目符合（川环函〔2020〕220号</w:t>
      </w:r>
      <w:r>
        <w:rPr>
          <w:rFonts w:hint="default" w:ascii="Times New Roman" w:hAnsi="Times New Roman" w:eastAsia="宋体" w:cs="Times New Roman"/>
          <w:bCs/>
          <w:color w:val="auto"/>
          <w:kern w:val="2"/>
          <w:szCs w:val="22"/>
          <w:highlight w:val="none"/>
        </w:rPr>
        <w:t>文件），实行建设项目环境影响评价文件审批承诺制。</w:t>
      </w:r>
    </w:p>
    <w:p>
      <w:pPr>
        <w:pStyle w:val="7"/>
        <w:spacing w:before="0" w:after="0" w:line="360" w:lineRule="auto"/>
        <w:ind w:left="0" w:firstLine="0"/>
        <w:rPr>
          <w:rFonts w:cs="Times New Roman"/>
          <w:color w:val="auto"/>
        </w:rPr>
      </w:pPr>
      <w:bookmarkStart w:id="108" w:name="_Toc21947"/>
      <w:r>
        <w:rPr>
          <w:rFonts w:hint="eastAsia" w:cs="Times New Roman"/>
          <w:color w:val="auto"/>
          <w:lang w:eastAsia="zh-CN"/>
        </w:rPr>
        <w:t>技术规范符合性分析</w:t>
      </w:r>
      <w:bookmarkEnd w:id="108"/>
    </w:p>
    <w:p>
      <w:pPr>
        <w:pStyle w:val="8"/>
        <w:bidi w:val="0"/>
        <w:rPr>
          <w:rFonts w:hint="eastAsia" w:cs="Times New Roman"/>
          <w:color w:val="auto"/>
          <w:lang w:eastAsia="zh-CN"/>
        </w:rPr>
      </w:pPr>
      <w:r>
        <w:rPr>
          <w:rFonts w:hint="eastAsia" w:cs="Times New Roman"/>
          <w:color w:val="auto"/>
        </w:rPr>
        <w:t xml:space="preserve"> 与《畜禽养殖业污染治理工程技术规范》（HJ497-2009</w:t>
      </w:r>
      <w:r>
        <w:rPr>
          <w:rFonts w:hint="eastAsia" w:cs="Times New Roman"/>
          <w:color w:val="auto"/>
          <w:lang w:eastAsia="zh-CN"/>
        </w:rPr>
        <w:t>）符合性</w:t>
      </w:r>
    </w:p>
    <w:p>
      <w:pPr>
        <w:snapToGrid w:val="0"/>
        <w:ind w:firstLine="480" w:firstLineChars="200"/>
        <w:rPr>
          <w:rFonts w:hint="eastAsia" w:ascii="Times New Roman" w:hAnsi="Times New Roman" w:eastAsia="宋体" w:cs="Times New Roman"/>
          <w:b/>
          <w:bCs/>
          <w:color w:val="auto"/>
          <w:lang w:val="en-US" w:eastAsia="zh-CN"/>
        </w:rPr>
      </w:pPr>
      <w:r>
        <w:rPr>
          <w:rFonts w:ascii="Times New Roman" w:hAnsi="Times New Roman" w:cs="Times New Roman"/>
          <w:bCs/>
          <w:color w:val="auto"/>
          <w:sz w:val="24"/>
          <w:szCs w:val="24"/>
        </w:rPr>
        <w:t>项目</w:t>
      </w:r>
      <w:r>
        <w:rPr>
          <w:rFonts w:hint="eastAsia" w:ascii="Times New Roman" w:hAnsi="Times New Roman" w:cs="Times New Roman"/>
          <w:bCs/>
          <w:color w:val="auto"/>
          <w:sz w:val="24"/>
          <w:szCs w:val="24"/>
          <w:lang w:eastAsia="zh-CN"/>
        </w:rPr>
        <w:t>与《畜禽养殖业污染治理工程技术规范》（HJ497-2009）的符合性分析见下表。</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与《畜禽养殖业污染治理工程技术规范》（HJ497-2009）符合情况一览表</w:t>
      </w:r>
    </w:p>
    <w:tbl>
      <w:tblPr>
        <w:tblStyle w:val="88"/>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4263"/>
        <w:gridCol w:w="3177"/>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710" w:type="dxa"/>
            <w:gridSpan w:val="2"/>
            <w:tcBorders>
              <w:tl2br w:val="nil"/>
              <w:tr2bl w:val="nil"/>
            </w:tcBorders>
            <w:vAlign w:val="center"/>
          </w:tcPr>
          <w:p>
            <w:pPr>
              <w:pStyle w:val="942"/>
              <w:keepNext w:val="0"/>
              <w:keepLines w:val="0"/>
              <w:suppressLineNumbers w:val="0"/>
              <w:spacing w:before="0" w:beforeAutospacing="0" w:after="0" w:afterAutospacing="0"/>
              <w:ind w:left="0" w:right="0"/>
              <w:jc w:val="center"/>
              <w:rPr>
                <w:rFonts w:hint="default" w:cs="Times New Roman"/>
                <w:color w:val="auto"/>
                <w:szCs w:val="21"/>
              </w:rPr>
            </w:pPr>
            <w:r>
              <w:rPr>
                <w:rFonts w:hint="default" w:ascii="Times New Roman" w:hAnsi="Times New Roman" w:eastAsia="宋体" w:cs="Times New Roman"/>
                <w:b/>
                <w:bCs/>
                <w:color w:val="auto"/>
              </w:rPr>
              <w:t>《畜禽养殖业污染治理工程技术规范》</w:t>
            </w:r>
            <w:r>
              <w:rPr>
                <w:rFonts w:hint="eastAsia" w:cs="Times New Roman"/>
                <w:color w:val="auto"/>
                <w:szCs w:val="21"/>
              </w:rPr>
              <w:t>相关要求</w:t>
            </w:r>
          </w:p>
        </w:tc>
        <w:tc>
          <w:tcPr>
            <w:tcW w:w="3177" w:type="dxa"/>
            <w:tcBorders>
              <w:tl2br w:val="nil"/>
              <w:tr2bl w:val="nil"/>
            </w:tcBorders>
            <w:vAlign w:val="center"/>
          </w:tcPr>
          <w:p>
            <w:pPr>
              <w:pStyle w:val="942"/>
              <w:keepNext w:val="0"/>
              <w:keepLines w:val="0"/>
              <w:suppressLineNumbers w:val="0"/>
              <w:spacing w:before="0" w:beforeAutospacing="0" w:after="0" w:afterAutospacing="0"/>
              <w:ind w:left="0" w:right="0"/>
              <w:jc w:val="center"/>
              <w:rPr>
                <w:rFonts w:hint="default" w:cs="Times New Roman"/>
                <w:color w:val="auto"/>
                <w:szCs w:val="21"/>
              </w:rPr>
            </w:pPr>
            <w:r>
              <w:rPr>
                <w:rFonts w:hint="eastAsia" w:cs="Times New Roman"/>
                <w:color w:val="auto"/>
                <w:szCs w:val="21"/>
              </w:rPr>
              <w:t>本项目情况</w:t>
            </w:r>
          </w:p>
        </w:tc>
        <w:tc>
          <w:tcPr>
            <w:tcW w:w="617" w:type="dxa"/>
            <w:tcBorders>
              <w:tl2br w:val="nil"/>
              <w:tr2bl w:val="nil"/>
            </w:tcBorders>
            <w:vAlign w:val="center"/>
          </w:tcPr>
          <w:p>
            <w:pPr>
              <w:pStyle w:val="942"/>
              <w:keepNext w:val="0"/>
              <w:keepLines w:val="0"/>
              <w:suppressLineNumbers w:val="0"/>
              <w:spacing w:before="0" w:beforeAutospacing="0" w:after="0" w:afterAutospacing="0"/>
              <w:ind w:left="0" w:right="0"/>
              <w:jc w:val="center"/>
              <w:rPr>
                <w:rFonts w:hint="default" w:cs="Times New Roman"/>
                <w:color w:val="auto"/>
                <w:szCs w:val="21"/>
              </w:rPr>
            </w:pPr>
            <w:r>
              <w:rPr>
                <w:rFonts w:hint="eastAsia"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lang w:eastAsia="zh-CN"/>
              </w:rPr>
            </w:pP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lang w:eastAsia="zh-CN"/>
              </w:rPr>
            </w:pPr>
          </w:p>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lang w:eastAsia="zh-CN"/>
              </w:rPr>
              <w:t>选址要求</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畜禽养殖业污染治理工程应与养殖场生产区、居民区等建筑保持一定的卫生防护距离，设置在畜禽养殖场的生产区、生活区主导风向的下风向或侧风向处</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rPr>
              <w:t>本项目污染治理工程设置在生产区、生活区主导风向的下风向，并保持了</w:t>
            </w:r>
            <w:r>
              <w:rPr>
                <w:rFonts w:hint="eastAsia" w:ascii="Times New Roman" w:hAnsi="Times New Roman"/>
                <w:color w:val="auto"/>
                <w:sz w:val="21"/>
                <w:lang w:val="en-US" w:eastAsia="zh-CN"/>
              </w:rPr>
              <w:t>200m</w:t>
            </w:r>
            <w:r>
              <w:rPr>
                <w:rFonts w:hint="eastAsia" w:ascii="Times New Roman" w:hAnsi="Times New Roman"/>
                <w:color w:val="auto"/>
                <w:sz w:val="21"/>
              </w:rPr>
              <w:t>的卫生防护距离</w:t>
            </w:r>
            <w:r>
              <w:rPr>
                <w:rFonts w:hint="eastAsia" w:ascii="Times New Roman" w:hAnsi="Times New Roman"/>
                <w:color w:val="auto"/>
                <w:sz w:val="21"/>
                <w:lang w:eastAsia="zh-CN"/>
              </w:rPr>
              <w:t>。</w:t>
            </w:r>
          </w:p>
        </w:tc>
        <w:tc>
          <w:tcPr>
            <w:tcW w:w="61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畜禽养殖业污染治理工程的位置应有利于</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排放、资源化利用和运输，并留有扩建的余</w:t>
            </w:r>
          </w:p>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rPr>
              <w:t>地，方便施工、运行和维护</w:t>
            </w:r>
            <w:r>
              <w:rPr>
                <w:rFonts w:hint="eastAsia" w:ascii="Times New Roman" w:hAnsi="Times New Roman"/>
                <w:color w:val="auto"/>
                <w:sz w:val="21"/>
                <w:lang w:eastAsia="zh-CN"/>
              </w:rPr>
              <w:t>。</w:t>
            </w:r>
          </w:p>
        </w:tc>
        <w:tc>
          <w:tcPr>
            <w:tcW w:w="3177" w:type="dxa"/>
            <w:tcBorders>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本项目污染治理工程位置利于运输，留有扩建余地。</w:t>
            </w:r>
          </w:p>
        </w:tc>
        <w:tc>
          <w:tcPr>
            <w:tcW w:w="617" w:type="dxa"/>
            <w:vMerge w:val="continue"/>
            <w:tcBorders>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lang w:eastAsia="zh-CN"/>
              </w:rPr>
              <w:t>粪污收集</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新建、改建、扩建的畜禽养殖场宜采用干清粪工艺。现采用水冲粪、水泡粪清粪工艺的养殖场，应逐步改为干清粪工艺。</w:t>
            </w:r>
          </w:p>
        </w:tc>
        <w:tc>
          <w:tcPr>
            <w:tcW w:w="3177" w:type="dxa"/>
            <w:tcBorders>
              <w:top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采用干清粪工艺</w:t>
            </w:r>
          </w:p>
        </w:tc>
        <w:tc>
          <w:tcPr>
            <w:tcW w:w="617" w:type="dxa"/>
            <w:vMerge w:val="restart"/>
            <w:tcBorders>
              <w:top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lang w:eastAsia="zh-CN"/>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畜禽粪污应日产日清</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rPr>
              <w:t xml:space="preserve">猪粪日产日清 </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lang w:eastAsia="zh-CN"/>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畜禽养殖场应建立排水系统，并实现雨污分</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流</w:t>
            </w:r>
          </w:p>
        </w:tc>
        <w:tc>
          <w:tcPr>
            <w:tcW w:w="3177" w:type="dxa"/>
            <w:tcBorders>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实行雨污分流，建立污水收集系统</w:t>
            </w:r>
          </w:p>
        </w:tc>
        <w:tc>
          <w:tcPr>
            <w:tcW w:w="617" w:type="dxa"/>
            <w:vMerge w:val="continue"/>
            <w:tcBorders>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病死畜禽</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尸体处理</w:t>
            </w:r>
          </w:p>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与处置</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病死畜禽尸体应及时处理，不得随意丢弃，不得出售或作为饲料再利用。畜禽尸体的处理与处置应符合 HJ/T81-2001 第 9 章的规定</w:t>
            </w:r>
          </w:p>
        </w:tc>
        <w:tc>
          <w:tcPr>
            <w:tcW w:w="3177" w:type="dxa"/>
            <w:tcBorders>
              <w:top w:val="single" w:color="000000" w:sz="8" w:space="0"/>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宋体" w:hAnsi="宋体" w:cs="宋体"/>
                <w:color w:val="auto"/>
                <w:sz w:val="21"/>
              </w:rPr>
              <w:t>病死</w:t>
            </w:r>
            <w:r>
              <w:rPr>
                <w:rFonts w:hint="eastAsia" w:ascii="宋体" w:hAnsi="宋体" w:cs="宋体"/>
                <w:color w:val="auto"/>
                <w:sz w:val="21"/>
                <w:lang w:eastAsia="zh-CN"/>
              </w:rPr>
              <w:t>猪</w:t>
            </w:r>
            <w:r>
              <w:rPr>
                <w:rFonts w:hint="eastAsia" w:ascii="宋体" w:hAnsi="宋体" w:cs="宋体"/>
                <w:color w:val="auto"/>
                <w:sz w:val="21"/>
              </w:rPr>
              <w:t>采用无害化降解处理机进行处理</w:t>
            </w:r>
          </w:p>
        </w:tc>
        <w:tc>
          <w:tcPr>
            <w:tcW w:w="617" w:type="dxa"/>
            <w:tcBorders>
              <w:top w:val="single" w:color="000000" w:sz="8" w:space="0"/>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恶臭控制</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养殖场区应通过控制饲养密度、加强舍内通风、采用节水型饮水器、及时清粪、绿化等措施抑制或减少臭气的产生</w:t>
            </w:r>
          </w:p>
        </w:tc>
        <w:tc>
          <w:tcPr>
            <w:tcW w:w="3177" w:type="dxa"/>
            <w:vMerge w:val="restart"/>
            <w:tcBorders>
              <w:top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本项目粪污处理各工艺单</w:t>
            </w:r>
            <w:r>
              <w:rPr>
                <w:rFonts w:hint="eastAsia" w:ascii="Times New Roman" w:hAnsi="Times New Roman"/>
                <w:color w:val="auto"/>
                <w:sz w:val="21"/>
                <w:lang w:eastAsia="zh-CN"/>
              </w:rPr>
              <w:t>元</w:t>
            </w:r>
            <w:r>
              <w:rPr>
                <w:rFonts w:hint="eastAsia" w:ascii="Times New Roman" w:hAnsi="Times New Roman"/>
                <w:color w:val="auto"/>
                <w:sz w:val="21"/>
              </w:rPr>
              <w:t>设计为密闭形式，猪舍采用机械通风、加强管理、日产日清、定期消毒，安装除臭设施等措施除臭</w:t>
            </w:r>
          </w:p>
        </w:tc>
        <w:tc>
          <w:tcPr>
            <w:tcW w:w="617" w:type="dxa"/>
            <w:vMerge w:val="restart"/>
            <w:tcBorders>
              <w:top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粪污处理各工艺单元宜设计为密闭形式，减少恶臭对周围环境的污染</w:t>
            </w:r>
          </w:p>
        </w:tc>
        <w:tc>
          <w:tcPr>
            <w:tcW w:w="317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可采用物理除臭方式，向粪便或舍内投（铺）</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放吸附剂减少臭气的散发，宜采用的吸附剂有沸石、锯末、膨润土以及秸秆、泥炭等含纤维素和木质素较多的材料。</w:t>
            </w:r>
          </w:p>
        </w:tc>
        <w:tc>
          <w:tcPr>
            <w:tcW w:w="317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可采用化学除臭方式，向养殖场区和粪污处</w:t>
            </w:r>
            <w:r>
              <w:rPr>
                <w:rFonts w:hint="eastAsia" w:ascii="Times New Roman" w:hAnsi="Times New Roman"/>
                <w:color w:val="auto"/>
                <w:sz w:val="21"/>
                <w:lang w:eastAsia="zh-CN"/>
              </w:rPr>
              <w:t>水</w:t>
            </w:r>
            <w:r>
              <w:rPr>
                <w:rFonts w:hint="eastAsia" w:ascii="Times New Roman" w:hAnsi="Times New Roman"/>
                <w:color w:val="auto"/>
                <w:sz w:val="21"/>
              </w:rPr>
              <w:t>理厂（站）投加或喷洒化学除臭剂消除或减</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少臭气的产生。宜采用的化学氧化剂有高锰酸钾、重铬酸钾、双氧水、次氯酸钾、臭氧等</w:t>
            </w:r>
          </w:p>
        </w:tc>
        <w:tc>
          <w:tcPr>
            <w:tcW w:w="317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可采用生物除臭方式，如生物过滤法和生物洗涤法等</w:t>
            </w:r>
          </w:p>
        </w:tc>
        <w:tc>
          <w:tcPr>
            <w:tcW w:w="317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bl>
    <w:p>
      <w:pPr>
        <w:adjustRightInd w:val="0"/>
        <w:snapToGrid w:val="0"/>
        <w:ind w:firstLine="518" w:firstLineChars="216"/>
        <w:rPr>
          <w:rFonts w:hint="eastAsia" w:ascii="Times New Roman" w:hAnsi="Times New Roman" w:cs="Times New Roman"/>
          <w:bCs/>
          <w:color w:val="auto"/>
          <w:sz w:val="24"/>
          <w:szCs w:val="24"/>
          <w:lang w:eastAsia="zh-CN"/>
        </w:rPr>
      </w:pPr>
      <w:r>
        <w:rPr>
          <w:rFonts w:hint="eastAsia" w:ascii="Times New Roman" w:hAnsi="Times New Roman" w:cs="Times New Roman"/>
          <w:bCs/>
          <w:color w:val="auto"/>
          <w:sz w:val="24"/>
          <w:szCs w:val="24"/>
          <w:lang w:eastAsia="zh-CN"/>
        </w:rPr>
        <w:t>由上表可知，项目满足《畜禽养殖业污染治理工程技术规范》（HJ497－2009）要求。</w:t>
      </w:r>
    </w:p>
    <w:p>
      <w:pPr>
        <w:pStyle w:val="8"/>
        <w:bidi w:val="0"/>
        <w:rPr>
          <w:rFonts w:hint="eastAsia" w:cs="Times New Roman"/>
          <w:color w:val="auto"/>
          <w:lang w:eastAsia="zh-CN"/>
        </w:rPr>
      </w:pPr>
      <w:r>
        <w:rPr>
          <w:rFonts w:hint="eastAsia" w:cs="Times New Roman"/>
          <w:color w:val="auto"/>
        </w:rPr>
        <w:t xml:space="preserve"> 与《农产品安全质量—无公害畜禽肉产地环境要求</w:t>
      </w:r>
      <w:r>
        <w:rPr>
          <w:rFonts w:hint="eastAsia" w:cs="Times New Roman"/>
          <w:color w:val="auto"/>
          <w:lang w:eastAsia="zh-CN"/>
        </w:rPr>
        <w:t>》</w:t>
      </w:r>
      <w:r>
        <w:rPr>
          <w:rFonts w:hint="eastAsia" w:cs="Times New Roman"/>
          <w:color w:val="auto"/>
        </w:rPr>
        <w:t>（GB/T18407.3—2001</w:t>
      </w:r>
      <w:r>
        <w:rPr>
          <w:rFonts w:hint="eastAsia" w:cs="Times New Roman"/>
          <w:color w:val="auto"/>
          <w:lang w:eastAsia="zh-CN"/>
        </w:rPr>
        <w:t>）符合性分析</w:t>
      </w:r>
    </w:p>
    <w:p>
      <w:pPr>
        <w:adjustRightInd w:val="0"/>
        <w:snapToGrid w:val="0"/>
        <w:spacing w:line="360" w:lineRule="auto"/>
        <w:ind w:firstLine="518" w:firstLineChars="216"/>
        <w:rPr>
          <w:rFonts w:hint="eastAsia" w:ascii="宋体" w:hAnsi="宋体" w:eastAsia="宋体" w:cs="宋体"/>
          <w:b/>
          <w:bCs/>
          <w:color w:val="auto"/>
          <w:sz w:val="24"/>
          <w:szCs w:val="24"/>
          <w:lang w:val="en-US" w:eastAsia="zh-CN"/>
        </w:rPr>
      </w:pPr>
      <w:r>
        <w:rPr>
          <w:rFonts w:hint="eastAsia" w:ascii="宋体" w:hAnsi="宋体" w:eastAsia="宋体" w:cs="宋体"/>
          <w:bCs/>
          <w:color w:val="auto"/>
          <w:sz w:val="24"/>
          <w:szCs w:val="24"/>
          <w:lang w:eastAsia="zh-CN"/>
        </w:rPr>
        <w:t>本项目与《农产品安全质量—无公害畜禽肉产地环境要求》（</w:t>
      </w:r>
      <w:r>
        <w:rPr>
          <w:rFonts w:hint="default" w:ascii="Times New Roman" w:hAnsi="Times New Roman" w:eastAsia="宋体" w:cs="Times New Roman"/>
          <w:bCs/>
          <w:color w:val="auto"/>
          <w:sz w:val="24"/>
          <w:szCs w:val="24"/>
          <w:lang w:eastAsia="zh-CN"/>
        </w:rPr>
        <w:t>GB/T18407.3—2001</w:t>
      </w:r>
      <w:r>
        <w:rPr>
          <w:rFonts w:hint="eastAsia" w:ascii="宋体" w:hAnsi="宋体" w:eastAsia="宋体" w:cs="宋体"/>
          <w:bCs/>
          <w:color w:val="auto"/>
          <w:sz w:val="24"/>
          <w:szCs w:val="24"/>
          <w:lang w:eastAsia="zh-CN"/>
        </w:rPr>
        <w:t>）符合性分析见下表。</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项目与《农产品安全质量</w:t>
      </w:r>
      <w:r>
        <w:rPr>
          <w:rFonts w:hint="eastAsia" w:ascii="Times New Roman" w:hAnsi="Times New Roman" w:eastAsia="宋体" w:cs="Times New Roman"/>
          <w:b/>
          <w:bCs/>
          <w:color w:val="auto"/>
          <w:lang w:eastAsia="zh-CN"/>
        </w:rPr>
        <w:t>—</w:t>
      </w:r>
      <w:r>
        <w:rPr>
          <w:rFonts w:hint="default" w:ascii="Times New Roman" w:hAnsi="Times New Roman" w:eastAsia="宋体" w:cs="Times New Roman"/>
          <w:b/>
          <w:bCs/>
          <w:color w:val="auto"/>
        </w:rPr>
        <w:t>无公害畜禽肉产地环境要求》符合情况一览表</w:t>
      </w:r>
    </w:p>
    <w:tbl>
      <w:tblPr>
        <w:tblStyle w:val="88"/>
        <w:tblW w:w="850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4263"/>
        <w:gridCol w:w="3177"/>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序号</w:t>
            </w:r>
          </w:p>
        </w:tc>
        <w:tc>
          <w:tcPr>
            <w:tcW w:w="4263"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《农产品安全质量—无公害畜禽肉产地环境要求》的内容</w:t>
            </w:r>
          </w:p>
        </w:tc>
        <w:tc>
          <w:tcPr>
            <w:tcW w:w="317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本项目情况</w:t>
            </w:r>
          </w:p>
        </w:tc>
        <w:tc>
          <w:tcPr>
            <w:tcW w:w="61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1</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畜禽养殖地必须选择在生态环境良好、无或不直接受工业“三废”及农业、城镇生活、医疗废弃物污染的生产区域。选址应参照国家相关标准的规定，避开水源保护区、风景名胜区、人口密集区等环境敏感地区，符合环境保护、兽医防疫要求。</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本项目周围为农村环境，生态环境良好，且周边无水源保护区、风景名胜区、人口密集区等环境敏感区</w:t>
            </w:r>
          </w:p>
        </w:tc>
        <w:tc>
          <w:tcPr>
            <w:tcW w:w="61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2</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养殖区周围500m范围内无水源，且无对产地环境构成威胁的污染源，包括工业“三废”、农业废弃物、医院污水及废弃物、城市垃圾和生活污水等污染物。</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本项目废水不外排，且无对产地环境构成威胁的污染源</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3</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与水源有关的地方病高发区，不能作为无公害畜禽肉类产品生产、加工地。</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rPr>
              <w:t>项目用地不属于地方病高发</w:t>
            </w:r>
            <w:r>
              <w:rPr>
                <w:rFonts w:hint="eastAsia" w:ascii="Times New Roman" w:hAnsi="Times New Roman"/>
                <w:color w:val="auto"/>
                <w:sz w:val="21"/>
                <w:lang w:eastAsia="zh-CN"/>
              </w:rPr>
              <w:t>区</w:t>
            </w:r>
          </w:p>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4</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养殖地应设置防止渗漏、径流、飞扬且具一定容量的专用储存设施和场所，设有粪尿污水处理设施，畜禽粪便处理后应符合GB7959和 GB14554的规定，畜禽病害肉尸及其产品无害化处理应符合GB16548的有关规定，排放的生产和加工废水应符合 GB8978 的有关规定。</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宋体" w:hAnsi="宋体" w:cs="宋体"/>
                <w:color w:val="auto"/>
                <w:sz w:val="21"/>
              </w:rPr>
              <w:t>本项目污染治理设施均按规范进行设计</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5</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饲养和加工场地应设有与生产相适应的消毒设施、更衣室、兽医室等，并配备工作所需的仪器设备，肉类加工厂卫生应符合GB12694 的有关规定</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项目设置了相应的消毒室、更衣室等</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bl>
    <w:p>
      <w:pPr>
        <w:pStyle w:val="2"/>
        <w:rPr>
          <w:rFonts w:hint="default" w:ascii="Times New Roman" w:hAnsi="Times New Roman" w:cs="Times New Roman"/>
          <w:color w:val="auto"/>
        </w:rPr>
      </w:pPr>
      <w:r>
        <w:rPr>
          <w:rFonts w:hint="default" w:ascii="Times New Roman" w:hAnsi="Times New Roman" w:cs="Times New Roman"/>
          <w:color w:val="auto"/>
        </w:rPr>
        <w:t>由表</w:t>
      </w:r>
      <w:r>
        <w:rPr>
          <w:rFonts w:hint="default" w:ascii="Times New Roman" w:hAnsi="Times New Roman" w:cs="Times New Roman"/>
          <w:color w:val="auto"/>
          <w:lang w:val="en-US" w:eastAsia="zh-CN"/>
        </w:rPr>
        <w:t>2.6-9</w:t>
      </w:r>
      <w:r>
        <w:rPr>
          <w:rFonts w:hint="default" w:ascii="Times New Roman" w:hAnsi="Times New Roman" w:cs="Times New Roman"/>
          <w:color w:val="auto"/>
        </w:rPr>
        <w:t>可知，项目满足《农产品安全质量—无公害畜禽肉产地环境要求》（GB/T18407.3—2001）要求。</w:t>
      </w:r>
    </w:p>
    <w:p>
      <w:pPr>
        <w:pStyle w:val="8"/>
        <w:bidi w:val="0"/>
        <w:rPr>
          <w:rFonts w:hint="eastAsia" w:cs="Times New Roman"/>
          <w:color w:val="auto"/>
          <w:lang w:eastAsia="zh-CN"/>
        </w:rPr>
      </w:pPr>
      <w:r>
        <w:rPr>
          <w:rFonts w:hint="eastAsia" w:cs="Times New Roman"/>
          <w:color w:val="auto"/>
        </w:rPr>
        <w:t xml:space="preserve"> 与《畜禽养殖业污染防治技术规范》（HJ/T81-2001）</w:t>
      </w:r>
      <w:r>
        <w:rPr>
          <w:rFonts w:hint="eastAsia" w:cs="Times New Roman"/>
          <w:color w:val="auto"/>
          <w:lang w:eastAsia="zh-CN"/>
        </w:rPr>
        <w:t>符合性分析</w:t>
      </w:r>
    </w:p>
    <w:p>
      <w:pPr>
        <w:adjustRightInd w:val="0"/>
        <w:snapToGrid w:val="0"/>
        <w:ind w:firstLine="518" w:firstLineChars="216"/>
        <w:rPr>
          <w:rFonts w:hint="default" w:ascii="Times New Roman" w:hAnsi="Times New Roman" w:eastAsia="宋体" w:cs="Times New Roman"/>
          <w:b/>
          <w:bCs/>
          <w:color w:val="auto"/>
          <w:lang w:val="en-US" w:eastAsia="zh-CN"/>
        </w:rPr>
      </w:pPr>
      <w:r>
        <w:rPr>
          <w:rFonts w:hint="default" w:ascii="Times New Roman" w:hAnsi="Times New Roman" w:eastAsia="宋体" w:cs="Times New Roman"/>
          <w:bCs/>
          <w:color w:val="auto"/>
          <w:sz w:val="24"/>
          <w:szCs w:val="24"/>
          <w:lang w:eastAsia="zh-CN"/>
        </w:rPr>
        <w:t>项目与《畜禽养殖业污染防治技术规范》（HJ/T81-2001）符合性分析见下表。</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项目与《畜禽养殖业污染防治技术规范》（HJ/T81-2001 ）符合情况一览表</w:t>
      </w:r>
    </w:p>
    <w:tbl>
      <w:tblPr>
        <w:tblStyle w:val="88"/>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4263"/>
        <w:gridCol w:w="3177"/>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710" w:type="dxa"/>
            <w:gridSpan w:val="2"/>
            <w:tcBorders>
              <w:tl2br w:val="nil"/>
              <w:tr2bl w:val="nil"/>
            </w:tcBorders>
            <w:vAlign w:val="center"/>
          </w:tcPr>
          <w:p>
            <w:pPr>
              <w:pStyle w:val="942"/>
              <w:keepNext w:val="0"/>
              <w:keepLines w:val="0"/>
              <w:suppressLineNumbers w:val="0"/>
              <w:spacing w:before="0" w:beforeAutospacing="0" w:after="0" w:afterAutospacing="0"/>
              <w:ind w:left="0" w:right="0"/>
              <w:jc w:val="center"/>
              <w:rPr>
                <w:rFonts w:hint="default" w:cs="Times New Roman"/>
                <w:color w:val="auto"/>
                <w:szCs w:val="21"/>
              </w:rPr>
            </w:pPr>
            <w:r>
              <w:rPr>
                <w:rFonts w:hint="eastAsia"/>
                <w:color w:val="auto"/>
              </w:rPr>
              <w:t>《畜禽养殖业污染防治技术规范》的要求</w:t>
            </w:r>
          </w:p>
        </w:tc>
        <w:tc>
          <w:tcPr>
            <w:tcW w:w="3177" w:type="dxa"/>
            <w:tcBorders>
              <w:tl2br w:val="nil"/>
              <w:tr2bl w:val="nil"/>
            </w:tcBorders>
            <w:vAlign w:val="center"/>
          </w:tcPr>
          <w:p>
            <w:pPr>
              <w:pStyle w:val="942"/>
              <w:keepNext w:val="0"/>
              <w:keepLines w:val="0"/>
              <w:suppressLineNumbers w:val="0"/>
              <w:spacing w:before="0" w:beforeAutospacing="0" w:after="0" w:afterAutospacing="0"/>
              <w:ind w:left="0" w:right="0"/>
              <w:jc w:val="center"/>
              <w:rPr>
                <w:rFonts w:hint="default" w:cs="Times New Roman"/>
                <w:color w:val="auto"/>
                <w:szCs w:val="21"/>
              </w:rPr>
            </w:pPr>
            <w:r>
              <w:rPr>
                <w:rFonts w:hint="eastAsia" w:cs="Times New Roman"/>
                <w:color w:val="auto"/>
                <w:szCs w:val="21"/>
              </w:rPr>
              <w:t>本项目情况</w:t>
            </w:r>
          </w:p>
        </w:tc>
        <w:tc>
          <w:tcPr>
            <w:tcW w:w="617" w:type="dxa"/>
            <w:tcBorders>
              <w:tl2br w:val="nil"/>
              <w:tr2bl w:val="nil"/>
            </w:tcBorders>
            <w:vAlign w:val="center"/>
          </w:tcPr>
          <w:p>
            <w:pPr>
              <w:pStyle w:val="942"/>
              <w:keepNext w:val="0"/>
              <w:keepLines w:val="0"/>
              <w:suppressLineNumbers w:val="0"/>
              <w:spacing w:before="0" w:beforeAutospacing="0" w:after="0" w:afterAutospacing="0"/>
              <w:ind w:left="0" w:right="0"/>
              <w:jc w:val="center"/>
              <w:rPr>
                <w:rFonts w:hint="default" w:cs="Times New Roman"/>
                <w:color w:val="auto"/>
                <w:szCs w:val="21"/>
              </w:rPr>
            </w:pPr>
            <w:r>
              <w:rPr>
                <w:rFonts w:hint="eastAsia"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lang w:eastAsia="zh-CN"/>
              </w:rPr>
              <w:t>选址要求</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畜禽养殖场应避开以下禁建区域：生活饮用水</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水源保护区、风景名胜区、自然保护区的核心区及缓冲区；城市和城镇居民区，包括文教科</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研区、医疗区、商业区、工业区、游览区等人</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口集中地区；县级人民政府依法划定的禁养区</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域；国家或地方法律、法规规定需特殊保护的</w:t>
            </w:r>
          </w:p>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rPr>
              <w:t>其他区域</w:t>
            </w:r>
            <w:r>
              <w:rPr>
                <w:rFonts w:hint="eastAsia" w:ascii="Times New Roman" w:hAnsi="Times New Roman"/>
                <w:color w:val="auto"/>
                <w:sz w:val="21"/>
                <w:lang w:eastAsia="zh-CN"/>
              </w:rPr>
              <w:t>。</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本项目不在禁养区域内</w:t>
            </w:r>
          </w:p>
        </w:tc>
        <w:tc>
          <w:tcPr>
            <w:tcW w:w="61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486"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新建改建、扩建的畜禽养殖场选址应避开规定</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的禁建区域，在禁建区域附近建设的，应设在</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上述禁建区域常年主导风向的下风向或侧风向</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处，场界与禁建区域边界的最小距离不得小于</w:t>
            </w:r>
          </w:p>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500m。</w:t>
            </w:r>
          </w:p>
        </w:tc>
        <w:tc>
          <w:tcPr>
            <w:tcW w:w="3177" w:type="dxa"/>
            <w:tcBorders>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lang w:eastAsia="zh-CN"/>
              </w:rPr>
              <w:t>本项目不在</w:t>
            </w:r>
            <w:r>
              <w:rPr>
                <w:rFonts w:hint="eastAsia" w:ascii="Times New Roman" w:hAnsi="Times New Roman"/>
                <w:color w:val="auto"/>
                <w:sz w:val="21"/>
              </w:rPr>
              <w:t>禁建区域</w:t>
            </w:r>
          </w:p>
        </w:tc>
        <w:tc>
          <w:tcPr>
            <w:tcW w:w="617" w:type="dxa"/>
            <w:vMerge w:val="continue"/>
            <w:tcBorders>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lang w:eastAsia="zh-CN"/>
              </w:rPr>
              <w:t>厂区布局与清粪工艺</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新建、改建、扩建的畜禽养殖场应实现生产区、</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生活管理区的隔离，粪便污水处理设施和畜禽</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尸体焚烧炉应设在养殖场的生产区、生活管理</w:t>
            </w:r>
          </w:p>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区的常年主导风向的下风向或侧风向。</w:t>
            </w:r>
          </w:p>
        </w:tc>
        <w:tc>
          <w:tcPr>
            <w:tcW w:w="3177" w:type="dxa"/>
            <w:tcBorders>
              <w:top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本项目生产区、生活管理区进行了分区</w:t>
            </w:r>
          </w:p>
        </w:tc>
        <w:tc>
          <w:tcPr>
            <w:tcW w:w="617" w:type="dxa"/>
            <w:vMerge w:val="restart"/>
            <w:tcBorders>
              <w:top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养殖场的排水系统应实行雨水和污水收集输送</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系统分离，在厂区内外设置的污水收集输送系</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统，不得采取明沟布设。</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本工程排水实行雨污分离</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新建、改建、扩建的畜禽养殖场应采取干清粪</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工艺，采取有效措施将粪及时、单独清出，不</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可与尿、污水混合排出，并将产生的粪渣及时</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运至贮存或处理场所，实现日产日清。采用水</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冲粪、水泡粪湿法清粪工艺的养殖场，要逐步</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改为干清粪工艺。</w:t>
            </w:r>
          </w:p>
        </w:tc>
        <w:tc>
          <w:tcPr>
            <w:tcW w:w="3177" w:type="dxa"/>
            <w:tcBorders>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本项目采用干清粪工艺</w:t>
            </w:r>
          </w:p>
        </w:tc>
        <w:tc>
          <w:tcPr>
            <w:tcW w:w="617" w:type="dxa"/>
            <w:vMerge w:val="continue"/>
            <w:tcBorders>
              <w:bottom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r>
              <w:rPr>
                <w:rFonts w:hint="eastAsia" w:ascii="Times New Roman" w:hAnsi="Times New Roman"/>
                <w:color w:val="auto"/>
                <w:sz w:val="21"/>
                <w:lang w:eastAsia="zh-CN"/>
              </w:rPr>
              <w:t>畜禽粪便的贮存</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畜禽养殖场产生的畜禽粪便应设置专门的贮存</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设施，其恶臭及污染物排放应符合《畜禽养殖</w:t>
            </w:r>
          </w:p>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业污染物排放标准》。</w:t>
            </w:r>
          </w:p>
        </w:tc>
        <w:tc>
          <w:tcPr>
            <w:tcW w:w="3177" w:type="dxa"/>
            <w:tcBorders>
              <w:top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宋体" w:hAnsi="宋体" w:cs="宋体"/>
                <w:color w:val="auto"/>
                <w:sz w:val="21"/>
              </w:rPr>
              <w:t>畜禽粪便设置了专门的贮存设施，恶臭及污染物经处理后满足排放要求</w:t>
            </w:r>
          </w:p>
        </w:tc>
        <w:tc>
          <w:tcPr>
            <w:tcW w:w="617" w:type="dxa"/>
            <w:vMerge w:val="restart"/>
            <w:tcBorders>
              <w:top w:val="single" w:color="000000" w:sz="8" w:space="0"/>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lang w:eastAsia="zh-CN"/>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eastAsia" w:ascii="Times New Roman" w:hAnsi="Times New Roman"/>
                <w:color w:val="auto"/>
                <w:sz w:val="21"/>
              </w:rPr>
              <w:t>贮存设施的位置必须远离各类功能地表水体</w:t>
            </w:r>
            <w:r>
              <w:rPr>
                <w:rFonts w:hint="eastAsia" w:ascii="Times New Roman" w:hAnsi="Times New Roman"/>
                <w:color w:val="auto"/>
                <w:sz w:val="21"/>
                <w:lang w:eastAsia="zh-CN"/>
              </w:rPr>
              <w:t>（</w:t>
            </w:r>
            <w:r>
              <w:rPr>
                <w:rFonts w:hint="eastAsia" w:ascii="Times New Roman" w:hAnsi="Times New Roman"/>
                <w:color w:val="auto"/>
                <w:sz w:val="21"/>
              </w:rPr>
              <w:t>距离不得小于400m），并应设在养殖场生产及生活管理区的常年主导风的下风向或侧风向处。</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r>
              <w:rPr>
                <w:rFonts w:hint="default" w:ascii="Times New Roman" w:hAnsi="Times New Roman"/>
                <w:color w:val="auto"/>
                <w:sz w:val="21"/>
              </w:rPr>
              <w:t>本项目的粪便直接送堆肥车间加工为有机肥，堆肥车间周围</w:t>
            </w:r>
            <w:r>
              <w:rPr>
                <w:rFonts w:hint="eastAsia" w:ascii="Times New Roman" w:hAnsi="Times New Roman"/>
                <w:color w:val="auto"/>
                <w:sz w:val="21"/>
                <w:lang w:val="en-US" w:eastAsia="zh-CN"/>
              </w:rPr>
              <w:t>5</w:t>
            </w:r>
            <w:r>
              <w:rPr>
                <w:rFonts w:hint="default" w:ascii="Times New Roman" w:hAnsi="Times New Roman"/>
                <w:color w:val="auto"/>
                <w:sz w:val="21"/>
              </w:rPr>
              <w:t>00m范围内无功能性地表水体，位于养殖场生产及生活管理区的常年主导风的下风向。</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lang w:val="en-US" w:eastAsia="zh-CN"/>
              </w:rPr>
            </w:pP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贮存设施应采取有效的防渗处理工艺，防止畜</w:t>
            </w:r>
          </w:p>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禽粪便污染地下水。</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eastAsia" w:ascii="Times New Roman" w:hAnsi="Times New Roman"/>
                <w:color w:val="auto"/>
                <w:sz w:val="21"/>
              </w:rPr>
            </w:pPr>
            <w:r>
              <w:rPr>
                <w:rFonts w:hint="eastAsia" w:ascii="Times New Roman" w:hAnsi="Times New Roman"/>
                <w:color w:val="auto"/>
                <w:sz w:val="21"/>
              </w:rPr>
              <w:t>贮存设施采取了重点防渗</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jc w:val="center"/>
              <w:rPr>
                <w:rFonts w:hint="default" w:ascii="Times New Roman" w:hAnsi="Times New Roman"/>
                <w:color w:val="auto"/>
                <w:sz w:val="21"/>
              </w:rPr>
            </w:pPr>
          </w:p>
        </w:tc>
      </w:tr>
    </w:tbl>
    <w:p>
      <w:pPr>
        <w:adjustRightInd w:val="0"/>
        <w:snapToGrid w:val="0"/>
        <w:spacing w:line="360" w:lineRule="auto"/>
        <w:ind w:firstLine="518" w:firstLineChars="216"/>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由表</w:t>
      </w:r>
      <w:r>
        <w:rPr>
          <w:rFonts w:hint="default" w:ascii="Times New Roman" w:hAnsi="Times New Roman" w:eastAsia="宋体" w:cs="Times New Roman"/>
          <w:color w:val="auto"/>
          <w:sz w:val="24"/>
          <w:szCs w:val="24"/>
          <w:lang w:val="en-US" w:eastAsia="zh-CN"/>
        </w:rPr>
        <w:t>2.6-10</w:t>
      </w:r>
      <w:r>
        <w:rPr>
          <w:rFonts w:hint="default" w:ascii="Times New Roman" w:hAnsi="Times New Roman" w:eastAsia="宋体" w:cs="Times New Roman"/>
          <w:color w:val="auto"/>
          <w:sz w:val="24"/>
          <w:szCs w:val="24"/>
        </w:rPr>
        <w:t>可知，项目满足《农产品安全质量—无公害畜禽肉产地环境要求》（GB/T18407.3—2001）要求。</w:t>
      </w:r>
    </w:p>
    <w:p>
      <w:pPr>
        <w:pStyle w:val="8"/>
        <w:bidi w:val="0"/>
        <w:spacing w:line="360" w:lineRule="auto"/>
        <w:rPr>
          <w:rFonts w:hint="eastAsia" w:cs="Times New Roman"/>
          <w:color w:val="auto"/>
          <w:lang w:eastAsia="zh-CN"/>
        </w:rPr>
      </w:pPr>
      <w:r>
        <w:rPr>
          <w:rFonts w:hint="eastAsia" w:cs="Times New Roman"/>
          <w:color w:val="auto"/>
        </w:rPr>
        <w:t xml:space="preserve"> 与《动物防疫条件审查办法》</w:t>
      </w:r>
      <w:r>
        <w:rPr>
          <w:rFonts w:hint="eastAsia" w:cs="Times New Roman"/>
          <w:color w:val="auto"/>
          <w:lang w:eastAsia="zh-CN"/>
        </w:rPr>
        <w:t>（</w:t>
      </w:r>
      <w:r>
        <w:rPr>
          <w:rFonts w:hint="eastAsia" w:cs="Times New Roman"/>
          <w:color w:val="auto"/>
        </w:rPr>
        <w:t>农业部，2010年第</w:t>
      </w:r>
      <w:r>
        <w:rPr>
          <w:rFonts w:hint="eastAsia" w:cs="Times New Roman"/>
          <w:color w:val="auto"/>
          <w:lang w:val="en-US" w:eastAsia="zh-CN"/>
        </w:rPr>
        <w:t>7</w:t>
      </w:r>
      <w:r>
        <w:rPr>
          <w:rFonts w:hint="eastAsia" w:cs="Times New Roman"/>
          <w:color w:val="auto"/>
        </w:rPr>
        <w:t>号令）的</w:t>
      </w:r>
      <w:r>
        <w:rPr>
          <w:rFonts w:hint="eastAsia" w:cs="Times New Roman"/>
          <w:color w:val="auto"/>
          <w:lang w:eastAsia="zh-CN"/>
        </w:rPr>
        <w:t>符合性分析</w:t>
      </w:r>
    </w:p>
    <w:p>
      <w:pPr>
        <w:adjustRightInd w:val="0"/>
        <w:snapToGrid w:val="0"/>
        <w:spacing w:line="360" w:lineRule="auto"/>
        <w:ind w:firstLine="518" w:firstLineChars="216"/>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本项目选址与《动物防疫条件审查办法》中动物饲养场、养殖小区</w:t>
      </w:r>
      <w:r>
        <w:rPr>
          <w:rFonts w:hint="eastAsia" w:ascii="Times New Roman" w:hAnsi="Times New Roman" w:eastAsia="宋体" w:cs="Times New Roman"/>
          <w:color w:val="auto"/>
          <w:sz w:val="24"/>
          <w:szCs w:val="24"/>
          <w:lang w:eastAsia="zh-CN"/>
        </w:rPr>
        <w:t>选址</w:t>
      </w:r>
      <w:r>
        <w:rPr>
          <w:rFonts w:hint="default" w:ascii="Times New Roman" w:hAnsi="Times New Roman" w:eastAsia="宋体" w:cs="Times New Roman"/>
          <w:color w:val="auto"/>
          <w:sz w:val="24"/>
          <w:szCs w:val="24"/>
          <w:lang w:eastAsia="zh-CN"/>
        </w:rPr>
        <w:t>要求符合性分析见表</w:t>
      </w:r>
      <w:r>
        <w:rPr>
          <w:rFonts w:hint="eastAsia" w:ascii="Times New Roman" w:hAnsi="Times New Roman" w:eastAsia="宋体" w:cs="Times New Roman"/>
          <w:color w:val="auto"/>
          <w:sz w:val="24"/>
          <w:szCs w:val="24"/>
          <w:lang w:val="en-US" w:eastAsia="zh-CN"/>
        </w:rPr>
        <w:t>2.6-11</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项目与《动物防疫条件审查办法》符合情况一览表</w:t>
      </w:r>
    </w:p>
    <w:tbl>
      <w:tblPr>
        <w:tblStyle w:val="88"/>
        <w:tblW w:w="850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4263"/>
        <w:gridCol w:w="3177"/>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序号</w:t>
            </w:r>
          </w:p>
        </w:tc>
        <w:tc>
          <w:tcPr>
            <w:tcW w:w="4263" w:type="dxa"/>
            <w:tcBorders>
              <w:tl2br w:val="nil"/>
              <w:tr2bl w:val="nil"/>
            </w:tcBorders>
            <w:vAlign w:val="center"/>
          </w:tcPr>
          <w:p>
            <w:pPr>
              <w:pStyle w:val="942"/>
              <w:keepNext w:val="0"/>
              <w:keepLines w:val="0"/>
              <w:suppressLineNumbers w:val="0"/>
              <w:spacing w:before="0" w:beforeAutospacing="0" w:after="0" w:afterAutospacing="0"/>
              <w:ind w:left="0" w:right="0"/>
              <w:rPr>
                <w:rFonts w:hint="eastAsia" w:eastAsia="宋体" w:cs="Times New Roman"/>
                <w:color w:val="auto"/>
                <w:szCs w:val="21"/>
                <w:lang w:eastAsia="zh-CN"/>
              </w:rPr>
            </w:pPr>
            <w:r>
              <w:rPr>
                <w:rFonts w:hint="eastAsia" w:cs="Times New Roman"/>
                <w:color w:val="auto"/>
              </w:rPr>
              <w:t>《动物防疫条件审查办法》</w:t>
            </w:r>
            <w:r>
              <w:rPr>
                <w:rFonts w:hint="eastAsia" w:cs="Times New Roman"/>
                <w:color w:val="auto"/>
                <w:lang w:eastAsia="zh-CN"/>
              </w:rPr>
              <w:t>的相关要求</w:t>
            </w:r>
          </w:p>
        </w:tc>
        <w:tc>
          <w:tcPr>
            <w:tcW w:w="317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本项目情况</w:t>
            </w:r>
          </w:p>
        </w:tc>
        <w:tc>
          <w:tcPr>
            <w:tcW w:w="61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1</w:t>
            </w:r>
          </w:p>
        </w:tc>
        <w:tc>
          <w:tcPr>
            <w:tcW w:w="4263" w:type="dxa"/>
            <w:tcBorders>
              <w:tl2br w:val="nil"/>
              <w:tr2bl w:val="nil"/>
            </w:tcBorders>
            <w:vAlign w:val="center"/>
          </w:tcPr>
          <w:p>
            <w:pPr>
              <w:pStyle w:val="262"/>
              <w:keepNext w:val="0"/>
              <w:keepLines w:val="0"/>
              <w:widowControl/>
              <w:numPr>
                <w:ilvl w:val="0"/>
                <w:numId w:val="11"/>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距离生活饮用水源地、动物屠宰加工场所、动物和动物产品集贸市场</w:t>
            </w:r>
            <w:r>
              <w:rPr>
                <w:rFonts w:hint="eastAsia" w:ascii="Times New Roman" w:hAnsi="Times New Roman"/>
                <w:color w:val="auto"/>
                <w:sz w:val="21"/>
                <w:lang w:val="en-US" w:eastAsia="zh-CN"/>
              </w:rPr>
              <w:t>500</w:t>
            </w:r>
            <w:r>
              <w:rPr>
                <w:rFonts w:hint="eastAsia" w:ascii="Times New Roman" w:hAnsi="Times New Roman"/>
                <w:color w:val="auto"/>
                <w:sz w:val="21"/>
              </w:rPr>
              <w:t>米以上；距离种畜禽场1000米以上；距离动物诊疗场所200米以上；动物饲养场（养殖小区）之间距离不少于</w:t>
            </w:r>
            <w:r>
              <w:rPr>
                <w:rFonts w:hint="eastAsia" w:ascii="Times New Roman" w:hAnsi="Times New Roman"/>
                <w:color w:val="auto"/>
                <w:sz w:val="21"/>
                <w:lang w:val="en-US" w:eastAsia="zh-CN"/>
              </w:rPr>
              <w:t>500</w:t>
            </w:r>
            <w:r>
              <w:rPr>
                <w:rFonts w:hint="eastAsia" w:ascii="Times New Roman" w:hAnsi="Times New Roman"/>
                <w:color w:val="auto"/>
                <w:sz w:val="21"/>
              </w:rPr>
              <w:t>米。</w:t>
            </w:r>
          </w:p>
          <w:p>
            <w:pPr>
              <w:pStyle w:val="262"/>
              <w:keepNext w:val="0"/>
              <w:keepLines w:val="0"/>
              <w:widowControl/>
              <w:numPr>
                <w:ilvl w:val="0"/>
                <w:numId w:val="11"/>
              </w:numPr>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距离动物隔离场所、无害化处理场所 3000米以上。</w:t>
            </w:r>
          </w:p>
          <w:p>
            <w:pPr>
              <w:pStyle w:val="262"/>
              <w:keepNext w:val="0"/>
              <w:keepLines w:val="0"/>
              <w:widowControl/>
              <w:numPr>
                <w:ilvl w:val="0"/>
                <w:numId w:val="11"/>
              </w:numPr>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距离城镇居民区、文化教育科研等人口集中区域及公路、铁路等主要交通干线500 米以上。</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default" w:ascii="Times New Roman" w:hAnsi="Times New Roman" w:eastAsia="宋体" w:cs="Times New Roman"/>
                <w:color w:val="auto"/>
                <w:sz w:val="21"/>
              </w:rPr>
              <w:t>项目周边1000m范围内无生活饮用水源地、动物屠宰加工场所、动物和动物产品集贸市场、其它养殖小区、城镇居民区、文化教育科研等人口集中区域及铁路等主要交通干线。</w:t>
            </w:r>
          </w:p>
        </w:tc>
        <w:tc>
          <w:tcPr>
            <w:tcW w:w="61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2</w:t>
            </w:r>
          </w:p>
        </w:tc>
        <w:tc>
          <w:tcPr>
            <w:tcW w:w="4263" w:type="dxa"/>
            <w:tcBorders>
              <w:tl2br w:val="nil"/>
              <w:tr2bl w:val="nil"/>
            </w:tcBorders>
            <w:vAlign w:val="center"/>
          </w:tcPr>
          <w:p>
            <w:pPr>
              <w:pStyle w:val="262"/>
              <w:keepNext w:val="0"/>
              <w:keepLines w:val="0"/>
              <w:widowControl/>
              <w:numPr>
                <w:ilvl w:val="0"/>
                <w:numId w:val="12"/>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场区周围建有围墙；</w:t>
            </w:r>
          </w:p>
          <w:p>
            <w:pPr>
              <w:pStyle w:val="262"/>
              <w:keepNext w:val="0"/>
              <w:keepLines w:val="0"/>
              <w:widowControl/>
              <w:numPr>
                <w:ilvl w:val="0"/>
                <w:numId w:val="12"/>
              </w:numPr>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场区出入口处设置与门同宽，长</w:t>
            </w:r>
            <w:r>
              <w:rPr>
                <w:rFonts w:hint="eastAsia" w:ascii="Times New Roman" w:hAnsi="Times New Roman"/>
                <w:color w:val="auto"/>
                <w:sz w:val="21"/>
                <w:lang w:val="en-US" w:eastAsia="zh-CN"/>
              </w:rPr>
              <w:t>4</w:t>
            </w:r>
            <w:r>
              <w:rPr>
                <w:rFonts w:hint="eastAsia" w:ascii="Times New Roman" w:hAnsi="Times New Roman"/>
                <w:color w:val="auto"/>
                <w:sz w:val="21"/>
              </w:rPr>
              <w:t>米、深</w:t>
            </w:r>
            <w:r>
              <w:rPr>
                <w:rFonts w:hint="eastAsia" w:ascii="Times New Roman" w:hAnsi="Times New Roman"/>
                <w:color w:val="auto"/>
                <w:sz w:val="21"/>
                <w:lang w:val="en-US" w:eastAsia="zh-CN"/>
              </w:rPr>
              <w:t>0.3</w:t>
            </w:r>
            <w:r>
              <w:rPr>
                <w:rFonts w:hint="eastAsia" w:ascii="Times New Roman" w:hAnsi="Times New Roman"/>
                <w:color w:val="auto"/>
                <w:sz w:val="21"/>
              </w:rPr>
              <w:t>米以上的消毒池；</w:t>
            </w:r>
          </w:p>
          <w:p>
            <w:pPr>
              <w:pStyle w:val="262"/>
              <w:keepNext w:val="0"/>
              <w:keepLines w:val="0"/>
              <w:widowControl/>
              <w:numPr>
                <w:ilvl w:val="0"/>
                <w:numId w:val="12"/>
              </w:numPr>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生产区与生活办公区分开，并有隔离设施；</w:t>
            </w:r>
          </w:p>
          <w:p>
            <w:pPr>
              <w:pStyle w:val="262"/>
              <w:keepNext w:val="0"/>
              <w:keepLines w:val="0"/>
              <w:widowControl/>
              <w:numPr>
                <w:ilvl w:val="0"/>
                <w:numId w:val="12"/>
              </w:numPr>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生产区入口处设置更衣消毒室，各养殖栋舍出入口设置消毒池或者消毒垫；</w:t>
            </w:r>
          </w:p>
          <w:p>
            <w:pPr>
              <w:pStyle w:val="262"/>
              <w:keepNext w:val="0"/>
              <w:keepLines w:val="0"/>
              <w:widowControl/>
              <w:numPr>
                <w:ilvl w:val="0"/>
                <w:numId w:val="12"/>
              </w:numPr>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生产区内清洁道、污染道分设；</w:t>
            </w:r>
          </w:p>
          <w:p>
            <w:pPr>
              <w:pStyle w:val="262"/>
              <w:keepNext w:val="0"/>
              <w:keepLines w:val="0"/>
              <w:widowControl/>
              <w:numPr>
                <w:ilvl w:val="0"/>
                <w:numId w:val="12"/>
              </w:numPr>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生产区内各养殖栋舍之间距离在</w:t>
            </w:r>
            <w:r>
              <w:rPr>
                <w:rFonts w:hint="eastAsia" w:ascii="Times New Roman" w:hAnsi="Times New Roman"/>
                <w:color w:val="auto"/>
                <w:sz w:val="21"/>
                <w:lang w:val="en-US" w:eastAsia="zh-CN"/>
              </w:rPr>
              <w:t>5</w:t>
            </w:r>
            <w:r>
              <w:rPr>
                <w:rFonts w:hint="eastAsia" w:ascii="Times New Roman" w:hAnsi="Times New Roman"/>
                <w:color w:val="auto"/>
                <w:sz w:val="21"/>
              </w:rPr>
              <w:t>米以上或者有隔离设施。禽类饲养场、养殖小区内的孵化间与养殖区之间应当设置隔离设施，并配备种蛋熏蒸消毒设施，孵化间的流程应当单向，不得交叉或者回流。</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场区建有围墙,出入口按规范设置了消毒池、生产区与生活办公区进</w:t>
            </w:r>
          </w:p>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eastAsia="宋体" w:cs="Times New Roman"/>
                <w:color w:val="auto"/>
                <w:sz w:val="21"/>
              </w:rPr>
              <w:t>行了分区，建筑距离</w:t>
            </w:r>
            <w:r>
              <w:rPr>
                <w:rFonts w:hint="eastAsia" w:ascii="Times New Roman" w:hAnsi="Times New Roman"/>
                <w:color w:val="auto"/>
                <w:sz w:val="21"/>
              </w:rPr>
              <w:t>满足规范要求。</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3</w:t>
            </w:r>
          </w:p>
        </w:tc>
        <w:tc>
          <w:tcPr>
            <w:tcW w:w="4263" w:type="dxa"/>
            <w:tcBorders>
              <w:tl2br w:val="nil"/>
              <w:tr2bl w:val="nil"/>
            </w:tcBorders>
            <w:vAlign w:val="center"/>
          </w:tcPr>
          <w:p>
            <w:pPr>
              <w:pStyle w:val="262"/>
              <w:keepNext w:val="0"/>
              <w:keepLines w:val="0"/>
              <w:widowControl/>
              <w:numPr>
                <w:ilvl w:val="0"/>
                <w:numId w:val="13"/>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场区入口处配置消毒设备；</w:t>
            </w:r>
          </w:p>
          <w:p>
            <w:pPr>
              <w:pStyle w:val="262"/>
              <w:keepNext w:val="0"/>
              <w:keepLines w:val="0"/>
              <w:widowControl/>
              <w:numPr>
                <w:ilvl w:val="0"/>
                <w:numId w:val="13"/>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生产区有良好的采光、通风设施设备；</w:t>
            </w:r>
          </w:p>
          <w:p>
            <w:pPr>
              <w:pStyle w:val="262"/>
              <w:keepNext w:val="0"/>
              <w:keepLines w:val="0"/>
              <w:widowControl/>
              <w:numPr>
                <w:ilvl w:val="0"/>
                <w:numId w:val="13"/>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圈舍地面和墙壁选用适宜材料，以便清洗消毒；</w:t>
            </w:r>
          </w:p>
          <w:p>
            <w:pPr>
              <w:pStyle w:val="262"/>
              <w:keepNext w:val="0"/>
              <w:keepLines w:val="0"/>
              <w:widowControl/>
              <w:numPr>
                <w:ilvl w:val="0"/>
                <w:numId w:val="13"/>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配备疫苗冷冻（冷藏）设备、消毒和诊疗等防疫设备的兽医室，或者有兽医机构为其提供相应服务；</w:t>
            </w:r>
          </w:p>
          <w:p>
            <w:pPr>
              <w:pStyle w:val="262"/>
              <w:keepNext w:val="0"/>
              <w:keepLines w:val="0"/>
              <w:widowControl/>
              <w:numPr>
                <w:ilvl w:val="0"/>
                <w:numId w:val="13"/>
              </w:numPr>
              <w:suppressLineNumbers w:val="0"/>
              <w:spacing w:before="0" w:beforeAutospacing="0" w:after="0" w:afterAutospacing="0"/>
              <w:ind w:left="0" w:leftChars="0" w:right="0" w:firstLine="0" w:firstLineChars="0"/>
              <w:jc w:val="both"/>
              <w:rPr>
                <w:rFonts w:hint="eastAsia" w:ascii="Times New Roman" w:hAnsi="Times New Roman"/>
                <w:color w:val="auto"/>
                <w:sz w:val="21"/>
              </w:rPr>
            </w:pPr>
            <w:r>
              <w:rPr>
                <w:rFonts w:hint="eastAsia" w:ascii="Times New Roman" w:hAnsi="Times New Roman"/>
                <w:color w:val="auto"/>
                <w:sz w:val="21"/>
              </w:rPr>
              <w:t>有与生产规模相适应的无害化处理、污水污物处理设施设备；</w:t>
            </w:r>
          </w:p>
          <w:p>
            <w:pPr>
              <w:pStyle w:val="262"/>
              <w:keepNext w:val="0"/>
              <w:keepLines w:val="0"/>
              <w:widowControl/>
              <w:numPr>
                <w:ilvl w:val="0"/>
                <w:numId w:val="13"/>
              </w:numPr>
              <w:suppressLineNumbers w:val="0"/>
              <w:spacing w:before="0" w:beforeAutospacing="0" w:after="0" w:afterAutospacing="0"/>
              <w:ind w:left="0" w:leftChars="0" w:right="0" w:firstLine="0" w:firstLineChars="0"/>
              <w:jc w:val="both"/>
              <w:rPr>
                <w:rFonts w:hint="default" w:ascii="Times New Roman" w:hAnsi="Times New Roman"/>
                <w:color w:val="auto"/>
                <w:sz w:val="21"/>
              </w:rPr>
            </w:pPr>
            <w:r>
              <w:rPr>
                <w:rFonts w:hint="eastAsia" w:ascii="Times New Roman" w:hAnsi="Times New Roman"/>
                <w:color w:val="auto"/>
                <w:sz w:val="21"/>
              </w:rPr>
              <w:t>有相对独立的引入动物隔离舍和患病动物隔离舍</w:t>
            </w:r>
            <w:r>
              <w:rPr>
                <w:rFonts w:hint="eastAsia" w:ascii="Times New Roman" w:hAnsi="Times New Roman"/>
                <w:color w:val="auto"/>
                <w:sz w:val="21"/>
                <w:lang w:eastAsia="zh-CN"/>
              </w:rPr>
              <w:t>。</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场区入口处配置消毒设备；生产区</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有采光、通风设施；有兽医机构为</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其提供相应服务；有与生产规模相</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适应的无害化处理、污水污物处理</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设施设备；设置了隔离舍和患病动</w:t>
            </w:r>
          </w:p>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物隔离舍。</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4</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厂区周围不宜有虫害大量孳生的潜在场所，难以避开时应设计必要的防范措施。</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厂区周围无虫害大量孳生的潜在场</w:t>
            </w:r>
          </w:p>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所</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5</w:t>
            </w:r>
          </w:p>
        </w:tc>
        <w:tc>
          <w:tcPr>
            <w:tcW w:w="4263"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饲养和加工场地应设有与生产相适应的消毒设施、更衣室、兽医室等，并配备工作所需的仪器设备，肉类加工厂卫生应符合 GB12694 的有关规定</w:t>
            </w:r>
          </w:p>
        </w:tc>
        <w:tc>
          <w:tcPr>
            <w:tcW w:w="3177"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lang w:eastAsia="zh-CN"/>
              </w:rPr>
              <w:t>项目设置相应的消毒房及消毒设施，并配备相应工作所需的仪器设备。</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bl>
    <w:p>
      <w:pPr>
        <w:adjustRightInd w:val="0"/>
        <w:snapToGrid w:val="0"/>
        <w:spacing w:line="360" w:lineRule="auto"/>
        <w:ind w:firstLine="518" w:firstLineChars="216"/>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由表</w:t>
      </w:r>
      <w:r>
        <w:rPr>
          <w:rFonts w:hint="default" w:ascii="Times New Roman" w:hAnsi="Times New Roman" w:eastAsia="宋体" w:cs="Times New Roman"/>
          <w:color w:val="auto"/>
          <w:sz w:val="24"/>
          <w:szCs w:val="24"/>
          <w:lang w:val="en-US" w:eastAsia="zh-CN"/>
        </w:rPr>
        <w:t>2.6-11</w:t>
      </w:r>
      <w:r>
        <w:rPr>
          <w:rFonts w:hint="default" w:ascii="Times New Roman" w:hAnsi="Times New Roman" w:eastAsia="宋体" w:cs="Times New Roman"/>
          <w:color w:val="auto"/>
          <w:sz w:val="24"/>
          <w:szCs w:val="24"/>
          <w:lang w:eastAsia="zh-CN"/>
        </w:rPr>
        <w:t>可知，项目选址符合《动物防疫条件审查办法》（农业部，2010年第</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号令）选址要求。</w:t>
      </w:r>
    </w:p>
    <w:p>
      <w:pPr>
        <w:pStyle w:val="8"/>
        <w:bidi w:val="0"/>
        <w:spacing w:line="360" w:lineRule="auto"/>
        <w:rPr>
          <w:rFonts w:hint="eastAsia" w:cs="Times New Roman"/>
          <w:color w:val="auto"/>
          <w:lang w:eastAsia="zh-CN"/>
        </w:rPr>
      </w:pPr>
      <w:r>
        <w:rPr>
          <w:rFonts w:hint="eastAsia" w:cs="Times New Roman"/>
          <w:color w:val="auto"/>
        </w:rPr>
        <w:t xml:space="preserve"> 与</w:t>
      </w:r>
      <w:r>
        <w:rPr>
          <w:rFonts w:hint="eastAsia" w:cs="Times New Roman"/>
          <w:color w:val="auto"/>
          <w:lang w:eastAsia="zh-CN"/>
        </w:rPr>
        <w:t>《</w:t>
      </w:r>
      <w:r>
        <w:rPr>
          <w:rFonts w:hint="eastAsia" w:cs="Times New Roman"/>
          <w:color w:val="auto"/>
        </w:rPr>
        <w:t>畜禽养殖业污染防治条例》的</w:t>
      </w:r>
      <w:r>
        <w:rPr>
          <w:rFonts w:hint="eastAsia" w:cs="Times New Roman"/>
          <w:color w:val="auto"/>
          <w:lang w:eastAsia="zh-CN"/>
        </w:rPr>
        <w:t>符合性分析</w:t>
      </w:r>
    </w:p>
    <w:p>
      <w:pPr>
        <w:adjustRightInd w:val="0"/>
        <w:snapToGrid w:val="0"/>
        <w:spacing w:line="360" w:lineRule="auto"/>
        <w:ind w:firstLine="518" w:firstLineChars="216"/>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本项目选址与《畜禽养殖业污染防治条例》中选址要求符合性分析见表</w:t>
      </w:r>
      <w:r>
        <w:rPr>
          <w:rFonts w:hint="eastAsia" w:ascii="Times New Roman" w:hAnsi="Times New Roman" w:eastAsia="宋体" w:cs="Times New Roman"/>
          <w:color w:val="auto"/>
          <w:sz w:val="24"/>
          <w:szCs w:val="24"/>
          <w:lang w:val="en-US" w:eastAsia="zh-CN"/>
        </w:rPr>
        <w:t>6.2-12</w:t>
      </w:r>
      <w:r>
        <w:rPr>
          <w:rFonts w:hint="eastAsia" w:ascii="Times New Roman" w:hAnsi="Times New Roman" w:eastAsia="宋体" w:cs="Times New Roman"/>
          <w:color w:val="auto"/>
          <w:sz w:val="24"/>
          <w:szCs w:val="24"/>
          <w:lang w:eastAsia="zh-CN"/>
        </w:rPr>
        <w:t>。</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项目与《畜禽养殖业污染防治条例》选址要求符合情况</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35"/>
        <w:gridCol w:w="4163"/>
        <w:gridCol w:w="3103"/>
        <w:gridCol w:w="6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序号</w:t>
            </w:r>
          </w:p>
        </w:tc>
        <w:tc>
          <w:tcPr>
            <w:tcW w:w="2506" w:type="pct"/>
            <w:tcBorders>
              <w:tl2br w:val="nil"/>
              <w:tr2bl w:val="nil"/>
            </w:tcBorders>
            <w:vAlign w:val="center"/>
          </w:tcPr>
          <w:p>
            <w:pPr>
              <w:pStyle w:val="942"/>
              <w:keepNext w:val="0"/>
              <w:keepLines w:val="0"/>
              <w:suppressLineNumbers w:val="0"/>
              <w:spacing w:before="0" w:beforeAutospacing="0" w:after="0" w:afterAutospacing="0"/>
              <w:ind w:left="0" w:right="0"/>
              <w:rPr>
                <w:rFonts w:hint="eastAsia" w:eastAsia="宋体" w:cs="Times New Roman"/>
                <w:color w:val="auto"/>
                <w:szCs w:val="21"/>
                <w:lang w:eastAsia="zh-CN"/>
              </w:rPr>
            </w:pPr>
            <w:r>
              <w:rPr>
                <w:rFonts w:hint="eastAsia" w:cs="Times New Roman"/>
                <w:color w:val="auto"/>
              </w:rPr>
              <w:t>《畜禽养殖业污染防治条例》</w:t>
            </w:r>
            <w:r>
              <w:rPr>
                <w:rFonts w:hint="eastAsia" w:cs="Times New Roman"/>
                <w:color w:val="auto"/>
                <w:lang w:eastAsia="zh-CN"/>
              </w:rPr>
              <w:t>的相关要求</w:t>
            </w:r>
          </w:p>
        </w:tc>
        <w:tc>
          <w:tcPr>
            <w:tcW w:w="1868" w:type="pct"/>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本项目情况</w:t>
            </w:r>
          </w:p>
        </w:tc>
        <w:tc>
          <w:tcPr>
            <w:tcW w:w="362" w:type="pct"/>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1</w:t>
            </w:r>
          </w:p>
        </w:tc>
        <w:tc>
          <w:tcPr>
            <w:tcW w:w="2506" w:type="pct"/>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（一）禁止在下列区域内建设畜禽养殖场、养殖小区：</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饮用水水源保护区，风景名胜区；</w:t>
            </w:r>
          </w:p>
          <w:p>
            <w:pPr>
              <w:pStyle w:val="262"/>
              <w:keepNext w:val="0"/>
              <w:keepLines w:val="0"/>
              <w:widowControl/>
              <w:numPr>
                <w:ilvl w:val="0"/>
                <w:numId w:val="14"/>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自然保护区的核心区和缓冲区；</w:t>
            </w:r>
          </w:p>
          <w:p>
            <w:pPr>
              <w:pStyle w:val="262"/>
              <w:keepNext w:val="0"/>
              <w:keepLines w:val="0"/>
              <w:widowControl/>
              <w:numPr>
                <w:ilvl w:val="0"/>
                <w:numId w:val="14"/>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城镇居民区、文化教育科学研究区等人口集中区域；</w:t>
            </w:r>
          </w:p>
          <w:p>
            <w:pPr>
              <w:pStyle w:val="262"/>
              <w:keepNext w:val="0"/>
              <w:keepLines w:val="0"/>
              <w:widowControl/>
              <w:numPr>
                <w:ilvl w:val="0"/>
                <w:numId w:val="14"/>
              </w:numPr>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法律、法规规定的其他禁止养殖区域。</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本项目用地不涉及饮用水水源保</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护区、风景名胜区、自然保护区、</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城镇居民区、文化教育科学研究</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区等人口集中区域以及法律、法</w:t>
            </w:r>
          </w:p>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规规定的其他禁止养殖区域。</w:t>
            </w:r>
          </w:p>
        </w:tc>
        <w:tc>
          <w:tcPr>
            <w:tcW w:w="362" w:type="pct"/>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2</w:t>
            </w:r>
          </w:p>
        </w:tc>
        <w:tc>
          <w:tcPr>
            <w:tcW w:w="2506" w:type="pct"/>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rPr>
              <w:t>人对畜禽养殖废弃物代为综合利用和无害化处理的，可以不自行建设综合利用和无害化处理设施。未建设污染防治配套设施、自行建设的配套设施不合格，或者未委托他人对畜禽养殖废弃物进行综合利用和无害化处理的，畜禽养殖场、养殖小区不得投入生产或者使用。畜禽养殖场、养殖小区自行建设污染防治配套设施的，应当确保其正常运行</w:t>
            </w:r>
            <w:r>
              <w:rPr>
                <w:rFonts w:hint="eastAsia" w:ascii="Times New Roman" w:hAnsi="Times New Roman"/>
                <w:color w:val="auto"/>
                <w:sz w:val="21"/>
                <w:lang w:eastAsia="zh-CN"/>
              </w:rPr>
              <w:t>。</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本项目将同步配套建设环保工</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程，对项目产生的污染物按照相</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关要求进行规范化、无害化、资</w:t>
            </w:r>
          </w:p>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源化处理。</w:t>
            </w:r>
          </w:p>
        </w:tc>
        <w:tc>
          <w:tcPr>
            <w:tcW w:w="3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bl>
    <w:p>
      <w:pPr>
        <w:adjustRightInd w:val="0"/>
        <w:snapToGrid w:val="0"/>
        <w:spacing w:line="360" w:lineRule="auto"/>
        <w:ind w:firstLine="518" w:firstLineChars="216"/>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由表</w:t>
      </w:r>
      <w:r>
        <w:rPr>
          <w:rFonts w:hint="default" w:ascii="Times New Roman" w:hAnsi="Times New Roman" w:eastAsia="宋体" w:cs="Times New Roman"/>
          <w:color w:val="auto"/>
          <w:sz w:val="24"/>
          <w:szCs w:val="24"/>
          <w:lang w:val="en-US" w:eastAsia="zh-CN"/>
        </w:rPr>
        <w:t>6.2-12</w:t>
      </w:r>
      <w:r>
        <w:rPr>
          <w:rFonts w:hint="default" w:ascii="Times New Roman" w:hAnsi="Times New Roman" w:eastAsia="宋体" w:cs="Times New Roman"/>
          <w:color w:val="auto"/>
          <w:sz w:val="24"/>
          <w:szCs w:val="24"/>
          <w:lang w:eastAsia="zh-CN"/>
        </w:rPr>
        <w:t>可知，项目选址符合项目选址符合《畜禽养殖业污染防治条例》选址要求。</w:t>
      </w:r>
    </w:p>
    <w:p>
      <w:pPr>
        <w:pStyle w:val="8"/>
        <w:bidi w:val="0"/>
        <w:spacing w:line="360" w:lineRule="auto"/>
        <w:rPr>
          <w:rFonts w:hint="eastAsia" w:cs="Times New Roman"/>
          <w:color w:val="auto"/>
          <w:lang w:eastAsia="zh-CN"/>
        </w:rPr>
      </w:pPr>
      <w:r>
        <w:rPr>
          <w:rFonts w:hint="eastAsia" w:cs="Times New Roman"/>
          <w:color w:val="auto"/>
        </w:rPr>
        <w:t xml:space="preserve"> 与</w:t>
      </w:r>
      <w:r>
        <w:rPr>
          <w:rFonts w:hint="eastAsia" w:cs="Times New Roman"/>
          <w:color w:val="auto"/>
          <w:lang w:eastAsia="zh-CN"/>
        </w:rPr>
        <w:t>《排污许可证申请与核发技术规范畜禽养殖行业》（HJ 1029—2019）</w:t>
      </w:r>
      <w:r>
        <w:rPr>
          <w:rFonts w:hint="eastAsia" w:cs="Times New Roman"/>
          <w:color w:val="auto"/>
        </w:rPr>
        <w:t>的</w:t>
      </w:r>
      <w:r>
        <w:rPr>
          <w:rFonts w:hint="eastAsia" w:cs="Times New Roman"/>
          <w:color w:val="auto"/>
          <w:lang w:eastAsia="zh-CN"/>
        </w:rPr>
        <w:t>符合性分析</w:t>
      </w:r>
    </w:p>
    <w:p>
      <w:pPr>
        <w:adjustRightInd w:val="0"/>
        <w:snapToGrid w:val="0"/>
        <w:spacing w:line="360" w:lineRule="auto"/>
        <w:ind w:firstLine="518" w:firstLineChars="216"/>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本项目从污染防治可行技术要求分析与《排污许可证申请与核发技术规范畜禽养殖行业》（HJ 1029—2019）的符合性。</w:t>
      </w:r>
    </w:p>
    <w:p>
      <w:pPr>
        <w:numPr>
          <w:ilvl w:val="0"/>
          <w:numId w:val="10"/>
        </w:numPr>
        <w:tabs>
          <w:tab w:val="left" w:pos="0"/>
        </w:tabs>
        <w:ind w:left="425" w:leftChars="0" w:hanging="425"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与</w:t>
      </w:r>
      <w:r>
        <w:rPr>
          <w:rFonts w:hint="default" w:ascii="Times New Roman" w:hAnsi="Times New Roman" w:eastAsia="宋体" w:cs="Times New Roman"/>
          <w:b/>
          <w:bCs/>
          <w:color w:val="auto"/>
        </w:rPr>
        <w:t>《排污许可证申请与核发技术规范畜禽养殖行业》（HJ 1029—2019</w:t>
      </w:r>
      <w:r>
        <w:rPr>
          <w:rFonts w:hint="eastAsia" w:ascii="Times New Roman" w:hAnsi="Times New Roman" w:eastAsia="宋体" w:cs="Times New Roman"/>
          <w:b/>
          <w:bCs/>
          <w:color w:val="auto"/>
          <w:lang w:eastAsia="zh-CN"/>
        </w:rPr>
        <w:t>）</w:t>
      </w:r>
    </w:p>
    <w:p>
      <w:pPr>
        <w:numPr>
          <w:ilvl w:val="0"/>
          <w:numId w:val="0"/>
        </w:numPr>
        <w:ind w:left="403" w:left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的符合性</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35"/>
        <w:gridCol w:w="4163"/>
        <w:gridCol w:w="3103"/>
        <w:gridCol w:w="6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942"/>
              <w:keepNext w:val="0"/>
              <w:keepLines w:val="0"/>
              <w:suppressLineNumbers w:val="0"/>
              <w:spacing w:before="0" w:beforeAutospacing="0" w:after="0" w:afterAutospacing="0"/>
              <w:ind w:left="0" w:right="0"/>
              <w:rPr>
                <w:rFonts w:hint="eastAsia" w:eastAsia="宋体" w:cs="Times New Roman"/>
                <w:color w:val="auto"/>
                <w:szCs w:val="21"/>
                <w:lang w:eastAsia="zh-CN"/>
              </w:rPr>
            </w:pPr>
            <w:r>
              <w:rPr>
                <w:rFonts w:hint="eastAsia" w:cs="Times New Roman"/>
                <w:color w:val="auto"/>
                <w:szCs w:val="21"/>
                <w:lang w:eastAsia="zh-CN"/>
              </w:rPr>
              <w:t>类别</w:t>
            </w:r>
          </w:p>
        </w:tc>
        <w:tc>
          <w:tcPr>
            <w:tcW w:w="2506" w:type="pct"/>
            <w:tcBorders>
              <w:tl2br w:val="nil"/>
              <w:tr2bl w:val="nil"/>
            </w:tcBorders>
            <w:vAlign w:val="center"/>
          </w:tcPr>
          <w:p>
            <w:pPr>
              <w:pStyle w:val="942"/>
              <w:keepNext w:val="0"/>
              <w:keepLines w:val="0"/>
              <w:suppressLineNumbers w:val="0"/>
              <w:spacing w:before="0" w:beforeAutospacing="0" w:after="0" w:afterAutospacing="0"/>
              <w:ind w:left="0" w:right="0"/>
              <w:rPr>
                <w:rFonts w:hint="eastAsia" w:eastAsia="宋体" w:cs="Times New Roman"/>
                <w:color w:val="auto"/>
                <w:szCs w:val="21"/>
                <w:lang w:eastAsia="zh-CN"/>
              </w:rPr>
            </w:pPr>
            <w:r>
              <w:rPr>
                <w:rFonts w:hint="eastAsia" w:eastAsia="宋体" w:cs="Times New Roman"/>
                <w:color w:val="auto"/>
                <w:szCs w:val="21"/>
                <w:lang w:eastAsia="zh-CN"/>
              </w:rPr>
              <w:t>《排污许可证申请与核发技术规范畜禽养殖行业》</w:t>
            </w:r>
          </w:p>
        </w:tc>
        <w:tc>
          <w:tcPr>
            <w:tcW w:w="1868" w:type="pct"/>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本项目情况</w:t>
            </w:r>
          </w:p>
        </w:tc>
        <w:tc>
          <w:tcPr>
            <w:tcW w:w="362" w:type="pct"/>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31" w:hRule="atLeast"/>
        </w:trPr>
        <w:tc>
          <w:tcPr>
            <w:tcW w:w="262" w:type="pct"/>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eastAsia="zh-CN"/>
              </w:rPr>
            </w:pPr>
            <w:r>
              <w:rPr>
                <w:rFonts w:hint="eastAsia" w:ascii="Times New Roman" w:hAnsi="Times New Roman"/>
                <w:color w:val="auto"/>
                <w:sz w:val="21"/>
                <w:lang w:eastAsia="zh-CN"/>
              </w:rPr>
              <w:t>废水</w:t>
            </w:r>
          </w:p>
        </w:tc>
        <w:tc>
          <w:tcPr>
            <w:tcW w:w="2506" w:type="pct"/>
            <w:tcBorders>
              <w:bottom w:val="single" w:color="auto" w:sz="4" w:space="0"/>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大型养殖场推荐采用：干清粪+固液分离+厌氧（UASB、CSTR）+好氧（SBR、接触氧化、MBR）</w:t>
            </w:r>
          </w:p>
        </w:tc>
        <w:tc>
          <w:tcPr>
            <w:tcW w:w="1868" w:type="pct"/>
            <w:tcBorders>
              <w:bottom w:val="single" w:color="auto" w:sz="4" w:space="0"/>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lang w:eastAsia="zh-CN"/>
              </w:rPr>
              <w:t>本项目采用干清粪工艺</w:t>
            </w:r>
            <w:r>
              <w:rPr>
                <w:rFonts w:hint="eastAsia" w:ascii="Times New Roman" w:hAnsi="Times New Roman"/>
                <w:color w:val="auto"/>
                <w:sz w:val="21"/>
              </w:rPr>
              <w:t>“</w:t>
            </w:r>
            <w:r>
              <w:rPr>
                <w:rFonts w:hint="default" w:ascii="Times New Roman" w:hAnsi="Times New Roman" w:eastAsia="宋体" w:cs="Times New Roman"/>
                <w:color w:val="auto"/>
                <w:sz w:val="24"/>
                <w:szCs w:val="24"/>
              </w:rPr>
              <w:t>固液分离+UASB厌氧+絮凝沉淀+两级A/O系统+混凝絮凝沉淀+消毒</w:t>
            </w:r>
            <w:r>
              <w:rPr>
                <w:rFonts w:hint="eastAsia" w:ascii="Times New Roman" w:hAnsi="Times New Roman"/>
                <w:color w:val="auto"/>
                <w:sz w:val="21"/>
              </w:rPr>
              <w:t>”工艺</w:t>
            </w:r>
            <w:r>
              <w:rPr>
                <w:rFonts w:hint="eastAsia" w:ascii="Times New Roman" w:hAnsi="Times New Roman"/>
                <w:color w:val="auto"/>
                <w:sz w:val="21"/>
                <w:lang w:eastAsia="zh-CN"/>
              </w:rPr>
              <w:t>。</w:t>
            </w:r>
          </w:p>
        </w:tc>
        <w:tc>
          <w:tcPr>
            <w:tcW w:w="362" w:type="pct"/>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58" w:hRule="atLeast"/>
        </w:trPr>
        <w:tc>
          <w:tcPr>
            <w:tcW w:w="2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color w:val="auto"/>
                <w:sz w:val="21"/>
                <w:lang w:eastAsia="zh-CN"/>
              </w:rPr>
            </w:pPr>
          </w:p>
        </w:tc>
        <w:tc>
          <w:tcPr>
            <w:tcW w:w="2506" w:type="pct"/>
            <w:tcBorders>
              <w:top w:val="single" w:color="auto" w:sz="4" w:space="0"/>
              <w:bottom w:val="single" w:color="auto" w:sz="4" w:space="0"/>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畜禽养殖行业排污单位必须实行严格的雨污分流措施。</w:t>
            </w:r>
          </w:p>
        </w:tc>
        <w:tc>
          <w:tcPr>
            <w:tcW w:w="1868" w:type="pct"/>
            <w:tcBorders>
              <w:top w:val="single" w:color="auto" w:sz="4" w:space="0"/>
              <w:bottom w:val="single" w:color="auto" w:sz="4" w:space="0"/>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本</w:t>
            </w:r>
            <w:r>
              <w:rPr>
                <w:rFonts w:hint="eastAsia" w:ascii="Times New Roman" w:hAnsi="Times New Roman"/>
                <w:color w:val="auto"/>
                <w:sz w:val="21"/>
                <w:lang w:eastAsia="zh-CN"/>
              </w:rPr>
              <w:t>项目</w:t>
            </w:r>
            <w:r>
              <w:rPr>
                <w:rFonts w:hint="eastAsia" w:ascii="Times New Roman" w:hAnsi="Times New Roman"/>
                <w:color w:val="auto"/>
                <w:sz w:val="21"/>
              </w:rPr>
              <w:t>排水实行雨污分离</w:t>
            </w:r>
          </w:p>
        </w:tc>
        <w:tc>
          <w:tcPr>
            <w:tcW w:w="3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11" w:hRule="atLeast"/>
        </w:trPr>
        <w:tc>
          <w:tcPr>
            <w:tcW w:w="2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color w:val="auto"/>
                <w:sz w:val="21"/>
                <w:lang w:eastAsia="zh-CN"/>
              </w:rPr>
            </w:pPr>
          </w:p>
        </w:tc>
        <w:tc>
          <w:tcPr>
            <w:tcW w:w="2506" w:type="pct"/>
            <w:tcBorders>
              <w:top w:val="single" w:color="auto" w:sz="4" w:space="0"/>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畜禽养殖行业排污单位应加强生产节水管理，提高废水的循环利用率，减少污水排放量。采用水冲粪、水泡粪清粪工艺的规模化养殖场（小区），宜逐步改为干清粪工艺。</w:t>
            </w:r>
          </w:p>
        </w:tc>
        <w:tc>
          <w:tcPr>
            <w:tcW w:w="1868" w:type="pct"/>
            <w:tcBorders>
              <w:top w:val="single" w:color="auto" w:sz="4" w:space="0"/>
              <w:bottom w:val="single" w:color="auto" w:sz="4" w:space="0"/>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lang w:eastAsia="zh-CN"/>
              </w:rPr>
              <w:t>本项目采用干清粪工艺</w:t>
            </w:r>
          </w:p>
        </w:tc>
        <w:tc>
          <w:tcPr>
            <w:tcW w:w="362" w:type="pct"/>
            <w:vMerge w:val="continue"/>
            <w:tcBorders>
              <w:bottom w:val="single" w:color="auto" w:sz="4" w:space="0"/>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eastAsia="zh-CN"/>
              </w:rPr>
            </w:pPr>
            <w:r>
              <w:rPr>
                <w:rFonts w:hint="eastAsia" w:ascii="Times New Roman" w:hAnsi="Times New Roman"/>
                <w:color w:val="auto"/>
                <w:sz w:val="21"/>
                <w:lang w:eastAsia="zh-CN"/>
              </w:rPr>
              <w:t>废气</w:t>
            </w:r>
          </w:p>
        </w:tc>
        <w:tc>
          <w:tcPr>
            <w:tcW w:w="2506" w:type="pct"/>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养殖栏舍：</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（1）选用益生菌配方饲料；</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（2）及时清运粪污；</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（3）向粪便或舍内投（铺）放吸附剂减少臭气的散发；</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（4）投加或喷洒除臭剂；</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（5）集中通风排气经处理（喷淋法、生物洗涤法、吸收法等）后排放；</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rPr>
              <w:t>（6）集中收集气体经处理（生物过滤法、生物洗涤法、吸收法等）后由排气筒排放。</w:t>
            </w:r>
          </w:p>
        </w:tc>
        <w:tc>
          <w:tcPr>
            <w:tcW w:w="1868" w:type="pct"/>
            <w:tcBorders>
              <w:top w:val="single" w:color="auto" w:sz="4" w:space="0"/>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（1）选用益生菌配方饲料；</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（2）及时清运粪污；</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（3）向粪便投（铺）放吸附剂</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减少臭气的散发；</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（4）养殖大棚周边喷洒除臭剂；</w:t>
            </w:r>
          </w:p>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（5）集中通风排气经处理（喷淋法）后排放。</w:t>
            </w:r>
          </w:p>
        </w:tc>
        <w:tc>
          <w:tcPr>
            <w:tcW w:w="362" w:type="pct"/>
            <w:vMerge w:val="restart"/>
            <w:tcBorders>
              <w:top w:val="single" w:color="auto" w:sz="4" w:space="0"/>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color w:val="auto"/>
                <w:sz w:val="21"/>
                <w:lang w:eastAsia="zh-CN"/>
              </w:rPr>
            </w:pPr>
          </w:p>
        </w:tc>
        <w:tc>
          <w:tcPr>
            <w:tcW w:w="2506" w:type="pct"/>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固体粪污处理工程：</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（1）定期喷洒除臭剂；</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（2）及时清运固体粪污；</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（3）采用厌氧或好氧堆肥方式；</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（4）集中收集气体经处理（生物过滤法、生物洗涤法、吸收法等）后由排气筒排放</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（1）有机肥处理站定期喷洒除</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臭剂；</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（2）及时清运固体粪污；</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（3）采用好氧（</w:t>
            </w:r>
            <w:r>
              <w:rPr>
                <w:rFonts w:hint="eastAsia" w:ascii="Times New Roman" w:hAnsi="Times New Roman"/>
                <w:color w:val="auto"/>
                <w:sz w:val="21"/>
                <w:lang w:eastAsia="zh-CN"/>
              </w:rPr>
              <w:t>异位发酵罐</w:t>
            </w:r>
            <w:r>
              <w:rPr>
                <w:rFonts w:hint="eastAsia" w:ascii="Times New Roman" w:hAnsi="Times New Roman"/>
                <w:color w:val="auto"/>
                <w:sz w:val="21"/>
              </w:rPr>
              <w:t>）</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堆肥方式；</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（4）</w:t>
            </w:r>
            <w:r>
              <w:rPr>
                <w:rFonts w:hint="eastAsia" w:ascii="Times New Roman" w:hAnsi="Times New Roman"/>
                <w:color w:val="auto"/>
                <w:sz w:val="21"/>
                <w:lang w:eastAsia="zh-CN"/>
              </w:rPr>
              <w:t>有机肥发酵采用</w:t>
            </w:r>
            <w:r>
              <w:rPr>
                <w:rFonts w:hint="eastAsia" w:ascii="Times New Roman" w:hAnsi="Times New Roman"/>
                <w:color w:val="auto"/>
                <w:sz w:val="21"/>
              </w:rPr>
              <w:t>集中收集气体经处理（生物法）后由15m排气筒排放。</w:t>
            </w:r>
          </w:p>
        </w:tc>
        <w:tc>
          <w:tcPr>
            <w:tcW w:w="3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color w:val="auto"/>
                <w:sz w:val="21"/>
                <w:lang w:eastAsia="zh-CN"/>
              </w:rPr>
            </w:pPr>
          </w:p>
        </w:tc>
        <w:tc>
          <w:tcPr>
            <w:tcW w:w="2506" w:type="pct"/>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全场：</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（1）固体粪污规范还田利用；</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（2）场区运输道路全硬化、及时清扫、无积灰扬尘、定期洒水抑尘；</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（3）加强场区绿化。</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（1）粪便、无害化废渣、污水处理站污泥全部还田利用；</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（2）场区运输道路全硬化、及时清扫；</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（3）加强场区绿化。</w:t>
            </w:r>
          </w:p>
        </w:tc>
        <w:tc>
          <w:tcPr>
            <w:tcW w:w="362" w:type="pct"/>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color w:val="auto"/>
                <w:sz w:val="21"/>
                <w:lang w:eastAsia="zh-CN"/>
              </w:rPr>
            </w:pPr>
            <w:r>
              <w:rPr>
                <w:rFonts w:hint="eastAsia" w:ascii="Times New Roman" w:hAnsi="Times New Roman"/>
                <w:color w:val="auto"/>
                <w:sz w:val="21"/>
                <w:lang w:eastAsia="zh-CN"/>
              </w:rPr>
              <w:t>固体废物</w:t>
            </w:r>
          </w:p>
        </w:tc>
        <w:tc>
          <w:tcPr>
            <w:tcW w:w="2506" w:type="pct"/>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固体粪污管理要求：</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a）固体粪污外销处理与利用的畜禽养殖行业排污单位，应达到以下要求：</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1）具备粪污临时储存设施，储存设施满足《畜禽规模养殖场粪污资源化利用设施建设规范（试行）》中的相关要求。</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2）具备稳定、合理、正规的粪便外销途径（如有机肥加工厂、农业生产基地等），且有具体的外销合同或协议。</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b）固体粪污自身资源化利用的畜禽养殖行业排污单位，应达到以下要求：</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1）具备与其养殖规模相匹配的粪污临时储存设施，储存设施满足《畜禽规模养殖场粪污资源化利用设施建设规范（试行）中的相关要求。</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2）还田利用的固体粪污满足 GB/T 25246中无害化要求。</w:t>
            </w:r>
          </w:p>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3）配套与养殖规模相匹配的固体粪污消纳土地，配套消纳土地的具体规模应根据《畜禽粪污土地承载力测算技术指南》中相关规定测算。</w:t>
            </w:r>
          </w:p>
        </w:tc>
        <w:tc>
          <w:tcPr>
            <w:tcW w:w="1868" w:type="pct"/>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本项目配套有机肥处理站，采用好氧（</w:t>
            </w:r>
            <w:r>
              <w:rPr>
                <w:rFonts w:hint="eastAsia" w:ascii="Times New Roman" w:hAnsi="Times New Roman"/>
                <w:color w:val="auto"/>
                <w:sz w:val="21"/>
                <w:lang w:eastAsia="zh-CN"/>
              </w:rPr>
              <w:t>异位发酵罐</w:t>
            </w:r>
            <w:r>
              <w:rPr>
                <w:rFonts w:hint="eastAsia" w:ascii="Times New Roman" w:hAnsi="Times New Roman"/>
                <w:color w:val="auto"/>
                <w:sz w:val="21"/>
              </w:rPr>
              <w:t>）堆肥方式进行处理，根据《畜禽粪污土地承载力测算技术指南》中相关规定测算，本项目需配套</w:t>
            </w:r>
            <w:r>
              <w:rPr>
                <w:rFonts w:hint="eastAsia" w:ascii="Times New Roman" w:hAnsi="Times New Roman"/>
                <w:color w:val="auto"/>
                <w:sz w:val="21"/>
                <w:lang w:val="en-US" w:eastAsia="zh-CN"/>
              </w:rPr>
              <w:t>975.37</w:t>
            </w:r>
            <w:r>
              <w:rPr>
                <w:rFonts w:hint="eastAsia" w:ascii="Times New Roman" w:hAnsi="Times New Roman"/>
                <w:color w:val="auto"/>
                <w:sz w:val="21"/>
              </w:rPr>
              <w:t>亩消纳土地，配套</w:t>
            </w:r>
            <w:r>
              <w:rPr>
                <w:rFonts w:hint="eastAsia" w:ascii="Times New Roman" w:hAnsi="Times New Roman"/>
                <w:color w:val="auto"/>
                <w:sz w:val="21"/>
                <w:lang w:val="en-US" w:eastAsia="zh-CN"/>
              </w:rPr>
              <w:t>1194</w:t>
            </w:r>
            <w:r>
              <w:rPr>
                <w:rFonts w:hint="eastAsia" w:ascii="Times New Roman" w:hAnsi="Times New Roman"/>
                <w:color w:val="auto"/>
                <w:sz w:val="21"/>
              </w:rPr>
              <w:t>亩消纳土地（厂内林地544亩，租赁消纳林地650亩），已签订消纳协议。</w:t>
            </w:r>
          </w:p>
        </w:tc>
        <w:tc>
          <w:tcPr>
            <w:tcW w:w="362" w:type="pc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bl>
    <w:p>
      <w:pPr>
        <w:adjustRightInd w:val="0"/>
        <w:snapToGrid w:val="0"/>
        <w:spacing w:line="360" w:lineRule="auto"/>
        <w:ind w:firstLine="518" w:firstLineChars="216"/>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本项目符合《排污许可证申请与核发技术规范畜禽养殖行业》（HJ1029—2019）。</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rPr>
      </w:pPr>
      <w:bookmarkStart w:id="109" w:name="_Toc32465"/>
      <w:r>
        <w:rPr>
          <w:rFonts w:hint="default" w:ascii="Times New Roman" w:hAnsi="Times New Roman" w:eastAsia="宋体" w:cs="Times New Roman"/>
          <w:color w:val="auto"/>
        </w:rPr>
        <w:t>选址合理性</w:t>
      </w:r>
      <w:bookmarkEnd w:id="109"/>
    </w:p>
    <w:p>
      <w:pPr>
        <w:pStyle w:val="7"/>
        <w:spacing w:before="0" w:after="0" w:line="360" w:lineRule="auto"/>
        <w:ind w:left="0" w:firstLine="0"/>
        <w:rPr>
          <w:rFonts w:cs="Times New Roman"/>
          <w:color w:val="auto"/>
        </w:rPr>
      </w:pPr>
      <w:bookmarkStart w:id="110" w:name="_Toc26847"/>
      <w:r>
        <w:rPr>
          <w:rFonts w:hint="eastAsia" w:cs="Times New Roman"/>
          <w:color w:val="auto"/>
        </w:rPr>
        <w:t>与</w:t>
      </w:r>
      <w:r>
        <w:rPr>
          <w:rFonts w:hint="eastAsia" w:cs="Times New Roman"/>
          <w:color w:val="auto"/>
          <w:lang w:eastAsia="zh-CN"/>
        </w:rPr>
        <w:t>通江</w:t>
      </w:r>
      <w:r>
        <w:rPr>
          <w:rFonts w:hint="eastAsia" w:cs="Times New Roman"/>
          <w:color w:val="auto"/>
        </w:rPr>
        <w:t>县畜禽养殖规划符合性分析</w:t>
      </w:r>
      <w:bookmarkEnd w:id="110"/>
    </w:p>
    <w:p>
      <w:pPr>
        <w:adjustRightInd w:val="0"/>
        <w:snapToGrid w:val="0"/>
        <w:ind w:firstLine="518" w:firstLineChars="216"/>
        <w:rPr>
          <w:rFonts w:ascii="Times New Roman" w:hAnsi="Times New Roman" w:cs="Times New Roman"/>
          <w:bCs/>
          <w:color w:val="auto"/>
          <w:sz w:val="24"/>
        </w:rPr>
      </w:pPr>
      <w:r>
        <w:rPr>
          <w:rFonts w:ascii="Times New Roman" w:hAnsi="Times New Roman" w:cs="Times New Roman"/>
          <w:bCs/>
          <w:color w:val="auto"/>
          <w:sz w:val="24"/>
          <w:szCs w:val="24"/>
        </w:rPr>
        <w:t>本项目选址于</w:t>
      </w:r>
      <w:r>
        <w:rPr>
          <w:rFonts w:hint="eastAsia" w:ascii="Times New Roman" w:hAnsi="Times New Roman" w:cs="Times New Roman"/>
          <w:bCs/>
          <w:color w:val="auto"/>
          <w:sz w:val="24"/>
          <w:szCs w:val="24"/>
          <w:lang w:eastAsia="zh-CN"/>
        </w:rPr>
        <w:t>四川省巴中市通江县龙凤场镇环山村</w:t>
      </w:r>
      <w:r>
        <w:rPr>
          <w:rFonts w:hint="eastAsia" w:ascii="Times New Roman" w:hAnsi="Times New Roman" w:cs="Times New Roman"/>
          <w:bCs/>
          <w:color w:val="auto"/>
          <w:sz w:val="24"/>
          <w:szCs w:val="24"/>
        </w:rPr>
        <w:t>，建设单位同</w:t>
      </w:r>
      <w:r>
        <w:rPr>
          <w:rFonts w:hint="eastAsia" w:ascii="Times New Roman" w:hAnsi="Times New Roman" w:cs="Times New Roman"/>
          <w:bCs/>
          <w:color w:val="auto"/>
          <w:sz w:val="24"/>
          <w:szCs w:val="24"/>
          <w:lang w:eastAsia="zh-CN"/>
        </w:rPr>
        <w:t>环山村</w:t>
      </w:r>
      <w:r>
        <w:rPr>
          <w:rFonts w:hint="eastAsia" w:ascii="Times New Roman" w:hAnsi="Times New Roman" w:cs="Times New Roman"/>
          <w:bCs/>
          <w:color w:val="auto"/>
          <w:sz w:val="24"/>
          <w:szCs w:val="24"/>
        </w:rPr>
        <w:t>签订了土地</w:t>
      </w:r>
      <w:r>
        <w:rPr>
          <w:rFonts w:hint="eastAsia" w:ascii="Times New Roman" w:hAnsi="Times New Roman" w:cs="Times New Roman"/>
          <w:bCs/>
          <w:color w:val="auto"/>
          <w:sz w:val="24"/>
          <w:szCs w:val="24"/>
          <w:lang w:eastAsia="zh-CN"/>
        </w:rPr>
        <w:t>承包合同</w:t>
      </w:r>
      <w:r>
        <w:rPr>
          <w:rFonts w:hint="eastAsia" w:ascii="Times New Roman" w:hAnsi="Times New Roman" w:cs="Times New Roman"/>
          <w:bCs/>
          <w:color w:val="auto"/>
          <w:sz w:val="24"/>
          <w:szCs w:val="24"/>
        </w:rPr>
        <w:t>，用地</w:t>
      </w:r>
      <w:r>
        <w:rPr>
          <w:rFonts w:hint="eastAsia" w:ascii="Times New Roman" w:hAnsi="Times New Roman" w:cs="Times New Roman"/>
          <w:bCs/>
          <w:color w:val="auto"/>
          <w:sz w:val="24"/>
          <w:szCs w:val="24"/>
          <w:lang w:val="en-US" w:eastAsia="zh-CN"/>
        </w:rPr>
        <w:t>704</w:t>
      </w:r>
      <w:r>
        <w:rPr>
          <w:rFonts w:hint="eastAsia" w:ascii="Times New Roman" w:hAnsi="Times New Roman" w:cs="Times New Roman"/>
          <w:bCs/>
          <w:color w:val="auto"/>
          <w:sz w:val="24"/>
          <w:szCs w:val="24"/>
        </w:rPr>
        <w:t>亩（详见附件</w:t>
      </w:r>
      <w:r>
        <w:rPr>
          <w:rFonts w:hint="eastAsia" w:ascii="Times New Roman" w:hAnsi="Times New Roman" w:cs="Times New Roman"/>
          <w:bCs/>
          <w:color w:val="auto"/>
          <w:sz w:val="24"/>
          <w:szCs w:val="24"/>
          <w:lang w:val="en-US" w:eastAsia="zh-CN"/>
        </w:rPr>
        <w:t>4</w:t>
      </w:r>
      <w:r>
        <w:rPr>
          <w:rFonts w:hint="eastAsia" w:ascii="Times New Roman" w:hAnsi="Times New Roman" w:cs="Times New Roman"/>
          <w:bCs/>
          <w:color w:val="auto"/>
          <w:sz w:val="24"/>
          <w:szCs w:val="24"/>
        </w:rPr>
        <w:t>）。</w:t>
      </w:r>
    </w:p>
    <w:p>
      <w:pPr>
        <w:pStyle w:val="1385"/>
        <w:ind w:firstLine="480"/>
        <w:rPr>
          <w:color w:val="auto"/>
        </w:rPr>
      </w:pPr>
      <w:r>
        <w:rPr>
          <w:rFonts w:hint="eastAsia"/>
          <w:bCs/>
          <w:color w:val="auto"/>
        </w:rPr>
        <w:t>根据</w:t>
      </w:r>
      <w:r>
        <w:rPr>
          <w:rFonts w:hint="eastAsia"/>
          <w:bCs/>
          <w:color w:val="auto"/>
          <w:lang w:eastAsia="zh-CN"/>
        </w:rPr>
        <w:t>通江</w:t>
      </w:r>
      <w:r>
        <w:rPr>
          <w:rFonts w:hint="eastAsia"/>
          <w:bCs/>
          <w:color w:val="auto"/>
        </w:rPr>
        <w:t>县人民政府办公室关于印发《</w:t>
      </w:r>
      <w:r>
        <w:rPr>
          <w:rFonts w:hint="eastAsia"/>
          <w:bCs/>
          <w:color w:val="auto"/>
          <w:lang w:eastAsia="zh-CN"/>
        </w:rPr>
        <w:t>通江</w:t>
      </w:r>
      <w:r>
        <w:rPr>
          <w:rFonts w:hint="eastAsia"/>
          <w:bCs/>
          <w:color w:val="auto"/>
        </w:rPr>
        <w:t>县畜禽养殖禁养区划定方案》的通知（</w:t>
      </w:r>
      <w:r>
        <w:rPr>
          <w:rFonts w:hint="eastAsia"/>
          <w:bCs/>
          <w:color w:val="auto"/>
          <w:lang w:eastAsia="zh-CN"/>
        </w:rPr>
        <w:t>通</w:t>
      </w:r>
      <w:r>
        <w:rPr>
          <w:rFonts w:hint="eastAsia"/>
          <w:bCs/>
          <w:color w:val="auto"/>
        </w:rPr>
        <w:t>府办</w:t>
      </w:r>
      <w:r>
        <w:rPr>
          <w:rFonts w:hint="eastAsia"/>
          <w:bCs/>
          <w:color w:val="auto"/>
          <w:lang w:eastAsia="zh-CN"/>
        </w:rPr>
        <w:t>发</w:t>
      </w:r>
      <w:r>
        <w:rPr>
          <w:rFonts w:hint="eastAsia"/>
          <w:bCs/>
          <w:color w:val="auto"/>
        </w:rPr>
        <w:t>[20</w:t>
      </w:r>
      <w:r>
        <w:rPr>
          <w:rFonts w:hint="eastAsia"/>
          <w:bCs/>
          <w:color w:val="auto"/>
          <w:lang w:val="en-US" w:eastAsia="zh-CN"/>
        </w:rPr>
        <w:t>0</w:t>
      </w:r>
      <w:r>
        <w:rPr>
          <w:rFonts w:hint="eastAsia"/>
          <w:bCs/>
          <w:color w:val="auto"/>
        </w:rPr>
        <w:t>]</w:t>
      </w:r>
      <w:r>
        <w:rPr>
          <w:rFonts w:hint="eastAsia"/>
          <w:bCs/>
          <w:color w:val="auto"/>
          <w:lang w:val="en-US" w:eastAsia="zh-CN"/>
        </w:rPr>
        <w:t>3</w:t>
      </w:r>
      <w:r>
        <w:rPr>
          <w:rFonts w:hint="eastAsia"/>
          <w:bCs/>
          <w:color w:val="auto"/>
        </w:rPr>
        <w:t>号），</w:t>
      </w:r>
      <w:r>
        <w:rPr>
          <w:rFonts w:hint="eastAsia"/>
          <w:color w:val="auto"/>
        </w:rPr>
        <w:t>结合本项目的实际情况，其选址与《通江县畜禽养殖禁养区划定方案》符合性分析如下表所示。</w:t>
      </w:r>
    </w:p>
    <w:p>
      <w:pPr>
        <w:numPr>
          <w:ilvl w:val="0"/>
          <w:numId w:val="15"/>
        </w:numPr>
        <w:tabs>
          <w:tab w:val="left" w:pos="0"/>
        </w:tabs>
        <w:ind w:left="425" w:leftChars="0" w:hanging="425" w:firstLineChars="0"/>
        <w:jc w:val="center"/>
        <w:rPr>
          <w:rFonts w:hint="default"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与《</w:t>
      </w:r>
      <w:r>
        <w:rPr>
          <w:rFonts w:hint="default" w:ascii="Times New Roman" w:hAnsi="Times New Roman" w:eastAsia="宋体" w:cs="Times New Roman"/>
          <w:b/>
          <w:bCs/>
          <w:color w:val="auto"/>
          <w:lang w:eastAsia="zh-CN"/>
        </w:rPr>
        <w:t>通江</w:t>
      </w:r>
      <w:r>
        <w:rPr>
          <w:rFonts w:hint="default" w:ascii="Times New Roman" w:hAnsi="Times New Roman" w:eastAsia="宋体" w:cs="Times New Roman"/>
          <w:b/>
          <w:bCs/>
          <w:color w:val="auto"/>
        </w:rPr>
        <w:t>县畜禽养殖禁养区划定方案》符合情况一览表</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958"/>
        <w:gridCol w:w="2978"/>
        <w:gridCol w:w="3403"/>
        <w:gridCol w:w="118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309" w:type="pct"/>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rPr>
            </w:pPr>
            <w:r>
              <w:rPr>
                <w:rFonts w:hint="eastAsia" w:ascii="Times New Roman" w:hAnsi="Times New Roman" w:cs="Times New Roman"/>
                <w:b/>
                <w:bCs w:val="0"/>
                <w:color w:val="auto"/>
              </w:rPr>
              <w:t>《通江县畜禽养殖禁养区划定方案》</w:t>
            </w:r>
          </w:p>
        </w:tc>
        <w:tc>
          <w:tcPr>
            <w:tcW w:w="199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rPr>
            </w:pPr>
            <w:r>
              <w:rPr>
                <w:rFonts w:hint="eastAsia" w:ascii="Times New Roman" w:hAnsi="Times New Roman" w:cs="Times New Roman"/>
                <w:b/>
                <w:bCs w:val="0"/>
                <w:color w:val="auto"/>
              </w:rPr>
              <w:t>本项目情况</w:t>
            </w:r>
          </w:p>
        </w:tc>
        <w:tc>
          <w:tcPr>
            <w:tcW w:w="69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rPr>
            </w:pPr>
            <w:r>
              <w:rPr>
                <w:rFonts w:hint="eastAsia" w:ascii="Times New Roman" w:hAnsi="Times New Roman" w:cs="Times New Roman"/>
                <w:b/>
                <w:bCs w:val="0"/>
                <w:color w:val="auto"/>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62"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禁养区</w:t>
            </w:r>
          </w:p>
        </w:tc>
        <w:tc>
          <w:tcPr>
            <w:tcW w:w="174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eastAsiaTheme="minorEastAsia"/>
                <w:bCs/>
                <w:color w:val="auto"/>
                <w:lang w:val="en-US" w:eastAsia="zh-CN"/>
              </w:rPr>
            </w:pPr>
            <w:r>
              <w:rPr>
                <w:rFonts w:hint="default" w:ascii="Times New Roman" w:hAnsi="Times New Roman" w:cs="Times New Roman"/>
                <w:bCs/>
                <w:color w:val="auto"/>
              </w:rPr>
              <w:t>1.</w:t>
            </w:r>
            <w:r>
              <w:rPr>
                <w:rFonts w:hint="eastAsia" w:ascii="Times New Roman" w:hAnsi="Times New Roman" w:cs="Times New Roman"/>
                <w:bCs/>
                <w:color w:val="auto"/>
                <w:lang w:val="en-US" w:eastAsia="zh-CN"/>
              </w:rPr>
              <w:t>2个县城饮用水源一级保护区和二级保护区；48个乡镇饮用水源一级保护区</w:t>
            </w:r>
          </w:p>
        </w:tc>
        <w:tc>
          <w:tcPr>
            <w:tcW w:w="199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eastAsiaTheme="minorEastAsia"/>
                <w:bCs/>
                <w:color w:val="auto"/>
                <w:lang w:val="en-US" w:eastAsia="zh-CN"/>
              </w:rPr>
            </w:pPr>
            <w:r>
              <w:rPr>
                <w:rFonts w:hint="eastAsia" w:ascii="Times New Roman" w:hAnsi="Times New Roman" w:cs="Times New Roman"/>
                <w:bCs/>
                <w:color w:val="auto"/>
                <w:lang w:eastAsia="zh-CN"/>
              </w:rPr>
              <w:t>本项目不在</w:t>
            </w:r>
            <w:r>
              <w:rPr>
                <w:rFonts w:hint="eastAsia" w:ascii="Times New Roman" w:hAnsi="Times New Roman" w:cs="Times New Roman"/>
                <w:bCs/>
                <w:color w:val="auto"/>
                <w:lang w:val="en-US" w:eastAsia="zh-CN"/>
              </w:rPr>
              <w:t>2个</w:t>
            </w:r>
            <w:r>
              <w:rPr>
                <w:rFonts w:hint="eastAsia" w:ascii="Times New Roman" w:hAnsi="Times New Roman" w:cs="Times New Roman"/>
                <w:bCs/>
                <w:color w:val="auto"/>
                <w:lang w:eastAsia="zh-CN"/>
              </w:rPr>
              <w:t>县城饮用水源一级保护区和二级保护区内，也不在</w:t>
            </w:r>
            <w:r>
              <w:rPr>
                <w:rFonts w:hint="eastAsia" w:ascii="Times New Roman" w:hAnsi="Times New Roman" w:cs="Times New Roman"/>
                <w:bCs/>
                <w:color w:val="auto"/>
                <w:lang w:val="en-US" w:eastAsia="zh-CN"/>
              </w:rPr>
              <w:t>48个乡镇饮用水源的以及保护区内。</w:t>
            </w:r>
          </w:p>
        </w:tc>
        <w:tc>
          <w:tcPr>
            <w:tcW w:w="69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62"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rPr>
            </w:pPr>
          </w:p>
        </w:tc>
        <w:tc>
          <w:tcPr>
            <w:tcW w:w="174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cs="Times New Roman" w:eastAsiaTheme="minorEastAsia"/>
                <w:bCs/>
                <w:color w:val="auto"/>
                <w:lang w:eastAsia="zh-CN"/>
              </w:rPr>
            </w:pPr>
            <w:r>
              <w:rPr>
                <w:rFonts w:hint="default" w:ascii="Times New Roman" w:hAnsi="Times New Roman" w:cs="Times New Roman"/>
                <w:bCs/>
                <w:color w:val="auto"/>
              </w:rPr>
              <w:t>2.</w:t>
            </w:r>
            <w:r>
              <w:rPr>
                <w:rFonts w:hint="eastAsia" w:ascii="Times New Roman" w:hAnsi="Times New Roman" w:cs="Times New Roman"/>
                <w:bCs/>
                <w:color w:val="auto"/>
                <w:lang w:eastAsia="zh-CN"/>
              </w:rPr>
              <w:t>四川省诺水河珍稀水生生物国家级自然保护区、诺水河省级自然保护区、四川五台山猕猴省级自然保护区保护区范围（包括核心区、缓冲区）</w:t>
            </w:r>
          </w:p>
        </w:tc>
        <w:tc>
          <w:tcPr>
            <w:tcW w:w="199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bCs/>
                <w:color w:val="auto"/>
              </w:rPr>
            </w:pPr>
            <w:r>
              <w:rPr>
                <w:rFonts w:hint="eastAsia" w:ascii="Times New Roman" w:hAnsi="Times New Roman" w:cs="Times New Roman"/>
                <w:bCs/>
                <w:color w:val="auto"/>
                <w:lang w:eastAsia="zh-CN"/>
              </w:rPr>
              <w:t>本项目不</w:t>
            </w:r>
            <w:r>
              <w:rPr>
                <w:rFonts w:hint="eastAsia"/>
                <w:color w:val="auto"/>
                <w:lang w:eastAsia="zh-CN"/>
              </w:rPr>
              <w:t>在</w:t>
            </w:r>
            <w:r>
              <w:rPr>
                <w:rFonts w:hint="eastAsia" w:ascii="Times New Roman" w:hAnsi="Times New Roman" w:cs="Times New Roman"/>
                <w:bCs/>
                <w:color w:val="auto"/>
                <w:lang w:eastAsia="zh-CN"/>
              </w:rPr>
              <w:t>四川省诺水河珍稀水生生物国家级自然保护区、诺水河省级自然保护区、四川五台山猕猴省级自然保护区保护区范围（包括核心区、缓冲区）内</w:t>
            </w:r>
          </w:p>
        </w:tc>
        <w:tc>
          <w:tcPr>
            <w:tcW w:w="69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62"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rPr>
            </w:pPr>
          </w:p>
        </w:tc>
        <w:tc>
          <w:tcPr>
            <w:tcW w:w="174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eastAsiaTheme="minorEastAsia"/>
                <w:bCs/>
                <w:color w:val="auto"/>
                <w:lang w:val="en-US" w:eastAsia="zh-CN"/>
              </w:rPr>
            </w:pPr>
            <w:r>
              <w:rPr>
                <w:rFonts w:hint="default" w:ascii="Times New Roman" w:hAnsi="Times New Roman" w:cs="Times New Roman"/>
                <w:bCs/>
                <w:color w:val="auto"/>
              </w:rPr>
              <w:t>3.</w:t>
            </w:r>
            <w:r>
              <w:rPr>
                <w:rFonts w:hint="eastAsia" w:ascii="Times New Roman" w:hAnsi="Times New Roman" w:cs="Times New Roman"/>
                <w:bCs/>
                <w:color w:val="auto"/>
                <w:lang w:eastAsia="zh-CN"/>
              </w:rPr>
              <w:t>通江县境内的光雾山—诺水河国家级风景名胜区的景区范围。</w:t>
            </w:r>
          </w:p>
        </w:tc>
        <w:tc>
          <w:tcPr>
            <w:tcW w:w="199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bCs/>
                <w:color w:val="auto"/>
              </w:rPr>
            </w:pPr>
            <w:r>
              <w:rPr>
                <w:rFonts w:hint="eastAsia" w:ascii="Times New Roman" w:hAnsi="Times New Roman" w:cs="Times New Roman"/>
                <w:bCs/>
                <w:color w:val="auto"/>
                <w:lang w:eastAsia="zh-CN"/>
              </w:rPr>
              <w:t>本</w:t>
            </w:r>
            <w:r>
              <w:rPr>
                <w:rFonts w:hint="eastAsia" w:ascii="Times New Roman" w:hAnsi="Times New Roman" w:cs="Times New Roman"/>
                <w:bCs/>
                <w:color w:val="auto"/>
              </w:rPr>
              <w:t>项目不在</w:t>
            </w:r>
            <w:r>
              <w:rPr>
                <w:rFonts w:hint="eastAsia" w:ascii="Times New Roman" w:hAnsi="Times New Roman" w:cs="Times New Roman"/>
                <w:bCs/>
                <w:color w:val="auto"/>
                <w:lang w:eastAsia="zh-CN"/>
              </w:rPr>
              <w:t>通江县境内的光雾山—诺水河国家级风景名胜区的景区范围。</w:t>
            </w:r>
          </w:p>
        </w:tc>
        <w:tc>
          <w:tcPr>
            <w:tcW w:w="69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62"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rPr>
            </w:pPr>
          </w:p>
        </w:tc>
        <w:tc>
          <w:tcPr>
            <w:tcW w:w="174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eastAsiaTheme="minorEastAsia"/>
                <w:bCs/>
                <w:color w:val="auto"/>
                <w:lang w:val="en-US" w:eastAsia="zh-CN"/>
              </w:rPr>
            </w:pPr>
            <w:r>
              <w:rPr>
                <w:rFonts w:hint="default" w:ascii="Times New Roman" w:hAnsi="Times New Roman" w:cs="Times New Roman"/>
                <w:bCs/>
                <w:color w:val="auto"/>
              </w:rPr>
              <w:t>4.</w:t>
            </w:r>
            <w:r>
              <w:rPr>
                <w:rFonts w:hint="eastAsia" w:ascii="Times New Roman" w:hAnsi="Times New Roman" w:cs="Times New Roman"/>
                <w:bCs/>
                <w:color w:val="auto"/>
                <w:lang w:eastAsia="zh-CN"/>
              </w:rPr>
              <w:t>根据通江县土地利用现状，县城和高明新区的建成区外延</w:t>
            </w:r>
            <w:r>
              <w:rPr>
                <w:rFonts w:hint="eastAsia" w:ascii="Times New Roman" w:hAnsi="Times New Roman" w:cs="Times New Roman"/>
                <w:bCs/>
                <w:color w:val="auto"/>
                <w:lang w:val="en-US" w:eastAsia="zh-CN"/>
              </w:rPr>
              <w:t>500米范围内，48个建制乡镇的建成区外延50米范围内。</w:t>
            </w:r>
          </w:p>
        </w:tc>
        <w:tc>
          <w:tcPr>
            <w:tcW w:w="199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bCs/>
                <w:color w:val="auto"/>
              </w:rPr>
            </w:pPr>
            <w:r>
              <w:rPr>
                <w:rFonts w:hint="eastAsia" w:ascii="Times New Roman" w:hAnsi="Times New Roman" w:cs="Times New Roman"/>
                <w:bCs/>
                <w:color w:val="auto"/>
              </w:rPr>
              <w:t>项目不在</w:t>
            </w:r>
            <w:r>
              <w:rPr>
                <w:rFonts w:hint="eastAsia" w:ascii="Times New Roman" w:hAnsi="Times New Roman" w:cs="Times New Roman"/>
                <w:bCs/>
                <w:color w:val="auto"/>
                <w:lang w:eastAsia="zh-CN"/>
              </w:rPr>
              <w:t>县城和高明新区的建成区外延</w:t>
            </w:r>
            <w:r>
              <w:rPr>
                <w:rFonts w:hint="eastAsia" w:ascii="Times New Roman" w:hAnsi="Times New Roman" w:cs="Times New Roman"/>
                <w:bCs/>
                <w:color w:val="auto"/>
                <w:lang w:val="en-US" w:eastAsia="zh-CN"/>
              </w:rPr>
              <w:t>500米范围内，也不在龙凤场镇的建成区外延50米的范围内。</w:t>
            </w:r>
          </w:p>
        </w:tc>
        <w:tc>
          <w:tcPr>
            <w:tcW w:w="69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rPr>
            </w:pPr>
            <w:r>
              <w:rPr>
                <w:rFonts w:hint="eastAsia" w:ascii="Times New Roman" w:hAnsi="Times New Roman" w:cs="Times New Roman"/>
                <w:bCs/>
                <w:color w:val="auto"/>
              </w:rPr>
              <w:t>符合</w:t>
            </w:r>
          </w:p>
        </w:tc>
      </w:tr>
    </w:tbl>
    <w:p>
      <w:pPr>
        <w:pStyle w:val="1385"/>
        <w:ind w:firstLine="480"/>
        <w:rPr>
          <w:rFonts w:hint="eastAsia"/>
          <w:bCs/>
          <w:color w:val="auto"/>
        </w:rPr>
      </w:pPr>
      <w:r>
        <w:rPr>
          <w:rFonts w:hint="eastAsia"/>
          <w:bCs/>
          <w:color w:val="auto"/>
        </w:rPr>
        <w:t>本项目</w:t>
      </w:r>
      <w:r>
        <w:rPr>
          <w:rFonts w:hint="eastAsia"/>
          <w:bCs/>
          <w:color w:val="auto"/>
          <w:lang w:eastAsia="zh-CN"/>
        </w:rPr>
        <w:t>不在</w:t>
      </w:r>
      <w:r>
        <w:rPr>
          <w:rFonts w:hint="eastAsia"/>
          <w:bCs/>
          <w:color w:val="auto"/>
        </w:rPr>
        <w:t>《通江县畜禽养殖禁养区划定方案》规定的</w:t>
      </w:r>
      <w:r>
        <w:rPr>
          <w:rFonts w:hint="eastAsia"/>
          <w:bCs/>
          <w:color w:val="auto"/>
          <w:lang w:eastAsia="zh-CN"/>
        </w:rPr>
        <w:t>禁养</w:t>
      </w:r>
      <w:r>
        <w:rPr>
          <w:rFonts w:hint="eastAsia"/>
          <w:bCs/>
          <w:color w:val="auto"/>
        </w:rPr>
        <w:t>区，符合</w:t>
      </w:r>
      <w:r>
        <w:rPr>
          <w:rFonts w:hint="eastAsia"/>
          <w:bCs/>
          <w:color w:val="auto"/>
          <w:lang w:eastAsia="zh-CN"/>
        </w:rPr>
        <w:t>通江县</w:t>
      </w:r>
      <w:r>
        <w:rPr>
          <w:rFonts w:hint="eastAsia"/>
          <w:bCs/>
          <w:color w:val="auto"/>
        </w:rPr>
        <w:t>养殖规划。</w:t>
      </w:r>
    </w:p>
    <w:p>
      <w:pPr>
        <w:pStyle w:val="7"/>
        <w:spacing w:before="0" w:after="0" w:line="360" w:lineRule="auto"/>
        <w:ind w:left="0" w:firstLine="0"/>
        <w:rPr>
          <w:rFonts w:cs="Times New Roman"/>
          <w:color w:val="auto"/>
        </w:rPr>
      </w:pPr>
      <w:bookmarkStart w:id="111" w:name="_Toc2998"/>
      <w:r>
        <w:rPr>
          <w:rFonts w:hint="eastAsia" w:cs="Times New Roman"/>
          <w:color w:val="auto"/>
        </w:rPr>
        <w:t>与《村镇规划卫生规范》符合性分析</w:t>
      </w:r>
      <w:bookmarkEnd w:id="111"/>
    </w:p>
    <w:p>
      <w:pPr>
        <w:adjustRightInd w:val="0"/>
        <w:snapToGrid w:val="0"/>
        <w:ind w:firstLine="518" w:firstLineChars="216"/>
        <w:rPr>
          <w:color w:val="auto"/>
        </w:rPr>
      </w:pPr>
      <w:r>
        <w:rPr>
          <w:rFonts w:hint="eastAsia" w:ascii="Times New Roman" w:hAnsi="Times New Roman" w:cs="Times New Roman"/>
          <w:color w:val="auto"/>
          <w:sz w:val="24"/>
        </w:rPr>
        <w:t>《村镇规划卫生规范》（</w:t>
      </w:r>
      <w:r>
        <w:rPr>
          <w:rFonts w:ascii="Times New Roman" w:hAnsi="Times New Roman" w:cs="Times New Roman"/>
          <w:color w:val="auto"/>
          <w:sz w:val="24"/>
        </w:rPr>
        <w:t>GB18055-20</w:t>
      </w:r>
      <w:r>
        <w:rPr>
          <w:rFonts w:hint="eastAsia" w:ascii="Times New Roman" w:hAnsi="Times New Roman" w:cs="Times New Roman"/>
          <w:color w:val="auto"/>
          <w:sz w:val="24"/>
        </w:rPr>
        <w:t>12）中规定：在复杂地形条件下的住宅区与产生有害因素场所之间的卫生防护距离，应根据环境影响报告，由建设单位主管部门与项目所在省、市、自治区的卫生、环境保护部门共同确定。本项目区属复杂地形，经过计算，</w:t>
      </w:r>
      <w:r>
        <w:rPr>
          <w:rFonts w:hint="eastAsia" w:ascii="Times New Roman" w:hAnsi="Times New Roman" w:eastAsia="宋体" w:cs="Times New Roman"/>
          <w:color w:val="auto"/>
          <w:sz w:val="24"/>
          <w:szCs w:val="24"/>
        </w:rPr>
        <w:t>本次评价确定本项目以猪舍、污水处理站、</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边界为起点，在上风向、下风向以及侧风向均设置</w:t>
      </w:r>
      <w:r>
        <w:rPr>
          <w:rFonts w:ascii="Times New Roman" w:hAnsi="Times New Roman" w:eastAsia="宋体" w:cs="Times New Roman"/>
          <w:color w:val="auto"/>
          <w:sz w:val="24"/>
          <w:szCs w:val="24"/>
        </w:rPr>
        <w:t>200m</w:t>
      </w:r>
      <w:r>
        <w:rPr>
          <w:rFonts w:hint="eastAsia" w:ascii="Times New Roman" w:hAnsi="Times New Roman" w:eastAsia="宋体" w:cs="Times New Roman"/>
          <w:color w:val="auto"/>
          <w:sz w:val="24"/>
          <w:szCs w:val="24"/>
        </w:rPr>
        <w:t>的卫生防护距离</w:t>
      </w:r>
      <w:r>
        <w:rPr>
          <w:rFonts w:hint="eastAsia" w:ascii="Times New Roman" w:hAnsi="Times New Roman" w:cs="Times New Roman"/>
          <w:color w:val="auto"/>
          <w:sz w:val="24"/>
        </w:rPr>
        <w:t>）。本项目卫生防护距离范围内无人居住，本项目选址符合《村镇规划卫生规范》（</w:t>
      </w:r>
      <w:r>
        <w:rPr>
          <w:rFonts w:ascii="Times New Roman" w:hAnsi="Times New Roman" w:cs="Times New Roman"/>
          <w:color w:val="auto"/>
          <w:sz w:val="24"/>
        </w:rPr>
        <w:t>GB18055-20</w:t>
      </w:r>
      <w:r>
        <w:rPr>
          <w:rFonts w:hint="eastAsia" w:ascii="Times New Roman" w:hAnsi="Times New Roman" w:cs="Times New Roman"/>
          <w:color w:val="auto"/>
          <w:sz w:val="24"/>
        </w:rPr>
        <w:t>12）要求。</w:t>
      </w:r>
    </w:p>
    <w:p>
      <w:pPr>
        <w:pStyle w:val="7"/>
        <w:spacing w:before="0" w:after="0" w:line="360" w:lineRule="auto"/>
        <w:ind w:left="0" w:firstLine="0"/>
        <w:rPr>
          <w:rFonts w:cs="Times New Roman"/>
          <w:color w:val="auto"/>
        </w:rPr>
      </w:pPr>
      <w:bookmarkStart w:id="112" w:name="_Toc3422"/>
      <w:r>
        <w:rPr>
          <w:rFonts w:hint="eastAsia" w:cs="Times New Roman"/>
          <w:color w:val="auto"/>
        </w:rPr>
        <w:t>与其他相关规范选址符合性分析</w:t>
      </w:r>
      <w:bookmarkEnd w:id="112"/>
    </w:p>
    <w:p>
      <w:pPr>
        <w:adjustRightInd w:val="0"/>
        <w:snapToGrid w:val="0"/>
        <w:ind w:firstLine="518" w:firstLineChars="216"/>
        <w:rPr>
          <w:rFonts w:ascii="Times New Roman" w:hAnsi="Times New Roman" w:cs="Times New Roman"/>
          <w:bCs/>
          <w:color w:val="auto"/>
          <w:sz w:val="24"/>
        </w:rPr>
      </w:pPr>
      <w:r>
        <w:rPr>
          <w:rFonts w:hint="eastAsia" w:ascii="Times New Roman" w:hAnsi="Times New Roman" w:cs="Times New Roman"/>
          <w:bCs/>
          <w:color w:val="auto"/>
          <w:sz w:val="24"/>
        </w:rPr>
        <w:t>对照《</w:t>
      </w:r>
      <w:r>
        <w:rPr>
          <w:rFonts w:hint="eastAsia" w:ascii="Times New Roman" w:hAnsi="Times New Roman" w:cs="Times New Roman"/>
          <w:color w:val="auto"/>
          <w:sz w:val="24"/>
        </w:rPr>
        <w:t>畜禽规模养殖污染防治条例</w:t>
      </w:r>
      <w:r>
        <w:rPr>
          <w:rFonts w:hint="eastAsia" w:ascii="Times New Roman" w:hAnsi="Times New Roman" w:cs="Times New Roman"/>
          <w:bCs/>
          <w:color w:val="auto"/>
          <w:sz w:val="24"/>
        </w:rPr>
        <w:t>》（</w:t>
      </w:r>
      <w:r>
        <w:rPr>
          <w:rFonts w:hint="eastAsia" w:ascii="Times New Roman" w:hAnsi="Times New Roman" w:cs="Times New Roman"/>
          <w:color w:val="auto"/>
          <w:sz w:val="24"/>
        </w:rPr>
        <w:t>国务院令</w:t>
      </w:r>
      <w:r>
        <w:rPr>
          <w:rFonts w:hint="eastAsia" w:ascii="Times New Roman" w:hAnsi="Times New Roman" w:cs="Times New Roman"/>
          <w:bCs/>
          <w:color w:val="auto"/>
          <w:sz w:val="24"/>
        </w:rPr>
        <w:t>第643号）、《畜禽养殖业污染防治技术规范》（HJ/T81-2001）的要求，畜禽养殖业项目选址的环境制约因素有以下几点：</w:t>
      </w:r>
    </w:p>
    <w:p>
      <w:pPr>
        <w:adjustRightInd w:val="0"/>
        <w:snapToGrid w:val="0"/>
        <w:ind w:firstLine="518" w:firstLineChars="216"/>
        <w:rPr>
          <w:rFonts w:ascii="Times New Roman" w:hAnsi="Times New Roman" w:cs="Times New Roman"/>
          <w:bCs/>
          <w:color w:val="auto"/>
          <w:sz w:val="24"/>
        </w:rPr>
      </w:pPr>
      <w:r>
        <w:rPr>
          <w:rFonts w:hint="eastAsia" w:ascii="Times New Roman" w:hAnsi="Times New Roman" w:cs="Times New Roman"/>
          <w:bCs/>
          <w:color w:val="auto"/>
          <w:sz w:val="24"/>
        </w:rPr>
        <w:t>禁止在下列区域内建设畜禽养殖场：</w:t>
      </w:r>
    </w:p>
    <w:p>
      <w:pPr>
        <w:adjustRightInd w:val="0"/>
        <w:snapToGrid w:val="0"/>
        <w:ind w:firstLine="518" w:firstLineChars="216"/>
        <w:rPr>
          <w:rFonts w:ascii="Times New Roman" w:hAnsi="Times New Roman" w:cs="Times New Roman"/>
          <w:bCs/>
          <w:color w:val="auto"/>
          <w:sz w:val="24"/>
        </w:rPr>
      </w:pPr>
      <w:r>
        <w:rPr>
          <w:rFonts w:hint="eastAsia" w:ascii="Times New Roman" w:hAnsi="Times New Roman" w:cs="Times New Roman"/>
          <w:bCs/>
          <w:color w:val="auto"/>
          <w:sz w:val="24"/>
        </w:rPr>
        <w:t>1、饮用水水源保护区，风景名胜区</w:t>
      </w:r>
    </w:p>
    <w:p>
      <w:pPr>
        <w:adjustRightInd w:val="0"/>
        <w:snapToGrid w:val="0"/>
        <w:ind w:firstLine="518" w:firstLineChars="216"/>
        <w:rPr>
          <w:rFonts w:ascii="Times New Roman" w:hAnsi="Times New Roman" w:cs="Times New Roman"/>
          <w:bCs/>
          <w:color w:val="auto"/>
          <w:sz w:val="24"/>
        </w:rPr>
      </w:pPr>
      <w:r>
        <w:rPr>
          <w:rFonts w:hint="eastAsia" w:ascii="Times New Roman" w:hAnsi="Times New Roman" w:cs="Times New Roman"/>
          <w:bCs/>
          <w:color w:val="auto"/>
          <w:sz w:val="24"/>
        </w:rPr>
        <w:t>2、自然保护区的核心区和缓冲区；</w:t>
      </w:r>
    </w:p>
    <w:p>
      <w:pPr>
        <w:adjustRightInd w:val="0"/>
        <w:snapToGrid w:val="0"/>
        <w:ind w:firstLine="518" w:firstLineChars="216"/>
        <w:rPr>
          <w:rFonts w:ascii="Times New Roman" w:hAnsi="Times New Roman" w:cs="Times New Roman"/>
          <w:bCs/>
          <w:color w:val="auto"/>
          <w:sz w:val="24"/>
        </w:rPr>
      </w:pPr>
      <w:r>
        <w:rPr>
          <w:rFonts w:hint="eastAsia" w:ascii="Times New Roman" w:hAnsi="Times New Roman" w:cs="Times New Roman"/>
          <w:bCs/>
          <w:color w:val="auto"/>
          <w:sz w:val="24"/>
        </w:rPr>
        <w:t>3、城市和城镇居民区，包括文教科研区、医疗区、商业区、工业区、游览区等人口集中地区；</w:t>
      </w:r>
    </w:p>
    <w:p>
      <w:pPr>
        <w:adjustRightInd w:val="0"/>
        <w:snapToGrid w:val="0"/>
        <w:ind w:firstLine="518" w:firstLineChars="216"/>
        <w:rPr>
          <w:rFonts w:ascii="Times New Roman" w:hAnsi="Times New Roman" w:cs="Times New Roman"/>
          <w:bCs/>
          <w:color w:val="auto"/>
          <w:sz w:val="24"/>
        </w:rPr>
      </w:pPr>
      <w:r>
        <w:rPr>
          <w:rFonts w:hint="eastAsia" w:ascii="Times New Roman" w:hAnsi="Times New Roman" w:cs="Times New Roman"/>
          <w:bCs/>
          <w:color w:val="auto"/>
          <w:sz w:val="24"/>
        </w:rPr>
        <w:t>4、县级人民政府依法划定的禁养区域；</w:t>
      </w:r>
    </w:p>
    <w:p>
      <w:pPr>
        <w:adjustRightInd w:val="0"/>
        <w:snapToGrid w:val="0"/>
        <w:ind w:firstLine="518" w:firstLineChars="216"/>
        <w:rPr>
          <w:rFonts w:ascii="Times New Roman" w:hAnsi="Times New Roman" w:cs="Times New Roman"/>
          <w:bCs/>
          <w:color w:val="auto"/>
          <w:sz w:val="24"/>
        </w:rPr>
      </w:pPr>
      <w:r>
        <w:rPr>
          <w:rFonts w:hint="eastAsia" w:ascii="Times New Roman" w:hAnsi="Times New Roman" w:cs="Times New Roman"/>
          <w:bCs/>
          <w:color w:val="auto"/>
          <w:sz w:val="24"/>
        </w:rPr>
        <w:t>5、国家或地方法律、法规规定需特殊保护的其他区域。</w:t>
      </w:r>
    </w:p>
    <w:p>
      <w:pPr>
        <w:adjustRightInd w:val="0"/>
        <w:snapToGrid w:val="0"/>
        <w:ind w:firstLine="518" w:firstLineChars="216"/>
        <w:rPr>
          <w:rFonts w:ascii="Times New Roman" w:hAnsi="Times New Roman" w:cs="Times New Roman"/>
          <w:bCs/>
          <w:color w:val="auto"/>
          <w:sz w:val="24"/>
        </w:rPr>
      </w:pPr>
      <w:r>
        <w:rPr>
          <w:rFonts w:hint="eastAsia" w:ascii="Times New Roman" w:hAnsi="Times New Roman" w:cs="Times New Roman"/>
          <w:bCs/>
          <w:color w:val="auto"/>
          <w:sz w:val="24"/>
        </w:rPr>
        <w:t>场界与禁建区域边界的最小距离不得小于500m。</w:t>
      </w:r>
    </w:p>
    <w:p>
      <w:pPr>
        <w:adjustRightInd w:val="0"/>
        <w:snapToGrid w:val="0"/>
        <w:spacing w:line="360" w:lineRule="auto"/>
        <w:ind w:firstLine="518" w:firstLineChars="216"/>
        <w:rPr>
          <w:rFonts w:hint="eastAsia" w:ascii="Times New Roman" w:hAnsi="Times New Roman" w:cs="Times New Roman"/>
          <w:bCs/>
          <w:color w:val="auto"/>
          <w:sz w:val="24"/>
        </w:rPr>
      </w:pPr>
      <w:r>
        <w:rPr>
          <w:rFonts w:hint="eastAsia" w:ascii="Times New Roman" w:hAnsi="Times New Roman" w:cs="Times New Roman"/>
          <w:bCs/>
          <w:color w:val="auto"/>
          <w:sz w:val="24"/>
        </w:rPr>
        <w:t>本项目不在上述区域，场界与禁建区域边界的最小距离大于500m，符合《畜禽规模养殖污染防治条例》（国务院令第643号）</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rPr>
        <w:t>《畜禽养殖业污染防治技</w:t>
      </w:r>
      <w:r>
        <w:rPr>
          <w:rFonts w:hint="eastAsia" w:ascii="Times New Roman" w:hAnsi="Times New Roman" w:cs="Times New Roman"/>
          <w:bCs/>
          <w:color w:val="auto"/>
          <w:sz w:val="24"/>
          <w:lang w:eastAsia="zh-CN"/>
        </w:rPr>
        <w:t>术</w:t>
      </w:r>
      <w:r>
        <w:rPr>
          <w:rFonts w:hint="eastAsia" w:ascii="Times New Roman" w:hAnsi="Times New Roman" w:cs="Times New Roman"/>
          <w:bCs/>
          <w:color w:val="auto"/>
          <w:sz w:val="24"/>
        </w:rPr>
        <w:t>规范》（HJ/T81-2001）的要求。</w:t>
      </w:r>
    </w:p>
    <w:p>
      <w:pPr>
        <w:pStyle w:val="7"/>
        <w:spacing w:before="0" w:after="0" w:line="360" w:lineRule="auto"/>
        <w:ind w:left="0" w:firstLine="0"/>
        <w:rPr>
          <w:rFonts w:cs="Times New Roman"/>
          <w:color w:val="auto"/>
        </w:rPr>
      </w:pPr>
      <w:bookmarkStart w:id="113" w:name="_Toc25172"/>
      <w:r>
        <w:rPr>
          <w:rFonts w:hint="eastAsia" w:cs="Times New Roman"/>
          <w:color w:val="auto"/>
          <w:lang w:eastAsia="zh-CN"/>
        </w:rPr>
        <w:t>选址合理性分析</w:t>
      </w:r>
      <w:bookmarkEnd w:id="113"/>
    </w:p>
    <w:p>
      <w:pPr>
        <w:adjustRightInd w:val="0"/>
        <w:snapToGrid w:val="0"/>
        <w:spacing w:line="360" w:lineRule="auto"/>
        <w:ind w:firstLine="518" w:firstLineChars="216"/>
        <w:rPr>
          <w:rFonts w:hint="eastAsia" w:ascii="Times New Roman" w:hAnsi="Times New Roman" w:cs="Times New Roman"/>
          <w:bCs/>
          <w:color w:val="auto"/>
          <w:sz w:val="24"/>
          <w:lang w:eastAsia="zh-CN"/>
        </w:rPr>
      </w:pPr>
      <w:r>
        <w:rPr>
          <w:rFonts w:hint="eastAsia" w:ascii="Times New Roman" w:hAnsi="Times New Roman" w:cs="Times New Roman"/>
          <w:bCs/>
          <w:color w:val="auto"/>
          <w:sz w:val="24"/>
        </w:rPr>
        <w:t>项目选址位于</w:t>
      </w:r>
      <w:r>
        <w:rPr>
          <w:rFonts w:hint="eastAsia" w:ascii="Times New Roman" w:hAnsi="Times New Roman" w:cs="Times New Roman"/>
          <w:bCs/>
          <w:color w:val="auto"/>
          <w:sz w:val="24"/>
          <w:lang w:eastAsia="zh-CN"/>
        </w:rPr>
        <w:t>四川省巴中市通江县龙凤场镇环山村</w:t>
      </w:r>
      <w:r>
        <w:rPr>
          <w:rFonts w:hint="eastAsia" w:ascii="Times New Roman" w:hAnsi="Times New Roman" w:cs="Times New Roman"/>
          <w:bCs/>
          <w:color w:val="auto"/>
          <w:sz w:val="24"/>
        </w:rPr>
        <w:t>，项目四周</w:t>
      </w:r>
      <w:r>
        <w:rPr>
          <w:rFonts w:hint="eastAsia" w:ascii="Times New Roman" w:hAnsi="Times New Roman" w:cs="Times New Roman"/>
          <w:bCs/>
          <w:color w:val="auto"/>
          <w:sz w:val="24"/>
          <w:lang w:eastAsia="zh-CN"/>
        </w:rPr>
        <w:t>林地</w:t>
      </w:r>
      <w:r>
        <w:rPr>
          <w:rFonts w:hint="eastAsia" w:ascii="Times New Roman" w:hAnsi="Times New Roman" w:cs="Times New Roman"/>
          <w:bCs/>
          <w:color w:val="auto"/>
          <w:sz w:val="24"/>
        </w:rPr>
        <w:t>，</w:t>
      </w:r>
      <w:r>
        <w:rPr>
          <w:rFonts w:hint="eastAsia" w:ascii="Times New Roman" w:hAnsi="Times New Roman" w:cs="Times New Roman"/>
          <w:bCs/>
          <w:color w:val="auto"/>
          <w:sz w:val="24"/>
          <w:lang w:eastAsia="zh-CN"/>
        </w:rPr>
        <w:t>无居民居住，且项目周边将配套公路建设，以提供</w:t>
      </w:r>
      <w:r>
        <w:rPr>
          <w:rFonts w:hint="eastAsia" w:ascii="Times New Roman" w:hAnsi="Times New Roman" w:cs="Times New Roman"/>
          <w:bCs/>
          <w:color w:val="auto"/>
          <w:sz w:val="24"/>
        </w:rPr>
        <w:t>交通便利；本项目供电均由市政电网供电，且本项目备有柴油发电机，故本项目的供电得到保障</w:t>
      </w:r>
      <w:r>
        <w:rPr>
          <w:rFonts w:hint="eastAsia" w:ascii="Times New Roman" w:hAnsi="Times New Roman" w:cs="Times New Roman"/>
          <w:bCs/>
          <w:color w:val="auto"/>
          <w:sz w:val="24"/>
          <w:lang w:eastAsia="zh-CN"/>
        </w:rPr>
        <w:t>。</w:t>
      </w:r>
    </w:p>
    <w:p>
      <w:pPr>
        <w:adjustRightInd w:val="0"/>
        <w:snapToGrid w:val="0"/>
        <w:spacing w:line="360" w:lineRule="auto"/>
        <w:ind w:firstLine="518" w:firstLineChars="216"/>
        <w:rPr>
          <w:rFonts w:hint="eastAsia" w:ascii="Times New Roman" w:hAnsi="Times New Roman" w:eastAsia="宋体" w:cs="Times New Roman"/>
          <w:b/>
          <w:bCs/>
          <w:color w:val="auto"/>
          <w:lang w:val="en-US" w:eastAsia="zh-CN"/>
        </w:rPr>
      </w:pPr>
      <w:r>
        <w:rPr>
          <w:rFonts w:hint="eastAsia" w:ascii="Times New Roman" w:hAnsi="Times New Roman" w:cs="Times New Roman"/>
          <w:bCs/>
          <w:color w:val="auto"/>
          <w:sz w:val="24"/>
          <w:lang w:eastAsia="zh-CN"/>
        </w:rPr>
        <w:t>综上，本项目场址从区域配套基础设施分析，其选址具有合理性。</w:t>
      </w:r>
    </w:p>
    <w:p>
      <w:pPr>
        <w:numPr>
          <w:ilvl w:val="0"/>
          <w:numId w:val="15"/>
        </w:numPr>
        <w:tabs>
          <w:tab w:val="left" w:pos="0"/>
        </w:tabs>
        <w:ind w:left="425" w:leftChars="0" w:hanging="425" w:firstLineChars="0"/>
        <w:jc w:val="center"/>
        <w:rPr>
          <w:rFonts w:ascii="Times New Roman" w:hAnsi="Times New Roman" w:cs="Times New Roman"/>
          <w:b/>
          <w:bCs/>
          <w:color w:val="auto"/>
          <w:sz w:val="21"/>
          <w:szCs w:val="21"/>
        </w:rPr>
      </w:pP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sz w:val="21"/>
          <w:szCs w:val="21"/>
          <w:lang w:val="en-US" w:eastAsia="zh-CN"/>
        </w:rPr>
        <w:t>选址</w:t>
      </w:r>
      <w:r>
        <w:rPr>
          <w:rFonts w:hint="default" w:ascii="Times New Roman" w:hAnsi="Times New Roman" w:eastAsia="宋体" w:cs="Times New Roman"/>
          <w:b/>
          <w:bCs/>
          <w:color w:val="auto"/>
          <w:sz w:val="21"/>
          <w:szCs w:val="21"/>
        </w:rPr>
        <w:t>合理性分析</w:t>
      </w:r>
    </w:p>
    <w:tbl>
      <w:tblPr>
        <w:tblStyle w:val="88"/>
        <w:tblW w:w="850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1621"/>
        <w:gridCol w:w="5819"/>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序号</w:t>
            </w:r>
          </w:p>
        </w:tc>
        <w:tc>
          <w:tcPr>
            <w:tcW w:w="1621" w:type="dxa"/>
            <w:tcBorders>
              <w:tl2br w:val="nil"/>
              <w:tr2bl w:val="nil"/>
            </w:tcBorders>
            <w:vAlign w:val="center"/>
          </w:tcPr>
          <w:p>
            <w:pPr>
              <w:pStyle w:val="942"/>
              <w:keepNext w:val="0"/>
              <w:keepLines w:val="0"/>
              <w:suppressLineNumbers w:val="0"/>
              <w:spacing w:before="0" w:beforeAutospacing="0" w:after="0" w:afterAutospacing="0"/>
              <w:ind w:left="0" w:right="0"/>
              <w:rPr>
                <w:rFonts w:hint="eastAsia" w:eastAsia="宋体" w:cs="Times New Roman"/>
                <w:color w:val="auto"/>
                <w:szCs w:val="21"/>
                <w:lang w:eastAsia="zh-CN"/>
              </w:rPr>
            </w:pPr>
            <w:r>
              <w:rPr>
                <w:rFonts w:hint="eastAsia" w:cs="Times New Roman"/>
                <w:color w:val="auto"/>
                <w:lang w:eastAsia="zh-CN"/>
              </w:rPr>
              <w:t>项目</w:t>
            </w:r>
          </w:p>
        </w:tc>
        <w:tc>
          <w:tcPr>
            <w:tcW w:w="5819" w:type="dxa"/>
            <w:tcBorders>
              <w:tl2br w:val="nil"/>
              <w:tr2bl w:val="nil"/>
            </w:tcBorders>
            <w:vAlign w:val="center"/>
          </w:tcPr>
          <w:p>
            <w:pPr>
              <w:pStyle w:val="942"/>
              <w:keepNext w:val="0"/>
              <w:keepLines w:val="0"/>
              <w:suppressLineNumbers w:val="0"/>
              <w:spacing w:before="0" w:beforeAutospacing="0" w:after="0" w:afterAutospacing="0"/>
              <w:ind w:left="0" w:right="0"/>
              <w:rPr>
                <w:rFonts w:hint="eastAsia" w:eastAsia="宋体" w:cs="Times New Roman"/>
                <w:color w:val="auto"/>
                <w:szCs w:val="21"/>
                <w:lang w:eastAsia="zh-CN"/>
              </w:rPr>
            </w:pPr>
            <w:r>
              <w:rPr>
                <w:rFonts w:hint="eastAsia" w:cs="Times New Roman"/>
                <w:color w:val="auto"/>
                <w:szCs w:val="21"/>
                <w:lang w:eastAsia="zh-CN"/>
              </w:rPr>
              <w:t>环境条件概述</w:t>
            </w:r>
          </w:p>
        </w:tc>
        <w:tc>
          <w:tcPr>
            <w:tcW w:w="617" w:type="dxa"/>
            <w:tcBorders>
              <w:tl2br w:val="nil"/>
              <w:tr2bl w:val="nil"/>
            </w:tcBorders>
            <w:vAlign w:val="center"/>
          </w:tcPr>
          <w:p>
            <w:pPr>
              <w:pStyle w:val="942"/>
              <w:keepNext w:val="0"/>
              <w:keepLines w:val="0"/>
              <w:suppressLineNumbers w:val="0"/>
              <w:spacing w:before="0" w:beforeAutospacing="0" w:after="0" w:afterAutospacing="0"/>
              <w:ind w:left="0" w:right="0"/>
              <w:rPr>
                <w:rFonts w:hint="default" w:cs="Times New Roman"/>
                <w:color w:val="auto"/>
                <w:szCs w:val="21"/>
              </w:rPr>
            </w:pPr>
            <w:r>
              <w:rPr>
                <w:rFonts w:hint="eastAsia" w:cs="Times New Roman"/>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1</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lang w:eastAsia="zh-CN"/>
              </w:rPr>
              <w:t>场址</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rPr>
              <w:t>位于</w:t>
            </w:r>
            <w:r>
              <w:rPr>
                <w:rFonts w:hint="eastAsia" w:ascii="Times New Roman" w:hAnsi="Times New Roman"/>
                <w:color w:val="auto"/>
                <w:sz w:val="21"/>
                <w:lang w:eastAsia="zh-CN"/>
              </w:rPr>
              <w:t>通江县龙凤镇环山村（原火焰沟村）</w:t>
            </w:r>
            <w:r>
              <w:rPr>
                <w:rFonts w:hint="eastAsia" w:ascii="Times New Roman" w:hAnsi="Times New Roman"/>
                <w:color w:val="auto"/>
                <w:sz w:val="21"/>
              </w:rPr>
              <w:t>，为农村环境，非城市和城镇居民区等人口集中</w:t>
            </w:r>
            <w:r>
              <w:rPr>
                <w:rFonts w:hint="eastAsia" w:ascii="Times New Roman" w:hAnsi="Times New Roman"/>
                <w:color w:val="auto"/>
                <w:sz w:val="21"/>
                <w:lang w:eastAsia="zh-CN"/>
              </w:rPr>
              <w:t>地区</w:t>
            </w:r>
          </w:p>
        </w:tc>
        <w:tc>
          <w:tcPr>
            <w:tcW w:w="617" w:type="dxa"/>
            <w:vMerge w:val="restart"/>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r>
              <w:rPr>
                <w:rFonts w:hint="default" w:ascii="Times New Roman" w:hAnsi="Times New Roman"/>
                <w:color w:val="auto"/>
                <w:sz w:val="21"/>
              </w:rPr>
              <w:t>2</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lang w:eastAsia="zh-CN"/>
              </w:rPr>
              <w:t>占地类型</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color w:val="auto"/>
                <w:sz w:val="21"/>
              </w:rPr>
            </w:pPr>
            <w:r>
              <w:rPr>
                <w:rFonts w:hint="eastAsia" w:ascii="Times New Roman" w:hAnsi="Times New Roman"/>
                <w:color w:val="auto"/>
                <w:sz w:val="21"/>
              </w:rPr>
              <w:t>为</w:t>
            </w:r>
            <w:r>
              <w:rPr>
                <w:rFonts w:hint="eastAsia" w:ascii="Times New Roman" w:hAnsi="Times New Roman"/>
                <w:color w:val="auto"/>
                <w:sz w:val="21"/>
                <w:lang w:eastAsia="zh-CN"/>
              </w:rPr>
              <w:t>林地</w:t>
            </w:r>
          </w:p>
        </w:tc>
        <w:tc>
          <w:tcPr>
            <w:tcW w:w="617" w:type="dxa"/>
            <w:vMerge w:val="continue"/>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3</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通江县畜禽养殖禁养区划分方案</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本项目不在《通江县畜禽养殖禁养区划定方案》规定的禁养区，符合通江县养殖规划</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4</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周围敏感点及防护距离</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highlight w:val="none"/>
              </w:rPr>
              <w:t>本项目以猪舍、污水处理站、堆肥车间边界为起点，在上风向、下风向以及侧风向均设置200m的卫生防护距离</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据调查，拟划定卫生防护距离内有</w:t>
            </w:r>
            <w:r>
              <w:rPr>
                <w:rFonts w:hint="eastAsia" w:ascii="Times New Roman" w:hAnsi="Times New Roman"/>
                <w:color w:val="auto"/>
                <w:sz w:val="21"/>
                <w:highlight w:val="none"/>
                <w:lang w:val="en-US" w:eastAsia="zh-CN"/>
              </w:rPr>
              <w:t>无</w:t>
            </w:r>
            <w:r>
              <w:rPr>
                <w:rFonts w:hint="eastAsia" w:ascii="Times New Roman" w:hAnsi="Times New Roman"/>
                <w:color w:val="auto"/>
                <w:sz w:val="21"/>
                <w:highlight w:val="none"/>
              </w:rPr>
              <w:t>居民，建设单位承诺按环评要求对“三废”进行治理，确保达标排放。环评要求：在项目划定的卫生防护区域内，今后不得新建学校、医院、机关、科研机构和集中居住区等敏感建筑物</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5</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粪便消纳能力</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本项目需配套</w:t>
            </w:r>
            <w:r>
              <w:rPr>
                <w:rFonts w:hint="eastAsia" w:ascii="Times New Roman" w:hAnsi="Times New Roman"/>
                <w:color w:val="auto"/>
                <w:sz w:val="21"/>
                <w:lang w:val="en-US" w:eastAsia="zh-CN"/>
              </w:rPr>
              <w:t>975.37</w:t>
            </w:r>
            <w:r>
              <w:rPr>
                <w:rFonts w:hint="eastAsia" w:ascii="Times New Roman" w:hAnsi="Times New Roman"/>
                <w:color w:val="auto"/>
                <w:sz w:val="21"/>
              </w:rPr>
              <w:t>亩消纳土地，配套</w:t>
            </w:r>
            <w:r>
              <w:rPr>
                <w:rFonts w:hint="eastAsia" w:ascii="Times New Roman" w:hAnsi="Times New Roman"/>
                <w:color w:val="auto"/>
                <w:sz w:val="21"/>
                <w:lang w:val="en-US" w:eastAsia="zh-CN"/>
              </w:rPr>
              <w:t>1194</w:t>
            </w:r>
            <w:r>
              <w:rPr>
                <w:rFonts w:hint="eastAsia" w:ascii="Times New Roman" w:hAnsi="Times New Roman"/>
                <w:color w:val="auto"/>
                <w:sz w:val="21"/>
              </w:rPr>
              <w:t>亩消纳土地，已签订消纳协议。</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6</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区域地表水体</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default" w:ascii="Times New Roman" w:hAnsi="Times New Roman"/>
                <w:color w:val="auto"/>
                <w:sz w:val="21"/>
              </w:rPr>
              <w:t>本项目的粪便直接送堆肥车间加工为有机肥，堆肥车间周围</w:t>
            </w:r>
            <w:r>
              <w:rPr>
                <w:rFonts w:hint="eastAsia" w:ascii="Times New Roman" w:hAnsi="Times New Roman"/>
                <w:color w:val="auto"/>
                <w:sz w:val="21"/>
                <w:lang w:val="en-US" w:eastAsia="zh-CN"/>
              </w:rPr>
              <w:t>5</w:t>
            </w:r>
            <w:r>
              <w:rPr>
                <w:rFonts w:hint="default" w:ascii="Times New Roman" w:hAnsi="Times New Roman"/>
                <w:color w:val="auto"/>
                <w:sz w:val="21"/>
              </w:rPr>
              <w:t>00m范围内无功能性地表水体，位于养殖场生产及生活管理区的常年主导风的下风向。</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7</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气候、气象</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场址所处区域属温带大陆性季风气候，四季分明，且地质条件</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良好。预计项目建设对下风向的影响不大</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8</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环境影响预测</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rPr>
              <w:t>项目运营期场界恶臭排放浓度及场界噪声均实现达标排放:在落实环评建议的前提下，对地下水的影响将降至最低</w:t>
            </w:r>
            <w:r>
              <w:rPr>
                <w:rFonts w:hint="eastAsia" w:ascii="Times New Roman" w:hAnsi="Times New Roman"/>
                <w:color w:val="auto"/>
                <w:sz w:val="21"/>
                <w:lang w:eastAsia="zh-CN"/>
              </w:rPr>
              <w:t>。</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eastAsia" w:ascii="Times New Roman" w:hAnsi="Times New Roman" w:eastAsia="宋体"/>
                <w:color w:val="auto"/>
                <w:sz w:val="21"/>
                <w:lang w:val="en-US" w:eastAsia="zh-CN"/>
              </w:rPr>
            </w:pPr>
            <w:r>
              <w:rPr>
                <w:rFonts w:hint="eastAsia" w:ascii="Times New Roman" w:hAnsi="Times New Roman"/>
                <w:color w:val="auto"/>
                <w:sz w:val="21"/>
                <w:lang w:val="en-US" w:eastAsia="zh-CN"/>
              </w:rPr>
              <w:t>9</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环境风险防范</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lang w:eastAsia="zh-CN"/>
              </w:rPr>
            </w:pPr>
            <w:r>
              <w:rPr>
                <w:rFonts w:hint="eastAsia" w:ascii="Times New Roman" w:hAnsi="Times New Roman"/>
                <w:color w:val="auto"/>
                <w:sz w:val="21"/>
              </w:rPr>
              <w:t>企业在认真落实评价提出的各项防范措施后,可将项目风险发生的概率降至最</w:t>
            </w:r>
            <w:r>
              <w:rPr>
                <w:rFonts w:hint="eastAsia" w:ascii="Times New Roman" w:hAnsi="Times New Roman"/>
                <w:color w:val="auto"/>
                <w:sz w:val="21"/>
                <w:lang w:eastAsia="zh-CN"/>
              </w:rPr>
              <w:t>低</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10</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三线一单符合性</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eastAsia="宋体"/>
                <w:color w:val="auto"/>
                <w:sz w:val="21"/>
                <w:lang w:val="en-US" w:eastAsia="zh-CN"/>
              </w:rPr>
            </w:pPr>
            <w:r>
              <w:rPr>
                <w:rFonts w:hint="eastAsia" w:ascii="Times New Roman" w:hAnsi="Times New Roman" w:eastAsia="宋体"/>
                <w:color w:val="auto"/>
                <w:sz w:val="21"/>
                <w:szCs w:val="21"/>
                <w:lang w:eastAsia="zh-CN"/>
              </w:rPr>
              <w:t>不在生态保护红线内、未超出环境质量底线及资源利用上线、未列入环境准入负面清单内</w:t>
            </w:r>
            <w:r>
              <w:rPr>
                <w:rFonts w:hint="eastAsia" w:ascii="Times New Roman" w:hAnsi="Times New Roman"/>
                <w:color w:val="auto"/>
                <w:sz w:val="21"/>
                <w:szCs w:val="21"/>
                <w:lang w:val="en-US" w:eastAsia="zh-CN"/>
              </w:rPr>
              <w:t>.</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11</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公众参与意见</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公众参与对象对项目建设持支持态度，并希望建设单位严格按</w:t>
            </w:r>
          </w:p>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照评价要求做好污染防治工作</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12</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清洁生产水平</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清洁生产达到国内先进水平</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13</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政府及管理部门意见</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eastAsia" w:ascii="Times New Roman" w:hAnsi="Times New Roman"/>
                <w:color w:val="auto"/>
                <w:sz w:val="21"/>
              </w:rPr>
            </w:pPr>
            <w:r>
              <w:rPr>
                <w:rFonts w:hint="eastAsia" w:ascii="Times New Roman" w:hAnsi="Times New Roman"/>
                <w:color w:val="auto"/>
                <w:sz w:val="21"/>
              </w:rPr>
              <w:t>对项目表支持态度，同意本工程在此地建设</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2"/>
              <w:keepNext w:val="0"/>
              <w:keepLines w:val="0"/>
              <w:widowControl/>
              <w:suppressLineNumbers w:val="0"/>
              <w:spacing w:before="0" w:beforeAutospacing="0" w:after="0" w:afterAutospacing="0"/>
              <w:ind w:left="0" w:right="0"/>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14</w:t>
            </w:r>
          </w:p>
        </w:tc>
        <w:tc>
          <w:tcPr>
            <w:tcW w:w="1621" w:type="dxa"/>
            <w:tcBorders>
              <w:tl2br w:val="nil"/>
              <w:tr2bl w:val="nil"/>
            </w:tcBorders>
            <w:vAlign w:val="center"/>
          </w:tcPr>
          <w:p>
            <w:pPr>
              <w:pStyle w:val="262"/>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lang w:eastAsia="zh-CN"/>
              </w:rPr>
            </w:pPr>
            <w:r>
              <w:rPr>
                <w:rFonts w:hint="eastAsia" w:ascii="Times New Roman" w:hAnsi="Times New Roman"/>
                <w:color w:val="auto"/>
                <w:sz w:val="21"/>
                <w:lang w:eastAsia="zh-CN"/>
              </w:rPr>
              <w:t>分析结果</w:t>
            </w:r>
          </w:p>
        </w:tc>
        <w:tc>
          <w:tcPr>
            <w:tcW w:w="5819" w:type="dxa"/>
            <w:tcBorders>
              <w:tl2br w:val="nil"/>
              <w:tr2bl w:val="nil"/>
            </w:tcBorders>
            <w:vAlign w:val="center"/>
          </w:tcPr>
          <w:p>
            <w:pPr>
              <w:pStyle w:val="262"/>
              <w:keepNext w:val="0"/>
              <w:keepLines w:val="0"/>
              <w:widowControl/>
              <w:suppressLineNumbers w:val="0"/>
              <w:spacing w:before="0" w:beforeAutospacing="0" w:after="0" w:afterAutospacing="0"/>
              <w:ind w:left="0" w:right="0"/>
              <w:jc w:val="both"/>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本项目选址合理</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rPr>
            </w:pPr>
            <w:r>
              <w:rPr>
                <w:rFonts w:hint="eastAsia" w:ascii="Times New Roman" w:hAnsi="Times New Roman"/>
                <w:color w:val="auto"/>
                <w:sz w:val="21"/>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通过上述分析，本项目选址于</w:t>
      </w:r>
      <w:r>
        <w:rPr>
          <w:rFonts w:hint="default" w:ascii="Times New Roman" w:hAnsi="Times New Roman" w:eastAsia="宋体" w:cs="Times New Roman"/>
          <w:bCs/>
          <w:color w:val="auto"/>
          <w:sz w:val="24"/>
          <w:lang w:eastAsia="zh-CN"/>
        </w:rPr>
        <w:t>四川省巴中市通江县龙凤场镇环山村</w:t>
      </w:r>
      <w:r>
        <w:rPr>
          <w:rFonts w:hint="default" w:ascii="Times New Roman" w:hAnsi="Times New Roman" w:eastAsia="宋体" w:cs="Times New Roman"/>
          <w:bCs/>
          <w:color w:val="auto"/>
          <w:sz w:val="24"/>
        </w:rPr>
        <w:t>，项目区交通便利；项目区配套基础设施完善，为项目建设提供了可靠的保障；场址所在区域环境空气质量、地表水环境质量、声环境质量良好，适合</w:t>
      </w:r>
      <w:r>
        <w:rPr>
          <w:rFonts w:hint="default" w:ascii="Times New Roman" w:hAnsi="Times New Roman" w:eastAsia="宋体" w:cs="Times New Roman"/>
          <w:bCs/>
          <w:color w:val="auto"/>
          <w:sz w:val="24"/>
          <w:lang w:eastAsia="zh-CN"/>
        </w:rPr>
        <w:t>商品猪</w:t>
      </w:r>
      <w:r>
        <w:rPr>
          <w:rFonts w:hint="default" w:ascii="Times New Roman" w:hAnsi="Times New Roman" w:eastAsia="宋体" w:cs="Times New Roman"/>
          <w:bCs/>
          <w:color w:val="auto"/>
          <w:sz w:val="24"/>
        </w:rPr>
        <w:t>的成长；同时项目周边无任何其他企业，无企业制约因素；</w:t>
      </w:r>
      <w:r>
        <w:rPr>
          <w:rFonts w:hint="default" w:ascii="Times New Roman" w:hAnsi="Times New Roman" w:eastAsia="宋体" w:cs="Times New Roman"/>
          <w:bCs/>
          <w:color w:val="auto"/>
          <w:sz w:val="24"/>
          <w:lang w:eastAsia="zh-CN"/>
        </w:rPr>
        <w:t>项目</w:t>
      </w:r>
      <w:r>
        <w:rPr>
          <w:rFonts w:hint="default" w:ascii="Times New Roman" w:hAnsi="Times New Roman" w:eastAsia="宋体" w:cs="Times New Roman"/>
          <w:bCs/>
          <w:color w:val="auto"/>
          <w:sz w:val="24"/>
        </w:rPr>
        <w:t>周边</w:t>
      </w:r>
      <w:r>
        <w:rPr>
          <w:rFonts w:hint="default" w:ascii="Times New Roman" w:hAnsi="Times New Roman" w:eastAsia="宋体" w:cs="Times New Roman"/>
          <w:bCs/>
          <w:color w:val="auto"/>
          <w:sz w:val="24"/>
          <w:lang w:eastAsia="zh-CN"/>
        </w:rPr>
        <w:t>无居住</w:t>
      </w:r>
      <w:r>
        <w:rPr>
          <w:rFonts w:hint="default" w:ascii="Times New Roman" w:hAnsi="Times New Roman" w:eastAsia="宋体" w:cs="Times New Roman"/>
          <w:bCs/>
          <w:color w:val="auto"/>
          <w:sz w:val="24"/>
        </w:rPr>
        <w:t>农户</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项目选址具有环境合理性</w:t>
      </w:r>
      <w:r>
        <w:rPr>
          <w:rFonts w:hint="default" w:ascii="Times New Roman" w:hAnsi="Times New Roman" w:eastAsia="宋体" w:cs="Times New Roman"/>
          <w:bCs/>
          <w:color w:val="auto"/>
          <w:sz w:val="24"/>
          <w:lang w:eastAsia="zh-CN"/>
        </w:rPr>
        <w:t>。</w:t>
      </w:r>
    </w:p>
    <w:p>
      <w:pPr>
        <w:pStyle w:val="6"/>
        <w:rPr>
          <w:rFonts w:cs="Times New Roman"/>
          <w:color w:val="auto"/>
        </w:rPr>
      </w:pPr>
      <w:bookmarkStart w:id="114" w:name="_Toc19543"/>
      <w:r>
        <w:rPr>
          <w:rFonts w:hint="eastAsia" w:cs="Times New Roman"/>
          <w:color w:val="auto"/>
        </w:rPr>
        <w:t>平面</w:t>
      </w:r>
      <w:r>
        <w:rPr>
          <w:rFonts w:cs="Times New Roman"/>
          <w:color w:val="auto"/>
        </w:rPr>
        <w:t>布置合理性</w:t>
      </w:r>
      <w:bookmarkEnd w:id="114"/>
    </w:p>
    <w:p>
      <w:pPr>
        <w:pStyle w:val="154"/>
        <w:ind w:firstLine="480"/>
        <w:rPr>
          <w:color w:val="auto"/>
          <w:sz w:val="24"/>
          <w:szCs w:val="24"/>
        </w:rPr>
      </w:pPr>
      <w:r>
        <w:rPr>
          <w:rFonts w:hint="eastAsia"/>
          <w:color w:val="auto"/>
        </w:rPr>
        <w:t>本项目位于</w:t>
      </w:r>
      <w:r>
        <w:rPr>
          <w:rFonts w:hint="eastAsia" w:ascii="Times New Roman" w:hAnsi="Times New Roman" w:cs="Times New Roman"/>
          <w:bCs/>
          <w:color w:val="auto"/>
          <w:sz w:val="24"/>
        </w:rPr>
        <w:t>四川省巴中市通江县龙凤场镇</w:t>
      </w:r>
      <w:r>
        <w:rPr>
          <w:rFonts w:hint="eastAsia" w:cs="Times New Roman"/>
          <w:bCs/>
          <w:color w:val="auto"/>
          <w:sz w:val="24"/>
          <w:lang w:eastAsia="zh-CN"/>
        </w:rPr>
        <w:t>环山村</w:t>
      </w:r>
      <w:r>
        <w:rPr>
          <w:rFonts w:hint="eastAsia"/>
          <w:color w:val="auto"/>
        </w:rPr>
        <w:t>，项目位于</w:t>
      </w:r>
      <w:r>
        <w:rPr>
          <w:rFonts w:hint="eastAsia"/>
          <w:color w:val="auto"/>
          <w:lang w:eastAsia="zh-CN"/>
        </w:rPr>
        <w:t>山顶</w:t>
      </w:r>
      <w:r>
        <w:rPr>
          <w:rFonts w:hint="eastAsia"/>
          <w:color w:val="auto"/>
        </w:rPr>
        <w:t>上，整个厂区地势较高。</w:t>
      </w:r>
      <w:r>
        <w:rPr>
          <w:color w:val="auto"/>
          <w:sz w:val="24"/>
          <w:szCs w:val="24"/>
        </w:rPr>
        <w:t>本项目按照使用功能建设三个分区：生产区、生活管理区、污染防治区（污水处理站、</w:t>
      </w:r>
      <w:r>
        <w:rPr>
          <w:rFonts w:hint="eastAsia"/>
          <w:color w:val="auto"/>
          <w:sz w:val="24"/>
          <w:szCs w:val="24"/>
          <w:lang w:eastAsia="zh-CN"/>
        </w:rPr>
        <w:t>有机肥生产基地</w:t>
      </w:r>
      <w:r>
        <w:rPr>
          <w:color w:val="auto"/>
          <w:sz w:val="24"/>
          <w:szCs w:val="24"/>
        </w:rPr>
        <w:t>、粪肥储存间）。</w:t>
      </w:r>
    </w:p>
    <w:p>
      <w:pPr>
        <w:ind w:firstLine="482"/>
        <w:rPr>
          <w:color w:val="auto"/>
          <w:sz w:val="24"/>
          <w:szCs w:val="24"/>
        </w:rPr>
      </w:pPr>
      <w:r>
        <w:rPr>
          <w:b/>
          <w:color w:val="auto"/>
          <w:sz w:val="24"/>
          <w:szCs w:val="24"/>
        </w:rPr>
        <w:t>1）生产区：</w:t>
      </w:r>
      <w:r>
        <w:rPr>
          <w:color w:val="auto"/>
          <w:sz w:val="24"/>
          <w:szCs w:val="24"/>
        </w:rPr>
        <w:t>根据有利防疫、便于猪只饲养管理和方便转运的原则，采用从猪的培育-配种-妊娠-分娩-断奶-出售的工艺，实行全进全出制，按相邻原则依次安排猪舍。</w:t>
      </w:r>
    </w:p>
    <w:p>
      <w:pPr>
        <w:ind w:firstLine="482"/>
        <w:rPr>
          <w:color w:val="auto"/>
          <w:sz w:val="24"/>
          <w:szCs w:val="24"/>
        </w:rPr>
      </w:pPr>
      <w:r>
        <w:rPr>
          <w:b/>
          <w:color w:val="auto"/>
          <w:sz w:val="24"/>
          <w:szCs w:val="24"/>
        </w:rPr>
        <w:t>2）生活管理区：</w:t>
      </w:r>
      <w:r>
        <w:rPr>
          <w:color w:val="auto"/>
          <w:sz w:val="24"/>
          <w:szCs w:val="24"/>
        </w:rPr>
        <w:t>包括办公室、员工宿舍、食堂等，设在</w:t>
      </w:r>
      <w:r>
        <w:rPr>
          <w:rFonts w:hint="eastAsia"/>
          <w:color w:val="auto"/>
          <w:sz w:val="24"/>
          <w:szCs w:val="24"/>
          <w:lang w:eastAsia="zh-CN"/>
        </w:rPr>
        <w:t>厂内的西南侧，在常年主导风向的侧风向</w:t>
      </w:r>
      <w:r>
        <w:rPr>
          <w:color w:val="auto"/>
          <w:sz w:val="24"/>
          <w:szCs w:val="24"/>
        </w:rPr>
        <w:t>，并设通道通向场外，在猪场上风向设绿化，在场界、圈舍间用绿化作为隔离林带。</w:t>
      </w:r>
    </w:p>
    <w:p>
      <w:pPr>
        <w:ind w:firstLine="482"/>
        <w:rPr>
          <w:color w:val="auto"/>
          <w:sz w:val="24"/>
          <w:szCs w:val="24"/>
        </w:rPr>
      </w:pPr>
      <w:r>
        <w:rPr>
          <w:b/>
          <w:color w:val="auto"/>
          <w:sz w:val="24"/>
          <w:szCs w:val="24"/>
        </w:rPr>
        <w:t>3）污染防治区：</w:t>
      </w:r>
      <w:r>
        <w:rPr>
          <w:color w:val="auto"/>
          <w:sz w:val="24"/>
          <w:szCs w:val="24"/>
        </w:rPr>
        <w:t>包括污水处理站、</w:t>
      </w:r>
      <w:r>
        <w:rPr>
          <w:rFonts w:hint="eastAsia"/>
          <w:color w:val="auto"/>
          <w:sz w:val="24"/>
          <w:szCs w:val="24"/>
          <w:lang w:eastAsia="zh-CN"/>
        </w:rPr>
        <w:t>有机肥生产基地</w:t>
      </w:r>
      <w:r>
        <w:rPr>
          <w:color w:val="auto"/>
          <w:sz w:val="24"/>
          <w:szCs w:val="24"/>
        </w:rPr>
        <w:t>、粪肥储存间、病死猪无害化处理</w:t>
      </w:r>
      <w:r>
        <w:rPr>
          <w:rFonts w:hint="eastAsia"/>
          <w:color w:val="auto"/>
          <w:sz w:val="24"/>
          <w:szCs w:val="24"/>
        </w:rPr>
        <w:t>车间</w:t>
      </w:r>
      <w:r>
        <w:rPr>
          <w:color w:val="auto"/>
          <w:sz w:val="24"/>
          <w:szCs w:val="24"/>
        </w:rPr>
        <w:t>，均设置在猪场</w:t>
      </w:r>
      <w:r>
        <w:rPr>
          <w:rFonts w:hint="eastAsia"/>
          <w:color w:val="auto"/>
          <w:sz w:val="24"/>
          <w:szCs w:val="24"/>
          <w:lang w:eastAsia="zh-CN"/>
        </w:rPr>
        <w:t>中部</w:t>
      </w:r>
      <w:r>
        <w:rPr>
          <w:color w:val="auto"/>
          <w:sz w:val="24"/>
          <w:szCs w:val="24"/>
        </w:rPr>
        <w:t>，远离生活管理区，与生产区分开设置，采用绿化带隔开；各圈舍产生的粪便经固液分离后及时运至</w:t>
      </w:r>
      <w:r>
        <w:rPr>
          <w:rFonts w:hint="eastAsia"/>
          <w:color w:val="auto"/>
          <w:sz w:val="24"/>
          <w:szCs w:val="24"/>
          <w:lang w:eastAsia="zh-CN"/>
        </w:rPr>
        <w:t>有机肥生产基地进行发酵后</w:t>
      </w:r>
      <w:r>
        <w:rPr>
          <w:color w:val="auto"/>
          <w:sz w:val="24"/>
          <w:szCs w:val="24"/>
        </w:rPr>
        <w:t>作为有机肥加工原料。</w:t>
      </w:r>
    </w:p>
    <w:p>
      <w:pPr>
        <w:pStyle w:val="23"/>
        <w:spacing w:line="440" w:lineRule="exact"/>
        <w:ind w:firstLine="480"/>
        <w:rPr>
          <w:rFonts w:ascii="Times New Roman" w:hAnsi="Times New Roman"/>
          <w:color w:val="auto"/>
        </w:rPr>
      </w:pPr>
      <w:r>
        <w:rPr>
          <w:rFonts w:hint="eastAsia" w:ascii="宋体" w:hAnsi="宋体" w:cs="宋体"/>
          <w:color w:val="auto"/>
        </w:rPr>
        <w:t>①</w:t>
      </w:r>
      <w:r>
        <w:rPr>
          <w:rFonts w:ascii="Times New Roman" w:hAnsi="Times New Roman"/>
          <w:color w:val="auto"/>
        </w:rPr>
        <w:t>本项目场区分为生产区、生活管理区、污染防治区（污水处理站、</w:t>
      </w:r>
      <w:r>
        <w:rPr>
          <w:rFonts w:hint="eastAsia"/>
          <w:color w:val="auto"/>
          <w:lang w:eastAsia="zh-CN"/>
        </w:rPr>
        <w:t>有机肥生产基地</w:t>
      </w:r>
      <w:r>
        <w:rPr>
          <w:rFonts w:ascii="Times New Roman" w:hAnsi="Times New Roman"/>
          <w:color w:val="auto"/>
        </w:rPr>
        <w:t>、粪肥储存间）。生产区距离生活区的间隔约</w:t>
      </w:r>
      <w:r>
        <w:rPr>
          <w:rFonts w:hint="eastAsia"/>
          <w:color w:val="auto"/>
          <w:lang w:val="en-US" w:eastAsia="zh-CN"/>
        </w:rPr>
        <w:t>150</w:t>
      </w:r>
      <w:r>
        <w:rPr>
          <w:rFonts w:ascii="Times New Roman" w:hAnsi="Times New Roman"/>
          <w:color w:val="auto"/>
        </w:rPr>
        <w:t>m，基本实现了《畜禽养殖业污染防治技术规范》（HJ/T81-2001）中关于生产区、生活管理区相隔离的要求。污水处理站、</w:t>
      </w:r>
      <w:r>
        <w:rPr>
          <w:rFonts w:hint="eastAsia" w:ascii="Times New Roman" w:hAnsi="Times New Roman"/>
          <w:color w:val="auto"/>
        </w:rPr>
        <w:t>有机肥生产基地</w:t>
      </w:r>
      <w:r>
        <w:rPr>
          <w:rFonts w:ascii="Times New Roman" w:hAnsi="Times New Roman"/>
          <w:color w:val="auto"/>
        </w:rPr>
        <w:t>、粪肥储存间和病死猪无害化处理车间位于生产区</w:t>
      </w:r>
      <w:r>
        <w:rPr>
          <w:rFonts w:hint="eastAsia"/>
          <w:color w:val="auto"/>
          <w:lang w:eastAsia="zh-CN"/>
        </w:rPr>
        <w:t>中部</w:t>
      </w:r>
      <w:r>
        <w:rPr>
          <w:rFonts w:ascii="Times New Roman" w:hAnsi="Times New Roman"/>
          <w:color w:val="auto"/>
        </w:rPr>
        <w:t>，处于最大频率侧风向，且远离生活管理区，符合要求；项目的生活污水产生主要集中在生活管理区内，在生活管理区内设置化粪池能及时有效地对项目生活污水进行预处理。</w:t>
      </w:r>
    </w:p>
    <w:p>
      <w:pPr>
        <w:pStyle w:val="23"/>
        <w:spacing w:line="440" w:lineRule="exact"/>
        <w:ind w:firstLine="480"/>
        <w:rPr>
          <w:rFonts w:hint="eastAsia" w:ascii="Times New Roman" w:hAnsi="Times New Roman" w:eastAsia="宋体"/>
          <w:color w:val="auto"/>
          <w:lang w:eastAsia="zh-CN"/>
        </w:rPr>
      </w:pPr>
      <w:r>
        <w:rPr>
          <w:rFonts w:hint="eastAsia" w:ascii="宋体" w:hAnsi="宋体" w:cs="宋体"/>
          <w:color w:val="auto"/>
        </w:rPr>
        <w:t>②</w:t>
      </w:r>
      <w:r>
        <w:rPr>
          <w:rFonts w:ascii="Times New Roman" w:hAnsi="Times New Roman"/>
          <w:color w:val="auto"/>
        </w:rPr>
        <w:t>污染防治区（污水处理设施及</w:t>
      </w:r>
      <w:r>
        <w:rPr>
          <w:rFonts w:hint="eastAsia" w:ascii="Times New Roman" w:hAnsi="Times New Roman"/>
          <w:color w:val="auto"/>
        </w:rPr>
        <w:t>有机肥生产基地</w:t>
      </w:r>
      <w:r>
        <w:rPr>
          <w:rFonts w:ascii="Times New Roman" w:hAnsi="Times New Roman"/>
          <w:color w:val="auto"/>
        </w:rPr>
        <w:t>、粪肥储存间等）设在养殖场的生产区、生活管理区的常年主导风向的侧风向处，有效减少污染物对工作人员生活及猪只养殖的影响；粪肥储存间位于项目</w:t>
      </w:r>
      <w:r>
        <w:rPr>
          <w:rFonts w:hint="eastAsia"/>
          <w:color w:val="auto"/>
          <w:lang w:eastAsia="zh-CN"/>
        </w:rPr>
        <w:t>中部</w:t>
      </w:r>
      <w:r>
        <w:rPr>
          <w:rFonts w:ascii="Times New Roman" w:hAnsi="Times New Roman"/>
          <w:color w:val="auto"/>
        </w:rPr>
        <w:t>（主导风向侧风向）</w:t>
      </w:r>
      <w:r>
        <w:rPr>
          <w:rFonts w:hint="eastAsia"/>
          <w:color w:val="auto"/>
          <w:lang w:eastAsia="zh-CN"/>
        </w:rPr>
        <w:t>。</w:t>
      </w:r>
    </w:p>
    <w:p>
      <w:pPr>
        <w:pStyle w:val="23"/>
        <w:spacing w:line="440" w:lineRule="exact"/>
        <w:ind w:firstLine="480"/>
        <w:rPr>
          <w:rFonts w:ascii="Times New Roman" w:hAnsi="Times New Roman"/>
          <w:color w:val="auto"/>
        </w:rPr>
      </w:pPr>
      <w:r>
        <w:rPr>
          <w:rFonts w:hint="eastAsia" w:ascii="宋体" w:hAnsi="宋体" w:cs="宋体"/>
          <w:color w:val="auto"/>
        </w:rPr>
        <w:t>③</w:t>
      </w:r>
      <w:r>
        <w:rPr>
          <w:rFonts w:ascii="Times New Roman" w:hAnsi="Times New Roman"/>
          <w:color w:val="auto"/>
        </w:rPr>
        <w:t>主要高噪声源布置于远离厂界的车间内部，减少高噪声源对厂界环境的影响。</w:t>
      </w:r>
    </w:p>
    <w:p>
      <w:pPr>
        <w:pStyle w:val="23"/>
        <w:spacing w:line="440" w:lineRule="exact"/>
        <w:ind w:firstLine="480"/>
        <w:rPr>
          <w:rFonts w:ascii="Times New Roman" w:hAnsi="Times New Roman"/>
          <w:color w:val="auto"/>
        </w:rPr>
      </w:pPr>
      <w:r>
        <w:rPr>
          <w:rFonts w:ascii="Times New Roman" w:hAnsi="Times New Roman"/>
          <w:color w:val="auto"/>
        </w:rPr>
        <w:t>同时，根据工艺流程安排，污水预处理区紧邻圈舍设置，便于实现</w:t>
      </w:r>
      <w:r>
        <w:rPr>
          <w:rFonts w:hint="eastAsia" w:ascii="Times New Roman" w:hAnsi="Times New Roman"/>
          <w:color w:val="auto"/>
        </w:rPr>
        <w:t>“</w:t>
      </w:r>
      <w:r>
        <w:rPr>
          <w:rFonts w:ascii="Times New Roman" w:hAnsi="Times New Roman"/>
          <w:color w:val="auto"/>
        </w:rPr>
        <w:t>即产、即清</w:t>
      </w:r>
      <w:r>
        <w:rPr>
          <w:rFonts w:hint="eastAsia" w:ascii="Times New Roman" w:hAnsi="Times New Roman"/>
          <w:color w:val="auto"/>
        </w:rPr>
        <w:t>”</w:t>
      </w:r>
      <w:r>
        <w:rPr>
          <w:rFonts w:ascii="Times New Roman" w:hAnsi="Times New Roman"/>
          <w:color w:val="auto"/>
        </w:rPr>
        <w:t>，可减少粪污沿途运输造的水体和土壤污染、降低因固液分离后干粪运输距离长而产生的恶臭污染、减少环境风险，使设备运行稳定、维修方便、经济合理。兽药室临近繁殖舍圈舍，便于猪只发生病情时及时就诊，节省时间、人力，减少沿途运输污染；危险废物暂存间紧邻兽药室，便于兽药等危险废物的收集、暂存；消毒室位于厂区入口处，便于车辆、人员进入时进行消毒，避免带入病菌。</w:t>
      </w:r>
    </w:p>
    <w:p>
      <w:pPr>
        <w:pStyle w:val="23"/>
        <w:spacing w:line="440" w:lineRule="exact"/>
        <w:ind w:firstLine="480"/>
        <w:rPr>
          <w:rFonts w:ascii="Times New Roman" w:hAnsi="Times New Roman"/>
          <w:color w:val="auto"/>
        </w:rPr>
      </w:pPr>
      <w:r>
        <w:rPr>
          <w:rFonts w:ascii="Times New Roman" w:hAnsi="Times New Roman"/>
          <w:color w:val="auto"/>
        </w:rPr>
        <w:t>整个厂区布置根据现代养猪生产工艺流程技术要求，进行了合理规划布局，设计足够的车间数、单元数、圈栏数，配备必要的设备设施，实行分批进分批出的生产工艺流程。圈舍猪只净道和污道分开，减少不必要的交叉，切断疫病的传播途径。在猪舍周围、道路两边和猪舍之间栽种树木，种植花草，有利于减少冬季寒风袭击和夏季阳光照射，净化空气，绿化环境。做到排污固液分流，雨污分离，减少粪污处理量和对周围环境的影响。此外，项目独立设置赶猪道、运输道路，交通方便。</w:t>
      </w:r>
    </w:p>
    <w:p>
      <w:pPr>
        <w:pStyle w:val="23"/>
        <w:spacing w:line="440" w:lineRule="exact"/>
        <w:ind w:firstLine="480"/>
        <w:rPr>
          <w:rFonts w:hint="eastAsia"/>
          <w:color w:val="auto"/>
        </w:rPr>
      </w:pPr>
      <w:r>
        <w:rPr>
          <w:rFonts w:ascii="Times New Roman" w:hAnsi="Times New Roman"/>
          <w:color w:val="auto"/>
        </w:rPr>
        <w:t>综上所述，本项目整个厂区的平面布置是根据生产工艺流程及其产生的污染物对周围环境的影响来设计的。总体而言，项目厂区功能分区明确、物流通畅、方便生产及管理、对外环境无明显影响，从环境保护角度分析其总平面布局基本合理。</w:t>
      </w:r>
      <w:r>
        <w:rPr>
          <w:rFonts w:hint="eastAsia"/>
          <w:color w:val="auto"/>
        </w:rPr>
        <w:t>厂区平面布置具体见图</w:t>
      </w:r>
      <w:r>
        <w:rPr>
          <w:rFonts w:hint="eastAsia"/>
          <w:color w:val="auto"/>
          <w:lang w:val="en-US" w:eastAsia="zh-CN"/>
        </w:rPr>
        <w:t>5</w:t>
      </w:r>
      <w:r>
        <w:rPr>
          <w:rFonts w:hint="eastAsia"/>
          <w:color w:val="auto"/>
        </w:rPr>
        <w:t>。</w:t>
      </w:r>
    </w:p>
    <w:p>
      <w:pPr>
        <w:rPr>
          <w:rFonts w:hint="eastAsia"/>
          <w:color w:val="auto"/>
        </w:rPr>
      </w:pPr>
      <w:r>
        <w:rPr>
          <w:rFonts w:hint="eastAsia"/>
          <w:color w:val="auto"/>
        </w:rPr>
        <w:br w:type="page"/>
      </w:r>
    </w:p>
    <w:p>
      <w:pPr>
        <w:pStyle w:val="5"/>
        <w:rPr>
          <w:rFonts w:hint="default" w:ascii="Times New Roman" w:hAnsi="Times New Roman" w:eastAsia="宋体" w:cs="Times New Roman"/>
          <w:color w:val="auto"/>
        </w:rPr>
      </w:pPr>
      <w:bookmarkStart w:id="115" w:name="_Toc12170"/>
      <w:r>
        <w:rPr>
          <w:rFonts w:hint="default" w:ascii="Times New Roman" w:hAnsi="Times New Roman" w:eastAsia="宋体" w:cs="Times New Roman"/>
          <w:color w:val="auto"/>
        </w:rPr>
        <w:t>建设项目工程分析</w:t>
      </w:r>
      <w:bookmarkEnd w:id="115"/>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rPr>
      </w:pPr>
      <w:bookmarkStart w:id="116" w:name="_Toc20075"/>
      <w:r>
        <w:rPr>
          <w:rFonts w:hint="default" w:ascii="Times New Roman" w:hAnsi="Times New Roman" w:eastAsia="宋体" w:cs="Times New Roman"/>
          <w:color w:val="auto"/>
        </w:rPr>
        <w:t>建设项目概况</w:t>
      </w:r>
      <w:bookmarkEnd w:id="116"/>
    </w:p>
    <w:p>
      <w:pPr>
        <w:pStyle w:val="7"/>
        <w:spacing w:before="0" w:after="0" w:line="360" w:lineRule="auto"/>
        <w:ind w:left="0" w:firstLine="0"/>
        <w:rPr>
          <w:rFonts w:hint="default" w:ascii="Times New Roman" w:hAnsi="Times New Roman" w:eastAsia="宋体" w:cs="Times New Roman"/>
          <w:color w:val="auto"/>
        </w:rPr>
      </w:pPr>
      <w:bookmarkStart w:id="117" w:name="_Toc21454"/>
      <w:r>
        <w:rPr>
          <w:rFonts w:hint="default" w:ascii="Times New Roman" w:hAnsi="Times New Roman" w:eastAsia="宋体" w:cs="Times New Roman"/>
          <w:color w:val="auto"/>
        </w:rPr>
        <w:t>项目基本情况</w:t>
      </w:r>
      <w:bookmarkEnd w:id="117"/>
    </w:p>
    <w:p>
      <w:pPr>
        <w:ind w:firstLine="480" w:firstLineChars="200"/>
        <w:rPr>
          <w:rFonts w:hint="eastAsia" w:ascii="Times New Roman" w:hAnsi="Times New Roman" w:cs="Times New Roman" w:eastAsiaTheme="minorEastAsia"/>
          <w:bCs/>
          <w:color w:val="auto"/>
          <w:sz w:val="24"/>
          <w:szCs w:val="24"/>
          <w:lang w:eastAsia="zh-CN"/>
        </w:rPr>
      </w:pPr>
      <w:r>
        <w:rPr>
          <w:rFonts w:ascii="Times New Roman" w:hAnsi="Times New Roman" w:cs="Times New Roman"/>
          <w:bCs/>
          <w:color w:val="auto"/>
          <w:sz w:val="24"/>
          <w:szCs w:val="24"/>
        </w:rPr>
        <w:t>项目名称：</w:t>
      </w:r>
      <w:r>
        <w:rPr>
          <w:rFonts w:hint="eastAsia" w:ascii="Times New Roman" w:hAnsi="Times New Roman" w:cs="Times New Roman"/>
          <w:bCs/>
          <w:color w:val="auto"/>
          <w:sz w:val="24"/>
          <w:szCs w:val="24"/>
          <w:lang w:eastAsia="zh-CN"/>
        </w:rPr>
        <w:t>通江温氏畜牧有限公司龙凤场镇种猪养殖项目</w:t>
      </w:r>
    </w:p>
    <w:p>
      <w:pPr>
        <w:ind w:firstLine="480" w:firstLineChars="200"/>
        <w:rPr>
          <w:rFonts w:hint="default" w:ascii="Times New Roman" w:hAnsi="Times New Roman" w:cs="Times New Roman"/>
          <w:bCs/>
          <w:color w:val="auto"/>
          <w:sz w:val="24"/>
          <w:szCs w:val="24"/>
          <w:lang w:val="en-US" w:eastAsia="zh-CN"/>
        </w:rPr>
      </w:pPr>
      <w:r>
        <w:rPr>
          <w:rFonts w:ascii="Times New Roman" w:hAnsi="Times New Roman" w:cs="Times New Roman"/>
          <w:bCs/>
          <w:color w:val="auto"/>
          <w:sz w:val="24"/>
          <w:szCs w:val="24"/>
        </w:rPr>
        <w:t>建设地点：四川省</w:t>
      </w:r>
      <w:r>
        <w:rPr>
          <w:rFonts w:hint="eastAsia" w:ascii="Times New Roman" w:hAnsi="Times New Roman" w:cs="Times New Roman"/>
          <w:bCs/>
          <w:color w:val="auto"/>
          <w:sz w:val="24"/>
          <w:szCs w:val="24"/>
          <w:lang w:eastAsia="zh-CN"/>
        </w:rPr>
        <w:t>巴中市通江县龙凤场镇环山村</w:t>
      </w:r>
    </w:p>
    <w:p>
      <w:pPr>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项目性质：</w:t>
      </w:r>
      <w:r>
        <w:rPr>
          <w:rFonts w:hint="eastAsia" w:ascii="Times New Roman" w:hAnsi="Times New Roman" w:cs="Times New Roman"/>
          <w:bCs/>
          <w:color w:val="auto"/>
          <w:sz w:val="24"/>
          <w:szCs w:val="24"/>
        </w:rPr>
        <w:t>新建</w:t>
      </w:r>
    </w:p>
    <w:p>
      <w:pPr>
        <w:ind w:firstLine="480" w:firstLineChars="200"/>
        <w:rPr>
          <w:rFonts w:hint="eastAsia" w:ascii="Times New Roman" w:hAnsi="Times New Roman" w:cs="Times New Roman" w:eastAsiaTheme="minorEastAsia"/>
          <w:bCs/>
          <w:color w:val="auto"/>
          <w:sz w:val="24"/>
          <w:szCs w:val="24"/>
          <w:lang w:eastAsia="zh-CN"/>
        </w:rPr>
      </w:pPr>
      <w:r>
        <w:rPr>
          <w:rFonts w:ascii="Times New Roman" w:hAnsi="Times New Roman" w:cs="Times New Roman"/>
          <w:bCs/>
          <w:color w:val="auto"/>
          <w:sz w:val="24"/>
          <w:szCs w:val="24"/>
        </w:rPr>
        <w:t>建设单位：</w:t>
      </w:r>
      <w:r>
        <w:rPr>
          <w:rFonts w:hint="eastAsia" w:ascii="Times New Roman" w:hAnsi="Times New Roman" w:cs="Times New Roman"/>
          <w:bCs/>
          <w:color w:val="auto"/>
          <w:sz w:val="24"/>
          <w:szCs w:val="24"/>
          <w:lang w:eastAsia="zh-CN"/>
        </w:rPr>
        <w:t>通江温氏畜牧有限公司</w:t>
      </w:r>
    </w:p>
    <w:p>
      <w:pPr>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建设内容及规模：</w:t>
      </w:r>
      <w:r>
        <w:rPr>
          <w:rFonts w:hint="eastAsia" w:ascii="Times New Roman" w:hAnsi="Times New Roman" w:cs="Times New Roman"/>
          <w:bCs/>
          <w:color w:val="auto"/>
          <w:sz w:val="24"/>
          <w:szCs w:val="24"/>
        </w:rPr>
        <w:t>新建</w:t>
      </w:r>
      <w:r>
        <w:rPr>
          <w:rFonts w:ascii="Times New Roman" w:hAnsi="Times New Roman" w:cs="Times New Roman"/>
          <w:bCs/>
          <w:color w:val="auto"/>
          <w:sz w:val="24"/>
          <w:szCs w:val="24"/>
        </w:rPr>
        <w:t>标准化圈舍</w:t>
      </w:r>
      <w:r>
        <w:rPr>
          <w:rFonts w:hint="eastAsia" w:ascii="Times New Roman" w:hAnsi="Times New Roman" w:cs="Times New Roman"/>
          <w:bCs/>
          <w:color w:val="auto"/>
          <w:sz w:val="24"/>
          <w:szCs w:val="24"/>
          <w:lang w:eastAsia="zh-CN"/>
        </w:rPr>
        <w:t>约</w:t>
      </w:r>
      <w:r>
        <w:rPr>
          <w:rFonts w:hint="eastAsia" w:ascii="Times New Roman" w:hAnsi="Times New Roman" w:cs="Times New Roman"/>
          <w:bCs/>
          <w:color w:val="auto"/>
          <w:sz w:val="24"/>
          <w:szCs w:val="24"/>
          <w:lang w:val="en-US" w:eastAsia="zh-CN"/>
        </w:rPr>
        <w:t>58000</w:t>
      </w:r>
      <w:r>
        <w:rPr>
          <w:rFonts w:hint="eastAsia" w:ascii="Times New Roman" w:hAnsi="Times New Roman" w:cs="Times New Roman"/>
          <w:bCs/>
          <w:color w:val="auto"/>
          <w:sz w:val="24"/>
          <w:szCs w:val="24"/>
        </w:rPr>
        <w:t>平方，配备相应消毒、防疫、养殖设施和公用设施，修建道路</w:t>
      </w:r>
      <w:r>
        <w:rPr>
          <w:rFonts w:hint="eastAsia" w:ascii="Times New Roman" w:hAnsi="Times New Roman" w:cs="Times New Roman"/>
          <w:bCs/>
          <w:color w:val="auto"/>
          <w:sz w:val="24"/>
          <w:szCs w:val="24"/>
          <w:lang w:val="en-US" w:eastAsia="zh-CN"/>
        </w:rPr>
        <w:t>9000平方</w:t>
      </w:r>
      <w:r>
        <w:rPr>
          <w:rFonts w:hint="eastAsia" w:ascii="Times New Roman" w:hAnsi="Times New Roman" w:cs="Times New Roman"/>
          <w:bCs/>
          <w:color w:val="auto"/>
          <w:sz w:val="24"/>
          <w:szCs w:val="24"/>
        </w:rPr>
        <w:t>米，建成年存栏</w:t>
      </w:r>
      <w:r>
        <w:rPr>
          <w:rFonts w:hint="eastAsia" w:ascii="Times New Roman" w:hAnsi="Times New Roman" w:cs="Times New Roman"/>
          <w:bCs/>
          <w:color w:val="auto"/>
          <w:sz w:val="24"/>
          <w:szCs w:val="24"/>
          <w:lang w:val="en-US" w:eastAsia="zh-CN"/>
        </w:rPr>
        <w:t>15862</w:t>
      </w:r>
      <w:r>
        <w:rPr>
          <w:rFonts w:hint="eastAsia" w:ascii="Times New Roman" w:hAnsi="Times New Roman" w:cs="Times New Roman"/>
          <w:bCs/>
          <w:color w:val="auto"/>
          <w:sz w:val="24"/>
          <w:szCs w:val="24"/>
        </w:rPr>
        <w:t>头母猪种猪场一个。</w:t>
      </w:r>
    </w:p>
    <w:p>
      <w:pPr>
        <w:ind w:firstLine="480" w:firstLineChars="200"/>
        <w:rPr>
          <w:rFonts w:hint="eastAsia" w:ascii="Times New Roman" w:hAnsi="Times New Roman" w:cs="Times New Roman" w:eastAsiaTheme="minorEastAsia"/>
          <w:bCs/>
          <w:color w:val="auto"/>
          <w:sz w:val="24"/>
          <w:szCs w:val="24"/>
          <w:lang w:eastAsia="zh-CN"/>
        </w:rPr>
      </w:pPr>
      <w:r>
        <w:rPr>
          <w:rFonts w:ascii="Times New Roman" w:hAnsi="Times New Roman" w:cs="Times New Roman"/>
          <w:bCs/>
          <w:color w:val="auto"/>
          <w:sz w:val="24"/>
          <w:szCs w:val="24"/>
        </w:rPr>
        <w:t>投资总额：</w:t>
      </w:r>
      <w:r>
        <w:rPr>
          <w:rFonts w:hint="eastAsia" w:ascii="Times New Roman" w:hAnsi="Times New Roman" w:cs="Times New Roman"/>
          <w:bCs/>
          <w:color w:val="auto"/>
          <w:sz w:val="24"/>
          <w:szCs w:val="24"/>
          <w:lang w:val="en-US" w:eastAsia="zh-CN"/>
        </w:rPr>
        <w:t>20000</w:t>
      </w:r>
      <w:r>
        <w:rPr>
          <w:rFonts w:ascii="Times New Roman" w:hAnsi="Times New Roman" w:cs="Times New Roman"/>
          <w:bCs/>
          <w:color w:val="auto"/>
          <w:sz w:val="24"/>
          <w:szCs w:val="24"/>
        </w:rPr>
        <w:t>万元，</w:t>
      </w:r>
      <w:r>
        <w:rPr>
          <w:rFonts w:hint="eastAsia" w:ascii="Times New Roman" w:hAnsi="Times New Roman" w:cs="Times New Roman"/>
          <w:bCs/>
          <w:color w:val="auto"/>
          <w:sz w:val="24"/>
          <w:szCs w:val="24"/>
          <w:lang w:eastAsia="zh-CN"/>
        </w:rPr>
        <w:t>为企业自筹资金</w:t>
      </w:r>
    </w:p>
    <w:p>
      <w:pPr>
        <w:tabs>
          <w:tab w:val="left" w:pos="1220"/>
        </w:tabs>
        <w:ind w:firstLine="480" w:firstLineChars="200"/>
        <w:rPr>
          <w:rFonts w:ascii="Times New Roman" w:hAnsi="Times New Roman" w:cs="Times New Roman"/>
          <w:bCs/>
          <w:color w:val="auto"/>
          <w:sz w:val="24"/>
        </w:rPr>
      </w:pPr>
      <w:r>
        <w:rPr>
          <w:rFonts w:ascii="Times New Roman" w:hAnsi="Times New Roman" w:cs="Times New Roman"/>
          <w:bCs/>
          <w:color w:val="auto"/>
          <w:sz w:val="24"/>
        </w:rPr>
        <w:t>劳动定员：</w:t>
      </w:r>
      <w:r>
        <w:rPr>
          <w:rFonts w:hint="eastAsia" w:ascii="Times New Roman" w:hAnsi="Times New Roman" w:cs="Times New Roman"/>
          <w:color w:val="auto"/>
          <w:sz w:val="24"/>
          <w:lang w:val="en-US" w:eastAsia="zh-CN"/>
        </w:rPr>
        <w:t>120</w:t>
      </w:r>
      <w:r>
        <w:rPr>
          <w:rFonts w:ascii="Times New Roman" w:hAnsi="Times New Roman" w:cs="Times New Roman"/>
          <w:color w:val="auto"/>
          <w:sz w:val="24"/>
        </w:rPr>
        <w:t>人</w:t>
      </w:r>
    </w:p>
    <w:p>
      <w:pPr>
        <w:tabs>
          <w:tab w:val="left" w:pos="1220"/>
        </w:tabs>
        <w:ind w:firstLine="480" w:firstLineChars="200"/>
        <w:rPr>
          <w:rFonts w:ascii="Times New Roman" w:hAnsi="Times New Roman" w:cs="Times New Roman"/>
          <w:bCs/>
          <w:color w:val="auto"/>
          <w:sz w:val="24"/>
        </w:rPr>
      </w:pPr>
      <w:r>
        <w:rPr>
          <w:rFonts w:ascii="Times New Roman" w:hAnsi="Times New Roman" w:cs="Times New Roman"/>
          <w:bCs/>
          <w:color w:val="auto"/>
          <w:sz w:val="24"/>
        </w:rPr>
        <w:t>生产制度：年生产时间</w:t>
      </w:r>
      <w:r>
        <w:rPr>
          <w:rFonts w:hint="eastAsia" w:ascii="Times New Roman" w:hAnsi="Times New Roman" w:cs="Times New Roman"/>
          <w:bCs/>
          <w:color w:val="auto"/>
          <w:sz w:val="24"/>
        </w:rPr>
        <w:t>365</w:t>
      </w:r>
      <w:r>
        <w:rPr>
          <w:rFonts w:ascii="Times New Roman" w:hAnsi="Times New Roman" w:cs="Times New Roman"/>
          <w:bCs/>
          <w:color w:val="auto"/>
          <w:sz w:val="24"/>
        </w:rPr>
        <w:t>天，</w:t>
      </w:r>
      <w:r>
        <w:rPr>
          <w:rFonts w:hint="eastAsia" w:ascii="Times New Roman" w:hAnsi="Times New Roman" w:cs="Times New Roman"/>
          <w:bCs/>
          <w:color w:val="auto"/>
          <w:sz w:val="24"/>
          <w:lang w:eastAsia="zh-CN"/>
        </w:rPr>
        <w:t>二</w:t>
      </w:r>
      <w:r>
        <w:rPr>
          <w:rFonts w:ascii="Times New Roman" w:hAnsi="Times New Roman" w:cs="Times New Roman"/>
          <w:bCs/>
          <w:color w:val="auto"/>
          <w:sz w:val="24"/>
        </w:rPr>
        <w:t>班</w:t>
      </w:r>
      <w:r>
        <w:rPr>
          <w:rFonts w:hint="eastAsia" w:ascii="Times New Roman" w:hAnsi="Times New Roman" w:cs="Times New Roman"/>
          <w:bCs/>
          <w:color w:val="auto"/>
          <w:sz w:val="24"/>
        </w:rPr>
        <w:t>工作制</w:t>
      </w:r>
      <w:r>
        <w:rPr>
          <w:rFonts w:ascii="Times New Roman" w:hAnsi="Times New Roman" w:cs="Times New Roman"/>
          <w:bCs/>
          <w:color w:val="auto"/>
          <w:sz w:val="24"/>
        </w:rPr>
        <w:t>，每班工作</w:t>
      </w:r>
      <w:r>
        <w:rPr>
          <w:rFonts w:hint="eastAsia" w:ascii="Times New Roman" w:hAnsi="Times New Roman" w:cs="Times New Roman"/>
          <w:bCs/>
          <w:color w:val="auto"/>
          <w:sz w:val="24"/>
          <w:lang w:val="en-US" w:eastAsia="zh-CN"/>
        </w:rPr>
        <w:t>8</w:t>
      </w:r>
      <w:r>
        <w:rPr>
          <w:rFonts w:ascii="Times New Roman" w:hAnsi="Times New Roman" w:cs="Times New Roman"/>
          <w:bCs/>
          <w:color w:val="auto"/>
          <w:sz w:val="24"/>
        </w:rPr>
        <w:t>小时。</w:t>
      </w:r>
    </w:p>
    <w:p>
      <w:pPr>
        <w:pStyle w:val="7"/>
        <w:spacing w:before="0" w:after="0" w:line="360" w:lineRule="auto"/>
        <w:ind w:left="0" w:firstLine="0"/>
        <w:rPr>
          <w:rFonts w:cs="Times New Roman"/>
          <w:color w:val="auto"/>
        </w:rPr>
      </w:pPr>
      <w:bookmarkStart w:id="118" w:name="_Toc11071"/>
      <w:r>
        <w:rPr>
          <w:rFonts w:cs="Times New Roman"/>
          <w:color w:val="auto"/>
        </w:rPr>
        <w:t>建设内容</w:t>
      </w:r>
      <w:bookmarkEnd w:id="118"/>
    </w:p>
    <w:p>
      <w:pPr>
        <w:tabs>
          <w:tab w:val="left" w:pos="1220"/>
        </w:tabs>
        <w:ind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本项目主要建设内容及规模为：项目总占地面积约704亩，建设面积约160亩，主要建设年出栏量31.25万头商品猪苗及有机肥约16000t/a的种猪场一个，并配套建设相关的公辅设施及环保设施。</w:t>
      </w:r>
    </w:p>
    <w:p>
      <w:pPr>
        <w:tabs>
          <w:tab w:val="left" w:pos="1220"/>
        </w:tabs>
        <w:ind w:firstLine="480" w:firstLineChars="200"/>
        <w:rPr>
          <w:rFonts w:hint="eastAsia" w:ascii="Times New Roman" w:hAnsi="Times New Roman" w:cs="Times New Roman" w:eastAsiaTheme="minorEastAsia"/>
          <w:bCs/>
          <w:color w:val="auto"/>
          <w:sz w:val="24"/>
          <w:lang w:eastAsia="zh-CN"/>
        </w:rPr>
      </w:pPr>
      <w:r>
        <w:rPr>
          <w:rFonts w:hint="eastAsia" w:ascii="Times New Roman" w:hAnsi="Times New Roman" w:cs="Times New Roman"/>
          <w:bCs/>
          <w:color w:val="auto"/>
          <w:sz w:val="24"/>
          <w:lang w:eastAsia="zh-CN"/>
        </w:rPr>
        <w:t>其中</w:t>
      </w:r>
      <w:r>
        <w:rPr>
          <w:rFonts w:hint="eastAsia" w:ascii="Times New Roman" w:hAnsi="Times New Roman" w:cs="Times New Roman"/>
          <w:bCs/>
          <w:color w:val="auto"/>
          <w:sz w:val="24"/>
        </w:rPr>
        <w:t>建设猪舍面积</w:t>
      </w:r>
      <w:r>
        <w:rPr>
          <w:rFonts w:hint="eastAsia" w:ascii="Times New Roman" w:hAnsi="Times New Roman" w:cs="Times New Roman"/>
          <w:bCs/>
          <w:color w:val="auto"/>
          <w:sz w:val="24"/>
          <w:lang w:val="en-US" w:eastAsia="zh-CN"/>
        </w:rPr>
        <w:t>58</w:t>
      </w:r>
      <w:r>
        <w:rPr>
          <w:rFonts w:hint="eastAsia" w:ascii="Times New Roman" w:hAnsi="Times New Roman" w:cs="Times New Roman"/>
          <w:bCs/>
          <w:color w:val="auto"/>
          <w:sz w:val="24"/>
        </w:rPr>
        <w:t>000平方米，建成后常年存栏母猪</w:t>
      </w:r>
      <w:r>
        <w:rPr>
          <w:rFonts w:hint="eastAsia" w:ascii="Times New Roman" w:hAnsi="Times New Roman" w:cs="Times New Roman"/>
          <w:bCs/>
          <w:color w:val="auto"/>
          <w:sz w:val="24"/>
          <w:lang w:val="en-US" w:eastAsia="zh-CN"/>
        </w:rPr>
        <w:t>15862</w:t>
      </w:r>
      <w:r>
        <w:rPr>
          <w:rFonts w:hint="eastAsia" w:ascii="Times New Roman" w:hAnsi="Times New Roman" w:cs="Times New Roman"/>
          <w:bCs/>
          <w:color w:val="auto"/>
          <w:sz w:val="24"/>
        </w:rPr>
        <w:t>头、公猪</w:t>
      </w:r>
      <w:r>
        <w:rPr>
          <w:rFonts w:hint="eastAsia" w:ascii="Times New Roman" w:hAnsi="Times New Roman" w:cs="Times New Roman"/>
          <w:bCs/>
          <w:color w:val="auto"/>
          <w:sz w:val="24"/>
          <w:lang w:val="en-US" w:eastAsia="zh-CN"/>
        </w:rPr>
        <w:t>11</w:t>
      </w:r>
      <w:r>
        <w:rPr>
          <w:rFonts w:hint="eastAsia" w:ascii="Times New Roman" w:hAnsi="Times New Roman" w:cs="Times New Roman"/>
          <w:bCs/>
          <w:color w:val="auto"/>
          <w:sz w:val="24"/>
        </w:rPr>
        <w:t>0头、仔猪17980头；建设标准化圈舍约58000平方米；建设厂内道路</w:t>
      </w:r>
      <w:r>
        <w:rPr>
          <w:rFonts w:hint="eastAsia" w:ascii="Times New Roman" w:hAnsi="Times New Roman" w:cs="Times New Roman"/>
          <w:bCs/>
          <w:color w:val="auto"/>
          <w:sz w:val="24"/>
          <w:lang w:val="en-US" w:eastAsia="zh-CN"/>
        </w:rPr>
        <w:t>9000</w:t>
      </w:r>
      <w:r>
        <w:rPr>
          <w:rFonts w:hint="eastAsia" w:ascii="Times New Roman" w:hAnsi="Times New Roman" w:cs="Times New Roman"/>
          <w:bCs/>
          <w:color w:val="auto"/>
          <w:sz w:val="24"/>
        </w:rPr>
        <w:t>平方米；建设生活区</w:t>
      </w:r>
      <w:r>
        <w:rPr>
          <w:rFonts w:hint="eastAsia" w:ascii="Times New Roman" w:hAnsi="Times New Roman" w:cs="Times New Roman"/>
          <w:bCs/>
          <w:color w:val="auto"/>
          <w:sz w:val="24"/>
          <w:lang w:val="en-US" w:eastAsia="zh-CN"/>
        </w:rPr>
        <w:t>8055</w:t>
      </w:r>
      <w:r>
        <w:rPr>
          <w:rFonts w:hint="eastAsia" w:ascii="Times New Roman" w:hAnsi="Times New Roman" w:cs="Times New Roman"/>
          <w:bCs/>
          <w:color w:val="auto"/>
          <w:sz w:val="24"/>
        </w:rPr>
        <w:t>平方米</w:t>
      </w:r>
      <w:r>
        <w:rPr>
          <w:rFonts w:hint="eastAsia" w:ascii="Times New Roman" w:hAnsi="Times New Roman" w:cs="Times New Roman"/>
          <w:bCs/>
          <w:color w:val="auto"/>
          <w:sz w:val="24"/>
          <w:lang w:eastAsia="zh-CN"/>
        </w:rPr>
        <w:t>。</w:t>
      </w:r>
    </w:p>
    <w:p>
      <w:pPr>
        <w:pStyle w:val="7"/>
        <w:spacing w:before="0" w:after="0" w:line="360" w:lineRule="auto"/>
        <w:ind w:left="0" w:firstLine="0"/>
        <w:rPr>
          <w:rFonts w:cs="Times New Roman"/>
          <w:color w:val="auto"/>
        </w:rPr>
      </w:pPr>
      <w:bookmarkStart w:id="119" w:name="_Toc1297"/>
      <w:r>
        <w:rPr>
          <w:rFonts w:cs="Times New Roman"/>
          <w:color w:val="auto"/>
        </w:rPr>
        <w:t>产品方案</w:t>
      </w:r>
      <w:bookmarkEnd w:id="119"/>
    </w:p>
    <w:p>
      <w:pPr>
        <w:ind w:firstLine="480"/>
        <w:rPr>
          <w:b/>
          <w:color w:val="auto"/>
          <w:sz w:val="24"/>
          <w:szCs w:val="24"/>
          <w:lang w:val="zh-CN"/>
        </w:rPr>
      </w:pPr>
      <w:r>
        <w:rPr>
          <w:color w:val="auto"/>
          <w:sz w:val="24"/>
          <w:szCs w:val="24"/>
          <w:lang w:val="zh-CN"/>
        </w:rPr>
        <w:t>本项目的生产技术指标参考《规模猪场生产技术规程》（GB/T17824.2-2008）中附录A的规模猪场生产技术指标，并结合企业生产水平，项目生产技术指标见表3.1-1。</w:t>
      </w:r>
    </w:p>
    <w:p>
      <w:pPr>
        <w:pStyle w:val="2503"/>
        <w:numPr>
          <w:ilvl w:val="0"/>
          <w:numId w:val="16"/>
        </w:numPr>
        <w:spacing w:before="120"/>
        <w:ind w:left="425" w:leftChars="0" w:hanging="425" w:firstLineChars="0"/>
        <w:rPr>
          <w:color w:val="auto"/>
        </w:rPr>
      </w:pPr>
      <w:r>
        <w:rPr>
          <w:color w:val="auto"/>
        </w:rPr>
        <w:t xml:space="preserve">  项目生产技术指标表</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21"/>
        <w:gridCol w:w="396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82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color w:val="auto"/>
                <w:sz w:val="21"/>
                <w:szCs w:val="21"/>
              </w:rPr>
              <w:t>母猪分娩率/%</w:t>
            </w:r>
          </w:p>
        </w:tc>
        <w:tc>
          <w:tcPr>
            <w:tcW w:w="3966"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eastAsia"/>
                <w:color w:val="auto"/>
                <w:sz w:val="21"/>
                <w:szCs w:val="21"/>
                <w:lang w:val="en-US" w:eastAsia="zh-CN"/>
              </w:rPr>
              <w:t>92</w:t>
            </w:r>
            <w:r>
              <w:rPr>
                <w:rFonts w:hint="default"/>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82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color w:val="auto"/>
                <w:sz w:val="21"/>
                <w:szCs w:val="21"/>
              </w:rPr>
              <w:t>基础母猪年均产仔窝数/[窝/（年·头）]</w:t>
            </w:r>
          </w:p>
        </w:tc>
        <w:tc>
          <w:tcPr>
            <w:tcW w:w="3966"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color w:val="auto"/>
                <w:sz w:val="21"/>
                <w:szCs w:val="21"/>
              </w:rPr>
              <w:t>2.</w:t>
            </w:r>
            <w:r>
              <w:rPr>
                <w:rFonts w:hint="eastAsia"/>
                <w:color w:val="auto"/>
                <w:sz w:val="21"/>
                <w:szCs w:val="21"/>
                <w:lang w:val="en-US" w:eastAsia="zh-CN"/>
              </w:rPr>
              <w:t>2</w:t>
            </w:r>
            <w:r>
              <w:rPr>
                <w:rFonts w:hint="default"/>
                <w:color w:val="auto"/>
                <w:sz w:val="21"/>
                <w:szCs w:val="21"/>
              </w:rPr>
              <w:t>窝/（年·头）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82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基础母猪平均每窝产活仔数/（头/窝）</w:t>
            </w:r>
          </w:p>
        </w:tc>
        <w:tc>
          <w:tcPr>
            <w:tcW w:w="3966"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1</w:t>
            </w:r>
            <w:r>
              <w:rPr>
                <w:rFonts w:hint="eastAsia"/>
                <w:color w:val="auto"/>
                <w:sz w:val="21"/>
                <w:szCs w:val="21"/>
                <w:lang w:val="en-US" w:eastAsia="zh-CN"/>
              </w:rPr>
              <w:t>2</w:t>
            </w:r>
            <w:r>
              <w:rPr>
                <w:rFonts w:hint="default"/>
                <w:color w:val="auto"/>
                <w:sz w:val="21"/>
                <w:szCs w:val="21"/>
              </w:rPr>
              <w:t>头/窝</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82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哺乳仔猪成活率/%</w:t>
            </w:r>
          </w:p>
        </w:tc>
        <w:tc>
          <w:tcPr>
            <w:tcW w:w="3966"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92.8%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82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断奶日龄/天</w:t>
            </w:r>
          </w:p>
        </w:tc>
        <w:tc>
          <w:tcPr>
            <w:tcW w:w="3966"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21天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82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仔猪21日龄断奶均重/（kg/头）</w:t>
            </w:r>
          </w:p>
        </w:tc>
        <w:tc>
          <w:tcPr>
            <w:tcW w:w="3966"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6.5kg</w:t>
            </w:r>
          </w:p>
        </w:tc>
      </w:tr>
    </w:tbl>
    <w:p>
      <w:pPr>
        <w:ind w:firstLine="480" w:firstLineChars="200"/>
        <w:jc w:val="left"/>
        <w:rPr>
          <w:rFonts w:hint="default" w:ascii="Times New Roman" w:hAnsi="Times New Roman" w:cs="Times New Roman"/>
          <w:b/>
          <w:color w:val="auto"/>
          <w:sz w:val="24"/>
          <w:szCs w:val="24"/>
          <w:lang w:val="zh-CN"/>
        </w:rPr>
      </w:pPr>
      <w:r>
        <w:rPr>
          <w:rFonts w:hint="default" w:ascii="Times New Roman" w:hAnsi="Times New Roman" w:cs="Times New Roman"/>
          <w:color w:val="auto"/>
          <w:sz w:val="24"/>
          <w:szCs w:val="24"/>
          <w:lang w:val="zh-CN"/>
        </w:rPr>
        <w:t>本项目为种猪养殖项目，</w:t>
      </w:r>
      <w:r>
        <w:rPr>
          <w:rFonts w:hint="default" w:ascii="Times New Roman" w:hAnsi="Times New Roman" w:cs="Times New Roman"/>
          <w:color w:val="auto"/>
          <w:sz w:val="24"/>
          <w:szCs w:val="24"/>
        </w:rPr>
        <w:t>建成后常年存栏母猪</w:t>
      </w:r>
      <w:r>
        <w:rPr>
          <w:rFonts w:hint="default" w:ascii="Times New Roman" w:hAnsi="Times New Roman" w:cs="Times New Roman"/>
          <w:color w:val="auto"/>
          <w:sz w:val="24"/>
          <w:szCs w:val="24"/>
          <w:lang w:val="en-US" w:eastAsia="zh-CN"/>
        </w:rPr>
        <w:t>15862</w:t>
      </w:r>
      <w:r>
        <w:rPr>
          <w:rFonts w:hint="default" w:ascii="Times New Roman" w:hAnsi="Times New Roman" w:cs="Times New Roman"/>
          <w:color w:val="auto"/>
          <w:sz w:val="24"/>
          <w:szCs w:val="24"/>
        </w:rPr>
        <w:t>头、公猪</w:t>
      </w:r>
      <w:r>
        <w:rPr>
          <w:rFonts w:hint="default" w:ascii="Times New Roman" w:hAnsi="Times New Roman" w:cs="Times New Roman"/>
          <w:color w:val="auto"/>
          <w:sz w:val="24"/>
          <w:szCs w:val="24"/>
          <w:lang w:val="en-US" w:eastAsia="zh-CN"/>
        </w:rPr>
        <w:t>110</w:t>
      </w:r>
      <w:r>
        <w:rPr>
          <w:rFonts w:hint="default" w:ascii="Times New Roman" w:hAnsi="Times New Roman" w:cs="Times New Roman"/>
          <w:color w:val="auto"/>
          <w:sz w:val="24"/>
          <w:szCs w:val="24"/>
        </w:rPr>
        <w:t>头、仔猪</w:t>
      </w:r>
      <w:r>
        <w:rPr>
          <w:rFonts w:hint="default" w:ascii="Times New Roman" w:hAnsi="Times New Roman" w:cs="Times New Roman"/>
          <w:color w:val="auto"/>
          <w:sz w:val="24"/>
          <w:szCs w:val="24"/>
          <w:lang w:val="en-US" w:eastAsia="zh-CN"/>
        </w:rPr>
        <w:t>17980</w:t>
      </w:r>
      <w:r>
        <w:rPr>
          <w:rFonts w:hint="default" w:ascii="Times New Roman" w:hAnsi="Times New Roman" w:cs="Times New Roman"/>
          <w:color w:val="auto"/>
          <w:sz w:val="24"/>
          <w:szCs w:val="24"/>
        </w:rPr>
        <w:t>头。</w:t>
      </w:r>
      <w:r>
        <w:rPr>
          <w:rFonts w:hint="default" w:ascii="Times New Roman" w:hAnsi="Times New Roman" w:cs="Times New Roman"/>
          <w:b/>
          <w:color w:val="auto"/>
          <w:sz w:val="24"/>
          <w:szCs w:val="24"/>
          <w:lang w:val="zh-CN"/>
        </w:rPr>
        <w:t>项目内不进行饲料加工、生猪屠宰。</w:t>
      </w:r>
    </w:p>
    <w:p>
      <w:pPr>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根据《排污许可证申请与核发技术规范 畜禽养殖行业》（HJ1029-2019）。出栏</w:t>
      </w:r>
      <w:r>
        <w:rPr>
          <w:rFonts w:hint="eastAsia" w:ascii="Times New Roman" w:hAnsi="Times New Roman" w:cs="Times New Roman"/>
          <w:color w:val="auto"/>
          <w:sz w:val="24"/>
          <w:lang w:eastAsia="zh-CN"/>
        </w:rPr>
        <w:t>猪苗</w:t>
      </w:r>
      <w:r>
        <w:rPr>
          <w:rFonts w:hint="default" w:ascii="Times New Roman" w:hAnsi="Times New Roman" w:cs="Times New Roman"/>
          <w:color w:val="auto"/>
          <w:sz w:val="24"/>
        </w:rPr>
        <w:t>折算为标准生猪养殖量</w:t>
      </w:r>
      <w:r>
        <w:rPr>
          <w:rFonts w:hint="eastAsia" w:ascii="Times New Roman" w:hAnsi="Times New Roman" w:cs="Times New Roman"/>
          <w:color w:val="auto"/>
          <w:sz w:val="24"/>
          <w:lang w:eastAsia="zh-CN"/>
        </w:rPr>
        <w:t>参考</w:t>
      </w:r>
      <w:r>
        <w:rPr>
          <w:rFonts w:hint="default" w:ascii="Times New Roman" w:hAnsi="Times New Roman" w:cs="Times New Roman"/>
          <w:color w:val="auto"/>
          <w:sz w:val="24"/>
        </w:rPr>
        <w:t>按下式折算：</w:t>
      </w:r>
    </w:p>
    <w:p>
      <w:pPr>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K=（m</w:t>
      </w:r>
      <w:r>
        <w:rPr>
          <w:rFonts w:hint="default" w:ascii="Times New Roman" w:hAnsi="Times New Roman" w:cs="Times New Roman"/>
          <w:color w:val="auto"/>
          <w:sz w:val="24"/>
          <w:vertAlign w:val="subscript"/>
        </w:rPr>
        <w:t>出</w:t>
      </w:r>
      <w:r>
        <w:rPr>
          <w:rFonts w:hint="default" w:ascii="Times New Roman" w:hAnsi="Times New Roman" w:cs="Times New Roman"/>
          <w:color w:val="auto"/>
          <w:sz w:val="24"/>
        </w:rPr>
        <w:t>−m</w:t>
      </w:r>
      <w:r>
        <w:rPr>
          <w:rFonts w:hint="default" w:ascii="Times New Roman" w:hAnsi="Times New Roman" w:cs="Times New Roman"/>
          <w:color w:val="auto"/>
          <w:sz w:val="24"/>
          <w:vertAlign w:val="subscript"/>
        </w:rPr>
        <w:t>进</w:t>
      </w:r>
      <w:r>
        <w:rPr>
          <w:rFonts w:hint="default" w:ascii="Times New Roman" w:hAnsi="Times New Roman" w:cs="Times New Roman"/>
          <w:color w:val="auto"/>
          <w:sz w:val="24"/>
        </w:rPr>
        <w:t>）/M×L</w:t>
      </w:r>
    </w:p>
    <w:p>
      <w:pPr>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式中：K—排污单位折算标准生猪养殖量，头；</w:t>
      </w:r>
    </w:p>
    <w:p>
      <w:pPr>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m</w:t>
      </w:r>
      <w:r>
        <w:rPr>
          <w:rFonts w:hint="default" w:ascii="Times New Roman" w:hAnsi="Times New Roman" w:cs="Times New Roman"/>
          <w:color w:val="auto"/>
          <w:sz w:val="24"/>
          <w:vertAlign w:val="subscript"/>
        </w:rPr>
        <w:t>出</w:t>
      </w:r>
      <w:r>
        <w:rPr>
          <w:rFonts w:hint="default" w:ascii="Times New Roman" w:hAnsi="Times New Roman" w:cs="Times New Roman"/>
          <w:color w:val="auto"/>
          <w:sz w:val="24"/>
        </w:rPr>
        <w:t>—排污单位出栏某生长期生猪的体重，kg；</w:t>
      </w:r>
    </w:p>
    <w:p>
      <w:pPr>
        <w:ind w:firstLine="480" w:firstLineChars="200"/>
        <w:jc w:val="left"/>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m</w:t>
      </w:r>
      <w:r>
        <w:rPr>
          <w:rFonts w:hint="default" w:ascii="Times New Roman" w:hAnsi="Times New Roman" w:cs="Times New Roman"/>
          <w:color w:val="auto"/>
          <w:sz w:val="24"/>
          <w:vertAlign w:val="subscript"/>
        </w:rPr>
        <w:t>进</w:t>
      </w:r>
      <w:r>
        <w:rPr>
          <w:rFonts w:hint="default" w:ascii="Times New Roman" w:hAnsi="Times New Roman" w:cs="Times New Roman"/>
          <w:color w:val="auto"/>
          <w:sz w:val="24"/>
        </w:rPr>
        <w:t>—排污单位出栏某生长期生猪进栏时的体重，kg；</w:t>
      </w:r>
      <w:r>
        <w:rPr>
          <w:rFonts w:hint="eastAsia" w:ascii="Times New Roman" w:hAnsi="Times New Roman" w:cs="Times New Roman"/>
          <w:color w:val="auto"/>
          <w:sz w:val="24"/>
          <w:lang w:eastAsia="zh-CN"/>
        </w:rPr>
        <w:t>本项目</w:t>
      </w:r>
      <w:r>
        <w:rPr>
          <w:rFonts w:hint="default" w:ascii="Times New Roman" w:hAnsi="Times New Roman" w:cs="Times New Roman"/>
          <w:color w:val="auto"/>
          <w:sz w:val="24"/>
        </w:rPr>
        <w:t>m</w:t>
      </w:r>
      <w:r>
        <w:rPr>
          <w:rFonts w:hint="default" w:ascii="Times New Roman" w:hAnsi="Times New Roman" w:cs="Times New Roman"/>
          <w:color w:val="auto"/>
          <w:sz w:val="24"/>
          <w:vertAlign w:val="subscript"/>
        </w:rPr>
        <w:t>出</w:t>
      </w:r>
      <w:r>
        <w:rPr>
          <w:rFonts w:hint="default" w:ascii="Times New Roman" w:hAnsi="Times New Roman" w:cs="Times New Roman"/>
          <w:color w:val="auto"/>
          <w:sz w:val="24"/>
        </w:rPr>
        <w:t>−m</w:t>
      </w:r>
      <w:r>
        <w:rPr>
          <w:rFonts w:hint="default" w:ascii="Times New Roman" w:hAnsi="Times New Roman" w:cs="Times New Roman"/>
          <w:color w:val="auto"/>
          <w:sz w:val="24"/>
          <w:vertAlign w:val="subscript"/>
        </w:rPr>
        <w:t>进</w:t>
      </w:r>
      <w:r>
        <w:rPr>
          <w:rFonts w:hint="eastAsia" w:ascii="Times New Roman" w:hAnsi="Times New Roman" w:cs="Times New Roman"/>
          <w:color w:val="auto"/>
          <w:sz w:val="24"/>
          <w:vertAlign w:val="baseline"/>
          <w:lang w:val="en-US" w:eastAsia="zh-CN"/>
        </w:rPr>
        <w:t>=6.5kg</w:t>
      </w:r>
    </w:p>
    <w:p>
      <w:pPr>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M—正常情况下生猪出栏时的平均体重，生猪为100kg；</w:t>
      </w:r>
    </w:p>
    <w:p>
      <w:pPr>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L—排污单位某生长期生猪实际出栏量，头。</w:t>
      </w:r>
    </w:p>
    <w:p>
      <w:pPr>
        <w:ind w:firstLine="480" w:firstLineChars="200"/>
        <w:jc w:val="left"/>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则本项目仔猪折算标准养殖量</w:t>
      </w:r>
      <w:r>
        <w:rPr>
          <w:rFonts w:hint="default" w:ascii="Times New Roman" w:hAnsi="Times New Roman" w:cs="Times New Roman"/>
          <w:color w:val="auto"/>
          <w:sz w:val="24"/>
          <w:lang w:eastAsia="zh-CN"/>
        </w:rPr>
        <w:t>（年出栏量）</w:t>
      </w:r>
      <w:r>
        <w:rPr>
          <w:rFonts w:hint="default" w:ascii="Times New Roman" w:hAnsi="Times New Roman" w:cs="Times New Roman"/>
          <w:color w:val="auto"/>
          <w:sz w:val="24"/>
        </w:rPr>
        <w:t>=6.5÷100×</w:t>
      </w:r>
      <w:r>
        <w:rPr>
          <w:rFonts w:hint="default" w:ascii="Times New Roman" w:hAnsi="Times New Roman" w:cs="Times New Roman"/>
          <w:color w:val="auto"/>
          <w:sz w:val="24"/>
          <w:lang w:val="en-US" w:eastAsia="zh-CN"/>
        </w:rPr>
        <w:t>312500</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20313</w:t>
      </w:r>
      <w:r>
        <w:rPr>
          <w:rFonts w:hint="default" w:ascii="Times New Roman" w:hAnsi="Times New Roman" w:cs="Times New Roman"/>
          <w:color w:val="auto"/>
          <w:sz w:val="24"/>
        </w:rPr>
        <w:t>头</w:t>
      </w:r>
    </w:p>
    <w:p>
      <w:pPr>
        <w:ind w:firstLine="480" w:firstLineChars="200"/>
        <w:jc w:val="left"/>
        <w:rPr>
          <w:rFonts w:hint="default" w:ascii="Times New Roman" w:hAnsi="Times New Roman" w:cs="Times New Roman" w:eastAsiaTheme="minorEastAsia"/>
          <w:b/>
          <w:color w:val="auto"/>
          <w:sz w:val="24"/>
          <w:szCs w:val="24"/>
          <w:lang w:val="en-US" w:eastAsia="zh-CN"/>
        </w:rPr>
      </w:pPr>
      <w:r>
        <w:rPr>
          <w:rFonts w:hint="default" w:ascii="Times New Roman" w:hAnsi="Times New Roman" w:cs="Times New Roman"/>
          <w:color w:val="auto"/>
          <w:sz w:val="24"/>
        </w:rPr>
        <w:t>仔猪折算标准养殖</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常存</w:t>
      </w:r>
      <w:r>
        <w:rPr>
          <w:rFonts w:hint="eastAsia" w:ascii="Times New Roman" w:hAnsi="Times New Roman" w:cs="Times New Roman"/>
          <w:color w:val="auto"/>
          <w:sz w:val="24"/>
          <w:lang w:eastAsia="zh-CN"/>
        </w:rPr>
        <w:t>栏</w:t>
      </w:r>
      <w:r>
        <w:rPr>
          <w:rFonts w:hint="default" w:ascii="Times New Roman" w:hAnsi="Times New Roman" w:cs="Times New Roman"/>
          <w:color w:val="auto"/>
          <w:sz w:val="24"/>
          <w:lang w:eastAsia="zh-CN"/>
        </w:rPr>
        <w:t>量</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6.5÷100×</w:t>
      </w:r>
      <w:r>
        <w:rPr>
          <w:rFonts w:hint="default" w:ascii="Times New Roman" w:hAnsi="Times New Roman" w:cs="Times New Roman"/>
          <w:color w:val="auto"/>
          <w:sz w:val="24"/>
          <w:lang w:val="en-US" w:eastAsia="zh-CN"/>
        </w:rPr>
        <w:t>17980</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1169</w:t>
      </w:r>
      <w:r>
        <w:rPr>
          <w:rFonts w:hint="default" w:ascii="Times New Roman" w:hAnsi="Times New Roman" w:cs="Times New Roman"/>
          <w:color w:val="auto"/>
          <w:sz w:val="24"/>
        </w:rPr>
        <w:t>头</w:t>
      </w:r>
    </w:p>
    <w:p>
      <w:pPr>
        <w:ind w:firstLine="480"/>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lang w:val="zh-CN"/>
        </w:rPr>
        <w:t>本项目猪群结构及养殖方案见表3.1-2。</w:t>
      </w:r>
    </w:p>
    <w:p>
      <w:pPr>
        <w:pStyle w:val="2503"/>
        <w:numPr>
          <w:ilvl w:val="0"/>
          <w:numId w:val="16"/>
        </w:numPr>
        <w:spacing w:before="120"/>
        <w:ind w:left="425" w:leftChars="0" w:hanging="425" w:firstLineChars="0"/>
        <w:rPr>
          <w:color w:val="auto"/>
        </w:rPr>
      </w:pPr>
      <w:r>
        <w:rPr>
          <w:color w:val="auto"/>
        </w:rPr>
        <w:t xml:space="preserve"> 项目猪群结构及养殖方案情况表</w:t>
      </w:r>
    </w:p>
    <w:tbl>
      <w:tblPr>
        <w:tblStyle w:val="88"/>
        <w:tblW w:w="8787"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1754"/>
        <w:gridCol w:w="1791"/>
        <w:gridCol w:w="1416"/>
        <w:gridCol w:w="2550"/>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1754" w:type="dxa"/>
            <w:tcBorders>
              <w:left w:val="single" w:color="auto" w:sz="4" w:space="0"/>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常年存栏量（头）</w:t>
            </w:r>
          </w:p>
        </w:tc>
        <w:tc>
          <w:tcPr>
            <w:tcW w:w="1791" w:type="dxa"/>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存栏时间（天）</w:t>
            </w:r>
          </w:p>
        </w:tc>
        <w:tc>
          <w:tcPr>
            <w:tcW w:w="1416" w:type="dxa"/>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年出栏量（头）</w:t>
            </w:r>
          </w:p>
        </w:tc>
        <w:tc>
          <w:tcPr>
            <w:tcW w:w="2550" w:type="dxa"/>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母猪</w:t>
            </w:r>
            <w:r>
              <w:rPr>
                <w:rFonts w:hint="default" w:ascii="Times New Roman" w:hAnsi="Times New Roman" w:cs="Times New Roman"/>
                <w:color w:val="auto"/>
                <w:sz w:val="21"/>
                <w:szCs w:val="21"/>
                <w:lang w:eastAsia="zh-CN"/>
              </w:rPr>
              <w:t>（基础母猪</w:t>
            </w:r>
            <w:r>
              <w:rPr>
                <w:rFonts w:hint="default" w:ascii="Times New Roman" w:hAnsi="Times New Roman" w:cs="Times New Roman"/>
                <w:color w:val="auto"/>
                <w:sz w:val="21"/>
                <w:szCs w:val="21"/>
                <w:lang w:val="en-US" w:eastAsia="zh-CN"/>
              </w:rPr>
              <w:t>+后备母猪）</w:t>
            </w:r>
          </w:p>
        </w:tc>
        <w:tc>
          <w:tcPr>
            <w:tcW w:w="1754" w:type="dxa"/>
            <w:tcBorders>
              <w:left w:val="single" w:color="auto" w:sz="4" w:space="0"/>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15862</w:t>
            </w:r>
          </w:p>
        </w:tc>
        <w:tc>
          <w:tcPr>
            <w:tcW w:w="1791" w:type="dxa"/>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16" w:type="dxa"/>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550" w:type="dxa"/>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每头母猪产猪仔1</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头/窝，存活率92.8%，每年产2.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窝，分娩率为9</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，基础母猪为</w:t>
            </w:r>
            <w:r>
              <w:rPr>
                <w:rFonts w:hint="default" w:ascii="Times New Roman" w:hAnsi="Times New Roman" w:cs="Times New Roman"/>
                <w:color w:val="auto"/>
                <w:sz w:val="21"/>
                <w:szCs w:val="21"/>
                <w:lang w:val="en-US" w:eastAsia="zh-CN"/>
              </w:rPr>
              <w:t>13865头，</w:t>
            </w:r>
            <w:r>
              <w:rPr>
                <w:rFonts w:hint="default" w:ascii="Times New Roman" w:hAnsi="Times New Roman" w:cs="Times New Roman"/>
                <w:color w:val="auto"/>
                <w:sz w:val="21"/>
                <w:szCs w:val="21"/>
              </w:rPr>
              <w:t>则年产仔猪约</w:t>
            </w:r>
            <w:r>
              <w:rPr>
                <w:rFonts w:hint="default" w:ascii="Times New Roman" w:hAnsi="Times New Roman" w:cs="Times New Roman"/>
                <w:color w:val="auto"/>
                <w:sz w:val="21"/>
                <w:szCs w:val="21"/>
                <w:lang w:val="en-US" w:eastAsia="zh-CN"/>
              </w:rPr>
              <w:t>312500</w:t>
            </w:r>
            <w:r>
              <w:rPr>
                <w:rFonts w:hint="default" w:ascii="Times New Roman" w:hAnsi="Times New Roman" w:cs="Times New Roman"/>
                <w:color w:val="auto"/>
                <w:sz w:val="21"/>
                <w:szCs w:val="21"/>
              </w:rPr>
              <w:t>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公猪</w:t>
            </w:r>
          </w:p>
        </w:tc>
        <w:tc>
          <w:tcPr>
            <w:tcW w:w="1754" w:type="dxa"/>
            <w:tcBorders>
              <w:left w:val="single" w:color="auto" w:sz="4" w:space="0"/>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110</w:t>
            </w:r>
          </w:p>
        </w:tc>
        <w:tc>
          <w:tcPr>
            <w:tcW w:w="1791" w:type="dxa"/>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16" w:type="dxa"/>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550" w:type="dxa"/>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仔猪</w:t>
            </w:r>
          </w:p>
        </w:tc>
        <w:tc>
          <w:tcPr>
            <w:tcW w:w="1754" w:type="dxa"/>
            <w:tcBorders>
              <w:left w:val="single" w:color="auto" w:sz="4" w:space="0"/>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17980</w:t>
            </w:r>
            <w:r>
              <w:rPr>
                <w:rFonts w:hint="default" w:ascii="Times New Roman" w:hAnsi="Times New Roman" w:cs="Times New Roman"/>
                <w:color w:val="auto"/>
                <w:sz w:val="21"/>
                <w:szCs w:val="21"/>
              </w:rPr>
              <w:t>（折合为成年猪约</w:t>
            </w:r>
            <w:r>
              <w:rPr>
                <w:rFonts w:hint="default" w:ascii="Times New Roman" w:hAnsi="Times New Roman" w:cs="Times New Roman"/>
                <w:color w:val="auto"/>
                <w:sz w:val="21"/>
                <w:szCs w:val="21"/>
                <w:lang w:val="en-US" w:eastAsia="zh-CN"/>
              </w:rPr>
              <w:t>1169</w:t>
            </w:r>
            <w:r>
              <w:rPr>
                <w:rFonts w:hint="default" w:ascii="Times New Roman" w:hAnsi="Times New Roman" w:cs="Times New Roman"/>
                <w:color w:val="auto"/>
                <w:sz w:val="21"/>
                <w:szCs w:val="21"/>
              </w:rPr>
              <w:t>头）</w:t>
            </w:r>
          </w:p>
        </w:tc>
        <w:tc>
          <w:tcPr>
            <w:tcW w:w="1791" w:type="dxa"/>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1416" w:type="dxa"/>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312500</w:t>
            </w:r>
            <w:r>
              <w:rPr>
                <w:rFonts w:hint="default" w:ascii="Times New Roman" w:hAnsi="Times New Roman" w:cs="Times New Roman"/>
                <w:color w:val="auto"/>
                <w:sz w:val="21"/>
                <w:szCs w:val="21"/>
              </w:rPr>
              <w:t>（折合为成年猪约</w:t>
            </w:r>
            <w:r>
              <w:rPr>
                <w:rFonts w:hint="default" w:ascii="Times New Roman" w:hAnsi="Times New Roman" w:cs="Times New Roman"/>
                <w:color w:val="auto"/>
                <w:sz w:val="21"/>
                <w:szCs w:val="21"/>
                <w:lang w:val="en-US" w:eastAsia="zh-CN"/>
              </w:rPr>
              <w:t>20313</w:t>
            </w:r>
            <w:r>
              <w:rPr>
                <w:rFonts w:hint="default" w:ascii="Times New Roman" w:hAnsi="Times New Roman" w:cs="Times New Roman"/>
                <w:color w:val="auto"/>
                <w:sz w:val="21"/>
                <w:szCs w:val="21"/>
              </w:rPr>
              <w:t>头）</w:t>
            </w:r>
          </w:p>
        </w:tc>
        <w:tc>
          <w:tcPr>
            <w:tcW w:w="2550" w:type="dxa"/>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仔猪出栏周期为21天，则每年出栏约17.38批次，则年出栏仔猪约</w:t>
            </w:r>
            <w:r>
              <w:rPr>
                <w:rFonts w:hint="default" w:ascii="Times New Roman" w:hAnsi="Times New Roman" w:cs="Times New Roman"/>
                <w:color w:val="auto"/>
                <w:sz w:val="21"/>
                <w:szCs w:val="21"/>
                <w:lang w:val="en-US" w:eastAsia="zh-CN"/>
              </w:rPr>
              <w:t>312500</w:t>
            </w:r>
            <w:r>
              <w:rPr>
                <w:rFonts w:hint="default" w:ascii="Times New Roman" w:hAnsi="Times New Roman" w:cs="Times New Roman"/>
                <w:color w:val="auto"/>
                <w:sz w:val="21"/>
                <w:szCs w:val="21"/>
              </w:rPr>
              <w:t>头</w:t>
            </w:r>
            <w:r>
              <w:rPr>
                <w:rFonts w:hint="eastAsia"/>
                <w:color w:val="auto"/>
                <w:lang w:eastAsia="zh-CN"/>
              </w:rPr>
              <w:t>。</w:t>
            </w:r>
          </w:p>
        </w:tc>
      </w:tr>
    </w:tbl>
    <w:p>
      <w:pPr>
        <w:pStyle w:val="7"/>
        <w:spacing w:before="0" w:after="0" w:line="360" w:lineRule="auto"/>
        <w:ind w:left="0" w:firstLine="0"/>
        <w:rPr>
          <w:rFonts w:cs="Times New Roman"/>
          <w:color w:val="auto"/>
        </w:rPr>
      </w:pPr>
      <w:bookmarkStart w:id="120" w:name="_Toc21082"/>
      <w:bookmarkStart w:id="121" w:name="_Toc410633590"/>
      <w:r>
        <w:rPr>
          <w:rFonts w:cs="Times New Roman"/>
          <w:color w:val="auto"/>
        </w:rPr>
        <w:t>项目组成</w:t>
      </w:r>
      <w:bookmarkEnd w:id="120"/>
      <w:bookmarkEnd w:id="121"/>
    </w:p>
    <w:p>
      <w:pPr>
        <w:ind w:firstLine="480"/>
        <w:rPr>
          <w:color w:val="auto"/>
        </w:rPr>
      </w:pPr>
      <w:r>
        <w:rPr>
          <w:color w:val="auto"/>
          <w:sz w:val="24"/>
          <w:szCs w:val="24"/>
        </w:rPr>
        <w:t>本项目主要建设</w:t>
      </w:r>
      <w:r>
        <w:rPr>
          <w:rFonts w:hint="eastAsia"/>
          <w:color w:val="auto"/>
          <w:sz w:val="24"/>
          <w:szCs w:val="24"/>
          <w:lang w:eastAsia="zh-CN"/>
        </w:rPr>
        <w:t>配怀舍</w:t>
      </w:r>
      <w:r>
        <w:rPr>
          <w:color w:val="auto"/>
          <w:sz w:val="24"/>
          <w:szCs w:val="24"/>
        </w:rPr>
        <w:t>、</w:t>
      </w:r>
      <w:r>
        <w:rPr>
          <w:rFonts w:hint="eastAsia"/>
          <w:color w:val="auto"/>
          <w:sz w:val="24"/>
          <w:szCs w:val="24"/>
          <w:lang w:eastAsia="zh-CN"/>
        </w:rPr>
        <w:t>分娩舍、后备舍、后备中转站、公猪舍</w:t>
      </w:r>
      <w:r>
        <w:rPr>
          <w:color w:val="auto"/>
          <w:sz w:val="24"/>
          <w:szCs w:val="24"/>
        </w:rPr>
        <w:t>等主体工程，同时配套建设相应的公用辅助工程及环保工程等。项目组成及主要环境问题见表3.1-3。</w:t>
      </w:r>
    </w:p>
    <w:p>
      <w:pPr>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本项目</w:t>
      </w:r>
      <w:r>
        <w:rPr>
          <w:rFonts w:ascii="Times New Roman" w:hAnsi="Times New Roman" w:cs="Times New Roman"/>
          <w:color w:val="auto"/>
          <w:sz w:val="24"/>
        </w:rPr>
        <w:t>建设内容及主要环境问题见下表：</w:t>
      </w:r>
    </w:p>
    <w:p>
      <w:pPr>
        <w:pStyle w:val="2503"/>
        <w:numPr>
          <w:ilvl w:val="0"/>
          <w:numId w:val="16"/>
        </w:numPr>
        <w:spacing w:before="120"/>
        <w:ind w:left="425" w:leftChars="0" w:hanging="425" w:firstLineChars="0"/>
        <w:rPr>
          <w:rFonts w:ascii="Times New Roman" w:hAnsi="Times New Roman" w:cs="Times New Roman"/>
          <w:color w:val="auto"/>
          <w:sz w:val="24"/>
        </w:rPr>
      </w:pPr>
      <w:r>
        <w:rPr>
          <w:color w:val="auto"/>
        </w:rPr>
        <w:t xml:space="preserve">  </w:t>
      </w:r>
      <w:r>
        <w:rPr>
          <w:rFonts w:cs="Times New Roman"/>
          <w:color w:val="auto"/>
        </w:rPr>
        <w:t>建设项目组成表及主要环境问题</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573"/>
        <w:gridCol w:w="929"/>
        <w:gridCol w:w="4593"/>
        <w:gridCol w:w="1533"/>
        <w:gridCol w:w="89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2" w:hRule="atLeast"/>
          <w:tblHeader/>
          <w:jc w:val="center"/>
        </w:trPr>
        <w:tc>
          <w:tcPr>
            <w:tcW w:w="33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工程类别</w:t>
            </w:r>
          </w:p>
        </w:tc>
        <w:tc>
          <w:tcPr>
            <w:tcW w:w="54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工程名称</w:t>
            </w:r>
          </w:p>
        </w:tc>
        <w:tc>
          <w:tcPr>
            <w:tcW w:w="2694"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建设内容及规模</w:t>
            </w:r>
          </w:p>
        </w:tc>
        <w:tc>
          <w:tcPr>
            <w:tcW w:w="1423"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主要环境问题</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p>
        </w:tc>
        <w:tc>
          <w:tcPr>
            <w:tcW w:w="269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p>
        </w:tc>
        <w:tc>
          <w:tcPr>
            <w:tcW w:w="899"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施工期</w:t>
            </w: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rPr>
            </w:pPr>
            <w:r>
              <w:rPr>
                <w:rFonts w:hint="default" w:ascii="Times New Roman" w:hAnsi="Times New Roman" w:cs="Times New Roman"/>
                <w:b/>
                <w:color w:val="auto"/>
              </w:rPr>
              <w:t>营运期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主体</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工程</w:t>
            </w:r>
          </w:p>
        </w:tc>
        <w:tc>
          <w:tcPr>
            <w:tcW w:w="54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rPr>
            </w:pPr>
            <w:r>
              <w:rPr>
                <w:rFonts w:hint="default" w:ascii="Times New Roman" w:hAnsi="Times New Roman" w:cs="Times New Roman"/>
                <w:color w:val="auto"/>
                <w:kern w:val="0"/>
              </w:rPr>
              <w:t>配怀舍</w:t>
            </w:r>
          </w:p>
        </w:tc>
        <w:tc>
          <w:tcPr>
            <w:tcW w:w="2694" w:type="pct"/>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color w:val="auto"/>
                <w:kern w:val="0"/>
              </w:rPr>
            </w:pPr>
            <w:r>
              <w:rPr>
                <w:rFonts w:hint="eastAsia" w:ascii="Times New Roman" w:hAnsi="Times New Roman" w:cs="Times New Roman"/>
                <w:color w:val="auto"/>
                <w:kern w:val="0"/>
                <w:lang w:val="en-US" w:eastAsia="zh-CN"/>
              </w:rPr>
              <w:t>5</w:t>
            </w:r>
            <w:r>
              <w:rPr>
                <w:rFonts w:hint="default" w:ascii="Times New Roman" w:hAnsi="Times New Roman" w:cs="Times New Roman"/>
                <w:color w:val="auto"/>
                <w:kern w:val="0"/>
              </w:rPr>
              <w:t>栋，1F，</w:t>
            </w:r>
            <w:r>
              <w:rPr>
                <w:rFonts w:hint="eastAsia" w:ascii="Times New Roman" w:hAnsi="Times New Roman" w:cs="Times New Roman"/>
                <w:color w:val="auto"/>
                <w:kern w:val="0"/>
                <w:lang w:eastAsia="zh-CN"/>
              </w:rPr>
              <w:t>砖混</w:t>
            </w:r>
            <w:r>
              <w:rPr>
                <w:rFonts w:hint="default" w:ascii="Times New Roman" w:hAnsi="Times New Roman" w:cs="Times New Roman"/>
                <w:color w:val="auto"/>
                <w:kern w:val="0"/>
              </w:rPr>
              <w:t>结构，</w:t>
            </w:r>
            <w:r>
              <w:rPr>
                <w:rFonts w:hint="eastAsia" w:ascii="Times New Roman" w:hAnsi="Times New Roman" w:cs="Times New Roman"/>
                <w:color w:val="auto"/>
                <w:kern w:val="0"/>
                <w:lang w:eastAsia="zh-CN"/>
              </w:rPr>
              <w:t>每栋</w:t>
            </w:r>
            <w:r>
              <w:rPr>
                <w:rFonts w:hint="default" w:ascii="Times New Roman" w:hAnsi="Times New Roman" w:cs="Times New Roman"/>
                <w:color w:val="auto"/>
                <w:kern w:val="0"/>
              </w:rPr>
              <w:t>建筑面积</w:t>
            </w:r>
            <w:r>
              <w:rPr>
                <w:rFonts w:hint="eastAsia" w:ascii="Times New Roman" w:hAnsi="Times New Roman" w:cs="Times New Roman"/>
                <w:color w:val="auto"/>
                <w:lang w:val="en-US" w:eastAsia="zh-CN"/>
              </w:rPr>
              <w:t>6288</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w:t>
            </w:r>
            <w:r>
              <w:rPr>
                <w:rFonts w:hint="eastAsia" w:ascii="Times New Roman" w:hAnsi="Times New Roman" w:cs="Times New Roman"/>
                <w:color w:val="auto"/>
                <w:kern w:val="0"/>
                <w:lang w:eastAsia="zh-CN"/>
              </w:rPr>
              <w:t>总建筑面积</w:t>
            </w:r>
            <w:r>
              <w:rPr>
                <w:rFonts w:hint="eastAsia" w:ascii="Times New Roman" w:hAnsi="Times New Roman" w:cs="Times New Roman"/>
                <w:color w:val="auto"/>
                <w:lang w:val="en-US" w:eastAsia="zh-CN"/>
              </w:rPr>
              <w:t>31440</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vertAlign w:val="baseline"/>
                <w:lang w:eastAsia="zh-CN"/>
              </w:rPr>
              <w:t>，</w:t>
            </w:r>
            <w:r>
              <w:rPr>
                <w:rFonts w:hint="default" w:ascii="Times New Roman" w:hAnsi="Times New Roman" w:cs="Times New Roman"/>
                <w:color w:val="auto"/>
                <w:kern w:val="0"/>
              </w:rPr>
              <w:t>圈舍地面全部采用防渗混凝土硬化。圈舍采用风机配套水帘降温。</w:t>
            </w:r>
          </w:p>
        </w:tc>
        <w:tc>
          <w:tcPr>
            <w:tcW w:w="899" w:type="pct"/>
            <w:vMerge w:val="restart"/>
            <w:tcBorders>
              <w:tl2br w:val="nil"/>
              <w:tr2bl w:val="nil"/>
            </w:tcBorders>
            <w:vAlign w:val="center"/>
          </w:tcPr>
          <w:p>
            <w:pPr>
              <w:keepNext w:val="0"/>
              <w:keepLines w:val="0"/>
              <w:suppressLineNumbers w:val="0"/>
              <w:spacing w:before="0" w:beforeAutospacing="0" w:after="0" w:afterAutospacing="0" w:line="240" w:lineRule="auto"/>
              <w:ind w:left="-109" w:leftChars="-52" w:right="-97" w:rightChars="-46"/>
              <w:jc w:val="center"/>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施工废水</w:t>
            </w:r>
            <w:r>
              <w:rPr>
                <w:rFonts w:hint="eastAsia" w:ascii="Times New Roman" w:hAnsi="Times New Roman" w:cs="Times New Roman"/>
                <w:color w:val="auto"/>
                <w:lang w:eastAsia="zh-CN"/>
              </w:rPr>
              <w:t>、</w:t>
            </w:r>
            <w:r>
              <w:rPr>
                <w:rFonts w:hint="default" w:ascii="Times New Roman" w:hAnsi="Times New Roman" w:cs="Times New Roman"/>
                <w:color w:val="auto"/>
              </w:rPr>
              <w:t>生活污水</w:t>
            </w:r>
            <w:r>
              <w:rPr>
                <w:rFonts w:hint="eastAsia" w:ascii="Times New Roman" w:hAnsi="Times New Roman" w:cs="Times New Roman"/>
                <w:color w:val="auto"/>
                <w:lang w:eastAsia="zh-CN"/>
              </w:rPr>
              <w:t>、</w:t>
            </w:r>
            <w:r>
              <w:rPr>
                <w:rFonts w:hint="default" w:ascii="Times New Roman" w:hAnsi="Times New Roman" w:cs="Times New Roman"/>
                <w:color w:val="auto"/>
              </w:rPr>
              <w:t>施工噪声</w:t>
            </w:r>
            <w:r>
              <w:rPr>
                <w:rFonts w:hint="eastAsia" w:ascii="Times New Roman" w:hAnsi="Times New Roman" w:cs="Times New Roman"/>
                <w:color w:val="auto"/>
                <w:lang w:eastAsia="zh-CN"/>
              </w:rPr>
              <w:t>、</w:t>
            </w:r>
            <w:r>
              <w:rPr>
                <w:rFonts w:hint="default" w:ascii="Times New Roman" w:hAnsi="Times New Roman" w:cs="Times New Roman"/>
                <w:color w:val="auto"/>
              </w:rPr>
              <w:t>建筑垃圾</w:t>
            </w:r>
            <w:r>
              <w:rPr>
                <w:rFonts w:hint="eastAsia" w:ascii="Times New Roman" w:hAnsi="Times New Roman" w:cs="Times New Roman"/>
                <w:color w:val="auto"/>
                <w:lang w:eastAsia="zh-CN"/>
              </w:rPr>
              <w:t>、</w:t>
            </w:r>
            <w:r>
              <w:rPr>
                <w:rFonts w:hint="default" w:ascii="Times New Roman" w:hAnsi="Times New Roman" w:cs="Times New Roman"/>
                <w:color w:val="auto"/>
              </w:rPr>
              <w:t>生活垃圾</w:t>
            </w:r>
            <w:r>
              <w:rPr>
                <w:rFonts w:hint="eastAsia" w:ascii="Times New Roman" w:hAnsi="Times New Roman" w:cs="Times New Roman"/>
                <w:color w:val="auto"/>
                <w:lang w:eastAsia="zh-CN"/>
              </w:rPr>
              <w:t>、</w:t>
            </w:r>
            <w:r>
              <w:rPr>
                <w:rFonts w:hint="default" w:ascii="Times New Roman" w:hAnsi="Times New Roman" w:cs="Times New Roman"/>
                <w:color w:val="auto"/>
              </w:rPr>
              <w:t>扬尘</w:t>
            </w:r>
            <w:r>
              <w:rPr>
                <w:rFonts w:hint="eastAsia" w:ascii="Times New Roman" w:hAnsi="Times New Roman" w:cs="Times New Roman"/>
                <w:color w:val="auto"/>
                <w:lang w:eastAsia="zh-CN"/>
              </w:rPr>
              <w:t>、汽</w:t>
            </w:r>
            <w:r>
              <w:rPr>
                <w:rFonts w:hint="default" w:ascii="Times New Roman" w:hAnsi="Times New Roman" w:cs="Times New Roman"/>
                <w:color w:val="auto"/>
              </w:rPr>
              <w:t>车尾气</w:t>
            </w:r>
          </w:p>
        </w:tc>
        <w:tc>
          <w:tcPr>
            <w:tcW w:w="524" w:type="pct"/>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粪便</w:t>
            </w:r>
          </w:p>
          <w:p>
            <w:pPr>
              <w:keepNext w:val="0"/>
              <w:keepLines w:val="0"/>
              <w:suppressLineNumbers w:val="0"/>
              <w:spacing w:before="0" w:beforeAutospacing="0" w:after="0" w:afterAutospacing="0" w:line="240" w:lineRule="auto"/>
              <w:ind w:left="-76" w:leftChars="-36" w:right="-92" w:rightChars="-44"/>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废水</w:t>
            </w:r>
          </w:p>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噪声</w:t>
            </w:r>
          </w:p>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0"/>
              </w:rPr>
              <w:t>恶臭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rPr>
            </w:pPr>
            <w:r>
              <w:rPr>
                <w:rFonts w:hint="default" w:ascii="Times New Roman" w:hAnsi="Times New Roman" w:cs="Times New Roman"/>
                <w:color w:val="auto"/>
                <w:kern w:val="0"/>
              </w:rPr>
              <w:t>分娩舍</w:t>
            </w:r>
          </w:p>
        </w:tc>
        <w:tc>
          <w:tcPr>
            <w:tcW w:w="2694" w:type="pct"/>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rPr>
                <w:rFonts w:hint="default" w:ascii="Times New Roman" w:hAnsi="Times New Roman" w:cs="Times New Roman"/>
                <w:color w:val="auto"/>
                <w:kern w:val="0"/>
              </w:rPr>
            </w:pPr>
            <w:r>
              <w:rPr>
                <w:rFonts w:hint="eastAsia" w:ascii="Times New Roman" w:hAnsi="Times New Roman" w:cs="Times New Roman"/>
                <w:color w:val="auto"/>
                <w:kern w:val="0"/>
                <w:lang w:val="en-US" w:eastAsia="zh-CN"/>
              </w:rPr>
              <w:t>6</w:t>
            </w:r>
            <w:r>
              <w:rPr>
                <w:rFonts w:hint="default" w:ascii="Times New Roman" w:hAnsi="Times New Roman" w:cs="Times New Roman"/>
                <w:color w:val="auto"/>
                <w:kern w:val="0"/>
              </w:rPr>
              <w:t>栋，1F，</w:t>
            </w:r>
            <w:r>
              <w:rPr>
                <w:rFonts w:hint="eastAsia" w:ascii="Times New Roman" w:hAnsi="Times New Roman" w:cs="Times New Roman"/>
                <w:color w:val="auto"/>
                <w:kern w:val="0"/>
                <w:lang w:eastAsia="zh-CN"/>
              </w:rPr>
              <w:t>砖混</w:t>
            </w:r>
            <w:r>
              <w:rPr>
                <w:rFonts w:hint="default" w:ascii="Times New Roman" w:hAnsi="Times New Roman" w:cs="Times New Roman"/>
                <w:color w:val="auto"/>
                <w:kern w:val="0"/>
              </w:rPr>
              <w:t>结构，</w:t>
            </w:r>
            <w:r>
              <w:rPr>
                <w:rFonts w:hint="eastAsia" w:ascii="Times New Roman" w:hAnsi="Times New Roman" w:cs="Times New Roman"/>
                <w:color w:val="auto"/>
                <w:kern w:val="0"/>
                <w:lang w:eastAsia="zh-CN"/>
              </w:rPr>
              <w:t>其中</w:t>
            </w:r>
            <w:r>
              <w:rPr>
                <w:rFonts w:hint="eastAsia" w:ascii="Times New Roman" w:hAnsi="Times New Roman" w:cs="Times New Roman"/>
                <w:color w:val="auto"/>
                <w:kern w:val="0"/>
                <w:lang w:val="en-US" w:eastAsia="zh-CN"/>
              </w:rPr>
              <w:t>4</w:t>
            </w:r>
            <w:r>
              <w:rPr>
                <w:rFonts w:hint="eastAsia" w:ascii="Times New Roman" w:hAnsi="Times New Roman" w:cs="Times New Roman"/>
                <w:color w:val="auto"/>
                <w:kern w:val="0"/>
                <w:lang w:eastAsia="zh-CN"/>
              </w:rPr>
              <w:t>栋</w:t>
            </w:r>
            <w:r>
              <w:rPr>
                <w:rFonts w:hint="default" w:ascii="Times New Roman" w:hAnsi="Times New Roman" w:cs="Times New Roman"/>
                <w:color w:val="auto"/>
                <w:kern w:val="0"/>
              </w:rPr>
              <w:t>建筑面积</w:t>
            </w:r>
            <w:r>
              <w:rPr>
                <w:rFonts w:hint="eastAsia" w:ascii="Times New Roman" w:hAnsi="Times New Roman" w:cs="Times New Roman"/>
                <w:color w:val="auto"/>
                <w:lang w:val="en-US" w:eastAsia="zh-CN"/>
              </w:rPr>
              <w:t>4176</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vertAlign w:val="superscript"/>
                <w:lang w:val="en-US" w:eastAsia="zh-CN"/>
              </w:rPr>
              <w:t>,</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lang w:val="en-US" w:eastAsia="zh-CN"/>
              </w:rPr>
              <w:t>另外2</w:t>
            </w:r>
            <w:r>
              <w:rPr>
                <w:rFonts w:hint="eastAsia" w:ascii="Times New Roman" w:hAnsi="Times New Roman" w:cs="Times New Roman"/>
                <w:color w:val="auto"/>
                <w:kern w:val="0"/>
                <w:lang w:eastAsia="zh-CN"/>
              </w:rPr>
              <w:t>栋</w:t>
            </w:r>
            <w:r>
              <w:rPr>
                <w:rFonts w:hint="default" w:ascii="Times New Roman" w:hAnsi="Times New Roman" w:cs="Times New Roman"/>
                <w:color w:val="auto"/>
                <w:kern w:val="0"/>
              </w:rPr>
              <w:t>建筑面积</w:t>
            </w:r>
            <w:r>
              <w:rPr>
                <w:rFonts w:hint="eastAsia" w:ascii="Times New Roman" w:hAnsi="Times New Roman" w:cs="Times New Roman"/>
                <w:color w:val="auto"/>
                <w:lang w:val="en-US" w:eastAsia="zh-CN"/>
              </w:rPr>
              <w:t>2088</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vertAlign w:val="baseline"/>
                <w:lang w:val="en-US" w:eastAsia="zh-CN"/>
              </w:rPr>
              <w:t>。</w:t>
            </w:r>
            <w:r>
              <w:rPr>
                <w:rFonts w:hint="eastAsia" w:ascii="Times New Roman" w:hAnsi="Times New Roman" w:cs="Times New Roman"/>
                <w:color w:val="auto"/>
                <w:kern w:val="0"/>
                <w:lang w:eastAsia="zh-CN"/>
              </w:rPr>
              <w:t>总建筑面积</w:t>
            </w:r>
            <w:r>
              <w:rPr>
                <w:rFonts w:hint="eastAsia" w:ascii="Times New Roman" w:hAnsi="Times New Roman" w:cs="Times New Roman"/>
                <w:color w:val="auto"/>
                <w:lang w:val="en-US" w:eastAsia="zh-CN"/>
              </w:rPr>
              <w:t>20880</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vertAlign w:val="baseline"/>
                <w:lang w:eastAsia="zh-CN"/>
              </w:rPr>
              <w:t>，</w:t>
            </w:r>
            <w:r>
              <w:rPr>
                <w:rFonts w:hint="default" w:ascii="Times New Roman" w:hAnsi="Times New Roman" w:cs="Times New Roman"/>
                <w:color w:val="auto"/>
                <w:kern w:val="0"/>
              </w:rPr>
              <w:t>圈舍地面全部采用防渗混凝土硬化。圈舍采用风机配套水帘降温。</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109" w:leftChars="-52" w:right="-97" w:rightChars="-46"/>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76" w:leftChars="-36" w:right="-92" w:rightChars="-44"/>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后备舍</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rPr>
            </w:pPr>
            <w:r>
              <w:rPr>
                <w:rFonts w:hint="eastAsia" w:ascii="Times New Roman" w:hAnsi="Times New Roman" w:cs="Times New Roman"/>
                <w:color w:val="auto"/>
                <w:kern w:val="0"/>
                <w:lang w:val="en-US" w:eastAsia="zh-CN"/>
              </w:rPr>
              <w:t>4</w:t>
            </w:r>
            <w:r>
              <w:rPr>
                <w:rFonts w:hint="default" w:ascii="Times New Roman" w:hAnsi="Times New Roman" w:cs="Times New Roman"/>
                <w:color w:val="auto"/>
                <w:kern w:val="0"/>
              </w:rPr>
              <w:t>栋，1F，</w:t>
            </w:r>
            <w:r>
              <w:rPr>
                <w:rFonts w:hint="eastAsia" w:ascii="Times New Roman" w:hAnsi="Times New Roman" w:cs="Times New Roman"/>
                <w:color w:val="auto"/>
                <w:kern w:val="0"/>
                <w:lang w:eastAsia="zh-CN"/>
              </w:rPr>
              <w:t>砖混</w:t>
            </w:r>
            <w:r>
              <w:rPr>
                <w:rFonts w:hint="default" w:ascii="Times New Roman" w:hAnsi="Times New Roman" w:cs="Times New Roman"/>
                <w:color w:val="auto"/>
                <w:kern w:val="0"/>
              </w:rPr>
              <w:t>结构，</w:t>
            </w:r>
            <w:r>
              <w:rPr>
                <w:rFonts w:hint="eastAsia" w:ascii="Times New Roman" w:hAnsi="Times New Roman" w:cs="Times New Roman"/>
                <w:color w:val="auto"/>
                <w:kern w:val="0"/>
                <w:lang w:eastAsia="zh-CN"/>
              </w:rPr>
              <w:t>每栋</w:t>
            </w:r>
            <w:r>
              <w:rPr>
                <w:rFonts w:hint="default" w:ascii="Times New Roman" w:hAnsi="Times New Roman" w:cs="Times New Roman"/>
                <w:color w:val="auto"/>
                <w:kern w:val="0"/>
              </w:rPr>
              <w:t>建筑面积</w:t>
            </w:r>
            <w:r>
              <w:rPr>
                <w:rFonts w:hint="eastAsia" w:ascii="Times New Roman" w:hAnsi="Times New Roman" w:cs="Times New Roman"/>
                <w:color w:val="auto"/>
                <w:lang w:val="en-US" w:eastAsia="zh-CN"/>
              </w:rPr>
              <w:t>783</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w:t>
            </w:r>
            <w:r>
              <w:rPr>
                <w:rFonts w:hint="eastAsia" w:ascii="Times New Roman" w:hAnsi="Times New Roman" w:cs="Times New Roman"/>
                <w:color w:val="auto"/>
                <w:kern w:val="0"/>
                <w:lang w:eastAsia="zh-CN"/>
              </w:rPr>
              <w:t>总建筑面积</w:t>
            </w:r>
            <w:r>
              <w:rPr>
                <w:rFonts w:hint="eastAsia" w:ascii="Times New Roman" w:hAnsi="Times New Roman" w:cs="Times New Roman"/>
                <w:color w:val="auto"/>
                <w:lang w:val="en-US" w:eastAsia="zh-CN"/>
              </w:rPr>
              <w:t>3915</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vertAlign w:val="baseline"/>
                <w:lang w:eastAsia="zh-CN"/>
              </w:rPr>
              <w:t>，</w:t>
            </w:r>
            <w:r>
              <w:rPr>
                <w:rFonts w:hint="default" w:ascii="Times New Roman" w:hAnsi="Times New Roman" w:cs="Times New Roman"/>
                <w:color w:val="auto"/>
                <w:kern w:val="0"/>
              </w:rPr>
              <w:t>圈舍地面全部采用防渗混凝土硬化。圈舍采用风机配套水帘降温。</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109" w:leftChars="-52" w:right="-97" w:rightChars="-46"/>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76" w:leftChars="-36" w:right="-92" w:rightChars="-44"/>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kern w:val="0"/>
                <w:lang w:eastAsia="zh-CN"/>
              </w:rPr>
            </w:pPr>
            <w:r>
              <w:rPr>
                <w:rFonts w:hint="eastAsia" w:ascii="Times New Roman" w:hAnsi="Times New Roman" w:cs="Times New Roman"/>
                <w:color w:val="auto"/>
                <w:lang w:eastAsia="zh-CN"/>
              </w:rPr>
              <w:t>公猪舍</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rPr>
            </w:pPr>
            <w:r>
              <w:rPr>
                <w:rFonts w:hint="default" w:ascii="Times New Roman" w:hAnsi="Times New Roman" w:cs="Times New Roman"/>
                <w:color w:val="auto"/>
                <w:kern w:val="0"/>
              </w:rPr>
              <w:t>1栋，1F，</w:t>
            </w:r>
            <w:r>
              <w:rPr>
                <w:rFonts w:hint="eastAsia" w:ascii="Times New Roman" w:hAnsi="Times New Roman" w:cs="Times New Roman"/>
                <w:color w:val="auto"/>
                <w:kern w:val="0"/>
                <w:lang w:eastAsia="zh-CN"/>
              </w:rPr>
              <w:t>砖混</w:t>
            </w:r>
            <w:r>
              <w:rPr>
                <w:rFonts w:hint="default" w:ascii="Times New Roman" w:hAnsi="Times New Roman" w:cs="Times New Roman"/>
                <w:color w:val="auto"/>
                <w:kern w:val="0"/>
              </w:rPr>
              <w:t>结构，建筑面积</w:t>
            </w:r>
            <w:r>
              <w:rPr>
                <w:rFonts w:hint="eastAsia" w:ascii="Times New Roman" w:hAnsi="Times New Roman" w:cs="Times New Roman"/>
                <w:color w:val="auto"/>
                <w:kern w:val="0"/>
                <w:lang w:val="en-US" w:eastAsia="zh-CN"/>
              </w:rPr>
              <w:t>799</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，圈舍地面全部采用防渗混凝土硬化。圈舍采用风机配套水帘降温。</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109" w:leftChars="-52" w:right="-97" w:rightChars="-46"/>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76" w:leftChars="-36" w:right="-92" w:rightChars="-44"/>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中转后备舍</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eastAsia" w:ascii="Times New Roman" w:hAnsi="Times New Roman" w:cs="Times New Roman" w:eastAsiaTheme="minorEastAsia"/>
                <w:color w:val="auto"/>
                <w:kern w:val="0"/>
                <w:lang w:val="en-US" w:eastAsia="zh-CN"/>
              </w:rPr>
            </w:pPr>
            <w:r>
              <w:rPr>
                <w:rFonts w:hint="eastAsia" w:ascii="Times New Roman" w:hAnsi="Times New Roman" w:cs="Times New Roman"/>
                <w:color w:val="auto"/>
                <w:kern w:val="0"/>
                <w:lang w:val="en-US" w:eastAsia="zh-CN"/>
              </w:rPr>
              <w:t>4</w:t>
            </w:r>
            <w:r>
              <w:rPr>
                <w:rFonts w:hint="default" w:ascii="Times New Roman" w:hAnsi="Times New Roman" w:cs="Times New Roman"/>
                <w:color w:val="auto"/>
                <w:kern w:val="0"/>
              </w:rPr>
              <w:t>栋，1F，</w:t>
            </w:r>
            <w:r>
              <w:rPr>
                <w:rFonts w:hint="eastAsia" w:ascii="Times New Roman" w:hAnsi="Times New Roman" w:cs="Times New Roman"/>
                <w:color w:val="auto"/>
                <w:kern w:val="0"/>
                <w:lang w:eastAsia="zh-CN"/>
              </w:rPr>
              <w:t>砖混</w:t>
            </w:r>
            <w:r>
              <w:rPr>
                <w:rFonts w:hint="default" w:ascii="Times New Roman" w:hAnsi="Times New Roman" w:cs="Times New Roman"/>
                <w:color w:val="auto"/>
                <w:kern w:val="0"/>
              </w:rPr>
              <w:t>结构，</w:t>
            </w:r>
            <w:r>
              <w:rPr>
                <w:rFonts w:hint="eastAsia" w:ascii="Times New Roman" w:hAnsi="Times New Roman" w:cs="Times New Roman"/>
                <w:color w:val="auto"/>
                <w:kern w:val="0"/>
                <w:lang w:eastAsia="zh-CN"/>
              </w:rPr>
              <w:t>每栋</w:t>
            </w:r>
            <w:r>
              <w:rPr>
                <w:rFonts w:hint="default" w:ascii="Times New Roman" w:hAnsi="Times New Roman" w:cs="Times New Roman"/>
                <w:color w:val="auto"/>
                <w:kern w:val="0"/>
              </w:rPr>
              <w:t>建筑面积</w:t>
            </w:r>
            <w:r>
              <w:rPr>
                <w:rFonts w:hint="eastAsia" w:ascii="Times New Roman" w:hAnsi="Times New Roman" w:cs="Times New Roman"/>
                <w:color w:val="auto"/>
                <w:kern w:val="0"/>
                <w:lang w:eastAsia="zh-CN"/>
              </w:rPr>
              <w:t>分别为</w:t>
            </w:r>
            <w:r>
              <w:rPr>
                <w:rFonts w:hint="eastAsia" w:ascii="Times New Roman" w:hAnsi="Times New Roman" w:cs="Times New Roman"/>
                <w:color w:val="auto"/>
                <w:lang w:val="en-US" w:eastAsia="zh-CN"/>
              </w:rPr>
              <w:t>5240</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lang w:eastAsia="zh-CN"/>
              </w:rPr>
              <w:t>、</w:t>
            </w:r>
            <w:r>
              <w:rPr>
                <w:rFonts w:hint="eastAsia" w:ascii="Times New Roman" w:hAnsi="Times New Roman" w:cs="Times New Roman"/>
                <w:color w:val="auto"/>
                <w:lang w:val="en-US" w:eastAsia="zh-CN"/>
              </w:rPr>
              <w:t>750</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lang w:eastAsia="zh-CN"/>
              </w:rPr>
              <w:t>、</w:t>
            </w:r>
            <w:r>
              <w:rPr>
                <w:rFonts w:hint="eastAsia" w:ascii="Times New Roman" w:hAnsi="Times New Roman" w:cs="Times New Roman"/>
                <w:color w:val="auto"/>
                <w:lang w:val="en-US" w:eastAsia="zh-CN"/>
              </w:rPr>
              <w:t>3465</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lang w:eastAsia="zh-CN"/>
              </w:rPr>
              <w:t>、</w:t>
            </w:r>
            <w:r>
              <w:rPr>
                <w:rFonts w:hint="eastAsia" w:ascii="Times New Roman" w:hAnsi="Times New Roman" w:cs="Times New Roman"/>
                <w:color w:val="auto"/>
                <w:lang w:val="en-US" w:eastAsia="zh-CN"/>
              </w:rPr>
              <w:t>2088</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vertAlign w:val="baseline"/>
                <w:lang w:val="en-US" w:eastAsia="zh-CN"/>
              </w:rPr>
              <w:t>。</w:t>
            </w:r>
            <w:r>
              <w:rPr>
                <w:rFonts w:hint="eastAsia" w:ascii="Times New Roman" w:hAnsi="Times New Roman" w:cs="Times New Roman"/>
                <w:color w:val="auto"/>
                <w:kern w:val="0"/>
                <w:lang w:eastAsia="zh-CN"/>
              </w:rPr>
              <w:t>总建筑面积</w:t>
            </w:r>
            <w:r>
              <w:rPr>
                <w:rFonts w:hint="eastAsia" w:ascii="Times New Roman" w:hAnsi="Times New Roman" w:cs="Times New Roman"/>
                <w:color w:val="auto"/>
                <w:lang w:val="en-US" w:eastAsia="zh-CN"/>
              </w:rPr>
              <w:t>11543</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eastAsia" w:ascii="Times New Roman" w:hAnsi="Times New Roman" w:cs="Times New Roman"/>
                <w:color w:val="auto"/>
                <w:kern w:val="0"/>
                <w:vertAlign w:val="baseline"/>
                <w:lang w:eastAsia="zh-CN"/>
              </w:rPr>
              <w:t>，</w:t>
            </w:r>
            <w:r>
              <w:rPr>
                <w:rFonts w:hint="default" w:ascii="Times New Roman" w:hAnsi="Times New Roman" w:cs="Times New Roman"/>
                <w:color w:val="auto"/>
                <w:kern w:val="0"/>
              </w:rPr>
              <w:t>圈舍地面全部采用防渗混凝土硬化。圈舍采用风机配套水帘降温。</w:t>
            </w:r>
            <w:r>
              <w:rPr>
                <w:rFonts w:hint="eastAsia" w:ascii="Times New Roman" w:hAnsi="Times New Roman" w:cs="Times New Roman"/>
                <w:color w:val="auto"/>
                <w:kern w:val="0"/>
                <w:lang w:eastAsia="zh-CN"/>
              </w:rPr>
              <w:t>作为外购母猪苗的中转隔离区。</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109" w:leftChars="-52" w:right="-97" w:rightChars="-46"/>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76" w:leftChars="-36" w:right="-92" w:rightChars="-44"/>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辅助工程</w:t>
            </w: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cs="Times New Roman"/>
                <w:color w:val="auto"/>
              </w:rPr>
              <w:t>出猪区</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eastAsiaTheme="minorEastAsia"/>
                <w:color w:val="auto"/>
                <w:kern w:val="2"/>
                <w:sz w:val="21"/>
                <w:szCs w:val="21"/>
                <w:lang w:val="en-US" w:eastAsia="zh-CN" w:bidi="ar-SA"/>
              </w:rPr>
            </w:pPr>
            <w:r>
              <w:rPr>
                <w:rFonts w:hint="default" w:ascii="宋体" w:hAnsi="宋体" w:eastAsia="宋体" w:cs="宋体"/>
                <w:color w:val="auto"/>
                <w:sz w:val="21"/>
                <w:szCs w:val="21"/>
              </w:rPr>
              <w:t>2栋，</w:t>
            </w:r>
            <w:r>
              <w:rPr>
                <w:rFonts w:hint="default" w:ascii="Times New Roman" w:hAnsi="Times New Roman" w:cs="Times New Roman"/>
                <w:color w:val="auto"/>
                <w:kern w:val="0"/>
                <w:sz w:val="21"/>
                <w:szCs w:val="21"/>
              </w:rPr>
              <w:t>1F，</w:t>
            </w:r>
            <w:r>
              <w:rPr>
                <w:rFonts w:hint="eastAsia" w:ascii="Times New Roman" w:hAnsi="Times New Roman" w:cs="Times New Roman"/>
                <w:color w:val="auto"/>
                <w:kern w:val="0"/>
                <w:sz w:val="21"/>
                <w:szCs w:val="21"/>
                <w:lang w:eastAsia="zh-CN"/>
              </w:rPr>
              <w:t>砖混</w:t>
            </w:r>
            <w:r>
              <w:rPr>
                <w:rFonts w:hint="default" w:ascii="Times New Roman" w:hAnsi="Times New Roman" w:cs="Times New Roman"/>
                <w:color w:val="auto"/>
                <w:kern w:val="0"/>
                <w:sz w:val="21"/>
                <w:szCs w:val="21"/>
              </w:rPr>
              <w:t>结构</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eastAsia="zh-CN"/>
              </w:rPr>
              <w:t>每栋</w:t>
            </w:r>
            <w:r>
              <w:rPr>
                <w:rFonts w:hint="default" w:ascii="Times New Roman" w:hAnsi="Times New Roman" w:eastAsia="宋体" w:cs="Times New Roman"/>
                <w:color w:val="auto"/>
                <w:sz w:val="21"/>
                <w:szCs w:val="21"/>
              </w:rPr>
              <w:t>面积</w:t>
            </w:r>
            <w:r>
              <w:rPr>
                <w:rFonts w:hint="default" w:ascii="Times New Roman" w:hAnsi="Times New Roman" w:eastAsia="宋体" w:cs="Times New Roman"/>
                <w:color w:val="auto"/>
                <w:sz w:val="21"/>
                <w:szCs w:val="21"/>
                <w:lang w:val="en-US" w:eastAsia="zh-CN"/>
              </w:rPr>
              <w:t>261.75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default" w:ascii="宋体" w:hAnsi="宋体" w:eastAsia="宋体" w:cs="宋体"/>
                <w:color w:val="auto"/>
                <w:sz w:val="21"/>
                <w:szCs w:val="21"/>
              </w:rPr>
              <w:t>，</w:t>
            </w:r>
            <w:r>
              <w:rPr>
                <w:rFonts w:hint="eastAsia" w:ascii="Times New Roman" w:hAnsi="Times New Roman" w:cs="Times New Roman"/>
                <w:color w:val="auto"/>
                <w:kern w:val="0"/>
                <w:lang w:eastAsia="zh-CN"/>
              </w:rPr>
              <w:t>总建筑面积</w:t>
            </w:r>
            <w:r>
              <w:rPr>
                <w:rFonts w:hint="eastAsia" w:ascii="Times New Roman" w:hAnsi="Times New Roman" w:cs="Times New Roman"/>
                <w:color w:val="auto"/>
                <w:lang w:val="en-US" w:eastAsia="zh-CN"/>
              </w:rPr>
              <w:t>523.5</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r>
              <w:rPr>
                <w:rFonts w:hint="default" w:ascii="宋体" w:hAnsi="宋体" w:eastAsia="宋体" w:cs="宋体"/>
                <w:color w:val="auto"/>
                <w:sz w:val="21"/>
                <w:szCs w:val="21"/>
              </w:rPr>
              <w:t>，分别作为猪苗出猪和淘汰种猪出猪用</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r>
              <w:rPr>
                <w:rFonts w:hint="default" w:ascii="Times New Roman" w:hAnsi="Times New Roman" w:cs="Times New Roman"/>
                <w:color w:val="auto"/>
              </w:rPr>
              <w:t>废水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cs="Times New Roman"/>
                <w:color w:val="auto"/>
                <w:lang w:val="en-US" w:eastAsia="zh-CN"/>
              </w:rPr>
            </w:pPr>
            <w:r>
              <w:rPr>
                <w:rFonts w:hint="eastAsia" w:ascii="Times New Roman" w:cs="Times New Roman"/>
                <w:color w:val="auto"/>
                <w:lang w:val="en-US" w:eastAsia="zh-CN"/>
              </w:rPr>
              <w:t>有机肥发酵区</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cs="Times New Roman" w:eastAsiaTheme="minorEastAsia"/>
                <w:color w:val="auto"/>
                <w:lang w:val="en-US" w:eastAsia="zh-CN"/>
              </w:rPr>
            </w:pPr>
            <w:r>
              <w:rPr>
                <w:rFonts w:hint="default" w:ascii="Times New Roman" w:cs="Times New Roman"/>
                <w:color w:val="auto"/>
              </w:rPr>
              <w:t>包括两个</w:t>
            </w:r>
            <w:r>
              <w:rPr>
                <w:rFonts w:hint="eastAsia" w:ascii="Times New Roman" w:cs="Times New Roman"/>
                <w:color w:val="auto"/>
                <w:lang w:val="en-US" w:eastAsia="zh-CN"/>
              </w:rPr>
              <w:t>160t的</w:t>
            </w:r>
            <w:r>
              <w:rPr>
                <w:rFonts w:hint="default" w:ascii="Times New Roman" w:cs="Times New Roman"/>
                <w:color w:val="auto"/>
              </w:rPr>
              <w:t>有机肥发酵罐和</w:t>
            </w:r>
            <w:r>
              <w:rPr>
                <w:rFonts w:hint="eastAsia" w:ascii="Times New Roman" w:cs="Times New Roman"/>
                <w:color w:val="auto"/>
                <w:lang w:val="en-US" w:eastAsia="zh-CN"/>
              </w:rPr>
              <w:t>1</w:t>
            </w:r>
            <w:r>
              <w:rPr>
                <w:rFonts w:hint="default" w:ascii="Times New Roman" w:cs="Times New Roman"/>
                <w:color w:val="auto"/>
              </w:rPr>
              <w:t>个有机肥仓 库，</w:t>
            </w:r>
            <w:r>
              <w:rPr>
                <w:rFonts w:hint="eastAsia" w:ascii="Times New Roman" w:cs="Times New Roman"/>
                <w:color w:val="auto"/>
                <w:lang w:eastAsia="zh-CN"/>
              </w:rPr>
              <w:t>建筑</w:t>
            </w:r>
            <w:r>
              <w:rPr>
                <w:rFonts w:hint="default" w:ascii="Times New Roman" w:cs="Times New Roman"/>
                <w:color w:val="auto"/>
              </w:rPr>
              <w:t>面积</w:t>
            </w:r>
            <w:r>
              <w:rPr>
                <w:rFonts w:hint="eastAsia" w:ascii="Times New Roman" w:cs="Times New Roman"/>
                <w:color w:val="auto"/>
                <w:lang w:val="en-US" w:eastAsia="zh-CN"/>
              </w:rPr>
              <w:t>190.8</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2</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cs="Times New Roman"/>
                <w:color w:val="auto"/>
              </w:rPr>
              <w:t>公猪舍实验室</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cs="Times New Roman"/>
                <w:color w:val="auto"/>
              </w:rPr>
              <w:t>栋，</w:t>
            </w:r>
            <w:r>
              <w:rPr>
                <w:rFonts w:hint="default" w:ascii="Times New Roman" w:hAnsi="Times New Roman" w:cs="Times New Roman"/>
                <w:color w:val="auto"/>
              </w:rPr>
              <w:t>1F</w:t>
            </w:r>
            <w:r>
              <w:rPr>
                <w:rFonts w:hint="default" w:ascii="Times New Roman" w:cs="Times New Roman"/>
                <w:color w:val="auto"/>
              </w:rPr>
              <w:t>，建筑面积</w:t>
            </w:r>
            <w:r>
              <w:rPr>
                <w:rFonts w:hint="eastAsia" w:ascii="Times New Roman" w:hAnsi="Times New Roman" w:cs="Times New Roman"/>
                <w:color w:val="auto"/>
                <w:lang w:val="en-US" w:eastAsia="zh-CN"/>
              </w:rPr>
              <w:t>298</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ascii="Times New Roman" w:hAnsi="Times New Roman" w:cs="Times New Roman"/>
                <w:color w:val="auto"/>
                <w:vertAlign w:val="superscript"/>
                <w:lang w:val="en-US" w:eastAsia="zh-CN"/>
              </w:rPr>
              <w:t>,</w:t>
            </w:r>
            <w:r>
              <w:rPr>
                <w:rFonts w:hint="eastAsia" w:ascii="Times New Roman" w:cs="Times New Roman"/>
                <w:color w:val="auto"/>
                <w:lang w:eastAsia="zh-CN"/>
              </w:rPr>
              <w:t>，</w:t>
            </w:r>
            <w:r>
              <w:rPr>
                <w:rFonts w:hint="default" w:ascii="Times New Roman" w:hAnsi="Times New Roman" w:cs="Times New Roman"/>
                <w:color w:val="auto"/>
                <w:kern w:val="0"/>
              </w:rPr>
              <w:t>内含实验室，用于公猪采精</w:t>
            </w:r>
            <w:r>
              <w:rPr>
                <w:rFonts w:hint="eastAsia" w:ascii="Times New Roman" w:hAnsi="Times New Roman" w:cs="Times New Roman"/>
                <w:color w:val="auto"/>
                <w:kern w:val="0"/>
                <w:lang w:eastAsia="zh-CN"/>
              </w:rPr>
              <w:t>、精液检测、配制</w:t>
            </w:r>
            <w:r>
              <w:rPr>
                <w:rFonts w:hint="default" w:ascii="Times New Roman" w:hAnsi="Times New Roman" w:cs="Times New Roman"/>
                <w:color w:val="auto"/>
                <w:kern w:val="0"/>
              </w:rPr>
              <w:t>。</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r>
              <w:rPr>
                <w:rFonts w:hint="default" w:ascii="Times New Roman" w:hAnsi="Times New Roman" w:cs="Times New Roman"/>
                <w:color w:val="auto"/>
              </w:rPr>
              <w:t>废水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default" w:ascii="Times New Roman" w:cs="Times New Roman"/>
                <w:color w:val="auto"/>
              </w:rPr>
              <w:t>洗猪</w:t>
            </w:r>
            <w:r>
              <w:rPr>
                <w:rFonts w:hint="eastAsia" w:ascii="Times New Roman" w:cs="Times New Roman"/>
                <w:color w:val="auto"/>
                <w:lang w:eastAsia="zh-CN"/>
              </w:rPr>
              <w:t>房</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eastAsia" w:ascii="Times New Roman" w:hAnsi="Times New Roman" w:cs="Times New Roman"/>
                <w:color w:val="auto"/>
                <w:lang w:val="en-US" w:eastAsia="zh-CN"/>
              </w:rPr>
              <w:t>5</w:t>
            </w:r>
            <w:r>
              <w:rPr>
                <w:rFonts w:hint="default" w:ascii="Times New Roman" w:cs="Times New Roman"/>
                <w:color w:val="auto"/>
              </w:rPr>
              <w:t>栋</w:t>
            </w:r>
            <w:r>
              <w:rPr>
                <w:rFonts w:hint="eastAsia" w:ascii="Times New Roman" w:cs="Times New Roman"/>
                <w:color w:val="auto"/>
                <w:lang w:eastAsia="zh-CN"/>
              </w:rPr>
              <w:t>，</w:t>
            </w:r>
            <w:r>
              <w:rPr>
                <w:rFonts w:hint="default" w:ascii="Times New Roman" w:hAnsi="Times New Roman" w:cs="Times New Roman"/>
                <w:color w:val="auto"/>
              </w:rPr>
              <w:t>1F</w:t>
            </w:r>
            <w:r>
              <w:rPr>
                <w:rFonts w:hint="default" w:ascii="Times New Roman" w:cs="Times New Roman"/>
                <w:color w:val="auto"/>
              </w:rPr>
              <w:t>，母猪妊娠期满后从</w:t>
            </w:r>
            <w:r>
              <w:rPr>
                <w:rFonts w:hint="eastAsia" w:ascii="Times New Roman" w:cs="Times New Roman"/>
                <w:color w:val="auto"/>
                <w:lang w:eastAsia="zh-CN"/>
              </w:rPr>
              <w:t>配怀</w:t>
            </w:r>
            <w:r>
              <w:rPr>
                <w:rFonts w:hint="default" w:ascii="Times New Roman" w:cs="Times New Roman"/>
                <w:color w:val="auto"/>
              </w:rPr>
              <w:t>舍进分娩舍的途中进行清洗的场所，</w:t>
            </w:r>
            <w:r>
              <w:rPr>
                <w:rFonts w:hint="eastAsia" w:ascii="Times New Roman" w:cs="Times New Roman"/>
                <w:color w:val="auto"/>
                <w:lang w:eastAsia="zh-CN"/>
              </w:rPr>
              <w:t>每栋</w:t>
            </w:r>
            <w:r>
              <w:rPr>
                <w:rFonts w:hint="default" w:ascii="Times New Roman" w:cs="Times New Roman"/>
                <w:color w:val="auto"/>
              </w:rPr>
              <w:t>建筑面积</w:t>
            </w:r>
            <w:r>
              <w:rPr>
                <w:rFonts w:hint="default" w:ascii="Times New Roman" w:hAnsi="Times New Roman" w:cs="Times New Roman"/>
                <w:color w:val="auto"/>
              </w:rPr>
              <w:t>4</w:t>
            </w:r>
            <w:r>
              <w:rPr>
                <w:rFonts w:hint="eastAsia" w:ascii="Times New Roman" w:hAnsi="Times New Roman" w:cs="Times New Roman"/>
                <w:color w:val="auto"/>
                <w:lang w:val="en-US" w:eastAsia="zh-CN"/>
              </w:rPr>
              <w:t>0.45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cs="Times New Roman"/>
                <w:color w:val="auto"/>
              </w:rPr>
              <w:t>。</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r>
              <w:rPr>
                <w:rFonts w:hint="default" w:ascii="Times New Roman" w:hAnsi="Times New Roman" w:cs="Times New Roman"/>
                <w:color w:val="auto"/>
              </w:rPr>
              <w:t>噪声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cs="Times New Roman"/>
                <w:color w:val="auto"/>
                <w:lang w:val="en-US" w:eastAsia="zh-CN"/>
              </w:rPr>
            </w:pPr>
            <w:r>
              <w:rPr>
                <w:rFonts w:hint="eastAsia" w:ascii="Times New Roman" w:cs="Times New Roman"/>
                <w:color w:val="auto"/>
                <w:lang w:val="en-US" w:eastAsia="zh-CN"/>
              </w:rPr>
              <w:t>物资消毒房</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cs="Times New Roman"/>
                <w:color w:val="auto"/>
                <w:lang w:val="en-US" w:eastAsia="zh-CN"/>
              </w:rPr>
            </w:pPr>
            <w:r>
              <w:rPr>
                <w:rFonts w:hint="eastAsia" w:ascii="Times New Roman" w:cs="Times New Roman"/>
                <w:color w:val="auto"/>
                <w:lang w:val="en-US" w:eastAsia="zh-CN"/>
              </w:rPr>
              <w:t>位于东侧厂区大门处，设物资消毒房（3个）：65m</w:t>
            </w:r>
            <w:r>
              <w:rPr>
                <w:rFonts w:hint="eastAsia" w:ascii="Times New Roman" w:cs="Times New Roman"/>
                <w:color w:val="auto"/>
                <w:vertAlign w:val="superscript"/>
                <w:lang w:val="en-US" w:eastAsia="zh-CN"/>
              </w:rPr>
              <w:t>2</w:t>
            </w:r>
            <w:r>
              <w:rPr>
                <w:rFonts w:hint="eastAsia" w:ascii="Times New Roman" w:cs="Times New Roman"/>
                <w:color w:val="auto"/>
                <w:lang w:val="en-US" w:eastAsia="zh-CN"/>
              </w:rPr>
              <w:t>；用于人员进出消毒（超声波雾化消毒）</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eastAsiaTheme="minorEastAsia"/>
                <w:color w:val="auto"/>
                <w:lang w:val="en-US" w:eastAsia="zh-CN"/>
              </w:rPr>
            </w:pPr>
            <w:r>
              <w:rPr>
                <w:rFonts w:hint="default" w:ascii="Times New Roman" w:cs="Times New Roman"/>
                <w:color w:val="auto"/>
              </w:rPr>
              <w:t>汽车消毒通道</w:t>
            </w:r>
            <w:r>
              <w:rPr>
                <w:rFonts w:hint="eastAsia" w:ascii="Times New Roman" w:cs="Times New Roman"/>
                <w:color w:val="auto"/>
                <w:lang w:eastAsia="zh-CN"/>
              </w:rPr>
              <w:t>、烘干房</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eastAsiaTheme="minorEastAsia"/>
                <w:color w:val="auto"/>
                <w:lang w:val="en-US" w:eastAsia="zh-CN"/>
              </w:rPr>
            </w:pPr>
            <w:r>
              <w:rPr>
                <w:rFonts w:hint="default" w:ascii="Times New Roman" w:cs="Times New Roman"/>
                <w:color w:val="auto"/>
              </w:rPr>
              <w:t>1个，位于厂区大门处，用于进出车辆消毒，消毒方式为用戊二醛或消毒威按比例进行配置，通过高压喷雾方式进行消毒</w:t>
            </w:r>
            <w:r>
              <w:rPr>
                <w:rFonts w:hint="eastAsia" w:ascii="Times New Roman" w:cs="Times New Roman"/>
                <w:color w:val="auto"/>
                <w:lang w:eastAsia="zh-CN"/>
              </w:rPr>
              <w:t>，消毒后进入烘干房烘干。</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eastAsiaTheme="minorEastAsia"/>
                <w:color w:val="auto"/>
                <w:lang w:eastAsia="zh-CN"/>
              </w:rPr>
            </w:pPr>
            <w:r>
              <w:rPr>
                <w:rFonts w:hint="eastAsia" w:ascii="Times New Roman" w:cs="Times New Roman"/>
                <w:color w:val="auto"/>
                <w:lang w:eastAsia="zh-CN"/>
              </w:rPr>
              <w:t>无害化处理车间</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eastAsiaTheme="minorEastAsia"/>
                <w:color w:val="auto"/>
                <w:vertAlign w:val="baseline"/>
                <w:lang w:eastAsia="zh-CN"/>
              </w:rPr>
            </w:pPr>
            <w:r>
              <w:rPr>
                <w:rFonts w:hint="eastAsia" w:ascii="Times New Roman" w:cs="Times New Roman"/>
                <w:color w:val="auto"/>
                <w:lang w:eastAsia="zh-CN"/>
              </w:rPr>
              <w:t>设置无害化处理车间</w:t>
            </w:r>
            <w:r>
              <w:rPr>
                <w:rFonts w:hint="default" w:ascii="Times New Roman" w:hAnsi="Times New Roman" w:cs="Times New Roman"/>
                <w:color w:val="auto"/>
              </w:rPr>
              <w:t>：1个，建筑面积</w:t>
            </w:r>
            <w:r>
              <w:rPr>
                <w:rFonts w:hint="eastAsia" w:ascii="Times New Roman" w:hAnsi="Times New Roman" w:cs="Times New Roman"/>
                <w:color w:val="auto"/>
                <w:lang w:val="en-US" w:eastAsia="zh-CN"/>
              </w:rPr>
              <w:t>262</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ascii="Times New Roman" w:hAnsi="Times New Roman" w:cs="Times New Roman"/>
                <w:color w:val="auto"/>
                <w:vertAlign w:val="baseline"/>
                <w:lang w:eastAsia="zh-CN"/>
              </w:rPr>
              <w:t>，主要采用无害化降解处理机处理病死猪及胎盘等分娩物。</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公用工程</w:t>
            </w: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供电</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kern w:val="0"/>
              </w:rPr>
              <w:t>由市政电网供给。各个生产区均配有配电室</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r>
              <w:rPr>
                <w:rFonts w:hint="default" w:ascii="Times New Roman" w:hAnsi="Times New Roman" w:cs="Times New Roman"/>
                <w:color w:val="auto"/>
              </w:rPr>
              <w:t>噪声、废气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供水</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山泉水</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水泵房</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rPr>
              <w:t>1间，211.7 m</w:t>
            </w:r>
            <w:r>
              <w:rPr>
                <w:rFonts w:hint="default" w:ascii="Times New Roman" w:hAnsi="Times New Roman" w:cs="Times New Roman"/>
                <w:color w:val="auto"/>
                <w:vertAlign w:val="superscript"/>
              </w:rPr>
              <w:t>2</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r>
              <w:rPr>
                <w:rFonts w:hint="default" w:ascii="Times New Roman" w:hAnsi="Times New Roman" w:cs="Times New Roman"/>
                <w:color w:val="auto"/>
              </w:rPr>
              <w:t>噪声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7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kern w:val="0"/>
              </w:rPr>
              <w:t>排水</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rPr>
            </w:pPr>
            <w:r>
              <w:rPr>
                <w:rFonts w:hint="default" w:ascii="Times New Roman" w:hAnsi="Times New Roman" w:cs="Times New Roman"/>
                <w:color w:val="auto"/>
                <w:kern w:val="0"/>
              </w:rPr>
              <w:t>厂内雨污分流，污水不外排</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62"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kern w:val="0"/>
                <w:lang w:eastAsia="zh-CN"/>
              </w:rPr>
            </w:pPr>
            <w:r>
              <w:rPr>
                <w:rFonts w:hint="eastAsia" w:ascii="Times New Roman" w:hAnsi="Times New Roman" w:cs="Times New Roman"/>
                <w:color w:val="auto"/>
                <w:kern w:val="0"/>
                <w:lang w:eastAsia="zh-CN"/>
              </w:rPr>
              <w:t>绿化</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color w:val="auto"/>
                <w:kern w:val="0"/>
                <w:lang w:val="en-US" w:eastAsia="zh-CN"/>
              </w:rPr>
            </w:pPr>
            <w:r>
              <w:rPr>
                <w:rFonts w:hint="eastAsia" w:ascii="Times New Roman" w:hAnsi="Times New Roman" w:cs="Times New Roman"/>
                <w:color w:val="auto"/>
                <w:kern w:val="0"/>
                <w:lang w:eastAsia="zh-CN"/>
              </w:rPr>
              <w:t>厂区绿化面积约</w:t>
            </w:r>
            <w:r>
              <w:rPr>
                <w:rFonts w:hint="eastAsia" w:ascii="Times New Roman" w:hAnsi="Times New Roman" w:cs="Times New Roman"/>
                <w:color w:val="auto"/>
                <w:kern w:val="0"/>
                <w:lang w:val="en-US" w:eastAsia="zh-CN"/>
              </w:rPr>
              <w:t>544亩。</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储运工程</w:t>
            </w: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210" w:leftChars="0" w:right="0" w:rightChars="0" w:hanging="210" w:hangingChars="10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cs="Times New Roman"/>
                <w:color w:val="auto"/>
                <w:kern w:val="0"/>
              </w:rPr>
              <w:t>饲料塔</w:t>
            </w:r>
          </w:p>
        </w:tc>
        <w:tc>
          <w:tcPr>
            <w:tcW w:w="2694" w:type="pct"/>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leftChars="0" w:right="0" w:rightChars="0"/>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lang w:val="en-US" w:eastAsia="zh-CN"/>
              </w:rPr>
              <w:t>7</w:t>
            </w:r>
            <w:r>
              <w:rPr>
                <w:rFonts w:hint="default" w:ascii="Times New Roman" w:cs="Times New Roman"/>
                <w:color w:val="auto"/>
                <w:kern w:val="0"/>
              </w:rPr>
              <w:t>座，镀锌板料塔，饲料直接由罐车运入，输送进入料塔暂存。单个料塔容量</w:t>
            </w:r>
            <w:r>
              <w:rPr>
                <w:rFonts w:hint="eastAsia" w:ascii="Times New Roman" w:hAnsi="Times New Roman" w:cs="Times New Roman"/>
                <w:color w:val="auto"/>
                <w:kern w:val="0"/>
              </w:rPr>
              <w:t>3</w:t>
            </w:r>
            <w:r>
              <w:rPr>
                <w:rFonts w:hint="default" w:ascii="Times New Roman" w:cs="Times New Roman"/>
                <w:color w:val="auto"/>
                <w:kern w:val="0"/>
              </w:rPr>
              <w:t>吨至</w:t>
            </w:r>
            <w:r>
              <w:rPr>
                <w:rFonts w:hint="default" w:ascii="Times New Roman" w:hAnsi="Times New Roman" w:cs="Times New Roman"/>
                <w:color w:val="auto"/>
                <w:kern w:val="0"/>
              </w:rPr>
              <w:t>15</w:t>
            </w:r>
            <w:r>
              <w:rPr>
                <w:rFonts w:hint="default" w:ascii="Times New Roman" w:cs="Times New Roman"/>
                <w:color w:val="auto"/>
                <w:kern w:val="0"/>
              </w:rPr>
              <w:t>吨，为圆柱形镀锌板罐体。</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lang w:eastAsia="zh-CN"/>
              </w:rPr>
              <w:t>饲料仓库</w:t>
            </w:r>
          </w:p>
        </w:tc>
        <w:tc>
          <w:tcPr>
            <w:tcW w:w="2694" w:type="pct"/>
            <w:vMerge w:val="restar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cs="Times New Roman"/>
                <w:color w:val="auto"/>
              </w:rPr>
            </w:pPr>
            <w:r>
              <w:rPr>
                <w:rFonts w:hint="default" w:ascii="Times New Roman" w:hAnsi="Times New Roman" w:cs="Times New Roman"/>
                <w:color w:val="auto"/>
              </w:rPr>
              <w:t>1F</w:t>
            </w:r>
            <w:r>
              <w:rPr>
                <w:rFonts w:hint="default" w:ascii="Times New Roman" w:cs="Times New Roman"/>
                <w:color w:val="auto"/>
              </w:rPr>
              <w:t>，建筑面积约</w:t>
            </w:r>
            <w:r>
              <w:rPr>
                <w:rFonts w:hint="eastAsia" w:ascii="Times New Roman" w:hAnsi="Times New Roman" w:cs="Times New Roman"/>
                <w:color w:val="auto"/>
                <w:lang w:val="en-US" w:eastAsia="zh-CN"/>
              </w:rPr>
              <w:t>214.2</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cs="Times New Roman"/>
                <w:color w:val="auto"/>
              </w:rPr>
              <w:t>，</w:t>
            </w:r>
            <w:r>
              <w:rPr>
                <w:rFonts w:hint="eastAsia" w:ascii="Times New Roman" w:hAnsi="Times New Roman" w:cs="Times New Roman"/>
                <w:color w:val="auto"/>
                <w:lang w:eastAsia="zh-CN"/>
              </w:rPr>
              <w:t>包括药房及饲料仓库</w:t>
            </w:r>
            <w:r>
              <w:rPr>
                <w:rFonts w:hint="default" w:ascii="Times New Roman" w:hAnsi="Times New Roman" w:cs="Times New Roman"/>
                <w:color w:val="auto"/>
              </w:rPr>
              <w:t>。</w:t>
            </w:r>
          </w:p>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cs="Times New Roman" w:eastAsiaTheme="minorEastAsia"/>
                <w:color w:val="auto"/>
                <w:kern w:val="2"/>
                <w:sz w:val="21"/>
                <w:szCs w:val="21"/>
                <w:lang w:val="en-US" w:eastAsia="zh-CN" w:bidi="ar-SA"/>
              </w:rPr>
            </w:pPr>
            <w:r>
              <w:rPr>
                <w:rFonts w:hint="default" w:ascii="Times New Roman" w:cs="Times New Roman"/>
                <w:color w:val="auto"/>
              </w:rPr>
              <w:t>位于</w:t>
            </w:r>
            <w:r>
              <w:rPr>
                <w:rFonts w:hint="eastAsia" w:ascii="Times New Roman" w:cs="Times New Roman"/>
                <w:color w:val="auto"/>
                <w:lang w:eastAsia="zh-CN"/>
              </w:rPr>
              <w:t>办公楼右侧</w:t>
            </w:r>
            <w:r>
              <w:rPr>
                <w:rFonts w:hint="default" w:ascii="Times New Roman" w:cs="Times New Roman"/>
                <w:color w:val="auto"/>
              </w:rPr>
              <w:t>。</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restar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r>
              <w:rPr>
                <w:rFonts w:hint="default" w:ascii="Times New Roman" w:hAnsi="Times New Roman" w:cs="Times New Roman"/>
                <w:color w:val="auto"/>
              </w:rPr>
              <w:t>畜禽医疗垃圾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cs="Times New Roman"/>
                <w:color w:val="auto"/>
              </w:rPr>
              <w:t>药房仓库</w:t>
            </w:r>
          </w:p>
        </w:tc>
        <w:tc>
          <w:tcPr>
            <w:tcW w:w="2694" w:type="pct"/>
            <w:vMerge w:val="continue"/>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cs="Times New Roman" w:eastAsiaTheme="minorEastAsia"/>
                <w:color w:val="auto"/>
                <w:kern w:val="2"/>
                <w:sz w:val="21"/>
                <w:szCs w:val="21"/>
                <w:lang w:val="en-US" w:eastAsia="zh-CN" w:bidi="ar-SA"/>
              </w:rPr>
            </w:pP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2" w:hRule="atLeast"/>
          <w:tblHeader/>
          <w:jc w:val="center"/>
        </w:trPr>
        <w:tc>
          <w:tcPr>
            <w:tcW w:w="33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办公及生活</w:t>
            </w: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cs="Times New Roman"/>
                <w:color w:val="auto"/>
              </w:rPr>
            </w:pPr>
            <w:r>
              <w:rPr>
                <w:rFonts w:hint="default" w:ascii="Times New Roman" w:cs="Times New Roman"/>
                <w:color w:val="auto"/>
              </w:rPr>
              <w:t>办公</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cs="Times New Roman"/>
                <w:color w:val="auto"/>
              </w:rPr>
              <w:t>综合房</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vertAlign w:val="baseline"/>
                <w:lang w:eastAsia="zh-CN"/>
              </w:rPr>
            </w:pPr>
            <w:r>
              <w:rPr>
                <w:rFonts w:hint="default" w:ascii="Times New Roman" w:hAnsi="Times New Roman" w:cs="Times New Roman"/>
                <w:color w:val="auto"/>
              </w:rPr>
              <w:t>1F</w:t>
            </w:r>
            <w:r>
              <w:rPr>
                <w:rFonts w:hint="default" w:ascii="Times New Roman" w:cs="Times New Roman"/>
                <w:color w:val="auto"/>
              </w:rPr>
              <w:t>，</w:t>
            </w:r>
            <w:r>
              <w:rPr>
                <w:rFonts w:hint="default"/>
                <w:color w:val="auto"/>
                <w:sz w:val="21"/>
                <w:szCs w:val="21"/>
              </w:rPr>
              <w:t>砖混结构</w:t>
            </w:r>
            <w:r>
              <w:rPr>
                <w:rFonts w:hint="eastAsia"/>
                <w:color w:val="auto"/>
                <w:sz w:val="21"/>
                <w:szCs w:val="21"/>
                <w:lang w:eastAsia="zh-CN"/>
              </w:rPr>
              <w:t>，</w:t>
            </w:r>
            <w:r>
              <w:rPr>
                <w:rFonts w:hint="default" w:ascii="Times New Roman" w:cs="Times New Roman"/>
                <w:color w:val="auto"/>
              </w:rPr>
              <w:t>建筑面积</w:t>
            </w:r>
            <w:r>
              <w:rPr>
                <w:rFonts w:hint="eastAsia" w:ascii="Times New Roman" w:hAnsi="Times New Roman" w:cs="Times New Roman"/>
                <w:color w:val="auto"/>
                <w:lang w:val="en-US" w:eastAsia="zh-CN"/>
              </w:rPr>
              <w:t>547</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ascii="Times New Roman" w:hAnsi="Times New Roman" w:cs="Times New Roman"/>
                <w:color w:val="auto"/>
                <w:vertAlign w:val="baseline"/>
                <w:lang w:eastAsia="zh-CN"/>
              </w:rPr>
              <w:t>，包括办公区和食堂</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生活污水、生活垃圾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2"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cs="Times New Roman"/>
                <w:color w:val="auto"/>
                <w:lang w:eastAsia="zh-CN"/>
              </w:rPr>
              <w:t>员工宿舍</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lang w:val="en-US" w:eastAsia="zh-CN"/>
              </w:rPr>
              <w:t>3栋，2</w:t>
            </w:r>
            <w:r>
              <w:rPr>
                <w:rFonts w:hint="default" w:ascii="Times New Roman" w:hAnsi="Times New Roman" w:cs="Times New Roman"/>
                <w:color w:val="auto"/>
              </w:rPr>
              <w:t>F</w:t>
            </w:r>
            <w:r>
              <w:rPr>
                <w:rFonts w:hint="default" w:ascii="Times New Roman" w:cs="Times New Roman"/>
                <w:color w:val="auto"/>
              </w:rPr>
              <w:t>，</w:t>
            </w:r>
            <w:r>
              <w:rPr>
                <w:rFonts w:hint="default"/>
                <w:color w:val="auto"/>
                <w:sz w:val="21"/>
                <w:szCs w:val="21"/>
              </w:rPr>
              <w:t>砖混结构</w:t>
            </w:r>
            <w:r>
              <w:rPr>
                <w:rFonts w:hint="eastAsia"/>
                <w:color w:val="auto"/>
                <w:sz w:val="21"/>
                <w:szCs w:val="21"/>
                <w:lang w:eastAsia="zh-CN"/>
              </w:rPr>
              <w:t>，</w:t>
            </w:r>
            <w:r>
              <w:rPr>
                <w:rFonts w:hint="eastAsia" w:ascii="Times New Roman" w:cs="Times New Roman"/>
                <w:color w:val="auto"/>
                <w:lang w:eastAsia="zh-CN"/>
              </w:rPr>
              <w:t>每栋</w:t>
            </w:r>
            <w:r>
              <w:rPr>
                <w:rFonts w:hint="default" w:ascii="Times New Roman" w:cs="Times New Roman"/>
                <w:color w:val="auto"/>
              </w:rPr>
              <w:t>建筑面积</w:t>
            </w:r>
            <w:r>
              <w:rPr>
                <w:rFonts w:hint="eastAsia" w:ascii="Times New Roman" w:hAnsi="Times New Roman" w:cs="Times New Roman"/>
                <w:color w:val="auto"/>
                <w:lang w:val="en-US" w:eastAsia="zh-CN"/>
              </w:rPr>
              <w:t>1094</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ascii="Times New Roman" w:hAnsi="Times New Roman" w:cs="Times New Roman"/>
                <w:color w:val="auto"/>
                <w:vertAlign w:val="baseline"/>
                <w:lang w:eastAsia="zh-CN"/>
              </w:rPr>
              <w:t>，总</w:t>
            </w:r>
            <w:r>
              <w:rPr>
                <w:rFonts w:hint="default" w:ascii="Times New Roman" w:cs="Times New Roman"/>
                <w:color w:val="auto"/>
              </w:rPr>
              <w:t>建筑面积</w:t>
            </w:r>
            <w:r>
              <w:rPr>
                <w:rFonts w:hint="eastAsia" w:ascii="Times New Roman" w:hAnsi="Times New Roman" w:cs="Times New Roman"/>
                <w:color w:val="auto"/>
                <w:lang w:val="en-US" w:eastAsia="zh-CN"/>
              </w:rPr>
              <w:t>3283</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cs="Times New Roman"/>
                <w:color w:val="auto"/>
              </w:rPr>
              <w:t>。</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2"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rPr>
            </w:pPr>
            <w:r>
              <w:rPr>
                <w:rFonts w:hint="default" w:ascii="Times New Roman" w:cs="Times New Roman"/>
                <w:color w:val="auto"/>
              </w:rPr>
              <w:t>员工淋浴</w:t>
            </w:r>
            <w:r>
              <w:rPr>
                <w:rFonts w:hint="eastAsia" w:ascii="Times New Roman" w:cs="Times New Roman"/>
                <w:color w:val="auto"/>
                <w:lang w:eastAsia="zh-CN"/>
              </w:rPr>
              <w:t>、</w:t>
            </w:r>
            <w:r>
              <w:rPr>
                <w:rFonts w:hint="default" w:ascii="Times New Roman" w:cs="Times New Roman"/>
                <w:color w:val="auto"/>
              </w:rPr>
              <w:t>消毒用房</w:t>
            </w:r>
          </w:p>
        </w:tc>
        <w:tc>
          <w:tcPr>
            <w:tcW w:w="2694" w:type="pct"/>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lang w:val="en-US" w:eastAsia="zh-CN"/>
              </w:rPr>
              <w:t>1</w:t>
            </w:r>
            <w:r>
              <w:rPr>
                <w:rFonts w:hint="default" w:ascii="Times New Roman" w:hAnsi="Times New Roman" w:cs="Times New Roman"/>
                <w:color w:val="auto"/>
              </w:rPr>
              <w:t>栋，1F，为生产区工作人员配套的办公、生活、洗浴、消毒的场所，建筑面积为</w:t>
            </w:r>
            <w:r>
              <w:rPr>
                <w:rFonts w:hint="eastAsia" w:ascii="Times New Roman" w:hAnsi="Times New Roman" w:cs="Times New Roman"/>
                <w:color w:val="auto"/>
                <w:lang w:val="en-US" w:eastAsia="zh-CN"/>
              </w:rPr>
              <w:t>447.6</w:t>
            </w:r>
            <w:r>
              <w:rPr>
                <w:rFonts w:hint="default" w:ascii="Times New Roman" w:hAnsi="Times New Roman" w:cs="Times New Roman"/>
                <w:color w:val="auto"/>
              </w:rPr>
              <w:t>m</w:t>
            </w:r>
            <w:r>
              <w:rPr>
                <w:rFonts w:hint="default" w:ascii="Times New Roman" w:hAnsi="Times New Roman" w:cs="Times New Roman"/>
                <w:color w:val="auto"/>
                <w:vertAlign w:val="superscript"/>
              </w:rPr>
              <w:t xml:space="preserve"> 2</w:t>
            </w:r>
            <w:r>
              <w:rPr>
                <w:rFonts w:hint="default" w:ascii="Times New Roman" w:hAnsi="Times New Roman" w:cs="Times New Roman"/>
                <w:color w:val="auto"/>
              </w:rPr>
              <w:t xml:space="preserve">  。</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2"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textAlignment w:val="center"/>
              <w:rPr>
                <w:rFonts w:hint="eastAsia" w:ascii="Times New Roman" w:cs="Times New Roman" w:eastAsiaTheme="minorEastAsia"/>
                <w:color w:val="auto"/>
                <w:lang w:eastAsia="zh-CN"/>
              </w:rPr>
            </w:pPr>
            <w:r>
              <w:rPr>
                <w:rFonts w:hint="eastAsia" w:ascii="Times New Roman" w:cs="Times New Roman"/>
                <w:color w:val="auto"/>
                <w:lang w:eastAsia="zh-CN"/>
              </w:rPr>
              <w:t>柴油发电机房</w:t>
            </w:r>
          </w:p>
        </w:tc>
        <w:tc>
          <w:tcPr>
            <w:tcW w:w="2694" w:type="pct"/>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位于办公综合房1楼，面积约10m</w:t>
            </w:r>
            <w:r>
              <w:rPr>
                <w:rFonts w:hint="eastAsia" w:ascii="Times New Roman" w:hAnsi="Times New Roman" w:cs="Times New Roman"/>
                <w:color w:val="auto"/>
                <w:vertAlign w:val="superscript"/>
                <w:lang w:val="en-US" w:eastAsia="zh-CN"/>
              </w:rPr>
              <w:t>2</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环保</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工程</w:t>
            </w:r>
          </w:p>
        </w:tc>
        <w:tc>
          <w:tcPr>
            <w:tcW w:w="54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rPr>
              <w:t>废气</w:t>
            </w:r>
          </w:p>
        </w:tc>
        <w:tc>
          <w:tcPr>
            <w:tcW w:w="2694" w:type="pct"/>
            <w:tcBorders>
              <w:tl2br w:val="nil"/>
              <w:tr2bl w:val="nil"/>
            </w:tcBorders>
            <w:vAlign w:val="center"/>
          </w:tcPr>
          <w:p>
            <w:pPr>
              <w:pStyle w:val="1855"/>
              <w:keepNext w:val="0"/>
              <w:keepLines w:val="0"/>
              <w:suppressLineNumbers w:val="0"/>
              <w:spacing w:beforeAutospacing="0" w:afterAutospacing="0"/>
              <w:ind w:left="0" w:right="0"/>
              <w:jc w:val="left"/>
              <w:rPr>
                <w:rFonts w:hint="default" w:ascii="Times New Roman" w:hAnsi="Times New Roman" w:cs="Times New Roman" w:eastAsiaTheme="minorEastAsia"/>
                <w:b w:val="0"/>
                <w:color w:val="auto"/>
                <w:kern w:val="2"/>
                <w:sz w:val="21"/>
                <w:szCs w:val="21"/>
                <w:lang w:val="en-US" w:eastAsia="zh-CN" w:bidi="ar-SA"/>
              </w:rPr>
            </w:pPr>
            <w:r>
              <w:rPr>
                <w:rFonts w:hint="eastAsia" w:ascii="Times New Roman" w:hAnsi="Times New Roman" w:cs="Times New Roman" w:eastAsiaTheme="minorEastAsia"/>
                <w:b w:val="0"/>
                <w:color w:val="auto"/>
                <w:kern w:val="2"/>
                <w:sz w:val="21"/>
                <w:szCs w:val="21"/>
                <w:lang w:val="en-US" w:eastAsia="zh-CN" w:bidi="ar-SA"/>
              </w:rPr>
              <w:t>猪舍设置通风设备，安装负压通风机，加强舍内通风；饲料中添加EM制剂、喷洒除臭剂；采用干清粪工艺，粪便日产日清，固液分离后粪便立刻运至有机肥发酵车间发酵，堆肥车间全部封闭，负压抽风的废气经“碱液喷淋+生物过滤法”处理后经 15m高排气筒（1#）排放。</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2694" w:type="pct"/>
            <w:tcBorders>
              <w:tl2br w:val="nil"/>
              <w:tr2bl w:val="nil"/>
            </w:tcBorders>
            <w:vAlign w:val="center"/>
          </w:tcPr>
          <w:p>
            <w:pPr>
              <w:pStyle w:val="1855"/>
              <w:keepNext w:val="0"/>
              <w:keepLines w:val="0"/>
              <w:suppressLineNumbers w:val="0"/>
              <w:spacing w:beforeAutospacing="0" w:afterAutospacing="0"/>
              <w:ind w:left="0" w:right="0"/>
              <w:jc w:val="left"/>
              <w:rPr>
                <w:rFonts w:hint="eastAsia" w:ascii="Times New Roman" w:hAnsi="Times New Roman" w:cs="Times New Roman" w:eastAsiaTheme="minorEastAsia"/>
                <w:b w:val="0"/>
                <w:color w:val="auto"/>
                <w:kern w:val="2"/>
                <w:sz w:val="21"/>
                <w:szCs w:val="21"/>
                <w:lang w:val="en-US" w:eastAsia="zh-CN" w:bidi="ar-SA"/>
              </w:rPr>
            </w:pPr>
            <w:r>
              <w:rPr>
                <w:rFonts w:hint="eastAsia" w:ascii="Times New Roman" w:hAnsi="Times New Roman" w:cs="Times New Roman" w:eastAsiaTheme="minorEastAsia"/>
                <w:b w:val="0"/>
                <w:color w:val="auto"/>
                <w:kern w:val="2"/>
                <w:sz w:val="21"/>
                <w:szCs w:val="21"/>
                <w:lang w:val="en-US" w:eastAsia="zh-CN" w:bidi="ar-SA"/>
              </w:rPr>
              <w:t>项目对污水处理系统各工艺单元密闭处理，对污水处理设施恶臭产生较大的部位：预处理阶段、污泥处理区封闭，通过废气处理设施处理（碱液喷淋+生物过滤法）达标后通过15m高排气筒（1#）排放。同时污水处理站周边喷洒除臭剂，周边加强绿化；无害化处理车间配套废气处理设施。</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2694" w:type="pct"/>
            <w:tcBorders>
              <w:tl2br w:val="nil"/>
              <w:tr2bl w:val="nil"/>
            </w:tcBorders>
            <w:vAlign w:val="center"/>
          </w:tcPr>
          <w:p>
            <w:pPr>
              <w:pStyle w:val="1855"/>
              <w:keepNext w:val="0"/>
              <w:keepLines w:val="0"/>
              <w:suppressLineNumbers w:val="0"/>
              <w:spacing w:beforeAutospacing="0" w:afterAutospacing="0"/>
              <w:ind w:left="0" w:right="0"/>
              <w:jc w:val="left"/>
              <w:rPr>
                <w:rFonts w:hint="eastAsia" w:ascii="Times New Roman" w:hAnsi="Times New Roman" w:cs="Times New Roman" w:eastAsiaTheme="minorEastAsia"/>
                <w:b w:val="0"/>
                <w:color w:val="auto"/>
                <w:kern w:val="2"/>
                <w:sz w:val="21"/>
                <w:szCs w:val="21"/>
                <w:lang w:val="en-US" w:eastAsia="zh-CN" w:bidi="ar-SA"/>
              </w:rPr>
            </w:pPr>
            <w:r>
              <w:rPr>
                <w:rFonts w:hint="eastAsia" w:ascii="Times New Roman" w:hAnsi="Times New Roman" w:cs="Times New Roman" w:eastAsiaTheme="minorEastAsia"/>
                <w:b w:val="0"/>
                <w:color w:val="auto"/>
                <w:kern w:val="2"/>
                <w:sz w:val="21"/>
                <w:szCs w:val="21"/>
                <w:lang w:val="en-US" w:eastAsia="zh-CN" w:bidi="ar-SA"/>
              </w:rPr>
              <w:t>配置150立方双膜储气袋，厌氧发酵产生的沼气经过脱硫（铁制脱硫剂，定期恢复和更换）脱水后，存储于双膜储气袋内。沼气用于场部食堂烹饪等。</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54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废水</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eastAsia" w:ascii="Times New Roman" w:hAnsi="Times New Roman" w:cs="Times New Roman" w:eastAsiaTheme="minorEastAsia"/>
                <w:color w:val="auto"/>
                <w:lang w:eastAsia="zh-CN"/>
              </w:rPr>
            </w:pPr>
            <w:r>
              <w:rPr>
                <w:rFonts w:hint="eastAsia"/>
                <w:color w:val="auto"/>
                <w:sz w:val="21"/>
                <w:szCs w:val="21"/>
              </w:rPr>
              <w:t>化</w:t>
            </w:r>
            <w:r>
              <w:rPr>
                <w:rFonts w:hint="default"/>
                <w:color w:val="auto"/>
                <w:sz w:val="21"/>
                <w:szCs w:val="21"/>
              </w:rPr>
              <w:t>粪池</w:t>
            </w:r>
            <w:r>
              <w:rPr>
                <w:rFonts w:hint="eastAsia"/>
                <w:color w:val="auto"/>
                <w:sz w:val="21"/>
                <w:szCs w:val="21"/>
                <w:lang w:val="en-US" w:eastAsia="zh-CN"/>
              </w:rPr>
              <w:t>6</w:t>
            </w:r>
            <w:r>
              <w:rPr>
                <w:rFonts w:hint="default"/>
                <w:color w:val="auto"/>
                <w:sz w:val="21"/>
                <w:szCs w:val="21"/>
              </w:rPr>
              <w:t>座，单个容积</w:t>
            </w:r>
            <w:r>
              <w:rPr>
                <w:rFonts w:hint="default"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color w:val="auto"/>
                <w:sz w:val="21"/>
                <w:szCs w:val="21"/>
              </w:rPr>
              <w:t>，分别位于</w:t>
            </w:r>
            <w:r>
              <w:rPr>
                <w:rFonts w:hint="eastAsia"/>
                <w:color w:val="auto"/>
                <w:sz w:val="21"/>
                <w:szCs w:val="21"/>
                <w:lang w:eastAsia="zh-CN"/>
              </w:rPr>
              <w:t>圈舍配套的人员隔离区（隔离区设置有厕所）</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废水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rPr>
            </w:pPr>
            <w:r>
              <w:rPr>
                <w:rFonts w:hint="default"/>
                <w:color w:val="auto"/>
                <w:sz w:val="21"/>
                <w:szCs w:val="21"/>
              </w:rPr>
              <w:t>隔油池1座，容积6m</w:t>
            </w:r>
            <w:r>
              <w:rPr>
                <w:rFonts w:hint="default"/>
                <w:color w:val="auto"/>
                <w:sz w:val="21"/>
                <w:szCs w:val="21"/>
                <w:vertAlign w:val="superscript"/>
              </w:rPr>
              <w:t>3</w:t>
            </w:r>
            <w:r>
              <w:rPr>
                <w:rFonts w:hint="default"/>
                <w:color w:val="auto"/>
                <w:sz w:val="21"/>
                <w:szCs w:val="21"/>
              </w:rPr>
              <w:t>，位于食堂</w:t>
            </w:r>
            <w:r>
              <w:rPr>
                <w:rFonts w:hint="eastAsia"/>
                <w:color w:val="auto"/>
                <w:sz w:val="21"/>
                <w:szCs w:val="21"/>
                <w:lang w:eastAsia="zh-CN"/>
              </w:rPr>
              <w:t>东</w:t>
            </w:r>
            <w:r>
              <w:rPr>
                <w:rFonts w:hint="eastAsia"/>
                <w:color w:val="auto"/>
                <w:sz w:val="21"/>
                <w:szCs w:val="21"/>
              </w:rPr>
              <w:t>侧</w:t>
            </w:r>
            <w:r>
              <w:rPr>
                <w:rFonts w:hint="default"/>
                <w:color w:val="auto"/>
                <w:sz w:val="21"/>
                <w:szCs w:val="21"/>
              </w:rPr>
              <w:t>，用于处理食堂含油废水</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eastAsia" w:ascii="Times New Roman" w:hAnsi="Times New Roman" w:cs="Times New Roman" w:eastAsiaTheme="minorEastAsia"/>
                <w:color w:val="auto"/>
                <w:lang w:eastAsia="zh-CN"/>
              </w:rPr>
            </w:pPr>
            <w:r>
              <w:rPr>
                <w:rFonts w:hint="default"/>
                <w:color w:val="auto"/>
                <w:sz w:val="21"/>
                <w:szCs w:val="21"/>
              </w:rPr>
              <w:t>污水处理站1座，规模</w:t>
            </w:r>
            <w:r>
              <w:rPr>
                <w:rFonts w:hint="eastAsia"/>
                <w:color w:val="auto"/>
                <w:sz w:val="21"/>
                <w:szCs w:val="21"/>
                <w:lang w:val="en-US" w:eastAsia="zh-CN"/>
              </w:rPr>
              <w:t>700</w:t>
            </w:r>
            <w:r>
              <w:rPr>
                <w:rFonts w:hint="default"/>
                <w:color w:val="auto"/>
                <w:sz w:val="21"/>
                <w:szCs w:val="21"/>
              </w:rPr>
              <w:t>m</w:t>
            </w:r>
            <w:r>
              <w:rPr>
                <w:rFonts w:hint="default"/>
                <w:color w:val="auto"/>
                <w:sz w:val="21"/>
                <w:szCs w:val="21"/>
                <w:vertAlign w:val="superscript"/>
              </w:rPr>
              <w:t>3</w:t>
            </w:r>
            <w:r>
              <w:rPr>
                <w:rFonts w:hint="default"/>
                <w:color w:val="auto"/>
                <w:sz w:val="21"/>
                <w:szCs w:val="21"/>
              </w:rPr>
              <w:t>/d，工艺为</w:t>
            </w:r>
            <w:r>
              <w:rPr>
                <w:rFonts w:hint="eastAsia"/>
                <w:color w:val="auto"/>
                <w:sz w:val="21"/>
                <w:szCs w:val="21"/>
              </w:rPr>
              <w:t>“</w:t>
            </w:r>
            <w:r>
              <w:rPr>
                <w:rFonts w:hint="default" w:ascii="Times New Roman" w:hAnsi="Times New Roman" w:eastAsia="宋体" w:cs="Times New Roman"/>
                <w:color w:val="auto"/>
                <w:sz w:val="21"/>
                <w:szCs w:val="21"/>
              </w:rPr>
              <w:t>固液分离+UASB厌氧+絮凝沉淀+两级A/O系统+混凝絮凝沉淀+消毒</w:t>
            </w:r>
            <w:r>
              <w:rPr>
                <w:rFonts w:hint="eastAsia"/>
                <w:color w:val="auto"/>
                <w:sz w:val="21"/>
                <w:szCs w:val="21"/>
              </w:rPr>
              <w:t>”</w:t>
            </w:r>
            <w:r>
              <w:rPr>
                <w:rFonts w:hint="default"/>
                <w:color w:val="auto"/>
                <w:sz w:val="21"/>
                <w:szCs w:val="21"/>
              </w:rPr>
              <w:t>，位于场区</w:t>
            </w:r>
            <w:r>
              <w:rPr>
                <w:rFonts w:hint="eastAsia"/>
                <w:color w:val="auto"/>
                <w:sz w:val="21"/>
                <w:szCs w:val="21"/>
                <w:lang w:eastAsia="zh-CN"/>
              </w:rPr>
              <w:t>中部</w:t>
            </w:r>
            <w:r>
              <w:rPr>
                <w:rFonts w:hint="default"/>
                <w:color w:val="auto"/>
                <w:sz w:val="21"/>
                <w:szCs w:val="21"/>
              </w:rPr>
              <w:t>污染防治区</w:t>
            </w:r>
            <w:r>
              <w:rPr>
                <w:rFonts w:hint="eastAsia"/>
                <w:color w:val="auto"/>
                <w:sz w:val="21"/>
                <w:szCs w:val="21"/>
                <w:lang w:eastAsia="zh-CN"/>
              </w:rPr>
              <w:t>，消毒后的废水部分生产系统（猪舍冲洗）回用，剩余用于绿化及林地灌溉。。</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0"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eastAsia" w:ascii="Times New Roman" w:hAnsi="Times New Roman" w:cs="Times New Roman"/>
                <w:color w:val="auto"/>
              </w:rPr>
            </w:pPr>
            <w:r>
              <w:rPr>
                <w:rFonts w:hint="default"/>
                <w:color w:val="auto"/>
                <w:sz w:val="21"/>
                <w:szCs w:val="21"/>
              </w:rPr>
              <w:t>集污池2座，位于场址</w:t>
            </w:r>
            <w:r>
              <w:rPr>
                <w:rFonts w:hint="eastAsia"/>
                <w:color w:val="auto"/>
                <w:sz w:val="21"/>
                <w:szCs w:val="21"/>
                <w:lang w:eastAsia="zh-CN"/>
              </w:rPr>
              <w:t>中部</w:t>
            </w:r>
            <w:r>
              <w:rPr>
                <w:rFonts w:hint="default"/>
                <w:color w:val="auto"/>
                <w:sz w:val="21"/>
                <w:szCs w:val="21"/>
              </w:rPr>
              <w:t>，</w:t>
            </w:r>
            <w:r>
              <w:rPr>
                <w:rFonts w:hint="eastAsia"/>
                <w:color w:val="auto"/>
                <w:sz w:val="21"/>
                <w:szCs w:val="21"/>
              </w:rPr>
              <w:t>有效</w:t>
            </w:r>
            <w:r>
              <w:rPr>
                <w:rFonts w:hint="default"/>
                <w:color w:val="auto"/>
                <w:sz w:val="21"/>
                <w:szCs w:val="21"/>
              </w:rPr>
              <w:t>容积为</w:t>
            </w:r>
            <w:r>
              <w:rPr>
                <w:rFonts w:hint="eastAsia"/>
                <w:color w:val="auto"/>
                <w:sz w:val="21"/>
                <w:szCs w:val="21"/>
                <w:lang w:val="en-US" w:eastAsia="zh-CN"/>
              </w:rPr>
              <w:t>400</w:t>
            </w:r>
            <w:r>
              <w:rPr>
                <w:rFonts w:hint="default"/>
                <w:color w:val="auto"/>
                <w:sz w:val="21"/>
                <w:szCs w:val="21"/>
              </w:rPr>
              <w:t>m</w:t>
            </w:r>
            <w:r>
              <w:rPr>
                <w:rFonts w:hint="default"/>
                <w:color w:val="auto"/>
                <w:sz w:val="21"/>
                <w:szCs w:val="21"/>
                <w:vertAlign w:val="superscript"/>
              </w:rPr>
              <w:t>3</w:t>
            </w:r>
            <w:r>
              <w:rPr>
                <w:rFonts w:hint="default"/>
                <w:color w:val="auto"/>
                <w:sz w:val="21"/>
                <w:szCs w:val="21"/>
              </w:rPr>
              <w:t>，用于</w:t>
            </w:r>
            <w:r>
              <w:rPr>
                <w:rFonts w:hint="eastAsia"/>
                <w:color w:val="auto"/>
                <w:sz w:val="21"/>
                <w:szCs w:val="21"/>
              </w:rPr>
              <w:t>收集尿液和冲洗废水</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color w:val="auto"/>
                <w:sz w:val="21"/>
                <w:szCs w:val="21"/>
              </w:rPr>
            </w:pPr>
            <w:r>
              <w:rPr>
                <w:rFonts w:hint="default"/>
                <w:color w:val="auto"/>
                <w:sz w:val="21"/>
                <w:szCs w:val="21"/>
              </w:rPr>
              <w:t>储存池</w:t>
            </w:r>
            <w:r>
              <w:rPr>
                <w:rFonts w:hint="eastAsia"/>
                <w:color w:val="auto"/>
                <w:sz w:val="21"/>
                <w:szCs w:val="21"/>
                <w:lang w:val="en-US" w:eastAsia="zh-CN"/>
              </w:rPr>
              <w:t>2</w:t>
            </w:r>
            <w:r>
              <w:rPr>
                <w:rFonts w:hint="default"/>
                <w:color w:val="auto"/>
                <w:sz w:val="21"/>
                <w:szCs w:val="21"/>
              </w:rPr>
              <w:t>座，</w:t>
            </w:r>
            <w:r>
              <w:rPr>
                <w:rFonts w:hint="eastAsia"/>
                <w:color w:val="auto"/>
                <w:sz w:val="21"/>
                <w:szCs w:val="21"/>
                <w:lang w:eastAsia="zh-CN"/>
              </w:rPr>
              <w:t>单个</w:t>
            </w:r>
            <w:r>
              <w:rPr>
                <w:rFonts w:hint="default"/>
                <w:color w:val="auto"/>
                <w:sz w:val="21"/>
                <w:szCs w:val="21"/>
              </w:rPr>
              <w:t>容积</w:t>
            </w:r>
            <w:r>
              <w:rPr>
                <w:rFonts w:hint="eastAsia"/>
                <w:color w:val="auto"/>
                <w:sz w:val="21"/>
                <w:szCs w:val="21"/>
                <w:lang w:val="en-US" w:eastAsia="zh-CN"/>
              </w:rPr>
              <w:t>4</w:t>
            </w:r>
            <w:r>
              <w:rPr>
                <w:rFonts w:hint="default"/>
                <w:color w:val="auto"/>
                <w:sz w:val="21"/>
                <w:szCs w:val="21"/>
              </w:rPr>
              <w:t>000m</w:t>
            </w:r>
            <w:r>
              <w:rPr>
                <w:rFonts w:hint="default"/>
                <w:color w:val="auto"/>
                <w:sz w:val="21"/>
                <w:szCs w:val="21"/>
                <w:vertAlign w:val="superscript"/>
              </w:rPr>
              <w:t>3</w:t>
            </w:r>
            <w:r>
              <w:rPr>
                <w:rFonts w:hint="default"/>
                <w:color w:val="auto"/>
                <w:sz w:val="21"/>
                <w:szCs w:val="21"/>
              </w:rPr>
              <w:t>，位于场区</w:t>
            </w:r>
            <w:r>
              <w:rPr>
                <w:rFonts w:hint="eastAsia"/>
                <w:color w:val="auto"/>
                <w:sz w:val="21"/>
                <w:szCs w:val="21"/>
                <w:lang w:eastAsia="zh-CN"/>
              </w:rPr>
              <w:t>中部</w:t>
            </w:r>
            <w:r>
              <w:rPr>
                <w:rFonts w:hint="default"/>
                <w:color w:val="auto"/>
                <w:sz w:val="21"/>
                <w:szCs w:val="21"/>
              </w:rPr>
              <w:t>污染防治区，用于</w:t>
            </w:r>
            <w:r>
              <w:rPr>
                <w:rFonts w:hint="eastAsia"/>
                <w:color w:val="auto"/>
                <w:sz w:val="21"/>
                <w:szCs w:val="21"/>
              </w:rPr>
              <w:t>储存处理后</w:t>
            </w:r>
            <w:r>
              <w:rPr>
                <w:rFonts w:hint="default"/>
                <w:color w:val="auto"/>
                <w:sz w:val="21"/>
                <w:szCs w:val="21"/>
              </w:rPr>
              <w:t>的</w:t>
            </w:r>
            <w:r>
              <w:rPr>
                <w:rFonts w:hint="eastAsia"/>
                <w:color w:val="auto"/>
                <w:sz w:val="21"/>
                <w:szCs w:val="21"/>
              </w:rPr>
              <w:t>尾</w:t>
            </w:r>
            <w:r>
              <w:rPr>
                <w:rFonts w:hint="default"/>
                <w:color w:val="auto"/>
                <w:sz w:val="21"/>
                <w:szCs w:val="21"/>
              </w:rPr>
              <w:t>水</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color w:val="auto"/>
                <w:sz w:val="21"/>
                <w:szCs w:val="21"/>
              </w:rPr>
            </w:pPr>
            <w:r>
              <w:rPr>
                <w:rFonts w:hint="default"/>
                <w:color w:val="auto"/>
                <w:sz w:val="21"/>
                <w:szCs w:val="21"/>
              </w:rPr>
              <w:t>事故应急池1座，容积</w:t>
            </w:r>
            <w:r>
              <w:rPr>
                <w:rFonts w:hint="eastAsia"/>
                <w:color w:val="auto"/>
                <w:sz w:val="21"/>
                <w:szCs w:val="21"/>
                <w:lang w:val="en-US" w:eastAsia="zh-CN"/>
              </w:rPr>
              <w:t>20</w:t>
            </w:r>
            <w:r>
              <w:rPr>
                <w:rFonts w:hint="default"/>
                <w:color w:val="auto"/>
                <w:sz w:val="21"/>
                <w:szCs w:val="21"/>
              </w:rPr>
              <w:t>00m</w:t>
            </w:r>
            <w:r>
              <w:rPr>
                <w:rFonts w:hint="default"/>
                <w:color w:val="auto"/>
                <w:sz w:val="21"/>
                <w:szCs w:val="21"/>
                <w:vertAlign w:val="superscript"/>
              </w:rPr>
              <w:t>3</w:t>
            </w:r>
            <w:r>
              <w:rPr>
                <w:rFonts w:hint="default"/>
                <w:color w:val="auto"/>
                <w:sz w:val="21"/>
                <w:szCs w:val="21"/>
              </w:rPr>
              <w:t>，位于项目</w:t>
            </w:r>
            <w:r>
              <w:rPr>
                <w:rFonts w:hint="eastAsia"/>
                <w:color w:val="auto"/>
                <w:sz w:val="21"/>
                <w:szCs w:val="21"/>
                <w:lang w:eastAsia="zh-CN"/>
              </w:rPr>
              <w:t>北</w:t>
            </w:r>
            <w:r>
              <w:rPr>
                <w:rFonts w:hint="default"/>
                <w:color w:val="auto"/>
                <w:sz w:val="21"/>
                <w:szCs w:val="21"/>
              </w:rPr>
              <w:t>污染防治区</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pStyle w:val="168"/>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噪声治理</w:t>
            </w:r>
          </w:p>
        </w:tc>
        <w:tc>
          <w:tcPr>
            <w:tcW w:w="2694" w:type="pct"/>
            <w:tcBorders>
              <w:tl2br w:val="nil"/>
              <w:tr2bl w:val="nil"/>
            </w:tcBorders>
            <w:vAlign w:val="center"/>
          </w:tcPr>
          <w:p>
            <w:pPr>
              <w:pStyle w:val="168"/>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选用低噪声设备、采取隔声、减震等降噪措施，合理布置高噪设备，车间厂房隔声，距离衰减</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噪声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固废</w:t>
            </w: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rPr>
            </w:pPr>
            <w:r>
              <w:rPr>
                <w:rFonts w:hint="default" w:ascii="Times New Roman" w:cs="Times New Roman"/>
                <w:color w:val="auto"/>
              </w:rPr>
              <w:t>病死猪发酵处理车间</w:t>
            </w:r>
            <w:r>
              <w:rPr>
                <w:rFonts w:hint="default" w:ascii="Times New Roman" w:hAnsi="Times New Roman" w:cs="Times New Roman"/>
                <w:color w:val="auto"/>
              </w:rPr>
              <w:t>：1个，建筑面积</w:t>
            </w:r>
            <w:r>
              <w:rPr>
                <w:rFonts w:hint="eastAsia" w:ascii="Times New Roman" w:hAnsi="Times New Roman" w:cs="Times New Roman"/>
                <w:color w:val="auto"/>
                <w:lang w:val="en-US" w:eastAsia="zh-CN"/>
              </w:rPr>
              <w:t>262</w:t>
            </w:r>
            <w:r>
              <w:rPr>
                <w:rFonts w:hint="default" w:ascii="Times New Roman" w:hAnsi="Times New Roman" w:cs="Times New Roman"/>
                <w:color w:val="auto"/>
              </w:rPr>
              <w:t>m</w:t>
            </w:r>
            <w:r>
              <w:rPr>
                <w:rFonts w:hint="default" w:ascii="Times New Roman" w:hAnsi="Times New Roman" w:cs="Times New Roman"/>
                <w:color w:val="auto"/>
                <w:vertAlign w:val="superscript"/>
              </w:rPr>
              <w:t>2</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固废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rPr>
            </w:pPr>
            <w:r>
              <w:rPr>
                <w:rFonts w:hint="default"/>
                <w:color w:val="auto"/>
                <w:sz w:val="21"/>
                <w:szCs w:val="21"/>
              </w:rPr>
              <w:t>危险废物暂存间</w:t>
            </w:r>
            <w:r>
              <w:rPr>
                <w:rFonts w:hint="eastAsia"/>
                <w:color w:val="auto"/>
                <w:sz w:val="21"/>
                <w:szCs w:val="21"/>
                <w:lang w:val="en-US" w:eastAsia="zh-CN"/>
              </w:rPr>
              <w:t>5</w:t>
            </w:r>
            <w:r>
              <w:rPr>
                <w:rFonts w:hint="eastAsia"/>
                <w:color w:val="auto"/>
                <w:sz w:val="21"/>
                <w:szCs w:val="21"/>
              </w:rPr>
              <w:t>间</w:t>
            </w:r>
            <w:r>
              <w:rPr>
                <w:rFonts w:hint="default"/>
                <w:color w:val="auto"/>
                <w:sz w:val="21"/>
                <w:szCs w:val="21"/>
              </w:rPr>
              <w:t>，单</w:t>
            </w:r>
            <w:r>
              <w:rPr>
                <w:rFonts w:hint="eastAsia"/>
                <w:color w:val="auto"/>
                <w:sz w:val="21"/>
                <w:szCs w:val="21"/>
              </w:rPr>
              <w:t>间</w:t>
            </w:r>
            <w:r>
              <w:rPr>
                <w:rFonts w:hint="default"/>
                <w:color w:val="auto"/>
                <w:sz w:val="21"/>
                <w:szCs w:val="21"/>
              </w:rPr>
              <w:t>建筑面积约5m</w:t>
            </w:r>
            <w:r>
              <w:rPr>
                <w:rFonts w:hint="default"/>
                <w:color w:val="auto"/>
                <w:sz w:val="21"/>
                <w:szCs w:val="21"/>
                <w:vertAlign w:val="superscript"/>
              </w:rPr>
              <w:t>2</w:t>
            </w:r>
            <w:r>
              <w:rPr>
                <w:rFonts w:hint="default"/>
                <w:color w:val="auto"/>
                <w:sz w:val="21"/>
                <w:szCs w:val="21"/>
              </w:rPr>
              <w:t>，</w:t>
            </w:r>
            <w:r>
              <w:rPr>
                <w:rFonts w:hint="eastAsia"/>
                <w:color w:val="auto"/>
                <w:sz w:val="21"/>
                <w:szCs w:val="21"/>
                <w:lang w:eastAsia="zh-CN"/>
              </w:rPr>
              <w:t>分娩舍</w:t>
            </w:r>
            <w:r>
              <w:rPr>
                <w:rFonts w:hint="default"/>
                <w:color w:val="auto"/>
                <w:sz w:val="21"/>
                <w:szCs w:val="21"/>
              </w:rPr>
              <w:t>圈舍周边各设置</w:t>
            </w:r>
            <w:r>
              <w:rPr>
                <w:rFonts w:hint="eastAsia"/>
                <w:color w:val="auto"/>
                <w:sz w:val="21"/>
                <w:szCs w:val="21"/>
              </w:rPr>
              <w:t>1间。</w:t>
            </w:r>
            <w:r>
              <w:rPr>
                <w:rFonts w:hint="default"/>
                <w:color w:val="auto"/>
                <w:sz w:val="21"/>
                <w:szCs w:val="21"/>
              </w:rPr>
              <w:t>做好三防措施，定期收集后交由危险废物处置单位进行处置</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rPr>
            </w:pPr>
            <w:r>
              <w:rPr>
                <w:rFonts w:hint="eastAsia"/>
                <w:color w:val="auto"/>
                <w:sz w:val="21"/>
                <w:szCs w:val="21"/>
                <w:lang w:eastAsia="zh-CN"/>
              </w:rPr>
              <w:t>有机肥生产基地</w:t>
            </w:r>
            <w:r>
              <w:rPr>
                <w:rFonts w:hint="default"/>
                <w:color w:val="auto"/>
                <w:sz w:val="21"/>
                <w:szCs w:val="21"/>
              </w:rPr>
              <w:t>，</w:t>
            </w:r>
            <w:r>
              <w:rPr>
                <w:rFonts w:hint="eastAsia"/>
                <w:color w:val="auto"/>
                <w:sz w:val="21"/>
                <w:szCs w:val="21"/>
              </w:rPr>
              <w:t>设置2套异位发酵</w:t>
            </w:r>
            <w:r>
              <w:rPr>
                <w:rFonts w:hint="eastAsia"/>
                <w:color w:val="auto"/>
                <w:sz w:val="21"/>
                <w:szCs w:val="21"/>
                <w:lang w:eastAsia="zh-CN"/>
              </w:rPr>
              <w:t>罐</w:t>
            </w:r>
            <w:r>
              <w:rPr>
                <w:rFonts w:hint="eastAsia"/>
                <w:color w:val="auto"/>
                <w:sz w:val="21"/>
                <w:szCs w:val="21"/>
              </w:rPr>
              <w:t>设备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160m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/个</w:t>
            </w:r>
            <w:r>
              <w:rPr>
                <w:rFonts w:hint="eastAsia" w:ascii="Times New Roman" w:hAnsi="Times New Roman" w:cs="Times New Roman"/>
                <w:color w:val="auto"/>
                <w:sz w:val="21"/>
                <w:szCs w:val="21"/>
                <w:vertAlign w:val="baseline"/>
                <w:lang w:val="en-US" w:eastAsia="zh-CN"/>
              </w:rPr>
              <w:t>）</w:t>
            </w:r>
            <w:r>
              <w:rPr>
                <w:rFonts w:hint="eastAsia"/>
                <w:color w:val="auto"/>
                <w:sz w:val="21"/>
                <w:szCs w:val="21"/>
              </w:rPr>
              <w:t>，用于发酵处理猪粪和污泥生成有机肥原料外售，处理能力</w:t>
            </w:r>
            <w:r>
              <w:rPr>
                <w:rFonts w:hint="eastAsia"/>
                <w:color w:val="auto"/>
                <w:sz w:val="21"/>
                <w:szCs w:val="21"/>
                <w:lang w:val="en-US" w:eastAsia="zh-CN"/>
              </w:rPr>
              <w:t>320</w:t>
            </w:r>
            <w:r>
              <w:rPr>
                <w:rFonts w:hint="eastAsia"/>
                <w:color w:val="auto"/>
                <w:sz w:val="21"/>
                <w:szCs w:val="21"/>
              </w:rPr>
              <w:t>t</w:t>
            </w:r>
            <w:r>
              <w:rPr>
                <w:rFonts w:hint="default"/>
                <w:color w:val="auto"/>
                <w:sz w:val="21"/>
                <w:szCs w:val="21"/>
              </w:rPr>
              <w:t>/d，位于场区</w:t>
            </w:r>
            <w:r>
              <w:rPr>
                <w:rFonts w:hint="eastAsia"/>
                <w:color w:val="auto"/>
                <w:sz w:val="21"/>
                <w:szCs w:val="21"/>
                <w:lang w:eastAsia="zh-CN"/>
              </w:rPr>
              <w:t>中部</w:t>
            </w:r>
            <w:r>
              <w:rPr>
                <w:rFonts w:hint="default"/>
                <w:color w:val="auto"/>
                <w:sz w:val="21"/>
                <w:szCs w:val="21"/>
              </w:rPr>
              <w:t>污染防治区</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eastAsia"/>
                <w:color w:val="auto"/>
                <w:sz w:val="21"/>
                <w:szCs w:val="21"/>
                <w:lang w:eastAsia="zh-CN"/>
              </w:rPr>
            </w:pPr>
            <w:r>
              <w:rPr>
                <w:rFonts w:hint="eastAsia"/>
                <w:color w:val="auto"/>
                <w:sz w:val="21"/>
                <w:szCs w:val="21"/>
                <w:lang w:eastAsia="zh-CN"/>
              </w:rPr>
              <w:t>有机肥储存间</w:t>
            </w:r>
            <w:r>
              <w:rPr>
                <w:rFonts w:hint="default"/>
                <w:color w:val="auto"/>
                <w:sz w:val="21"/>
                <w:szCs w:val="21"/>
              </w:rPr>
              <w:t>1处，位于厂区</w:t>
            </w:r>
            <w:r>
              <w:rPr>
                <w:rFonts w:hint="eastAsia"/>
                <w:color w:val="auto"/>
                <w:sz w:val="21"/>
                <w:szCs w:val="21"/>
                <w:lang w:eastAsia="zh-CN"/>
              </w:rPr>
              <w:t>中部</w:t>
            </w:r>
            <w:r>
              <w:rPr>
                <w:rFonts w:hint="eastAsia"/>
                <w:color w:val="auto"/>
                <w:sz w:val="21"/>
                <w:szCs w:val="21"/>
              </w:rPr>
              <w:t>污染防治区</w:t>
            </w:r>
            <w:r>
              <w:rPr>
                <w:rFonts w:hint="default"/>
                <w:color w:val="auto"/>
                <w:sz w:val="21"/>
                <w:szCs w:val="21"/>
              </w:rPr>
              <w:t>，建筑面积约</w:t>
            </w:r>
            <w:r>
              <w:rPr>
                <w:rFonts w:hint="eastAsia"/>
                <w:color w:val="auto"/>
                <w:sz w:val="21"/>
                <w:szCs w:val="21"/>
                <w:lang w:val="en-US" w:eastAsia="zh-CN"/>
              </w:rPr>
              <w:t>63.6</w:t>
            </w:r>
            <w:r>
              <w:rPr>
                <w:rFonts w:hint="default"/>
                <w:color w:val="auto"/>
                <w:sz w:val="21"/>
                <w:szCs w:val="21"/>
              </w:rPr>
              <w:t>m</w:t>
            </w:r>
            <w:r>
              <w:rPr>
                <w:rFonts w:hint="default"/>
                <w:color w:val="auto"/>
                <w:sz w:val="21"/>
                <w:szCs w:val="21"/>
                <w:vertAlign w:val="superscript"/>
              </w:rPr>
              <w:t>2</w:t>
            </w:r>
            <w:r>
              <w:rPr>
                <w:rFonts w:hint="default"/>
                <w:color w:val="auto"/>
                <w:sz w:val="21"/>
                <w:szCs w:val="21"/>
              </w:rPr>
              <w:t>，拟采用三面封闭石棉瓦棚，项目采用干清粪工艺，干粪用于</w:t>
            </w:r>
            <w:r>
              <w:rPr>
                <w:rFonts w:hint="eastAsia"/>
                <w:color w:val="auto"/>
                <w:sz w:val="21"/>
                <w:szCs w:val="21"/>
                <w:lang w:eastAsia="zh-CN"/>
              </w:rPr>
              <w:t>异位发酵罐</w:t>
            </w:r>
            <w:r>
              <w:rPr>
                <w:rFonts w:hint="eastAsia"/>
                <w:color w:val="auto"/>
                <w:sz w:val="21"/>
                <w:szCs w:val="21"/>
              </w:rPr>
              <w:t>发酵后在</w:t>
            </w:r>
            <w:r>
              <w:rPr>
                <w:rFonts w:hint="eastAsia"/>
                <w:color w:val="auto"/>
                <w:sz w:val="21"/>
                <w:szCs w:val="21"/>
                <w:lang w:eastAsia="zh-CN"/>
              </w:rPr>
              <w:t>有机肥</w:t>
            </w:r>
            <w:r>
              <w:rPr>
                <w:rFonts w:hint="eastAsia"/>
                <w:color w:val="auto"/>
                <w:sz w:val="21"/>
                <w:szCs w:val="21"/>
              </w:rPr>
              <w:t>储存间暂存，定期外售</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eastAsia"/>
                <w:color w:val="auto"/>
                <w:sz w:val="21"/>
                <w:szCs w:val="21"/>
                <w:lang w:eastAsia="zh-CN"/>
              </w:rPr>
            </w:pPr>
            <w:r>
              <w:rPr>
                <w:rFonts w:hint="default"/>
                <w:color w:val="auto"/>
                <w:sz w:val="21"/>
                <w:szCs w:val="21"/>
              </w:rPr>
              <w:t>废脱硫剂暂存于专用的密封收集桶内，定期交脱硫剂厂家回收</w:t>
            </w:r>
            <w:r>
              <w:rPr>
                <w:rFonts w:hint="eastAsia"/>
                <w:color w:val="auto"/>
                <w:sz w:val="21"/>
                <w:szCs w:val="21"/>
              </w:rPr>
              <w:t>再</w:t>
            </w:r>
            <w:r>
              <w:rPr>
                <w:rFonts w:hint="default"/>
                <w:color w:val="auto"/>
                <w:sz w:val="21"/>
                <w:szCs w:val="21"/>
              </w:rPr>
              <w:t>生利用</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269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color w:val="auto"/>
                <w:sz w:val="21"/>
                <w:szCs w:val="21"/>
              </w:rPr>
            </w:pPr>
            <w:r>
              <w:rPr>
                <w:rFonts w:hint="default"/>
                <w:color w:val="auto"/>
                <w:sz w:val="21"/>
                <w:szCs w:val="21"/>
              </w:rPr>
              <w:t>生活垃圾：设垃圾暂存间1个，并及时运往</w:t>
            </w:r>
            <w:r>
              <w:rPr>
                <w:rFonts w:hint="eastAsia"/>
                <w:color w:val="auto"/>
                <w:sz w:val="21"/>
                <w:szCs w:val="21"/>
                <w:lang w:eastAsia="zh-CN"/>
              </w:rPr>
              <w:t>龙凤场镇</w:t>
            </w:r>
            <w:r>
              <w:rPr>
                <w:rFonts w:hint="default"/>
                <w:color w:val="auto"/>
                <w:sz w:val="21"/>
                <w:szCs w:val="21"/>
              </w:rPr>
              <w:t>垃圾中转站，由环卫部门定期清运处置</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23" w:hRule="atLeast"/>
          <w:tblHeader/>
          <w:jc w:val="center"/>
        </w:trPr>
        <w:tc>
          <w:tcPr>
            <w:tcW w:w="33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5" w:type="pct"/>
            <w:tcBorders>
              <w:tl2br w:val="nil"/>
              <w:tr2bl w:val="nil"/>
            </w:tcBorders>
            <w:vAlign w:val="center"/>
          </w:tcPr>
          <w:p>
            <w:pPr>
              <w:pStyle w:val="1855"/>
              <w:keepNext w:val="0"/>
              <w:keepLines w:val="0"/>
              <w:suppressLineNumbers w:val="0"/>
              <w:spacing w:beforeAutospacing="0" w:afterAutospacing="0"/>
              <w:ind w:left="0" w:right="0"/>
              <w:rPr>
                <w:rFonts w:hint="default"/>
                <w:b w:val="0"/>
                <w:bCs/>
                <w:color w:val="auto"/>
                <w:sz w:val="21"/>
                <w:szCs w:val="21"/>
              </w:rPr>
            </w:pPr>
            <w:r>
              <w:rPr>
                <w:rFonts w:hint="default"/>
                <w:b w:val="0"/>
                <w:bCs/>
                <w:color w:val="auto"/>
                <w:sz w:val="21"/>
                <w:szCs w:val="21"/>
              </w:rPr>
              <w:t>地下水</w:t>
            </w:r>
          </w:p>
          <w:p>
            <w:pPr>
              <w:pStyle w:val="1855"/>
              <w:keepNext w:val="0"/>
              <w:keepLines w:val="0"/>
              <w:suppressLineNumbers w:val="0"/>
              <w:spacing w:beforeAutospacing="0" w:afterAutospacing="0"/>
              <w:ind w:left="0" w:right="0"/>
              <w:rPr>
                <w:rFonts w:hint="default" w:ascii="仿宋_GB2312" w:hAnsi="仿宋_GB2312" w:eastAsia="宋体" w:cs="仿宋_GB2312"/>
                <w:b w:val="0"/>
                <w:bCs/>
                <w:color w:val="auto"/>
                <w:kern w:val="0"/>
                <w:sz w:val="21"/>
                <w:szCs w:val="21"/>
                <w:lang w:val="en-US" w:eastAsia="zh-CN" w:bidi="ar-SA"/>
              </w:rPr>
            </w:pPr>
            <w:r>
              <w:rPr>
                <w:rFonts w:hint="default"/>
                <w:b w:val="0"/>
                <w:bCs/>
                <w:color w:val="auto"/>
                <w:sz w:val="21"/>
                <w:szCs w:val="21"/>
              </w:rPr>
              <w:t>污染防治</w:t>
            </w:r>
          </w:p>
        </w:tc>
        <w:tc>
          <w:tcPr>
            <w:tcW w:w="2694" w:type="pct"/>
            <w:tcBorders>
              <w:tl2br w:val="nil"/>
              <w:tr2bl w:val="nil"/>
            </w:tcBorders>
            <w:vAlign w:val="center"/>
          </w:tcPr>
          <w:p>
            <w:pPr>
              <w:pStyle w:val="1855"/>
              <w:keepNext w:val="0"/>
              <w:keepLines w:val="0"/>
              <w:suppressLineNumbers w:val="0"/>
              <w:spacing w:beforeAutospacing="0" w:afterAutospacing="0"/>
              <w:ind w:left="0" w:right="0"/>
              <w:jc w:val="both"/>
              <w:rPr>
                <w:rFonts w:hint="default" w:ascii="仿宋_GB2312" w:hAnsi="仿宋_GB2312" w:eastAsia="宋体" w:cs="仿宋_GB2312"/>
                <w:b w:val="0"/>
                <w:bCs/>
                <w:color w:val="auto"/>
                <w:kern w:val="0"/>
                <w:sz w:val="21"/>
                <w:szCs w:val="21"/>
                <w:lang w:val="en-US" w:eastAsia="zh-CN" w:bidi="ar-SA"/>
              </w:rPr>
            </w:pPr>
            <w:r>
              <w:rPr>
                <w:rFonts w:hint="default"/>
                <w:b w:val="0"/>
                <w:bCs/>
                <w:color w:val="auto"/>
                <w:sz w:val="21"/>
                <w:szCs w:val="21"/>
              </w:rPr>
              <w:t>根据可能导致地下水污染的情况，厂区内分为重点防渗区、一般防渗区、简单防渗区；重点防渗区的防渗系数Mb≥6.0m，K≤10</w:t>
            </w:r>
            <w:r>
              <w:rPr>
                <w:rFonts w:hint="default"/>
                <w:b w:val="0"/>
                <w:bCs/>
                <w:color w:val="auto"/>
                <w:sz w:val="21"/>
                <w:szCs w:val="21"/>
                <w:vertAlign w:val="superscript"/>
              </w:rPr>
              <w:t>-</w:t>
            </w:r>
            <w:r>
              <w:rPr>
                <w:rFonts w:hint="eastAsia"/>
                <w:b w:val="0"/>
                <w:bCs/>
                <w:color w:val="auto"/>
                <w:sz w:val="21"/>
                <w:szCs w:val="21"/>
                <w:vertAlign w:val="superscript"/>
                <w:lang w:val="en-US" w:eastAsia="zh-CN"/>
              </w:rPr>
              <w:t>7</w:t>
            </w:r>
            <w:r>
              <w:rPr>
                <w:rFonts w:hint="default"/>
                <w:b w:val="0"/>
                <w:bCs/>
                <w:color w:val="auto"/>
                <w:sz w:val="21"/>
                <w:szCs w:val="21"/>
              </w:rPr>
              <w:t>cm/s；一般防渗区的防渗系数Mb≥1.5m，K≤10</w:t>
            </w:r>
            <w:r>
              <w:rPr>
                <w:rFonts w:hint="default"/>
                <w:b w:val="0"/>
                <w:bCs/>
                <w:color w:val="auto"/>
                <w:sz w:val="21"/>
                <w:szCs w:val="21"/>
                <w:vertAlign w:val="superscript"/>
              </w:rPr>
              <w:t>-7</w:t>
            </w:r>
            <w:r>
              <w:rPr>
                <w:rFonts w:hint="default"/>
                <w:b w:val="0"/>
                <w:bCs/>
                <w:color w:val="auto"/>
                <w:sz w:val="21"/>
                <w:szCs w:val="21"/>
              </w:rPr>
              <w:t>cm/s。</w:t>
            </w:r>
          </w:p>
        </w:tc>
        <w:tc>
          <w:tcPr>
            <w:tcW w:w="89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w:t>
            </w:r>
          </w:p>
        </w:tc>
      </w:tr>
    </w:tbl>
    <w:p>
      <w:pPr>
        <w:pStyle w:val="7"/>
        <w:spacing w:before="0" w:after="0" w:line="360" w:lineRule="auto"/>
        <w:ind w:left="0" w:firstLine="0"/>
        <w:rPr>
          <w:rFonts w:cs="Times New Roman"/>
          <w:color w:val="auto"/>
        </w:rPr>
      </w:pPr>
      <w:bookmarkStart w:id="122" w:name="_Toc10413"/>
      <w:bookmarkStart w:id="123" w:name="_Toc405412811"/>
      <w:bookmarkStart w:id="124" w:name="_Toc319591168"/>
      <w:bookmarkStart w:id="125" w:name="_Toc319588857"/>
      <w:bookmarkStart w:id="126" w:name="_Toc405412810"/>
      <w:bookmarkStart w:id="127" w:name="_Toc321575615"/>
      <w:r>
        <w:rPr>
          <w:rFonts w:cs="Times New Roman"/>
          <w:color w:val="auto"/>
        </w:rPr>
        <w:t>项目主要设备</w:t>
      </w:r>
      <w:bookmarkEnd w:id="122"/>
      <w:bookmarkEnd w:id="123"/>
      <w:bookmarkEnd w:id="124"/>
      <w:bookmarkEnd w:id="125"/>
    </w:p>
    <w:p>
      <w:pPr>
        <w:ind w:firstLine="470" w:firstLineChars="196"/>
        <w:jc w:val="left"/>
        <w:rPr>
          <w:rFonts w:ascii="Times New Roman" w:hAnsi="Times New Roman" w:cs="Times New Roman"/>
          <w:color w:val="auto"/>
          <w:sz w:val="24"/>
          <w:szCs w:val="24"/>
        </w:rPr>
      </w:pPr>
      <w:r>
        <w:rPr>
          <w:rFonts w:ascii="Times New Roman" w:hAnsi="Times New Roman" w:cs="Times New Roman"/>
          <w:color w:val="auto"/>
          <w:sz w:val="24"/>
          <w:szCs w:val="24"/>
        </w:rPr>
        <w:t>本项目主要设备见下表：</w:t>
      </w:r>
    </w:p>
    <w:p>
      <w:pPr>
        <w:pStyle w:val="2503"/>
        <w:numPr>
          <w:ilvl w:val="0"/>
          <w:numId w:val="16"/>
        </w:numPr>
        <w:spacing w:before="120"/>
        <w:ind w:left="425" w:leftChars="0" w:hanging="425" w:firstLineChars="0"/>
        <w:rPr>
          <w:color w:val="auto"/>
        </w:rPr>
      </w:pPr>
      <w:r>
        <w:rPr>
          <w:color w:val="auto"/>
        </w:rPr>
        <w:t xml:space="preserve"> 主要生产设备一览表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01"/>
        <w:gridCol w:w="1817"/>
        <w:gridCol w:w="4985"/>
        <w:gridCol w:w="800"/>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b/>
                <w:bCs/>
                <w:color w:val="auto"/>
                <w:sz w:val="21"/>
                <w:szCs w:val="21"/>
              </w:rPr>
              <w:t>序号</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b/>
                <w:bCs/>
                <w:color w:val="auto"/>
                <w:sz w:val="21"/>
                <w:szCs w:val="21"/>
              </w:rPr>
              <w:t>名称</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b/>
                <w:bCs/>
                <w:color w:val="auto"/>
                <w:sz w:val="21"/>
                <w:szCs w:val="21"/>
              </w:rPr>
              <w:t>规模/型号</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b/>
                <w:bCs/>
                <w:color w:val="auto"/>
                <w:sz w:val="21"/>
                <w:szCs w:val="21"/>
              </w:rPr>
              <w:t>数量</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rPr>
            </w:pPr>
            <w:r>
              <w:rPr>
                <w:rFonts w:hint="default"/>
                <w:color w:val="auto"/>
                <w:w w:val="99"/>
                <w:sz w:val="21"/>
                <w:szCs w:val="21"/>
              </w:rPr>
              <w:t>1</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eastAsia"/>
                <w:color w:val="auto"/>
                <w:sz w:val="21"/>
                <w:szCs w:val="21"/>
                <w:lang w:eastAsia="zh-CN"/>
              </w:rPr>
              <w:t>配怀舍</w:t>
            </w:r>
            <w:r>
              <w:rPr>
                <w:rFonts w:hint="default"/>
                <w:color w:val="auto"/>
                <w:sz w:val="21"/>
                <w:szCs w:val="21"/>
              </w:rPr>
              <w:t>设备</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color w:val="auto"/>
                <w:sz w:val="21"/>
                <w:szCs w:val="21"/>
              </w:rPr>
              <w:t>栏位系统、环控系统、</w:t>
            </w:r>
            <w:r>
              <w:rPr>
                <w:rFonts w:hint="eastAsia"/>
                <w:color w:val="auto"/>
                <w:sz w:val="21"/>
                <w:szCs w:val="21"/>
              </w:rPr>
              <w:t>喂料</w:t>
            </w:r>
            <w:r>
              <w:rPr>
                <w:rFonts w:hint="default"/>
                <w:color w:val="auto"/>
                <w:sz w:val="21"/>
                <w:szCs w:val="21"/>
              </w:rPr>
              <w:t>系统、清粪系统等</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eastAsia"/>
                <w:color w:val="auto"/>
                <w:sz w:val="21"/>
                <w:szCs w:val="21"/>
                <w:lang w:val="en-US" w:eastAsia="zh-CN"/>
              </w:rPr>
              <w:t>5</w:t>
            </w:r>
            <w:r>
              <w:rPr>
                <w:rFonts w:hint="default"/>
                <w:color w:val="auto"/>
                <w:sz w:val="21"/>
                <w:szCs w:val="21"/>
              </w:rPr>
              <w:t>套</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eastAsia" w:eastAsia="宋体"/>
                <w:color w:val="auto"/>
                <w:w w:val="99"/>
                <w:sz w:val="21"/>
                <w:szCs w:val="21"/>
                <w:lang w:val="en-US" w:eastAsia="zh-CN"/>
              </w:rPr>
            </w:pPr>
            <w:r>
              <w:rPr>
                <w:rFonts w:hint="eastAsia"/>
                <w:color w:val="auto"/>
                <w:w w:val="99"/>
                <w:sz w:val="21"/>
                <w:szCs w:val="21"/>
                <w:lang w:val="en-US" w:eastAsia="zh-CN"/>
              </w:rPr>
              <w:t>2</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lang w:val="en-US" w:eastAsia="zh-CN" w:bidi="ar-SA"/>
              </w:rPr>
            </w:pPr>
            <w:r>
              <w:rPr>
                <w:rFonts w:hint="eastAsia"/>
                <w:color w:val="auto"/>
                <w:sz w:val="21"/>
                <w:szCs w:val="21"/>
                <w:lang w:eastAsia="zh-CN"/>
              </w:rPr>
              <w:t>分娩舍</w:t>
            </w:r>
            <w:r>
              <w:rPr>
                <w:rFonts w:hint="default"/>
                <w:color w:val="auto"/>
                <w:sz w:val="21"/>
                <w:szCs w:val="21"/>
              </w:rPr>
              <w:t>设备</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栏位系统、环控系统、</w:t>
            </w:r>
            <w:r>
              <w:rPr>
                <w:rFonts w:hint="eastAsia"/>
                <w:color w:val="auto"/>
                <w:sz w:val="21"/>
                <w:szCs w:val="21"/>
              </w:rPr>
              <w:t>喂料</w:t>
            </w:r>
            <w:r>
              <w:rPr>
                <w:rFonts w:hint="default"/>
                <w:color w:val="auto"/>
                <w:sz w:val="21"/>
                <w:szCs w:val="21"/>
              </w:rPr>
              <w:t>系统、清粪系统等</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lang w:val="en-US" w:eastAsia="zh-CN" w:bidi="ar-SA"/>
              </w:rPr>
            </w:pPr>
            <w:r>
              <w:rPr>
                <w:rFonts w:hint="eastAsia"/>
                <w:color w:val="auto"/>
                <w:sz w:val="21"/>
                <w:szCs w:val="21"/>
                <w:lang w:val="en-US" w:eastAsia="zh-CN"/>
              </w:rPr>
              <w:t>6</w:t>
            </w:r>
            <w:r>
              <w:rPr>
                <w:rFonts w:hint="default"/>
                <w:color w:val="auto"/>
                <w:sz w:val="21"/>
                <w:szCs w:val="21"/>
              </w:rPr>
              <w:t>套</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eastAsia" w:eastAsia="宋体"/>
                <w:color w:val="auto"/>
                <w:lang w:eastAsia="zh-CN"/>
              </w:rPr>
            </w:pPr>
            <w:r>
              <w:rPr>
                <w:rFonts w:hint="eastAsia"/>
                <w:color w:val="auto"/>
                <w:w w:val="99"/>
                <w:sz w:val="21"/>
                <w:szCs w:val="21"/>
                <w:lang w:val="en-US" w:eastAsia="zh-CN"/>
              </w:rPr>
              <w:t>3</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eastAsia="宋体"/>
                <w:color w:val="auto"/>
                <w:lang w:eastAsia="zh-CN"/>
              </w:rPr>
            </w:pPr>
            <w:r>
              <w:rPr>
                <w:rFonts w:hint="eastAsia"/>
                <w:color w:val="auto"/>
                <w:lang w:eastAsia="zh-CN"/>
              </w:rPr>
              <w:t>后备舍设备</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color w:val="auto"/>
                <w:sz w:val="21"/>
                <w:szCs w:val="21"/>
              </w:rPr>
              <w:t>栏位系统、环控系统、</w:t>
            </w:r>
            <w:r>
              <w:rPr>
                <w:rFonts w:hint="eastAsia"/>
                <w:color w:val="auto"/>
                <w:sz w:val="21"/>
                <w:szCs w:val="21"/>
              </w:rPr>
              <w:t>喂料</w:t>
            </w:r>
            <w:r>
              <w:rPr>
                <w:rFonts w:hint="default"/>
                <w:color w:val="auto"/>
                <w:sz w:val="21"/>
                <w:szCs w:val="21"/>
              </w:rPr>
              <w:t>系统、清粪系统等</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eastAsia"/>
                <w:color w:val="auto"/>
                <w:sz w:val="21"/>
                <w:szCs w:val="21"/>
                <w:lang w:val="en-US" w:eastAsia="zh-CN"/>
              </w:rPr>
              <w:t>5</w:t>
            </w:r>
            <w:r>
              <w:rPr>
                <w:rFonts w:hint="default"/>
                <w:color w:val="auto"/>
                <w:sz w:val="21"/>
                <w:szCs w:val="21"/>
              </w:rPr>
              <w:t>套</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eastAsia" w:eastAsia="宋体"/>
                <w:color w:val="auto"/>
                <w:lang w:eastAsia="zh-CN"/>
              </w:rPr>
            </w:pPr>
            <w:r>
              <w:rPr>
                <w:rFonts w:hint="eastAsia"/>
                <w:color w:val="auto"/>
                <w:w w:val="99"/>
                <w:sz w:val="21"/>
                <w:szCs w:val="21"/>
                <w:lang w:val="en-US" w:eastAsia="zh-CN"/>
              </w:rPr>
              <w:t>4</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eastAsia"/>
                <w:color w:val="auto"/>
                <w:sz w:val="21"/>
                <w:szCs w:val="21"/>
                <w:lang w:eastAsia="zh-CN"/>
              </w:rPr>
              <w:t>公猪舍</w:t>
            </w:r>
            <w:r>
              <w:rPr>
                <w:rFonts w:hint="default"/>
                <w:color w:val="auto"/>
                <w:sz w:val="21"/>
                <w:szCs w:val="21"/>
              </w:rPr>
              <w:t>设备</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栏位系统、环控系统、</w:t>
            </w:r>
            <w:r>
              <w:rPr>
                <w:rFonts w:hint="eastAsia"/>
                <w:color w:val="auto"/>
                <w:sz w:val="21"/>
                <w:szCs w:val="21"/>
              </w:rPr>
              <w:t>喂料</w:t>
            </w:r>
            <w:r>
              <w:rPr>
                <w:rFonts w:hint="default"/>
                <w:color w:val="auto"/>
                <w:sz w:val="21"/>
                <w:szCs w:val="21"/>
              </w:rPr>
              <w:t>系统、清粪系统等</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1套</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eastAsia" w:eastAsia="宋体"/>
                <w:color w:val="auto"/>
                <w:w w:val="99"/>
                <w:sz w:val="21"/>
                <w:szCs w:val="21"/>
                <w:lang w:eastAsia="zh-CN"/>
              </w:rPr>
            </w:pPr>
            <w:r>
              <w:rPr>
                <w:rFonts w:hint="eastAsia"/>
                <w:color w:val="auto"/>
                <w:w w:val="99"/>
                <w:sz w:val="21"/>
                <w:szCs w:val="21"/>
                <w:lang w:val="en-US" w:eastAsia="zh-CN"/>
              </w:rPr>
              <w:t>5</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1"/>
                <w:szCs w:val="21"/>
                <w:lang w:val="en-US" w:eastAsia="en-US" w:bidi="ar-SA"/>
              </w:rPr>
            </w:pPr>
            <w:r>
              <w:rPr>
                <w:rFonts w:hint="default"/>
                <w:color w:val="auto"/>
                <w:sz w:val="21"/>
                <w:szCs w:val="21"/>
              </w:rPr>
              <w:t>中转</w:t>
            </w:r>
            <w:r>
              <w:rPr>
                <w:rFonts w:hint="eastAsia"/>
                <w:color w:val="auto"/>
                <w:sz w:val="21"/>
                <w:szCs w:val="21"/>
                <w:lang w:eastAsia="zh-CN"/>
              </w:rPr>
              <w:t>后备舍</w:t>
            </w:r>
            <w:r>
              <w:rPr>
                <w:rFonts w:hint="default"/>
                <w:color w:val="auto"/>
                <w:sz w:val="21"/>
                <w:szCs w:val="21"/>
              </w:rPr>
              <w:t>设备</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1"/>
                <w:szCs w:val="21"/>
                <w:lang w:val="en-US" w:eastAsia="en-US" w:bidi="ar-SA"/>
              </w:rPr>
            </w:pPr>
            <w:r>
              <w:rPr>
                <w:rFonts w:hint="default"/>
                <w:color w:val="auto"/>
                <w:sz w:val="21"/>
                <w:szCs w:val="21"/>
              </w:rPr>
              <w:t>栏位系统、环控系统、</w:t>
            </w:r>
            <w:r>
              <w:rPr>
                <w:rFonts w:hint="eastAsia"/>
                <w:color w:val="auto"/>
                <w:sz w:val="21"/>
                <w:szCs w:val="21"/>
              </w:rPr>
              <w:t>喂料</w:t>
            </w:r>
            <w:r>
              <w:rPr>
                <w:rFonts w:hint="default"/>
                <w:color w:val="auto"/>
                <w:sz w:val="21"/>
                <w:szCs w:val="21"/>
              </w:rPr>
              <w:t>系统、清粪系统等</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1"/>
                <w:szCs w:val="21"/>
                <w:lang w:val="en-US" w:eastAsia="en-US" w:bidi="ar-SA"/>
              </w:rPr>
            </w:pPr>
            <w:r>
              <w:rPr>
                <w:rFonts w:hint="eastAsia"/>
                <w:color w:val="auto"/>
                <w:sz w:val="21"/>
                <w:szCs w:val="21"/>
                <w:lang w:val="en-US" w:eastAsia="zh-CN"/>
              </w:rPr>
              <w:t>4</w:t>
            </w:r>
            <w:r>
              <w:rPr>
                <w:rFonts w:hint="default"/>
                <w:color w:val="auto"/>
                <w:sz w:val="21"/>
                <w:szCs w:val="21"/>
              </w:rPr>
              <w:t>套</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rightChars="0"/>
              <w:jc w:val="center"/>
              <w:rPr>
                <w:rFonts w:hint="default" w:ascii="Calibri" w:hAnsi="Calibri" w:eastAsia="宋体" w:cs="Calibri"/>
                <w:color w:val="auto"/>
                <w:w w:val="99"/>
                <w:kern w:val="0"/>
                <w:sz w:val="21"/>
                <w:szCs w:val="21"/>
                <w:lang w:val="en-US" w:eastAsia="en-US" w:bidi="ar-SA"/>
              </w:rPr>
            </w:pPr>
            <w:r>
              <w:rPr>
                <w:rFonts w:hint="default"/>
                <w:color w:val="auto"/>
                <w:w w:val="99"/>
                <w:sz w:val="21"/>
                <w:szCs w:val="21"/>
              </w:rPr>
              <w:t>6</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污水处理系统</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w w:val="99"/>
                <w:sz w:val="21"/>
                <w:szCs w:val="21"/>
              </w:rPr>
              <w:t>/</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1套</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rightChars="0"/>
              <w:jc w:val="center"/>
              <w:rPr>
                <w:rFonts w:hint="default" w:ascii="Calibri" w:hAnsi="Calibri" w:eastAsia="宋体" w:cs="Calibri"/>
                <w:color w:val="auto"/>
                <w:kern w:val="0"/>
                <w:sz w:val="22"/>
                <w:szCs w:val="21"/>
                <w:lang w:val="en-US" w:eastAsia="en-US" w:bidi="ar-SA"/>
              </w:rPr>
            </w:pPr>
            <w:r>
              <w:rPr>
                <w:rFonts w:hint="default"/>
                <w:color w:val="auto"/>
                <w:w w:val="99"/>
                <w:sz w:val="21"/>
                <w:szCs w:val="21"/>
              </w:rPr>
              <w:t>7</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1"/>
                <w:szCs w:val="21"/>
                <w:lang w:val="en-US" w:eastAsia="zh-CN" w:bidi="ar-SA"/>
              </w:rPr>
            </w:pPr>
            <w:r>
              <w:rPr>
                <w:rFonts w:hint="eastAsia"/>
                <w:color w:val="auto"/>
                <w:sz w:val="21"/>
                <w:szCs w:val="21"/>
              </w:rPr>
              <w:t>异位发酵</w:t>
            </w:r>
            <w:r>
              <w:rPr>
                <w:rFonts w:hint="eastAsia"/>
                <w:color w:val="auto"/>
                <w:sz w:val="21"/>
                <w:szCs w:val="21"/>
                <w:lang w:eastAsia="zh-CN"/>
              </w:rPr>
              <w:t>罐</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w w:val="99"/>
                <w:kern w:val="0"/>
                <w:sz w:val="21"/>
                <w:szCs w:val="21"/>
                <w:lang w:val="en-US" w:eastAsia="en-US" w:bidi="ar-SA"/>
              </w:rPr>
            </w:pPr>
            <w:r>
              <w:rPr>
                <w:rFonts w:hint="eastAsia"/>
                <w:color w:val="auto"/>
                <w:w w:val="99"/>
                <w:sz w:val="21"/>
                <w:szCs w:val="21"/>
              </w:rPr>
              <w:t>/</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1"/>
                <w:szCs w:val="21"/>
                <w:lang w:val="en-US" w:eastAsia="en-US" w:bidi="ar-SA"/>
              </w:rPr>
            </w:pPr>
            <w:r>
              <w:rPr>
                <w:rFonts w:hint="eastAsia"/>
                <w:color w:val="auto"/>
                <w:sz w:val="21"/>
                <w:szCs w:val="21"/>
              </w:rPr>
              <w:t>2套</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rightChars="0"/>
              <w:jc w:val="center"/>
              <w:rPr>
                <w:rFonts w:hint="eastAsia" w:ascii="Calibri" w:hAnsi="Calibri" w:eastAsia="宋体" w:cs="Calibri"/>
                <w:color w:val="auto"/>
                <w:w w:val="99"/>
                <w:kern w:val="0"/>
                <w:sz w:val="21"/>
                <w:szCs w:val="21"/>
                <w:lang w:val="en-US" w:eastAsia="en-US" w:bidi="ar-SA"/>
              </w:rPr>
            </w:pPr>
            <w:r>
              <w:rPr>
                <w:rFonts w:hint="eastAsia"/>
                <w:color w:val="auto"/>
                <w:w w:val="99"/>
                <w:sz w:val="21"/>
                <w:szCs w:val="21"/>
              </w:rPr>
              <w:t>8</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运输车辆</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猪苗运输车、饲料散装车、猪粪运输车、后勤车</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4辆</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rightChars="0"/>
              <w:jc w:val="center"/>
              <w:rPr>
                <w:rFonts w:hint="eastAsia" w:ascii="Calibri" w:hAnsi="Calibri" w:eastAsia="宋体" w:cs="Calibri"/>
                <w:color w:val="auto"/>
                <w:kern w:val="0"/>
                <w:sz w:val="22"/>
                <w:szCs w:val="21"/>
                <w:lang w:val="en-US" w:eastAsia="en-US" w:bidi="ar-SA"/>
              </w:rPr>
            </w:pPr>
            <w:r>
              <w:rPr>
                <w:rFonts w:hint="eastAsia"/>
                <w:color w:val="auto"/>
                <w:w w:val="99"/>
                <w:sz w:val="21"/>
                <w:szCs w:val="21"/>
              </w:rPr>
              <w:t>9</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lang w:val="en-US" w:eastAsia="zh-CN" w:bidi="ar-SA"/>
              </w:rPr>
            </w:pPr>
            <w:r>
              <w:rPr>
                <w:rFonts w:hint="default"/>
                <w:color w:val="auto"/>
                <w:sz w:val="21"/>
                <w:szCs w:val="21"/>
              </w:rPr>
              <w:t>消毒设备</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lang w:val="en-US" w:eastAsia="en-US" w:bidi="ar-SA"/>
              </w:rPr>
            </w:pPr>
            <w:r>
              <w:rPr>
                <w:rFonts w:hint="default"/>
                <w:color w:val="auto"/>
                <w:sz w:val="21"/>
                <w:szCs w:val="21"/>
              </w:rPr>
              <w:t>超声波雾化机、高压冲洗机、消毒设备等</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lang w:val="en-US" w:eastAsia="en-US" w:bidi="ar-SA"/>
              </w:rPr>
            </w:pPr>
            <w:r>
              <w:rPr>
                <w:rFonts w:hint="default"/>
                <w:color w:val="auto"/>
                <w:sz w:val="21"/>
                <w:szCs w:val="21"/>
              </w:rPr>
              <w:t>2套</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rightChars="0"/>
              <w:jc w:val="center"/>
              <w:rPr>
                <w:rFonts w:hint="eastAsia" w:ascii="Calibri" w:hAnsi="Calibri" w:eastAsia="宋体" w:cs="Calibri"/>
                <w:color w:val="auto"/>
                <w:kern w:val="0"/>
                <w:sz w:val="22"/>
                <w:szCs w:val="21"/>
                <w:lang w:val="en-US" w:eastAsia="en-US" w:bidi="ar-SA"/>
              </w:rPr>
            </w:pPr>
            <w:r>
              <w:rPr>
                <w:rFonts w:hint="eastAsia"/>
                <w:color w:val="auto"/>
                <w:w w:val="99"/>
                <w:sz w:val="21"/>
                <w:szCs w:val="21"/>
              </w:rPr>
              <w:t>10</w:t>
            </w:r>
          </w:p>
        </w:tc>
        <w:tc>
          <w:tcPr>
            <w:tcW w:w="109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人工授精室设备</w:t>
            </w:r>
          </w:p>
        </w:tc>
        <w:tc>
          <w:tcPr>
            <w:tcW w:w="300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spacing w:val="-4"/>
                <w:kern w:val="0"/>
                <w:sz w:val="21"/>
                <w:szCs w:val="21"/>
                <w:lang w:val="en-US" w:eastAsia="en-US" w:bidi="ar-SA"/>
              </w:rPr>
            </w:pPr>
            <w:r>
              <w:rPr>
                <w:rFonts w:hint="default"/>
                <w:color w:val="auto"/>
                <w:spacing w:val="-4"/>
                <w:sz w:val="21"/>
                <w:szCs w:val="21"/>
              </w:rPr>
              <w:t>电热恒温水浴锅、生物显微镜、恒温冰箱、精液分析仪、精液</w:t>
            </w:r>
            <w:r>
              <w:rPr>
                <w:rFonts w:hint="default"/>
                <w:color w:val="auto"/>
                <w:sz w:val="21"/>
                <w:szCs w:val="21"/>
              </w:rPr>
              <w:t>自动分装机、精子密度仪、空调等</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lang w:val="en-US" w:eastAsia="en-US" w:bidi="ar-SA"/>
              </w:rPr>
            </w:pPr>
            <w:r>
              <w:rPr>
                <w:rFonts w:hint="default"/>
                <w:color w:val="auto"/>
                <w:sz w:val="21"/>
                <w:szCs w:val="21"/>
              </w:rPr>
              <w:t>1套</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22" w:type="pct"/>
            <w:noWrap w:val="0"/>
            <w:vAlign w:val="center"/>
          </w:tcPr>
          <w:p>
            <w:pPr>
              <w:pStyle w:val="163"/>
              <w:keepNext w:val="0"/>
              <w:keepLines w:val="0"/>
              <w:suppressLineNumbers w:val="0"/>
              <w:kinsoku w:val="0"/>
              <w:overflowPunct w:val="0"/>
              <w:spacing w:before="0" w:beforeAutospacing="0" w:after="0" w:afterAutospacing="0"/>
              <w:ind w:left="0" w:right="1" w:rightChars="0"/>
              <w:jc w:val="center"/>
              <w:rPr>
                <w:rFonts w:hint="eastAsia" w:ascii="Calibri" w:hAnsi="Calibri" w:eastAsia="宋体" w:cs="Calibri"/>
                <w:color w:val="auto"/>
                <w:kern w:val="0"/>
                <w:sz w:val="22"/>
                <w:szCs w:val="21"/>
                <w:lang w:val="en-US" w:eastAsia="en-US" w:bidi="ar-SA"/>
              </w:rPr>
            </w:pPr>
            <w:r>
              <w:rPr>
                <w:rFonts w:hint="default"/>
                <w:color w:val="auto"/>
                <w:w w:val="99"/>
                <w:sz w:val="21"/>
                <w:szCs w:val="21"/>
              </w:rPr>
              <w:t>1</w:t>
            </w:r>
            <w:r>
              <w:rPr>
                <w:rFonts w:hint="eastAsia"/>
                <w:color w:val="auto"/>
                <w:w w:val="99"/>
                <w:sz w:val="21"/>
                <w:szCs w:val="21"/>
              </w:rPr>
              <w:t>1</w:t>
            </w:r>
          </w:p>
        </w:tc>
        <w:tc>
          <w:tcPr>
            <w:tcW w:w="1094"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s="Times New Roman"/>
                <w:color w:val="auto"/>
              </w:rPr>
              <w:t>病死猪发酵处理车间</w:t>
            </w:r>
          </w:p>
        </w:tc>
        <w:tc>
          <w:tcPr>
            <w:tcW w:w="3001" w:type="pct"/>
            <w:noWrap w:val="0"/>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cs="Times New Roman"/>
                <w:color w:val="auto"/>
              </w:rPr>
              <w:t>无害化降解处理机、</w:t>
            </w:r>
            <w:r>
              <w:rPr>
                <w:rFonts w:hint="default" w:ascii="Times New Roman" w:hAnsi="Times New Roman" w:eastAsia="宋体" w:cs="Times New Roman"/>
                <w:color w:val="auto"/>
                <w:kern w:val="0"/>
              </w:rPr>
              <w:t>空调等</w:t>
            </w:r>
          </w:p>
        </w:tc>
        <w:tc>
          <w:tcPr>
            <w:tcW w:w="48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rPr>
            </w:pPr>
            <w:r>
              <w:rPr>
                <w:rFonts w:hint="default"/>
                <w:color w:val="auto"/>
                <w:sz w:val="21"/>
                <w:szCs w:val="21"/>
              </w:rPr>
              <w:t>1套</w:t>
            </w:r>
          </w:p>
        </w:tc>
      </w:tr>
    </w:tbl>
    <w:p>
      <w:pPr>
        <w:pStyle w:val="7"/>
        <w:spacing w:before="0" w:after="0" w:line="360" w:lineRule="auto"/>
        <w:ind w:left="0" w:firstLine="0"/>
        <w:rPr>
          <w:color w:val="auto"/>
        </w:rPr>
      </w:pPr>
      <w:bookmarkStart w:id="128" w:name="_Toc393354431"/>
      <w:bookmarkStart w:id="129" w:name="_Toc16349"/>
      <w:r>
        <w:rPr>
          <w:rFonts w:cs="Times New Roman"/>
          <w:color w:val="auto"/>
        </w:rPr>
        <w:t>原辅材料及动力消耗情况</w:t>
      </w:r>
      <w:bookmarkEnd w:id="128"/>
      <w:bookmarkEnd w:id="129"/>
    </w:p>
    <w:p>
      <w:pPr>
        <w:ind w:firstLine="480" w:firstLineChars="200"/>
        <w:rPr>
          <w:rFonts w:ascii="Times New Roman" w:hAnsi="Times New Roman" w:cs="Times New Roman"/>
          <w:color w:val="auto"/>
          <w:sz w:val="24"/>
        </w:rPr>
      </w:pPr>
      <w:r>
        <w:rPr>
          <w:rFonts w:ascii="Times New Roman" w:hAnsi="Times New Roman" w:cs="Times New Roman"/>
          <w:color w:val="auto"/>
          <w:sz w:val="24"/>
        </w:rPr>
        <w:t>本项目主要原辅材料、动力消耗及来源见下表：</w:t>
      </w:r>
    </w:p>
    <w:p>
      <w:pPr>
        <w:pStyle w:val="110"/>
        <w:rPr>
          <w:color w:val="auto"/>
        </w:rPr>
      </w:pPr>
    </w:p>
    <w:p>
      <w:pPr>
        <w:pStyle w:val="2503"/>
        <w:numPr>
          <w:ilvl w:val="0"/>
          <w:numId w:val="16"/>
        </w:numPr>
        <w:spacing w:before="120"/>
        <w:ind w:left="425" w:leftChars="0" w:hanging="425" w:firstLineChars="0"/>
        <w:rPr>
          <w:rFonts w:cs="Times New Roman"/>
          <w:color w:val="auto"/>
        </w:rPr>
      </w:pPr>
      <w:r>
        <w:rPr>
          <w:color w:val="auto"/>
        </w:rPr>
        <w:t xml:space="preserve"> </w:t>
      </w:r>
      <w:r>
        <w:rPr>
          <w:rFonts w:cs="Times New Roman"/>
          <w:color w:val="auto"/>
        </w:rPr>
        <w:t>主要原辅材料年需要量表</w:t>
      </w:r>
    </w:p>
    <w:tbl>
      <w:tblPr>
        <w:tblStyle w:val="88"/>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60"/>
        <w:gridCol w:w="1934"/>
        <w:gridCol w:w="1441"/>
        <w:gridCol w:w="1833"/>
        <w:gridCol w:w="213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rPr>
            </w:pPr>
            <w:r>
              <w:rPr>
                <w:rFonts w:hint="default"/>
                <w:b/>
                <w:bCs/>
                <w:color w:val="auto"/>
              </w:rPr>
              <w:t>类别</w:t>
            </w: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rPr>
            </w:pPr>
            <w:r>
              <w:rPr>
                <w:rFonts w:hint="default"/>
                <w:b/>
                <w:bCs/>
                <w:color w:val="auto"/>
              </w:rPr>
              <w:t>名称</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rPr>
            </w:pPr>
            <w:r>
              <w:rPr>
                <w:rFonts w:hint="default"/>
                <w:b/>
                <w:bCs/>
                <w:color w:val="auto"/>
              </w:rPr>
              <w:t>年耗量</w:t>
            </w:r>
            <w:r>
              <w:rPr>
                <w:rFonts w:hint="eastAsia"/>
                <w:b/>
                <w:bCs/>
                <w:color w:val="auto"/>
              </w:rPr>
              <w:t>（t）</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rPr>
            </w:pPr>
            <w:r>
              <w:rPr>
                <w:rFonts w:hint="default"/>
                <w:b/>
                <w:bCs/>
                <w:color w:val="auto"/>
              </w:rPr>
              <w:t>来源</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rPr>
            </w:pPr>
            <w:r>
              <w:rPr>
                <w:rFonts w:hint="default"/>
                <w:b/>
                <w:bCs/>
                <w:color w:val="auto"/>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施工期</w:t>
            </w: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钢材</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eastAsia"/>
                <w:color w:val="auto"/>
                <w:lang w:val="en-US" w:eastAsia="zh-CN"/>
              </w:rPr>
              <w:t>30</w:t>
            </w:r>
            <w:r>
              <w:rPr>
                <w:rFonts w:hint="eastAsia"/>
                <w:color w:val="auto"/>
              </w:rPr>
              <w:t>0</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页岩多孔砖</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eastAsia"/>
                <w:color w:val="auto"/>
                <w:lang w:val="en-US" w:eastAsia="zh-CN"/>
              </w:rPr>
              <w:t>5</w:t>
            </w:r>
            <w:r>
              <w:rPr>
                <w:rFonts w:hint="eastAsia"/>
                <w:color w:val="auto"/>
              </w:rPr>
              <w:t>3</w:t>
            </w:r>
            <w:r>
              <w:rPr>
                <w:rFonts w:hint="default"/>
                <w:color w:val="auto"/>
              </w:rPr>
              <w:t>60m</w:t>
            </w:r>
            <w:r>
              <w:rPr>
                <w:rFonts w:hint="default"/>
                <w:color w:val="auto"/>
                <w:vertAlign w:val="superscript"/>
              </w:rPr>
              <w:t>3</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砂</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eastAsia"/>
                <w:color w:val="auto"/>
                <w:lang w:val="en-US" w:eastAsia="zh-CN"/>
              </w:rPr>
              <w:t>6000</w:t>
            </w:r>
            <w:r>
              <w:rPr>
                <w:rFonts w:hint="default"/>
                <w:color w:val="auto"/>
              </w:rPr>
              <w:t>m</w:t>
            </w:r>
            <w:r>
              <w:rPr>
                <w:rFonts w:hint="default"/>
                <w:color w:val="auto"/>
                <w:vertAlign w:val="superscript"/>
              </w:rPr>
              <w:t>3</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商品混凝土</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eastAsia"/>
                <w:color w:val="auto"/>
                <w:lang w:val="en-US" w:eastAsia="zh-CN"/>
              </w:rPr>
              <w:t>5</w:t>
            </w:r>
            <w:r>
              <w:rPr>
                <w:rFonts w:hint="eastAsia"/>
                <w:color w:val="auto"/>
              </w:rPr>
              <w:t>0</w:t>
            </w:r>
            <w:r>
              <w:rPr>
                <w:rFonts w:hint="default"/>
                <w:color w:val="auto"/>
              </w:rPr>
              <w:t>00m</w:t>
            </w:r>
            <w:r>
              <w:rPr>
                <w:rFonts w:hint="default"/>
                <w:color w:val="auto"/>
                <w:vertAlign w:val="superscript"/>
              </w:rPr>
              <w:t>3</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防水材料</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eastAsia"/>
                <w:color w:val="auto"/>
                <w:lang w:val="en-US" w:eastAsia="zh-CN"/>
              </w:rPr>
              <w:t>4</w:t>
            </w:r>
            <w:r>
              <w:rPr>
                <w:rFonts w:hint="default"/>
                <w:color w:val="auto"/>
              </w:rPr>
              <w:t>00</w:t>
            </w:r>
            <w:r>
              <w:rPr>
                <w:rFonts w:hint="eastAsia"/>
                <w:color w:val="auto"/>
              </w:rPr>
              <w:t>0</w:t>
            </w:r>
            <w:r>
              <w:rPr>
                <w:rFonts w:hint="default"/>
                <w:color w:val="auto"/>
              </w:rPr>
              <w:t>m</w:t>
            </w:r>
            <w:r>
              <w:rPr>
                <w:rFonts w:hint="default"/>
                <w:color w:val="auto"/>
                <w:vertAlign w:val="superscript"/>
              </w:rPr>
              <w:t>3</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r>
              <w:rPr>
                <w:rFonts w:hint="default" w:ascii="Times New Roman" w:hAnsi="Times New Roman" w:eastAsia="宋体" w:cs="Times New Roman"/>
                <w:color w:val="auto"/>
              </w:rPr>
              <w:t>营运期</w:t>
            </w: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r>
              <w:rPr>
                <w:rFonts w:hint="default" w:ascii="Times New Roman" w:hAnsi="Times New Roman" w:eastAsia="宋体" w:cs="Times New Roman"/>
                <w:color w:val="auto"/>
              </w:rPr>
              <w:t>仔猪教槽料</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lang w:val="en-US" w:eastAsia="zh-CN"/>
              </w:rPr>
            </w:pPr>
            <w:r>
              <w:rPr>
                <w:rFonts w:hint="eastAsia"/>
                <w:color w:val="auto"/>
                <w:lang w:val="en-US" w:eastAsia="zh-CN"/>
              </w:rPr>
              <w:t>250</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环评要求实控制饲料组分中重金属、抗生素、生长激素</w:t>
            </w:r>
            <w:r>
              <w:rPr>
                <w:rFonts w:hint="eastAsia"/>
                <w:color w:val="auto"/>
              </w:rPr>
              <w:t>、</w:t>
            </w:r>
            <w:r>
              <w:rPr>
                <w:rFonts w:hint="default"/>
                <w:color w:val="auto"/>
              </w:rPr>
              <w:t>磷等物质的添加量，科学配料</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r>
              <w:rPr>
                <w:rFonts w:hint="default" w:ascii="Times New Roman" w:hAnsi="Times New Roman" w:eastAsia="宋体" w:cs="Times New Roman"/>
                <w:color w:val="auto"/>
              </w:rPr>
              <w:t>后备母猪料</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lang w:val="en-US" w:eastAsia="zh-CN"/>
              </w:rPr>
            </w:pPr>
            <w:r>
              <w:rPr>
                <w:rFonts w:hint="eastAsia"/>
                <w:color w:val="auto"/>
                <w:lang w:val="en-US" w:eastAsia="zh-CN"/>
              </w:rPr>
              <w:t>1546</w:t>
            </w:r>
          </w:p>
        </w:tc>
        <w:tc>
          <w:tcPr>
            <w:tcW w:w="1833" w:type="dxa"/>
            <w:tcBorders>
              <w:tl2br w:val="nil"/>
              <w:tr2bl w:val="nil"/>
            </w:tcBorders>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r>
              <w:rPr>
                <w:rFonts w:hint="default" w:ascii="Times New Roman" w:hAnsi="Times New Roman" w:eastAsia="宋体" w:cs="Times New Roman"/>
                <w:color w:val="auto"/>
              </w:rPr>
              <w:t>妊娠料</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lang w:val="en-US" w:eastAsia="zh-CN"/>
              </w:rPr>
            </w:pPr>
            <w:r>
              <w:rPr>
                <w:rFonts w:hint="eastAsia"/>
                <w:color w:val="auto"/>
                <w:lang w:val="en-US" w:eastAsia="zh-CN"/>
              </w:rPr>
              <w:t>3562.5</w:t>
            </w:r>
          </w:p>
        </w:tc>
        <w:tc>
          <w:tcPr>
            <w:tcW w:w="1833" w:type="dxa"/>
            <w:tcBorders>
              <w:tl2br w:val="nil"/>
              <w:tr2bl w:val="nil"/>
            </w:tcBorders>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r>
              <w:rPr>
                <w:rFonts w:hint="default" w:ascii="Times New Roman" w:hAnsi="Times New Roman" w:eastAsia="宋体" w:cs="Times New Roman"/>
                <w:color w:val="auto"/>
              </w:rPr>
              <w:t>哺乳料</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lang w:val="en-US" w:eastAsia="zh-CN"/>
              </w:rPr>
            </w:pPr>
            <w:r>
              <w:rPr>
                <w:rFonts w:hint="eastAsia"/>
                <w:color w:val="auto"/>
                <w:lang w:val="en-US" w:eastAsia="zh-CN"/>
              </w:rPr>
              <w:t>1575</w:t>
            </w:r>
          </w:p>
        </w:tc>
        <w:tc>
          <w:tcPr>
            <w:tcW w:w="1833" w:type="dxa"/>
            <w:tcBorders>
              <w:tl2br w:val="nil"/>
              <w:tr2bl w:val="nil"/>
            </w:tcBorders>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r>
              <w:rPr>
                <w:rFonts w:hint="default" w:ascii="Times New Roman" w:hAnsi="Times New Roman" w:eastAsia="宋体" w:cs="Times New Roman"/>
                <w:color w:val="auto"/>
              </w:rPr>
              <w:t>公猪料</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lang w:val="en-US" w:eastAsia="zh-CN"/>
              </w:rPr>
            </w:pPr>
            <w:r>
              <w:rPr>
                <w:rFonts w:hint="eastAsia"/>
                <w:color w:val="auto"/>
                <w:lang w:val="en-US" w:eastAsia="zh-CN"/>
              </w:rPr>
              <w:t>120</w:t>
            </w:r>
          </w:p>
        </w:tc>
        <w:tc>
          <w:tcPr>
            <w:tcW w:w="1833" w:type="dxa"/>
            <w:tcBorders>
              <w:tl2br w:val="nil"/>
              <w:tr2bl w:val="nil"/>
            </w:tcBorders>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rPr>
            </w:pPr>
            <w:r>
              <w:rPr>
                <w:rFonts w:hint="default" w:ascii="Times New Roman" w:hAnsi="Times New Roman" w:eastAsia="宋体" w:cs="Times New Roman"/>
                <w:color w:val="auto"/>
              </w:rPr>
              <w:t>消毒剂</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lang w:val="en-US" w:eastAsia="zh-CN"/>
              </w:rPr>
            </w:pPr>
            <w:r>
              <w:rPr>
                <w:rFonts w:hint="eastAsia"/>
                <w:color w:val="auto"/>
                <w:lang w:val="en-US" w:eastAsia="zh-CN"/>
              </w:rPr>
              <w:t>370</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主要包括烧碱、灭菌灵、过氧乙酸等</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疫苗</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41万支</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新城疫疫苗、猪痘疫苗等其他疫苗</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eastAsia="zh-CN"/>
              </w:rPr>
            </w:pPr>
            <w:r>
              <w:rPr>
                <w:rFonts w:hint="eastAsia"/>
                <w:color w:val="auto"/>
                <w:lang w:eastAsia="zh-CN"/>
              </w:rPr>
              <w:t>脱硫剂</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lang w:val="en-US" w:eastAsia="zh-CN"/>
              </w:rPr>
            </w:pPr>
            <w:r>
              <w:rPr>
                <w:rFonts w:hint="eastAsia"/>
                <w:color w:val="auto"/>
                <w:lang w:val="en-US" w:eastAsia="zh-CN"/>
              </w:rPr>
              <w:t>0.1</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活性氧化铁，沼气脱硫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color w:val="auto"/>
                <w:lang w:eastAsia="zh-CN"/>
              </w:rPr>
            </w:pPr>
            <w:r>
              <w:rPr>
                <w:rFonts w:hint="eastAsia"/>
                <w:color w:val="auto"/>
                <w:lang w:eastAsia="zh-CN"/>
              </w:rPr>
              <w:t>耳牌</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color w:val="auto"/>
                <w:lang w:val="en-US" w:eastAsia="zh-CN"/>
              </w:rPr>
            </w:pPr>
            <w:r>
              <w:rPr>
                <w:rFonts w:hint="eastAsia"/>
                <w:color w:val="auto"/>
                <w:lang w:val="en-US" w:eastAsia="zh-CN"/>
              </w:rPr>
              <w:t>根据年出</w:t>
            </w:r>
          </w:p>
          <w:p>
            <w:pPr>
              <w:keepNext w:val="0"/>
              <w:keepLines w:val="0"/>
              <w:widowControl/>
              <w:suppressLineNumbers w:val="0"/>
              <w:spacing w:before="0" w:beforeAutospacing="0" w:after="0" w:afterAutospacing="0" w:line="240" w:lineRule="auto"/>
              <w:ind w:left="0" w:right="0"/>
              <w:jc w:val="center"/>
              <w:textAlignment w:val="top"/>
              <w:rPr>
                <w:rFonts w:hint="eastAsia"/>
                <w:color w:val="auto"/>
                <w:lang w:val="en-US" w:eastAsia="zh-CN"/>
              </w:rPr>
            </w:pPr>
            <w:r>
              <w:rPr>
                <w:rFonts w:hint="eastAsia"/>
                <w:color w:val="auto"/>
                <w:lang w:val="en-US" w:eastAsia="zh-CN"/>
              </w:rPr>
              <w:t>栏猪确定</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color w:val="auto"/>
                <w:lang w:eastAsia="zh-CN"/>
              </w:rPr>
            </w:pPr>
            <w:r>
              <w:rPr>
                <w:rFonts w:hint="eastAsia"/>
                <w:color w:val="auto"/>
                <w:lang w:eastAsia="zh-CN"/>
              </w:rPr>
              <w:t>发酵辅料（谷壳、秸秆、蘑菇渣等）</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lang w:val="en-US" w:eastAsia="zh-CN"/>
              </w:rPr>
            </w:pPr>
            <w:r>
              <w:rPr>
                <w:rFonts w:hint="eastAsia"/>
                <w:color w:val="auto"/>
                <w:lang w:val="en-US" w:eastAsia="zh-CN"/>
              </w:rPr>
              <w:t>200</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eastAsia="zh-CN"/>
              </w:rPr>
            </w:pPr>
            <w:r>
              <w:rPr>
                <w:rFonts w:hint="eastAsia"/>
                <w:color w:val="auto"/>
                <w:lang w:eastAsia="zh-CN"/>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能源</w:t>
            </w: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电力（万KW.h）</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eastAsia"/>
                <w:color w:val="auto"/>
              </w:rPr>
              <w:t>500</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由农村电网提供</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rPr>
            </w:pPr>
            <w:r>
              <w:rPr>
                <w:rFonts w:hint="default"/>
                <w:color w:val="auto"/>
              </w:rPr>
              <w:t>水（</w:t>
            </w:r>
            <w:r>
              <w:rPr>
                <w:rFonts w:hint="eastAsia"/>
                <w:color w:val="auto"/>
              </w:rPr>
              <w:t>万</w:t>
            </w:r>
            <w:r>
              <w:rPr>
                <w:rFonts w:hint="default"/>
                <w:color w:val="auto"/>
              </w:rPr>
              <w:t>m</w:t>
            </w:r>
            <w:r>
              <w:rPr>
                <w:rFonts w:hint="default"/>
                <w:color w:val="auto"/>
                <w:vertAlign w:val="superscript"/>
              </w:rPr>
              <w:t>3</w:t>
            </w:r>
            <w:r>
              <w:rPr>
                <w:rFonts w:hint="default"/>
                <w:color w:val="auto"/>
              </w:rPr>
              <w:t>）</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lang w:val="en-US" w:eastAsia="zh-CN"/>
              </w:rPr>
            </w:pPr>
            <w:r>
              <w:rPr>
                <w:rFonts w:hint="eastAsia"/>
                <w:color w:val="auto"/>
                <w:lang w:val="en-US" w:eastAsia="zh-CN"/>
              </w:rPr>
              <w:t>17.4</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lang w:val="en-US" w:eastAsia="zh-CN"/>
              </w:rPr>
            </w:pPr>
            <w:r>
              <w:rPr>
                <w:rFonts w:hint="eastAsia"/>
                <w:color w:val="auto"/>
                <w:lang w:val="en-US" w:eastAsia="zh-CN"/>
              </w:rPr>
              <w:t>山泉水</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lang w:val="en-US" w:eastAsia="zh-CN"/>
              </w:rPr>
            </w:pPr>
            <w:r>
              <w:rPr>
                <w:rFonts w:hint="eastAsia"/>
                <w:color w:val="auto"/>
                <w:lang w:val="en-US" w:eastAsia="zh-CN"/>
              </w:rPr>
              <w:t>/</w:t>
            </w:r>
          </w:p>
        </w:tc>
      </w:tr>
    </w:tbl>
    <w:p>
      <w:pPr>
        <w:ind w:firstLine="422" w:firstLineChars="200"/>
        <w:rPr>
          <w:rFonts w:ascii="宋体" w:hAnsi="宋体" w:eastAsia="宋体" w:cs="宋体"/>
          <w:b/>
          <w:bCs/>
          <w:color w:val="auto"/>
          <w:sz w:val="21"/>
          <w:szCs w:val="21"/>
        </w:rPr>
      </w:pPr>
      <w:r>
        <w:rPr>
          <w:rFonts w:ascii="宋体" w:hAnsi="宋体" w:eastAsia="宋体" w:cs="宋体"/>
          <w:b/>
          <w:bCs/>
          <w:color w:val="auto"/>
          <w:sz w:val="21"/>
          <w:szCs w:val="21"/>
        </w:rPr>
        <w:t>备注：环评要求建设单位必须使用符合《饲料行业现行国家标准和行业标准》的饲料。</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原料理化性质：</w:t>
      </w:r>
    </w:p>
    <w:p>
      <w:pPr>
        <w:numPr>
          <w:ilvl w:val="0"/>
          <w:numId w:val="0"/>
        </w:numPr>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烧碱</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①理化性质</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俗称烧碱、火碱、苛性钠，化学式为NaOH，白色半透明结晶状固体，密度 2.13g/m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，溶于乙醇和甘油，不溶于丙醇、乙醚，具有强腐蚀性，熔点318.4℃，沸点1390℃，闪点176~178℃。与氯、溴、碘等卤素发生歧化反应，与酸类起中和作用而生成盐和水。</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②储运</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装入0.5mm厚的钢桶中严封，每桶净重不超过100公斤；塑料袋或二层牛皮纸袋外全开口或中开口钢桶；螺纹口玻璃瓶、铁盖压口玻璃瓶、塑料瓶或金属桶（罐）外普通木箱；螺纹口玻璃瓶、塑料瓶或镀锡薄钢板桶（罐）外满底板花格箱、纤维板箱或胶合板箱；镀锡薄钢板桶（罐）、金属桶（罐）、塑料瓶或金属软管外瓦楞纸箱。包装容器要完整、密封，有明显的“腐蚀性物品”标志。 铁路运输时，钢桶包装的可用敞车运输。起运时包装要完整，装载应稳妥。</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运输过程中要确保容器不泄漏、不倒塌、不坠落、不损坏，防潮防雨。如发现包装容器发生锈 蚀、破裂、孔洞、溶化淌水等现象时，应立即更换包装或及早发货使用，容器破损可用锡焊修补。严禁与易燃物或可燃物、酸类、食用化学品等混装混运。运输时运输车辆应 配备泄漏应急处理设备。</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③健康危害</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侵入途径：吸入、食入。</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健康危害：具有强烈刺激和腐蚀性。粉尘或烟雾会刺激眼和呼吸道，腐蚀鼻中隔，皮肤和眼与 NaOH 直接接触会引起灼伤，误服可造成消化道灼伤，粘膜糜烂、出血和休克。</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④防护措施</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呼吸系统防护：必要时佩带防毒口罩。</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眼睛防护：戴化学安全防护眼镜。</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防护服：穿工作服（防腐材料制作）。小心使用，小心溅落到衣物、口鼻中 手防护：戴橡皮手套。</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其它：工作后，淋浴更衣。</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⑤急救措施</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皮肤接触：先用水冲洗（稀液）/用布擦干（浓液），再用5～10%硫酸镁、或3%硼酸溶液清洗并就医。</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眼睛接触：立即提起眼睑，用3%硼酸溶液(或稀醋酸)冲洗。就医。 吸入：迅速脱离现场至空气新鲜处。必要时进行人工呼吸。就医。</w:t>
      </w:r>
    </w:p>
    <w:p>
      <w:pPr>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食入：少量误食时立即用食醋、3～5%醋酸或5%稀盐酸、大量橘汁或柠檬汁等中和；给饮蛋清、牛奶或植物油并迅速就医，禁忌催吐和洗胃。</w:t>
      </w:r>
    </w:p>
    <w:p>
      <w:pPr>
        <w:pStyle w:val="2"/>
        <w:numPr>
          <w:ilvl w:val="0"/>
          <w:numId w:val="0"/>
        </w:numPr>
        <w:ind w:leftChars="200"/>
        <w:rPr>
          <w:rFonts w:hint="default" w:ascii="Times New Roman" w:hAnsi="Times New Roman" w:eastAsia="宋体" w:cs="Times New Roman"/>
          <w:b/>
          <w:bCs/>
          <w:color w:val="auto"/>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过氧乙酸</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①理化性质</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化学式CH3COOOH，无色液体，有强烈刺激性气味，相对密度(水=1)：1.15(20℃)，熔点0.1℃，沸点105℃，闪点41℃，能溶于水，溶于乙醇、乙醚、乙酸、硫酸，具有溶解性。完全燃烧能生成二氧化碳和水，可分解为乙酸、氧气。</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②储运</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用塑料容器，而不能用玻璃瓶等膨胀性较差的容器储存过氧乙酸。储存于低温、避光的阴凉处，并采取通风换气措施，防止挥发出的蒸气大量集聚形成爆炸性混合物。严禁使用铁器或铝器等金属容器盛装存放。储存场设置明显的禁止烟火的防火标志，严禁使用非防爆电气照明或明火。在进行室内喷洒消毒时浓度不易过高，应按说明进行稀 释，在对空气进行熏蒸消毒时，人员应脱离现场，熏蒸结束后要对室内进行通风后人员方可进入。</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③健康危害</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有毒，经口LD50：1540mg/kg（大鼠），经皮LD50：1410mg/kg（兔），吸入LC50：450mg/kg（大鼠）。对眼睛、皮肤、粘膜和上呼吸道有强烈刺激作用。吸入后可引起喉、支气管的炎症、水肿、痉挛，化学性肺炎、肺水肿。接触后可引起烧灼感、咳嗽、喘息、 喉炎、气短、头痛、恶心和呕吐。</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④危险特性</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易燃，具爆炸性，具强氧化性，强腐蚀性、强刺激性。</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⑤急救措施</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皮肤接触，脱去污染衣物，用肥皂水及清水彻底冲洗。 眼睛接触，立即翻开上下眼脸，用流动清水冲洗 15 分钟，就医。 吸入，迅速脱离现场至空气新鲜处。呼吸困难时，给氧。呼吸停止时，立即进行人 工呼吸。就医。食入，误服者给饮牛奶或蛋清。立即就医。</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灭菌灵</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一种光谱、高效的片状消毒剂，属于氯制品消毒剂，主要功能为消毒、灭菌、除臭、 漂白等，杀菌率可达到99.97%。</w:t>
      </w:r>
    </w:p>
    <w:p>
      <w:pPr>
        <w:pStyle w:val="7"/>
        <w:spacing w:before="0" w:after="0" w:line="360" w:lineRule="auto"/>
        <w:ind w:left="0" w:firstLine="0"/>
        <w:rPr>
          <w:rFonts w:hint="default" w:ascii="Times New Roman" w:hAnsi="Times New Roman" w:eastAsia="宋体" w:cs="Times New Roman"/>
          <w:color w:val="auto"/>
          <w:sz w:val="24"/>
          <w:szCs w:val="24"/>
        </w:rPr>
      </w:pPr>
      <w:bookmarkStart w:id="130" w:name="_Toc28102"/>
      <w:r>
        <w:rPr>
          <w:rFonts w:cs="Times New Roman"/>
          <w:color w:val="auto"/>
        </w:rPr>
        <w:t>公用工程及辅助设施概况</w:t>
      </w:r>
      <w:bookmarkEnd w:id="130"/>
    </w:p>
    <w:p>
      <w:p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1、供水</w:t>
      </w:r>
    </w:p>
    <w:p>
      <w:pPr>
        <w:pStyle w:val="2467"/>
        <w:snapToGrid w:val="0"/>
        <w:spacing w:line="360" w:lineRule="auto"/>
        <w:ind w:firstLine="480" w:firstLineChars="20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本项目运营期用水主要包括猪饮用水、食槽清洗用水、分娩设备冲洗用水、猪舍冲洗用水、粪沟冲洗水、职工生活用水及未预见用水等</w:t>
      </w:r>
      <w:r>
        <w:rPr>
          <w:rFonts w:hint="default" w:ascii="Times New Roman" w:hAnsi="Times New Roman" w:cs="Times New Roman" w:eastAsiaTheme="minorEastAsia"/>
          <w:color w:val="auto"/>
          <w:kern w:val="2"/>
          <w:sz w:val="24"/>
          <w:szCs w:val="24"/>
          <w:lang w:eastAsia="zh-CN"/>
        </w:rPr>
        <w:t>。</w:t>
      </w:r>
      <w:r>
        <w:rPr>
          <w:rFonts w:hint="default" w:ascii="Times New Roman" w:hAnsi="Times New Roman" w:eastAsia="宋体" w:cs="Times New Roman"/>
          <w:color w:val="auto"/>
          <w:sz w:val="24"/>
          <w:szCs w:val="24"/>
        </w:rPr>
        <w:t>本项主要</w:t>
      </w:r>
      <w:r>
        <w:rPr>
          <w:rFonts w:hint="default" w:ascii="Times New Roman" w:hAnsi="Times New Roman" w:cs="Times New Roman"/>
          <w:color w:val="auto"/>
          <w:sz w:val="24"/>
          <w:szCs w:val="24"/>
          <w:lang w:eastAsia="zh-CN"/>
        </w:rPr>
        <w:t>为山泉水取水</w:t>
      </w:r>
      <w:r>
        <w:rPr>
          <w:rFonts w:hint="default" w:ascii="Times New Roman" w:hAnsi="Times New Roman" w:eastAsia="宋体" w:cs="Times New Roman"/>
          <w:color w:val="auto"/>
          <w:sz w:val="24"/>
          <w:szCs w:val="24"/>
        </w:rPr>
        <w:t>，设置1座</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的蓄水池，用于储存项目需要的新鲜水。</w:t>
      </w:r>
    </w:p>
    <w:p>
      <w:p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2、排水</w:t>
      </w:r>
    </w:p>
    <w:p>
      <w:pPr>
        <w:pStyle w:val="2467"/>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本项目采用雨污分流制，雨水管网采用雨水渠形式布置，断面尺寸为0.4m×0.25m~0.4m</w:t>
      </w:r>
      <w:r>
        <w:rPr>
          <w:rFonts w:hint="eastAsia" w:ascii="Times New Roman" w:hAnsi="Times New Roman" w:cs="Times New Roman"/>
          <w:color w:val="auto"/>
          <w:sz w:val="24"/>
          <w:szCs w:val="24"/>
        </w:rPr>
        <w:t>室外雨水（初期雨水除外）通过雨水沟渠自然排放</w:t>
      </w:r>
      <w:r>
        <w:rPr>
          <w:rFonts w:hint="eastAsia" w:ascii="Times New Roman" w:cs="Times New Roman"/>
          <w:color w:val="auto"/>
          <w:sz w:val="24"/>
          <w:szCs w:val="24"/>
          <w:lang w:eastAsia="zh-CN"/>
        </w:rPr>
        <w:t>。</w:t>
      </w:r>
      <w:r>
        <w:rPr>
          <w:rFonts w:hint="default" w:ascii="Times New Roman" w:hAnsi="Times New Roman" w:eastAsia="宋体" w:cs="Times New Roman"/>
          <w:color w:val="auto"/>
          <w:sz w:val="24"/>
          <w:szCs w:val="24"/>
        </w:rPr>
        <w:t>污水管网采用d500波纹管，污水通过污水管网收集后排入污水处理站处理。</w:t>
      </w:r>
    </w:p>
    <w:p>
      <w:pPr>
        <w:pStyle w:val="2467"/>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废水主要包括生产废水（猪尿、猪舍冲洗废水）及职工生活污水。生产废水和职工生活污水产生总量为</w:t>
      </w:r>
      <w:r>
        <w:rPr>
          <w:rFonts w:hint="eastAsia" w:ascii="Times New Roman" w:cs="Times New Roman"/>
          <w:color w:val="auto"/>
          <w:sz w:val="24"/>
          <w:szCs w:val="24"/>
          <w:lang w:val="en-US" w:eastAsia="zh-CN"/>
        </w:rPr>
        <w:t>233.75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/d，该废水经拟建的污水处理站处理达到《农田灌溉水质标准》（GB5084-2005）旱作灌溉标准后，暂存于废水储存池，用作本项目内绿化和租用的配套林地浇灌。</w:t>
      </w:r>
    </w:p>
    <w:p>
      <w:p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3、供电</w:t>
      </w:r>
    </w:p>
    <w:p>
      <w:pPr>
        <w:pStyle w:val="154"/>
        <w:ind w:firstLine="480"/>
        <w:rPr>
          <w:rFonts w:eastAsiaTheme="minorEastAsia"/>
          <w:color w:val="auto"/>
        </w:rPr>
      </w:pPr>
      <w:r>
        <w:rPr>
          <w:rFonts w:eastAsiaTheme="minorEastAsia"/>
          <w:color w:val="auto"/>
        </w:rPr>
        <w:t>本项目由市政电网供电</w:t>
      </w:r>
      <w:r>
        <w:rPr>
          <w:rFonts w:hint="eastAsia" w:eastAsiaTheme="minorEastAsia"/>
          <w:color w:val="auto"/>
        </w:rPr>
        <w:t>，</w:t>
      </w:r>
      <w:r>
        <w:rPr>
          <w:rFonts w:eastAsiaTheme="minorEastAsia"/>
          <w:color w:val="auto"/>
        </w:rPr>
        <w:t>并配柴油发电机</w:t>
      </w:r>
      <w:r>
        <w:rPr>
          <w:rFonts w:hint="eastAsia" w:eastAsiaTheme="minorEastAsia"/>
          <w:color w:val="auto"/>
        </w:rPr>
        <w:t>，</w:t>
      </w:r>
      <w:r>
        <w:rPr>
          <w:rFonts w:eastAsiaTheme="minorEastAsia"/>
          <w:color w:val="auto"/>
        </w:rPr>
        <w:t>供停电时使用。</w:t>
      </w:r>
    </w:p>
    <w:p>
      <w:pPr>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4、燃料</w:t>
      </w:r>
    </w:p>
    <w:p>
      <w:pPr>
        <w:widowControl/>
        <w:autoSpaceDE w:val="0"/>
        <w:autoSpaceDN w:val="0"/>
        <w:adjustRightInd w:val="0"/>
        <w:ind w:firstLine="525"/>
        <w:rPr>
          <w:rFonts w:hint="eastAsia" w:ascii="宋体" w:hAnsi="宋体" w:eastAsia="宋体" w:cs="宋体"/>
          <w:color w:val="auto"/>
          <w:sz w:val="24"/>
          <w:szCs w:val="24"/>
        </w:rPr>
      </w:pPr>
      <w:r>
        <w:rPr>
          <w:rFonts w:hint="eastAsia" w:ascii="宋体" w:hAnsi="宋体" w:eastAsia="宋体" w:cs="宋体"/>
          <w:color w:val="auto"/>
          <w:sz w:val="24"/>
          <w:szCs w:val="24"/>
        </w:rPr>
        <w:t>本项目食堂使用的燃料为项目自产沼气，属清洁能源。项目不设锅炉，热水供应采用电加热热水器。</w:t>
      </w:r>
    </w:p>
    <w:p>
      <w:pPr>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5、暖通</w:t>
      </w:r>
    </w:p>
    <w:p>
      <w:pPr>
        <w:widowControl/>
        <w:autoSpaceDE w:val="0"/>
        <w:autoSpaceDN w:val="0"/>
        <w:adjustRightInd w:val="0"/>
        <w:ind w:firstLine="525"/>
        <w:rPr>
          <w:rFonts w:hint="eastAsia" w:ascii="Times New Roman" w:hAnsi="Times New Roman" w:cs="Times New Roman"/>
          <w:color w:val="auto"/>
          <w:kern w:val="0"/>
          <w:sz w:val="24"/>
          <w:szCs w:val="24"/>
        </w:rPr>
      </w:pPr>
      <w:r>
        <w:rPr>
          <w:rFonts w:hint="eastAsia" w:ascii="Times New Roman" w:hAnsi="Times New Roman" w:cs="Times New Roman"/>
          <w:color w:val="auto"/>
          <w:kern w:val="0"/>
          <w:sz w:val="24"/>
          <w:szCs w:val="24"/>
        </w:rPr>
        <w:t>场区建筑物通风采用自然通风与机械通风相结合的方式，其他设施以自然通风为主。猪舍采暖是保暖灯和空调；</w:t>
      </w:r>
    </w:p>
    <w:p>
      <w:pPr>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夏及防暑降温措施</w:t>
      </w:r>
    </w:p>
    <w:p>
      <w:pPr>
        <w:pStyle w:val="2"/>
        <w:rPr>
          <w:rFonts w:ascii="宋体" w:hAnsi="宋体" w:eastAsia="宋体" w:cs="宋体"/>
          <w:color w:val="auto"/>
          <w:sz w:val="24"/>
          <w:szCs w:val="24"/>
        </w:rPr>
      </w:pPr>
      <w:r>
        <w:rPr>
          <w:rFonts w:ascii="宋体" w:hAnsi="宋体" w:eastAsia="宋体" w:cs="宋体"/>
          <w:color w:val="auto"/>
          <w:sz w:val="24"/>
          <w:szCs w:val="24"/>
        </w:rPr>
        <w:t>（1）保持猪舍通风良好打开门窗加强空气对流。在猪舍墙壁预留通风孔，加速舍内气流的速度，带走猪体表热量。当气温高于29℃，湿度在50%以上时，从早晨5点到夜间1点都需要降温，夜间猪体温和气温的差异相对较大，可以缩短送风时间。</w:t>
      </w:r>
    </w:p>
    <w:p>
      <w:pPr>
        <w:widowControl/>
        <w:autoSpaceDE w:val="0"/>
        <w:autoSpaceDN w:val="0"/>
        <w:adjustRightInd w:val="0"/>
        <w:ind w:firstLine="525"/>
        <w:rPr>
          <w:rFonts w:hint="eastAsia"/>
          <w:color w:val="auto"/>
          <w:sz w:val="24"/>
          <w:szCs w:val="24"/>
        </w:rPr>
      </w:pPr>
      <w:r>
        <w:rPr>
          <w:color w:val="auto"/>
          <w:sz w:val="24"/>
          <w:szCs w:val="24"/>
        </w:rPr>
        <w:t>（2）降温水帘在猪舍墙壁安装降温水帘，定时或不定时的为猪舍直接降温。</w:t>
      </w:r>
      <w:r>
        <w:rPr>
          <w:rFonts w:hint="eastAsia"/>
          <w:color w:val="auto"/>
          <w:sz w:val="24"/>
          <w:szCs w:val="24"/>
        </w:rPr>
        <w:t>水帘降温系统由风机、水循环系统、浮球阀补水装置等组成。其工作原理为：当风机运行时，冷风机腔内产生负压，机外空气通过多孔湿润的具有很大的表面积的水帘表面进入腔内，水帘上的水在绝热状态下蒸发，带走大量潜热。迫使过帘空气的干球温度降至接近于机外空气的湿球温度，即冷风机出风口的干球温度比室外干球温度低5-10℃，空气愈干热，其温差愈大。同时由于水帘上的水向流经湿帘的空气蒸发，增大了空气的湿度，因此水帘降温系统具有降温增湿的双重功能。</w:t>
      </w:r>
    </w:p>
    <w:p>
      <w:pPr>
        <w:widowControl/>
        <w:autoSpaceDE w:val="0"/>
        <w:autoSpaceDN w:val="0"/>
        <w:adjustRightInd w:val="0"/>
        <w:ind w:firstLine="525"/>
        <w:rPr>
          <w:rFonts w:hint="eastAsia"/>
          <w:color w:val="auto"/>
          <w:sz w:val="24"/>
          <w:szCs w:val="24"/>
        </w:rPr>
      </w:pPr>
      <w:r>
        <w:rPr>
          <w:color w:val="auto"/>
          <w:sz w:val="24"/>
          <w:szCs w:val="24"/>
        </w:rPr>
        <w:t>在舍内温度达到30℃时，就需要开启降温水帘，降温水帘能使厂房内的温度迅速在10分钟内下降，降温环保效果佳。降温水帘通常在夏季5-9月使用。</w:t>
      </w:r>
    </w:p>
    <w:p>
      <w:pPr>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7、消防</w:t>
      </w:r>
    </w:p>
    <w:p>
      <w:pPr>
        <w:widowControl/>
        <w:autoSpaceDE w:val="0"/>
        <w:autoSpaceDN w:val="0"/>
        <w:adjustRightInd w:val="0"/>
        <w:ind w:firstLine="525"/>
        <w:rPr>
          <w:color w:val="auto"/>
        </w:rPr>
      </w:pPr>
      <w:r>
        <w:rPr>
          <w:color w:val="auto"/>
          <w:sz w:val="24"/>
          <w:szCs w:val="24"/>
        </w:rPr>
        <w:t>项目按照《建筑设计防火规范》要求设置安全出口及疏散距离，各猪舍间的距离、消防设施设计等严格执行《建筑设计防火规范》等消防规范及法律法规要求；设置常规水消防系统和移动式灭火器，各建（构）筑物内灭火器的类型、数量符合《建筑灭火器配置设计规范》的要求。</w:t>
      </w:r>
    </w:p>
    <w:p>
      <w:pPr>
        <w:pStyle w:val="7"/>
        <w:spacing w:before="0" w:after="0" w:line="360" w:lineRule="auto"/>
        <w:ind w:left="0" w:firstLine="0"/>
        <w:rPr>
          <w:rFonts w:cs="Times New Roman"/>
          <w:color w:val="auto"/>
        </w:rPr>
      </w:pPr>
      <w:bookmarkStart w:id="131" w:name="_Toc977"/>
      <w:r>
        <w:rPr>
          <w:rFonts w:hint="eastAsia" w:cs="Times New Roman"/>
          <w:color w:val="auto"/>
        </w:rPr>
        <w:t>施工进度安排</w:t>
      </w:r>
      <w:bookmarkEnd w:id="131"/>
    </w:p>
    <w:p>
      <w:pPr>
        <w:widowControl/>
        <w:autoSpaceDE w:val="0"/>
        <w:autoSpaceDN w:val="0"/>
        <w:adjustRightInd w:val="0"/>
        <w:ind w:firstLine="525"/>
        <w:rPr>
          <w:rFonts w:hint="eastAsia" w:ascii="Times New Roman" w:hAnsi="Times New Roman" w:cs="Times New Roman"/>
          <w:color w:val="auto"/>
          <w:kern w:val="0"/>
          <w:sz w:val="24"/>
          <w:szCs w:val="24"/>
        </w:rPr>
      </w:pPr>
      <w:r>
        <w:rPr>
          <w:rFonts w:hint="eastAsia" w:ascii="Times New Roman" w:hAnsi="Times New Roman" w:cs="Times New Roman"/>
          <w:color w:val="auto"/>
          <w:kern w:val="0"/>
          <w:sz w:val="24"/>
          <w:szCs w:val="24"/>
        </w:rPr>
        <w:t>本项目计划于</w:t>
      </w:r>
      <w:r>
        <w:rPr>
          <w:rFonts w:ascii="Times New Roman" w:hAnsi="Times New Roman" w:cs="Times New Roman"/>
          <w:color w:val="auto"/>
          <w:kern w:val="0"/>
          <w:sz w:val="24"/>
          <w:szCs w:val="24"/>
        </w:rPr>
        <w:t>20</w:t>
      </w:r>
      <w:r>
        <w:rPr>
          <w:rFonts w:hint="eastAsia" w:ascii="Times New Roman" w:hAnsi="Times New Roman" w:cs="Times New Roman"/>
          <w:color w:val="auto"/>
          <w:kern w:val="0"/>
          <w:sz w:val="24"/>
          <w:szCs w:val="24"/>
          <w:lang w:val="en-US" w:eastAsia="zh-CN"/>
        </w:rPr>
        <w:t>20</w:t>
      </w:r>
      <w:r>
        <w:rPr>
          <w:rFonts w:hint="eastAsia" w:ascii="Times New Roman" w:hAnsi="Times New Roman" w:cs="Times New Roman"/>
          <w:color w:val="auto"/>
          <w:kern w:val="0"/>
          <w:sz w:val="24"/>
          <w:szCs w:val="24"/>
        </w:rPr>
        <w:t>年</w:t>
      </w:r>
      <w:r>
        <w:rPr>
          <w:rFonts w:hint="eastAsia" w:ascii="Times New Roman" w:hAnsi="Times New Roman" w:cs="Times New Roman"/>
          <w:color w:val="auto"/>
          <w:kern w:val="0"/>
          <w:sz w:val="24"/>
          <w:szCs w:val="24"/>
          <w:lang w:val="en-US" w:eastAsia="zh-CN"/>
        </w:rPr>
        <w:t>12</w:t>
      </w:r>
      <w:r>
        <w:rPr>
          <w:rFonts w:hint="eastAsia" w:ascii="Times New Roman" w:hAnsi="Times New Roman" w:cs="Times New Roman"/>
          <w:color w:val="auto"/>
          <w:kern w:val="0"/>
          <w:sz w:val="24"/>
          <w:szCs w:val="24"/>
        </w:rPr>
        <w:t>月开始建设，计划建设工期</w:t>
      </w:r>
      <w:r>
        <w:rPr>
          <w:rFonts w:hint="eastAsia" w:ascii="Times New Roman" w:hAnsi="Times New Roman" w:cs="Times New Roman"/>
          <w:color w:val="auto"/>
          <w:kern w:val="0"/>
          <w:sz w:val="24"/>
          <w:szCs w:val="24"/>
          <w:lang w:val="en-US" w:eastAsia="zh-CN"/>
        </w:rPr>
        <w:t>12</w:t>
      </w:r>
      <w:r>
        <w:rPr>
          <w:rFonts w:hint="eastAsia" w:ascii="Times New Roman" w:hAnsi="Times New Roman" w:cs="Times New Roman"/>
          <w:color w:val="auto"/>
          <w:kern w:val="0"/>
          <w:sz w:val="24"/>
          <w:szCs w:val="24"/>
        </w:rPr>
        <w:t>个月，于</w:t>
      </w:r>
      <w:r>
        <w:rPr>
          <w:rFonts w:ascii="Times New Roman" w:hAnsi="Times New Roman" w:cs="Times New Roman"/>
          <w:color w:val="auto"/>
          <w:kern w:val="0"/>
          <w:sz w:val="24"/>
          <w:szCs w:val="24"/>
        </w:rPr>
        <w:t>20</w:t>
      </w:r>
      <w:r>
        <w:rPr>
          <w:rFonts w:hint="eastAsia" w:ascii="Times New Roman" w:hAnsi="Times New Roman" w:cs="Times New Roman"/>
          <w:color w:val="auto"/>
          <w:kern w:val="0"/>
          <w:sz w:val="24"/>
          <w:szCs w:val="24"/>
        </w:rPr>
        <w:t>2</w:t>
      </w:r>
      <w:r>
        <w:rPr>
          <w:rFonts w:hint="eastAsia" w:ascii="Times New Roman" w:hAnsi="Times New Roman" w:cs="Times New Roman"/>
          <w:color w:val="auto"/>
          <w:kern w:val="0"/>
          <w:sz w:val="24"/>
          <w:szCs w:val="24"/>
          <w:lang w:val="en-US" w:eastAsia="zh-CN"/>
        </w:rPr>
        <w:t>1</w:t>
      </w:r>
      <w:r>
        <w:rPr>
          <w:rFonts w:hint="eastAsia" w:ascii="Times New Roman" w:hAnsi="Times New Roman" w:cs="Times New Roman"/>
          <w:color w:val="auto"/>
          <w:kern w:val="0"/>
          <w:sz w:val="24"/>
          <w:szCs w:val="24"/>
        </w:rPr>
        <w:t>年</w:t>
      </w:r>
      <w:r>
        <w:rPr>
          <w:rFonts w:hint="eastAsia" w:ascii="Times New Roman" w:hAnsi="Times New Roman" w:cs="Times New Roman"/>
          <w:color w:val="auto"/>
          <w:kern w:val="0"/>
          <w:sz w:val="24"/>
          <w:szCs w:val="24"/>
          <w:lang w:val="en-US" w:eastAsia="zh-CN"/>
        </w:rPr>
        <w:t>12</w:t>
      </w:r>
      <w:r>
        <w:rPr>
          <w:rFonts w:hint="eastAsia" w:ascii="Times New Roman" w:hAnsi="Times New Roman" w:cs="Times New Roman"/>
          <w:color w:val="auto"/>
          <w:kern w:val="0"/>
          <w:sz w:val="24"/>
          <w:szCs w:val="24"/>
        </w:rPr>
        <w:t>月建成并投入使用。</w:t>
      </w:r>
    </w:p>
    <w:p>
      <w:pPr>
        <w:pStyle w:val="7"/>
        <w:spacing w:before="0" w:after="0" w:line="360" w:lineRule="auto"/>
        <w:ind w:left="0" w:firstLine="0"/>
        <w:rPr>
          <w:color w:val="auto"/>
        </w:rPr>
      </w:pPr>
      <w:bookmarkStart w:id="132" w:name="_Toc13261"/>
      <w:r>
        <w:rPr>
          <w:rFonts w:hint="eastAsia" w:cs="Times New Roman"/>
          <w:color w:val="auto"/>
        </w:rPr>
        <w:t>绿化工程</w:t>
      </w:r>
      <w:bookmarkEnd w:id="132"/>
    </w:p>
    <w:p>
      <w:pPr>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rPr>
        <w:t>原则要求</w:t>
      </w:r>
    </w:p>
    <w:p>
      <w:pPr>
        <w:ind w:firstLine="480"/>
        <w:rPr>
          <w:color w:val="auto"/>
          <w:sz w:val="24"/>
          <w:szCs w:val="24"/>
        </w:rPr>
      </w:pPr>
      <w:r>
        <w:rPr>
          <w:color w:val="auto"/>
          <w:sz w:val="24"/>
          <w:szCs w:val="24"/>
        </w:rPr>
        <w:t>（1）在规划设计前要对猪场的自然条件、生产性质、规模、污染状况等进行充分的调查。要从保护环境的观点出发，合理规划。合理地设置猪场饲养猪的类型、头数，从而优化猪场本身的生态条件。</w:t>
      </w:r>
    </w:p>
    <w:p>
      <w:pPr>
        <w:ind w:firstLine="480"/>
        <w:rPr>
          <w:color w:val="auto"/>
          <w:sz w:val="24"/>
          <w:szCs w:val="24"/>
        </w:rPr>
      </w:pPr>
      <w:r>
        <w:rPr>
          <w:color w:val="auto"/>
          <w:sz w:val="24"/>
          <w:szCs w:val="24"/>
        </w:rPr>
        <w:t>（2）猪场的绿化规划是总体规划的有机组成部分，要在猪场建设总规划的同时进行绿化规划。首先尽可能利用红线内原始生态，减少人工种植；要本着统一安排、统一布局的原则进行，规划时既要有长远考虑，又要有近期安排，要与全场的建设协调一致。</w:t>
      </w:r>
    </w:p>
    <w:p>
      <w:pPr>
        <w:ind w:firstLine="480"/>
        <w:rPr>
          <w:color w:val="auto"/>
          <w:sz w:val="24"/>
          <w:szCs w:val="24"/>
        </w:rPr>
      </w:pPr>
      <w:r>
        <w:rPr>
          <w:color w:val="auto"/>
          <w:sz w:val="24"/>
          <w:szCs w:val="24"/>
        </w:rPr>
        <w:t>（3）绿化规划设计布局要合理，以保证安全生产。绿化时不能影响地下、地上管线和猪舍的采光。</w:t>
      </w:r>
    </w:p>
    <w:p>
      <w:pPr>
        <w:ind w:firstLine="480"/>
        <w:rPr>
          <w:color w:val="auto"/>
          <w:sz w:val="24"/>
          <w:szCs w:val="24"/>
        </w:rPr>
      </w:pPr>
      <w:r>
        <w:rPr>
          <w:color w:val="auto"/>
          <w:sz w:val="24"/>
          <w:szCs w:val="24"/>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pPr>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2、绿化措施</w:t>
      </w:r>
    </w:p>
    <w:p>
      <w:pPr>
        <w:pStyle w:val="23"/>
        <w:ind w:firstLine="480"/>
        <w:rPr>
          <w:rFonts w:ascii="Times New Roman" w:hAnsi="Times New Roman"/>
          <w:color w:val="auto"/>
        </w:rPr>
      </w:pPr>
      <w:r>
        <w:rPr>
          <w:rFonts w:ascii="Times New Roman" w:hAnsi="Times New Roman"/>
          <w:color w:val="auto"/>
        </w:rPr>
        <w:t>（1）场区林带的规划：在场界周边种植乔木、灌木混合林带或规划种植水果类植物带。乔木类的有大叶杨、钻天杨、白杨、常绿针叶树等。</w:t>
      </w:r>
    </w:p>
    <w:p>
      <w:pPr>
        <w:pStyle w:val="23"/>
        <w:ind w:firstLine="480"/>
        <w:rPr>
          <w:rFonts w:ascii="Times New Roman" w:hAnsi="Times New Roman"/>
          <w:color w:val="auto"/>
        </w:rPr>
      </w:pPr>
      <w:r>
        <w:rPr>
          <w:rFonts w:ascii="Times New Roman" w:hAnsi="Times New Roman"/>
          <w:color w:val="auto"/>
        </w:rPr>
        <w:t>（2）场区隔离带的设计：场内各区，如生产区、生活管理区的四周，都应设置隔离林带，采用绿篱植物小叶杨树、松树、竹林等，或以栽种刺笆为主。刺笆可选陈刺、黄刺梅、红玫瑰、野蔷薇、花椒等，以起到防疫、隔离、安全等作用。</w:t>
      </w:r>
    </w:p>
    <w:p>
      <w:pPr>
        <w:pStyle w:val="23"/>
        <w:ind w:firstLine="480"/>
        <w:rPr>
          <w:rFonts w:ascii="Times New Roman" w:hAnsi="Times New Roman"/>
          <w:color w:val="auto"/>
        </w:rPr>
      </w:pPr>
      <w:r>
        <w:rPr>
          <w:rFonts w:ascii="Times New Roman" w:hAnsi="Times New Roman"/>
          <w:color w:val="auto"/>
        </w:rPr>
        <w:t>（3）场区道路绿化：宜采用乔木为主，乔、灌木搭配种植。如选种塔柏、冬青、侧柏等四季常青树种，并配置小叶女贞组成绿化带。</w:t>
      </w:r>
    </w:p>
    <w:p>
      <w:pPr>
        <w:pStyle w:val="23"/>
        <w:ind w:firstLine="480"/>
        <w:rPr>
          <w:rFonts w:ascii="Times New Roman" w:hAnsi="Times New Roman"/>
          <w:color w:val="auto"/>
        </w:rPr>
      </w:pPr>
      <w:r>
        <w:rPr>
          <w:rFonts w:ascii="Times New Roman" w:hAnsi="Times New Roman"/>
          <w:color w:val="auto"/>
        </w:rPr>
        <w:t>（4）对于生产区内的猪舍，不宜在其四周密植成片的树林，而应多种植低矮的花卉或草坪，以利于通风，便于有害气体扩散。</w:t>
      </w:r>
    </w:p>
    <w:p>
      <w:pPr>
        <w:pStyle w:val="23"/>
        <w:ind w:firstLine="480"/>
        <w:rPr>
          <w:rFonts w:ascii="Times New Roman" w:hAnsi="Times New Roman"/>
          <w:color w:val="auto"/>
        </w:rPr>
      </w:pPr>
      <w:r>
        <w:rPr>
          <w:rFonts w:ascii="Times New Roman" w:hAnsi="Times New Roman"/>
          <w:color w:val="auto"/>
        </w:rPr>
        <w:t>（5）生活管理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23"/>
        <w:ind w:firstLine="480"/>
        <w:rPr>
          <w:color w:val="auto"/>
        </w:rPr>
      </w:pPr>
      <w:r>
        <w:rPr>
          <w:rFonts w:ascii="Times New Roman" w:hAnsi="Times New Roman"/>
          <w:color w:val="auto"/>
        </w:rPr>
        <w:t>项目绿化面积</w:t>
      </w:r>
      <w:r>
        <w:rPr>
          <w:rFonts w:hint="eastAsia" w:ascii="Times New Roman" w:hAnsi="Times New Roman"/>
          <w:color w:val="auto"/>
          <w:lang w:eastAsia="zh-CN"/>
        </w:rPr>
        <w:t>约</w:t>
      </w:r>
      <w:r>
        <w:rPr>
          <w:rFonts w:ascii="Times New Roman" w:hAnsi="Times New Roman"/>
          <w:color w:val="auto"/>
        </w:rPr>
        <w:t>5000m</w:t>
      </w:r>
      <w:r>
        <w:rPr>
          <w:rFonts w:ascii="Times New Roman" w:hAnsi="Times New Roman"/>
          <w:color w:val="auto"/>
          <w:vertAlign w:val="superscript"/>
        </w:rPr>
        <w:t>2</w:t>
      </w:r>
      <w:r>
        <w:rPr>
          <w:rFonts w:ascii="Times New Roman" w:hAnsi="Times New Roman"/>
          <w:color w:val="auto"/>
        </w:rPr>
        <w:t>，场区绿化带沿场区线形道路布置，边界种植高大的乔木以分隔生产区和周边环境，场内空闲区域种植花草以美化环境，形成一个良好的工作环境。</w:t>
      </w:r>
    </w:p>
    <w:bookmarkEnd w:id="126"/>
    <w:bookmarkEnd w:id="127"/>
    <w:p>
      <w:pPr>
        <w:pStyle w:val="6"/>
        <w:keepNext/>
        <w:keepLines/>
        <w:pageBreakBefore w:val="0"/>
        <w:widowControl w:val="0"/>
        <w:kinsoku/>
        <w:wordWrap/>
        <w:overflowPunct/>
        <w:topLinePunct w:val="0"/>
        <w:autoSpaceDE/>
        <w:autoSpaceDN/>
        <w:bidi w:val="0"/>
        <w:adjustRightInd/>
        <w:snapToGrid/>
        <w:spacing w:line="240" w:lineRule="auto"/>
        <w:ind w:left="578" w:hanging="578"/>
        <w:textAlignment w:val="auto"/>
        <w:rPr>
          <w:rFonts w:cs="Times New Roman"/>
          <w:color w:val="auto"/>
        </w:rPr>
      </w:pPr>
      <w:bookmarkStart w:id="133" w:name="_Toc6444"/>
      <w:bookmarkStart w:id="134" w:name="_Toc186533446"/>
      <w:r>
        <w:rPr>
          <w:rFonts w:cs="Times New Roman"/>
          <w:color w:val="auto"/>
        </w:rPr>
        <w:t>工程分析</w:t>
      </w:r>
      <w:bookmarkEnd w:id="133"/>
    </w:p>
    <w:p>
      <w:pPr>
        <w:pStyle w:val="7"/>
        <w:keepNext/>
        <w:keepLines/>
        <w:pageBreakBefore w:val="0"/>
        <w:widowControl w:val="0"/>
        <w:kinsoku/>
        <w:wordWrap/>
        <w:overflowPunct/>
        <w:topLinePunct w:val="0"/>
        <w:autoSpaceDE/>
        <w:autoSpaceDN/>
        <w:bidi w:val="0"/>
        <w:adjustRightInd/>
        <w:snapToGrid/>
        <w:spacing w:before="0" w:after="0" w:line="360" w:lineRule="auto"/>
        <w:ind w:left="0" w:firstLine="0"/>
        <w:textAlignment w:val="auto"/>
        <w:rPr>
          <w:rFonts w:cs="Times New Roman"/>
          <w:color w:val="auto"/>
        </w:rPr>
      </w:pPr>
      <w:bookmarkStart w:id="135" w:name="_Toc32075"/>
      <w:bookmarkStart w:id="136" w:name="_Toc26120"/>
      <w:bookmarkStart w:id="137" w:name="_Toc7472"/>
      <w:r>
        <w:rPr>
          <w:rFonts w:hint="eastAsia" w:cs="Times New Roman"/>
          <w:color w:val="auto"/>
        </w:rPr>
        <w:t>施工期工艺流程</w:t>
      </w:r>
      <w:bookmarkEnd w:id="135"/>
      <w:bookmarkEnd w:id="136"/>
      <w:bookmarkEnd w:id="137"/>
    </w:p>
    <w:p>
      <w:pPr>
        <w:ind w:firstLine="480"/>
        <w:rPr>
          <w:color w:val="auto"/>
          <w:sz w:val="24"/>
          <w:szCs w:val="24"/>
        </w:rPr>
      </w:pPr>
      <w:r>
        <w:rPr>
          <w:color w:val="auto"/>
          <w:sz w:val="24"/>
          <w:szCs w:val="24"/>
        </w:rPr>
        <w:t>本项目施工按照基础工程——主体工程——装饰工程——设备安装的次序安排施工方案，施工过程中所用到的主要施工方法有：基础构造柱和圈梁、施工材料的装运等。采用的施工机械主要有：推土机、挖掘机、载重汽车、振捣器、打桩机、塔吊等。工程施工期间对环境的影响主要表现在基础工程、主体工程、装饰工程、设备安装等建设工序将产生噪声、扬尘、固体废弃物、少量污水和废气等污染物，其排放量随工期和施工强度不同而有所变化。施工期工艺流程及产污环节见图3.</w:t>
      </w:r>
      <w:r>
        <w:rPr>
          <w:rFonts w:hint="eastAsia"/>
          <w:color w:val="auto"/>
          <w:sz w:val="24"/>
          <w:szCs w:val="24"/>
          <w:lang w:val="en-US" w:eastAsia="zh-CN"/>
        </w:rPr>
        <w:t>2</w:t>
      </w:r>
      <w:r>
        <w:rPr>
          <w:color w:val="auto"/>
          <w:sz w:val="24"/>
          <w:szCs w:val="24"/>
        </w:rPr>
        <w:t>-1。</w:t>
      </w:r>
    </w:p>
    <w:p>
      <w:pPr>
        <w:adjustRightInd w:val="0"/>
        <w:snapToGrid w:val="0"/>
        <w:spacing w:before="120" w:beforeLines="50" w:after="120" w:afterLines="50" w:line="360" w:lineRule="auto"/>
        <w:ind w:firstLine="0" w:firstLineChars="0"/>
        <w:jc w:val="left"/>
        <w:rPr>
          <w:color w:val="auto"/>
          <w:spacing w:val="-4"/>
          <w:sz w:val="26"/>
          <w:szCs w:val="26"/>
        </w:rPr>
      </w:pPr>
      <w:r>
        <w:rPr>
          <w:color w:val="auto"/>
        </w:rPr>
        <w:drawing>
          <wp:inline distT="0" distB="0" distL="114300" distR="114300">
            <wp:extent cx="5387340" cy="2180590"/>
            <wp:effectExtent l="0" t="0" r="3810" b="1016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2"/>
                    <a:stretch>
                      <a:fillRect/>
                    </a:stretch>
                  </pic:blipFill>
                  <pic:spPr>
                    <a:xfrm>
                      <a:off x="0" y="0"/>
                      <a:ext cx="5387340" cy="2180590"/>
                    </a:xfrm>
                    <a:prstGeom prst="rect">
                      <a:avLst/>
                    </a:prstGeom>
                    <a:noFill/>
                    <a:ln>
                      <a:noFill/>
                    </a:ln>
                  </pic:spPr>
                </pic:pic>
              </a:graphicData>
            </a:graphic>
          </wp:inline>
        </w:drawing>
      </w:r>
    </w:p>
    <w:p>
      <w:pPr>
        <w:pStyle w:val="2503"/>
        <w:numPr>
          <w:ilvl w:val="0"/>
          <w:numId w:val="17"/>
        </w:numPr>
        <w:spacing w:before="120" w:line="360" w:lineRule="auto"/>
        <w:ind w:left="0" w:leftChars="0" w:firstLine="403" w:firstLineChars="0"/>
        <w:rPr>
          <w:rFonts w:hint="default" w:ascii="Times New Roman" w:hAnsi="Times New Roman" w:cs="Times New Roman"/>
          <w:color w:val="auto"/>
          <w:szCs w:val="21"/>
        </w:rPr>
      </w:pPr>
      <w:r>
        <w:rPr>
          <w:rFonts w:hint="default" w:ascii="Times New Roman" w:hAnsi="Times New Roman" w:cs="Times New Roman"/>
          <w:color w:val="auto"/>
        </w:rPr>
        <w:t xml:space="preserve">  施工期工艺流程及产污环节示意图</w:t>
      </w:r>
    </w:p>
    <w:p>
      <w:pPr>
        <w:pStyle w:val="23"/>
        <w:spacing w:line="440" w:lineRule="exact"/>
        <w:ind w:firstLine="480"/>
        <w:rPr>
          <w:rFonts w:ascii="Times New Roman" w:hAnsi="Times New Roman"/>
          <w:color w:val="auto"/>
        </w:rPr>
      </w:pPr>
    </w:p>
    <w:p>
      <w:pPr>
        <w:pStyle w:val="7"/>
        <w:keepNext/>
        <w:keepLines/>
        <w:pageBreakBefore w:val="0"/>
        <w:widowControl w:val="0"/>
        <w:kinsoku/>
        <w:wordWrap/>
        <w:overflowPunct/>
        <w:topLinePunct w:val="0"/>
        <w:autoSpaceDE/>
        <w:autoSpaceDN/>
        <w:bidi w:val="0"/>
        <w:adjustRightInd/>
        <w:snapToGrid/>
        <w:spacing w:before="0" w:after="0" w:line="360" w:lineRule="auto"/>
        <w:ind w:left="0" w:firstLine="0"/>
        <w:textAlignment w:val="auto"/>
        <w:rPr>
          <w:rFonts w:hint="eastAsia" w:cs="Times New Roman"/>
          <w:color w:val="auto"/>
        </w:rPr>
      </w:pPr>
      <w:bookmarkStart w:id="138" w:name="_Toc12731"/>
      <w:r>
        <w:rPr>
          <w:rFonts w:hint="eastAsia" w:cs="Times New Roman"/>
          <w:color w:val="auto"/>
        </w:rPr>
        <w:t>施工期主要污染工序</w:t>
      </w:r>
      <w:bookmarkEnd w:id="138"/>
    </w:p>
    <w:p>
      <w:pPr>
        <w:pStyle w:val="8"/>
        <w:bidi w:val="0"/>
        <w:rPr>
          <w:rFonts w:hint="default" w:ascii="Times New Roman" w:hAnsi="Times New Roman" w:cs="Times New Roman"/>
          <w:color w:val="auto"/>
        </w:rPr>
      </w:pPr>
      <w:r>
        <w:rPr>
          <w:rFonts w:hint="default" w:ascii="Times New Roman" w:hAnsi="Times New Roman" w:cs="Times New Roman"/>
          <w:color w:val="auto"/>
        </w:rPr>
        <w:t>主要污染工序</w:t>
      </w:r>
    </w:p>
    <w:p>
      <w:pPr>
        <w:pStyle w:val="23"/>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工程建设施工期对环境的影响主要表现为：声环境、环境空气、地表水环境等的影响。在施工过程中，由于</w:t>
      </w:r>
      <w:r>
        <w:rPr>
          <w:rFonts w:hint="eastAsia" w:cs="Times New Roman"/>
          <w:color w:val="auto"/>
          <w:sz w:val="24"/>
          <w:szCs w:val="24"/>
          <w:lang w:eastAsia="zh-CN"/>
        </w:rPr>
        <w:t>场地的平整、</w:t>
      </w:r>
      <w:r>
        <w:rPr>
          <w:rFonts w:hint="default" w:ascii="Times New Roman" w:hAnsi="Times New Roman" w:cs="Times New Roman"/>
          <w:color w:val="auto"/>
          <w:sz w:val="24"/>
          <w:szCs w:val="24"/>
        </w:rPr>
        <w:t>土方的挖掘、运输、堆积等，原材料运输等都带来扬尘、噪声等环境污染。挖方过程中产生的弃土在不利气象条件下易造成水土流失。施工期的主要污染工序简析如下：</w:t>
      </w:r>
    </w:p>
    <w:p>
      <w:pPr>
        <w:pStyle w:val="23"/>
        <w:numPr>
          <w:ilvl w:val="0"/>
          <w:numId w:val="18"/>
        </w:numPr>
        <w:ind w:firstLine="482"/>
        <w:rPr>
          <w:rFonts w:hint="eastAsia" w:cs="Times New Roman"/>
          <w:b/>
          <w:color w:val="auto"/>
          <w:sz w:val="24"/>
          <w:szCs w:val="24"/>
          <w:lang w:val="en-US" w:eastAsia="zh-CN"/>
        </w:rPr>
      </w:pPr>
      <w:r>
        <w:rPr>
          <w:rFonts w:hint="eastAsia" w:cs="Times New Roman"/>
          <w:b/>
          <w:color w:val="auto"/>
          <w:sz w:val="24"/>
          <w:szCs w:val="24"/>
          <w:lang w:val="en-US" w:eastAsia="zh-CN"/>
        </w:rPr>
        <w:t>场地平整</w:t>
      </w:r>
    </w:p>
    <w:p>
      <w:pPr>
        <w:pStyle w:val="23"/>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项目场地平整主要包括砍树、场地清理以及对基地进行平整开挖，挖出的土方部分回填，剩余土方用于绿化。项目在开挖的同时，尽可能短的时间内完成开挖、排管、回填工作。砍伐的树木进行外售。</w:t>
      </w:r>
    </w:p>
    <w:p>
      <w:pPr>
        <w:pStyle w:val="23"/>
        <w:ind w:firstLine="482"/>
        <w:rPr>
          <w:rFonts w:hint="default" w:ascii="Times New Roman" w:hAnsi="Times New Roman" w:cs="Times New Roman"/>
          <w:b/>
          <w:color w:val="auto"/>
          <w:sz w:val="24"/>
          <w:szCs w:val="24"/>
        </w:rPr>
      </w:pPr>
      <w:r>
        <w:rPr>
          <w:rFonts w:hint="eastAsia" w:cs="Times New Roman"/>
          <w:b/>
          <w:color w:val="auto"/>
          <w:sz w:val="24"/>
          <w:szCs w:val="24"/>
          <w:lang w:val="en-US" w:eastAsia="zh-CN"/>
        </w:rPr>
        <w:t>2</w:t>
      </w:r>
      <w:r>
        <w:rPr>
          <w:rFonts w:hint="default" w:ascii="Times New Roman" w:hAnsi="Times New Roman" w:cs="Times New Roman"/>
          <w:b/>
          <w:color w:val="auto"/>
          <w:sz w:val="24"/>
          <w:szCs w:val="24"/>
        </w:rPr>
        <w:t>、基础工程</w:t>
      </w:r>
    </w:p>
    <w:p>
      <w:pPr>
        <w:pStyle w:val="23"/>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基础土方（挖方、填方）、地基处理（岩土工程）与基础施工时，由打桩机、挖土机、运土卡车等运行时，将主要产生噪声；同时产生扬尘和工人施工生活废水；基础工程挖土方基本用于厂地绿化或进行回填，外运弃土量较小。</w:t>
      </w:r>
    </w:p>
    <w:p>
      <w:pPr>
        <w:pStyle w:val="23"/>
        <w:ind w:firstLine="482"/>
        <w:rPr>
          <w:rFonts w:hint="default" w:ascii="Times New Roman" w:hAnsi="Times New Roman" w:cs="Times New Roman"/>
          <w:b/>
          <w:color w:val="auto"/>
          <w:sz w:val="24"/>
          <w:szCs w:val="24"/>
        </w:rPr>
      </w:pPr>
      <w:r>
        <w:rPr>
          <w:rFonts w:hint="eastAsia" w:cs="Times New Roman"/>
          <w:b/>
          <w:color w:val="auto"/>
          <w:sz w:val="24"/>
          <w:szCs w:val="24"/>
          <w:lang w:val="en-US" w:eastAsia="zh-CN"/>
        </w:rPr>
        <w:t>3</w:t>
      </w:r>
      <w:r>
        <w:rPr>
          <w:rFonts w:hint="default" w:ascii="Times New Roman" w:hAnsi="Times New Roman" w:cs="Times New Roman"/>
          <w:b/>
          <w:color w:val="auto"/>
          <w:sz w:val="24"/>
          <w:szCs w:val="24"/>
        </w:rPr>
        <w:t>、主体工程</w:t>
      </w:r>
    </w:p>
    <w:p>
      <w:pPr>
        <w:pStyle w:val="23"/>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由混凝土振捣棒、卷扬机、钢筋切割机等施工机械运行产生噪声，挖土、堆场、汽车运输等工程产生扬尘，原材料废弃料及生产和生活污水。</w:t>
      </w:r>
    </w:p>
    <w:p>
      <w:pPr>
        <w:pStyle w:val="23"/>
        <w:ind w:firstLine="482"/>
        <w:rPr>
          <w:rFonts w:hint="default" w:ascii="Times New Roman" w:hAnsi="Times New Roman" w:cs="Times New Roman"/>
          <w:b/>
          <w:color w:val="auto"/>
          <w:sz w:val="24"/>
          <w:szCs w:val="24"/>
        </w:rPr>
      </w:pPr>
      <w:r>
        <w:rPr>
          <w:rFonts w:hint="eastAsia" w:cs="Times New Roman"/>
          <w:b/>
          <w:color w:val="auto"/>
          <w:sz w:val="24"/>
          <w:szCs w:val="24"/>
          <w:lang w:val="en-US" w:eastAsia="zh-CN"/>
        </w:rPr>
        <w:t>4</w:t>
      </w:r>
      <w:r>
        <w:rPr>
          <w:rFonts w:hint="default" w:ascii="Times New Roman" w:hAnsi="Times New Roman" w:cs="Times New Roman"/>
          <w:b/>
          <w:color w:val="auto"/>
          <w:sz w:val="24"/>
          <w:szCs w:val="24"/>
        </w:rPr>
        <w:t>、装饰、绿化工程</w:t>
      </w:r>
    </w:p>
    <w:p>
      <w:pPr>
        <w:pStyle w:val="23"/>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对构筑物室内外进行装修时（如表面粉刷、油漆、喷涂、裱糊等），钻机、电锤、切割机等产生噪声，油漆和喷涂产生废气，废弃物料及生活污水。</w:t>
      </w:r>
    </w:p>
    <w:p>
      <w:pPr>
        <w:pStyle w:val="23"/>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总体来讲，工程在施工期以施工噪声、废弃物料（废渣）和废水为主要污染物，但这些污染物随着施工的结束而消除。</w:t>
      </w:r>
    </w:p>
    <w:p>
      <w:pPr>
        <w:pStyle w:val="8"/>
        <w:bidi w:val="0"/>
        <w:rPr>
          <w:rFonts w:hint="eastAsia" w:cs="Times New Roman"/>
          <w:color w:val="auto"/>
        </w:rPr>
      </w:pPr>
      <w:r>
        <w:rPr>
          <w:rFonts w:hint="eastAsia" w:cs="Times New Roman"/>
          <w:color w:val="auto"/>
        </w:rPr>
        <w:t>主要污染因素</w:t>
      </w:r>
    </w:p>
    <w:p>
      <w:pPr>
        <w:pStyle w:val="23"/>
        <w:spacing w:line="440" w:lineRule="exact"/>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施工期污染因素主要为圈舍、厂房修建产生的建筑废渣、建筑噪声、扬尘、施工人员的生活污水。</w:t>
      </w:r>
    </w:p>
    <w:p>
      <w:pPr>
        <w:pStyle w:val="23"/>
        <w:spacing w:line="440" w:lineRule="exact"/>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1、废气：各类燃油动力机械施工作业时会排出各类燃油废气，排放的主要污染物为CO、NOx、SO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、烟尘。土石方装卸、运输时产生的扬尘，排放的主要污染物为TSP。</w:t>
      </w:r>
    </w:p>
    <w:p>
      <w:pPr>
        <w:pStyle w:val="23"/>
        <w:spacing w:line="440" w:lineRule="exact"/>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2、废水：施工人员产生的生活污水，主要污染物为BOD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、COD、NH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-N、SS。运输车辆冲洗水、混凝土工程的灰浆，主要污染物为SS、石油类等。</w:t>
      </w:r>
    </w:p>
    <w:p>
      <w:pPr>
        <w:pStyle w:val="23"/>
        <w:spacing w:line="440" w:lineRule="exact"/>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3、噪声：各类施工机械和运输车辆等施工作业时产生的设备噪声。</w:t>
      </w:r>
    </w:p>
    <w:p>
      <w:pPr>
        <w:pStyle w:val="23"/>
        <w:spacing w:line="440" w:lineRule="exact"/>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4、固废：基础工程施工时产生挖掘的土方和建筑垃圾等。</w:t>
      </w:r>
    </w:p>
    <w:p>
      <w:pPr>
        <w:pStyle w:val="7"/>
        <w:keepNext/>
        <w:keepLines/>
        <w:pageBreakBefore w:val="0"/>
        <w:widowControl w:val="0"/>
        <w:kinsoku/>
        <w:wordWrap/>
        <w:overflowPunct/>
        <w:topLinePunct w:val="0"/>
        <w:autoSpaceDE/>
        <w:autoSpaceDN/>
        <w:bidi w:val="0"/>
        <w:adjustRightInd/>
        <w:snapToGrid/>
        <w:spacing w:before="0" w:after="0" w:line="360" w:lineRule="auto"/>
        <w:ind w:left="0" w:firstLine="0"/>
        <w:textAlignment w:val="auto"/>
        <w:rPr>
          <w:rFonts w:hint="eastAsia" w:cs="Times New Roman"/>
          <w:color w:val="auto"/>
        </w:rPr>
      </w:pPr>
      <w:bookmarkStart w:id="139" w:name="_Toc110935445"/>
      <w:bookmarkStart w:id="140" w:name="_Toc110935813"/>
      <w:bookmarkStart w:id="141" w:name="_Toc111022442"/>
      <w:bookmarkStart w:id="142" w:name="_Toc111453586"/>
      <w:bookmarkStart w:id="143" w:name="_Toc170544195"/>
      <w:bookmarkStart w:id="144" w:name="_Toc387831647"/>
      <w:bookmarkStart w:id="145" w:name="_Toc170707098"/>
      <w:bookmarkStart w:id="146" w:name="_Toc360634812"/>
      <w:bookmarkStart w:id="147" w:name="_Toc31807"/>
      <w:r>
        <w:rPr>
          <w:rFonts w:hint="eastAsia" w:cs="Times New Roman"/>
          <w:color w:val="auto"/>
        </w:rPr>
        <w:t>施工期主要污染物排放</w:t>
      </w:r>
      <w:bookmarkEnd w:id="139"/>
      <w:bookmarkEnd w:id="140"/>
      <w:bookmarkEnd w:id="141"/>
      <w:bookmarkEnd w:id="142"/>
      <w:r>
        <w:rPr>
          <w:rFonts w:hint="eastAsia" w:cs="Times New Roman"/>
          <w:color w:val="auto"/>
        </w:rPr>
        <w:t>及治理</w:t>
      </w:r>
      <w:bookmarkEnd w:id="143"/>
      <w:bookmarkEnd w:id="144"/>
      <w:bookmarkEnd w:id="145"/>
      <w:bookmarkEnd w:id="146"/>
      <w:r>
        <w:rPr>
          <w:rFonts w:hint="eastAsia" w:cs="Times New Roman"/>
          <w:color w:val="auto"/>
        </w:rPr>
        <w:t>措施</w:t>
      </w:r>
      <w:bookmarkEnd w:id="147"/>
    </w:p>
    <w:p>
      <w:pPr>
        <w:pStyle w:val="8"/>
        <w:bidi w:val="0"/>
        <w:rPr>
          <w:rFonts w:hint="eastAsia" w:cs="Times New Roman"/>
          <w:color w:val="auto"/>
        </w:rPr>
      </w:pPr>
      <w:r>
        <w:rPr>
          <w:rFonts w:hint="eastAsia" w:cs="Times New Roman"/>
          <w:color w:val="auto"/>
        </w:rPr>
        <w:t>施工期废水的产生及治理</w:t>
      </w:r>
    </w:p>
    <w:p>
      <w:pPr>
        <w:ind w:firstLine="480"/>
        <w:rPr>
          <w:color w:val="auto"/>
          <w:sz w:val="24"/>
          <w:szCs w:val="24"/>
        </w:rPr>
      </w:pPr>
      <w:r>
        <w:rPr>
          <w:color w:val="auto"/>
          <w:sz w:val="24"/>
          <w:szCs w:val="24"/>
        </w:rPr>
        <w:t>施工期产生的废水包括施工人员生活污水、施工作业废水和暴雨径流初期雨水。</w:t>
      </w:r>
    </w:p>
    <w:p>
      <w:pPr>
        <w:ind w:firstLine="482"/>
        <w:rPr>
          <w:b/>
          <w:color w:val="auto"/>
          <w:sz w:val="24"/>
          <w:szCs w:val="24"/>
        </w:rPr>
      </w:pPr>
      <w:r>
        <w:rPr>
          <w:b/>
          <w:color w:val="auto"/>
          <w:sz w:val="24"/>
          <w:szCs w:val="24"/>
        </w:rPr>
        <w:t>1、生活污水</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本项目施工期不在场地内设施工营地，施工人员依托周边居民房屋食宿，仅在施工场地设临时简易化粪池。施工高峰期施工人员约100人，施工人员生活用水以50L/（人·d）计，用水量为5.0m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/d，污水产生量约占用水量的80%，即4.0m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/d。根据同类工程调查，施工生活污水主要污染物的产生浓度为：COD：350mg/L、NH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-N：35mg/L。</w:t>
      </w:r>
    </w:p>
    <w:p>
      <w:pPr>
        <w:ind w:firstLine="482"/>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防治措施：</w:t>
      </w:r>
      <w:r>
        <w:rPr>
          <w:rFonts w:hint="default" w:ascii="Times New Roman" w:hAnsi="Times New Roman" w:cs="Times New Roman"/>
          <w:color w:val="auto"/>
          <w:sz w:val="24"/>
          <w:szCs w:val="24"/>
        </w:rPr>
        <w:t>施工人员生活污水进入临时简易化粪池（10m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），经收集处理后定期清掏，用作周边耕地施肥。</w:t>
      </w:r>
    </w:p>
    <w:p>
      <w:pPr>
        <w:ind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2、施工作业废水</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施工作业主要采用商品混凝土，废水主要为施工机械、车辆冲洗废水，产生量约3m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/d，主要污染物是悬浮物、石油类等。</w:t>
      </w:r>
    </w:p>
    <w:p>
      <w:pPr>
        <w:ind w:firstLine="482"/>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防治措施：</w:t>
      </w:r>
      <w:r>
        <w:rPr>
          <w:rFonts w:hint="default" w:ascii="Times New Roman" w:hAnsi="Times New Roman" w:cs="Times New Roman"/>
          <w:color w:val="auto"/>
          <w:sz w:val="24"/>
          <w:szCs w:val="24"/>
        </w:rPr>
        <w:t>施工场地修建1个临时隔油池1m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、1个临时沉淀池5m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，含SS、石油类的施工废水排入隔油池、沉淀池进行处理后回用于场地洒水降尘。</w:t>
      </w:r>
    </w:p>
    <w:p>
      <w:pPr>
        <w:ind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3、暴雨径流初期雨水</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雨季，施工场地上暴雨形成的地表径流夹带建筑原料砂石、水泥，并对裸露地表对泥土有冲刷作用，造成水土流失。</w:t>
      </w:r>
    </w:p>
    <w:p>
      <w:pPr>
        <w:ind w:firstLine="482"/>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防治措施：</w:t>
      </w:r>
      <w:r>
        <w:rPr>
          <w:rFonts w:hint="default" w:ascii="Times New Roman" w:hAnsi="Times New Roman" w:cs="Times New Roman"/>
          <w:color w:val="auto"/>
          <w:sz w:val="24"/>
          <w:szCs w:val="24"/>
        </w:rPr>
        <w:t>修建临时截水沟及1个20m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沉砂池，收集的初期雨水回用于项目洒水抑尘；雨季应尽量减小地面坡度，减少开挖面，并争取土料随挖、随运，减少推土裸土的暴露时间，以避免受降雨直接冲刷；部分开挖土方将作为回填土，回填土临时堆场周边设置截水沟，施工材料的临时堆场设置遮雨棚，下雨时不会受到雨水冲击而流失，在暴雨期，还应采取应急措施，尽量用覆盖物覆盖新开挖的陡坡，防止冲刷和塌崩等，可将雨季施工影响降至最低。</w:t>
      </w:r>
    </w:p>
    <w:p>
      <w:pPr>
        <w:pStyle w:val="2503"/>
        <w:numPr>
          <w:ilvl w:val="0"/>
          <w:numId w:val="19"/>
        </w:numPr>
        <w:spacing w:before="120"/>
        <w:ind w:left="0" w:leftChars="0" w:firstLine="403" w:firstLineChars="0"/>
        <w:rPr>
          <w:rFonts w:hint="default" w:ascii="Times New Roman" w:hAnsi="Times New Roman" w:cs="Times New Roman"/>
          <w:color w:val="auto"/>
        </w:rPr>
      </w:pPr>
      <w:r>
        <w:rPr>
          <w:rFonts w:hint="default" w:ascii="Times New Roman" w:hAnsi="Times New Roman" w:cs="Times New Roman"/>
          <w:color w:val="auto"/>
        </w:rPr>
        <w:t xml:space="preserve">  施工期废水产生及排放情况</w:t>
      </w:r>
    </w:p>
    <w:tbl>
      <w:tblPr>
        <w:tblStyle w:val="88"/>
        <w:tblW w:w="4998" w:type="pct"/>
        <w:tblInd w:w="0" w:type="dxa"/>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41"/>
        <w:gridCol w:w="812"/>
        <w:gridCol w:w="1811"/>
        <w:gridCol w:w="1879"/>
        <w:gridCol w:w="1105"/>
        <w:gridCol w:w="1455"/>
      </w:tblGrid>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36" w:type="pct"/>
            <w:gridSpan w:val="2"/>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污染物名称</w:t>
            </w:r>
          </w:p>
        </w:tc>
        <w:tc>
          <w:tcPr>
            <w:tcW w:w="109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产生浓度及产生量</w:t>
            </w:r>
          </w:p>
        </w:tc>
        <w:tc>
          <w:tcPr>
            <w:tcW w:w="113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处理措施</w:t>
            </w:r>
          </w:p>
        </w:tc>
        <w:tc>
          <w:tcPr>
            <w:tcW w:w="665" w:type="pct"/>
            <w:noWrap w:val="0"/>
            <w:vAlign w:val="center"/>
          </w:tcPr>
          <w:p>
            <w:pPr>
              <w:pStyle w:val="163"/>
              <w:keepNext w:val="0"/>
              <w:keepLines w:val="0"/>
              <w:suppressLineNumbers w:val="0"/>
              <w:kinsoku w:val="0"/>
              <w:overflowPunct w:val="0"/>
              <w:spacing w:before="0" w:beforeAutospacing="0" w:after="0" w:afterAutospacing="0"/>
              <w:ind w:left="0" w:right="18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排放浓度</w:t>
            </w:r>
            <w:r>
              <w:rPr>
                <w:rFonts w:hint="default" w:ascii="Times New Roman" w:hAnsi="Times New Roman" w:cs="Times New Roman"/>
                <w:b/>
                <w:bCs/>
                <w:color w:val="auto"/>
                <w:w w:val="99"/>
                <w:sz w:val="21"/>
                <w:szCs w:val="21"/>
              </w:rPr>
              <w:t xml:space="preserve"> </w:t>
            </w:r>
            <w:r>
              <w:rPr>
                <w:rFonts w:hint="default" w:ascii="Times New Roman" w:hAnsi="Times New Roman" w:cs="Times New Roman"/>
                <w:b/>
                <w:bCs/>
                <w:color w:val="auto"/>
                <w:sz w:val="21"/>
                <w:szCs w:val="21"/>
              </w:rPr>
              <w:t>及排放量</w:t>
            </w:r>
          </w:p>
        </w:tc>
        <w:tc>
          <w:tcPr>
            <w:tcW w:w="876" w:type="pct"/>
            <w:noWrap w:val="0"/>
            <w:vAlign w:val="center"/>
          </w:tcPr>
          <w:p>
            <w:pPr>
              <w:pStyle w:val="163"/>
              <w:keepNext w:val="0"/>
              <w:keepLines w:val="0"/>
              <w:suppressLineNumbers w:val="0"/>
              <w:kinsoku w:val="0"/>
              <w:overflowPunct w:val="0"/>
              <w:spacing w:before="0" w:beforeAutospacing="0" w:after="0" w:afterAutospacing="0"/>
              <w:ind w:left="0" w:right="5"/>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去向</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47"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p>
        </w:tc>
        <w:tc>
          <w:tcPr>
            <w:tcW w:w="48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position w:val="2"/>
                <w:sz w:val="21"/>
                <w:szCs w:val="21"/>
              </w:rPr>
              <w:t>COD</w:t>
            </w:r>
          </w:p>
        </w:tc>
        <w:tc>
          <w:tcPr>
            <w:tcW w:w="109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350mg/L，1.40kg/d</w:t>
            </w:r>
          </w:p>
        </w:tc>
        <w:tc>
          <w:tcPr>
            <w:tcW w:w="1131"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排入场地内临时简易化粪池（10m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665"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0</w:t>
            </w:r>
          </w:p>
        </w:tc>
        <w:tc>
          <w:tcPr>
            <w:tcW w:w="876"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周边耕地施肥</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47" w:type="pct"/>
            <w:vMerge w:val="continue"/>
            <w:noWrap w:val="0"/>
            <w:vAlign w:val="center"/>
          </w:tcPr>
          <w:p>
            <w:pPr>
              <w:pStyle w:val="163"/>
              <w:keepNext w:val="0"/>
              <w:keepLines w:val="0"/>
              <w:suppressLineNumbers w:val="0"/>
              <w:kinsoku w:val="0"/>
              <w:overflowPunct w:val="0"/>
              <w:spacing w:before="0" w:beforeAutospacing="0" w:after="0" w:afterAutospacing="0"/>
              <w:ind w:left="167" w:right="0"/>
              <w:jc w:val="center"/>
              <w:rPr>
                <w:rFonts w:hint="default" w:ascii="Times New Roman" w:hAnsi="Times New Roman" w:cs="Times New Roman"/>
                <w:color w:val="auto"/>
                <w:sz w:val="21"/>
                <w:szCs w:val="21"/>
              </w:rPr>
            </w:pPr>
          </w:p>
        </w:tc>
        <w:tc>
          <w:tcPr>
            <w:tcW w:w="48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position w:val="2"/>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position w:val="2"/>
                <w:sz w:val="21"/>
                <w:szCs w:val="21"/>
              </w:rPr>
              <w:t>-N</w:t>
            </w:r>
          </w:p>
        </w:tc>
        <w:tc>
          <w:tcPr>
            <w:tcW w:w="109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35mg/L，0.14kg/d</w:t>
            </w:r>
          </w:p>
        </w:tc>
        <w:tc>
          <w:tcPr>
            <w:tcW w:w="1131" w:type="pct"/>
            <w:vMerge w:val="continue"/>
            <w:noWrap w:val="0"/>
            <w:vAlign w:val="center"/>
          </w:tcPr>
          <w:p>
            <w:pPr>
              <w:pStyle w:val="163"/>
              <w:keepNext w:val="0"/>
              <w:keepLines w:val="0"/>
              <w:suppressLineNumbers w:val="0"/>
              <w:kinsoku w:val="0"/>
              <w:overflowPunct w:val="0"/>
              <w:spacing w:before="0" w:beforeAutospacing="0" w:after="0" w:afterAutospacing="0"/>
              <w:ind w:left="186" w:right="0"/>
              <w:jc w:val="center"/>
              <w:rPr>
                <w:rFonts w:hint="default" w:ascii="Times New Roman" w:hAnsi="Times New Roman" w:cs="Times New Roman"/>
                <w:color w:val="auto"/>
                <w:sz w:val="21"/>
                <w:szCs w:val="21"/>
              </w:rPr>
            </w:pPr>
          </w:p>
        </w:tc>
        <w:tc>
          <w:tcPr>
            <w:tcW w:w="665"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0</w:t>
            </w:r>
          </w:p>
        </w:tc>
        <w:tc>
          <w:tcPr>
            <w:tcW w:w="876" w:type="pct"/>
            <w:vMerge w:val="continue"/>
            <w:noWrap w:val="0"/>
            <w:vAlign w:val="center"/>
          </w:tcPr>
          <w:p>
            <w:pPr>
              <w:pStyle w:val="163"/>
              <w:keepNext w:val="0"/>
              <w:keepLines w:val="0"/>
              <w:suppressLineNumbers w:val="0"/>
              <w:kinsoku w:val="0"/>
              <w:overflowPunct w:val="0"/>
              <w:spacing w:before="0" w:beforeAutospacing="0" w:after="0" w:afterAutospacing="0"/>
              <w:ind w:left="1" w:right="0"/>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36" w:type="pct"/>
            <w:gridSpan w:val="2"/>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施工机械冲洗废水</w:t>
            </w:r>
          </w:p>
        </w:tc>
        <w:tc>
          <w:tcPr>
            <w:tcW w:w="1090"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p>
        </w:tc>
        <w:tc>
          <w:tcPr>
            <w:tcW w:w="1131" w:type="pct"/>
            <w:noWrap w:val="0"/>
            <w:vAlign w:val="center"/>
          </w:tcPr>
          <w:p>
            <w:pPr>
              <w:pStyle w:val="163"/>
              <w:keepNext w:val="0"/>
              <w:keepLines w:val="0"/>
              <w:suppressLineNumbers w:val="0"/>
              <w:kinsoku w:val="0"/>
              <w:overflowPunct w:val="0"/>
              <w:spacing w:before="0" w:beforeAutospacing="0" w:after="0" w:afterAutospacing="0"/>
              <w:ind w:left="0" w:right="10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隔油池（1m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）、沉淀池（5m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665"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0</w:t>
            </w:r>
          </w:p>
        </w:tc>
        <w:tc>
          <w:tcPr>
            <w:tcW w:w="87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场地洒水降尘</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36" w:type="pct"/>
            <w:gridSpan w:val="2"/>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暴雨径流初期雨水</w:t>
            </w:r>
          </w:p>
        </w:tc>
        <w:tc>
          <w:tcPr>
            <w:tcW w:w="109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/次</w:t>
            </w:r>
          </w:p>
        </w:tc>
        <w:tc>
          <w:tcPr>
            <w:tcW w:w="113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沉淀池</w:t>
            </w:r>
          </w:p>
        </w:tc>
        <w:tc>
          <w:tcPr>
            <w:tcW w:w="665"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0</w:t>
            </w:r>
          </w:p>
        </w:tc>
        <w:tc>
          <w:tcPr>
            <w:tcW w:w="87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场地洒水降尘</w:t>
            </w:r>
          </w:p>
        </w:tc>
      </w:tr>
    </w:tbl>
    <w:p>
      <w:pPr>
        <w:pStyle w:val="8"/>
        <w:bidi w:val="0"/>
        <w:rPr>
          <w:rFonts w:hint="eastAsia" w:cs="Times New Roman"/>
          <w:color w:val="auto"/>
        </w:rPr>
      </w:pPr>
      <w:r>
        <w:rPr>
          <w:rFonts w:hint="eastAsia" w:cs="Times New Roman"/>
          <w:color w:val="auto"/>
        </w:rPr>
        <w:t>施工期废气的产生及治理</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本项目施工期的大气污染物主要是扬尘，扬尘一般由土地平整、土方填挖、物料装卸和车辆运输造成的。</w:t>
      </w:r>
    </w:p>
    <w:p>
      <w:pPr>
        <w:ind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1、施工车辆扬尘</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车辆行驶产生的扬尘，在完全干燥情况下，按下列经验公式计算：</w:t>
      </w:r>
    </w:p>
    <w:p>
      <w:pPr>
        <w:spacing w:line="24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2095500" cy="561975"/>
            <wp:effectExtent l="0" t="0" r="0" b="952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13"/>
                    <a:stretch>
                      <a:fillRect/>
                    </a:stretch>
                  </pic:blipFill>
                  <pic:spPr>
                    <a:xfrm>
                      <a:off x="0" y="0"/>
                      <a:ext cx="2095500" cy="561975"/>
                    </a:xfrm>
                    <a:prstGeom prst="rect">
                      <a:avLst/>
                    </a:prstGeom>
                    <a:noFill/>
                    <a:ln>
                      <a:noFill/>
                    </a:ln>
                  </pic:spPr>
                </pic:pic>
              </a:graphicData>
            </a:graphic>
          </wp:inline>
        </w:drawing>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式中：Q——汽车行驶的扬尘，kg/km·辆；</w:t>
      </w:r>
    </w:p>
    <w:p>
      <w:pPr>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V——汽车速度，km/hr；</w:t>
      </w:r>
    </w:p>
    <w:p>
      <w:pPr>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W——汽车载重量，吨；</w:t>
      </w:r>
    </w:p>
    <w:p>
      <w:pPr>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P——道路表面粉尘量，kg/m</w:t>
      </w:r>
      <w:r>
        <w:rPr>
          <w:rFonts w:hint="default" w:ascii="Times New Roman" w:hAnsi="Times New Roman" w:cs="Times New Roman"/>
          <w:color w:val="auto"/>
          <w:position w:val="8"/>
          <w:sz w:val="24"/>
          <w:szCs w:val="24"/>
        </w:rPr>
        <w:t>2</w:t>
      </w:r>
      <w:r>
        <w:rPr>
          <w:rFonts w:hint="default" w:ascii="Times New Roman" w:hAnsi="Times New Roman" w:cs="Times New Roman"/>
          <w:color w:val="auto"/>
          <w:sz w:val="24"/>
          <w:szCs w:val="24"/>
        </w:rPr>
        <w:t>。</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表3.</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-2为一辆10吨卡车，通过一段长度为1km的路面时，不同路面清洁程度，不同行驶速度情况下产生的扬尘量。</w:t>
      </w:r>
    </w:p>
    <w:p>
      <w:pPr>
        <w:pStyle w:val="2503"/>
        <w:numPr>
          <w:ilvl w:val="0"/>
          <w:numId w:val="19"/>
        </w:numPr>
        <w:spacing w:before="120"/>
        <w:ind w:left="0" w:leftChars="0" w:firstLine="403" w:firstLineChars="0"/>
        <w:rPr>
          <w:rFonts w:hint="default" w:ascii="Times New Roman" w:hAnsi="Times New Roman" w:cs="Times New Roman"/>
          <w:color w:val="auto"/>
        </w:rPr>
      </w:pPr>
      <w:r>
        <w:rPr>
          <w:rFonts w:hint="default" w:ascii="Times New Roman" w:hAnsi="Times New Roman" w:cs="Times New Roman"/>
          <w:color w:val="auto"/>
        </w:rPr>
        <w:t xml:space="preserve">  在不同车速和地面清洁程度的汽车扬尘</w:t>
      </w:r>
      <w:r>
        <w:rPr>
          <w:rFonts w:hint="default" w:ascii="Times New Roman" w:hAnsi="Times New Roman" w:cs="Times New Roman"/>
          <w:color w:val="auto"/>
        </w:rPr>
        <w:tab/>
      </w:r>
      <w:r>
        <w:rPr>
          <w:rFonts w:hint="default" w:ascii="Times New Roman" w:hAnsi="Times New Roman" w:cs="Times New Roman"/>
          <w:color w:val="auto"/>
        </w:rPr>
        <w:t>单位：kg/辆·km</w:t>
      </w:r>
    </w:p>
    <w:tbl>
      <w:tblPr>
        <w:tblStyle w:val="88"/>
        <w:tblW w:w="4996" w:type="pct"/>
        <w:tblInd w:w="0" w:type="dxa"/>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46"/>
        <w:gridCol w:w="1176"/>
        <w:gridCol w:w="1176"/>
        <w:gridCol w:w="1176"/>
        <w:gridCol w:w="1176"/>
        <w:gridCol w:w="1174"/>
        <w:gridCol w:w="1175"/>
      </w:tblGrid>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75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P车速</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0.1(kg/m</w:t>
            </w:r>
            <w:r>
              <w:rPr>
                <w:rFonts w:hint="default"/>
                <w:b/>
                <w:bCs/>
                <w:color w:val="auto"/>
                <w:sz w:val="21"/>
                <w:szCs w:val="21"/>
                <w:vertAlign w:val="superscript"/>
              </w:rPr>
              <w:t>2</w:t>
            </w:r>
            <w:r>
              <w:rPr>
                <w:rFonts w:hint="default"/>
                <w:b/>
                <w:bCs/>
                <w:color w:val="auto"/>
                <w:sz w:val="21"/>
                <w:szCs w:val="21"/>
              </w:rPr>
              <w:t>)</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0.2(kg/m</w:t>
            </w:r>
            <w:r>
              <w:rPr>
                <w:rFonts w:hint="default"/>
                <w:b/>
                <w:bCs/>
                <w:color w:val="auto"/>
                <w:sz w:val="21"/>
                <w:szCs w:val="21"/>
                <w:vertAlign w:val="superscript"/>
              </w:rPr>
              <w:t>2</w:t>
            </w:r>
            <w:r>
              <w:rPr>
                <w:rFonts w:hint="default"/>
                <w:b/>
                <w:bCs/>
                <w:color w:val="auto"/>
                <w:sz w:val="21"/>
                <w:szCs w:val="21"/>
              </w:rPr>
              <w:t>)</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0.3(kg/m</w:t>
            </w:r>
            <w:r>
              <w:rPr>
                <w:rFonts w:hint="default"/>
                <w:b/>
                <w:bCs/>
                <w:color w:val="auto"/>
                <w:sz w:val="21"/>
                <w:szCs w:val="21"/>
                <w:vertAlign w:val="superscript"/>
              </w:rPr>
              <w:t>2</w:t>
            </w:r>
            <w:r>
              <w:rPr>
                <w:rFonts w:hint="default"/>
                <w:b/>
                <w:bCs/>
                <w:color w:val="auto"/>
                <w:sz w:val="21"/>
                <w:szCs w:val="21"/>
              </w:rPr>
              <w:t>)</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0.4(kg/m</w:t>
            </w:r>
            <w:r>
              <w:rPr>
                <w:rFonts w:hint="default"/>
                <w:b/>
                <w:bCs/>
                <w:color w:val="auto"/>
                <w:sz w:val="21"/>
                <w:szCs w:val="21"/>
                <w:vertAlign w:val="superscript"/>
              </w:rPr>
              <w:t>2</w:t>
            </w:r>
            <w:r>
              <w:rPr>
                <w:rFonts w:hint="default"/>
                <w:b/>
                <w:bCs/>
                <w:color w:val="auto"/>
                <w:sz w:val="21"/>
                <w:szCs w:val="21"/>
              </w:rPr>
              <w:t>)</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0.5(kg/m</w:t>
            </w:r>
            <w:r>
              <w:rPr>
                <w:rFonts w:hint="default"/>
                <w:b/>
                <w:bCs/>
                <w:color w:val="auto"/>
                <w:sz w:val="21"/>
                <w:szCs w:val="21"/>
                <w:vertAlign w:val="superscript"/>
              </w:rPr>
              <w:t>2</w:t>
            </w:r>
            <w:r>
              <w:rPr>
                <w:rFonts w:hint="default"/>
                <w:b/>
                <w:bCs/>
                <w:color w:val="auto"/>
                <w:sz w:val="21"/>
                <w:szCs w:val="21"/>
              </w:rPr>
              <w:t>)</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1(kg/m</w:t>
            </w:r>
            <w:r>
              <w:rPr>
                <w:rFonts w:hint="default"/>
                <w:b/>
                <w:bCs/>
                <w:color w:val="auto"/>
                <w:sz w:val="21"/>
                <w:szCs w:val="21"/>
                <w:vertAlign w:val="superscript"/>
              </w:rPr>
              <w:t>2</w:t>
            </w:r>
            <w:r>
              <w:rPr>
                <w:rFonts w:hint="default"/>
                <w:b/>
                <w:bCs/>
                <w:color w:val="auto"/>
                <w:sz w:val="21"/>
                <w:szCs w:val="21"/>
              </w:rPr>
              <w:t>)</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75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5(km/h)</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0.051056</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0.085865</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0.116382</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0.144408</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0.170715</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0.287108</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75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10(km/h)</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0.102112</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0.171731</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0.232764</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0.288815</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0.341431</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0.574216</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75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15(km/h)</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0.153167</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0.257596</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0.349146</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0.433223</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0.512146</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0.861323</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75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25(km/h)</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0.255279</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0.429326</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0.58191</w:t>
            </w:r>
          </w:p>
        </w:tc>
        <w:tc>
          <w:tcPr>
            <w:tcW w:w="7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0.722038</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0.853577</w:t>
            </w:r>
          </w:p>
        </w:tc>
        <w:tc>
          <w:tcPr>
            <w:tcW w:w="70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1.435539</w:t>
            </w:r>
          </w:p>
        </w:tc>
      </w:tr>
    </w:tbl>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由此可见，施工车辆扬尘与车速、地面清洁程度等有密切关系。在同样路面清洁程度条件下，车速越快，扬尘量越大；而在同样车速情况下，路面越脏，则扬尘量越</w:t>
      </w:r>
      <w:r>
        <w:rPr>
          <w:rFonts w:ascii="Times New Roman" w:hAnsi="Times New Roman"/>
          <w:color w:val="auto"/>
          <w:spacing w:val="-55"/>
          <w:sz w:val="24"/>
          <w:szCs w:val="24"/>
        </w:rPr>
        <w:t xml:space="preserve"> </w:t>
      </w:r>
      <w:r>
        <w:rPr>
          <w:rFonts w:ascii="Times New Roman" w:hAnsi="Times New Roman"/>
          <w:color w:val="auto"/>
          <w:sz w:val="24"/>
          <w:szCs w:val="24"/>
        </w:rPr>
        <w:t>大。</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由于本项目大部分施工作业都是在场内进行，场址内目前为林地。施工区域全部为</w:t>
      </w:r>
      <w:r>
        <w:rPr>
          <w:rFonts w:hint="eastAsia" w:ascii="Times New Roman" w:hAnsi="Times New Roman"/>
          <w:color w:val="auto"/>
          <w:sz w:val="24"/>
          <w:szCs w:val="24"/>
          <w:lang w:eastAsia="zh-CN"/>
        </w:rPr>
        <w:t>林</w:t>
      </w:r>
      <w:r>
        <w:rPr>
          <w:rFonts w:ascii="Times New Roman" w:hAnsi="Times New Roman"/>
          <w:color w:val="auto"/>
          <w:sz w:val="24"/>
          <w:szCs w:val="24"/>
        </w:rPr>
        <w:t>地，因此在场地内施工扬尘会较大，遇汛期将增加水土流失量。</w:t>
      </w:r>
    </w:p>
    <w:p>
      <w:pPr>
        <w:pStyle w:val="36"/>
        <w:kinsoku w:val="0"/>
        <w:overflowPunct w:val="0"/>
        <w:spacing w:after="0"/>
        <w:ind w:right="249" w:firstLine="482"/>
        <w:rPr>
          <w:rFonts w:hint="eastAsia" w:ascii="Times New Roman" w:hAnsi="Times New Roman"/>
          <w:color w:val="auto"/>
          <w:sz w:val="24"/>
          <w:szCs w:val="24"/>
        </w:rPr>
      </w:pPr>
      <w:r>
        <w:rPr>
          <w:rFonts w:ascii="Times New Roman" w:hAnsi="Times New Roman"/>
          <w:b/>
          <w:color w:val="auto"/>
          <w:sz w:val="24"/>
          <w:szCs w:val="24"/>
        </w:rPr>
        <w:t>防治措施：</w:t>
      </w:r>
    </w:p>
    <w:p>
      <w:pPr>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w:t>
      </w:r>
      <w:r>
        <w:rPr>
          <w:rFonts w:hint="eastAsia" w:ascii="Times New Roman" w:hAnsi="Times New Roman" w:cs="Times New Roman"/>
          <w:color w:val="auto"/>
          <w:kern w:val="0"/>
          <w:sz w:val="24"/>
          <w:szCs w:val="24"/>
          <w:lang w:val="en-US" w:eastAsia="zh-CN"/>
        </w:rPr>
        <w:t>2019年7月8日省政府第29次会议通过，省政府决定废止《四川省灰霾污染防治办法》（四川省人民政府令第288号），其相关内容已被2019年1月1日起实施的</w:t>
      </w:r>
      <w:r>
        <w:rPr>
          <w:rFonts w:hint="eastAsia" w:ascii="Times New Roman" w:hAnsi="Times New Roman" w:cs="Times New Roman"/>
          <w:color w:val="auto"/>
          <w:kern w:val="0"/>
          <w:sz w:val="24"/>
          <w:szCs w:val="24"/>
          <w:lang w:eastAsia="zh-CN"/>
        </w:rPr>
        <w:t>《四川省</w:t>
      </w:r>
      <w:r>
        <w:rPr>
          <w:rFonts w:hint="eastAsia" w:ascii="Times New Roman" w:hAnsi="Times New Roman" w:cs="Times New Roman"/>
          <w:color w:val="auto"/>
          <w:kern w:val="0"/>
          <w:sz w:val="24"/>
          <w:szCs w:val="24"/>
          <w:lang w:val="en-US" w:eastAsia="zh-CN"/>
        </w:rPr>
        <w:t>&lt;</w:t>
      </w:r>
      <w:r>
        <w:rPr>
          <w:rFonts w:hint="eastAsia" w:ascii="Times New Roman" w:hAnsi="Times New Roman" w:cs="Times New Roman"/>
          <w:color w:val="auto"/>
          <w:kern w:val="0"/>
          <w:sz w:val="24"/>
          <w:szCs w:val="24"/>
          <w:lang w:eastAsia="zh-CN"/>
        </w:rPr>
        <w:t>中华人民共和国大气污染防治法</w:t>
      </w:r>
      <w:r>
        <w:rPr>
          <w:rFonts w:hint="eastAsia" w:ascii="Times New Roman" w:hAnsi="Times New Roman" w:cs="Times New Roman"/>
          <w:color w:val="auto"/>
          <w:kern w:val="0"/>
          <w:sz w:val="24"/>
          <w:szCs w:val="24"/>
          <w:lang w:val="en-US" w:eastAsia="zh-CN"/>
        </w:rPr>
        <w:t>&gt;实施办法</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2018修订）全部覆盖，</w:t>
      </w:r>
      <w:r>
        <w:rPr>
          <w:rFonts w:hint="eastAsia" w:ascii="Times New Roman" w:hAnsi="Times New Roman" w:cs="Times New Roman"/>
          <w:color w:val="auto"/>
          <w:kern w:val="0"/>
          <w:sz w:val="24"/>
          <w:szCs w:val="24"/>
          <w:lang w:eastAsia="zh-CN"/>
        </w:rPr>
        <w:t>《四川省</w:t>
      </w:r>
      <w:r>
        <w:rPr>
          <w:rFonts w:hint="eastAsia" w:ascii="Times New Roman" w:hAnsi="Times New Roman" w:cs="Times New Roman"/>
          <w:color w:val="auto"/>
          <w:kern w:val="0"/>
          <w:sz w:val="24"/>
          <w:szCs w:val="24"/>
          <w:lang w:val="en-US" w:eastAsia="zh-CN"/>
        </w:rPr>
        <w:t>&lt;</w:t>
      </w:r>
      <w:r>
        <w:rPr>
          <w:rFonts w:hint="eastAsia" w:ascii="Times New Roman" w:hAnsi="Times New Roman" w:cs="Times New Roman"/>
          <w:color w:val="auto"/>
          <w:kern w:val="0"/>
          <w:sz w:val="24"/>
          <w:szCs w:val="24"/>
          <w:lang w:eastAsia="zh-CN"/>
        </w:rPr>
        <w:t>中华人民共和国大气污染防治法</w:t>
      </w:r>
      <w:r>
        <w:rPr>
          <w:rFonts w:hint="eastAsia" w:ascii="Times New Roman" w:hAnsi="Times New Roman" w:cs="Times New Roman"/>
          <w:color w:val="auto"/>
          <w:kern w:val="0"/>
          <w:sz w:val="24"/>
          <w:szCs w:val="24"/>
          <w:lang w:val="en-US" w:eastAsia="zh-CN"/>
        </w:rPr>
        <w:t>&gt;实施办法</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2018修订）</w:t>
      </w:r>
      <w:r>
        <w:rPr>
          <w:rFonts w:hint="default" w:ascii="Times New Roman" w:hAnsi="Times New Roman" w:cs="Times New Roman"/>
          <w:color w:val="auto"/>
          <w:kern w:val="0"/>
          <w:sz w:val="24"/>
          <w:szCs w:val="24"/>
        </w:rPr>
        <w:t>文</w:t>
      </w:r>
      <w:r>
        <w:rPr>
          <w:rFonts w:hint="eastAsia" w:ascii="Times New Roman" w:hAnsi="Times New Roman" w:cs="Times New Roman"/>
          <w:color w:val="auto"/>
          <w:kern w:val="0"/>
          <w:sz w:val="24"/>
          <w:szCs w:val="24"/>
          <w:lang w:eastAsia="zh-CN"/>
        </w:rPr>
        <w:t>第五十五条，施工工地应遵守下列规定</w:t>
      </w:r>
      <w:r>
        <w:rPr>
          <w:rFonts w:hint="default" w:ascii="Times New Roman" w:hAnsi="Times New Roman" w:cs="Times New Roman"/>
          <w:color w:val="auto"/>
          <w:kern w:val="0"/>
          <w:sz w:val="24"/>
          <w:szCs w:val="24"/>
        </w:rPr>
        <w:t>：</w:t>
      </w:r>
    </w:p>
    <w:p>
      <w:pPr>
        <w:numPr>
          <w:ilvl w:val="0"/>
          <w:numId w:val="20"/>
        </w:numPr>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在施工现场出入口公示施工负责人、扬尘污染控制措施、主管部门以及举报电话等信息，接受社会监督；</w:t>
      </w:r>
    </w:p>
    <w:p>
      <w:pPr>
        <w:numPr>
          <w:ilvl w:val="0"/>
          <w:numId w:val="20"/>
        </w:numPr>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施工工地设置围墙或者硬质密闭围挡，并对围挡进行维护；</w:t>
      </w:r>
    </w:p>
    <w:p>
      <w:pPr>
        <w:numPr>
          <w:ilvl w:val="0"/>
          <w:numId w:val="20"/>
        </w:numPr>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对施工现场进出口通道、场内道路，以及材料存放区、加工区等场所地坪硬化，对其他场地进行覆盖或者临时绿化，对土方集中堆放并按照规范覆盖或者固化；</w:t>
      </w:r>
    </w:p>
    <w:p>
      <w:pPr>
        <w:numPr>
          <w:ilvl w:val="0"/>
          <w:numId w:val="20"/>
        </w:numPr>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施工现场出入口应当设置车辆冲洗设施，施工及运输车辆经除泥、冲洗后方能驶出工地，不得带泥上路；</w:t>
      </w:r>
    </w:p>
    <w:p>
      <w:pPr>
        <w:numPr>
          <w:ilvl w:val="0"/>
          <w:numId w:val="20"/>
        </w:numPr>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露天堆放的河沙、石粉、水泥、灰浆等易产生扬尘的物料以及不能及时清运的建筑垃圾，应当设置不低于堆放高度的密闭围栏，并对堆放物品予以覆盖；</w:t>
      </w:r>
    </w:p>
    <w:p>
      <w:pPr>
        <w:numPr>
          <w:ilvl w:val="0"/>
          <w:numId w:val="20"/>
        </w:numPr>
        <w:spacing w:line="360" w:lineRule="auto"/>
        <w:ind w:firstLine="480"/>
        <w:rPr>
          <w:rFonts w:hint="eastAsia" w:ascii="Times New Roman" w:hAnsi="Times New Roman"/>
          <w:color w:val="auto"/>
          <w:sz w:val="24"/>
          <w:szCs w:val="24"/>
        </w:rPr>
      </w:pPr>
      <w:r>
        <w:rPr>
          <w:rFonts w:hint="default" w:ascii="Times New Roman" w:hAnsi="Times New Roman" w:cs="Times New Roman"/>
          <w:color w:val="auto"/>
          <w:kern w:val="0"/>
          <w:sz w:val="24"/>
          <w:szCs w:val="24"/>
        </w:rPr>
        <w:t>土方施工、主体施工、装饰装修、总坪施工及爆破、拆除、切割作业时，应当使用洒水或者喷淋等降尘措施；</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由于区域</w:t>
      </w:r>
      <w:r>
        <w:rPr>
          <w:rFonts w:hint="eastAsia" w:ascii="Times New Roman" w:hAnsi="Times New Roman"/>
          <w:color w:val="auto"/>
          <w:sz w:val="24"/>
          <w:szCs w:val="24"/>
          <w:lang w:eastAsia="zh-CN"/>
        </w:rPr>
        <w:t>林</w:t>
      </w:r>
      <w:r>
        <w:rPr>
          <w:rFonts w:ascii="Times New Roman" w:hAnsi="Times New Roman"/>
          <w:color w:val="auto"/>
          <w:sz w:val="24"/>
          <w:szCs w:val="24"/>
        </w:rPr>
        <w:t>地土壤吸水性能较好，要求在施工前分片区洒水增加土壤湿度，然后在进行挖掘、运输，场内运输车应控制车速，降低扬尘的产生。</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要求在车辆进出场口设置冲洗平台，车辆冲洗干净方可出场，运输车辆必须遮蓬，防治运输途中的扬尘。</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定期清扫路面，保持路面清洁，控制车速。</w:t>
      </w:r>
    </w:p>
    <w:p>
      <w:pPr>
        <w:pStyle w:val="36"/>
        <w:kinsoku w:val="0"/>
        <w:overflowPunct w:val="0"/>
        <w:spacing w:after="0"/>
        <w:ind w:right="249" w:firstLine="482"/>
        <w:rPr>
          <w:rFonts w:ascii="Times New Roman" w:hAnsi="Times New Roman"/>
          <w:b/>
          <w:color w:val="auto"/>
          <w:sz w:val="24"/>
          <w:szCs w:val="24"/>
        </w:rPr>
      </w:pPr>
      <w:r>
        <w:rPr>
          <w:rFonts w:ascii="Times New Roman" w:hAnsi="Times New Roman"/>
          <w:b/>
          <w:color w:val="auto"/>
          <w:sz w:val="24"/>
          <w:szCs w:val="24"/>
        </w:rPr>
        <w:t>2、物料装卸扬尘</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装卸扬尘可根据经验计算公式：</w:t>
      </w:r>
    </w:p>
    <w:p>
      <w:pPr>
        <w:pStyle w:val="36"/>
        <w:kinsoku w:val="0"/>
        <w:overflowPunct w:val="0"/>
        <w:spacing w:after="0"/>
        <w:ind w:right="249" w:firstLine="0" w:firstLineChars="0"/>
        <w:jc w:val="center"/>
        <w:rPr>
          <w:rFonts w:ascii="Times New Roman" w:hAnsi="Times New Roman"/>
          <w:color w:val="auto"/>
          <w:sz w:val="24"/>
          <w:szCs w:val="24"/>
        </w:rPr>
      </w:pPr>
      <w:r>
        <w:rPr>
          <w:rFonts w:ascii="Times New Roman" w:hAnsi="Times New Roman"/>
          <w:color w:val="auto"/>
          <w:sz w:val="24"/>
          <w:szCs w:val="24"/>
        </w:rPr>
        <w:t>Q=M×K</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式中：Q——起尘量，kg/min；</w:t>
      </w:r>
    </w:p>
    <w:p>
      <w:pPr>
        <w:pStyle w:val="36"/>
        <w:kinsoku w:val="0"/>
        <w:overflowPunct w:val="0"/>
        <w:spacing w:after="0"/>
        <w:ind w:right="249" w:firstLine="1200" w:firstLineChars="500"/>
        <w:rPr>
          <w:rFonts w:ascii="Times New Roman" w:hAnsi="Times New Roman"/>
          <w:color w:val="auto"/>
          <w:sz w:val="24"/>
          <w:szCs w:val="24"/>
        </w:rPr>
      </w:pPr>
      <w:r>
        <w:rPr>
          <w:rFonts w:ascii="Times New Roman" w:hAnsi="Times New Roman"/>
          <w:color w:val="auto"/>
          <w:sz w:val="24"/>
          <w:szCs w:val="24"/>
        </w:rPr>
        <w:t>M——抓运土石方量，kg/min；</w:t>
      </w:r>
    </w:p>
    <w:p>
      <w:pPr>
        <w:pStyle w:val="36"/>
        <w:kinsoku w:val="0"/>
        <w:overflowPunct w:val="0"/>
        <w:spacing w:after="0"/>
        <w:ind w:right="249" w:firstLine="1200" w:firstLineChars="500"/>
        <w:rPr>
          <w:rFonts w:ascii="Times New Roman" w:hAnsi="Times New Roman"/>
          <w:color w:val="auto"/>
          <w:sz w:val="24"/>
          <w:szCs w:val="24"/>
        </w:rPr>
      </w:pPr>
      <w:r>
        <w:rPr>
          <w:rFonts w:ascii="Times New Roman" w:hAnsi="Times New Roman"/>
          <w:color w:val="auto"/>
          <w:sz w:val="24"/>
          <w:szCs w:val="24"/>
        </w:rPr>
        <w:t>K——起尘经验系数（不考虑防护措施时），0.1～1.0%。</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结合项目区域特点，本次评价的起尘经验系数取0.2%。设定挖土机在5分钟内装完一辆5t运输车，一次抓土量1.5t，则每装载一辆运输车辆的产尘速率约2kg/min、即33.3g/s。</w:t>
      </w:r>
    </w:p>
    <w:p>
      <w:pPr>
        <w:pStyle w:val="36"/>
        <w:kinsoku w:val="0"/>
        <w:overflowPunct w:val="0"/>
        <w:spacing w:after="0"/>
        <w:ind w:right="249" w:firstLine="482"/>
        <w:rPr>
          <w:rFonts w:ascii="Times New Roman" w:hAnsi="Times New Roman"/>
          <w:b/>
          <w:color w:val="auto"/>
          <w:sz w:val="24"/>
          <w:szCs w:val="24"/>
        </w:rPr>
      </w:pPr>
      <w:r>
        <w:rPr>
          <w:rFonts w:ascii="Times New Roman" w:hAnsi="Times New Roman"/>
          <w:b/>
          <w:color w:val="auto"/>
          <w:sz w:val="24"/>
          <w:szCs w:val="24"/>
        </w:rPr>
        <w:t>防治措施：</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1）加强管理，设置1.8m高施工围挡。</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2）运输沙、石、水泥、垃圾的车辆装载高度应低于车箱上沿，不得超高超载。实行封闭运输，以免车辆颠簸洒漏。坚持文明装卸，运输车辆装卸完货后应清洗车厢。施工车辆及运输车辆在驶出施工区之前，需作清泥除尘处理，不得将泥土尘土带出场。</w:t>
      </w:r>
    </w:p>
    <w:p>
      <w:pPr>
        <w:pStyle w:val="36"/>
        <w:kinsoku w:val="0"/>
        <w:overflowPunct w:val="0"/>
        <w:spacing w:after="0"/>
        <w:ind w:right="249" w:firstLine="482"/>
        <w:rPr>
          <w:rFonts w:ascii="Times New Roman" w:hAnsi="Times New Roman"/>
          <w:b/>
          <w:color w:val="auto"/>
          <w:sz w:val="24"/>
          <w:szCs w:val="24"/>
        </w:rPr>
      </w:pPr>
      <w:r>
        <w:rPr>
          <w:rFonts w:ascii="Times New Roman" w:hAnsi="Times New Roman"/>
          <w:b/>
          <w:color w:val="auto"/>
          <w:sz w:val="24"/>
          <w:szCs w:val="24"/>
        </w:rPr>
        <w:t>3、堆场扬尘</w:t>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p>
    <w:p>
      <w:pPr>
        <w:pStyle w:val="36"/>
        <w:kinsoku w:val="0"/>
        <w:overflowPunct w:val="0"/>
        <w:spacing w:after="0" w:line="240" w:lineRule="auto"/>
        <w:ind w:right="249" w:firstLine="0" w:firstLineChars="0"/>
        <w:jc w:val="center"/>
        <w:rPr>
          <w:rFonts w:ascii="Times New Roman" w:hAnsi="Times New Roman"/>
          <w:color w:val="auto"/>
          <w:sz w:val="24"/>
          <w:szCs w:val="24"/>
        </w:rPr>
      </w:pPr>
      <w:r>
        <w:rPr>
          <w:rFonts w:ascii="Times New Roman" w:hAnsi="Times New Roman"/>
          <w:color w:val="auto"/>
          <w:sz w:val="24"/>
          <w:szCs w:val="24"/>
        </w:rPr>
        <w:drawing>
          <wp:inline distT="0" distB="0" distL="114300" distR="114300">
            <wp:extent cx="1704975" cy="381000"/>
            <wp:effectExtent l="0" t="0" r="9525" b="0"/>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14"/>
                    <a:stretch>
                      <a:fillRect/>
                    </a:stretch>
                  </pic:blipFill>
                  <pic:spPr>
                    <a:xfrm>
                      <a:off x="0" y="0"/>
                      <a:ext cx="1704975" cy="381000"/>
                    </a:xfrm>
                    <a:prstGeom prst="rect">
                      <a:avLst/>
                    </a:prstGeom>
                    <a:noFill/>
                    <a:ln>
                      <a:noFill/>
                    </a:ln>
                  </pic:spPr>
                </pic:pic>
              </a:graphicData>
            </a:graphic>
          </wp:inline>
        </w:drawing>
      </w:r>
    </w:p>
    <w:p>
      <w:pPr>
        <w:pStyle w:val="36"/>
        <w:kinsoku w:val="0"/>
        <w:overflowPunct w:val="0"/>
        <w:spacing w:after="0"/>
        <w:ind w:right="249" w:firstLine="480"/>
        <w:rPr>
          <w:rFonts w:ascii="Times New Roman" w:hAnsi="Times New Roman"/>
          <w:color w:val="auto"/>
          <w:sz w:val="24"/>
          <w:szCs w:val="24"/>
        </w:rPr>
      </w:pPr>
      <w:r>
        <w:rPr>
          <w:rFonts w:ascii="Times New Roman" w:hAnsi="Times New Roman"/>
          <w:color w:val="auto"/>
          <w:sz w:val="24"/>
          <w:szCs w:val="24"/>
        </w:rPr>
        <w:t>其中：Q——起尘量，kg/吨·年；</w:t>
      </w:r>
    </w:p>
    <w:p>
      <w:pPr>
        <w:pStyle w:val="36"/>
        <w:kinsoku w:val="0"/>
        <w:overflowPunct w:val="0"/>
        <w:spacing w:after="0"/>
        <w:ind w:right="249" w:firstLine="1200" w:firstLineChars="500"/>
        <w:rPr>
          <w:rFonts w:ascii="Times New Roman" w:hAnsi="Times New Roman"/>
          <w:color w:val="auto"/>
          <w:sz w:val="24"/>
          <w:szCs w:val="24"/>
        </w:rPr>
      </w:pPr>
      <w:r>
        <w:rPr>
          <w:rFonts w:ascii="Times New Roman" w:hAnsi="Times New Roman"/>
          <w:color w:val="auto"/>
          <w:sz w:val="24"/>
          <w:szCs w:val="24"/>
        </w:rPr>
        <w:t>V</w:t>
      </w:r>
      <w:r>
        <w:rPr>
          <w:rFonts w:ascii="Times New Roman" w:hAnsi="Times New Roman"/>
          <w:color w:val="auto"/>
          <w:sz w:val="24"/>
          <w:szCs w:val="24"/>
          <w:vertAlign w:val="subscript"/>
        </w:rPr>
        <w:t>50</w:t>
      </w:r>
      <w:r>
        <w:rPr>
          <w:rFonts w:ascii="Times New Roman" w:hAnsi="Times New Roman"/>
          <w:color w:val="auto"/>
          <w:sz w:val="24"/>
          <w:szCs w:val="24"/>
        </w:rPr>
        <w:t xml:space="preserve"> ——距地面50m处风速，m/s；</w:t>
      </w:r>
    </w:p>
    <w:p>
      <w:pPr>
        <w:pStyle w:val="36"/>
        <w:kinsoku w:val="0"/>
        <w:overflowPunct w:val="0"/>
        <w:spacing w:after="0"/>
        <w:ind w:right="249" w:firstLine="1200" w:firstLineChars="500"/>
        <w:rPr>
          <w:rFonts w:ascii="Times New Roman" w:hAnsi="Times New Roman"/>
          <w:color w:val="auto"/>
          <w:sz w:val="24"/>
          <w:szCs w:val="24"/>
        </w:rPr>
      </w:pPr>
      <w:r>
        <w:rPr>
          <w:rFonts w:ascii="Times New Roman" w:hAnsi="Times New Roman"/>
          <w:color w:val="auto"/>
          <w:sz w:val="24"/>
          <w:szCs w:val="24"/>
        </w:rPr>
        <w:t>V</w:t>
      </w:r>
      <w:r>
        <w:rPr>
          <w:rFonts w:ascii="Times New Roman" w:hAnsi="Times New Roman"/>
          <w:color w:val="auto"/>
          <w:sz w:val="24"/>
          <w:szCs w:val="24"/>
          <w:vertAlign w:val="subscript"/>
        </w:rPr>
        <w:t>0</w:t>
      </w:r>
      <w:r>
        <w:rPr>
          <w:rFonts w:ascii="Times New Roman" w:hAnsi="Times New Roman"/>
          <w:color w:val="auto"/>
          <w:sz w:val="24"/>
          <w:szCs w:val="24"/>
        </w:rPr>
        <w:t xml:space="preserve"> ——起尘风速，m/s；</w:t>
      </w:r>
    </w:p>
    <w:p>
      <w:pPr>
        <w:pStyle w:val="36"/>
        <w:kinsoku w:val="0"/>
        <w:overflowPunct w:val="0"/>
        <w:spacing w:after="0"/>
        <w:ind w:right="249" w:firstLine="1200" w:firstLineChars="500"/>
        <w:rPr>
          <w:rFonts w:ascii="Times New Roman" w:hAnsi="Times New Roman"/>
          <w:color w:val="auto"/>
          <w:sz w:val="24"/>
          <w:szCs w:val="24"/>
        </w:rPr>
      </w:pPr>
      <w:r>
        <w:rPr>
          <w:rFonts w:ascii="Times New Roman" w:hAnsi="Times New Roman"/>
          <w:color w:val="auto"/>
          <w:sz w:val="24"/>
          <w:szCs w:val="24"/>
        </w:rPr>
        <w:t>W——尘粒的含水率，%。</w:t>
      </w:r>
    </w:p>
    <w:p>
      <w:pPr>
        <w:pStyle w:val="36"/>
        <w:kinsoku w:val="0"/>
        <w:overflowPunct w:val="0"/>
        <w:spacing w:after="0"/>
        <w:ind w:right="249"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与粒径和含水率有关，因此，减少露天堆放和保证一定的含水率及减少裸露地面是减少风力起尘的有效手段。</w:t>
      </w:r>
    </w:p>
    <w:p>
      <w:pPr>
        <w:pStyle w:val="36"/>
        <w:kinsoku w:val="0"/>
        <w:overflowPunct w:val="0"/>
        <w:spacing w:after="0"/>
        <w:ind w:right="249"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尘粒在空气中的传播扩散情况与风速等气象条件有关，也与尘粒本身的沉降速度有关。以煤尘为例，不同粒径的尘粒的沉降速度见表3.</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-3。</w:t>
      </w:r>
    </w:p>
    <w:p>
      <w:pPr>
        <w:pStyle w:val="2503"/>
        <w:numPr>
          <w:ilvl w:val="0"/>
          <w:numId w:val="19"/>
        </w:numPr>
        <w:spacing w:before="120"/>
        <w:ind w:left="0" w:leftChars="0" w:firstLine="403" w:firstLineChars="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 xml:space="preserve"> 不同粒径尘粒的沉降速度</w:t>
      </w:r>
    </w:p>
    <w:tbl>
      <w:tblPr>
        <w:tblStyle w:val="88"/>
        <w:tblW w:w="4999" w:type="pct"/>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792"/>
        <w:gridCol w:w="931"/>
        <w:gridCol w:w="931"/>
        <w:gridCol w:w="931"/>
        <w:gridCol w:w="931"/>
        <w:gridCol w:w="929"/>
        <w:gridCol w:w="929"/>
        <w:gridCol w:w="930"/>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exact"/>
        </w:trPr>
        <w:tc>
          <w:tcPr>
            <w:tcW w:w="1078" w:type="pct"/>
            <w:noWrap w:val="0"/>
            <w:vAlign w:val="center"/>
          </w:tcPr>
          <w:p>
            <w:pPr>
              <w:pStyle w:val="163"/>
              <w:keepNext w:val="0"/>
              <w:keepLines w:val="0"/>
              <w:suppressLineNumbers w:val="0"/>
              <w:kinsoku w:val="0"/>
              <w:overflowPunct w:val="0"/>
              <w:spacing w:before="1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粒径，μm</w:t>
            </w:r>
          </w:p>
        </w:tc>
        <w:tc>
          <w:tcPr>
            <w:tcW w:w="560"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60"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560"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560"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559"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59"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559" w:type="pct"/>
            <w:noWrap w:val="0"/>
            <w:vAlign w:val="center"/>
          </w:tcPr>
          <w:p>
            <w:pPr>
              <w:pStyle w:val="163"/>
              <w:keepNext w:val="0"/>
              <w:keepLines w:val="0"/>
              <w:suppressLineNumbers w:val="0"/>
              <w:kinsoku w:val="0"/>
              <w:overflowPunct w:val="0"/>
              <w:spacing w:before="68" w:beforeAutospacing="0" w:after="0" w:afterAutospacing="0"/>
              <w:ind w:left="0" w:right="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exact"/>
        </w:trPr>
        <w:tc>
          <w:tcPr>
            <w:tcW w:w="1078" w:type="pct"/>
            <w:noWrap w:val="0"/>
            <w:vAlign w:val="center"/>
          </w:tcPr>
          <w:p>
            <w:pPr>
              <w:pStyle w:val="163"/>
              <w:keepNext w:val="0"/>
              <w:keepLines w:val="0"/>
              <w:suppressLineNumbers w:val="0"/>
              <w:kinsoku w:val="0"/>
              <w:overflowPunct w:val="0"/>
              <w:spacing w:before="2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沉降速度，m/s</w:t>
            </w:r>
          </w:p>
        </w:tc>
        <w:tc>
          <w:tcPr>
            <w:tcW w:w="560"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0.003</w:t>
            </w:r>
          </w:p>
        </w:tc>
        <w:tc>
          <w:tcPr>
            <w:tcW w:w="560"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0.012</w:t>
            </w:r>
          </w:p>
        </w:tc>
        <w:tc>
          <w:tcPr>
            <w:tcW w:w="560"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0.027</w:t>
            </w:r>
          </w:p>
        </w:tc>
        <w:tc>
          <w:tcPr>
            <w:tcW w:w="560"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0.048</w:t>
            </w:r>
          </w:p>
        </w:tc>
        <w:tc>
          <w:tcPr>
            <w:tcW w:w="559"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0.075</w:t>
            </w:r>
          </w:p>
        </w:tc>
        <w:tc>
          <w:tcPr>
            <w:tcW w:w="559"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0.108</w:t>
            </w:r>
          </w:p>
        </w:tc>
        <w:tc>
          <w:tcPr>
            <w:tcW w:w="559"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0.147</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exact"/>
        </w:trPr>
        <w:tc>
          <w:tcPr>
            <w:tcW w:w="1078" w:type="pct"/>
            <w:noWrap w:val="0"/>
            <w:vAlign w:val="center"/>
          </w:tcPr>
          <w:p>
            <w:pPr>
              <w:pStyle w:val="163"/>
              <w:keepNext w:val="0"/>
              <w:keepLines w:val="0"/>
              <w:suppressLineNumbers w:val="0"/>
              <w:kinsoku w:val="0"/>
              <w:overflowPunct w:val="0"/>
              <w:spacing w:before="1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粒径，μm</w:t>
            </w:r>
          </w:p>
        </w:tc>
        <w:tc>
          <w:tcPr>
            <w:tcW w:w="560"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560"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560"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560"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559"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559"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559" w:type="pct"/>
            <w:noWrap w:val="0"/>
            <w:vAlign w:val="center"/>
          </w:tcPr>
          <w:p>
            <w:pPr>
              <w:pStyle w:val="163"/>
              <w:keepNext w:val="0"/>
              <w:keepLines w:val="0"/>
              <w:suppressLineNumbers w:val="0"/>
              <w:kinsoku w:val="0"/>
              <w:overflowPunct w:val="0"/>
              <w:spacing w:before="67" w:beforeAutospacing="0" w:after="0" w:afterAutospacing="0"/>
              <w:ind w:left="0" w:right="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exact"/>
        </w:trPr>
        <w:tc>
          <w:tcPr>
            <w:tcW w:w="1078" w:type="pct"/>
            <w:noWrap w:val="0"/>
            <w:vAlign w:val="center"/>
          </w:tcPr>
          <w:p>
            <w:pPr>
              <w:pStyle w:val="163"/>
              <w:keepNext w:val="0"/>
              <w:keepLines w:val="0"/>
              <w:suppressLineNumbers w:val="0"/>
              <w:kinsoku w:val="0"/>
              <w:overflowPunct w:val="0"/>
              <w:spacing w:before="1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沉降速度，m/s</w:t>
            </w:r>
          </w:p>
        </w:tc>
        <w:tc>
          <w:tcPr>
            <w:tcW w:w="560"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0.165</w:t>
            </w:r>
          </w:p>
        </w:tc>
        <w:tc>
          <w:tcPr>
            <w:tcW w:w="560"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0.170</w:t>
            </w:r>
          </w:p>
        </w:tc>
        <w:tc>
          <w:tcPr>
            <w:tcW w:w="560"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0.00251</w:t>
            </w:r>
          </w:p>
        </w:tc>
        <w:tc>
          <w:tcPr>
            <w:tcW w:w="560"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0.239</w:t>
            </w:r>
          </w:p>
        </w:tc>
        <w:tc>
          <w:tcPr>
            <w:tcW w:w="559"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0.804</w:t>
            </w:r>
          </w:p>
        </w:tc>
        <w:tc>
          <w:tcPr>
            <w:tcW w:w="559"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1.005</w:t>
            </w:r>
          </w:p>
        </w:tc>
        <w:tc>
          <w:tcPr>
            <w:tcW w:w="559" w:type="pct"/>
            <w:noWrap w:val="0"/>
            <w:vAlign w:val="center"/>
          </w:tcPr>
          <w:p>
            <w:pPr>
              <w:pStyle w:val="163"/>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1.829</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exact"/>
        </w:trPr>
        <w:tc>
          <w:tcPr>
            <w:tcW w:w="1078" w:type="pct"/>
            <w:noWrap w:val="0"/>
            <w:vAlign w:val="center"/>
          </w:tcPr>
          <w:p>
            <w:pPr>
              <w:pStyle w:val="163"/>
              <w:keepNext w:val="0"/>
              <w:keepLines w:val="0"/>
              <w:suppressLineNumbers w:val="0"/>
              <w:kinsoku w:val="0"/>
              <w:overflowPunct w:val="0"/>
              <w:spacing w:before="2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粒径，μm</w:t>
            </w:r>
          </w:p>
        </w:tc>
        <w:tc>
          <w:tcPr>
            <w:tcW w:w="560"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w:t>
            </w:r>
          </w:p>
        </w:tc>
        <w:tc>
          <w:tcPr>
            <w:tcW w:w="560"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550</w:t>
            </w:r>
          </w:p>
        </w:tc>
        <w:tc>
          <w:tcPr>
            <w:tcW w:w="560"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650</w:t>
            </w:r>
          </w:p>
        </w:tc>
        <w:tc>
          <w:tcPr>
            <w:tcW w:w="560"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750</w:t>
            </w:r>
          </w:p>
        </w:tc>
        <w:tc>
          <w:tcPr>
            <w:tcW w:w="559"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850</w:t>
            </w:r>
          </w:p>
        </w:tc>
        <w:tc>
          <w:tcPr>
            <w:tcW w:w="559"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950</w:t>
            </w:r>
          </w:p>
        </w:tc>
        <w:tc>
          <w:tcPr>
            <w:tcW w:w="559" w:type="pct"/>
            <w:noWrap w:val="0"/>
            <w:vAlign w:val="center"/>
          </w:tcPr>
          <w:p>
            <w:pPr>
              <w:pStyle w:val="163"/>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7" w:hRule="exact"/>
        </w:trPr>
        <w:tc>
          <w:tcPr>
            <w:tcW w:w="1078" w:type="pct"/>
            <w:noWrap w:val="0"/>
            <w:vAlign w:val="center"/>
          </w:tcPr>
          <w:p>
            <w:pPr>
              <w:pStyle w:val="163"/>
              <w:keepNext w:val="0"/>
              <w:keepLines w:val="0"/>
              <w:suppressLineNumbers w:val="0"/>
              <w:kinsoku w:val="0"/>
              <w:overflowPunct w:val="0"/>
              <w:spacing w:before="18"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沉降速度，m/s</w:t>
            </w:r>
          </w:p>
        </w:tc>
        <w:tc>
          <w:tcPr>
            <w:tcW w:w="560"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2.211</w:t>
            </w:r>
          </w:p>
        </w:tc>
        <w:tc>
          <w:tcPr>
            <w:tcW w:w="560"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2.614</w:t>
            </w:r>
          </w:p>
        </w:tc>
        <w:tc>
          <w:tcPr>
            <w:tcW w:w="560"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3.016</w:t>
            </w:r>
          </w:p>
        </w:tc>
        <w:tc>
          <w:tcPr>
            <w:tcW w:w="560"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3.418</w:t>
            </w:r>
          </w:p>
        </w:tc>
        <w:tc>
          <w:tcPr>
            <w:tcW w:w="559"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3.820</w:t>
            </w:r>
          </w:p>
        </w:tc>
        <w:tc>
          <w:tcPr>
            <w:tcW w:w="559"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4.222</w:t>
            </w:r>
          </w:p>
        </w:tc>
        <w:tc>
          <w:tcPr>
            <w:tcW w:w="559" w:type="pct"/>
            <w:noWrap w:val="0"/>
            <w:vAlign w:val="center"/>
          </w:tcPr>
          <w:p>
            <w:pPr>
              <w:pStyle w:val="163"/>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4.624</w:t>
            </w:r>
          </w:p>
        </w:tc>
      </w:tr>
    </w:tbl>
    <w:p>
      <w:pPr>
        <w:pStyle w:val="36"/>
        <w:kinsoku w:val="0"/>
        <w:overflowPunct w:val="0"/>
        <w:spacing w:after="0"/>
        <w:ind w:right="249"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由表3.</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-3可知，尘粒的沉降速度随粒径的增大而迅速增大。当粒径为250μm时，沉降 速度为1.005m/s，因此可以认为当尘粒大</w:t>
      </w:r>
      <w:r>
        <w:rPr>
          <w:rFonts w:hint="eastAsia" w:ascii="Times New Roman" w:hAnsi="Times New Roman" w:cs="Times New Roman"/>
          <w:color w:val="auto"/>
          <w:sz w:val="24"/>
          <w:szCs w:val="24"/>
          <w:lang w:eastAsia="zh-CN"/>
        </w:rPr>
        <w:t>于</w:t>
      </w:r>
      <w:r>
        <w:rPr>
          <w:rFonts w:hint="default" w:ascii="Times New Roman" w:hAnsi="Times New Roman" w:cs="Times New Roman"/>
          <w:color w:val="auto"/>
          <w:sz w:val="24"/>
          <w:szCs w:val="24"/>
        </w:rPr>
        <w:t>250μm时，主要影响范围在扬尘点下风向近距离范围内，而真正对外环境产生影响的是一些微小尘粒。</w:t>
      </w:r>
    </w:p>
    <w:p>
      <w:pPr>
        <w:pStyle w:val="36"/>
        <w:kinsoku w:val="0"/>
        <w:overflowPunct w:val="0"/>
        <w:spacing w:after="0"/>
        <w:ind w:right="249" w:firstLine="482"/>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防治措施：</w:t>
      </w:r>
      <w:r>
        <w:rPr>
          <w:rFonts w:hint="default" w:ascii="Times New Roman" w:hAnsi="Times New Roman" w:cs="Times New Roman"/>
          <w:color w:val="auto"/>
          <w:sz w:val="24"/>
          <w:szCs w:val="24"/>
        </w:rPr>
        <w:t>场内建筑主要为砖混结构及砖砌墙结构，路面为水泥路面铺设。混凝土为商品混凝土，场内仅采用小型搅拌器，搅拌水泥、砂石等，用于砖砌墙的的粘合剂。因此，场内的水泥、砂石等必须进行防风处理，减少扬尘。建议：①对水泥及其它易飞扬的细颗粒散体材料，储存在库房内或密闭存放；②施工临时弃土进行覆盖处理，采用防风网。</w:t>
      </w:r>
    </w:p>
    <w:p>
      <w:pPr>
        <w:pStyle w:val="36"/>
        <w:kinsoku w:val="0"/>
        <w:overflowPunct w:val="0"/>
        <w:spacing w:after="0"/>
        <w:ind w:right="249"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4、施工机械废气</w:t>
      </w:r>
    </w:p>
    <w:p>
      <w:pPr>
        <w:pStyle w:val="36"/>
        <w:kinsoku w:val="0"/>
        <w:overflowPunct w:val="0"/>
        <w:spacing w:after="0"/>
        <w:ind w:right="249"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各种施工设备、运输车辆在燃油时会产生TSP、CO、SO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、NOx、CnHm等大气污染物，但这些污染物排放量很少，且为间断排放，尾气中所含的有害物质主要有CO、NOx等，对施工人员产生一定的影响。因此施工单位必须使用污染物排放符合国家标准的运输 车辆，加强车辆的保养，使车辆处于良好的工作状态，严禁使用报废车辆，以减少施工对周围环境的影响。</w:t>
      </w:r>
    </w:p>
    <w:p>
      <w:pPr>
        <w:pStyle w:val="36"/>
        <w:kinsoku w:val="0"/>
        <w:overflowPunct w:val="0"/>
        <w:spacing w:after="0"/>
        <w:ind w:right="249" w:firstLine="482"/>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防治措施：</w:t>
      </w:r>
      <w:r>
        <w:rPr>
          <w:rFonts w:hint="default" w:ascii="Times New Roman" w:hAnsi="Times New Roman" w:cs="Times New Roman"/>
          <w:color w:val="auto"/>
          <w:sz w:val="24"/>
          <w:szCs w:val="24"/>
        </w:rPr>
        <w:t>运输车辆、挖掘机等设备产生的尾气特点是排放量小，属间断性排放，加之施工场地开阔，扩散条件良好。要求加强机械车辆维护和管理，确保施工机械正常运行，建议采用优质燃料。</w:t>
      </w:r>
    </w:p>
    <w:p>
      <w:pPr>
        <w:pStyle w:val="36"/>
        <w:kinsoku w:val="0"/>
        <w:overflowPunct w:val="0"/>
        <w:spacing w:after="0"/>
        <w:ind w:right="249"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本项目不设置施工营地，不在场地食宿，无食堂油烟产生，食宿依托周边居民房屋。</w:t>
      </w:r>
    </w:p>
    <w:p>
      <w:pPr>
        <w:pStyle w:val="8"/>
        <w:bidi w:val="0"/>
        <w:rPr>
          <w:color w:val="auto"/>
          <w:sz w:val="24"/>
          <w:szCs w:val="24"/>
        </w:rPr>
      </w:pPr>
      <w:r>
        <w:rPr>
          <w:color w:val="auto"/>
          <w:sz w:val="24"/>
          <w:szCs w:val="24"/>
        </w:rPr>
        <w:t>施工期噪声的产生及治理</w:t>
      </w:r>
    </w:p>
    <w:p>
      <w:pPr>
        <w:ind w:firstLine="480"/>
        <w:rPr>
          <w:color w:val="auto"/>
          <w:sz w:val="24"/>
          <w:szCs w:val="24"/>
        </w:rPr>
      </w:pPr>
      <w:r>
        <w:rPr>
          <w:color w:val="auto"/>
          <w:sz w:val="24"/>
          <w:szCs w:val="24"/>
        </w:rPr>
        <w:t>本项目施工期噪声源主要包括施工场地的各类机械设备和施工材料运输的交通噪声。《环境噪声与振动控制工程技术导则》附录中给出的常见施工机械设备噪声源情况见表3.</w:t>
      </w:r>
      <w:r>
        <w:rPr>
          <w:rFonts w:hint="eastAsia"/>
          <w:color w:val="auto"/>
          <w:sz w:val="24"/>
          <w:szCs w:val="24"/>
          <w:lang w:val="en-US" w:eastAsia="zh-CN"/>
        </w:rPr>
        <w:t>2</w:t>
      </w:r>
      <w:r>
        <w:rPr>
          <w:color w:val="auto"/>
          <w:sz w:val="24"/>
          <w:szCs w:val="24"/>
        </w:rPr>
        <w:t>-4。</w:t>
      </w:r>
    </w:p>
    <w:p>
      <w:pPr>
        <w:pStyle w:val="2503"/>
        <w:numPr>
          <w:ilvl w:val="0"/>
          <w:numId w:val="19"/>
        </w:numPr>
        <w:spacing w:before="120"/>
        <w:ind w:left="0" w:leftChars="0" w:firstLine="403" w:firstLineChars="0"/>
        <w:rPr>
          <w:b/>
          <w:bCs w:val="0"/>
          <w:color w:val="auto"/>
          <w:sz w:val="21"/>
          <w:szCs w:val="21"/>
        </w:rPr>
      </w:pPr>
      <w:r>
        <w:rPr>
          <w:rFonts w:hint="eastAsia"/>
          <w:b/>
          <w:bCs w:val="0"/>
          <w:color w:val="auto"/>
          <w:sz w:val="21"/>
          <w:szCs w:val="21"/>
          <w:lang w:val="en-US" w:eastAsia="zh-CN"/>
        </w:rPr>
        <w:t xml:space="preserve">  </w:t>
      </w:r>
      <w:r>
        <w:rPr>
          <w:b/>
          <w:bCs w:val="0"/>
          <w:color w:val="auto"/>
          <w:sz w:val="21"/>
          <w:szCs w:val="21"/>
        </w:rPr>
        <w:t>施工机械设备噪声源强    单位：dB(A)</w:t>
      </w:r>
    </w:p>
    <w:tbl>
      <w:tblPr>
        <w:tblStyle w:val="88"/>
        <w:tblW w:w="0" w:type="auto"/>
        <w:jc w:val="center"/>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315"/>
        <w:gridCol w:w="2090"/>
        <w:gridCol w:w="2691"/>
        <w:gridCol w:w="2691"/>
      </w:tblGrid>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8"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序号</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设备名称</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距离声源</w:t>
            </w:r>
            <w:r>
              <w:rPr>
                <w:rFonts w:hint="default" w:ascii="Times New Roman" w:hAnsi="Times New Roman" w:cs="Times New Roman"/>
                <w:b/>
                <w:bCs/>
                <w:color w:val="auto"/>
                <w:spacing w:val="-56"/>
                <w:sz w:val="21"/>
                <w:szCs w:val="21"/>
              </w:rPr>
              <w:t xml:space="preserve"> </w:t>
            </w:r>
            <w:r>
              <w:rPr>
                <w:rFonts w:hint="default" w:ascii="Times New Roman" w:hAnsi="Times New Roman" w:cs="Times New Roman"/>
                <w:b/>
                <w:bCs/>
                <w:color w:val="auto"/>
                <w:sz w:val="21"/>
                <w:szCs w:val="21"/>
              </w:rPr>
              <w:t>5m</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距离声源</w:t>
            </w:r>
            <w:r>
              <w:rPr>
                <w:rFonts w:hint="default" w:ascii="Times New Roman" w:hAnsi="Times New Roman" w:cs="Times New Roman"/>
                <w:b/>
                <w:bCs/>
                <w:color w:val="auto"/>
                <w:spacing w:val="-56"/>
                <w:sz w:val="21"/>
                <w:szCs w:val="21"/>
              </w:rPr>
              <w:t xml:space="preserve"> </w:t>
            </w:r>
            <w:r>
              <w:rPr>
                <w:rFonts w:hint="default" w:ascii="Times New Roman" w:hAnsi="Times New Roman" w:cs="Times New Roman"/>
                <w:b/>
                <w:bCs/>
                <w:color w:val="auto"/>
                <w:sz w:val="21"/>
                <w:szCs w:val="21"/>
              </w:rPr>
              <w:t>10m</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1</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液压挖掘机</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82~90</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78~86</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2</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挖掘机</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80~86</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75~83</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3</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轮式装载机</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90~95</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85~91</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4</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推土机</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83~88</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80~85</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5</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重型运输车</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82~90</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78~86</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6</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木工电锯</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93~99</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93~99</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7</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电锤</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95~100</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95~99</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8</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振动夯锤</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92~100</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86~94</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9</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静力压桩机</w:t>
            </w:r>
          </w:p>
        </w:tc>
        <w:tc>
          <w:tcPr>
            <w:tcW w:w="2691" w:type="dxa"/>
            <w:noWrap w:val="0"/>
            <w:vAlign w:val="center"/>
          </w:tcPr>
          <w:p>
            <w:pPr>
              <w:pStyle w:val="163"/>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70~75</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68~73</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混凝土输送泵</w:t>
            </w:r>
          </w:p>
        </w:tc>
        <w:tc>
          <w:tcPr>
            <w:tcW w:w="2691" w:type="dxa"/>
            <w:noWrap w:val="0"/>
            <w:vAlign w:val="center"/>
          </w:tcPr>
          <w:p>
            <w:pPr>
              <w:pStyle w:val="163"/>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88~95</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84~90</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商砼运输车</w:t>
            </w:r>
          </w:p>
        </w:tc>
        <w:tc>
          <w:tcPr>
            <w:tcW w:w="2691" w:type="dxa"/>
            <w:noWrap w:val="0"/>
            <w:vAlign w:val="center"/>
          </w:tcPr>
          <w:p>
            <w:pPr>
              <w:pStyle w:val="163"/>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85~90</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81~84</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混凝土振捣器</w:t>
            </w:r>
          </w:p>
        </w:tc>
        <w:tc>
          <w:tcPr>
            <w:tcW w:w="2691" w:type="dxa"/>
            <w:noWrap w:val="0"/>
            <w:vAlign w:val="center"/>
          </w:tcPr>
          <w:p>
            <w:pPr>
              <w:pStyle w:val="163"/>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80~88</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75~84</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3"/>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209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空压机</w:t>
            </w:r>
          </w:p>
        </w:tc>
        <w:tc>
          <w:tcPr>
            <w:tcW w:w="2691" w:type="dxa"/>
            <w:noWrap w:val="0"/>
            <w:vAlign w:val="center"/>
          </w:tcPr>
          <w:p>
            <w:pPr>
              <w:pStyle w:val="163"/>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88~92</w:t>
            </w:r>
          </w:p>
        </w:tc>
        <w:tc>
          <w:tcPr>
            <w:tcW w:w="2691"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83~88</w:t>
            </w:r>
          </w:p>
        </w:tc>
      </w:tr>
    </w:tbl>
    <w:p>
      <w:pPr>
        <w:pStyle w:val="36"/>
        <w:kinsoku w:val="0"/>
        <w:overflowPunct w:val="0"/>
        <w:spacing w:after="0"/>
        <w:ind w:right="249" w:firstLine="482"/>
        <w:rPr>
          <w:rFonts w:ascii="Times New Roman" w:hAnsi="Times New Roman"/>
          <w:b/>
          <w:color w:val="auto"/>
          <w:sz w:val="24"/>
          <w:szCs w:val="24"/>
        </w:rPr>
      </w:pPr>
      <w:r>
        <w:rPr>
          <w:rFonts w:ascii="Times New Roman" w:hAnsi="Times New Roman"/>
          <w:b/>
          <w:color w:val="auto"/>
          <w:sz w:val="24"/>
          <w:szCs w:val="24"/>
        </w:rPr>
        <w:t>防治措施：</w:t>
      </w:r>
    </w:p>
    <w:p>
      <w:pPr>
        <w:pStyle w:val="36"/>
        <w:kinsoku w:val="0"/>
        <w:overflowPunct w:val="0"/>
        <w:spacing w:after="0"/>
        <w:ind w:right="249" w:firstLine="480"/>
        <w:rPr>
          <w:rFonts w:ascii="Times New Roman" w:hAnsi="Times New Roman"/>
          <w:color w:val="auto"/>
          <w:sz w:val="24"/>
          <w:szCs w:val="24"/>
        </w:rPr>
      </w:pPr>
      <w:r>
        <w:rPr>
          <w:rFonts w:hint="eastAsia" w:ascii="宋体" w:hAnsi="宋体" w:cs="宋体"/>
          <w:color w:val="auto"/>
          <w:sz w:val="24"/>
          <w:szCs w:val="24"/>
        </w:rPr>
        <w:t>①</w:t>
      </w:r>
      <w:r>
        <w:rPr>
          <w:rFonts w:ascii="Times New Roman" w:hAnsi="Times New Roman"/>
          <w:color w:val="auto"/>
          <w:sz w:val="24"/>
          <w:szCs w:val="24"/>
        </w:rPr>
        <w:t>首先从噪声源强进行控制：建设单位在与施工单位签订合同时，应要求其使用的主要机械设备为低噪设备。尽量选低噪声液压施工机械替代气压机械；不使用汽锤打桩机，采用长螺旋钻机；尽可能使用商品混凝土，不使用混凝土搅拌机。同时在施 工过程中施工单位应设专人对设备进行定期保养和维护，并负责对现场工作人员进行培训，严格按操作规范使用各类机械。</w:t>
      </w:r>
    </w:p>
    <w:p>
      <w:pPr>
        <w:pStyle w:val="36"/>
        <w:kinsoku w:val="0"/>
        <w:overflowPunct w:val="0"/>
        <w:spacing w:after="0"/>
        <w:ind w:right="249" w:firstLine="480"/>
        <w:rPr>
          <w:rFonts w:ascii="Times New Roman" w:hAnsi="Times New Roman"/>
          <w:color w:val="auto"/>
          <w:sz w:val="24"/>
          <w:szCs w:val="24"/>
        </w:rPr>
      </w:pPr>
      <w:r>
        <w:rPr>
          <w:rFonts w:hint="eastAsia" w:ascii="宋体" w:hAnsi="宋体" w:cs="宋体"/>
          <w:color w:val="auto"/>
          <w:sz w:val="24"/>
          <w:szCs w:val="24"/>
        </w:rPr>
        <w:t>②</w:t>
      </w:r>
      <w:r>
        <w:rPr>
          <w:rFonts w:ascii="Times New Roman" w:hAnsi="Times New Roman"/>
          <w:color w:val="auto"/>
          <w:sz w:val="24"/>
          <w:szCs w:val="24"/>
        </w:rPr>
        <w:t>作业时在高噪声设备周围设置屏蔽，不低于1.8m。</w:t>
      </w:r>
    </w:p>
    <w:p>
      <w:pPr>
        <w:pStyle w:val="36"/>
        <w:kinsoku w:val="0"/>
        <w:overflowPunct w:val="0"/>
        <w:spacing w:after="0"/>
        <w:ind w:right="249" w:firstLine="480"/>
        <w:rPr>
          <w:rFonts w:ascii="Times New Roman" w:hAnsi="Times New Roman"/>
          <w:color w:val="auto"/>
          <w:sz w:val="24"/>
          <w:szCs w:val="24"/>
        </w:rPr>
      </w:pPr>
      <w:r>
        <w:rPr>
          <w:rFonts w:hint="eastAsia" w:ascii="宋体" w:hAnsi="宋体" w:cs="宋体"/>
          <w:color w:val="auto"/>
          <w:sz w:val="24"/>
          <w:szCs w:val="24"/>
        </w:rPr>
        <w:t>③</w:t>
      </w:r>
      <w:r>
        <w:rPr>
          <w:rFonts w:ascii="Times New Roman" w:hAnsi="Times New Roman"/>
          <w:color w:val="auto"/>
          <w:sz w:val="24"/>
          <w:szCs w:val="24"/>
        </w:rPr>
        <w:t>合理安排施工进度和作业时间，尽量避免高噪声设备同时作业，夜间（晚22点到次日早晨6点）禁止施工。</w:t>
      </w:r>
    </w:p>
    <w:p>
      <w:pPr>
        <w:pStyle w:val="36"/>
        <w:kinsoku w:val="0"/>
        <w:overflowPunct w:val="0"/>
        <w:spacing w:after="0"/>
        <w:ind w:right="249" w:firstLine="480"/>
        <w:rPr>
          <w:rFonts w:ascii="Times New Roman" w:hAnsi="Times New Roman"/>
          <w:color w:val="auto"/>
          <w:sz w:val="24"/>
          <w:szCs w:val="24"/>
        </w:rPr>
      </w:pPr>
      <w:r>
        <w:rPr>
          <w:rFonts w:hint="eastAsia" w:ascii="宋体" w:hAnsi="宋体" w:cs="宋体"/>
          <w:color w:val="auto"/>
          <w:sz w:val="24"/>
          <w:szCs w:val="24"/>
        </w:rPr>
        <w:t>④</w:t>
      </w:r>
      <w:r>
        <w:rPr>
          <w:rFonts w:ascii="Times New Roman" w:hAnsi="Times New Roman"/>
          <w:color w:val="auto"/>
          <w:sz w:val="24"/>
          <w:szCs w:val="24"/>
        </w:rPr>
        <w:t>对人为的施工噪声应有管理制度和降噪措施，并进行严格控制：承担材料运输的车辆，行经居民点处禁止鸣笛，并要减速慢行，装卸材料应做到轻拿轻放，最大限度地减少噪声影响。</w:t>
      </w:r>
    </w:p>
    <w:p>
      <w:pPr>
        <w:pStyle w:val="36"/>
        <w:kinsoku w:val="0"/>
        <w:overflowPunct w:val="0"/>
        <w:spacing w:after="0"/>
        <w:ind w:right="249" w:firstLine="480"/>
        <w:rPr>
          <w:rFonts w:ascii="Times New Roman" w:hAnsi="Times New Roman"/>
          <w:color w:val="auto"/>
          <w:sz w:val="24"/>
          <w:szCs w:val="24"/>
        </w:rPr>
      </w:pPr>
      <w:r>
        <w:rPr>
          <w:rFonts w:hint="eastAsia" w:ascii="宋体" w:hAnsi="宋体" w:cs="宋体"/>
          <w:color w:val="auto"/>
          <w:sz w:val="24"/>
          <w:szCs w:val="24"/>
        </w:rPr>
        <w:t>⑤</w:t>
      </w:r>
      <w:r>
        <w:rPr>
          <w:rFonts w:ascii="Times New Roman" w:hAnsi="Times New Roman"/>
          <w:color w:val="auto"/>
          <w:sz w:val="24"/>
          <w:szCs w:val="24"/>
        </w:rPr>
        <w:t>建设管理部门应加强对施工场地的噪声管理，施工企业也应对施工噪声进行自律，文明施工，避免因施工噪声产生纠纷。</w:t>
      </w:r>
    </w:p>
    <w:p>
      <w:pPr>
        <w:pStyle w:val="8"/>
        <w:bidi w:val="0"/>
        <w:rPr>
          <w:color w:val="auto"/>
          <w:sz w:val="24"/>
          <w:szCs w:val="24"/>
        </w:rPr>
      </w:pPr>
      <w:bookmarkStart w:id="148" w:name="_Toc111022443"/>
      <w:bookmarkStart w:id="149" w:name="_Toc110935446"/>
      <w:bookmarkStart w:id="150" w:name="_Toc111453587"/>
      <w:bookmarkStart w:id="151" w:name="_Toc110935814"/>
      <w:bookmarkStart w:id="152" w:name="_Toc170548695"/>
      <w:bookmarkStart w:id="153" w:name="_Toc170533713"/>
      <w:bookmarkStart w:id="154" w:name="_Toc170533972"/>
      <w:bookmarkStart w:id="155" w:name="_Toc170548315"/>
      <w:bookmarkStart w:id="156" w:name="_Toc170707101"/>
      <w:bookmarkStart w:id="157" w:name="_Toc170627290"/>
      <w:bookmarkStart w:id="158" w:name="_Toc170707312"/>
      <w:bookmarkStart w:id="159" w:name="_Toc149714155"/>
      <w:bookmarkStart w:id="160" w:name="_Toc170544198"/>
      <w:bookmarkStart w:id="161" w:name="_Toc170014878"/>
      <w:bookmarkStart w:id="162" w:name="_Toc149710713"/>
      <w:bookmarkStart w:id="163" w:name="_Toc169669370"/>
      <w:bookmarkStart w:id="164" w:name="_Toc169867758"/>
      <w:bookmarkStart w:id="165" w:name="_Toc170547617"/>
      <w:bookmarkStart w:id="166" w:name="_Toc170533191"/>
      <w:r>
        <w:rPr>
          <w:color w:val="auto"/>
          <w:sz w:val="24"/>
          <w:szCs w:val="24"/>
        </w:rPr>
        <w:t>施工期</w:t>
      </w:r>
      <w:bookmarkEnd w:id="148"/>
      <w:bookmarkEnd w:id="149"/>
      <w:bookmarkEnd w:id="150"/>
      <w:bookmarkEnd w:id="151"/>
      <w:r>
        <w:rPr>
          <w:color w:val="auto"/>
          <w:sz w:val="24"/>
          <w:szCs w:val="24"/>
        </w:rPr>
        <w:t>固体废物的产生及治理</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ind w:firstLine="480"/>
        <w:rPr>
          <w:rFonts w:hint="default" w:ascii="Times New Roman" w:hAnsi="Times New Roman" w:cs="Times New Roman"/>
          <w:color w:val="auto"/>
          <w:sz w:val="24"/>
          <w:szCs w:val="24"/>
        </w:rPr>
      </w:pPr>
      <w:bookmarkStart w:id="167" w:name="_Toc170548696"/>
      <w:bookmarkStart w:id="168" w:name="_Toc170627291"/>
      <w:bookmarkStart w:id="169" w:name="_Toc149714156"/>
      <w:bookmarkStart w:id="170" w:name="_Toc170533714"/>
      <w:bookmarkStart w:id="171" w:name="_Toc169669371"/>
      <w:bookmarkStart w:id="172" w:name="_Toc170547618"/>
      <w:bookmarkStart w:id="173" w:name="_Toc169867759"/>
      <w:bookmarkStart w:id="174" w:name="_Toc170707313"/>
      <w:bookmarkStart w:id="175" w:name="_Toc149710714"/>
      <w:bookmarkStart w:id="176" w:name="_Toc170544199"/>
      <w:bookmarkStart w:id="177" w:name="_Toc170014879"/>
      <w:bookmarkStart w:id="178" w:name="_Toc170533192"/>
      <w:bookmarkStart w:id="179" w:name="_Toc170548316"/>
      <w:bookmarkStart w:id="180" w:name="_Toc170533973"/>
      <w:bookmarkStart w:id="181" w:name="_Toc170707102"/>
      <w:r>
        <w:rPr>
          <w:rFonts w:hint="default" w:ascii="Times New Roman" w:hAnsi="Times New Roman" w:cs="Times New Roman"/>
          <w:color w:val="auto"/>
          <w:sz w:val="24"/>
          <w:szCs w:val="24"/>
        </w:rPr>
        <w:t>本项目施工期产生的固体废弃物主要为施工人员产生的生活垃圾和各种建筑垃圾等。</w:t>
      </w:r>
    </w:p>
    <w:p>
      <w:pPr>
        <w:ind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1、生活垃圾</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生活垃圾以人均每天产生0.5kg计算，施工高峰期施工人员约100人，施工期以180d计，则施工期产生的生活垃圾约9.0t。</w:t>
      </w:r>
    </w:p>
    <w:p>
      <w:pPr>
        <w:ind w:firstLine="482"/>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防治措施：</w:t>
      </w:r>
      <w:r>
        <w:rPr>
          <w:rFonts w:hint="default" w:ascii="Times New Roman" w:hAnsi="Times New Roman" w:cs="Times New Roman"/>
          <w:color w:val="auto"/>
          <w:sz w:val="24"/>
          <w:szCs w:val="24"/>
        </w:rPr>
        <w:t>生活垃圾由场地内垃圾桶（至少6个）收集，日产日清，交由当地环卫部门统一收集清运。</w:t>
      </w:r>
    </w:p>
    <w:p>
      <w:pPr>
        <w:ind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2、建筑垃圾</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在建设过程中产生的建筑垃圾主要为建材损耗产生的垃圾。在施工过程中产生的建筑垃圾包括砂土、石块、水泥、碎木料、锯木屑、废金属、钢筋、铁丝、土石方等杂物。工程施工过程中产生的各类建渣，按照0.5t/100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，本项目建筑面积为</w:t>
      </w:r>
      <w:r>
        <w:rPr>
          <w:rFonts w:hint="eastAsia" w:ascii="Times New Roman" w:hAnsi="Times New Roman" w:cs="Times New Roman"/>
          <w:color w:val="auto"/>
          <w:sz w:val="24"/>
          <w:szCs w:val="24"/>
          <w:lang w:eastAsia="zh-CN"/>
        </w:rPr>
        <w:t>约</w:t>
      </w:r>
      <w:r>
        <w:rPr>
          <w:rFonts w:hint="eastAsia" w:ascii="Times New Roman" w:hAnsi="Times New Roman" w:cs="Times New Roman"/>
          <w:color w:val="auto"/>
          <w:sz w:val="24"/>
          <w:szCs w:val="24"/>
          <w:lang w:val="en-US" w:eastAsia="zh-CN"/>
        </w:rPr>
        <w:t>75055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，故本项目产生的建筑垃圾约</w:t>
      </w:r>
      <w:r>
        <w:rPr>
          <w:rFonts w:hint="eastAsia" w:ascii="Times New Roman" w:hAnsi="Times New Roman" w:cs="Times New Roman"/>
          <w:color w:val="auto"/>
          <w:sz w:val="24"/>
          <w:szCs w:val="24"/>
          <w:lang w:val="en-US" w:eastAsia="zh-CN"/>
        </w:rPr>
        <w:t>375.275</w:t>
      </w:r>
      <w:r>
        <w:rPr>
          <w:rFonts w:hint="default" w:ascii="Times New Roman" w:hAnsi="Times New Roman" w:cs="Times New Roman"/>
          <w:color w:val="auto"/>
          <w:sz w:val="24"/>
          <w:szCs w:val="24"/>
        </w:rPr>
        <w:t>t。</w:t>
      </w:r>
    </w:p>
    <w:p>
      <w:pPr>
        <w:ind w:firstLine="482"/>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防治措施：</w:t>
      </w:r>
      <w:r>
        <w:rPr>
          <w:rFonts w:hint="default" w:ascii="Times New Roman" w:hAnsi="Times New Roman" w:cs="Times New Roman"/>
          <w:color w:val="auto"/>
          <w:sz w:val="24"/>
          <w:szCs w:val="24"/>
        </w:rPr>
        <w:t>建筑垃圾中废金属、废钢筋、废铁丝、废砖块、废木料等应尽量回收利用，其他不能回收利用的建筑垃圾清运至当地管理部门指定的的受纳场地堆放，严禁乱倾乱倒。建筑施工单位在建设项目竣工后，应随即清理、清运完建筑垃圾。</w:t>
      </w:r>
    </w:p>
    <w:p>
      <w:pPr>
        <w:ind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3、弃土弃渣</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施工期基础工程包括开挖土方量与回填土方量，项目开挖表土暂存于表土临时堆场，用于后期绿化覆土。项目挖方量（主要包括猪舍基础开挖、环保处理设施基坑开挖、田间池基坑开挖等）约为18.6万m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，填方量（场地低处平整、厂区硬化区土地压实、绿化区需要的表土）约为15.5万m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，剩余土方量（主要为表土）约为3.1万m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，用作修建周边道路绿化覆土、本项目绿化工程的填方及绿化覆土及周边农田整治覆土。本项目不产生弃土，不设置弃土场。</w:t>
      </w:r>
    </w:p>
    <w:p>
      <w:pPr>
        <w:ind w:firstLine="482"/>
        <w:rPr>
          <w:rFonts w:hint="default"/>
          <w:color w:val="auto"/>
        </w:rPr>
      </w:pPr>
      <w:r>
        <w:rPr>
          <w:rFonts w:hint="default" w:ascii="Times New Roman" w:hAnsi="Times New Roman" w:cs="Times New Roman"/>
          <w:b/>
          <w:color w:val="auto"/>
          <w:sz w:val="24"/>
          <w:szCs w:val="24"/>
        </w:rPr>
        <w:t>防治措施：</w:t>
      </w:r>
      <w:r>
        <w:rPr>
          <w:rFonts w:hint="default" w:ascii="Times New Roman" w:hAnsi="Times New Roman" w:cs="Times New Roman"/>
          <w:color w:val="auto"/>
          <w:sz w:val="24"/>
          <w:szCs w:val="24"/>
        </w:rPr>
        <w:t>项目多余土方用作修建周边道路的填方，不单独设置弃土场。</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Start w:id="182" w:name="_Toc110935447"/>
      <w:bookmarkStart w:id="183" w:name="_Toc110935815"/>
      <w:bookmarkStart w:id="184" w:name="_Toc111022444"/>
      <w:bookmarkStart w:id="185" w:name="_Toc111453588"/>
      <w:r>
        <w:rPr>
          <w:rFonts w:hint="default" w:ascii="Times New Roman" w:hAnsi="Times New Roman" w:cs="Times New Roman"/>
          <w:color w:val="auto"/>
          <w:sz w:val="24"/>
          <w:szCs w:val="24"/>
        </w:rPr>
        <w:t>施工期结束后应及时对裸露土地进行绿化，防止水土流失。</w:t>
      </w:r>
    </w:p>
    <w:bookmarkEnd w:id="182"/>
    <w:bookmarkEnd w:id="183"/>
    <w:bookmarkEnd w:id="184"/>
    <w:bookmarkEnd w:id="185"/>
    <w:p>
      <w:pPr>
        <w:pStyle w:val="8"/>
        <w:bidi w:val="0"/>
        <w:rPr>
          <w:color w:val="auto"/>
          <w:sz w:val="24"/>
          <w:szCs w:val="24"/>
        </w:rPr>
      </w:pPr>
      <w:r>
        <w:rPr>
          <w:color w:val="auto"/>
          <w:sz w:val="24"/>
          <w:szCs w:val="24"/>
        </w:rPr>
        <w:t>施工期水土保持及生态恢复措施</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项目用地现状为林地，</w:t>
      </w:r>
      <w:r>
        <w:rPr>
          <w:rFonts w:hint="default" w:ascii="Times New Roman" w:hAnsi="Times New Roman" w:eastAsia="宋体" w:cs="Times New Roman"/>
          <w:color w:val="auto"/>
          <w:sz w:val="24"/>
          <w:szCs w:val="24"/>
          <w:lang w:eastAsia="zh-CN"/>
        </w:rPr>
        <w:t>占地面积</w:t>
      </w:r>
      <w:r>
        <w:rPr>
          <w:rFonts w:hint="default" w:ascii="Times New Roman" w:hAnsi="Times New Roman" w:eastAsia="宋体" w:cs="Times New Roman"/>
          <w:color w:val="auto"/>
          <w:sz w:val="24"/>
          <w:szCs w:val="24"/>
          <w:lang w:val="en-US" w:eastAsia="zh-CN"/>
        </w:rPr>
        <w:t>704亩，</w:t>
      </w:r>
      <w:r>
        <w:rPr>
          <w:rFonts w:hint="default" w:ascii="Times New Roman" w:hAnsi="Times New Roman" w:eastAsia="宋体" w:cs="Times New Roman"/>
          <w:color w:val="auto"/>
          <w:sz w:val="24"/>
          <w:szCs w:val="24"/>
          <w:lang w:eastAsia="zh-CN"/>
        </w:rPr>
        <w:t>建设</w:t>
      </w:r>
      <w:r>
        <w:rPr>
          <w:rFonts w:hint="default" w:ascii="Times New Roman" w:hAnsi="Times New Roman" w:eastAsia="宋体" w:cs="Times New Roman"/>
          <w:color w:val="auto"/>
          <w:sz w:val="24"/>
          <w:szCs w:val="24"/>
        </w:rPr>
        <w:t>面积为</w:t>
      </w:r>
      <w:r>
        <w:rPr>
          <w:rFonts w:hint="default" w:ascii="Times New Roman" w:hAnsi="Times New Roman" w:eastAsia="宋体" w:cs="Times New Roman"/>
          <w:color w:val="auto"/>
          <w:sz w:val="24"/>
          <w:szCs w:val="24"/>
          <w:lang w:val="en-US" w:eastAsia="zh-CN"/>
        </w:rPr>
        <w:t>160亩</w:t>
      </w:r>
      <w:r>
        <w:rPr>
          <w:rFonts w:hint="default" w:ascii="Times New Roman" w:hAnsi="Times New Roman" w:eastAsia="宋体" w:cs="Times New Roman"/>
          <w:color w:val="auto"/>
          <w:sz w:val="24"/>
          <w:szCs w:val="24"/>
        </w:rPr>
        <w:t>，施工会改变原有土地性质，施工过程中可能会对周围的植被产生影响。本次工程施工期为</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个月，在此期间进行基础施工及局部场地平整将会造成一定程度的水土流失，主要体现在：</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裸露地表：项目在施工建设中的基础开挖及施工车辆的频繁往来将不可避免地损坏原土地的自然地貌和地表植被，使地表土壤裸露，造成水土流失。这种土壤侵蚀和水土流失现象尤其是在强降水季节变得更为突出。</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（2）施工过程中的挖填方临时土堆：项目施工会产生开挖与填方，中间过程会产生土方的临时堆存，土堆的斜坡坡面通常不能进行碾压处理，土质疏松，容易造成水土流失。</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（3）由于占用大量土地将减少区域农作物产量及生物量。在项目建设期间，地表裸露、挖填方、机械碾轧等都会加大水土流失量。</w:t>
      </w:r>
    </w:p>
    <w:p>
      <w:pPr>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防治措施：</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针对本项目的实际情况，要求采取以下生态减缓措补偿施、水土流失保持措施。施工前做好土石方平衡，严格控制施工线路，施工范围，避免对施工区外的生态环境造成破坏，减少土石方的开挖。</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①建设所需物料堆放在场区，可减少对土地的占用，减少对生态的影响；砂石料运输途中，应防止石料抛洒路面造成新的水土流失。</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②禁止建筑垃圾乱堆乱放，占压施工场地以外土地。在加快施工进度的前提下，施工完毕后进行覆土绿化，破坏的植被进行及时恢复，不会对生态环境造成明显影响。</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③项目施工场地内及时做好排水导流工作，完善排水设施，筑好排水沟，有效汇集水流，减轻水流对裸露地表的冲刷。</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④项目应合理安排施工时间，尽量将土石方开挖期避开大规模的降雨天气，并尽量缩短挖方时间，尽量在雨季到来之前完成挖方工程。</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⑤项目施工过程中，应尽量做到挖填同步、挖填平衡，剥离土石方就地消化为填土石方。对开挖的土壤分层堆放，分层回填，以保护植被生长层，恢复土壤生产力。</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⑥项目施工结束后，应及时对场地进行平整和复原；按照要求及时铺好草皮及植树绿化工作，以保护当地的天然生态环境。</w:t>
      </w:r>
    </w:p>
    <w:p>
      <w:pPr>
        <w:pStyle w:val="7"/>
        <w:spacing w:before="0" w:after="0" w:line="360" w:lineRule="auto"/>
        <w:ind w:left="0" w:firstLine="0"/>
        <w:rPr>
          <w:rFonts w:cs="Times New Roman"/>
          <w:color w:val="auto"/>
        </w:rPr>
      </w:pPr>
      <w:bookmarkStart w:id="186" w:name="_Toc1677"/>
      <w:r>
        <w:rPr>
          <w:rFonts w:cs="Times New Roman"/>
          <w:color w:val="auto"/>
        </w:rPr>
        <w:t>营运期工艺流程</w:t>
      </w:r>
      <w:bookmarkEnd w:id="186"/>
    </w:p>
    <w:p>
      <w:pPr>
        <w:pStyle w:val="8"/>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养殖工艺流程分析</w:t>
      </w:r>
    </w:p>
    <w:p>
      <w:pPr>
        <w:ind w:firstLine="480" w:firstLineChars="200"/>
        <w:rPr>
          <w:rFonts w:hint="default" w:eastAsiaTheme="minorEastAsia"/>
          <w:color w:val="auto"/>
          <w:lang w:val="en-US" w:eastAsia="zh-CN"/>
        </w:rPr>
      </w:pPr>
      <w:r>
        <w:rPr>
          <w:rFonts w:hint="eastAsia" w:ascii="Times New Roman" w:hAnsi="Times New Roman" w:cs="Times New Roman"/>
          <w:color w:val="auto"/>
          <w:sz w:val="24"/>
          <w:szCs w:val="24"/>
        </w:rPr>
        <w:t>本项目为种猪养殖场，属于畜牧业。以周为繁殖节律，实行常年配种、产仔、断奶生产，拟采用两点式生产工艺流程，在种猪场阶段生产的仔猪在</w:t>
      </w:r>
      <w:r>
        <w:rPr>
          <w:rFonts w:ascii="Times New Roman" w:hAnsi="Times New Roman" w:cs="Times New Roman"/>
          <w:color w:val="auto"/>
          <w:sz w:val="24"/>
          <w:szCs w:val="24"/>
        </w:rPr>
        <w:t>21</w:t>
      </w:r>
      <w:r>
        <w:rPr>
          <w:rFonts w:hint="eastAsia" w:ascii="Times New Roman" w:hAnsi="Times New Roman" w:cs="Times New Roman"/>
          <w:color w:val="auto"/>
          <w:sz w:val="24"/>
          <w:szCs w:val="24"/>
        </w:rPr>
        <w:t>天左右进行断奶，</w:t>
      </w:r>
      <w:r>
        <w:rPr>
          <w:rFonts w:hint="eastAsia" w:ascii="宋体" w:eastAsia="宋体" w:cs="宋体"/>
          <w:color w:val="auto"/>
          <w:kern w:val="0"/>
          <w:sz w:val="24"/>
          <w:szCs w:val="24"/>
        </w:rPr>
        <w:t>断奶后仔猪转至配套的</w:t>
      </w:r>
      <w:r>
        <w:rPr>
          <w:rFonts w:hint="eastAsia" w:ascii="宋体" w:eastAsia="宋体" w:cs="宋体"/>
          <w:color w:val="auto"/>
          <w:kern w:val="0"/>
          <w:sz w:val="24"/>
          <w:szCs w:val="24"/>
          <w:lang w:eastAsia="zh-CN"/>
        </w:rPr>
        <w:t>其他生猪场</w:t>
      </w:r>
      <w:r>
        <w:rPr>
          <w:rFonts w:hint="eastAsia" w:ascii="宋体" w:eastAsia="宋体" w:cs="宋体"/>
          <w:color w:val="auto"/>
          <w:kern w:val="0"/>
          <w:sz w:val="24"/>
          <w:szCs w:val="24"/>
        </w:rPr>
        <w:t>饲养，</w:t>
      </w:r>
      <w:r>
        <w:rPr>
          <w:rFonts w:hint="eastAsia" w:ascii="Times New Roman" w:hAnsi="Times New Roman" w:cs="Times New Roman"/>
          <w:color w:val="auto"/>
          <w:sz w:val="24"/>
          <w:szCs w:val="24"/>
        </w:rPr>
        <w:t>本项目内不进行仔猪保育和生猪育肥。项目养殖工艺流程及产污位置图见</w:t>
      </w:r>
      <w:r>
        <w:rPr>
          <w:rFonts w:hint="eastAsia" w:ascii="Times New Roman" w:hAnsi="Times New Roman" w:cs="Times New Roman"/>
          <w:color w:val="auto"/>
          <w:sz w:val="24"/>
          <w:szCs w:val="24"/>
          <w:lang w:eastAsia="zh-CN"/>
        </w:rPr>
        <w:t>图</w:t>
      </w:r>
      <w:r>
        <w:rPr>
          <w:rFonts w:hint="eastAsia" w:ascii="Times New Roman" w:hAnsi="Times New Roman" w:cs="Times New Roman"/>
          <w:color w:val="auto"/>
          <w:sz w:val="24"/>
          <w:szCs w:val="24"/>
          <w:lang w:val="en-US" w:eastAsia="zh-CN"/>
        </w:rPr>
        <w:t>3.2.4-1</w:t>
      </w:r>
    </w:p>
    <w:p>
      <w:pPr>
        <w:pStyle w:val="2503"/>
        <w:numPr>
          <w:ilvl w:val="0"/>
          <w:numId w:val="0"/>
        </w:numPr>
        <w:spacing w:before="120" w:line="360" w:lineRule="auto"/>
        <w:jc w:val="both"/>
        <w:rPr>
          <w:rFonts w:hint="eastAsia" w:ascii="Times New Roman" w:hAnsi="Times New Roman" w:cs="Times New Roman"/>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503"/>
        <w:numPr>
          <w:ilvl w:val="0"/>
          <w:numId w:val="0"/>
        </w:numPr>
        <w:spacing w:before="120" w:line="360" w:lineRule="auto"/>
        <w:jc w:val="both"/>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object>
          <v:shape id="_x0000_i1025" o:spt="75" type="#_x0000_t75" style="height:373.35pt;width:637.1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pPr>
        <w:pStyle w:val="2503"/>
        <w:numPr>
          <w:ilvl w:val="0"/>
          <w:numId w:val="21"/>
        </w:numPr>
        <w:spacing w:before="120" w:line="360" w:lineRule="auto"/>
        <w:ind w:left="0" w:leftChars="0" w:firstLine="403" w:firstLineChars="0"/>
        <w:rPr>
          <w:rFonts w:hint="eastAsia" w:ascii="Times New Roman" w:hAnsi="Times New Roman" w:cs="Times New Roman"/>
          <w:color w:val="auto"/>
          <w:sz w:val="24"/>
          <w:szCs w:val="24"/>
        </w:rPr>
      </w:pPr>
      <w:r>
        <w:rPr>
          <w:color w:val="auto"/>
        </w:rPr>
        <w:t xml:space="preserve">   养殖工艺流程及产污环节示意图</w:t>
      </w:r>
    </w:p>
    <w:p>
      <w:pPr>
        <w:pStyle w:val="2503"/>
        <w:numPr>
          <w:ilvl w:val="0"/>
          <w:numId w:val="0"/>
        </w:numPr>
        <w:spacing w:before="120" w:line="360" w:lineRule="auto"/>
        <w:jc w:val="both"/>
        <w:rPr>
          <w:rFonts w:hint="eastAsia" w:ascii="Times New Roman" w:hAnsi="Times New Roman" w:cs="Times New Roman"/>
          <w:color w:val="auto"/>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1、养殖工艺流程简介：</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本项目为种猪场，在猪舍内饲养优良种猪，通过配种、妊娠、分娩哺乳等阶段，仔猪断奶后即出栏，不在养殖厂内进行保育。本项目饲料无催肥剂，清洁、卫生；项目以周为繁殖节律，每个节点空置的种猪舍均进行彻底冲洗、消毒后再进行下一个周期生产。</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根据母猪的发情期，选择正确的时机进行配种。母猪妊娠期约</w:t>
      </w:r>
      <w:r>
        <w:rPr>
          <w:rFonts w:ascii="Times New Roman" w:hAnsi="Times New Roman" w:cs="Times New Roman"/>
          <w:color w:val="auto"/>
          <w:sz w:val="24"/>
          <w:szCs w:val="24"/>
        </w:rPr>
        <w:t>114</w:t>
      </w:r>
      <w:r>
        <w:rPr>
          <w:rFonts w:hint="eastAsia" w:ascii="Times New Roman" w:hAnsi="Times New Roman" w:cs="Times New Roman"/>
          <w:color w:val="auto"/>
          <w:sz w:val="24"/>
          <w:szCs w:val="24"/>
        </w:rPr>
        <w:t>天左右，妊娠母猪预产期前</w:t>
      </w:r>
      <w:r>
        <w:rPr>
          <w:rFonts w:ascii="Times New Roman" w:hAnsi="Times New Roman" w:cs="Times New Roman"/>
          <w:color w:val="auto"/>
          <w:sz w:val="24"/>
          <w:szCs w:val="24"/>
        </w:rPr>
        <w:t>1</w:t>
      </w:r>
      <w:r>
        <w:rPr>
          <w:rFonts w:hint="eastAsia" w:ascii="Times New Roman" w:hAnsi="Times New Roman" w:cs="Times New Roman"/>
          <w:color w:val="auto"/>
          <w:sz w:val="24"/>
          <w:szCs w:val="24"/>
        </w:rPr>
        <w:t>周进入产房。产圈内铺上干净的麻袋，并保持猪舍温度</w:t>
      </w:r>
      <w:r>
        <w:rPr>
          <w:rFonts w:ascii="Times New Roman" w:hAnsi="Times New Roman" w:cs="Times New Roman"/>
          <w:color w:val="auto"/>
          <w:sz w:val="24"/>
          <w:szCs w:val="24"/>
        </w:rPr>
        <w:t>30</w:t>
      </w:r>
      <w:r>
        <w:rPr>
          <w:rFonts w:hint="eastAsia" w:ascii="Times New Roman" w:hAnsi="Times New Roman" w:cs="Times New Roman"/>
          <w:color w:val="auto"/>
          <w:sz w:val="24"/>
          <w:szCs w:val="24"/>
        </w:rPr>
        <w:t>℃。仔猪在约</w:t>
      </w:r>
      <w:r>
        <w:rPr>
          <w:rFonts w:ascii="Times New Roman" w:hAnsi="Times New Roman" w:cs="Times New Roman"/>
          <w:color w:val="auto"/>
          <w:sz w:val="24"/>
          <w:szCs w:val="24"/>
        </w:rPr>
        <w:t>21</w:t>
      </w:r>
      <w:r>
        <w:rPr>
          <w:rFonts w:hint="eastAsia" w:ascii="Times New Roman" w:hAnsi="Times New Roman" w:cs="Times New Roman"/>
          <w:color w:val="auto"/>
          <w:sz w:val="24"/>
          <w:szCs w:val="24"/>
        </w:rPr>
        <w:t>天的时候断奶，体重</w:t>
      </w:r>
      <w:r>
        <w:rPr>
          <w:rFonts w:ascii="Times New Roman" w:hAnsi="Times New Roman" w:cs="Times New Roman"/>
          <w:color w:val="auto"/>
          <w:sz w:val="24"/>
          <w:szCs w:val="24"/>
        </w:rPr>
        <w:t xml:space="preserve">6.5kg </w:t>
      </w:r>
      <w:r>
        <w:rPr>
          <w:rFonts w:hint="eastAsia" w:ascii="Times New Roman" w:hAnsi="Times New Roman" w:cs="Times New Roman"/>
          <w:color w:val="auto"/>
          <w:sz w:val="24"/>
          <w:szCs w:val="24"/>
        </w:rPr>
        <w:t>左右，全部转至</w:t>
      </w:r>
      <w:r>
        <w:rPr>
          <w:rFonts w:hint="eastAsia" w:ascii="Times New Roman" w:hAnsi="Times New Roman" w:cs="Times New Roman"/>
          <w:color w:val="auto"/>
          <w:sz w:val="24"/>
          <w:szCs w:val="24"/>
          <w:lang w:eastAsia="zh-CN"/>
        </w:rPr>
        <w:t>生猪场</w:t>
      </w:r>
      <w:r>
        <w:rPr>
          <w:rFonts w:hint="eastAsia" w:ascii="Times New Roman" w:hAnsi="Times New Roman" w:cs="Times New Roman"/>
          <w:color w:val="auto"/>
          <w:sz w:val="24"/>
          <w:szCs w:val="24"/>
        </w:rPr>
        <w:t>饲养，本项目内不进行仔猪保育和生猪育肥。一般情况下，一头母猪每年产</w:t>
      </w:r>
      <w:r>
        <w:rPr>
          <w:rFonts w:ascii="Times New Roman" w:hAnsi="Times New Roman" w:cs="Times New Roman"/>
          <w:color w:val="auto"/>
          <w:sz w:val="24"/>
          <w:szCs w:val="24"/>
        </w:rPr>
        <w:t>2.</w:t>
      </w:r>
      <w:r>
        <w:rPr>
          <w:rFonts w:hint="eastAsia" w:ascii="Times New Roman" w:hAnsi="Times New Roman" w:cs="Times New Roman"/>
          <w:color w:val="auto"/>
          <w:sz w:val="24"/>
          <w:szCs w:val="24"/>
        </w:rPr>
        <w:t>2窝，每窝约产</w:t>
      </w:r>
      <w:r>
        <w:rPr>
          <w:rFonts w:ascii="Times New Roman" w:hAnsi="Times New Roman" w:cs="Times New Roman"/>
          <w:color w:val="auto"/>
          <w:sz w:val="24"/>
          <w:szCs w:val="24"/>
        </w:rPr>
        <w:t>1</w:t>
      </w:r>
      <w:r>
        <w:rPr>
          <w:rFonts w:hint="eastAsia" w:ascii="Times New Roman" w:hAnsi="Times New Roman" w:cs="Times New Roman"/>
          <w:color w:val="auto"/>
          <w:sz w:val="24"/>
          <w:szCs w:val="24"/>
        </w:rPr>
        <w:t>2头猪仔。具体流程如下：</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w:t>
      </w:r>
      <w:r>
        <w:rPr>
          <w:rFonts w:ascii="Times New Roman" w:hAnsi="Times New Roman" w:cs="Times New Roman"/>
          <w:color w:val="auto"/>
          <w:sz w:val="24"/>
          <w:szCs w:val="24"/>
        </w:rPr>
        <w:t>1</w:t>
      </w:r>
      <w:r>
        <w:rPr>
          <w:rFonts w:hint="eastAsia" w:ascii="Times New Roman" w:hAnsi="Times New Roman" w:cs="Times New Roman"/>
          <w:color w:val="auto"/>
          <w:sz w:val="24"/>
          <w:szCs w:val="24"/>
        </w:rPr>
        <w:t>）种猪管理</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本项目种猪引进采取公路运输，由来源地直接送达项目所在地。</w:t>
      </w:r>
    </w:p>
    <w:p>
      <w:pPr>
        <w:ind w:firstLine="480" w:firstLineChars="200"/>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rPr>
        <w:t>补充引进的种猪需进行隔离，隔离40天后去后备猪舍。首批引进的种猪直接进入配怀舍，且每年在出生的仔猪里选择部分小母猪作为后备母猪进行保育、育肥，待小母猪成年后，与既有老母猪进行替换，淘汰部分生育率较低下的老母猪，淘汰率约</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%，淘汰的母猪做外售处理</w:t>
      </w:r>
      <w:r>
        <w:rPr>
          <w:rFonts w:hint="eastAsia" w:ascii="Times New Roman" w:hAnsi="Times New Roman" w:cs="Times New Roman"/>
          <w:color w:val="auto"/>
          <w:sz w:val="24"/>
          <w:szCs w:val="24"/>
          <w:lang w:eastAsia="zh-CN"/>
        </w:rPr>
        <w:t>。</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w:t>
      </w:r>
      <w:r>
        <w:rPr>
          <w:rFonts w:ascii="Times New Roman" w:hAnsi="Times New Roman" w:cs="Times New Roman"/>
          <w:color w:val="auto"/>
          <w:sz w:val="24"/>
          <w:szCs w:val="24"/>
        </w:rPr>
        <w:t>2</w:t>
      </w:r>
      <w:r>
        <w:rPr>
          <w:rFonts w:hint="eastAsia" w:ascii="Times New Roman" w:hAnsi="Times New Roman" w:cs="Times New Roman"/>
          <w:color w:val="auto"/>
          <w:sz w:val="24"/>
          <w:szCs w:val="24"/>
        </w:rPr>
        <w:t>）配种怀孕</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当母猪出现发情症状时，育种中心将其号码输入电脑，筛选出最优适配公猪，采取该公猪的精液，经检验分析合格后，进行配制分装，然后对该母猪进行人工授精。配种受孕后的母猪在配种配怀舍（限位栏）饲养</w:t>
      </w:r>
      <w:r>
        <w:rPr>
          <w:rFonts w:ascii="Times New Roman" w:hAnsi="Times New Roman" w:cs="Times New Roman"/>
          <w:color w:val="auto"/>
          <w:sz w:val="24"/>
          <w:szCs w:val="24"/>
        </w:rPr>
        <w:t>15</w:t>
      </w:r>
      <w:r>
        <w:rPr>
          <w:rFonts w:hint="eastAsia" w:ascii="Times New Roman" w:hAnsi="Times New Roman" w:cs="Times New Roman"/>
          <w:color w:val="auto"/>
          <w:sz w:val="24"/>
          <w:szCs w:val="24"/>
        </w:rPr>
        <w:t>周，被转移到分娩舍，再饲养</w:t>
      </w:r>
      <w:r>
        <w:rPr>
          <w:rFonts w:ascii="Times New Roman" w:hAnsi="Times New Roman" w:cs="Times New Roman"/>
          <w:color w:val="auto"/>
          <w:sz w:val="24"/>
          <w:szCs w:val="24"/>
        </w:rPr>
        <w:t>1</w:t>
      </w:r>
      <w:r>
        <w:rPr>
          <w:rFonts w:hint="eastAsia" w:ascii="Times New Roman" w:hAnsi="Times New Roman" w:cs="Times New Roman"/>
          <w:color w:val="auto"/>
          <w:sz w:val="24"/>
          <w:szCs w:val="24"/>
        </w:rPr>
        <w:t>周，即到临产。</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公猪采精：公猪在采精栏内人工采精，采集的精液送传递窗，按1:50对精液进行稀释，采用封装机器进行封装，采用恒温储存，最长储存时间不超过4天。使母猪配种，全部采用人工授精的方式</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w:t>
      </w:r>
      <w:r>
        <w:rPr>
          <w:rFonts w:ascii="Times New Roman" w:hAnsi="Times New Roman" w:cs="Times New Roman"/>
          <w:color w:val="auto"/>
          <w:sz w:val="24"/>
          <w:szCs w:val="24"/>
        </w:rPr>
        <w:t>3</w:t>
      </w:r>
      <w:r>
        <w:rPr>
          <w:rFonts w:hint="eastAsia" w:ascii="Times New Roman" w:hAnsi="Times New Roman" w:cs="Times New Roman"/>
          <w:color w:val="auto"/>
          <w:sz w:val="24"/>
          <w:szCs w:val="24"/>
        </w:rPr>
        <w:t>）分娩哺乳</w:t>
      </w:r>
    </w:p>
    <w:p>
      <w:pPr>
        <w:ind w:firstLine="480" w:firstLineChars="200"/>
        <w:rPr>
          <w:rFonts w:hint="eastAsia"/>
          <w:color w:val="auto"/>
        </w:rPr>
      </w:pPr>
      <w:r>
        <w:rPr>
          <w:rFonts w:hint="eastAsia" w:ascii="Times New Roman" w:hAnsi="Times New Roman" w:cs="Times New Roman"/>
          <w:color w:val="auto"/>
          <w:sz w:val="24"/>
          <w:szCs w:val="24"/>
        </w:rPr>
        <w:t>怀孕母猪在分娩舍分娩后，饲养员对初生仔猪进行断脐、称重、注射铁剂和疫苗、打耳号、剪牙、断尾、阉割等处理，仔猪在分娩舍哺乳，饲养</w:t>
      </w:r>
      <w:r>
        <w:rPr>
          <w:rFonts w:ascii="Times New Roman" w:hAnsi="Times New Roman" w:cs="Times New Roman"/>
          <w:color w:val="auto"/>
          <w:sz w:val="24"/>
          <w:szCs w:val="24"/>
        </w:rPr>
        <w:t>21</w:t>
      </w:r>
      <w:r>
        <w:rPr>
          <w:rFonts w:hint="eastAsia" w:ascii="Times New Roman" w:hAnsi="Times New Roman" w:cs="Times New Roman"/>
          <w:color w:val="auto"/>
          <w:sz w:val="24"/>
          <w:szCs w:val="24"/>
        </w:rPr>
        <w:t>天，体重达到</w:t>
      </w:r>
      <w:r>
        <w:rPr>
          <w:rFonts w:ascii="Times New Roman" w:hAnsi="Times New Roman" w:cs="Times New Roman"/>
          <w:color w:val="auto"/>
          <w:sz w:val="24"/>
          <w:szCs w:val="24"/>
        </w:rPr>
        <w:t>6.5kg</w:t>
      </w:r>
      <w:r>
        <w:rPr>
          <w:rFonts w:hint="eastAsia" w:ascii="Times New Roman" w:hAnsi="Times New Roman" w:cs="Times New Roman"/>
          <w:color w:val="auto"/>
          <w:sz w:val="24"/>
          <w:szCs w:val="24"/>
        </w:rPr>
        <w:t>左右断奶。断奶后的母猪被转移到配种怀孕舍，饲养</w:t>
      </w:r>
      <w:r>
        <w:rPr>
          <w:rFonts w:ascii="Times New Roman" w:hAnsi="Times New Roman" w:cs="Times New Roman"/>
          <w:color w:val="auto"/>
          <w:sz w:val="24"/>
          <w:szCs w:val="24"/>
        </w:rPr>
        <w:t>7-10</w:t>
      </w:r>
      <w:r>
        <w:rPr>
          <w:rFonts w:hint="eastAsia" w:ascii="Times New Roman" w:hAnsi="Times New Roman" w:cs="Times New Roman"/>
          <w:color w:val="auto"/>
          <w:sz w:val="24"/>
          <w:szCs w:val="24"/>
        </w:rPr>
        <w:t>天，若出现发情症状，可再次选配，进入下一个生产周期。断奶后的猪仔外售。</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在上述整个喂养过程中产生的废气主要为恶臭气体</w:t>
      </w:r>
      <w:r>
        <w:rPr>
          <w:rFonts w:ascii="Times New Roman" w:hAnsi="Times New Roman" w:cs="Times New Roman"/>
          <w:color w:val="auto"/>
          <w:sz w:val="24"/>
          <w:szCs w:val="24"/>
        </w:rPr>
        <w:t>——NH</w:t>
      </w:r>
      <w:r>
        <w:rPr>
          <w:rFonts w:ascii="Times New Roman" w:hAnsi="Times New Roman" w:cs="Times New Roman"/>
          <w:color w:val="auto"/>
          <w:sz w:val="24"/>
          <w:szCs w:val="24"/>
          <w:vertAlign w:val="subscript"/>
        </w:rPr>
        <w:t>3</w:t>
      </w:r>
      <w:r>
        <w:rPr>
          <w:rFonts w:hint="eastAsia" w:ascii="Times New Roman" w:hAnsi="Times New Roman" w:cs="Times New Roman"/>
          <w:color w:val="auto"/>
          <w:sz w:val="24"/>
          <w:szCs w:val="24"/>
        </w:rPr>
        <w:t>、</w:t>
      </w:r>
      <w:r>
        <w:rPr>
          <w:rFonts w:ascii="Times New Roman" w:hAnsi="Times New Roman" w:cs="Times New Roman"/>
          <w:color w:val="auto"/>
          <w:sz w:val="24"/>
          <w:szCs w:val="24"/>
        </w:rPr>
        <w:t>H</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S</w:t>
      </w:r>
      <w:r>
        <w:rPr>
          <w:rFonts w:hint="eastAsia" w:ascii="Times New Roman" w:hAnsi="Times New Roman" w:cs="Times New Roman"/>
          <w:color w:val="auto"/>
          <w:sz w:val="24"/>
          <w:szCs w:val="24"/>
        </w:rPr>
        <w:t>，废水主要为猪身、圈舍及各类器具清洗废水、猪尿，固废主要为猪粪、因不同原因死亡的母猪和仔猪、胎盘以及注射疫苗等产生的医疗垃圾。</w:t>
      </w:r>
    </w:p>
    <w:p>
      <w:pPr>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2、养殖工艺说明：</w:t>
      </w:r>
    </w:p>
    <w:p>
      <w:pPr>
        <w:ind w:firstLine="480"/>
        <w:rPr>
          <w:color w:val="auto"/>
          <w:sz w:val="24"/>
          <w:szCs w:val="24"/>
        </w:rPr>
      </w:pPr>
      <w:r>
        <w:rPr>
          <w:color w:val="auto"/>
          <w:sz w:val="24"/>
          <w:szCs w:val="24"/>
        </w:rPr>
        <w:t>（1）饲养工艺说明</w:t>
      </w:r>
    </w:p>
    <w:p>
      <w:pPr>
        <w:ind w:firstLine="480"/>
        <w:rPr>
          <w:color w:val="auto"/>
          <w:sz w:val="24"/>
          <w:szCs w:val="24"/>
        </w:rPr>
      </w:pPr>
      <w:r>
        <w:rPr>
          <w:rFonts w:hint="eastAsia" w:ascii="宋体" w:hAnsi="宋体" w:cs="宋体"/>
          <w:color w:val="auto"/>
          <w:sz w:val="24"/>
          <w:szCs w:val="24"/>
        </w:rPr>
        <w:t>①</w:t>
      </w:r>
      <w:r>
        <w:rPr>
          <w:color w:val="auto"/>
          <w:sz w:val="24"/>
          <w:szCs w:val="24"/>
        </w:rPr>
        <w:t>上料系统</w:t>
      </w:r>
    </w:p>
    <w:p>
      <w:pPr>
        <w:ind w:firstLine="480"/>
        <w:rPr>
          <w:color w:val="auto"/>
          <w:sz w:val="24"/>
          <w:szCs w:val="24"/>
        </w:rPr>
      </w:pPr>
      <w:r>
        <w:rPr>
          <w:color w:val="auto"/>
          <w:sz w:val="24"/>
          <w:szCs w:val="24"/>
        </w:rPr>
        <w:t>项目均采用自动喂料系统——全自动配送上料系统和限位猪槽，机械化操作，定时定量供应饲料，保证生猪饮食需求，同时减少浪费，节约人力和饲料用量，降低生产成本。</w:t>
      </w:r>
      <w:r>
        <w:rPr>
          <w:color w:val="auto"/>
          <w:sz w:val="24"/>
          <w:szCs w:val="24"/>
          <w:lang w:val="zh-CN"/>
        </w:rPr>
        <w:t>本项目饲养过程中的饲料均外购，不进行饲料生产加工。</w:t>
      </w:r>
    </w:p>
    <w:p>
      <w:pPr>
        <w:ind w:firstLine="480"/>
        <w:rPr>
          <w:color w:val="auto"/>
          <w:sz w:val="24"/>
          <w:szCs w:val="24"/>
        </w:rPr>
      </w:pPr>
      <w:r>
        <w:rPr>
          <w:rFonts w:hint="eastAsia" w:ascii="宋体" w:hAnsi="宋体" w:cs="宋体"/>
          <w:color w:val="auto"/>
          <w:sz w:val="24"/>
          <w:szCs w:val="24"/>
        </w:rPr>
        <w:t>②</w:t>
      </w:r>
      <w:r>
        <w:rPr>
          <w:color w:val="auto"/>
          <w:sz w:val="24"/>
          <w:szCs w:val="24"/>
        </w:rPr>
        <w:t>饮水系统</w:t>
      </w:r>
    </w:p>
    <w:p>
      <w:pPr>
        <w:ind w:firstLine="480"/>
        <w:rPr>
          <w:rFonts w:hint="eastAsia" w:ascii="Times New Roman" w:hAnsi="Times New Roman" w:cs="Times New Roman"/>
          <w:color w:val="auto"/>
          <w:sz w:val="24"/>
          <w:szCs w:val="24"/>
        </w:rPr>
      </w:pPr>
      <w:r>
        <w:rPr>
          <w:color w:val="auto"/>
          <w:sz w:val="24"/>
          <w:szCs w:val="24"/>
        </w:rPr>
        <w:t>项目采用先进的节水饮水器，饮水器底部槽体液面始终保持在2cm的液面高度，在此液面高度时，饮水器与外界空气形成负压，当生猪喝水时，饮水器与空气接触，内部压力大于外部压力，水自动地从管内流出直至液面高度在2cm时饮水器自动停止供水。能保证生猪随时饮用新鲜水，同时避免不必要的浪费，节约水资源。</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lang w:eastAsia="zh-CN"/>
        </w:rPr>
        <w:t>③环境控制自动化</w:t>
      </w:r>
    </w:p>
    <w:p>
      <w:pPr>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猪舍全部采用风机负压通风，夏天用水帘通过风机负压通风降温，即猪舍外的空气通过水帘进入舍内达到降温目的，水帘用水为通过水泵循环利用；所有猪舍外墙加保温层，冬天采用保暖灯和电热板的加热方式达到加热保暖的目的。</w:t>
      </w:r>
    </w:p>
    <w:p>
      <w:pPr>
        <w:ind w:firstLine="480"/>
        <w:rPr>
          <w:color w:val="auto"/>
          <w:sz w:val="24"/>
          <w:szCs w:val="24"/>
        </w:rPr>
      </w:pPr>
      <w:r>
        <w:rPr>
          <w:color w:val="auto"/>
          <w:sz w:val="24"/>
          <w:szCs w:val="24"/>
        </w:rPr>
        <w:t>全热交换器主要原理：热交换通风系统主要包括进风管、布风管、排风道、变速风机等。其中布风管和进风管相联通安装于猪舍上部，中间为猪群生活的漏缝板，猪舍下部为封闭的排风道，变速风机位于猪舍另一侧排风道中间。当变速风机启动时，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ind w:firstLine="480"/>
        <w:rPr>
          <w:color w:val="auto"/>
          <w:sz w:val="24"/>
          <w:szCs w:val="24"/>
        </w:rPr>
      </w:pPr>
      <w:r>
        <w:rPr>
          <w:color w:val="auto"/>
          <w:sz w:val="24"/>
          <w:szCs w:val="24"/>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单元内有害气体不超标，同时满足了通风和稳定猪舍温度的需求，节约了能源消耗，降低了饲养成本。</w:t>
      </w:r>
    </w:p>
    <w:p>
      <w:pPr>
        <w:ind w:firstLine="480"/>
        <w:rPr>
          <w:color w:val="auto"/>
          <w:sz w:val="24"/>
          <w:szCs w:val="24"/>
        </w:rPr>
      </w:pPr>
      <w:r>
        <w:rPr>
          <w:color w:val="auto"/>
          <w:sz w:val="24"/>
          <w:szCs w:val="24"/>
        </w:rPr>
        <w:t>冬季保温：主要是通过猪舍墙体保温材料与外部断绝交换，同时通过保温灯供热，其猪舍内安装电子温度计，温度计显示器安装在猪舍门口便于工作人员观察处，工作人员定期巡查，实时观测舍内温度。当猪舍内温度接近或低于限定温度时，自动开启保温灯进行加温。猪舍内部通风通过全热交换器进行，实施最小通风量，既保证猪需要的氧气量，又保证单元内有害气体不超标，防止过度通风降低单元温度。</w:t>
      </w:r>
    </w:p>
    <w:p>
      <w:pPr>
        <w:ind w:firstLine="480"/>
        <w:rPr>
          <w:color w:val="auto"/>
          <w:sz w:val="24"/>
          <w:szCs w:val="24"/>
        </w:rPr>
      </w:pPr>
      <w:r>
        <w:rPr>
          <w:color w:val="auto"/>
          <w:sz w:val="24"/>
          <w:szCs w:val="24"/>
        </w:rPr>
        <w:t>夏季降温：采用水帘风机，水帘降温系统由水帘、循环水路、抽风机和温度控制装置组成。水帘用波纹状纤维纸粘结而成，在制作的原料中添加了不会随水流、气流的作用而分解的特殊化学成分，具有耐腐蚀、使用时间长等特点。在封闭式的猪舍内，一端的水泵将蓄水池中的水送至喷水管，把水喷向反水板，水均匀地从反水板上流下淋湿整个水帘，水在水槽和水帘间循环，从而保证空气与完全湿透的水帘表面接触。另一端安装负压风机向外排风，猪舍内形成负压区，舍外空气穿过水帘被吸入舍内，带着猪舍内的热量经风机排出室外，从而达到降温的目的。</w:t>
      </w:r>
    </w:p>
    <w:p>
      <w:pPr>
        <w:ind w:firstLine="480"/>
        <w:rPr>
          <w:color w:val="auto"/>
        </w:rPr>
      </w:pPr>
      <w:r>
        <w:rPr>
          <w:color w:val="auto"/>
          <w:sz w:val="24"/>
          <w:szCs w:val="24"/>
        </w:rPr>
        <w:t>水帘风机降温系统的所有的温控全部由电脑程序自动控制，包括空气过滤、风机开启、地辅热启动，自动湿度调节等，该系统旨在给生猪提供一个温度适宜、湿度适中的饲养小环境。</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lang w:eastAsia="zh-CN"/>
        </w:rPr>
        <w:t>④</w:t>
      </w:r>
      <w:r>
        <w:rPr>
          <w:rFonts w:hint="eastAsia" w:ascii="Times New Roman" w:hAnsi="Times New Roman" w:cs="Times New Roman"/>
          <w:color w:val="auto"/>
          <w:sz w:val="24"/>
          <w:szCs w:val="24"/>
        </w:rPr>
        <w:t>猪舍排水方式</w:t>
      </w:r>
    </w:p>
    <w:p>
      <w:pPr>
        <w:tabs>
          <w:tab w:val="left" w:pos="7560"/>
        </w:tabs>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猪舍排水实行雨污分流，室外雨水（初期雨水除外）通过雨水沟渠自然排放，所有舍内污水均采用地下管道方式排到项目拟建的污水处理区集中处理。</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lang w:eastAsia="zh-CN"/>
        </w:rPr>
        <w:t>⑤</w:t>
      </w:r>
      <w:r>
        <w:rPr>
          <w:rFonts w:hint="eastAsia" w:ascii="Times New Roman" w:hAnsi="Times New Roman" w:cs="Times New Roman"/>
          <w:color w:val="auto"/>
          <w:sz w:val="24"/>
          <w:szCs w:val="24"/>
        </w:rPr>
        <w:t>猪粪清理方式</w:t>
      </w:r>
    </w:p>
    <w:p>
      <w:pPr>
        <w:pStyle w:val="1385"/>
        <w:ind w:firstLine="480"/>
        <w:rPr>
          <w:color w:val="auto"/>
        </w:rPr>
      </w:pPr>
      <w:r>
        <w:rPr>
          <w:rFonts w:hint="eastAsia"/>
          <w:color w:val="auto"/>
        </w:rPr>
        <w:t>根据《畜禽养殖业污染治理工程技术规范》（HJ497-2009）要求：新建、改建、扩建的畜禽养殖场宜采用干清粪工艺。现有采用水冲粪、水泡粪清粪工艺的养殖场，应逐步改为干清粪工艺。</w:t>
      </w:r>
    </w:p>
    <w:p>
      <w:pPr>
        <w:pStyle w:val="1385"/>
        <w:ind w:firstLine="480"/>
        <w:rPr>
          <w:color w:val="auto"/>
        </w:rPr>
      </w:pPr>
      <w:r>
        <w:rPr>
          <w:rFonts w:hint="eastAsia"/>
          <w:color w:val="auto"/>
        </w:rPr>
        <w:t>农业部办公厅关于印发《畜禽规模养殖场粪污资源化利用设施建设规范（试行）》的通知（农办牧[2018]2号）要求：畜禽规模养殖场宜采用干清粪工艺。采用水泡粪工艺的，要控制用水量，减少粪污产生总量。鼓励水冲粪工艺改造为干清粪或水泡粪。不同畜种不同清粪工艺最高允许排水量按照</w:t>
      </w:r>
      <w:r>
        <w:rPr>
          <w:color w:val="auto"/>
        </w:rPr>
        <w:t>GB 18596</w:t>
      </w:r>
      <w:r>
        <w:rPr>
          <w:rFonts w:hint="eastAsia"/>
          <w:color w:val="auto"/>
        </w:rPr>
        <w:t>执行。</w:t>
      </w:r>
    </w:p>
    <w:p>
      <w:pPr>
        <w:pStyle w:val="1385"/>
        <w:ind w:firstLine="480"/>
        <w:rPr>
          <w:color w:val="auto"/>
        </w:rPr>
      </w:pPr>
      <w:r>
        <w:rPr>
          <w:rFonts w:hint="eastAsia"/>
          <w:color w:val="auto"/>
        </w:rPr>
        <w:t>干清粪工艺：指畜禽排放的粪便一经产生便通过机械或人工收集、清除，尿液、残余粪便及冲洗水则从排污道排出的清粪方式。</w:t>
      </w:r>
    </w:p>
    <w:p>
      <w:pPr>
        <w:pStyle w:val="1385"/>
        <w:ind w:firstLine="480"/>
        <w:rPr>
          <w:color w:val="auto"/>
        </w:rPr>
      </w:pPr>
      <w:r>
        <w:rPr>
          <w:rFonts w:hint="eastAsia"/>
          <w:color w:val="auto"/>
        </w:rPr>
        <w:t>尿泡粪工艺：指在畜禽舍内的排粪沟中注入一定量的水，将粪、尿、冲洗和饲养管理用水一并排放至漏缝地板下的粪沟中，贮存一定时间（一般为</w:t>
      </w:r>
      <w:r>
        <w:rPr>
          <w:color w:val="auto"/>
        </w:rPr>
        <w:t>1</w:t>
      </w:r>
      <w:r>
        <w:rPr>
          <w:rFonts w:hint="eastAsia"/>
          <w:color w:val="auto"/>
        </w:rPr>
        <w:t>～</w:t>
      </w:r>
      <w:r>
        <w:rPr>
          <w:color w:val="auto"/>
        </w:rPr>
        <w:t>2</w:t>
      </w:r>
      <w:r>
        <w:rPr>
          <w:rFonts w:hint="eastAsia"/>
          <w:color w:val="auto"/>
        </w:rPr>
        <w:t>个月）、待粪沟填满后，打开出口闸门，沟中的粪水顺粪沟流入粪便主干沟后排出的清粪工艺。</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本项目饲养过程中采用干清粪工艺，将猪粪单独清出，不与尿、污水混合。干清粪工艺是在缝隙地板下设一斜坡，使固液分离。即猪栏后半部分采用漏缝地板，下为水泥斜坡，粪便漏落后在斜坡上实现粪便和污水在猪舍内自动分离。干粪采用人工每天清粪，尿及污水从下水道流出，进入污水收集系统，再分别进行处理。猪舍采用全漏缝、半漏缝地板将粪尿分开，实行人工清粪，勤清勤扫，减少恶臭散发。</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严格控制猪舍冲洗用水量，采用先清粪再冲圈的卫生方式，从源头减少粪水中的固体物质。</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项目猪尿送入污水站处理，人工清除的干猪粪与废水固液分离后干猪粪运至收集至堆肥车间堆肥后，得到有机肥外售。</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猪粪每日清运，实现日产日清。</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本工程采用干清粪工艺满足《畜禽养殖业污染防治技术规范》（HJ/T81-2001） 要求，措施可行。</w:t>
      </w:r>
    </w:p>
    <w:p>
      <w:pPr>
        <w:ind w:firstLine="420" w:firstLineChars="200"/>
        <w:rPr>
          <w:rFonts w:hint="eastAsia" w:ascii="宋体" w:hAnsi="宋体" w:eastAsia="宋体" w:cs="宋体"/>
          <w:color w:val="auto"/>
          <w:sz w:val="24"/>
          <w:szCs w:val="24"/>
          <w:lang w:eastAsia="zh-CN"/>
        </w:rPr>
      </w:pPr>
      <w:r>
        <w:rPr>
          <w:color w:val="auto"/>
        </w:rPr>
        <w:drawing>
          <wp:anchor distT="0" distB="0" distL="114300" distR="114300" simplePos="0" relativeHeight="251678720" behindDoc="0" locked="0" layoutInCell="1" allowOverlap="1">
            <wp:simplePos x="0" y="0"/>
            <wp:positionH relativeFrom="column">
              <wp:posOffset>481330</wp:posOffset>
            </wp:positionH>
            <wp:positionV relativeFrom="page">
              <wp:posOffset>7577455</wp:posOffset>
            </wp:positionV>
            <wp:extent cx="4241165" cy="1613535"/>
            <wp:effectExtent l="0" t="0" r="6985" b="5715"/>
            <wp:wrapTopAndBottom/>
            <wp:docPr id="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pic:cNvPicPr>
                      <a:picLocks noChangeAspect="1"/>
                    </pic:cNvPicPr>
                  </pic:nvPicPr>
                  <pic:blipFill>
                    <a:blip r:embed="rId17"/>
                    <a:stretch>
                      <a:fillRect/>
                    </a:stretch>
                  </pic:blipFill>
                  <pic:spPr>
                    <a:xfrm>
                      <a:off x="0" y="0"/>
                      <a:ext cx="4241165" cy="1613535"/>
                    </a:xfrm>
                    <a:prstGeom prst="rect">
                      <a:avLst/>
                    </a:prstGeom>
                    <a:noFill/>
                    <a:ln>
                      <a:noFill/>
                    </a:ln>
                  </pic:spPr>
                </pic:pic>
              </a:graphicData>
            </a:graphic>
          </wp:anchor>
        </w:drawing>
      </w:r>
      <w:r>
        <w:rPr>
          <w:rFonts w:ascii="宋体" w:hAnsi="宋体" w:eastAsia="宋体" w:cs="宋体"/>
          <w:color w:val="auto"/>
          <w:sz w:val="24"/>
          <w:szCs w:val="24"/>
        </w:rPr>
        <w:t>干清粪工艺猪舍下部结构前视图见</w:t>
      </w:r>
      <w:r>
        <w:rPr>
          <w:rFonts w:hint="eastAsia" w:ascii="宋体" w:hAnsi="宋体" w:eastAsia="宋体" w:cs="宋体"/>
          <w:color w:val="auto"/>
          <w:sz w:val="24"/>
          <w:szCs w:val="24"/>
          <w:lang w:eastAsia="zh-CN"/>
        </w:rPr>
        <w:t>下图：</w:t>
      </w:r>
    </w:p>
    <w:p>
      <w:pPr>
        <w:pStyle w:val="2503"/>
        <w:numPr>
          <w:ilvl w:val="0"/>
          <w:numId w:val="21"/>
        </w:numPr>
        <w:spacing w:before="120" w:line="360" w:lineRule="auto"/>
        <w:ind w:left="0" w:leftChars="0" w:firstLine="403" w:firstLineChars="0"/>
        <w:rPr>
          <w:rFonts w:hint="eastAsia"/>
          <w:color w:val="auto"/>
          <w:lang w:eastAsia="zh-CN"/>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 xml:space="preserve"> </w:t>
      </w:r>
      <w:r>
        <w:rPr>
          <w:rFonts w:hint="default" w:ascii="Times New Roman" w:hAnsi="Times New Roman" w:eastAsia="宋体" w:cs="Times New Roman"/>
          <w:color w:val="auto"/>
          <w:sz w:val="21"/>
          <w:szCs w:val="21"/>
        </w:rPr>
        <w:t>干清粪工艺猪舍下部结构前视图和侧视图</w:t>
      </w:r>
    </w:p>
    <w:p>
      <w:pPr>
        <w:numPr>
          <w:ilvl w:val="0"/>
          <w:numId w:val="22"/>
        </w:numPr>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消毒工艺说明</w:t>
      </w:r>
    </w:p>
    <w:p>
      <w:pPr>
        <w:ind w:firstLine="480" w:firstLineChars="200"/>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本项目实施严格的兽医卫生消毒、免疫程序，保证猪群健康。所有与外界接触的进出口均设有消毒池，运送饲料的车辆进入时先经消毒池消毒再用高压水龙头清洗消毒。所有工作人员进场时必须从小门进入并在消毒通道内使用超声波雾化机雾化消毒</w:t>
      </w:r>
      <w:r>
        <w:rPr>
          <w:rFonts w:ascii="Times New Roman" w:hAnsi="Times New Roman" w:cs="Times New Roman"/>
          <w:color w:val="auto"/>
          <w:sz w:val="24"/>
          <w:szCs w:val="24"/>
        </w:rPr>
        <w:t>3</w:t>
      </w:r>
      <w:r>
        <w:rPr>
          <w:rFonts w:hint="eastAsia" w:ascii="Times New Roman" w:hAnsi="Times New Roman" w:cs="Times New Roman"/>
          <w:color w:val="auto"/>
          <w:sz w:val="24"/>
          <w:szCs w:val="24"/>
        </w:rPr>
        <w:t>分钟，消毒后在门卫室登记。需进入生产区的工作人员必须在生活区隔离，隔离后在浴室洗澡，更换成工作服、工作鞋帽，从浴室直接进入生产区。分娩舍以及所使用的物品、设备等均采用消毒剂进行消毒。</w:t>
      </w:r>
    </w:p>
    <w:p>
      <w:pPr>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消毒间均设置紫外线灯照射消毒，主入口车行道设置消毒池，3%~5%的火碱溶液消毒，池长2m，宽5m。每周更换两次消毒液，猪舍每周栏内带猪消毒1次，使用0.3%~0.5%过氧乙酸喷雾，300mL/m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；整栏换舍后猪舍彻底清扫并冲洗后，使用灭菌灵喷洒消毒，500mL/m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，间隔1天后重复进行一次；春秋两季各进行一次大消毒，用3%~4%的火碱溶液喷洒地面；运输猪和饲料的车辆，装运前后必须用灭菌灵喷雾消毒</w:t>
      </w:r>
      <w:r>
        <w:rPr>
          <w:rFonts w:hint="eastAsia" w:ascii="Times New Roman" w:hAnsi="Times New Roman" w:eastAsia="宋体" w:cs="Times New Roman"/>
          <w:color w:val="auto"/>
          <w:sz w:val="24"/>
          <w:szCs w:val="24"/>
          <w:lang w:eastAsia="zh-CN"/>
        </w:rPr>
        <w:t>。</w:t>
      </w:r>
    </w:p>
    <w:p>
      <w:pPr>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夏秋时节养殖场蚊蝇孽生，可采取化学、物理结合的方法驱蝇灭蚊，对于粪便贮存池、污水沟等死水，每周使用高效农药化学杀虫剂消杀2次。同时在圈舍内安装灭蚊灯、门窗均安装纱窗。</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rPr>
        <w:t>）养猪场防疫</w:t>
      </w:r>
    </w:p>
    <w:p>
      <w:pPr>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拟建项目防疫主要采取消毒和注射疫苗的方式。常用疫苗包括猪瘟疫苗、猪口蹄疫疫苗、猪高致病性蓝耳病疫苗、猪细小病毒疫苗等。均在小猪断奶后一周使用一头份，成年猪每年春秋两季各接种一头份；同时兽医室常备兽药主要为吉霉素、链霉素等抗生素类药品，要求使用高效、低毒、无公害、无残留，经职能部门认证的兽药。</w:t>
      </w:r>
    </w:p>
    <w:p>
      <w:pPr>
        <w:pStyle w:val="8"/>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污染治理工艺流程分析</w:t>
      </w:r>
    </w:p>
    <w:p>
      <w:pPr>
        <w:ind w:firstLine="482"/>
        <w:rPr>
          <w:b/>
          <w:color w:val="auto"/>
          <w:sz w:val="24"/>
          <w:szCs w:val="24"/>
        </w:rPr>
      </w:pPr>
      <w:r>
        <w:rPr>
          <w:b/>
          <w:color w:val="auto"/>
          <w:sz w:val="24"/>
          <w:szCs w:val="24"/>
        </w:rPr>
        <w:t>1、</w:t>
      </w:r>
      <w:r>
        <w:rPr>
          <w:rFonts w:hint="eastAsia"/>
          <w:b/>
          <w:color w:val="auto"/>
          <w:sz w:val="24"/>
          <w:szCs w:val="24"/>
          <w:lang w:eastAsia="zh-CN"/>
        </w:rPr>
        <w:t>病死猪处置方式</w:t>
      </w:r>
    </w:p>
    <w:p>
      <w:p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本项目采用云浮市益康生环保科技有限公司专利产品（专利证书详见附件</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）无害化降解处理机处理病死猪只。目前该专利已在50余单位成功应用，取得优异的处理效果。同时无害无处理机处理过程中产生的恶臭气体经云浮市益康生环保科技有限公司专利产品（专利证书详见附件</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恶臭气体净化装置处理后排放。根据中国广州分析测试中心对该专利产品废气排放口及其下风向5m监测报告数据可知，该专利产品排放的废气能够达到《恶臭污染物排放标准》（GB14554-93）（详见附件监测报告），符合环保要求。同时根据广东出入境检验检疫局检验检疫技术中心卫生检疫实验室对该专利生物安全效果验证报告数据可知，该专利废气排放口无病毒和细菌产生，符合生物安全相关要求（详见附件</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生物安全效果验证报告）。本项目无害化处理机设计处理规模为1000kg/d。</w:t>
      </w:r>
    </w:p>
    <w:p>
      <w:pPr>
        <w:ind w:firstLine="482" w:firstLineChars="200"/>
        <w:rPr>
          <w:rFonts w:hint="eastAsia"/>
          <w:b/>
          <w:bCs/>
          <w:color w:val="auto"/>
          <w:sz w:val="24"/>
          <w:szCs w:val="24"/>
        </w:rPr>
      </w:pPr>
      <w:r>
        <w:rPr>
          <w:rFonts w:ascii="宋体" w:hAnsi="宋体" w:eastAsia="宋体" w:cs="宋体"/>
          <w:b/>
          <w:bCs/>
          <w:color w:val="auto"/>
          <w:sz w:val="24"/>
          <w:szCs w:val="24"/>
        </w:rPr>
        <w:t>无害化降解处理机原理：</w:t>
      </w:r>
      <w:r>
        <w:rPr>
          <w:rFonts w:ascii="宋体" w:hAnsi="宋体" w:eastAsia="宋体" w:cs="宋体"/>
          <w:color w:val="auto"/>
          <w:sz w:val="24"/>
          <w:szCs w:val="24"/>
        </w:rPr>
        <w:t>采用高温生物发酵技术原理,利用设备产生的连续24h的高温(100PC)环境实现灭活病原体，利用芽孢杆菌分解的脂肪酶、蛋白质酶降解有机物的特性，实现动物尸体无害化降解处理。同时该设备综合分切、绞碎、发酵、杀菌、干燥等多个同步环节，把畜禽尸体等废弃物快速降解处理为有机肥原料</w:t>
      </w:r>
      <w:r>
        <w:rPr>
          <w:rFonts w:hint="eastAsia" w:ascii="宋体" w:hAnsi="宋体" w:eastAsia="宋体" w:cs="宋体"/>
          <w:color w:val="auto"/>
          <w:sz w:val="24"/>
          <w:szCs w:val="24"/>
          <w:lang w:eastAsia="zh-CN"/>
        </w:rPr>
        <w:t>，最后送入堆肥车间进行发酵罐堆肥</w:t>
      </w:r>
      <w:r>
        <w:rPr>
          <w:rFonts w:ascii="宋体" w:hAnsi="宋体" w:eastAsia="宋体" w:cs="宋体"/>
          <w:color w:val="auto"/>
          <w:sz w:val="24"/>
          <w:szCs w:val="24"/>
        </w:rPr>
        <w:t>。</w:t>
      </w:r>
      <w:r>
        <w:rPr>
          <w:rFonts w:hint="eastAsia"/>
          <w:b/>
          <w:bCs/>
          <w:color w:val="auto"/>
          <w:sz w:val="24"/>
          <w:szCs w:val="24"/>
        </w:rPr>
        <w:t>工作原理完全符合高温法要求。</w:t>
      </w:r>
    </w:p>
    <w:p>
      <w:pPr>
        <w:ind w:firstLine="480" w:firstLineChars="200"/>
        <w:rPr>
          <w:rFonts w:ascii="宋体" w:hAnsi="宋体" w:eastAsia="宋体" w:cs="宋体"/>
          <w:color w:val="auto"/>
          <w:sz w:val="24"/>
          <w:szCs w:val="24"/>
        </w:rPr>
      </w:pPr>
      <w:r>
        <w:rPr>
          <w:rFonts w:hint="default" w:ascii="Times New Roman" w:hAnsi="Times New Roman" w:cs="Times New Roman"/>
          <w:b w:val="0"/>
          <w:bCs w:val="0"/>
          <w:color w:val="auto"/>
          <w:sz w:val="24"/>
          <w:szCs w:val="24"/>
          <w:lang w:val="en-US" w:eastAsia="zh-CN"/>
        </w:rPr>
        <w:t>动物尸体无害化降解处理机设备参数</w:t>
      </w:r>
      <w:r>
        <w:rPr>
          <w:rFonts w:hint="eastAsia" w:ascii="Times New Roman" w:hAnsi="Times New Roman" w:cs="Times New Roman"/>
          <w:b w:val="0"/>
          <w:bCs w:val="0"/>
          <w:color w:val="auto"/>
          <w:sz w:val="24"/>
          <w:szCs w:val="24"/>
          <w:lang w:val="en-US" w:eastAsia="zh-CN"/>
        </w:rPr>
        <w:t>见下表。</w:t>
      </w:r>
    </w:p>
    <w:p>
      <w:pPr>
        <w:pStyle w:val="2503"/>
        <w:numPr>
          <w:ilvl w:val="0"/>
          <w:numId w:val="19"/>
        </w:numPr>
        <w:spacing w:before="120"/>
        <w:ind w:left="0" w:leftChars="0" w:firstLine="403" w:firstLineChars="0"/>
        <w:rPr>
          <w:rFonts w:hint="default" w:ascii="Times New Roman" w:hAnsi="Times New Roman"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 xml:space="preserve">  </w:t>
      </w:r>
      <w:r>
        <w:rPr>
          <w:rFonts w:hint="default" w:ascii="Times New Roman" w:hAnsi="Times New Roman" w:cs="Times New Roman"/>
          <w:b/>
          <w:bCs w:val="0"/>
          <w:color w:val="auto"/>
          <w:sz w:val="21"/>
          <w:szCs w:val="21"/>
          <w:lang w:val="en-US" w:eastAsia="zh-CN"/>
        </w:rPr>
        <w:t>动物尸体无害化降解处理机设备参数一览表</w:t>
      </w:r>
    </w:p>
    <w:tbl>
      <w:tblPr>
        <w:tblStyle w:val="88"/>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564"/>
        <w:gridCol w:w="595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6" w:hRule="atLeast"/>
        </w:trPr>
        <w:tc>
          <w:tcPr>
            <w:tcW w:w="1504" w:type="pct"/>
            <w:tcBorders>
              <w:bottom w:val="single" w:color="000000"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型号</w:t>
            </w:r>
          </w:p>
        </w:tc>
        <w:tc>
          <w:tcPr>
            <w:tcW w:w="3495" w:type="pct"/>
            <w:tcBorders>
              <w:bottom w:val="single" w:color="000000"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9WJC-24/Q</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规格</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4000（长）×1400（宽）×1700（高）mm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整机额定功率</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14kw</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整机重量</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3000kg</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工作电压</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380V</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有效处理容积</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2.4m³</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处理范围</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畜类、禽类</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单次最大处理量</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800-1000公斤/批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日处理最大量</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1500公斤</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单次处理周期</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24h</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适用场所</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规模化猪场、区域处理中心等</w:t>
            </w:r>
          </w:p>
        </w:tc>
      </w:tr>
    </w:tbl>
    <w:p>
      <w:pPr>
        <w:ind w:firstLine="482" w:firstLineChars="200"/>
        <w:rPr>
          <w:rFonts w:ascii="宋体" w:hAnsi="宋体" w:eastAsia="宋体" w:cs="宋体"/>
          <w:color w:val="auto"/>
          <w:sz w:val="24"/>
          <w:szCs w:val="24"/>
        </w:rPr>
      </w:pPr>
      <w:r>
        <w:rPr>
          <w:rFonts w:ascii="宋体" w:hAnsi="宋体" w:eastAsia="宋体" w:cs="宋体"/>
          <w:b/>
          <w:bCs/>
          <w:color w:val="auto"/>
          <w:sz w:val="24"/>
          <w:szCs w:val="24"/>
        </w:rPr>
        <w:t>恶臭气体净化装置原理：</w:t>
      </w:r>
      <w:r>
        <w:rPr>
          <w:rFonts w:ascii="宋体" w:hAnsi="宋体" w:eastAsia="宋体" w:cs="宋体"/>
          <w:color w:val="auto"/>
          <w:sz w:val="24"/>
          <w:szCs w:val="24"/>
        </w:rPr>
        <w:t>采用紫外线光束照射和TiO2催化法裂解恶臭气体(如三甲 胺、硫化氢、甲硫氢、甲硫醇、二甲二硫、二硫化碳和苯乙烯、HS、氨、苯、甲苯、二甲苯)。本项目恶臭气体净化装置使有机或无机高分子化合物分子链，在紫外线和Ti0光催化剂作用下，降解转变为低分子化合物，如CO2、H2O等，从而达到高效除臭的目的。</w:t>
      </w:r>
      <w:r>
        <w:rPr>
          <w:rFonts w:hint="eastAsia" w:ascii="宋体" w:hAnsi="宋体" w:eastAsia="宋体" w:cs="宋体"/>
          <w:color w:val="auto"/>
          <w:sz w:val="24"/>
          <w:szCs w:val="24"/>
        </w:rPr>
        <w:t>处理过程环保，无二次污染。</w:t>
      </w:r>
      <w:r>
        <w:rPr>
          <w:rFonts w:ascii="宋体" w:hAnsi="宋体" w:eastAsia="宋体" w:cs="宋体"/>
          <w:color w:val="auto"/>
          <w:sz w:val="24"/>
          <w:szCs w:val="24"/>
        </w:rPr>
        <w:t>病死猪无害化处理工艺流程图见图3</w:t>
      </w:r>
      <w:r>
        <w:rPr>
          <w:rFonts w:hint="eastAsia" w:ascii="宋体" w:hAnsi="宋体" w:eastAsia="宋体" w:cs="宋体"/>
          <w:color w:val="auto"/>
          <w:sz w:val="24"/>
          <w:szCs w:val="24"/>
          <w:lang w:val="en-US" w:eastAsia="zh-CN"/>
        </w:rPr>
        <w:t>.2</w:t>
      </w:r>
      <w:r>
        <w:rPr>
          <w:rFonts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ascii="宋体" w:hAnsi="宋体" w:eastAsia="宋体" w:cs="宋体"/>
          <w:color w:val="auto"/>
          <w:sz w:val="24"/>
          <w:szCs w:val="24"/>
        </w:rPr>
        <w:t>，无害化处理降解机图片见图3</w:t>
      </w:r>
      <w:r>
        <w:rPr>
          <w:rFonts w:hint="eastAsia" w:ascii="宋体" w:hAnsi="宋体" w:eastAsia="宋体" w:cs="宋体"/>
          <w:color w:val="auto"/>
          <w:sz w:val="24"/>
          <w:szCs w:val="24"/>
          <w:lang w:val="en-US" w:eastAsia="zh-CN"/>
        </w:rPr>
        <w:t>.2-4和</w:t>
      </w:r>
      <w:r>
        <w:rPr>
          <w:rFonts w:ascii="宋体" w:hAnsi="宋体" w:eastAsia="宋体" w:cs="宋体"/>
          <w:color w:val="auto"/>
          <w:sz w:val="24"/>
          <w:szCs w:val="24"/>
        </w:rPr>
        <w:t>图3</w:t>
      </w:r>
      <w:r>
        <w:rPr>
          <w:rFonts w:hint="eastAsia" w:ascii="宋体" w:hAnsi="宋体" w:eastAsia="宋体" w:cs="宋体"/>
          <w:color w:val="auto"/>
          <w:sz w:val="24"/>
          <w:szCs w:val="24"/>
          <w:lang w:val="en-US" w:eastAsia="zh-CN"/>
        </w:rPr>
        <w:t>.2-5</w:t>
      </w:r>
      <w:r>
        <w:rPr>
          <w:rFonts w:ascii="宋体" w:hAnsi="宋体" w:eastAsia="宋体" w:cs="宋体"/>
          <w:color w:val="auto"/>
          <w:sz w:val="24"/>
          <w:szCs w:val="24"/>
        </w:rPr>
        <w:t>。</w:t>
      </w:r>
    </w:p>
    <w:p>
      <w:pPr>
        <w:ind w:firstLine="480" w:firstLineChars="200"/>
        <w:rPr>
          <w:rFonts w:ascii="宋体" w:hAnsi="宋体" w:eastAsia="宋体" w:cs="宋体"/>
          <w:color w:val="auto"/>
          <w:sz w:val="24"/>
          <w:szCs w:val="24"/>
        </w:rPr>
      </w:pPr>
    </w:p>
    <w:p>
      <w:pPr>
        <w:ind w:firstLine="480" w:firstLineChars="200"/>
        <w:rPr>
          <w:rFonts w:ascii="宋体" w:hAnsi="宋体" w:eastAsia="宋体" w:cs="宋体"/>
          <w:color w:val="auto"/>
          <w:sz w:val="24"/>
          <w:szCs w:val="24"/>
        </w:rPr>
      </w:pPr>
    </w:p>
    <w:p>
      <w:pPr>
        <w:ind w:firstLine="420" w:firstLineChars="200"/>
        <w:rPr>
          <w:rFonts w:ascii="宋体" w:hAnsi="宋体" w:eastAsia="宋体" w:cs="宋体"/>
          <w:b/>
          <w:bCs/>
          <w:color w:val="auto"/>
          <w:sz w:val="24"/>
          <w:szCs w:val="24"/>
        </w:rPr>
      </w:pPr>
      <w:r>
        <w:rPr>
          <w:color w:val="auto"/>
          <w:szCs w:val="24"/>
        </w:rPr>
        <w:pict>
          <v:group id="_x0000_s2052" o:spid="_x0000_s2052" o:spt="203" style="position:absolute;left:0pt;margin-left:-0.85pt;margin-top:6.8pt;height:66.65pt;width:396.35pt;z-index:251719680;mso-width-relative:page;mso-height-relative:page;" coordorigin="1625,11698" coordsize="8843,1411">
            <o:lock v:ext="edit" aspectratio="f"/>
            <v:roundrect id="自选图形 283" o:spid="_x0000_s2053" o:spt="2" style="position:absolute;left:1625;top:12063;height:570;width:1403;" fillcolor="#BBD5F0" filled="t" stroked="t" coordsize="21600,21600" arcsize="0.166666666666667" o:gfxdata="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lnWY82QAAAAgB&#10;AAAPAAAAAAAAAAEAIAAAACIAAABkcnMvZG93bnJldi54bWxQSwECFAAUAAAACACHTuJAIzNwP1MC&#10;AACXBAAADgAAAAAAAAABACAAAAAoAQAAZHJzL2Uyb0RvYy54bWxQSwUGAAAAAAYABgBZAQAA7QUA&#10;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pPr>
                    <w:r>
                      <w:rPr>
                        <w:rFonts w:hint="eastAsia" w:cs="宋体"/>
                        <w:szCs w:val="21"/>
                        <w:lang w:bidi="ar"/>
                      </w:rPr>
                      <w:t>动物尸</w:t>
                    </w:r>
                    <w:r>
                      <w:rPr>
                        <w:rFonts w:hint="eastAsia" w:cs="宋体"/>
                        <w:lang w:bidi="ar"/>
                      </w:rPr>
                      <w:t>体</w:t>
                    </w:r>
                  </w:p>
                </w:txbxContent>
              </v:textbox>
            </v:roundrect>
            <v:roundrect id="自选图形 284" o:spid="_x0000_s2054" o:spt="2" style="position:absolute;left:3515;top:12063;height:570;width:953;" fillcolor="#BBD5F0" filled="t" stroked="t" coordsize="21600,21600" arcsize="0.166666666666667" o:gfxdata="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m5VKtoAAAAK&#10;AQAADwAAAAAAAAABACAAAAAiAAAAZHJzL2Rvd25yZXYueG1sUEsBAhQAFAAAAAgAh07iQMAzBFxT&#10;AgAAmAQAAA4AAAAAAAAAAQAgAAAAKQEAAGRycy9lMm9Eb2MueG1sUEsFBgAAAAAGAAYAWQEAAO4F&#10;AA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pPr>
                    <w:r>
                      <w:rPr>
                        <w:rFonts w:hint="eastAsia" w:cs="宋体"/>
                        <w:lang w:bidi="ar"/>
                      </w:rPr>
                      <w:t>提升</w:t>
                    </w:r>
                  </w:p>
                </w:txbxContent>
              </v:textbox>
            </v:roundrect>
            <v:roundrect id="自选图形 285" o:spid="_x0000_s2055" o:spt="2" style="position:absolute;left:4972;top:11698;height:1411;width:1900;" fillcolor="#BBD5F0" filled="t" stroked="t" coordsize="21600,21600" arcsize="0.166666666666667" o:gfxdata="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5hR4dkAAAAK&#10;AQAADwAAAAAAAAABACAAAAAiAAAAZHJzL2Rvd25yZXYueG1sUEsBAhQAFAAAAAgAh07iQCa7bgJU&#10;AgAAmAQAAA4AAAAAAAAAAQAgAAAAKAEAAGRycy9lMm9Eb2MueG1sUEsFBgAAAAAGAAYAWQEAAO4F&#10;AA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rPr>
                        <w:sz w:val="21"/>
                        <w:szCs w:val="21"/>
                      </w:rPr>
                    </w:pPr>
                    <w:r>
                      <w:rPr>
                        <w:rFonts w:hint="eastAsia" w:cs="宋体"/>
                        <w:sz w:val="21"/>
                        <w:szCs w:val="21"/>
                        <w:lang w:bidi="ar"/>
                      </w:rPr>
                      <w:t>破碎、高温、搅拌、发酵、烘干一体工艺</w:t>
                    </w:r>
                  </w:p>
                </w:txbxContent>
              </v:textbox>
            </v:roundrect>
            <v:roundrect id="自选图形 286" o:spid="_x0000_s2056" o:spt="2" style="position:absolute;left:7293;top:12017;height:570;width:895;" fillcolor="#BBD5F0" filled="t" stroked="t" coordsize="21600,21600" arcsize="0.166666666666667" o:gfxdata="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yVZSdoAAAAK&#10;AQAADwAAAAAAAAABACAAAAAiAAAAZHJzL2Rvd25yZXYueG1sUEsBAhQAFAAAAAgAh07iQIyR2jZT&#10;AgAAlwQAAA4AAAAAAAAAAQAgAAAAKQEAAGRycy9lMm9Eb2MueG1sUEsFBgAAAAAGAAYAWQEAAO4F&#10;AA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rPr>
                        <w:szCs w:val="21"/>
                      </w:rPr>
                    </w:pPr>
                    <w:r>
                      <w:rPr>
                        <w:rFonts w:hint="eastAsia" w:cs="宋体"/>
                        <w:szCs w:val="21"/>
                        <w:lang w:bidi="ar"/>
                      </w:rPr>
                      <w:t>出料</w:t>
                    </w:r>
                  </w:p>
                </w:txbxContent>
              </v:textbox>
            </v:roundrect>
            <v:roundrect id="自选图形 287" o:spid="_x0000_s2057" o:spt="2" style="position:absolute;left:8548;top:12017;height:570;width:1920;" fillcolor="#BBD5F0" filled="t" stroked="t" coordsize="21600,21600" arcsize="0.166666666666667" o:gfxdata="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1wPYi9oAAAAK&#10;AQAADwAAAAAAAAABACAAAAAiAAAAZHJzL2Rvd25yZXYueG1sUEsBAhQAFAAAAAgAh07iQBUqwiFT&#10;AgAAmAQAAA4AAAAAAAAAAQAgAAAAKQEAAGRycy9lMm9Eb2MueG1sUEsFBgAAAAAGAAYAWQEAAO4F&#10;AA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rPr>
                        <w:szCs w:val="21"/>
                      </w:rPr>
                    </w:pPr>
                    <w:r>
                      <w:rPr>
                        <w:rFonts w:hint="eastAsia" w:cs="宋体"/>
                        <w:szCs w:val="21"/>
                        <w:lang w:bidi="ar"/>
                      </w:rPr>
                      <w:t>猪粪发酵处理区</w:t>
                    </w:r>
                  </w:p>
                </w:txbxContent>
              </v:textbox>
            </v:roundrect>
            <v:shape id="自选图形 288" o:spid="_x0000_s2058" o:spt="32" type="#_x0000_t32" style="position:absolute;left:3073;top:12348;height:0;width:435;" filled="f" stroked="t" coordsize="21600,21600" o:gfxdata="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9rkJdgA&#10;AAALAQAADwAAAAAAAAABACAAAAAiAAAAZHJzL2Rvd25yZXYueG1sUEsBAhQAFAAAAAgAh07iQHq7&#10;uXHmAQAAnAMAAA4AAAAAAAAAAQAgAAAAJwEAAGRycy9lMm9Eb2MueG1sUEsFBgAAAAAGAAYAWQEA&#10;AH8FAAAAAA==&#10;">
              <v:path arrowok="t"/>
              <v:fill on="f" focussize="0,0"/>
              <v:stroke weight="1.25pt" color="#739CC3" endarrow="block"/>
              <v:imagedata o:title=""/>
              <o:lock v:ext="edit" aspectratio="f"/>
            </v:shape>
            <v:shape id="自选图形 289" o:spid="_x0000_s2059" o:spt="32" type="#_x0000_t32" style="position:absolute;left:4490;top:12335;flip:y;height:13;width:482;" filled="f" stroked="t" coordsize="21600,21600" o:gfxdata="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nkLEjaAAAACwEAAA8AAAAAAAAAAQAgAAAAIgAAAGRycy9kb3ducmV2LnhtbFBLAQIUABQA&#10;AAAIAIdO4kD18pM17gEAAKkDAAAOAAAAAAAAAAEAIAAAACkBAABkcnMvZTJvRG9jLnhtbFBLBQYA&#10;AAAABgAGAFkBAACJBQAAAAA=&#10;">
              <v:path arrowok="t"/>
              <v:fill on="f" focussize="0,0"/>
              <v:stroke weight="1.25pt" color="#739CC3" endarrow="block"/>
              <v:imagedata o:title=""/>
              <o:lock v:ext="edit" aspectratio="f"/>
            </v:shape>
            <v:shape id="自选图形 290" o:spid="_x0000_s2060" o:spt="32" type="#_x0000_t32" style="position:absolute;left:6872;top:12348;height:13;width:421;" filled="f" stroked="t" coordsize="21600,21600" o:gfxdata="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sndRPb&#10;AAAACwEAAA8AAAAAAAAAAQAgAAAAIgAAAGRycy9kb3ducmV2LnhtbFBLAQIUABQAAAAIAIdO4kCv&#10;9+Oq5AEAAJ4DAAAOAAAAAAAAAAEAIAAAACoBAABkcnMvZTJvRG9jLnhtbFBLBQYAAAAABgAGAFkB&#10;AACABQAAAAA=&#10;">
              <v:path arrowok="t"/>
              <v:fill on="f" focussize="0,0"/>
              <v:stroke weight="1.25pt" color="#739CC3" endarrow="block"/>
              <v:imagedata o:title=""/>
              <o:lock v:ext="edit" aspectratio="f"/>
            </v:shape>
            <v:shape id="自选图形 291" o:spid="_x0000_s2061" o:spt="32" type="#_x0000_t32" style="position:absolute;left:8188;top:12329;height:0;width:345;" filled="f" stroked="t" coordsize="21600,21600" o:gfxdata="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05UQHa&#10;AAAACwEAAA8AAAAAAAAAAQAgAAAAIgAAAGRycy9kb3ducmV2LnhtbFBLAQIUABQAAAAIAIdO4kA/&#10;NtJC5QEAAJsDAAAOAAAAAAAAAAEAIAAAACkBAABkcnMvZTJvRG9jLnhtbFBLBQYAAAAABgAGAFkB&#10;AACABQAAAAA=&#10;">
              <v:path arrowok="t"/>
              <v:fill on="f" focussize="0,0"/>
              <v:stroke weight="1.25pt" color="#739CC3" endarrow="block"/>
              <v:imagedata o:title=""/>
              <o:lock v:ext="edit" aspectratio="f"/>
            </v:shape>
          </v:group>
        </w:pict>
      </w:r>
    </w:p>
    <w:p>
      <w:pPr>
        <w:pStyle w:val="2503"/>
        <w:numPr>
          <w:ilvl w:val="0"/>
          <w:numId w:val="21"/>
        </w:numPr>
        <w:spacing w:before="120" w:line="360" w:lineRule="auto"/>
        <w:ind w:left="0" w:leftChars="0" w:firstLine="403" w:firstLineChars="0"/>
        <w:rPr>
          <w:color w:val="auto"/>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eastAsiaTheme="minorEastAsia"/>
          <w:b/>
          <w:color w:val="auto"/>
          <w:kern w:val="2"/>
          <w:sz w:val="21"/>
          <w:szCs w:val="21"/>
          <w:lang w:val="en-US" w:eastAsia="zh-CN" w:bidi="ar-SA"/>
        </w:rPr>
        <w:t>动物尸体无害化降解处理工艺流程图</w:t>
      </w:r>
    </w:p>
    <w:p>
      <w:pPr>
        <w:rPr>
          <w:color w:val="auto"/>
        </w:rPr>
      </w:pPr>
      <w:r>
        <w:rPr>
          <w:color w:val="auto"/>
        </w:rPr>
        <w:drawing>
          <wp:inline distT="0" distB="0" distL="114300" distR="114300">
            <wp:extent cx="4800600" cy="2813050"/>
            <wp:effectExtent l="0" t="0" r="0" b="6350"/>
            <wp:docPr id="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pic:cNvPicPr>
                      <a:picLocks noChangeAspect="1"/>
                    </pic:cNvPicPr>
                  </pic:nvPicPr>
                  <pic:blipFill>
                    <a:blip r:embed="rId18"/>
                    <a:stretch>
                      <a:fillRect/>
                    </a:stretch>
                  </pic:blipFill>
                  <pic:spPr>
                    <a:xfrm>
                      <a:off x="0" y="0"/>
                      <a:ext cx="4800600" cy="2813050"/>
                    </a:xfrm>
                    <a:prstGeom prst="rect">
                      <a:avLst/>
                    </a:prstGeom>
                    <a:noFill/>
                    <a:ln>
                      <a:noFill/>
                    </a:ln>
                  </pic:spPr>
                </pic:pic>
              </a:graphicData>
            </a:graphic>
          </wp:inline>
        </w:drawing>
      </w:r>
    </w:p>
    <w:p>
      <w:pPr>
        <w:pStyle w:val="2503"/>
        <w:numPr>
          <w:ilvl w:val="0"/>
          <w:numId w:val="21"/>
        </w:numPr>
        <w:spacing w:before="120" w:line="360" w:lineRule="auto"/>
        <w:ind w:left="0" w:leftChars="0" w:firstLine="403" w:firstLine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 xml:space="preserve"> 动物尸体无害化处理降解处理机</w:t>
      </w:r>
    </w:p>
    <w:p>
      <w:pPr>
        <w:pStyle w:val="2503"/>
        <w:widowControl w:val="0"/>
        <w:numPr>
          <w:ilvl w:val="0"/>
          <w:numId w:val="0"/>
        </w:numPr>
        <w:tabs>
          <w:tab w:val="left" w:pos="0"/>
        </w:tabs>
        <w:spacing w:before="120" w:beforeLines="50" w:line="360" w:lineRule="auto"/>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drawing>
          <wp:inline distT="0" distB="0" distL="114300" distR="114300">
            <wp:extent cx="4848860" cy="2293620"/>
            <wp:effectExtent l="0" t="0" r="8890" b="11430"/>
            <wp:docPr id="8" name="图片 8" descr="4832f909d7a50f38ee394e48f4ca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832f909d7a50f38ee394e48f4cac9c"/>
                    <pic:cNvPicPr>
                      <a:picLocks noChangeAspect="1"/>
                    </pic:cNvPicPr>
                  </pic:nvPicPr>
                  <pic:blipFill>
                    <a:blip r:embed="rId19"/>
                    <a:stretch>
                      <a:fillRect/>
                    </a:stretch>
                  </pic:blipFill>
                  <pic:spPr>
                    <a:xfrm>
                      <a:off x="0" y="0"/>
                      <a:ext cx="4848860" cy="2293620"/>
                    </a:xfrm>
                    <a:prstGeom prst="rect">
                      <a:avLst/>
                    </a:prstGeom>
                  </pic:spPr>
                </pic:pic>
              </a:graphicData>
            </a:graphic>
          </wp:inline>
        </w:drawing>
      </w:r>
    </w:p>
    <w:p>
      <w:pPr>
        <w:pStyle w:val="2503"/>
        <w:numPr>
          <w:ilvl w:val="0"/>
          <w:numId w:val="21"/>
        </w:numPr>
        <w:spacing w:before="120" w:line="360" w:lineRule="auto"/>
        <w:ind w:left="0" w:leftChars="0" w:firstLine="403" w:firstLine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 xml:space="preserve"> 动物尸体无害化处理降解处理机</w:t>
      </w:r>
      <w:r>
        <w:rPr>
          <w:rFonts w:hint="eastAsia" w:ascii="Times New Roman" w:hAnsi="Times New Roman" w:cs="Times New Roman"/>
          <w:color w:val="auto"/>
          <w:sz w:val="21"/>
          <w:szCs w:val="21"/>
          <w:lang w:val="en-US" w:eastAsia="zh-CN"/>
        </w:rPr>
        <w:t>尾气处理装置</w:t>
      </w:r>
    </w:p>
    <w:p>
      <w:pPr>
        <w:ind w:firstLine="482"/>
        <w:rPr>
          <w:b/>
          <w:color w:val="auto"/>
          <w:sz w:val="24"/>
          <w:szCs w:val="24"/>
        </w:rPr>
      </w:pPr>
      <w:r>
        <w:rPr>
          <w:rFonts w:hint="eastAsia"/>
          <w:b/>
          <w:color w:val="auto"/>
          <w:sz w:val="24"/>
          <w:szCs w:val="24"/>
          <w:lang w:val="en-US" w:eastAsia="zh-CN"/>
        </w:rPr>
        <w:t>2</w:t>
      </w:r>
      <w:r>
        <w:rPr>
          <w:b/>
          <w:color w:val="auto"/>
          <w:sz w:val="24"/>
          <w:szCs w:val="24"/>
        </w:rPr>
        <w:t>、粪便发酵工艺流程</w:t>
      </w:r>
    </w:p>
    <w:p>
      <w:pPr>
        <w:ind w:firstLine="482"/>
        <w:rPr>
          <w:b/>
          <w:color w:val="auto"/>
        </w:rPr>
      </w:pPr>
      <w:r>
        <w:rPr>
          <w:rFonts w:ascii="宋体" w:hAnsi="宋体" w:eastAsia="宋体" w:cs="宋体"/>
          <w:color w:val="auto"/>
          <w:sz w:val="24"/>
          <w:szCs w:val="24"/>
        </w:rPr>
        <w:t>猪粪发酵罐，又称畜禽粪便发酵处理机，为立式封闭罐体结构，采用高温好氧发酵原理。粪污直接投入该设备内，当温度、水分、氧量等条件合适时，这些微生物大量繁殖，并分解废弃有机物中含有的有机物。通过微生物的生命活动合成及分解过程，把一部分被吸收的有机质氧化成简单的无机物，并提供生命活动所需要的能量；同时把另一部分有机物转化合成新的细胞物质，使微生物增殖。整个发酵过程由四个阶段组成:</w:t>
      </w:r>
    </w:p>
    <w:p>
      <w:pPr>
        <w:pStyle w:val="2503"/>
        <w:numPr>
          <w:ilvl w:val="0"/>
          <w:numId w:val="0"/>
        </w:numPr>
        <w:spacing w:before="120" w:line="360" w:lineRule="auto"/>
        <w:jc w:val="both"/>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object>
          <v:shape id="_x0000_i1026" o:spt="75" type="#_x0000_t75" style="height:202.65pt;width:415.1pt;" o:ole="t" filled="f" o:preferrelative="t" stroked="f" coordsize="21600,21600">
            <v:path/>
            <v:fill on="f" focussize="0,0"/>
            <v:stroke on="f"/>
            <v:imagedata r:id="rId21" o:title=""/>
            <o:lock v:ext="edit" aspectratio="f"/>
            <w10:wrap type="none"/>
            <w10:anchorlock/>
          </v:shape>
          <o:OLEObject Type="Embed" ProgID="Visio.Drawing.11" ShapeID="_x0000_i1026" DrawAspect="Content" ObjectID="_1468075726" r:id="rId20">
            <o:LockedField>false</o:LockedField>
          </o:OLEObject>
        </w:object>
      </w:r>
    </w:p>
    <w:p>
      <w:pPr>
        <w:pStyle w:val="2503"/>
        <w:numPr>
          <w:ilvl w:val="0"/>
          <w:numId w:val="21"/>
        </w:numPr>
        <w:spacing w:before="120" w:line="360" w:lineRule="auto"/>
        <w:ind w:left="0" w:leftChars="0" w:firstLine="403" w:firstLineChars="0"/>
        <w:rPr>
          <w:rFonts w:hint="eastAsia" w:ascii="Times New Roman" w:hAnsi="Times New Roman" w:cs="Times New Roman"/>
          <w:color w:val="auto"/>
          <w:sz w:val="21"/>
          <w:szCs w:val="21"/>
        </w:rPr>
      </w:pPr>
      <w:r>
        <w:rPr>
          <w:rFonts w:hint="eastAsia" w:ascii="Times New Roman" w:hAnsi="Times New Roman" w:cs="Times New Roman"/>
          <w:b/>
          <w:color w:val="auto"/>
          <w:kern w:val="2"/>
          <w:sz w:val="21"/>
          <w:szCs w:val="21"/>
          <w:lang w:val="en-US" w:eastAsia="zh-CN" w:bidi="ar-SA"/>
        </w:rPr>
        <w:t xml:space="preserve">  </w:t>
      </w:r>
      <w:r>
        <w:rPr>
          <w:rFonts w:hint="eastAsia" w:ascii="Times New Roman" w:hAnsi="Times New Roman" w:cs="Times New Roman" w:eastAsiaTheme="minorEastAsia"/>
          <w:b/>
          <w:color w:val="auto"/>
          <w:kern w:val="2"/>
          <w:sz w:val="21"/>
          <w:szCs w:val="21"/>
          <w:lang w:val="en-US" w:eastAsia="zh-CN" w:bidi="ar-SA"/>
        </w:rPr>
        <w:t>好氧堆肥技术工艺流程图</w:t>
      </w:r>
    </w:p>
    <w:p>
      <w:pPr>
        <w:ind w:firstLine="480" w:firstLineChars="200"/>
        <w:rPr>
          <w:rFonts w:ascii="宋体" w:hAnsi="宋体" w:eastAsia="宋体" w:cs="宋体"/>
          <w:color w:val="auto"/>
          <w:sz w:val="24"/>
          <w:szCs w:val="24"/>
        </w:rPr>
      </w:pPr>
      <w:r>
        <w:rPr>
          <w:rFonts w:hint="eastAsia" w:ascii="Times New Roman" w:hAnsi="Times New Roman" w:cs="Times New Roman"/>
          <w:color w:val="auto"/>
          <w:sz w:val="24"/>
          <w:szCs w:val="24"/>
        </w:rPr>
        <w:t>升温阶段发酵初期(通常在1-3天)，粪污中嗜温性微生物利用可溶性和易降解性有机物作为营养和能量来源，迅速增殖，并释放出热能，使粪污温度不断上升。此阶段温度在45℃范围内，微生物以中温、需氧型为主，通常是一些无芽胞细菌。微生物类型较多，主要是细菌、真菌和放线菌。其中细菌主要利用水溶性单糖等，放线菌和真菌对于</w:t>
      </w:r>
      <w:r>
        <w:rPr>
          <w:rFonts w:ascii="宋体" w:hAnsi="宋体" w:eastAsia="宋体" w:cs="宋体"/>
          <w:color w:val="auto"/>
          <w:sz w:val="24"/>
          <w:szCs w:val="24"/>
        </w:rPr>
        <w:t>分解纤维素和半纤维素物质具有特殊的功能。</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高温阶段当粪污温度上升到45℃以上时，即进入高温阶段。通常从发酵开始，只须2-3天时间温度便能迅速地升高到65℃，1周内堆温可达到最高值(最高温可达80℃)。嗜温性微生物受到抑制，嗜热性微生物逐渐取而代之。除前一阶段残留的和新形成的可溶性有机物继续分解转化外，半纤维素、纤维素、蛋白质等复杂有机物也开始强烈分解。在50℃左右进行活动的主要是嗜热性真菌和放线菌;温度上升到60℃时，真菌几乎完全停止活动，仅有嗜热性放线菌和细菌活动;温度上升到70℃以上时，大多数嗜热性微生物已不适宜，微生物大量死亡或进入休眠状态。</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降温阶段随着微生物活动减弱，产生的热量减少，温度自动下降。当温度降至40℃以下时，处于休眠状态的嗜热性微生物又重新活动，继续分解难分解的有机物但微生物活性普遍下降，发热量减少，有机物趋于温度，需氧量大大减少，发酵进入腐熟阶段。腐熟阶段在腐熟阶段，有机肥基本达到稳定，可出料。</w:t>
      </w:r>
    </w:p>
    <w:p>
      <w:pPr>
        <w:ind w:firstLine="482"/>
        <w:rPr>
          <w:b/>
          <w:color w:val="auto"/>
          <w:sz w:val="24"/>
          <w:szCs w:val="24"/>
        </w:rPr>
      </w:pPr>
      <w:r>
        <w:rPr>
          <w:rFonts w:hint="eastAsia"/>
          <w:b/>
          <w:color w:val="auto"/>
          <w:sz w:val="24"/>
          <w:szCs w:val="24"/>
          <w:lang w:val="en-US" w:eastAsia="zh-CN"/>
        </w:rPr>
        <w:t>3</w:t>
      </w:r>
      <w:r>
        <w:rPr>
          <w:b/>
          <w:color w:val="auto"/>
          <w:sz w:val="24"/>
          <w:szCs w:val="24"/>
        </w:rPr>
        <w:t>、粪污水处理工艺流程</w:t>
      </w:r>
    </w:p>
    <w:p>
      <w:pPr>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本项目拟设置一座处理规模为</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/d的污水处理站，污水处理站拟采用“固液分离+UASB厌氧+絮凝沉淀+两级A/O系统+混凝絮凝沉淀+消毒”处理工艺，出水处理达到《农田灌溉水质标准》（GB5084-2005）表2中旱作</w:t>
      </w:r>
      <w:r>
        <w:rPr>
          <w:rFonts w:hint="eastAsia" w:ascii="Times New Roman" w:hAnsi="Times New Roman" w:eastAsia="宋体" w:cs="Times New Roman"/>
          <w:color w:val="auto"/>
          <w:sz w:val="24"/>
          <w:szCs w:val="24"/>
          <w:lang w:eastAsia="zh-CN"/>
        </w:rPr>
        <w:t>（除氨氮、总磷外其他污染物执行该标准）</w:t>
      </w:r>
      <w:r>
        <w:rPr>
          <w:rFonts w:hint="default" w:ascii="Times New Roman" w:hAnsi="Times New Roman" w:eastAsia="宋体" w:cs="Times New Roman"/>
          <w:color w:val="auto"/>
          <w:sz w:val="24"/>
          <w:szCs w:val="24"/>
        </w:rPr>
        <w:t>和《畜禽养殖业污染物排放标准》（GB18596-2001）表5中的水污染物排放标准后</w:t>
      </w:r>
      <w:r>
        <w:rPr>
          <w:rFonts w:hint="eastAsia" w:ascii="Times New Roman" w:hAnsi="Times New Roman" w:eastAsia="宋体" w:cs="Times New Roman"/>
          <w:color w:val="auto"/>
          <w:sz w:val="24"/>
          <w:szCs w:val="24"/>
          <w:lang w:eastAsia="zh-CN"/>
        </w:rPr>
        <w:t>（氨氮、总磷执行该标准）</w:t>
      </w:r>
      <w:r>
        <w:rPr>
          <w:rFonts w:hint="default" w:ascii="Times New Roman" w:hAnsi="Times New Roman" w:eastAsia="宋体" w:cs="Times New Roman"/>
          <w:color w:val="auto"/>
          <w:sz w:val="24"/>
          <w:szCs w:val="24"/>
        </w:rPr>
        <w:t>用作土地施肥，不外排。UASB反应器产生的沼气脱硫处理后用作食堂燃料；分离出的粪便、沼渣和污泥在有机肥车间内堆肥处理后打包外售</w:t>
      </w:r>
      <w:r>
        <w:rPr>
          <w:rFonts w:hint="default" w:ascii="Times New Roman" w:hAnsi="Times New Roman" w:eastAsia="宋体" w:cs="Times New Roman"/>
          <w:color w:val="auto"/>
          <w:sz w:val="24"/>
          <w:szCs w:val="24"/>
          <w:lang w:eastAsia="zh-CN"/>
        </w:rPr>
        <w:t>。</w:t>
      </w:r>
    </w:p>
    <w:p>
      <w:pPr>
        <w:pStyle w:val="2"/>
        <w:rPr>
          <w:rFonts w:hint="default" w:ascii="宋体" w:hAnsi="宋体" w:eastAsia="宋体" w:cs="宋体"/>
          <w:color w:val="auto"/>
          <w:sz w:val="24"/>
          <w:szCs w:val="24"/>
          <w:lang w:val="en-US" w:eastAsia="zh-CN"/>
        </w:rPr>
      </w:pPr>
      <w:r>
        <w:rPr>
          <w:rFonts w:hint="default" w:ascii="Times New Roman" w:hAnsi="Times New Roman" w:eastAsia="宋体" w:cs="Times New Roman"/>
          <w:color w:val="auto"/>
          <w:sz w:val="24"/>
          <w:szCs w:val="24"/>
          <w:lang w:eastAsia="zh-CN"/>
        </w:rPr>
        <w:t>本项目粪污处理工艺流程见图</w:t>
      </w: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p>
    <w:p>
      <w:pPr>
        <w:pStyle w:val="2503"/>
        <w:numPr>
          <w:ilvl w:val="0"/>
          <w:numId w:val="0"/>
        </w:numPr>
        <w:tabs>
          <w:tab w:val="left" w:pos="0"/>
        </w:tabs>
        <w:spacing w:before="120" w:line="360" w:lineRule="auto"/>
        <w:jc w:val="both"/>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drawing>
          <wp:inline distT="0" distB="0" distL="114300" distR="114300">
            <wp:extent cx="5271770" cy="5262245"/>
            <wp:effectExtent l="0" t="0" r="5080" b="14605"/>
            <wp:docPr id="11" name="图片 11" descr="FTM0D{S@]HI6XF)Y9{)BD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TM0D{S@]HI6XF)Y9{)BDHG"/>
                    <pic:cNvPicPr>
                      <a:picLocks noChangeAspect="1"/>
                    </pic:cNvPicPr>
                  </pic:nvPicPr>
                  <pic:blipFill>
                    <a:blip r:embed="rId22"/>
                    <a:stretch>
                      <a:fillRect/>
                    </a:stretch>
                  </pic:blipFill>
                  <pic:spPr>
                    <a:xfrm>
                      <a:off x="0" y="0"/>
                      <a:ext cx="5271770" cy="5262245"/>
                    </a:xfrm>
                    <a:prstGeom prst="rect">
                      <a:avLst/>
                    </a:prstGeom>
                  </pic:spPr>
                </pic:pic>
              </a:graphicData>
            </a:graphic>
          </wp:inline>
        </w:drawing>
      </w:r>
    </w:p>
    <w:p>
      <w:pPr>
        <w:pStyle w:val="2503"/>
        <w:numPr>
          <w:ilvl w:val="0"/>
          <w:numId w:val="21"/>
        </w:numPr>
        <w:spacing w:before="120" w:line="360" w:lineRule="auto"/>
        <w:ind w:left="0" w:leftChars="0" w:firstLine="403" w:firstLineChars="0"/>
        <w:rPr>
          <w:rFonts w:hint="default" w:ascii="宋体" w:hAnsi="宋体" w:eastAsia="宋体" w:cs="宋体"/>
          <w:color w:val="auto"/>
          <w:sz w:val="24"/>
          <w:szCs w:val="24"/>
          <w:lang w:val="en-US" w:eastAsia="zh-CN"/>
        </w:rPr>
      </w:pPr>
      <w:r>
        <w:rPr>
          <w:rFonts w:hint="eastAsia" w:ascii="Times New Roman" w:hAnsi="Times New Roman" w:cs="Times New Roman"/>
          <w:b/>
          <w:color w:val="auto"/>
          <w:kern w:val="2"/>
          <w:sz w:val="21"/>
          <w:szCs w:val="21"/>
          <w:lang w:val="en-US" w:eastAsia="zh-CN" w:bidi="ar-SA"/>
        </w:rPr>
        <w:t xml:space="preserve">  </w:t>
      </w:r>
      <w:r>
        <w:rPr>
          <w:rFonts w:hint="default" w:ascii="Times New Roman" w:hAnsi="Times New Roman" w:cs="Times New Roman" w:eastAsiaTheme="minorEastAsia"/>
          <w:b/>
          <w:color w:val="auto"/>
          <w:kern w:val="2"/>
          <w:sz w:val="21"/>
          <w:szCs w:val="21"/>
          <w:lang w:val="en-US" w:eastAsia="zh-CN" w:bidi="ar-SA"/>
        </w:rPr>
        <w:t>粪污处理工艺流程</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工艺简介：</w:t>
      </w:r>
    </w:p>
    <w:p>
      <w:pPr>
        <w:numPr>
          <w:ilvl w:val="0"/>
          <w:numId w:val="23"/>
        </w:num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格栅</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拦截污水中树枝、木条等较大的悬浮物装置，防止这类物质进入污水处理系统以免对设备造成损坏，降低后续的处理负荷。</w:t>
      </w:r>
    </w:p>
    <w:p>
      <w:pPr>
        <w:numPr>
          <w:ilvl w:val="0"/>
          <w:numId w:val="23"/>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集水池</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集水池主要用于收集养殖场内的污水，起到集中、调节、均质均量的作用，搅拌均匀后提升至固液分离机。</w:t>
      </w:r>
    </w:p>
    <w:p>
      <w:pPr>
        <w:pStyle w:val="2"/>
        <w:numPr>
          <w:ilvl w:val="0"/>
          <w:numId w:val="23"/>
        </w:numPr>
        <w:spacing w:line="360" w:lineRule="auto"/>
        <w:ind w:left="0" w:leftChars="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固液分离机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污水经过筛网过滤，污水中大多数粪便被截流在斜筛网中，粪渣再经螺旋压榨机挤压排出，实现粪便与水分离，分离出的粪便输送至有机肥车间堆肥处理。</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（4）调节池</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起到均衡水量的作用，保持污水以恒定的流速进入后续污水处理系统，保证系统的稳定运行。</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（5）UASB</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UASB中文名称:上流式厌氧污泥床反应器。污水自下而上地通过厌氧污泥床反应器，在反应器底部有一个高浓度、高活性的污泥层，大部分有机物在这里被转化为CH4和CO2。气态产物的搅动和气泡粘附污泥上升形成一个污泥悬浮层。反应器上部设有三相分离器，完成气、液、固三相的分离。被分离的气体从上部导出，被分离的污泥则自动滑落到悬浮污泥层，出水则从澄清区流出。由于反应器有良好的布水、混合、水流搅拌、三相分离、排渣系统，反应器具有负荷大，有机物降解效率高、停留时间短、产气效率高等优势。</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（6）絮凝初沉系统</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前端通过加药将水中大部分的粪渣去除，减少后端的生化负荷。</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（7）中转池</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絮凝沉淀系统出水由中转池提升泵均量提升至组合池中，进行生化反应。</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（8）两级A/O工艺</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级生化系统由缺氧池+好氧池组成。在缺氧池中，反硝化细菌在碳源充足的情况下将好氧池回流的消化液中的硝态氮转化为氮气，达到脱氮的效果。在好氧池中，COD、BOD可以得到有效的降解，同时硝化细菌将氨氮转化为硝态氮，并通过回流泵将混合液回流至缺氧池中，吸磷菌将污水中的P吸收待在沉淀池中排除。一级生化系统用于降解COD的同时具有高效的脱氮除磷功能。一级生化产生的活性污泥在沉淀池内沉淀，活性污泥能充分回流至生化系统，剩余污泥通过污泥泵排出，完成除磷的功能。同时，使一级生化和二级生化微生物类别和功能区分开来，发挥一级和二级生化系统各自的功效，有效保证二级生化的有效运行。</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经一级生化系统处理后，COD、NH3-N、TP、SS都获得了较大量的处理，但仍未达标，通过二级生化进一步降解污染物浓度，其反应机理与一级生化池相似。二级生化产生的活性污泥在二级沉淀池内沉淀，活性污泥能充分回流至二级生化系统，保证二级生化池内的活性污泥浓度。同时剩余污泥通过污泥泵排出，完成除磷的功能。</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两级A/O工艺具备传统A/O工艺的特点外，还具有更强的脱氮除磷能力、内源补碳能力和内源补碱能力，从而使高COD、N、P污水实现协同降解，可使养殖污水轻松处理至《畜禽养殖业污染物排放标准》（GB18596-2001）和《农田灌溉水质标准》（GB5084-2005）</w:t>
      </w:r>
      <w:r>
        <w:rPr>
          <w:rFonts w:hint="eastAsia" w:ascii="Times New Roman" w:hAnsi="Times New Roman" w:eastAsia="宋体" w:cs="Times New Roman"/>
          <w:color w:val="auto"/>
          <w:sz w:val="24"/>
          <w:szCs w:val="24"/>
          <w:lang w:eastAsia="zh-CN"/>
        </w:rPr>
        <w:t>（氨氮、总磷执行</w:t>
      </w:r>
      <w:r>
        <w:rPr>
          <w:rFonts w:hint="default" w:ascii="Times New Roman" w:hAnsi="Times New Roman" w:eastAsia="宋体" w:cs="Times New Roman"/>
          <w:color w:val="auto"/>
          <w:kern w:val="2"/>
          <w:sz w:val="24"/>
          <w:szCs w:val="24"/>
          <w:lang w:val="en-US" w:eastAsia="zh-CN" w:bidi="ar-SA"/>
        </w:rPr>
        <w:t>GB18596-2001</w:t>
      </w:r>
      <w:r>
        <w:rPr>
          <w:rFonts w:hint="eastAsia" w:ascii="Times New Roman" w:hAnsi="Times New Roman" w:eastAsia="宋体" w:cs="Times New Roman"/>
          <w:color w:val="auto"/>
          <w:sz w:val="24"/>
          <w:szCs w:val="24"/>
          <w:lang w:eastAsia="zh-CN"/>
        </w:rPr>
        <w:t>标准，其余执行</w:t>
      </w:r>
      <w:r>
        <w:rPr>
          <w:rFonts w:hint="default" w:ascii="Times New Roman" w:hAnsi="Times New Roman" w:eastAsia="宋体" w:cs="Times New Roman"/>
          <w:color w:val="auto"/>
          <w:kern w:val="2"/>
          <w:sz w:val="24"/>
          <w:szCs w:val="24"/>
          <w:lang w:val="en-US" w:eastAsia="zh-CN" w:bidi="ar-SA"/>
        </w:rPr>
        <w:t>GB5084-2005</w:t>
      </w:r>
      <w:r>
        <w:rPr>
          <w:rFonts w:hint="eastAsia" w:ascii="Times New Roman" w:hAnsi="Times New Roman" w:eastAsia="宋体" w:cs="Times New Roman"/>
          <w:color w:val="auto"/>
          <w:kern w:val="2"/>
          <w:sz w:val="24"/>
          <w:szCs w:val="24"/>
          <w:lang w:val="en-US" w:eastAsia="zh-CN" w:bidi="ar-SA"/>
        </w:rPr>
        <w:t>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
          <w:sz w:val="24"/>
          <w:szCs w:val="24"/>
          <w:lang w:val="en-US" w:eastAsia="zh-CN" w:bidi="ar-SA"/>
        </w:rPr>
        <w:t>。</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（9）混凝絮凝沉淀系统</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在加药池向水中投机石灰水，在一定的 pH 值下，Ca</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 xml:space="preserve"> 和水中金属离子生产沉淀。然后在絮凝池投加混凝剂，使沉淀物得到有效沉淀去除，完成脱色的反应。再利用三级沉淀池使加药絮凝池的沉淀物得到有效沉淀去除，保证出水澄清。</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（10）消毒池/清水池/暂存池</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养猪废水中含有许多细菌、病毒微生物等，在经过前段的生化处理后，微生物指标可能达不到排放要求，因此，必须在末端消毒池中投加二氧化氯进行消毒，去除水中的大肠菌群等病菌，同时进一步氧化废水中有机污染物，更稳妥保障污水达标排放，最后废水达标后暂存于8000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暂存池内，</w:t>
      </w:r>
      <w:r>
        <w:rPr>
          <w:rFonts w:hint="eastAsia" w:ascii="Times New Roman" w:hAnsi="Times New Roman" w:eastAsia="宋体" w:cs="Times New Roman"/>
          <w:color w:val="auto"/>
          <w:sz w:val="24"/>
          <w:szCs w:val="24"/>
          <w:lang w:eastAsia="zh-CN"/>
        </w:rPr>
        <w:t>最后</w:t>
      </w:r>
      <w:r>
        <w:rPr>
          <w:rFonts w:hint="eastAsia" w:ascii="Times New Roman" w:hAnsi="Times New Roman" w:eastAsia="宋体" w:cs="Times New Roman"/>
          <w:color w:val="auto"/>
          <w:sz w:val="24"/>
          <w:szCs w:val="24"/>
        </w:rPr>
        <w:t>废水用作耕地、林地灌溉，不外排</w:t>
      </w:r>
      <w:r>
        <w:rPr>
          <w:rFonts w:hint="default" w:ascii="Times New Roman" w:hAnsi="Times New Roman" w:eastAsia="宋体" w:cs="Times New Roman"/>
          <w:color w:val="auto"/>
          <w:kern w:val="2"/>
          <w:sz w:val="24"/>
          <w:szCs w:val="24"/>
          <w:lang w:val="en-US" w:eastAsia="zh-CN" w:bidi="ar-SA"/>
        </w:rPr>
        <w:t>。</w:t>
      </w:r>
    </w:p>
    <w:p>
      <w:pPr>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（11）污泥处理</w:t>
      </w:r>
    </w:p>
    <w:p>
      <w:pPr>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本工程产生的剩余污泥抽入污泥浓缩池，经脱水设施设备处理后运至有机肥车间进行堆肥处理。</w:t>
      </w:r>
    </w:p>
    <w:p>
      <w:pPr>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（12）安全水封的作用</w:t>
      </w:r>
    </w:p>
    <w:p>
      <w:pPr>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安全水封是利用水的阻隔能力对沼气进行通路进行阻断。当安全水封的进口与出口压力差超过设置水封高度时，沼气突破水封面，流出安全水封。</w:t>
      </w:r>
    </w:p>
    <w:p>
      <w:pPr>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安全水封的主要功能是防止沼气系统出现意外回火爆燃情况下对厌氧罐进行保护的最后屏障，是避免因爆燃回火出现重大灾难性事故的安全设备，因此厌氧出口处设置安全水封，意义重大。</w:t>
      </w:r>
    </w:p>
    <w:p>
      <w:pPr>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（13）沼气汽水分离</w:t>
      </w:r>
    </w:p>
    <w:p>
      <w:pPr>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由于一般养殖业都是采用中温发酵工艺，有些厌氧发酵沼气从厌氧罐流出时，会夹带部分液滴。通常情况下，沼气中至少含有35℃时的饱和蒸汽。当沼气流出厌氧罐后，随着温度降低，部分水蒸气会凝聚成液滴。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当液滴多时，会影响到沼气燃烧，会对输送管道造成损害。因此沼气在使用前必须经脱水（汽水分离）处理。</w:t>
      </w:r>
    </w:p>
    <w:p>
      <w:pPr>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（14）沼气干法脱硫与再生工艺原理</w:t>
      </w:r>
    </w:p>
    <w:p>
      <w:pPr>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干法脱硫是在圆柱状脱硫塔内装填一定高度的脱硫剂，沼气自下而上通过脱硫剂，H2S被去除，实现脱硫过程。常用的脱硫剂为氧化铁，其粒状为圆柱状，氧化铁脱硫的原理如下：</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O+3H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eastAsia="zh-CN"/>
        </w:rPr>
        <w:t>O+3H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由上面的反应方程式可以看出，Fe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吸收H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S变成Fe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，随着沼气的不断产生，氧化铁吸收H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S，当吸收H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S达到一定的量，H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S的去除率将大大降低，直至失效。本装置能耐冲击负荷，当污染物的浓度上升后，短时间内处理效果下降，但是能很快恢复正常。Fe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是可以还原再生的，与O</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和H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O发生化学反应可还原为Fe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，原理如下：</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2Fe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O+3O</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＝2Fe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O+6S</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综合以上两反应式，沼气脱硫反应式如下：</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S+1/2O</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O(反应条件是Fe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由以上化学反应方程式可以看出，Fe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吸收H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S变成Fe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要还原成Fe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，需要O</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和H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O。关闭脱硫塔管路前后阀门，利用空气泵给脱硫塔供人空气，空气即可满足脱硫剂对O</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的要求，脱硫剂在沼气中吸附的水分完全满足脱硫剂还原对水分的要求。脱硫剂吸收H</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S失效，空气中的O</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和沼气中的饱和水将失效的脱硫剂还原再生成Fe</w:t>
      </w:r>
      <w:r>
        <w:rPr>
          <w:rFonts w:hint="default" w:ascii="Times New Roman" w:hAnsi="Times New Roman" w:cs="Times New Roman"/>
          <w:color w:val="auto"/>
          <w:vertAlign w:val="subscript"/>
          <w:lang w:eastAsia="zh-CN"/>
        </w:rPr>
        <w:t>2</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eastAsia="zh-CN"/>
        </w:rPr>
        <w:t>3</w:t>
      </w:r>
      <w:r>
        <w:rPr>
          <w:rFonts w:hint="default" w:ascii="Times New Roman" w:hAnsi="Times New Roman" w:cs="Times New Roman"/>
          <w:color w:val="auto"/>
          <w:lang w:eastAsia="zh-CN"/>
        </w:rPr>
        <w:t>，此工艺即为沼气干法脱硫再生工艺。</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（15）</w:t>
      </w:r>
      <w:r>
        <w:rPr>
          <w:rFonts w:hint="eastAsia" w:ascii="Times New Roman" w:hAnsi="Times New Roman" w:cs="Times New Roman"/>
          <w:color w:val="auto"/>
          <w:lang w:eastAsia="zh-CN"/>
        </w:rPr>
        <w:t>双膜储气袋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沼气柜外型一般为1/2球体，罐体由外膜、内膜、底部基础及附属设备组成，具有抗紫外线及各种微生物的能力，高度防火并符合标准。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内膜与底部基础之间形成一个容量可变的气密空间用作储存沼气，外膜构成储存柜的球状外型。利用外膜进气鼓风机恒压，当内膜沼气量减少时，外膜通过鼓风机进气，保持内膜沼气的设计压力，当沼气量增加时，内膜正常伸张，通过安全阀将外膜多余空气排出，使沼气压力始终恒定在一个需要的设计压力。</w:t>
      </w:r>
    </w:p>
    <w:p>
      <w:pPr>
        <w:pStyle w:val="2"/>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沼气去向</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本项目UASB反应器产生的沼气经密闭收集并脱水脱硫处理后输送至食堂作为燃料。</w:t>
      </w:r>
    </w:p>
    <w:p>
      <w:pPr>
        <w:pStyle w:val="7"/>
        <w:spacing w:before="0" w:after="0" w:line="360" w:lineRule="auto"/>
        <w:ind w:left="0" w:firstLine="0"/>
        <w:rPr>
          <w:rFonts w:hint="default" w:cs="Times New Roman"/>
          <w:color w:val="auto"/>
          <w:lang w:eastAsia="zh-CN"/>
        </w:rPr>
      </w:pPr>
      <w:bookmarkStart w:id="187" w:name="_Toc4615"/>
      <w:r>
        <w:rPr>
          <w:rFonts w:hint="default" w:cs="Times New Roman"/>
          <w:color w:val="auto"/>
          <w:lang w:eastAsia="zh-CN"/>
        </w:rPr>
        <w:t>主要污染工序</w:t>
      </w:r>
      <w:bookmarkEnd w:id="187"/>
    </w:p>
    <w:p>
      <w:pPr>
        <w:ind w:firstLine="48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本项目运营期污染物主要包括废水、废气、噪声、固体废弃物，其污染工序及污染因素如下：</w:t>
      </w:r>
    </w:p>
    <w:p>
      <w:pPr>
        <w:ind w:firstLine="482"/>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1、废水</w:t>
      </w:r>
    </w:p>
    <w:p>
      <w:pPr>
        <w:ind w:firstLine="48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本项目废水主要分为两类，一类为养殖过程中产生的猪只尿液、猪粪脱水、猪舍冲洗废水、分娩设备清洗废水；另一类为生活污水，主要为职工办公、食堂餐饮废水。</w:t>
      </w:r>
    </w:p>
    <w:p>
      <w:pPr>
        <w:ind w:firstLine="482"/>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2、废气</w:t>
      </w:r>
    </w:p>
    <w:p>
      <w:pPr>
        <w:ind w:firstLine="48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项目废气包括养殖场恶臭、食堂餐饮油烟、运输车辆汽车尾气、柴油发电机废气。</w:t>
      </w:r>
    </w:p>
    <w:p>
      <w:pPr>
        <w:ind w:firstLine="482"/>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3、噪声</w:t>
      </w:r>
    </w:p>
    <w:p>
      <w:pPr>
        <w:ind w:firstLine="48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运营期噪声包括设备噪声（水泵、风机、柴油发电机等设备）和猪叫声。</w:t>
      </w:r>
    </w:p>
    <w:p>
      <w:pPr>
        <w:ind w:firstLine="482"/>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4、固体废弃物</w:t>
      </w:r>
    </w:p>
    <w:p>
      <w:pPr>
        <w:ind w:firstLine="48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运营期固废包括员工生活垃圾及养殖过程中产生的固废，其中养殖固废包括一般固废（固液分离产生的干粪、污水处理站污泥、病死猪及胎盘）和危险废物（养殖过程中产生的废兽药试剂及包装物等医疗垃圾）。</w:t>
      </w:r>
    </w:p>
    <w:p>
      <w:pPr>
        <w:ind w:firstLine="480"/>
        <w:rPr>
          <w:rFonts w:hint="default" w:ascii="Times New Roman" w:hAnsi="Times New Roman" w:eastAsia="宋体" w:cs="Times New Roman"/>
          <w:color w:val="auto"/>
          <w:position w:val="-96"/>
          <w:sz w:val="24"/>
          <w:szCs w:val="24"/>
        </w:rPr>
      </w:pPr>
      <w:r>
        <w:rPr>
          <w:rFonts w:hint="default" w:ascii="Times New Roman" w:hAnsi="Times New Roman" w:eastAsia="宋体" w:cs="Times New Roman"/>
          <w:color w:val="auto"/>
          <w:sz w:val="24"/>
          <w:szCs w:val="24"/>
          <w:lang w:val="zh-CN"/>
        </w:rPr>
        <w:t>运营期主要污染工序及污染物产生情况见图3.5-1。</w:t>
      </w:r>
    </w:p>
    <w:p>
      <w:pPr>
        <w:pStyle w:val="2"/>
        <w:rPr>
          <w:rFonts w:ascii="宋体" w:hAnsi="宋体" w:eastAsia="宋体" w:cs="宋体"/>
          <w:color w:val="auto"/>
          <w:sz w:val="24"/>
          <w:szCs w:val="24"/>
        </w:rPr>
      </w:pPr>
    </w:p>
    <w:p>
      <w:pPr>
        <w:pStyle w:val="2"/>
        <w:numPr>
          <w:ilvl w:val="0"/>
          <w:numId w:val="0"/>
        </w:numPr>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object>
          <v:shape id="_x0000_i1027" o:spt="75" type="#_x0000_t75" style="height:377.55pt;width:409.1pt;" o:ole="t" filled="f" o:preferrelative="t" stroked="f" coordsize="21600,21600">
            <v:path/>
            <v:fill on="f" focussize="0,0"/>
            <v:stroke on="f"/>
            <v:imagedata r:id="rId24" o:title=""/>
            <o:lock v:ext="edit" aspectratio="f"/>
            <w10:wrap type="none"/>
            <w10:anchorlock/>
          </v:shape>
          <o:OLEObject Type="Embed" ProgID="Visio.Drawing.11" ShapeID="_x0000_i1027" DrawAspect="Content" ObjectID="_1468075727" r:id="rId23">
            <o:LockedField>false</o:LockedField>
          </o:OLEObject>
        </w:object>
      </w:r>
    </w:p>
    <w:p>
      <w:pPr>
        <w:pStyle w:val="2"/>
        <w:numPr>
          <w:ilvl w:val="0"/>
          <w:numId w:val="25"/>
        </w:numPr>
        <w:spacing w:line="240" w:lineRule="auto"/>
        <w:ind w:left="0" w:leftChars="0" w:firstLine="403" w:firstLineChars="0"/>
        <w:jc w:val="center"/>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项目产污环节及处置措施图</w:t>
      </w:r>
    </w:p>
    <w:p>
      <w:pPr>
        <w:pStyle w:val="7"/>
        <w:spacing w:before="0" w:after="0" w:line="360" w:lineRule="auto"/>
        <w:ind w:left="0" w:firstLine="0"/>
        <w:rPr>
          <w:rFonts w:hint="default" w:cs="Times New Roman"/>
          <w:color w:val="auto"/>
          <w:lang w:eastAsia="zh-CN"/>
        </w:rPr>
      </w:pPr>
      <w:bookmarkStart w:id="188" w:name="_Toc30874"/>
      <w:r>
        <w:rPr>
          <w:rFonts w:hint="eastAsia" w:cs="Times New Roman"/>
          <w:color w:val="auto"/>
          <w:lang w:eastAsia="zh-CN"/>
        </w:rPr>
        <w:t>水平衡</w:t>
      </w:r>
      <w:bookmarkEnd w:id="188"/>
    </w:p>
    <w:p>
      <w:pPr>
        <w:widowControl/>
        <w:autoSpaceDE w:val="0"/>
        <w:autoSpaceDN w:val="0"/>
        <w:adjustRightInd w:val="0"/>
        <w:ind w:firstLine="525"/>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本项目营运期用水主要包括猪饮用水、猪舍冲洗用水、分娩设备冲洗用水、职工生活用水、绿化及未预见用水等。</w:t>
      </w:r>
    </w:p>
    <w:p>
      <w:pPr>
        <w:widowControl/>
        <w:autoSpaceDE w:val="0"/>
        <w:autoSpaceDN w:val="0"/>
        <w:adjustRightInd w:val="0"/>
        <w:ind w:firstLine="525"/>
        <w:rPr>
          <w:rFonts w:hint="eastAsia"/>
          <w:color w:val="auto"/>
        </w:rPr>
      </w:pPr>
      <w:r>
        <w:rPr>
          <w:color w:val="auto"/>
          <w:sz w:val="24"/>
          <w:szCs w:val="24"/>
          <w:lang w:val="zh-CN"/>
        </w:rPr>
        <w:t>本项目为</w:t>
      </w:r>
      <w:r>
        <w:rPr>
          <w:rFonts w:hint="eastAsia"/>
          <w:color w:val="auto"/>
          <w:sz w:val="24"/>
          <w:szCs w:val="24"/>
          <w:lang w:val="zh-CN"/>
        </w:rPr>
        <w:t>种猪</w:t>
      </w:r>
      <w:r>
        <w:rPr>
          <w:color w:val="auto"/>
          <w:sz w:val="24"/>
          <w:szCs w:val="24"/>
          <w:lang w:val="zh-CN"/>
        </w:rPr>
        <w:t>养殖项目，</w:t>
      </w:r>
      <w:r>
        <w:rPr>
          <w:color w:val="auto"/>
          <w:sz w:val="24"/>
          <w:szCs w:val="24"/>
        </w:rPr>
        <w:t>建成后常年存栏母猪</w:t>
      </w:r>
      <w:r>
        <w:rPr>
          <w:rFonts w:hint="eastAsia"/>
          <w:color w:val="auto"/>
          <w:sz w:val="24"/>
          <w:szCs w:val="24"/>
          <w:lang w:val="en-US" w:eastAsia="zh-CN"/>
        </w:rPr>
        <w:t>15862</w:t>
      </w:r>
      <w:r>
        <w:rPr>
          <w:color w:val="auto"/>
          <w:sz w:val="24"/>
          <w:szCs w:val="24"/>
        </w:rPr>
        <w:t>头、公猪</w:t>
      </w:r>
      <w:r>
        <w:rPr>
          <w:rFonts w:hint="eastAsia"/>
          <w:color w:val="auto"/>
          <w:sz w:val="24"/>
          <w:szCs w:val="24"/>
          <w:lang w:val="en-US" w:eastAsia="zh-CN"/>
        </w:rPr>
        <w:t>110</w:t>
      </w:r>
      <w:r>
        <w:rPr>
          <w:color w:val="auto"/>
          <w:sz w:val="24"/>
          <w:szCs w:val="24"/>
        </w:rPr>
        <w:t>头、仔猪</w:t>
      </w:r>
      <w:r>
        <w:rPr>
          <w:rFonts w:hint="eastAsia"/>
          <w:color w:val="auto"/>
          <w:sz w:val="24"/>
          <w:szCs w:val="24"/>
          <w:lang w:val="en-US" w:eastAsia="zh-CN"/>
        </w:rPr>
        <w:t>17980</w:t>
      </w:r>
      <w:r>
        <w:rPr>
          <w:color w:val="auto"/>
          <w:sz w:val="24"/>
          <w:szCs w:val="24"/>
        </w:rPr>
        <w:t>头。</w:t>
      </w:r>
    </w:p>
    <w:p>
      <w:pPr>
        <w:widowControl/>
        <w:autoSpaceDE w:val="0"/>
        <w:autoSpaceDN w:val="0"/>
        <w:adjustRightInd w:val="0"/>
        <w:ind w:firstLine="525"/>
        <w:rPr>
          <w:rFonts w:ascii="Times New Roman" w:hAnsi="Times New Roman" w:cs="Times New Roman"/>
          <w:color w:val="auto"/>
          <w:sz w:val="24"/>
          <w:szCs w:val="24"/>
        </w:rPr>
      </w:pPr>
      <w:r>
        <w:rPr>
          <w:rFonts w:hint="eastAsia" w:ascii="Times New Roman" w:hAnsi="Times New Roman" w:cs="Times New Roman"/>
          <w:color w:val="auto"/>
          <w:sz w:val="24"/>
          <w:szCs w:val="24"/>
        </w:rPr>
        <w:t>根据《建筑给排水设计规范》（</w:t>
      </w:r>
      <w:r>
        <w:rPr>
          <w:rFonts w:ascii="Times New Roman" w:hAnsi="Times New Roman" w:cs="Times New Roman"/>
          <w:color w:val="auto"/>
          <w:sz w:val="24"/>
          <w:szCs w:val="24"/>
        </w:rPr>
        <w:t>GB50015-2009</w:t>
      </w:r>
      <w:r>
        <w:rPr>
          <w:rFonts w:hint="eastAsia" w:ascii="Times New Roman" w:hAnsi="Times New Roman" w:cs="Times New Roman"/>
          <w:color w:val="auto"/>
          <w:sz w:val="24"/>
          <w:szCs w:val="24"/>
        </w:rPr>
        <w:t>）的要求，并结合《用水定额》（DB51/T2138-2016）以及行业种猪养殖经验，核算本项目用水情况如下：</w:t>
      </w:r>
    </w:p>
    <w:p>
      <w:pPr>
        <w:pStyle w:val="1385"/>
        <w:ind w:firstLine="482"/>
        <w:rPr>
          <w:b/>
          <w:bCs/>
          <w:color w:val="auto"/>
        </w:rPr>
      </w:pPr>
      <w:r>
        <w:rPr>
          <w:rFonts w:hint="eastAsia"/>
          <w:b/>
          <w:bCs/>
          <w:color w:val="auto"/>
          <w:lang w:val="en-US" w:eastAsia="zh-CN"/>
        </w:rPr>
        <w:t>1、</w:t>
      </w:r>
      <w:r>
        <w:rPr>
          <w:rFonts w:hint="eastAsia"/>
          <w:b/>
          <w:bCs/>
          <w:color w:val="auto"/>
        </w:rPr>
        <w:t>猪饮用水</w:t>
      </w:r>
    </w:p>
    <w:p>
      <w:pPr>
        <w:wordWrap w:val="0"/>
        <w:ind w:firstLine="480"/>
        <w:rPr>
          <w:color w:val="auto"/>
          <w:sz w:val="24"/>
          <w:szCs w:val="24"/>
        </w:rPr>
      </w:pPr>
      <w:r>
        <w:rPr>
          <w:color w:val="auto"/>
          <w:sz w:val="24"/>
          <w:szCs w:val="24"/>
        </w:rPr>
        <w:t>猪的饮水量与猪的日龄、生产水平、外界温度、气候变化、水温、供水方式、饲料种类、饲喂方法及猪的活动量有关。根据企业生猪饲养经验以及国内外研究结论，本项目参照《养猪生产》（中国农业出版社.刘海良译），一般情况下不同品种、性别、生长期猪只所需饮水量见表3.</w:t>
      </w:r>
      <w:r>
        <w:rPr>
          <w:rFonts w:hint="eastAsia"/>
          <w:color w:val="auto"/>
          <w:sz w:val="24"/>
          <w:szCs w:val="24"/>
          <w:lang w:val="en-US" w:eastAsia="zh-CN"/>
        </w:rPr>
        <w:t>2</w:t>
      </w:r>
      <w:r>
        <w:rPr>
          <w:color w:val="auto"/>
          <w:sz w:val="24"/>
          <w:szCs w:val="24"/>
        </w:rPr>
        <w:t>-</w:t>
      </w:r>
      <w:r>
        <w:rPr>
          <w:rFonts w:hint="eastAsia"/>
          <w:color w:val="auto"/>
          <w:sz w:val="24"/>
          <w:szCs w:val="24"/>
          <w:lang w:val="en-US" w:eastAsia="zh-CN"/>
        </w:rPr>
        <w:t>5</w:t>
      </w:r>
      <w:r>
        <w:rPr>
          <w:color w:val="auto"/>
          <w:sz w:val="24"/>
          <w:szCs w:val="24"/>
        </w:rPr>
        <w:t>。</w:t>
      </w:r>
    </w:p>
    <w:p>
      <w:pPr>
        <w:pStyle w:val="2503"/>
        <w:numPr>
          <w:ilvl w:val="0"/>
          <w:numId w:val="19"/>
        </w:numPr>
        <w:spacing w:before="120"/>
        <w:ind w:left="0" w:leftChars="0" w:firstLine="403" w:firstLineChars="0"/>
        <w:rPr>
          <w:rFonts w:eastAsia="黑体"/>
          <w:color w:val="auto"/>
          <w:szCs w:val="21"/>
        </w:rPr>
      </w:pP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 xml:space="preserve"> </w:t>
      </w:r>
      <w:r>
        <w:rPr>
          <w:color w:val="auto"/>
        </w:rPr>
        <w:t>猪在各生长阶段和生理功能情况下的估计耗水量</w:t>
      </w:r>
    </w:p>
    <w:tbl>
      <w:tblPr>
        <w:tblStyle w:val="88"/>
        <w:tblW w:w="4998" w:type="pct"/>
        <w:tblInd w:w="0" w:type="dxa"/>
        <w:tblLayout w:type="autofit"/>
        <w:tblCellMar>
          <w:top w:w="0" w:type="dxa"/>
          <w:left w:w="0" w:type="dxa"/>
          <w:bottom w:w="0" w:type="dxa"/>
          <w:right w:w="0" w:type="dxa"/>
        </w:tblCellMar>
      </w:tblPr>
      <w:tblGrid>
        <w:gridCol w:w="1607"/>
        <w:gridCol w:w="2531"/>
        <w:gridCol w:w="2560"/>
        <w:gridCol w:w="1605"/>
      </w:tblGrid>
      <w:tr>
        <w:tblPrEx>
          <w:tblCellMar>
            <w:top w:w="0" w:type="dxa"/>
            <w:left w:w="0" w:type="dxa"/>
            <w:bottom w:w="0" w:type="dxa"/>
            <w:right w:w="0" w:type="dxa"/>
          </w:tblCellMar>
        </w:tblPrEx>
        <w:tc>
          <w:tcPr>
            <w:tcW w:w="968" w:type="pct"/>
            <w:tcBorders>
              <w:top w:val="single" w:color="auto" w:sz="12"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rPr>
            </w:pPr>
            <w:r>
              <w:rPr>
                <w:rFonts w:hint="default"/>
                <w:b/>
                <w:color w:val="auto"/>
                <w:sz w:val="21"/>
                <w:szCs w:val="21"/>
              </w:rPr>
              <w:t>猪的不同阶段</w:t>
            </w:r>
          </w:p>
        </w:tc>
        <w:tc>
          <w:tcPr>
            <w:tcW w:w="1524" w:type="pct"/>
            <w:tcBorders>
              <w:top w:val="single" w:color="auto" w:sz="12"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rPr>
            </w:pPr>
            <w:r>
              <w:rPr>
                <w:rFonts w:hint="default"/>
                <w:b/>
                <w:color w:val="auto"/>
                <w:sz w:val="21"/>
                <w:szCs w:val="21"/>
              </w:rPr>
              <w:t>日消耗水量（升）</w:t>
            </w:r>
          </w:p>
        </w:tc>
        <w:tc>
          <w:tcPr>
            <w:tcW w:w="1541" w:type="pct"/>
            <w:tcBorders>
              <w:top w:val="single" w:color="auto" w:sz="12"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rPr>
            </w:pPr>
            <w:r>
              <w:rPr>
                <w:rFonts w:hint="default"/>
                <w:b/>
                <w:color w:val="auto"/>
                <w:sz w:val="21"/>
                <w:szCs w:val="21"/>
              </w:rPr>
              <w:t>猪的不同阶段</w:t>
            </w:r>
          </w:p>
        </w:tc>
        <w:tc>
          <w:tcPr>
            <w:tcW w:w="966" w:type="pct"/>
            <w:tcBorders>
              <w:top w:val="single" w:color="auto" w:sz="12"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rPr>
            </w:pPr>
            <w:r>
              <w:rPr>
                <w:rFonts w:hint="default"/>
                <w:b/>
                <w:color w:val="auto"/>
                <w:sz w:val="21"/>
                <w:szCs w:val="21"/>
              </w:rPr>
              <w:t>日消耗水量（升）</w:t>
            </w:r>
          </w:p>
        </w:tc>
      </w:tr>
      <w:tr>
        <w:tblPrEx>
          <w:tblCellMar>
            <w:top w:w="0" w:type="dxa"/>
            <w:left w:w="0" w:type="dxa"/>
            <w:bottom w:w="0" w:type="dxa"/>
            <w:right w:w="0" w:type="dxa"/>
          </w:tblCellMar>
        </w:tblPrEx>
        <w:tc>
          <w:tcPr>
            <w:tcW w:w="968" w:type="pct"/>
            <w:tcBorders>
              <w:top w:val="single" w:color="000000" w:sz="4"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rPr>
            </w:pPr>
            <w:r>
              <w:rPr>
                <w:rFonts w:hint="default"/>
                <w:color w:val="auto"/>
                <w:sz w:val="21"/>
                <w:szCs w:val="21"/>
              </w:rPr>
              <w:t>哺乳仔猪</w:t>
            </w:r>
          </w:p>
        </w:tc>
        <w:tc>
          <w:tcPr>
            <w:tcW w:w="1524"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rPr>
            </w:pPr>
            <w:r>
              <w:rPr>
                <w:rFonts w:hint="default"/>
                <w:color w:val="auto"/>
                <w:sz w:val="21"/>
                <w:szCs w:val="21"/>
              </w:rPr>
              <w:t>适当数量以保证满足补饲量</w:t>
            </w:r>
          </w:p>
        </w:tc>
        <w:tc>
          <w:tcPr>
            <w:tcW w:w="1541"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rPr>
            </w:pPr>
            <w:r>
              <w:rPr>
                <w:rFonts w:hint="default"/>
                <w:color w:val="auto"/>
                <w:sz w:val="21"/>
                <w:szCs w:val="21"/>
              </w:rPr>
              <w:t>育肥猪</w:t>
            </w:r>
          </w:p>
        </w:tc>
        <w:tc>
          <w:tcPr>
            <w:tcW w:w="966" w:type="pct"/>
            <w:tcBorders>
              <w:top w:val="single" w:color="000000" w:sz="4"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rPr>
            </w:pPr>
            <w:r>
              <w:rPr>
                <w:rFonts w:hint="default"/>
                <w:color w:val="auto"/>
                <w:sz w:val="21"/>
                <w:szCs w:val="21"/>
              </w:rPr>
              <w:t>3.8~7.5</w:t>
            </w:r>
          </w:p>
        </w:tc>
      </w:tr>
      <w:tr>
        <w:tblPrEx>
          <w:tblCellMar>
            <w:top w:w="0" w:type="dxa"/>
            <w:left w:w="0" w:type="dxa"/>
            <w:bottom w:w="0" w:type="dxa"/>
            <w:right w:w="0" w:type="dxa"/>
          </w:tblCellMar>
        </w:tblPrEx>
        <w:tc>
          <w:tcPr>
            <w:tcW w:w="968" w:type="pct"/>
            <w:tcBorders>
              <w:top w:val="single" w:color="000000" w:sz="4"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rPr>
            </w:pPr>
            <w:r>
              <w:rPr>
                <w:rFonts w:hint="default"/>
                <w:color w:val="auto"/>
                <w:sz w:val="21"/>
                <w:szCs w:val="21"/>
              </w:rPr>
              <w:t>断乳仔猪</w:t>
            </w:r>
          </w:p>
        </w:tc>
        <w:tc>
          <w:tcPr>
            <w:tcW w:w="1524"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rPr>
            </w:pPr>
            <w:r>
              <w:rPr>
                <w:rFonts w:hint="default"/>
                <w:color w:val="auto"/>
                <w:sz w:val="21"/>
                <w:szCs w:val="21"/>
              </w:rPr>
              <w:t>1.3~2.5</w:t>
            </w:r>
          </w:p>
        </w:tc>
        <w:tc>
          <w:tcPr>
            <w:tcW w:w="1541"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rPr>
            </w:pPr>
            <w:r>
              <w:rPr>
                <w:rFonts w:hint="default"/>
                <w:color w:val="auto"/>
                <w:sz w:val="21"/>
                <w:szCs w:val="21"/>
              </w:rPr>
              <w:t>断乳母猪、后备母猪及公猪</w:t>
            </w:r>
          </w:p>
        </w:tc>
        <w:tc>
          <w:tcPr>
            <w:tcW w:w="966" w:type="pct"/>
            <w:tcBorders>
              <w:top w:val="single" w:color="000000" w:sz="4"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rPr>
            </w:pPr>
            <w:r>
              <w:rPr>
                <w:rFonts w:hint="default"/>
                <w:color w:val="auto"/>
                <w:sz w:val="21"/>
                <w:szCs w:val="21"/>
              </w:rPr>
              <w:t>13~17</w:t>
            </w:r>
          </w:p>
        </w:tc>
      </w:tr>
      <w:tr>
        <w:tblPrEx>
          <w:tblCellMar>
            <w:top w:w="0" w:type="dxa"/>
            <w:left w:w="0" w:type="dxa"/>
            <w:bottom w:w="0" w:type="dxa"/>
            <w:right w:w="0" w:type="dxa"/>
          </w:tblCellMar>
        </w:tblPrEx>
        <w:tc>
          <w:tcPr>
            <w:tcW w:w="968" w:type="pct"/>
            <w:tcBorders>
              <w:top w:val="single" w:color="000000" w:sz="4" w:space="0"/>
              <w:bottom w:val="single" w:color="auto" w:sz="12"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default"/>
                <w:color w:val="auto"/>
              </w:rPr>
            </w:pPr>
            <w:r>
              <w:rPr>
                <w:rFonts w:hint="default"/>
                <w:color w:val="auto"/>
                <w:sz w:val="21"/>
                <w:szCs w:val="21"/>
              </w:rPr>
              <w:t>生长猪</w:t>
            </w:r>
          </w:p>
        </w:tc>
        <w:tc>
          <w:tcPr>
            <w:tcW w:w="1524" w:type="pct"/>
            <w:tcBorders>
              <w:top w:val="single" w:color="000000" w:sz="4" w:space="0"/>
              <w:left w:val="single" w:color="000000" w:sz="6" w:space="0"/>
              <w:bottom w:val="single" w:color="auto" w:sz="12"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rPr>
            </w:pPr>
            <w:r>
              <w:rPr>
                <w:rFonts w:hint="default"/>
                <w:color w:val="auto"/>
                <w:sz w:val="21"/>
                <w:szCs w:val="21"/>
              </w:rPr>
              <w:t>2.5~3.8</w:t>
            </w:r>
          </w:p>
        </w:tc>
        <w:tc>
          <w:tcPr>
            <w:tcW w:w="1541" w:type="pct"/>
            <w:tcBorders>
              <w:top w:val="single" w:color="000000" w:sz="4" w:space="0"/>
              <w:left w:val="single" w:color="000000" w:sz="6" w:space="0"/>
              <w:bottom w:val="single" w:color="auto" w:sz="12"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default"/>
                <w:color w:val="auto"/>
              </w:rPr>
            </w:pPr>
            <w:r>
              <w:rPr>
                <w:rFonts w:hint="default"/>
                <w:color w:val="auto"/>
                <w:sz w:val="21"/>
                <w:szCs w:val="21"/>
              </w:rPr>
              <w:t>哺乳母猪及后备母猪</w:t>
            </w:r>
          </w:p>
        </w:tc>
        <w:tc>
          <w:tcPr>
            <w:tcW w:w="966" w:type="pct"/>
            <w:tcBorders>
              <w:top w:val="single" w:color="000000" w:sz="4" w:space="0"/>
              <w:left w:val="single" w:color="000000" w:sz="6" w:space="0"/>
              <w:bottom w:val="single" w:color="auto" w:sz="12"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rPr>
            </w:pPr>
            <w:r>
              <w:rPr>
                <w:rFonts w:hint="default"/>
                <w:color w:val="auto"/>
                <w:sz w:val="21"/>
                <w:szCs w:val="21"/>
              </w:rPr>
              <w:t>18~23</w:t>
            </w:r>
          </w:p>
        </w:tc>
      </w:tr>
    </w:tbl>
    <w:p>
      <w:pPr>
        <w:wordWrap w:val="0"/>
        <w:ind w:firstLine="480"/>
        <w:rPr>
          <w:color w:val="auto"/>
        </w:rPr>
      </w:pPr>
      <w:r>
        <w:rPr>
          <w:rFonts w:hint="eastAsia"/>
          <w:color w:val="auto"/>
          <w:lang w:eastAsia="zh-CN"/>
        </w:rPr>
        <w:t>根据业主提供资料，结合当地实际，</w:t>
      </w:r>
      <w:r>
        <w:rPr>
          <w:color w:val="auto"/>
        </w:rPr>
        <w:t>本次评价用水量按各生长阶段的最大值</w:t>
      </w:r>
      <w:r>
        <w:rPr>
          <w:rFonts w:hint="eastAsia"/>
          <w:color w:val="auto"/>
          <w:lang w:eastAsia="zh-CN"/>
        </w:rPr>
        <w:t>的</w:t>
      </w:r>
      <w:r>
        <w:rPr>
          <w:rFonts w:hint="eastAsia"/>
          <w:color w:val="auto"/>
          <w:lang w:val="en-US" w:eastAsia="zh-CN"/>
        </w:rPr>
        <w:t>1.2倍</w:t>
      </w:r>
      <w:r>
        <w:rPr>
          <w:color w:val="auto"/>
        </w:rPr>
        <w:t>计算，则本项目猪只饮用水量见表3.</w:t>
      </w:r>
      <w:r>
        <w:rPr>
          <w:rFonts w:hint="eastAsia"/>
          <w:color w:val="auto"/>
          <w:lang w:val="en-US" w:eastAsia="zh-CN"/>
        </w:rPr>
        <w:t>2</w:t>
      </w:r>
      <w:r>
        <w:rPr>
          <w:color w:val="auto"/>
        </w:rPr>
        <w:t>-</w:t>
      </w:r>
      <w:r>
        <w:rPr>
          <w:rFonts w:hint="eastAsia"/>
          <w:color w:val="auto"/>
          <w:lang w:val="en-US" w:eastAsia="zh-CN"/>
        </w:rPr>
        <w:t>6</w:t>
      </w:r>
      <w:r>
        <w:rPr>
          <w:color w:val="auto"/>
        </w:rPr>
        <w:t>。</w:t>
      </w:r>
    </w:p>
    <w:p>
      <w:pPr>
        <w:pStyle w:val="2503"/>
        <w:numPr>
          <w:ilvl w:val="0"/>
          <w:numId w:val="19"/>
        </w:numPr>
        <w:spacing w:before="120"/>
        <w:ind w:left="0" w:leftChars="0" w:firstLine="403" w:firstLineChars="0"/>
        <w:rPr>
          <w:color w:val="auto"/>
        </w:rPr>
      </w:pPr>
      <w:r>
        <w:rPr>
          <w:rFonts w:hint="eastAsia" w:ascii="Times New Roman" w:hAnsi="Times New Roman" w:cs="Times New Roman"/>
          <w:color w:val="auto"/>
          <w:lang w:val="en-US" w:eastAsia="zh-CN"/>
        </w:rPr>
        <w:t xml:space="preserve">   </w:t>
      </w:r>
      <w:r>
        <w:rPr>
          <w:color w:val="auto"/>
        </w:rPr>
        <w:t>项目猪只饮用水量情况表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30"/>
        <w:gridCol w:w="952"/>
        <w:gridCol w:w="1482"/>
        <w:gridCol w:w="992"/>
        <w:gridCol w:w="2129"/>
        <w:gridCol w:w="161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54" w:type="pct"/>
            <w:gridSpan w:val="2"/>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892"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用水系数（L/d）</w:t>
            </w:r>
          </w:p>
        </w:tc>
        <w:tc>
          <w:tcPr>
            <w:tcW w:w="595" w:type="pct"/>
            <w:noWrap w:val="0"/>
            <w:vAlign w:val="center"/>
          </w:tcPr>
          <w:p>
            <w:pPr>
              <w:pStyle w:val="163"/>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周期</w:t>
            </w:r>
          </w:p>
        </w:tc>
        <w:tc>
          <w:tcPr>
            <w:tcW w:w="1281" w:type="pct"/>
            <w:noWrap w:val="0"/>
            <w:vAlign w:val="center"/>
          </w:tcPr>
          <w:p>
            <w:pPr>
              <w:pStyle w:val="163"/>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猪只数量（常年存栏）</w:t>
            </w:r>
          </w:p>
        </w:tc>
        <w:tc>
          <w:tcPr>
            <w:tcW w:w="974"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用水量（m</w:t>
            </w:r>
            <w:r>
              <w:rPr>
                <w:rFonts w:hint="default" w:ascii="Times New Roman" w:hAnsi="Times New Roman" w:eastAsia="宋体" w:cs="Times New Roman"/>
                <w:b/>
                <w:color w:val="auto"/>
                <w:position w:val="7"/>
                <w:sz w:val="21"/>
                <w:szCs w:val="21"/>
              </w:rPr>
              <w:t>3</w:t>
            </w:r>
            <w:r>
              <w:rPr>
                <w:rFonts w:hint="default" w:ascii="Times New Roman" w:hAnsi="Times New Roman" w:eastAsia="宋体" w:cs="Times New Roman"/>
                <w:b/>
                <w:color w:val="auto"/>
                <w:sz w:val="21"/>
                <w:szCs w:val="21"/>
              </w:rPr>
              <w: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81" w:type="pct"/>
            <w:vMerge w:val="restart"/>
            <w:noWrap w:val="0"/>
            <w:vAlign w:val="center"/>
          </w:tcPr>
          <w:p>
            <w:pPr>
              <w:pStyle w:val="163"/>
              <w:keepNext w:val="0"/>
              <w:keepLines w:val="0"/>
              <w:suppressLineNumbers w:val="0"/>
              <w:kinsoku w:val="0"/>
              <w:overflowPunct w:val="0"/>
              <w:spacing w:before="111" w:beforeAutospacing="0" w:after="0" w:afterAutospacing="0"/>
              <w:ind w:left="0" w:right="13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母猪分娩率9</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573" w:type="pct"/>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哺乳期</w:t>
            </w:r>
          </w:p>
        </w:tc>
        <w:tc>
          <w:tcPr>
            <w:tcW w:w="892"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27.6</w:t>
            </w:r>
          </w:p>
        </w:tc>
        <w:tc>
          <w:tcPr>
            <w:tcW w:w="595"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21d×2.</w:t>
            </w:r>
            <w:r>
              <w:rPr>
                <w:rFonts w:hint="default" w:ascii="Times New Roman" w:hAnsi="Times New Roman" w:eastAsia="宋体" w:cs="Times New Roman"/>
                <w:color w:val="auto"/>
                <w:sz w:val="21"/>
                <w:szCs w:val="21"/>
                <w:lang w:val="en-US" w:eastAsia="zh-CN"/>
              </w:rPr>
              <w:t>2</w:t>
            </w:r>
          </w:p>
        </w:tc>
        <w:tc>
          <w:tcPr>
            <w:tcW w:w="1281"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15862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92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14593</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18607.83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81" w:type="pct"/>
            <w:vMerge w:val="continue"/>
            <w:noWrap w:val="0"/>
            <w:vAlign w:val="center"/>
          </w:tcPr>
          <w:p>
            <w:pPr>
              <w:pStyle w:val="163"/>
              <w:keepNext w:val="0"/>
              <w:keepLines w:val="0"/>
              <w:suppressLineNumbers w:val="0"/>
              <w:kinsoku w:val="0"/>
              <w:overflowPunct w:val="0"/>
              <w:spacing w:before="14" w:beforeAutospacing="0" w:after="0" w:afterAutospacing="0"/>
              <w:ind w:left="619" w:right="0" w:firstLine="480"/>
              <w:jc w:val="center"/>
              <w:rPr>
                <w:rFonts w:hint="default" w:ascii="Times New Roman" w:hAnsi="Times New Roman" w:eastAsia="宋体" w:cs="Times New Roman"/>
                <w:color w:val="auto"/>
                <w:sz w:val="21"/>
                <w:szCs w:val="21"/>
              </w:rPr>
            </w:pPr>
          </w:p>
        </w:tc>
        <w:tc>
          <w:tcPr>
            <w:tcW w:w="573" w:type="pct"/>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妊娠期</w:t>
            </w:r>
          </w:p>
        </w:tc>
        <w:tc>
          <w:tcPr>
            <w:tcW w:w="892"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20.4</w:t>
            </w:r>
          </w:p>
        </w:tc>
        <w:tc>
          <w:tcPr>
            <w:tcW w:w="595"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114d×2.</w:t>
            </w:r>
            <w:r>
              <w:rPr>
                <w:rFonts w:hint="default" w:ascii="Times New Roman" w:hAnsi="Times New Roman" w:eastAsia="宋体" w:cs="Times New Roman"/>
                <w:color w:val="auto"/>
                <w:sz w:val="21"/>
                <w:szCs w:val="21"/>
                <w:lang w:val="en-US" w:eastAsia="zh-CN"/>
              </w:rPr>
              <w:t>2</w:t>
            </w:r>
          </w:p>
        </w:tc>
        <w:tc>
          <w:tcPr>
            <w:tcW w:w="1281" w:type="pct"/>
            <w:vMerge w:val="continue"/>
            <w:noWrap w:val="0"/>
            <w:vAlign w:val="center"/>
          </w:tcPr>
          <w:p>
            <w:pPr>
              <w:pStyle w:val="163"/>
              <w:keepNext w:val="0"/>
              <w:keepLines w:val="0"/>
              <w:suppressLineNumbers w:val="0"/>
              <w:kinsoku w:val="0"/>
              <w:overflowPunct w:val="0"/>
              <w:spacing w:before="14" w:beforeAutospacing="0" w:after="0" w:afterAutospacing="0"/>
              <w:ind w:left="424" w:right="0" w:firstLine="480"/>
              <w:jc w:val="center"/>
              <w:rPr>
                <w:rFonts w:hint="default" w:ascii="Times New Roman" w:hAnsi="Times New Roman" w:eastAsia="宋体" w:cs="Times New Roman"/>
                <w:color w:val="auto"/>
                <w:sz w:val="21"/>
                <w:szCs w:val="21"/>
              </w:rPr>
            </w:pP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74662.46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81" w:type="pct"/>
            <w:vMerge w:val="continue"/>
            <w:noWrap w:val="0"/>
            <w:vAlign w:val="center"/>
          </w:tcPr>
          <w:p>
            <w:pPr>
              <w:pStyle w:val="163"/>
              <w:keepNext w:val="0"/>
              <w:keepLines w:val="0"/>
              <w:suppressLineNumbers w:val="0"/>
              <w:kinsoku w:val="0"/>
              <w:overflowPunct w:val="0"/>
              <w:spacing w:before="14" w:beforeAutospacing="0" w:after="0" w:afterAutospacing="0"/>
              <w:ind w:left="563" w:right="0" w:firstLine="480"/>
              <w:jc w:val="center"/>
              <w:rPr>
                <w:rFonts w:hint="default" w:ascii="Times New Roman" w:hAnsi="Times New Roman" w:eastAsia="宋体" w:cs="Times New Roman"/>
                <w:color w:val="auto"/>
                <w:sz w:val="21"/>
                <w:szCs w:val="21"/>
              </w:rPr>
            </w:pPr>
          </w:p>
        </w:tc>
        <w:tc>
          <w:tcPr>
            <w:tcW w:w="573" w:type="pct"/>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空怀期</w:t>
            </w:r>
          </w:p>
        </w:tc>
        <w:tc>
          <w:tcPr>
            <w:tcW w:w="892" w:type="pct"/>
            <w:noWrap w:val="0"/>
            <w:vAlign w:val="center"/>
          </w:tcPr>
          <w:p>
            <w:pPr>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20.4</w:t>
            </w:r>
          </w:p>
        </w:tc>
        <w:tc>
          <w:tcPr>
            <w:tcW w:w="595" w:type="pc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10d×2.</w:t>
            </w:r>
            <w:r>
              <w:rPr>
                <w:rFonts w:hint="default" w:ascii="Times New Roman" w:hAnsi="Times New Roman" w:eastAsia="宋体" w:cs="Times New Roman"/>
                <w:color w:val="auto"/>
                <w:sz w:val="21"/>
                <w:szCs w:val="21"/>
                <w:lang w:val="en-US" w:eastAsia="zh-CN"/>
              </w:rPr>
              <w:t>2</w:t>
            </w:r>
          </w:p>
        </w:tc>
        <w:tc>
          <w:tcPr>
            <w:tcW w:w="1281" w:type="pct"/>
            <w:vMerge w:val="continue"/>
            <w:noWrap w:val="0"/>
            <w:vAlign w:val="center"/>
          </w:tcPr>
          <w:p>
            <w:pPr>
              <w:pStyle w:val="163"/>
              <w:keepNext w:val="0"/>
              <w:keepLines w:val="0"/>
              <w:suppressLineNumbers w:val="0"/>
              <w:kinsoku w:val="0"/>
              <w:overflowPunct w:val="0"/>
              <w:spacing w:before="15" w:beforeAutospacing="0" w:after="0" w:afterAutospacing="0"/>
              <w:ind w:left="472" w:right="0" w:firstLine="480"/>
              <w:jc w:val="center"/>
              <w:rPr>
                <w:rFonts w:hint="default" w:ascii="Times New Roman" w:hAnsi="Times New Roman" w:eastAsia="宋体" w:cs="Times New Roman"/>
                <w:color w:val="auto"/>
                <w:sz w:val="21"/>
                <w:szCs w:val="21"/>
              </w:rPr>
            </w:pP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6549.34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54" w:type="pct"/>
            <w:gridSpan w:val="2"/>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未分娩母猪</w:t>
            </w:r>
          </w:p>
        </w:tc>
        <w:tc>
          <w:tcPr>
            <w:tcW w:w="892"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20.4</w:t>
            </w:r>
          </w:p>
        </w:tc>
        <w:tc>
          <w:tcPr>
            <w:tcW w:w="595" w:type="pct"/>
            <w:noWrap w:val="0"/>
            <w:vAlign w:val="center"/>
          </w:tcPr>
          <w:p>
            <w:pPr>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20.4</w:t>
            </w:r>
          </w:p>
        </w:tc>
        <w:tc>
          <w:tcPr>
            <w:tcW w:w="1281"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15862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1269</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9448.97</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54" w:type="pct"/>
            <w:gridSpan w:val="2"/>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公猪</w:t>
            </w:r>
          </w:p>
        </w:tc>
        <w:tc>
          <w:tcPr>
            <w:tcW w:w="892"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20.4</w:t>
            </w:r>
          </w:p>
        </w:tc>
        <w:tc>
          <w:tcPr>
            <w:tcW w:w="595" w:type="pct"/>
            <w:noWrap w:val="0"/>
            <w:vAlign w:val="center"/>
          </w:tcPr>
          <w:p>
            <w:pPr>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20.4</w:t>
            </w:r>
          </w:p>
        </w:tc>
        <w:tc>
          <w:tcPr>
            <w:tcW w:w="1281"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819.06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54" w:type="pct"/>
            <w:gridSpan w:val="2"/>
            <w:noWrap w:val="0"/>
            <w:vAlign w:val="center"/>
          </w:tcPr>
          <w:p>
            <w:pPr>
              <w:pStyle w:val="163"/>
              <w:keepNext w:val="0"/>
              <w:keepLines w:val="0"/>
              <w:suppressLineNumbers w:val="0"/>
              <w:kinsoku w:val="0"/>
              <w:overflowPunct w:val="0"/>
              <w:spacing w:before="0" w:beforeAutospacing="0" w:after="0" w:afterAutospacing="0" w:line="242"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仔猪</w:t>
            </w:r>
          </w:p>
        </w:tc>
        <w:tc>
          <w:tcPr>
            <w:tcW w:w="892" w:type="pct"/>
            <w:noWrap w:val="0"/>
            <w:vAlign w:val="center"/>
          </w:tcPr>
          <w:p>
            <w:pPr>
              <w:pStyle w:val="163"/>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c>
          <w:tcPr>
            <w:tcW w:w="595" w:type="pct"/>
            <w:noWrap w:val="0"/>
            <w:vAlign w:val="center"/>
          </w:tcPr>
          <w:p>
            <w:pPr>
              <w:pStyle w:val="163"/>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21d×17.38</w:t>
            </w:r>
          </w:p>
        </w:tc>
        <w:tc>
          <w:tcPr>
            <w:tcW w:w="1281" w:type="pct"/>
            <w:noWrap w:val="0"/>
            <w:vAlign w:val="center"/>
          </w:tcPr>
          <w:p>
            <w:pPr>
              <w:pStyle w:val="163"/>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17980</w:t>
            </w:r>
            <w:r>
              <w:rPr>
                <w:rFonts w:hint="eastAsia" w:ascii="Times New Roman" w:hAnsi="Times New Roman" w:cs="Times New Roman"/>
                <w:color w:val="auto"/>
                <w:sz w:val="21"/>
                <w:szCs w:val="21"/>
                <w:lang w:val="en-US" w:eastAsia="zh-CN"/>
              </w:rPr>
              <w:t>（折合为成年猪约1169头）</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19687.02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743" w:type="pct"/>
            <w:gridSpan w:val="4"/>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合计（折合为成年猪）</w:t>
            </w:r>
          </w:p>
        </w:tc>
        <w:tc>
          <w:tcPr>
            <w:tcW w:w="1281"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17141</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129774.68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4025" w:type="pct"/>
            <w:gridSpan w:val="5"/>
            <w:noWrap w:val="0"/>
            <w:vAlign w:val="center"/>
          </w:tcPr>
          <w:p>
            <w:pPr>
              <w:pStyle w:val="163"/>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折算为每天用量</w:t>
            </w:r>
          </w:p>
        </w:tc>
        <w:tc>
          <w:tcPr>
            <w:tcW w:w="974" w:type="pc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355.55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position w:val="7"/>
                <w:sz w:val="21"/>
                <w:szCs w:val="21"/>
              </w:rPr>
              <w:t>3</w:t>
            </w:r>
            <w:r>
              <w:rPr>
                <w:rFonts w:hint="default" w:ascii="Times New Roman" w:hAnsi="Times New Roman" w:eastAsia="宋体" w:cs="Times New Roman"/>
                <w:color w:val="auto"/>
                <w:sz w:val="21"/>
                <w:szCs w:val="21"/>
              </w:rPr>
              <w:t>/d</w:t>
            </w:r>
          </w:p>
        </w:tc>
      </w:tr>
    </w:tbl>
    <w:p>
      <w:pPr>
        <w:pStyle w:val="36"/>
        <w:kinsoku w:val="0"/>
        <w:overflowPunct w:val="0"/>
        <w:spacing w:line="255" w:lineRule="exact"/>
        <w:ind w:right="236" w:firstLine="0" w:firstLineChars="0"/>
        <w:rPr>
          <w:rFonts w:ascii="Times New Roman" w:hAnsi="Times New Roman" w:eastAsia="黑体"/>
          <w:color w:val="auto"/>
          <w:sz w:val="21"/>
          <w:szCs w:val="21"/>
        </w:rPr>
      </w:pPr>
      <w:r>
        <w:rPr>
          <w:rFonts w:ascii="Times New Roman" w:hAnsi="Times New Roman" w:eastAsia="黑体"/>
          <w:color w:val="auto"/>
          <w:sz w:val="21"/>
          <w:szCs w:val="21"/>
        </w:rPr>
        <w:t>注：猪用水量为猪只饮用水；以上系数参照《养猪生产》（中国农业出版社.刘海良译）。</w:t>
      </w:r>
    </w:p>
    <w:p>
      <w:pPr>
        <w:pStyle w:val="23"/>
        <w:spacing w:line="440" w:lineRule="exact"/>
        <w:ind w:firstLine="480"/>
        <w:rPr>
          <w:rFonts w:ascii="Times New Roman" w:hAnsi="Times New Roman"/>
          <w:color w:val="auto"/>
          <w:sz w:val="24"/>
          <w:szCs w:val="24"/>
        </w:rPr>
      </w:pPr>
      <w:r>
        <w:rPr>
          <w:rFonts w:ascii="Times New Roman" w:hAnsi="Times New Roman"/>
          <w:color w:val="auto"/>
          <w:sz w:val="24"/>
          <w:szCs w:val="24"/>
        </w:rPr>
        <w:t>由表3.</w:t>
      </w:r>
      <w:r>
        <w:rPr>
          <w:rFonts w:hint="eastAsia" w:ascii="Times New Roman" w:hAnsi="Times New Roman"/>
          <w:color w:val="auto"/>
          <w:sz w:val="24"/>
          <w:szCs w:val="24"/>
          <w:lang w:val="en-US" w:eastAsia="zh-CN"/>
        </w:rPr>
        <w:t>2</w:t>
      </w:r>
      <w:r>
        <w:rPr>
          <w:rFonts w:ascii="Times New Roman" w:hAnsi="Times New Roman"/>
          <w:color w:val="auto"/>
          <w:sz w:val="24"/>
          <w:szCs w:val="24"/>
        </w:rPr>
        <w:t>-</w:t>
      </w:r>
      <w:r>
        <w:rPr>
          <w:rFonts w:hint="eastAsia" w:ascii="Times New Roman" w:hAnsi="Times New Roman"/>
          <w:color w:val="auto"/>
          <w:sz w:val="24"/>
          <w:szCs w:val="24"/>
          <w:lang w:val="en-US" w:eastAsia="zh-CN"/>
        </w:rPr>
        <w:t>6</w:t>
      </w:r>
      <w:r>
        <w:rPr>
          <w:rFonts w:ascii="Times New Roman" w:hAnsi="Times New Roman"/>
          <w:color w:val="auto"/>
          <w:sz w:val="24"/>
          <w:szCs w:val="24"/>
        </w:rPr>
        <w:t>可知，本项目猪只饮用水水量为</w:t>
      </w:r>
      <w:r>
        <w:rPr>
          <w:rFonts w:hint="eastAsia"/>
          <w:color w:val="auto"/>
          <w:sz w:val="24"/>
          <w:szCs w:val="24"/>
          <w:lang w:val="en-US" w:eastAsia="zh-CN"/>
        </w:rPr>
        <w:t>129774.68</w:t>
      </w:r>
      <w:r>
        <w:rPr>
          <w:rFonts w:ascii="Times New Roman" w:hAnsi="Times New Roman"/>
          <w:color w:val="auto"/>
          <w:sz w:val="24"/>
          <w:szCs w:val="24"/>
        </w:rPr>
        <w:t>m</w:t>
      </w:r>
      <w:r>
        <w:rPr>
          <w:rFonts w:ascii="Times New Roman" w:hAnsi="Times New Roman"/>
          <w:color w:val="auto"/>
          <w:sz w:val="24"/>
          <w:szCs w:val="24"/>
          <w:vertAlign w:val="superscript"/>
        </w:rPr>
        <w:t>3</w:t>
      </w:r>
      <w:r>
        <w:rPr>
          <w:rFonts w:ascii="Times New Roman" w:hAnsi="Times New Roman"/>
          <w:color w:val="auto"/>
          <w:sz w:val="24"/>
          <w:szCs w:val="24"/>
        </w:rPr>
        <w:t>/a，折算为每天用水量为</w:t>
      </w:r>
      <w:r>
        <w:rPr>
          <w:rFonts w:hint="eastAsia"/>
          <w:color w:val="auto"/>
          <w:sz w:val="24"/>
          <w:szCs w:val="24"/>
          <w:lang w:val="en-US" w:eastAsia="zh-CN"/>
        </w:rPr>
        <w:t>355.55</w:t>
      </w:r>
      <w:r>
        <w:rPr>
          <w:rFonts w:ascii="Times New Roman" w:hAnsi="Times New Roman"/>
          <w:color w:val="auto"/>
          <w:sz w:val="24"/>
          <w:szCs w:val="24"/>
        </w:rPr>
        <w:t>m</w:t>
      </w:r>
      <w:r>
        <w:rPr>
          <w:rFonts w:ascii="Times New Roman" w:hAnsi="Times New Roman"/>
          <w:color w:val="auto"/>
          <w:sz w:val="24"/>
          <w:szCs w:val="24"/>
          <w:vertAlign w:val="superscript"/>
        </w:rPr>
        <w:t>3</w:t>
      </w:r>
      <w:r>
        <w:rPr>
          <w:rFonts w:ascii="Times New Roman" w:hAnsi="Times New Roman"/>
          <w:color w:val="auto"/>
          <w:sz w:val="24"/>
          <w:szCs w:val="24"/>
        </w:rPr>
        <w:t>/d。</w:t>
      </w:r>
    </w:p>
    <w:p>
      <w:pPr>
        <w:pStyle w:val="23"/>
        <w:spacing w:line="440" w:lineRule="exact"/>
        <w:ind w:firstLine="480"/>
        <w:rPr>
          <w:rFonts w:ascii="Times New Roman" w:hAnsi="Times New Roman"/>
          <w:color w:val="auto"/>
          <w:sz w:val="24"/>
          <w:szCs w:val="24"/>
        </w:rPr>
      </w:pPr>
      <w:r>
        <w:rPr>
          <w:rFonts w:ascii="Times New Roman" w:hAnsi="Times New Roman"/>
          <w:color w:val="auto"/>
          <w:sz w:val="24"/>
          <w:szCs w:val="24"/>
        </w:rPr>
        <w:t>猪尿与猪的品种、性别、生长期、饲料甚至天气等诸多因素有关，但一般波动不会太大。根据有关资料，一般猪的排尿量与饮水量的关系如下公式：</w:t>
      </w:r>
    </w:p>
    <w:p>
      <w:pPr>
        <w:pStyle w:val="23"/>
        <w:ind w:firstLine="0" w:firstLineChars="0"/>
        <w:jc w:val="center"/>
        <w:rPr>
          <w:rFonts w:ascii="Times New Roman" w:hAnsi="Times New Roman"/>
          <w:i/>
          <w:iCs/>
          <w:color w:val="auto"/>
          <w:sz w:val="24"/>
          <w:szCs w:val="24"/>
        </w:rPr>
      </w:pPr>
      <w:r>
        <w:rPr>
          <w:rFonts w:ascii="Times New Roman" w:hAnsi="Times New Roman"/>
          <w:i/>
          <w:iCs/>
          <w:color w:val="auto"/>
          <w:sz w:val="24"/>
          <w:szCs w:val="24"/>
        </w:rPr>
        <w:t>Yu</w:t>
      </w:r>
      <w:r>
        <w:rPr>
          <w:rFonts w:ascii="Times New Roman" w:hAnsi="Times New Roman"/>
          <w:color w:val="auto"/>
          <w:sz w:val="24"/>
          <w:szCs w:val="24"/>
        </w:rPr>
        <w:t>=0.025+0.438</w:t>
      </w:r>
      <w:r>
        <w:rPr>
          <w:rFonts w:ascii="Times New Roman" w:hAnsi="Times New Roman"/>
          <w:i/>
          <w:iCs/>
          <w:color w:val="auto"/>
          <w:sz w:val="24"/>
          <w:szCs w:val="24"/>
        </w:rPr>
        <w:t>W</w:t>
      </w:r>
    </w:p>
    <w:p>
      <w:pPr>
        <w:pStyle w:val="23"/>
        <w:spacing w:line="440" w:lineRule="exact"/>
        <w:ind w:firstLine="480"/>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i/>
          <w:iCs/>
          <w:color w:val="auto"/>
          <w:sz w:val="24"/>
          <w:szCs w:val="24"/>
        </w:rPr>
        <w:t xml:space="preserve">Yu </w:t>
      </w:r>
      <w:r>
        <w:rPr>
          <w:rFonts w:ascii="Times New Roman" w:hAnsi="Times New Roman"/>
          <w:color w:val="auto"/>
          <w:sz w:val="24"/>
          <w:szCs w:val="24"/>
        </w:rPr>
        <w:t>——排尿量，kg；</w:t>
      </w:r>
      <w:r>
        <w:rPr>
          <w:rFonts w:ascii="Times New Roman" w:hAnsi="Times New Roman"/>
          <w:i/>
          <w:iCs/>
          <w:color w:val="auto"/>
          <w:sz w:val="24"/>
          <w:szCs w:val="24"/>
        </w:rPr>
        <w:t>W</w:t>
      </w:r>
      <w:r>
        <w:rPr>
          <w:rFonts w:ascii="Times New Roman" w:hAnsi="Times New Roman"/>
          <w:color w:val="auto"/>
          <w:sz w:val="24"/>
          <w:szCs w:val="24"/>
        </w:rPr>
        <w:t xml:space="preserve">——饮水量，kg。 </w:t>
      </w:r>
    </w:p>
    <w:p>
      <w:pPr>
        <w:pStyle w:val="23"/>
        <w:spacing w:line="440" w:lineRule="exact"/>
        <w:ind w:firstLine="480"/>
        <w:rPr>
          <w:rFonts w:ascii="Times New Roman" w:hAnsi="Times New Roman"/>
          <w:color w:val="auto"/>
          <w:sz w:val="24"/>
          <w:szCs w:val="24"/>
        </w:rPr>
      </w:pPr>
      <w:r>
        <w:rPr>
          <w:rFonts w:ascii="Times New Roman" w:hAnsi="Times New Roman"/>
          <w:color w:val="auto"/>
          <w:sz w:val="24"/>
          <w:szCs w:val="24"/>
        </w:rPr>
        <w:t>经计算，本项目哺乳期种猪排尿量为</w:t>
      </w:r>
      <w:r>
        <w:rPr>
          <w:rFonts w:hint="eastAsia"/>
          <w:color w:val="auto"/>
          <w:sz w:val="24"/>
          <w:szCs w:val="24"/>
          <w:lang w:val="en-US" w:eastAsia="zh-CN"/>
        </w:rPr>
        <w:t>12.12</w:t>
      </w:r>
      <w:r>
        <w:rPr>
          <w:rFonts w:ascii="Times New Roman" w:hAnsi="Times New Roman"/>
          <w:color w:val="auto"/>
          <w:sz w:val="24"/>
          <w:szCs w:val="24"/>
        </w:rPr>
        <w:t>L/头·d，妊娠期、空怀期种猪及公猪排尿量</w:t>
      </w:r>
      <w:r>
        <w:rPr>
          <w:rFonts w:hint="eastAsia"/>
          <w:color w:val="auto"/>
          <w:sz w:val="24"/>
          <w:szCs w:val="24"/>
          <w:lang w:val="en-US" w:eastAsia="zh-CN"/>
        </w:rPr>
        <w:t>9</w:t>
      </w:r>
      <w:r>
        <w:rPr>
          <w:rFonts w:ascii="Times New Roman" w:hAnsi="Times New Roman"/>
          <w:color w:val="auto"/>
          <w:sz w:val="24"/>
          <w:szCs w:val="24"/>
        </w:rPr>
        <w:t>L/头·d，仔猪排尿量</w:t>
      </w:r>
      <w:r>
        <w:rPr>
          <w:rFonts w:hint="eastAsia"/>
          <w:color w:val="auto"/>
          <w:sz w:val="24"/>
          <w:szCs w:val="24"/>
          <w:lang w:val="en-US" w:eastAsia="zh-CN"/>
        </w:rPr>
        <w:t>1.34</w:t>
      </w:r>
      <w:r>
        <w:rPr>
          <w:rFonts w:ascii="Times New Roman" w:hAnsi="Times New Roman"/>
          <w:color w:val="auto"/>
          <w:sz w:val="24"/>
          <w:szCs w:val="24"/>
        </w:rPr>
        <w:t>L/头·d。</w:t>
      </w:r>
    </w:p>
    <w:p>
      <w:pPr>
        <w:wordWrap w:val="0"/>
        <w:ind w:firstLine="480"/>
        <w:rPr>
          <w:color w:val="auto"/>
          <w:sz w:val="24"/>
          <w:szCs w:val="24"/>
        </w:rPr>
      </w:pPr>
      <w:r>
        <w:rPr>
          <w:color w:val="auto"/>
          <w:sz w:val="24"/>
          <w:szCs w:val="24"/>
        </w:rPr>
        <w:t>本次评价用水量按各生长阶段的最大值</w:t>
      </w:r>
      <w:r>
        <w:rPr>
          <w:rFonts w:hint="eastAsia"/>
          <w:color w:val="auto"/>
          <w:sz w:val="24"/>
          <w:szCs w:val="24"/>
          <w:lang w:eastAsia="zh-CN"/>
        </w:rPr>
        <w:t>的</w:t>
      </w:r>
      <w:r>
        <w:rPr>
          <w:rFonts w:hint="eastAsia"/>
          <w:color w:val="auto"/>
          <w:sz w:val="24"/>
          <w:szCs w:val="24"/>
          <w:lang w:val="en-US" w:eastAsia="zh-CN"/>
        </w:rPr>
        <w:t>1.2倍</w:t>
      </w:r>
      <w:r>
        <w:rPr>
          <w:color w:val="auto"/>
          <w:sz w:val="24"/>
          <w:szCs w:val="24"/>
        </w:rPr>
        <w:t>计算，则本项目猪只排尿量见表3.</w:t>
      </w:r>
      <w:r>
        <w:rPr>
          <w:rFonts w:hint="eastAsia"/>
          <w:color w:val="auto"/>
          <w:sz w:val="24"/>
          <w:szCs w:val="24"/>
          <w:lang w:val="en-US" w:eastAsia="zh-CN"/>
        </w:rPr>
        <w:t>2</w:t>
      </w:r>
      <w:r>
        <w:rPr>
          <w:color w:val="auto"/>
          <w:sz w:val="24"/>
          <w:szCs w:val="24"/>
        </w:rPr>
        <w:t>-</w:t>
      </w:r>
      <w:r>
        <w:rPr>
          <w:rFonts w:hint="eastAsia"/>
          <w:color w:val="auto"/>
          <w:sz w:val="24"/>
          <w:szCs w:val="24"/>
          <w:lang w:val="en-US" w:eastAsia="zh-CN"/>
        </w:rPr>
        <w:t>8</w:t>
      </w:r>
      <w:r>
        <w:rPr>
          <w:color w:val="auto"/>
          <w:sz w:val="24"/>
          <w:szCs w:val="24"/>
        </w:rPr>
        <w:t>。</w:t>
      </w:r>
    </w:p>
    <w:p>
      <w:pPr>
        <w:pStyle w:val="2503"/>
        <w:numPr>
          <w:ilvl w:val="0"/>
          <w:numId w:val="19"/>
        </w:numPr>
        <w:spacing w:before="120"/>
        <w:ind w:left="0" w:leftChars="0" w:firstLine="403"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项目猪只排尿量情况表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32"/>
        <w:gridCol w:w="952"/>
        <w:gridCol w:w="1482"/>
        <w:gridCol w:w="990"/>
        <w:gridCol w:w="2129"/>
        <w:gridCol w:w="161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55" w:type="pct"/>
            <w:gridSpan w:val="2"/>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892"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排尿系数（L/d）</w:t>
            </w:r>
          </w:p>
        </w:tc>
        <w:tc>
          <w:tcPr>
            <w:tcW w:w="595" w:type="pct"/>
            <w:noWrap w:val="0"/>
            <w:vAlign w:val="center"/>
          </w:tcPr>
          <w:p>
            <w:pPr>
              <w:pStyle w:val="163"/>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周期</w:t>
            </w:r>
          </w:p>
        </w:tc>
        <w:tc>
          <w:tcPr>
            <w:tcW w:w="1281" w:type="pct"/>
            <w:noWrap w:val="0"/>
            <w:vAlign w:val="center"/>
          </w:tcPr>
          <w:p>
            <w:pPr>
              <w:pStyle w:val="163"/>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猪只数量（常年存栏）</w:t>
            </w:r>
          </w:p>
        </w:tc>
        <w:tc>
          <w:tcPr>
            <w:tcW w:w="974"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排尿量（m</w:t>
            </w:r>
            <w:r>
              <w:rPr>
                <w:rFonts w:hint="default" w:ascii="Times New Roman" w:hAnsi="Times New Roman" w:eastAsia="宋体" w:cs="Times New Roman"/>
                <w:b/>
                <w:color w:val="auto"/>
                <w:position w:val="7"/>
                <w:sz w:val="21"/>
                <w:szCs w:val="21"/>
              </w:rPr>
              <w:t>3</w:t>
            </w:r>
            <w:r>
              <w:rPr>
                <w:rFonts w:hint="default" w:ascii="Times New Roman" w:hAnsi="Times New Roman" w:eastAsia="宋体" w:cs="Times New Roman"/>
                <w:b/>
                <w:color w:val="auto"/>
                <w:sz w:val="21"/>
                <w:szCs w:val="21"/>
              </w:rPr>
              <w: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82" w:type="pct"/>
            <w:vMerge w:val="restart"/>
            <w:noWrap w:val="0"/>
            <w:vAlign w:val="center"/>
          </w:tcPr>
          <w:p>
            <w:pPr>
              <w:pStyle w:val="163"/>
              <w:keepNext w:val="0"/>
              <w:keepLines w:val="0"/>
              <w:suppressLineNumbers w:val="0"/>
              <w:kinsoku w:val="0"/>
              <w:overflowPunct w:val="0"/>
              <w:spacing w:before="111" w:beforeAutospacing="0" w:after="0" w:afterAutospacing="0"/>
              <w:ind w:left="0" w:right="13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母猪分娩率9</w:t>
            </w: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573" w:type="pct"/>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哺乳期</w:t>
            </w:r>
          </w:p>
        </w:tc>
        <w:tc>
          <w:tcPr>
            <w:tcW w:w="892"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12.12</w:t>
            </w:r>
          </w:p>
        </w:tc>
        <w:tc>
          <w:tcPr>
            <w:tcW w:w="595"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21d×2.</w:t>
            </w:r>
            <w:r>
              <w:rPr>
                <w:rFonts w:hint="default" w:ascii="Times New Roman" w:hAnsi="Times New Roman" w:eastAsia="宋体" w:cs="Times New Roman"/>
                <w:color w:val="auto"/>
                <w:sz w:val="21"/>
                <w:szCs w:val="21"/>
                <w:lang w:val="en-US" w:eastAsia="zh-CN"/>
              </w:rPr>
              <w:t>2</w:t>
            </w:r>
          </w:p>
        </w:tc>
        <w:tc>
          <w:tcPr>
            <w:tcW w:w="1281"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15862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92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14593</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8171.26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82" w:type="pct"/>
            <w:vMerge w:val="continue"/>
            <w:noWrap w:val="0"/>
            <w:vAlign w:val="center"/>
          </w:tcPr>
          <w:p>
            <w:pPr>
              <w:pStyle w:val="163"/>
              <w:keepNext w:val="0"/>
              <w:keepLines w:val="0"/>
              <w:suppressLineNumbers w:val="0"/>
              <w:kinsoku w:val="0"/>
              <w:overflowPunct w:val="0"/>
              <w:spacing w:before="14" w:beforeAutospacing="0" w:after="0" w:afterAutospacing="0"/>
              <w:ind w:left="619" w:right="0" w:firstLine="480"/>
              <w:jc w:val="center"/>
              <w:rPr>
                <w:rFonts w:hint="default" w:ascii="Times New Roman" w:hAnsi="Times New Roman" w:eastAsia="宋体" w:cs="Times New Roman"/>
                <w:color w:val="auto"/>
                <w:sz w:val="21"/>
                <w:szCs w:val="21"/>
              </w:rPr>
            </w:pPr>
          </w:p>
        </w:tc>
        <w:tc>
          <w:tcPr>
            <w:tcW w:w="573" w:type="pct"/>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妊娠期</w:t>
            </w:r>
          </w:p>
        </w:tc>
        <w:tc>
          <w:tcPr>
            <w:tcW w:w="892"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9</w:t>
            </w:r>
          </w:p>
        </w:tc>
        <w:tc>
          <w:tcPr>
            <w:tcW w:w="595"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114d×2.</w:t>
            </w:r>
            <w:r>
              <w:rPr>
                <w:rFonts w:hint="default" w:ascii="Times New Roman" w:hAnsi="Times New Roman" w:eastAsia="宋体" w:cs="Times New Roman"/>
                <w:color w:val="auto"/>
                <w:sz w:val="21"/>
                <w:szCs w:val="21"/>
                <w:lang w:val="en-US" w:eastAsia="zh-CN"/>
              </w:rPr>
              <w:t>2</w:t>
            </w:r>
          </w:p>
        </w:tc>
        <w:tc>
          <w:tcPr>
            <w:tcW w:w="1281" w:type="pct"/>
            <w:vMerge w:val="continue"/>
            <w:noWrap w:val="0"/>
            <w:vAlign w:val="center"/>
          </w:tcPr>
          <w:p>
            <w:pPr>
              <w:pStyle w:val="163"/>
              <w:keepNext w:val="0"/>
              <w:keepLines w:val="0"/>
              <w:suppressLineNumbers w:val="0"/>
              <w:kinsoku w:val="0"/>
              <w:overflowPunct w:val="0"/>
              <w:spacing w:before="14" w:beforeAutospacing="0" w:after="0" w:afterAutospacing="0"/>
              <w:ind w:left="424" w:leftChars="0" w:right="0" w:firstLine="480" w:firstLineChars="0"/>
              <w:jc w:val="center"/>
              <w:rPr>
                <w:rFonts w:hint="default" w:ascii="Times New Roman" w:hAnsi="Times New Roman" w:eastAsia="宋体" w:cs="Times New Roman"/>
                <w:color w:val="auto"/>
                <w:sz w:val="21"/>
                <w:szCs w:val="21"/>
              </w:rPr>
            </w:pP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32939.32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82" w:type="pct"/>
            <w:vMerge w:val="continue"/>
            <w:noWrap w:val="0"/>
            <w:vAlign w:val="center"/>
          </w:tcPr>
          <w:p>
            <w:pPr>
              <w:pStyle w:val="163"/>
              <w:keepNext w:val="0"/>
              <w:keepLines w:val="0"/>
              <w:suppressLineNumbers w:val="0"/>
              <w:kinsoku w:val="0"/>
              <w:overflowPunct w:val="0"/>
              <w:spacing w:before="14" w:beforeAutospacing="0" w:after="0" w:afterAutospacing="0"/>
              <w:ind w:left="563" w:right="0" w:firstLine="480"/>
              <w:jc w:val="center"/>
              <w:rPr>
                <w:rFonts w:hint="default" w:ascii="Times New Roman" w:hAnsi="Times New Roman" w:eastAsia="宋体" w:cs="Times New Roman"/>
                <w:color w:val="auto"/>
                <w:sz w:val="21"/>
                <w:szCs w:val="21"/>
              </w:rPr>
            </w:pPr>
          </w:p>
        </w:tc>
        <w:tc>
          <w:tcPr>
            <w:tcW w:w="573" w:type="pct"/>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空怀期</w:t>
            </w:r>
          </w:p>
        </w:tc>
        <w:tc>
          <w:tcPr>
            <w:tcW w:w="892" w:type="pc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595" w:type="pc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10d×2.</w:t>
            </w:r>
            <w:r>
              <w:rPr>
                <w:rFonts w:hint="default" w:ascii="Times New Roman" w:hAnsi="Times New Roman" w:eastAsia="宋体" w:cs="Times New Roman"/>
                <w:color w:val="auto"/>
                <w:sz w:val="21"/>
                <w:szCs w:val="21"/>
                <w:lang w:val="en-US" w:eastAsia="zh-CN"/>
              </w:rPr>
              <w:t>2</w:t>
            </w:r>
          </w:p>
        </w:tc>
        <w:tc>
          <w:tcPr>
            <w:tcW w:w="1281" w:type="pct"/>
            <w:vMerge w:val="continue"/>
            <w:noWrap w:val="0"/>
            <w:vAlign w:val="center"/>
          </w:tcPr>
          <w:p>
            <w:pPr>
              <w:pStyle w:val="163"/>
              <w:keepNext w:val="0"/>
              <w:keepLines w:val="0"/>
              <w:suppressLineNumbers w:val="0"/>
              <w:kinsoku w:val="0"/>
              <w:overflowPunct w:val="0"/>
              <w:spacing w:before="15" w:beforeAutospacing="0" w:after="0" w:afterAutospacing="0"/>
              <w:ind w:left="472" w:leftChars="0" w:right="0" w:firstLine="480" w:firstLineChars="0"/>
              <w:jc w:val="center"/>
              <w:rPr>
                <w:rFonts w:hint="default" w:ascii="Times New Roman" w:hAnsi="Times New Roman" w:eastAsia="宋体" w:cs="Times New Roman"/>
                <w:color w:val="auto"/>
                <w:sz w:val="21"/>
                <w:szCs w:val="21"/>
              </w:rPr>
            </w:pP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2889.41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55" w:type="pct"/>
            <w:gridSpan w:val="2"/>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未分娩母猪</w:t>
            </w:r>
          </w:p>
        </w:tc>
        <w:tc>
          <w:tcPr>
            <w:tcW w:w="892"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9</w:t>
            </w:r>
          </w:p>
        </w:tc>
        <w:tc>
          <w:tcPr>
            <w:tcW w:w="595"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365d</w:t>
            </w:r>
          </w:p>
        </w:tc>
        <w:tc>
          <w:tcPr>
            <w:tcW w:w="1281"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15862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1269</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4168.67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55" w:type="pct"/>
            <w:gridSpan w:val="2"/>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公猪</w:t>
            </w:r>
          </w:p>
        </w:tc>
        <w:tc>
          <w:tcPr>
            <w:tcW w:w="892"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9</w:t>
            </w:r>
          </w:p>
        </w:tc>
        <w:tc>
          <w:tcPr>
            <w:tcW w:w="595"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365d</w:t>
            </w:r>
          </w:p>
        </w:tc>
        <w:tc>
          <w:tcPr>
            <w:tcW w:w="1281"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110</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361.35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55" w:type="pct"/>
            <w:gridSpan w:val="2"/>
            <w:noWrap w:val="0"/>
            <w:vAlign w:val="center"/>
          </w:tcPr>
          <w:p>
            <w:pPr>
              <w:pStyle w:val="163"/>
              <w:keepNext w:val="0"/>
              <w:keepLines w:val="0"/>
              <w:suppressLineNumbers w:val="0"/>
              <w:kinsoku w:val="0"/>
              <w:overflowPunct w:val="0"/>
              <w:spacing w:before="0" w:beforeAutospacing="0" w:after="0" w:afterAutospacing="0" w:line="242"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仔猪</w:t>
            </w:r>
          </w:p>
        </w:tc>
        <w:tc>
          <w:tcPr>
            <w:tcW w:w="892" w:type="pct"/>
            <w:noWrap w:val="0"/>
            <w:vAlign w:val="center"/>
          </w:tcPr>
          <w:p>
            <w:pPr>
              <w:pStyle w:val="163"/>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1.34</w:t>
            </w:r>
          </w:p>
        </w:tc>
        <w:tc>
          <w:tcPr>
            <w:tcW w:w="595" w:type="pct"/>
            <w:noWrap w:val="0"/>
            <w:vAlign w:val="center"/>
          </w:tcPr>
          <w:p>
            <w:pPr>
              <w:pStyle w:val="163"/>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21d×17.38</w:t>
            </w:r>
          </w:p>
        </w:tc>
        <w:tc>
          <w:tcPr>
            <w:tcW w:w="1281" w:type="pct"/>
            <w:noWrap w:val="0"/>
            <w:vAlign w:val="center"/>
          </w:tcPr>
          <w:p>
            <w:pPr>
              <w:pStyle w:val="163"/>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17980</w:t>
            </w:r>
            <w:r>
              <w:rPr>
                <w:rFonts w:hint="eastAsia" w:ascii="Times New Roman" w:hAnsi="Times New Roman" w:cs="Times New Roman"/>
                <w:color w:val="auto"/>
                <w:sz w:val="21"/>
                <w:szCs w:val="21"/>
                <w:lang w:val="en-US" w:eastAsia="zh-CN"/>
              </w:rPr>
              <w:t>（折合为成年猪约1169头）</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8793.54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743" w:type="pct"/>
            <w:gridSpan w:val="4"/>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合计（折合为成年猪）</w:t>
            </w:r>
          </w:p>
        </w:tc>
        <w:tc>
          <w:tcPr>
            <w:tcW w:w="1281"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17141</w:t>
            </w:r>
          </w:p>
        </w:tc>
        <w:tc>
          <w:tcPr>
            <w:tcW w:w="1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57323.55 </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4025" w:type="pct"/>
            <w:gridSpan w:val="5"/>
            <w:noWrap w:val="0"/>
            <w:vAlign w:val="center"/>
          </w:tcPr>
          <w:p>
            <w:pPr>
              <w:pStyle w:val="163"/>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折算为每天用量</w:t>
            </w:r>
          </w:p>
        </w:tc>
        <w:tc>
          <w:tcPr>
            <w:tcW w:w="974" w:type="pc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157.05</w:t>
            </w:r>
            <w:r>
              <w:rPr>
                <w:rFonts w:hint="default" w:ascii="Times New Roman" w:hAnsi="Times New Roman" w:eastAsia="宋体" w:cs="Times New Roman"/>
                <w:color w:val="auto"/>
                <w:sz w:val="21"/>
                <w:szCs w:val="21"/>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/d</w:t>
            </w:r>
          </w:p>
        </w:tc>
      </w:tr>
    </w:tbl>
    <w:p>
      <w:pPr>
        <w:pStyle w:val="23"/>
        <w:spacing w:line="440" w:lineRule="exact"/>
        <w:ind w:firstLine="480"/>
        <w:rPr>
          <w:rFonts w:ascii="Times New Roman" w:hAnsi="Times New Roman"/>
          <w:color w:val="auto"/>
        </w:rPr>
      </w:pPr>
      <w:r>
        <w:rPr>
          <w:rFonts w:ascii="Times New Roman" w:hAnsi="Times New Roman"/>
          <w:color w:val="auto"/>
        </w:rPr>
        <w:t>由表3.5-3可知，本项目猪只排尿量为</w:t>
      </w:r>
      <w:r>
        <w:rPr>
          <w:rFonts w:hint="eastAsia"/>
          <w:color w:val="auto"/>
          <w:lang w:val="en-US" w:eastAsia="zh-CN"/>
        </w:rPr>
        <w:t>57323.55</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/a，折算为每天排尿量为</w:t>
      </w:r>
      <w:r>
        <w:rPr>
          <w:rFonts w:hint="eastAsia"/>
          <w:color w:val="auto"/>
          <w:lang w:val="en-US" w:eastAsia="zh-CN"/>
        </w:rPr>
        <w:t>157.05</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/d。</w:t>
      </w:r>
    </w:p>
    <w:p>
      <w:pPr>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3、猪粪脱水机的脱水量</w:t>
      </w:r>
    </w:p>
    <w:p>
      <w:pPr>
        <w:pStyle w:val="23"/>
        <w:spacing w:line="440" w:lineRule="exact"/>
        <w:ind w:firstLine="480"/>
        <w:rPr>
          <w:rFonts w:hint="eastAsia" w:ascii="Times New Roman" w:hAnsi="Times New Roman"/>
          <w:color w:val="auto"/>
        </w:rPr>
      </w:pPr>
      <w:r>
        <w:rPr>
          <w:rFonts w:hint="eastAsia" w:ascii="Times New Roman" w:hAnsi="Times New Roman"/>
          <w:color w:val="auto"/>
        </w:rPr>
        <w:t>根据《四川省畜禽养殖污染防治技术指南（试行）》、《畜禽养殖业污染治理工程技术规范》（HJ497-2009）附录A中不同畜禽粪污日排泄量，成年猪猪粪产生定额约为2.0kg/d·头，</w:t>
      </w:r>
      <w:r>
        <w:rPr>
          <w:rFonts w:hint="eastAsia"/>
          <w:color w:val="auto"/>
          <w:lang w:eastAsia="zh-CN"/>
        </w:rPr>
        <w:t>根据实际情况，其中</w:t>
      </w:r>
      <w:r>
        <w:rPr>
          <w:rFonts w:hint="eastAsia"/>
          <w:color w:val="auto"/>
          <w:lang w:val="en-US" w:eastAsia="zh-CN"/>
        </w:rPr>
        <w:t>1头母猪当量2头成年猪的产污量，</w:t>
      </w:r>
      <w:r>
        <w:rPr>
          <w:rFonts w:hint="eastAsia" w:ascii="Times New Roman" w:hAnsi="Times New Roman"/>
          <w:color w:val="auto"/>
        </w:rPr>
        <w:t>本项目折算成年猪存栏量为</w:t>
      </w:r>
      <w:r>
        <w:rPr>
          <w:rFonts w:hint="eastAsia"/>
          <w:color w:val="auto"/>
          <w:lang w:val="en-US" w:eastAsia="zh-CN"/>
        </w:rPr>
        <w:t>33003</w:t>
      </w:r>
      <w:r>
        <w:rPr>
          <w:rFonts w:hint="eastAsia" w:ascii="Times New Roman" w:hAnsi="Times New Roman"/>
          <w:color w:val="auto"/>
        </w:rPr>
        <w:t>头，计算出猪粪的产生量</w:t>
      </w:r>
      <w:r>
        <w:rPr>
          <w:rFonts w:hint="eastAsia"/>
          <w:color w:val="auto"/>
          <w:lang w:eastAsia="zh-CN"/>
        </w:rPr>
        <w:t>约</w:t>
      </w:r>
      <w:r>
        <w:rPr>
          <w:rFonts w:hint="eastAsia" w:ascii="Times New Roman" w:hAnsi="Times New Roman"/>
          <w:color w:val="auto"/>
        </w:rPr>
        <w:t>为</w:t>
      </w:r>
      <w:r>
        <w:rPr>
          <w:rFonts w:hint="eastAsia"/>
          <w:color w:val="auto"/>
          <w:lang w:val="en-US" w:eastAsia="zh-CN"/>
        </w:rPr>
        <w:t>66</w:t>
      </w:r>
      <w:r>
        <w:rPr>
          <w:rFonts w:hint="eastAsia" w:ascii="Times New Roman" w:hAnsi="Times New Roman"/>
          <w:color w:val="auto"/>
        </w:rPr>
        <w:t>t/d（</w:t>
      </w:r>
      <w:r>
        <w:rPr>
          <w:rFonts w:hint="eastAsia"/>
          <w:color w:val="auto"/>
          <w:lang w:val="en-US" w:eastAsia="zh-CN"/>
        </w:rPr>
        <w:t>24092.19</w:t>
      </w:r>
      <w:r>
        <w:rPr>
          <w:rFonts w:hint="eastAsia" w:ascii="Times New Roman" w:hAnsi="Times New Roman"/>
          <w:color w:val="auto"/>
        </w:rPr>
        <w:t>t/a）。</w:t>
      </w:r>
    </w:p>
    <w:p>
      <w:pPr>
        <w:ind w:firstLine="480"/>
        <w:rPr>
          <w:rFonts w:hint="eastAsia" w:ascii="Times New Roman" w:hAnsi="Times New Roman"/>
          <w:color w:val="auto"/>
        </w:rPr>
      </w:pPr>
      <w:r>
        <w:rPr>
          <w:rFonts w:hint="default" w:ascii="Times New Roman" w:hAnsi="Times New Roman" w:eastAsia="宋体" w:cs="Times New Roman"/>
          <w:color w:val="auto"/>
          <w:sz w:val="24"/>
          <w:szCs w:val="24"/>
        </w:rPr>
        <w:t>根据许道文、文李新等《基于热重法的干清猪粪直接燃烧特性分析》研究结论可知新鲜粪便的含水量约为74.28~76.75%，本项目取76.75%。本项目猪粪脱水机脱水后的粪渣含水量为70%（行业经验系数），本项目新鲜猪粪产生量</w:t>
      </w:r>
      <w:r>
        <w:rPr>
          <w:rFonts w:hint="eastAsia" w:ascii="Times New Roman" w:hAnsi="Times New Roman" w:eastAsia="宋体" w:cs="Times New Roman"/>
          <w:color w:val="auto"/>
          <w:sz w:val="24"/>
          <w:szCs w:val="24"/>
          <w:lang w:eastAsia="zh-CN"/>
        </w:rPr>
        <w:t>约</w:t>
      </w:r>
      <w:r>
        <w:rPr>
          <w:rFonts w:hint="default"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66</w:t>
      </w:r>
      <w:r>
        <w:rPr>
          <w:rFonts w:hint="default" w:ascii="Times New Roman" w:hAnsi="Times New Roman" w:eastAsia="宋体" w:cs="Times New Roman"/>
          <w:color w:val="auto"/>
          <w:sz w:val="24"/>
          <w:szCs w:val="24"/>
        </w:rPr>
        <w:t>t/d，则猪粪脱水机的脱水量为</w:t>
      </w:r>
      <w:r>
        <w:rPr>
          <w:rFonts w:hint="eastAsia" w:ascii="Times New Roman" w:hAnsi="Times New Roman" w:eastAsia="宋体" w:cs="Times New Roman"/>
          <w:color w:val="auto"/>
          <w:sz w:val="24"/>
          <w:szCs w:val="24"/>
          <w:lang w:val="en-US" w:eastAsia="zh-CN"/>
        </w:rPr>
        <w:t>66</w:t>
      </w:r>
      <w:r>
        <w:rPr>
          <w:rFonts w:hint="default" w:ascii="Times New Roman" w:hAnsi="Times New Roman" w:eastAsia="宋体" w:cs="Times New Roman"/>
          <w:color w:val="auto"/>
          <w:sz w:val="24"/>
          <w:szCs w:val="24"/>
          <w:lang w:val="en-US" w:eastAsia="zh-CN"/>
        </w:rPr>
        <w:t>t/d×</w:t>
      </w:r>
      <w:r>
        <w:rPr>
          <w:rFonts w:hint="default" w:ascii="Times New Roman" w:hAnsi="Times New Roman" w:eastAsia="宋体" w:cs="Times New Roman"/>
          <w:color w:val="auto"/>
          <w:sz w:val="24"/>
          <w:szCs w:val="24"/>
        </w:rPr>
        <w:t>76.75%</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15.2</w:t>
      </w:r>
      <w:r>
        <w:rPr>
          <w:rFonts w:hint="default" w:ascii="Times New Roman" w:hAnsi="Times New Roman" w:eastAsia="宋体" w:cs="Times New Roman"/>
          <w:color w:val="auto"/>
          <w:sz w:val="24"/>
          <w:szCs w:val="24"/>
          <w:lang w:val="en-US" w:eastAsia="zh-CN"/>
        </w:rPr>
        <w:t>t/d</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5546.72t</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eastAsia="zh-CN"/>
        </w:rPr>
        <w:t>，即</w:t>
      </w:r>
      <w:r>
        <w:rPr>
          <w:rFonts w:hint="eastAsia" w:ascii="Times New Roman" w:hAnsi="Times New Roman" w:eastAsia="宋体" w:cs="Times New Roman"/>
          <w:color w:val="auto"/>
          <w:sz w:val="24"/>
          <w:szCs w:val="24"/>
          <w:lang w:val="en-US" w:eastAsia="zh-CN"/>
        </w:rPr>
        <w:t>15.2m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5546.72m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/a）。</w:t>
      </w:r>
    </w:p>
    <w:p>
      <w:pPr>
        <w:ind w:firstLine="482"/>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、猪舍冲洗用水</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本项目利用高压水枪在猪只转栏时对各猪舍进行冲洗、消毒；由于本项目拟采用干清粪工艺，实现了猪舍粪尿日产日清，可避免每日清洗猪舍，节约用水，并保持猪舍清洁和干燥。</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冲洗圈舍包括</w:t>
      </w:r>
      <w:r>
        <w:rPr>
          <w:rFonts w:hint="eastAsia" w:ascii="Times New Roman" w:hAnsi="Times New Roman" w:eastAsia="宋体" w:cs="Times New Roman"/>
          <w:color w:val="auto"/>
          <w:sz w:val="24"/>
          <w:szCs w:val="24"/>
          <w:lang w:eastAsia="zh-CN"/>
        </w:rPr>
        <w:t>配怀舍、分娩舍</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公猪舍</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后备</w:t>
      </w:r>
      <w:r>
        <w:rPr>
          <w:rFonts w:hint="default" w:ascii="Times New Roman" w:hAnsi="Times New Roman" w:eastAsia="宋体" w:cs="Times New Roman"/>
          <w:color w:val="auto"/>
          <w:sz w:val="24"/>
          <w:szCs w:val="24"/>
        </w:rPr>
        <w:t>舍、中转</w:t>
      </w:r>
      <w:r>
        <w:rPr>
          <w:rFonts w:hint="eastAsia" w:ascii="Times New Roman" w:hAnsi="Times New Roman" w:eastAsia="宋体" w:cs="Times New Roman"/>
          <w:color w:val="auto"/>
          <w:sz w:val="24"/>
          <w:szCs w:val="24"/>
          <w:lang w:eastAsia="zh-CN"/>
        </w:rPr>
        <w:t>后备舍</w:t>
      </w:r>
      <w:r>
        <w:rPr>
          <w:rFonts w:hint="default" w:ascii="Times New Roman" w:hAnsi="Times New Roman" w:eastAsia="宋体" w:cs="Times New Roman"/>
          <w:color w:val="auto"/>
          <w:sz w:val="24"/>
          <w:szCs w:val="24"/>
        </w:rPr>
        <w:t>，其中：</w:t>
      </w:r>
      <w:r>
        <w:rPr>
          <w:rFonts w:hint="eastAsia" w:ascii="Times New Roman" w:hAnsi="Times New Roman" w:eastAsia="宋体" w:cs="Times New Roman"/>
          <w:color w:val="auto"/>
          <w:sz w:val="24"/>
          <w:szCs w:val="24"/>
          <w:lang w:eastAsia="zh-CN"/>
        </w:rPr>
        <w:t>分娩</w:t>
      </w:r>
      <w:r>
        <w:rPr>
          <w:rFonts w:hint="default" w:ascii="Times New Roman" w:hAnsi="Times New Roman" w:eastAsia="宋体" w:cs="Times New Roman"/>
          <w:color w:val="auto"/>
          <w:sz w:val="24"/>
          <w:szCs w:val="24"/>
        </w:rPr>
        <w:t>舍冲洗频率按每出栏一批次仔猪冲洗一次（年产仔猪17.38批次，本次计算取18）；</w:t>
      </w:r>
      <w:r>
        <w:rPr>
          <w:rFonts w:hint="eastAsia" w:ascii="Times New Roman" w:hAnsi="Times New Roman" w:eastAsia="宋体" w:cs="Times New Roman"/>
          <w:color w:val="auto"/>
          <w:sz w:val="24"/>
          <w:szCs w:val="24"/>
          <w:lang w:eastAsia="zh-CN"/>
        </w:rPr>
        <w:t>公猪舍</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后备舍及中转后备舍</w:t>
      </w:r>
      <w:r>
        <w:rPr>
          <w:rFonts w:hint="default" w:ascii="Times New Roman" w:hAnsi="Times New Roman" w:eastAsia="宋体" w:cs="Times New Roman"/>
          <w:color w:val="auto"/>
          <w:sz w:val="24"/>
          <w:szCs w:val="24"/>
        </w:rPr>
        <w:t>，冲洗频率为每</w:t>
      </w:r>
      <w:r>
        <w:rPr>
          <w:rFonts w:hint="eastAsia" w:ascii="Times New Roman" w:hAnsi="Times New Roman" w:eastAsia="宋体" w:cs="Times New Roman"/>
          <w:color w:val="auto"/>
          <w:sz w:val="24"/>
          <w:szCs w:val="24"/>
          <w:lang w:eastAsia="zh-CN"/>
        </w:rPr>
        <w:t>半月</w:t>
      </w:r>
      <w:r>
        <w:rPr>
          <w:rFonts w:hint="default" w:ascii="Times New Roman" w:hAnsi="Times New Roman" w:eastAsia="宋体" w:cs="Times New Roman"/>
          <w:color w:val="auto"/>
          <w:sz w:val="24"/>
          <w:szCs w:val="24"/>
        </w:rPr>
        <w:t>一次</w:t>
      </w:r>
      <w:r>
        <w:rPr>
          <w:rFonts w:hint="eastAsia" w:ascii="Times New Roman" w:hAnsi="Times New Roman" w:eastAsia="宋体" w:cs="Times New Roman"/>
          <w:color w:val="auto"/>
          <w:sz w:val="24"/>
          <w:szCs w:val="24"/>
          <w:lang w:eastAsia="zh-CN"/>
        </w:rPr>
        <w:t>（本次取值</w:t>
      </w:r>
      <w:r>
        <w:rPr>
          <w:rFonts w:hint="eastAsia" w:ascii="Times New Roman" w:hAnsi="Times New Roman" w:eastAsia="宋体" w:cs="Times New Roman"/>
          <w:color w:val="auto"/>
          <w:sz w:val="24"/>
          <w:szCs w:val="24"/>
          <w:lang w:val="en-US" w:eastAsia="zh-CN"/>
        </w:rPr>
        <w:t>次24）</w:t>
      </w:r>
      <w:r>
        <w:rPr>
          <w:rFonts w:hint="default" w:ascii="Times New Roman" w:hAnsi="Times New Roman" w:eastAsia="宋体" w:cs="Times New Roman"/>
          <w:color w:val="auto"/>
          <w:sz w:val="24"/>
          <w:szCs w:val="24"/>
        </w:rPr>
        <w:t>。冲洗用水量按照</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次计，</w:t>
      </w:r>
      <w:r>
        <w:rPr>
          <w:rFonts w:hint="eastAsia" w:ascii="Times New Roman" w:hAnsi="Times New Roman" w:eastAsia="宋体" w:cs="Times New Roman"/>
          <w:color w:val="auto"/>
          <w:sz w:val="24"/>
          <w:szCs w:val="24"/>
          <w:lang w:eastAsia="zh-CN"/>
        </w:rPr>
        <w:t>分娩舍</w:t>
      </w:r>
      <w:r>
        <w:rPr>
          <w:rFonts w:hint="default" w:ascii="Times New Roman" w:hAnsi="Times New Roman" w:eastAsia="宋体" w:cs="Times New Roman"/>
          <w:color w:val="auto"/>
          <w:sz w:val="24"/>
          <w:szCs w:val="24"/>
        </w:rPr>
        <w:t>冲洗用水量为</w:t>
      </w:r>
      <w:r>
        <w:rPr>
          <w:rFonts w:hint="eastAsia" w:ascii="Times New Roman" w:hAnsi="Times New Roman" w:eastAsia="宋体" w:cs="Times New Roman"/>
          <w:color w:val="auto"/>
          <w:sz w:val="24"/>
          <w:szCs w:val="24"/>
          <w:lang w:val="en-US" w:eastAsia="zh-CN"/>
        </w:rPr>
        <w:t>2255.04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eastAsia="zh-CN"/>
        </w:rPr>
        <w:t>配怀舍、公猪舍、后备舍、中转后备舍</w:t>
      </w:r>
      <w:r>
        <w:rPr>
          <w:rFonts w:hint="default" w:ascii="Times New Roman" w:hAnsi="Times New Roman" w:eastAsia="宋体" w:cs="Times New Roman"/>
          <w:color w:val="auto"/>
          <w:sz w:val="24"/>
          <w:szCs w:val="24"/>
        </w:rPr>
        <w:t>冲洗用水量为</w:t>
      </w:r>
      <w:r>
        <w:rPr>
          <w:rFonts w:hint="eastAsia" w:ascii="Times New Roman" w:hAnsi="Times New Roman" w:eastAsia="宋体" w:cs="Times New Roman"/>
          <w:color w:val="auto"/>
          <w:sz w:val="24"/>
          <w:szCs w:val="24"/>
          <w:lang w:val="en-US" w:eastAsia="zh-CN"/>
        </w:rPr>
        <w:t>6868.368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pStyle w:val="2503"/>
        <w:numPr>
          <w:ilvl w:val="0"/>
          <w:numId w:val="19"/>
        </w:numPr>
        <w:spacing w:before="120"/>
        <w:ind w:left="0" w:leftChars="0" w:firstLine="403" w:firstLineChars="0"/>
        <w:rPr>
          <w:color w:val="auto"/>
        </w:rPr>
      </w:pPr>
      <w:r>
        <w:rPr>
          <w:rFonts w:hint="eastAsia" w:ascii="Times New Roman" w:hAnsi="Times New Roman" w:cs="Times New Roman"/>
          <w:color w:val="auto"/>
          <w:lang w:val="en-US" w:eastAsia="zh-CN"/>
        </w:rPr>
        <w:t xml:space="preserve">   </w:t>
      </w:r>
      <w:r>
        <w:rPr>
          <w:color w:val="auto"/>
        </w:rPr>
        <w:t>项目猪</w:t>
      </w:r>
      <w:r>
        <w:rPr>
          <w:rFonts w:hint="eastAsia"/>
          <w:color w:val="auto"/>
          <w:lang w:eastAsia="zh-CN"/>
        </w:rPr>
        <w:t>舍冲洗</w:t>
      </w:r>
      <w:r>
        <w:rPr>
          <w:color w:val="auto"/>
        </w:rPr>
        <w:t>用水量情况表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42"/>
        <w:gridCol w:w="1239"/>
        <w:gridCol w:w="832"/>
        <w:gridCol w:w="1782"/>
        <w:gridCol w:w="1354"/>
        <w:gridCol w:w="135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49" w:type="pct"/>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746"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用水系数（L/</w:t>
            </w:r>
            <w:r>
              <w:rPr>
                <w:rFonts w:hint="default" w:ascii="Times New Roman" w:hAnsi="Times New Roman" w:cs="Times New Roman"/>
                <w:b/>
                <w:color w:val="auto"/>
                <w:sz w:val="21"/>
                <w:szCs w:val="21"/>
                <w:lang w:val="en-US" w:eastAsia="zh-CN"/>
              </w:rPr>
              <w:t>m</w:t>
            </w:r>
            <w:r>
              <w:rPr>
                <w:rFonts w:hint="default" w:ascii="Times New Roman" w:hAnsi="Times New Roman" w:cs="Times New Roman"/>
                <w:b/>
                <w:color w:val="auto"/>
                <w:sz w:val="21"/>
                <w:szCs w:val="21"/>
                <w:vertAlign w:val="superscript"/>
                <w:lang w:val="en-US" w:eastAsia="zh-CN"/>
              </w:rPr>
              <w:t>2</w:t>
            </w:r>
            <w:r>
              <w:rPr>
                <w:rFonts w:hint="default" w:ascii="Times New Roman" w:hAnsi="Times New Roman" w:eastAsia="宋体" w:cs="Times New Roman"/>
                <w:b/>
                <w:color w:val="auto"/>
                <w:sz w:val="21"/>
                <w:szCs w:val="21"/>
              </w:rPr>
              <w:t>）</w:t>
            </w:r>
          </w:p>
        </w:tc>
        <w:tc>
          <w:tcPr>
            <w:tcW w:w="500" w:type="pct"/>
            <w:noWrap w:val="0"/>
            <w:vAlign w:val="center"/>
          </w:tcPr>
          <w:p>
            <w:pPr>
              <w:pStyle w:val="163"/>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周期</w:t>
            </w:r>
          </w:p>
        </w:tc>
        <w:tc>
          <w:tcPr>
            <w:tcW w:w="1073" w:type="pct"/>
            <w:noWrap w:val="0"/>
            <w:vAlign w:val="center"/>
          </w:tcPr>
          <w:p>
            <w:pPr>
              <w:pStyle w:val="163"/>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面积（m</w:t>
            </w:r>
            <w:r>
              <w:rPr>
                <w:rFonts w:hint="default" w:ascii="Times New Roman" w:hAnsi="Times New Roman" w:cs="Times New Roman"/>
                <w:b/>
                <w:color w:val="auto"/>
                <w:sz w:val="21"/>
                <w:szCs w:val="21"/>
                <w:vertAlign w:val="superscript"/>
                <w:lang w:val="en-US" w:eastAsia="zh-CN"/>
              </w:rPr>
              <w:t>2</w:t>
            </w:r>
            <w:r>
              <w:rPr>
                <w:rFonts w:hint="default" w:ascii="Times New Roman" w:hAnsi="Times New Roman" w:cs="Times New Roman"/>
                <w:b/>
                <w:color w:val="auto"/>
                <w:sz w:val="21"/>
                <w:szCs w:val="21"/>
                <w:lang w:val="en-US" w:eastAsia="zh-CN"/>
              </w:rPr>
              <w:t>）</w:t>
            </w:r>
          </w:p>
        </w:tc>
        <w:tc>
          <w:tcPr>
            <w:tcW w:w="815"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用水量（m</w:t>
            </w:r>
            <w:r>
              <w:rPr>
                <w:rFonts w:hint="default" w:ascii="Times New Roman" w:hAnsi="Times New Roman" w:eastAsia="宋体" w:cs="Times New Roman"/>
                <w:b/>
                <w:color w:val="auto"/>
                <w:position w:val="7"/>
                <w:sz w:val="21"/>
                <w:szCs w:val="21"/>
              </w:rPr>
              <w:t>3</w:t>
            </w:r>
            <w:r>
              <w:rPr>
                <w:rFonts w:hint="default" w:ascii="Times New Roman" w:hAnsi="Times New Roman" w:eastAsia="宋体" w:cs="Times New Roman"/>
                <w:b/>
                <w:color w:val="auto"/>
                <w:sz w:val="21"/>
                <w:szCs w:val="21"/>
              </w:rPr>
              <w:t>/a）</w:t>
            </w:r>
          </w:p>
        </w:tc>
        <w:tc>
          <w:tcPr>
            <w:tcW w:w="815"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排水量（</w:t>
            </w:r>
            <w:r>
              <w:rPr>
                <w:rFonts w:hint="default" w:ascii="Times New Roman" w:hAnsi="Times New Roman" w:eastAsia="宋体" w:cs="Times New Roman"/>
                <w:b/>
                <w:color w:val="auto"/>
                <w:sz w:val="21"/>
                <w:szCs w:val="21"/>
              </w:rPr>
              <w:t>（m</w:t>
            </w:r>
            <w:r>
              <w:rPr>
                <w:rFonts w:hint="default" w:ascii="Times New Roman" w:hAnsi="Times New Roman" w:eastAsia="宋体" w:cs="Times New Roman"/>
                <w:b/>
                <w:color w:val="auto"/>
                <w:position w:val="7"/>
                <w:sz w:val="21"/>
                <w:szCs w:val="21"/>
              </w:rPr>
              <w:t>3</w:t>
            </w:r>
            <w:r>
              <w:rPr>
                <w:rFonts w:hint="default" w:ascii="Times New Roman" w:hAnsi="Times New Roman" w:eastAsia="宋体" w:cs="Times New Roman"/>
                <w:b/>
                <w:color w:val="auto"/>
                <w:sz w:val="21"/>
                <w:szCs w:val="21"/>
              </w:rPr>
              <w: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49" w:type="pct"/>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分娩舍</w:t>
            </w:r>
          </w:p>
        </w:tc>
        <w:tc>
          <w:tcPr>
            <w:tcW w:w="746"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500"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1073"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20880</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3006.72 </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2706.05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49" w:type="pct"/>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配怀舍</w:t>
            </w:r>
          </w:p>
        </w:tc>
        <w:tc>
          <w:tcPr>
            <w:tcW w:w="746" w:type="pct"/>
            <w:noWrap w:val="0"/>
            <w:vAlign w:val="center"/>
          </w:tcPr>
          <w:p>
            <w:pPr>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8</w:t>
            </w:r>
          </w:p>
        </w:tc>
        <w:tc>
          <w:tcPr>
            <w:tcW w:w="500"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c>
          <w:tcPr>
            <w:tcW w:w="1073"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31440</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6036.48 </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5432.83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49" w:type="pct"/>
            <w:noWrap w:val="0"/>
            <w:vAlign w:val="center"/>
          </w:tcPr>
          <w:p>
            <w:pPr>
              <w:pStyle w:val="163"/>
              <w:keepNext w:val="0"/>
              <w:keepLines w:val="0"/>
              <w:suppressLineNumbers w:val="0"/>
              <w:kinsoku w:val="0"/>
              <w:overflowPunct w:val="0"/>
              <w:spacing w:before="0" w:beforeAutospacing="0" w:after="0" w:afterAutospacing="0" w:line="242" w:lineRule="exact"/>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公猪舍</w:t>
            </w:r>
          </w:p>
        </w:tc>
        <w:tc>
          <w:tcPr>
            <w:tcW w:w="746" w:type="pct"/>
            <w:noWrap w:val="0"/>
            <w:vAlign w:val="center"/>
          </w:tcPr>
          <w:p>
            <w:pPr>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8</w:t>
            </w:r>
          </w:p>
        </w:tc>
        <w:tc>
          <w:tcPr>
            <w:tcW w:w="500" w:type="pct"/>
            <w:noWrap w:val="0"/>
            <w:vAlign w:val="center"/>
          </w:tcPr>
          <w:p>
            <w:pPr>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c>
          <w:tcPr>
            <w:tcW w:w="1073" w:type="pct"/>
            <w:noWrap w:val="0"/>
            <w:vAlign w:val="center"/>
          </w:tcPr>
          <w:p>
            <w:pPr>
              <w:pStyle w:val="163"/>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799</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153.41 </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138.07</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49" w:type="pct"/>
            <w:noWrap w:val="0"/>
            <w:vAlign w:val="center"/>
          </w:tcPr>
          <w:p>
            <w:pPr>
              <w:pStyle w:val="163"/>
              <w:keepNext w:val="0"/>
              <w:keepLines w:val="0"/>
              <w:suppressLineNumbers w:val="0"/>
              <w:kinsoku w:val="0"/>
              <w:overflowPunct w:val="0"/>
              <w:spacing w:before="0" w:beforeAutospacing="0" w:after="0" w:afterAutospacing="0" w:line="242"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后备舍</w:t>
            </w:r>
          </w:p>
        </w:tc>
        <w:tc>
          <w:tcPr>
            <w:tcW w:w="746" w:type="pct"/>
            <w:noWrap w:val="0"/>
            <w:vAlign w:val="center"/>
          </w:tcPr>
          <w:p>
            <w:pPr>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500" w:type="pct"/>
            <w:noWrap w:val="0"/>
            <w:vAlign w:val="center"/>
          </w:tcPr>
          <w:p>
            <w:pPr>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c>
          <w:tcPr>
            <w:tcW w:w="1073" w:type="pct"/>
            <w:noWrap w:val="0"/>
            <w:vAlign w:val="center"/>
          </w:tcPr>
          <w:p>
            <w:pPr>
              <w:pStyle w:val="163"/>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3915</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751.68 </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676.51</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049" w:type="pct"/>
            <w:noWrap w:val="0"/>
            <w:vAlign w:val="center"/>
          </w:tcPr>
          <w:p>
            <w:pPr>
              <w:pStyle w:val="163"/>
              <w:keepNext w:val="0"/>
              <w:keepLines w:val="0"/>
              <w:suppressLineNumbers w:val="0"/>
              <w:kinsoku w:val="0"/>
              <w:overflowPunct w:val="0"/>
              <w:spacing w:before="0" w:beforeAutospacing="0" w:after="0" w:afterAutospacing="0" w:line="242"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中转后备舍</w:t>
            </w:r>
          </w:p>
        </w:tc>
        <w:tc>
          <w:tcPr>
            <w:tcW w:w="746" w:type="pct"/>
            <w:noWrap w:val="0"/>
            <w:vAlign w:val="center"/>
          </w:tcPr>
          <w:p>
            <w:pPr>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500" w:type="pct"/>
            <w:noWrap w:val="0"/>
            <w:vAlign w:val="center"/>
          </w:tcPr>
          <w:p>
            <w:pPr>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c>
          <w:tcPr>
            <w:tcW w:w="1073" w:type="pct"/>
            <w:noWrap w:val="0"/>
            <w:vAlign w:val="center"/>
          </w:tcPr>
          <w:p>
            <w:pPr>
              <w:pStyle w:val="163"/>
              <w:keepNext w:val="0"/>
              <w:keepLines w:val="0"/>
              <w:suppressLineNumbers w:val="0"/>
              <w:kinsoku w:val="0"/>
              <w:overflowPunct w:val="0"/>
              <w:spacing w:before="16"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11543</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2216.26 </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1994.63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296" w:type="pct"/>
            <w:gridSpan w:val="3"/>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73"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12164.54 </w:t>
            </w:r>
          </w:p>
        </w:tc>
        <w:tc>
          <w:tcPr>
            <w:tcW w:w="13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10948.09</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369" w:type="pct"/>
            <w:gridSpan w:val="4"/>
            <w:noWrap w:val="0"/>
            <w:vAlign w:val="center"/>
          </w:tcPr>
          <w:p>
            <w:pPr>
              <w:pStyle w:val="163"/>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折算为每天用量</w:t>
            </w:r>
          </w:p>
        </w:tc>
        <w:tc>
          <w:tcPr>
            <w:tcW w:w="815" w:type="pc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33.33</w:t>
            </w:r>
            <w:r>
              <w:rPr>
                <w:rFonts w:hint="default" w:ascii="Times New Roman" w:hAnsi="Times New Roman" w:eastAsia="宋体" w:cs="Times New Roman"/>
                <w:color w:val="auto"/>
                <w:sz w:val="21"/>
                <w:szCs w:val="21"/>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/d</w:t>
            </w:r>
          </w:p>
        </w:tc>
        <w:tc>
          <w:tcPr>
            <w:tcW w:w="81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29.99</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/d</w:t>
            </w:r>
          </w:p>
        </w:tc>
      </w:tr>
    </w:tbl>
    <w:p>
      <w:pPr>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因此，本项目猪舍冲洗用水量为</w:t>
      </w:r>
      <w:r>
        <w:rPr>
          <w:rFonts w:hint="eastAsia" w:ascii="Times New Roman" w:hAnsi="Times New Roman" w:eastAsia="宋体" w:cs="Times New Roman"/>
          <w:color w:val="auto"/>
          <w:sz w:val="24"/>
          <w:szCs w:val="24"/>
          <w:lang w:val="en-US" w:eastAsia="zh-CN"/>
        </w:rPr>
        <w:t>33.33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9123.408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/a），排污系数按0.9计，猪舍冲洗废水量为</w:t>
      </w:r>
      <w:r>
        <w:rPr>
          <w:rFonts w:hint="eastAsia" w:ascii="Times New Roman" w:hAnsi="Times New Roman" w:eastAsia="宋体" w:cs="Times New Roman"/>
          <w:color w:val="auto"/>
          <w:sz w:val="24"/>
          <w:szCs w:val="24"/>
          <w:lang w:val="en-US" w:eastAsia="zh-CN"/>
        </w:rPr>
        <w:t>29.99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10948.09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lang w:eastAsia="zh-CN"/>
        </w:rPr>
        <w:t>猪舍冲洗用水全部采用污水处理站处理后的尾水。</w:t>
      </w:r>
    </w:p>
    <w:p>
      <w:pPr>
        <w:ind w:firstLine="482"/>
        <w:rPr>
          <w:b/>
          <w:color w:val="auto"/>
          <w:sz w:val="24"/>
          <w:szCs w:val="24"/>
        </w:rPr>
      </w:pPr>
      <w:r>
        <w:rPr>
          <w:rFonts w:hint="eastAsia"/>
          <w:b/>
          <w:color w:val="auto"/>
          <w:sz w:val="24"/>
          <w:szCs w:val="24"/>
          <w:lang w:val="en-US" w:eastAsia="zh-CN"/>
        </w:rPr>
        <w:t>4</w:t>
      </w:r>
      <w:r>
        <w:rPr>
          <w:b/>
          <w:color w:val="auto"/>
          <w:sz w:val="24"/>
          <w:szCs w:val="24"/>
        </w:rPr>
        <w:t>、分娩设备清洗</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繁殖舍每次分娩完后必须对产床等设备器具洗涤消毒，用水量按</w:t>
      </w:r>
      <w:r>
        <w:rPr>
          <w:rFonts w:hint="eastAsia"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L/头计算，根据建设单位提供资料，平均每天约</w:t>
      </w:r>
      <w:r>
        <w:rPr>
          <w:rFonts w:hint="eastAsia"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头种猪进行分娩，则用水量为</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3650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/a）。相应排污系数按0.95计，则分娩设备洗涤废水产生量约为</w:t>
      </w:r>
      <w:r>
        <w:rPr>
          <w:rFonts w:hint="eastAsia" w:ascii="Times New Roman" w:hAnsi="Times New Roman" w:eastAsia="宋体" w:cs="Times New Roman"/>
          <w:color w:val="auto"/>
          <w:sz w:val="24"/>
          <w:szCs w:val="24"/>
          <w:lang w:val="en-US" w:eastAsia="zh-CN"/>
        </w:rPr>
        <w:t>9.5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3467.5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spacing w:line="440" w:lineRule="exact"/>
        <w:ind w:firstLine="482" w:firstLineChars="200"/>
        <w:rPr>
          <w:rFonts w:hint="eastAsia"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val="en-US" w:eastAsia="zh-CN"/>
        </w:rPr>
        <w:t>5</w:t>
      </w:r>
      <w:r>
        <w:rPr>
          <w:rFonts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eastAsia="zh-CN"/>
        </w:rPr>
        <w:t>食槽清洗</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通常情况下长时间不对猪食槽进行清理，会导致猪食槽内部细菌滋生，引发各种疾病，同时影响猪的生长状况。因此本项目对食槽定时进行清洗。</w:t>
      </w:r>
    </w:p>
    <w:p>
      <w:pPr>
        <w:spacing w:line="440" w:lineRule="exact"/>
        <w:ind w:firstLine="480" w:firstLineChars="200"/>
        <w:rPr>
          <w:rFonts w:hint="default"/>
          <w:color w:val="auto"/>
        </w:rPr>
      </w:pPr>
      <w:r>
        <w:rPr>
          <w:rFonts w:hint="eastAsia" w:ascii="Times New Roman" w:hAnsi="Times New Roman" w:eastAsia="宋体" w:cs="Times New Roman"/>
          <w:color w:val="auto"/>
          <w:sz w:val="24"/>
          <w:szCs w:val="24"/>
        </w:rPr>
        <w:t>根据建设单位提供的资料显示：建设单位将每日对</w:t>
      </w:r>
      <w:r>
        <w:rPr>
          <w:rFonts w:hint="eastAsia" w:ascii="Times New Roman" w:hAnsi="Times New Roman" w:eastAsia="宋体" w:cs="Times New Roman"/>
          <w:color w:val="auto"/>
          <w:sz w:val="24"/>
          <w:szCs w:val="24"/>
          <w:lang w:eastAsia="zh-CN"/>
        </w:rPr>
        <w:t>猪舍</w:t>
      </w:r>
      <w:r>
        <w:rPr>
          <w:rFonts w:hint="eastAsia" w:ascii="Times New Roman" w:hAnsi="Times New Roman" w:eastAsia="宋体" w:cs="Times New Roman"/>
          <w:color w:val="auto"/>
          <w:sz w:val="24"/>
          <w:szCs w:val="24"/>
        </w:rPr>
        <w:t>食槽进行清洗（日清洗两次）</w:t>
      </w:r>
      <w:r>
        <w:rPr>
          <w:rFonts w:hint="eastAsia" w:ascii="Times New Roman" w:hAnsi="Times New Roman" w:eastAsia="宋体" w:cs="Times New Roman"/>
          <w:color w:val="auto"/>
          <w:sz w:val="24"/>
          <w:szCs w:val="24"/>
          <w:lang w:eastAsia="zh-CN"/>
        </w:rPr>
        <w:t>，每条生产线（配怀、分娩、后备）食槽清洗量为</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本项目共</w:t>
      </w:r>
      <w:r>
        <w:rPr>
          <w:rFonts w:hint="eastAsia" w:ascii="Times New Roman" w:hAnsi="Times New Roman" w:eastAsia="宋体" w:cs="Times New Roman"/>
          <w:color w:val="auto"/>
          <w:sz w:val="24"/>
          <w:szCs w:val="24"/>
          <w:lang w:val="en-US" w:eastAsia="zh-CN"/>
        </w:rPr>
        <w:t>5条生产线，则</w:t>
      </w:r>
      <w:r>
        <w:rPr>
          <w:rFonts w:hint="eastAsia" w:ascii="Times New Roman" w:hAnsi="Times New Roman" w:eastAsia="宋体" w:cs="Times New Roman"/>
          <w:color w:val="auto"/>
          <w:sz w:val="24"/>
          <w:szCs w:val="24"/>
        </w:rPr>
        <w:t>食槽清洗用水量约</w:t>
      </w:r>
      <w:r>
        <w:rPr>
          <w:rFonts w:hint="eastAsia" w:ascii="Times New Roman" w:hAnsi="Times New Roman" w:eastAsia="宋体" w:cs="Times New Roman"/>
          <w:color w:val="auto"/>
          <w:sz w:val="24"/>
          <w:szCs w:val="24"/>
          <w:lang w:val="en-US" w:eastAsia="zh-CN"/>
        </w:rPr>
        <w:t>25</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；其余猪舍食槽清洗量为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公猪舍</w:t>
      </w:r>
      <w:r>
        <w:rPr>
          <w:rFonts w:hint="eastAsia" w:ascii="Times New Roman" w:hAnsi="Times New Roman" w:eastAsia="宋体" w:cs="Times New Roman"/>
          <w:color w:val="auto"/>
          <w:sz w:val="24"/>
          <w:szCs w:val="24"/>
        </w:rPr>
        <w:t>食槽清洗用水量约</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，中转后备舍</w:t>
      </w:r>
      <w:r>
        <w:rPr>
          <w:rFonts w:hint="eastAsia" w:ascii="Times New Roman" w:hAnsi="Times New Roman" w:eastAsia="宋体" w:cs="Times New Roman"/>
          <w:color w:val="auto"/>
          <w:sz w:val="24"/>
          <w:szCs w:val="24"/>
        </w:rPr>
        <w:t>清洗用水量约</w:t>
      </w:r>
      <w:r>
        <w:rPr>
          <w:rFonts w:hint="eastAsia" w:ascii="Times New Roman" w:hAnsi="Times New Roman" w:eastAsia="宋体" w:cs="Times New Roman"/>
          <w:color w:val="auto"/>
          <w:sz w:val="24"/>
          <w:szCs w:val="24"/>
          <w:lang w:val="en-US" w:eastAsia="zh-CN"/>
        </w:rPr>
        <w:t>16</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则用水量约为44</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16060</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/a），污水产生系数按0.8计，则本项目食槽废水产生量为</w:t>
      </w:r>
      <w:r>
        <w:rPr>
          <w:rFonts w:hint="eastAsia" w:ascii="Times New Roman" w:hAnsi="Times New Roman" w:eastAsia="宋体" w:cs="Times New Roman"/>
          <w:color w:val="auto"/>
          <w:sz w:val="24"/>
          <w:szCs w:val="24"/>
          <w:lang w:val="en-US" w:eastAsia="zh-CN"/>
        </w:rPr>
        <w:t>35.2</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12848</w:t>
      </w:r>
      <w:r>
        <w:rPr>
          <w:rFonts w:hint="eastAsia" w:ascii="Times New Roman" w:hAnsi="Times New Roman" w:eastAsia="宋体" w:cs="Times New Roman"/>
          <w:color w:val="auto"/>
          <w:sz w:val="24"/>
          <w:szCs w:val="24"/>
        </w:rPr>
        <w:t>m3/a）。</w:t>
      </w:r>
    </w:p>
    <w:p>
      <w:pPr>
        <w:ind w:firstLine="482"/>
        <w:rPr>
          <w:rFonts w:hint="default"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、消毒用水</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本项目场区消毒用水主要包括猪舍内猪体、猪圈、地面、饲喂工具等消毒，生产区道路消毒、运输车辆的消毒以及进出工作人员的消毒。</w:t>
      </w:r>
      <w:r>
        <w:rPr>
          <w:rFonts w:hint="eastAsia" w:ascii="Times New Roman" w:hAnsi="Times New Roman" w:eastAsia="宋体" w:cs="Times New Roman"/>
          <w:color w:val="auto"/>
          <w:sz w:val="24"/>
          <w:szCs w:val="24"/>
          <w:lang w:eastAsia="zh-CN"/>
        </w:rPr>
        <w:t>消毒液需用水进行一定配比，</w:t>
      </w:r>
      <w:r>
        <w:rPr>
          <w:rFonts w:hint="default" w:ascii="Times New Roman" w:hAnsi="Times New Roman" w:eastAsia="宋体" w:cs="Times New Roman"/>
          <w:color w:val="auto"/>
          <w:sz w:val="24"/>
          <w:szCs w:val="24"/>
        </w:rPr>
        <w:t>根据类比数据，平均每次消毒</w:t>
      </w:r>
      <w:r>
        <w:rPr>
          <w:rFonts w:hint="eastAsia" w:ascii="Times New Roman" w:hAnsi="Times New Roman" w:eastAsia="宋体" w:cs="Times New Roman"/>
          <w:color w:val="auto"/>
          <w:sz w:val="24"/>
          <w:szCs w:val="24"/>
          <w:lang w:eastAsia="zh-CN"/>
        </w:rPr>
        <w:t>配比</w:t>
      </w:r>
      <w:r>
        <w:rPr>
          <w:rFonts w:hint="default" w:ascii="Times New Roman" w:hAnsi="Times New Roman" w:eastAsia="宋体" w:cs="Times New Roman"/>
          <w:color w:val="auto"/>
          <w:sz w:val="24"/>
          <w:szCs w:val="24"/>
        </w:rPr>
        <w:t>用水量为0.</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/d，则全年消毒用水量为</w:t>
      </w:r>
      <w:r>
        <w:rPr>
          <w:rFonts w:hint="eastAsia" w:ascii="Times New Roman" w:hAnsi="Times New Roman" w:eastAsia="宋体" w:cs="Times New Roman"/>
          <w:color w:val="auto"/>
          <w:sz w:val="24"/>
          <w:szCs w:val="24"/>
          <w:lang w:val="en-US" w:eastAsia="zh-CN"/>
        </w:rPr>
        <w:t>182.5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/a，该部分消毒用水全部损耗蒸发。</w:t>
      </w:r>
    </w:p>
    <w:p>
      <w:pPr>
        <w:ind w:firstLine="482"/>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rPr>
        <w:t>、职工生活用水</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①办公及生活用水</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本项目建成后，场区内设置有职工食堂和倒班宿舍，劳动定员120人。职工日常办公及生活用水量按100L/人·d计，则办公及生活用水量为12m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/d（4380m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/a），污水产生系数按80%计，则本项目办公及生活污水产生量为9.6m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/d（3504m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②食堂用水</w:t>
      </w:r>
    </w:p>
    <w:p>
      <w:pPr>
        <w:pStyle w:val="23"/>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项目设有职工食堂，每天供应三餐。根据《四川省地方标准（用水定额）》（DB51/T 2138-2016）及《建筑给水排水设计规范》（GB50015-2010），职工食堂用水定额按每人每餐25L计算，则每人每天用水量为0.075m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/人·d，项目食堂就餐人数120人，则项目食堂用水量为9m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/d（3285m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/a），污水产生系数按80%计，则本项目食堂废水产生量为7.2m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/d（2628m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pStyle w:val="23"/>
        <w:ind w:firstLine="482"/>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8</w:t>
      </w:r>
      <w:r>
        <w:rPr>
          <w:rFonts w:hint="default" w:ascii="Times New Roman" w:hAnsi="Times New Roman" w:eastAsia="宋体" w:cs="Times New Roman"/>
          <w:b/>
          <w:color w:val="auto"/>
          <w:sz w:val="24"/>
          <w:szCs w:val="24"/>
        </w:rPr>
        <w:t>、夏季</w:t>
      </w:r>
      <w:r>
        <w:rPr>
          <w:rFonts w:hint="eastAsia" w:ascii="Times New Roman" w:hAnsi="Times New Roman" w:cs="Times New Roman"/>
          <w:b/>
          <w:color w:val="auto"/>
          <w:sz w:val="24"/>
          <w:szCs w:val="24"/>
          <w:lang w:eastAsia="zh-CN"/>
        </w:rPr>
        <w:t>水帘</w:t>
      </w:r>
      <w:r>
        <w:rPr>
          <w:rFonts w:hint="default" w:ascii="Times New Roman" w:hAnsi="Times New Roman" w:eastAsia="宋体" w:cs="Times New Roman"/>
          <w:b/>
          <w:color w:val="auto"/>
          <w:sz w:val="24"/>
          <w:szCs w:val="24"/>
        </w:rPr>
        <w:t>用水</w:t>
      </w:r>
    </w:p>
    <w:p>
      <w:pPr>
        <w:pStyle w:val="23"/>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夏天温度高时，为防止猪只中暑，需要对猪舍进行降温，降温系统使用“负压风机+水帘”系统，安装水帘机（共</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2套），每套循环水规模为3m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/h，降温期按3个月估算，运行时间约6h/d，水帘系统用水循环使用，水循环利用约95%，则猪场</w:t>
      </w:r>
      <w:r>
        <w:rPr>
          <w:rFonts w:hint="eastAsia" w:ascii="Times New Roman" w:hAnsi="Times New Roman" w:cs="Times New Roman"/>
          <w:color w:val="auto"/>
          <w:sz w:val="24"/>
          <w:szCs w:val="24"/>
          <w:lang w:eastAsia="zh-CN"/>
        </w:rPr>
        <w:t>水帘</w:t>
      </w:r>
      <w:r>
        <w:rPr>
          <w:rFonts w:hint="default" w:ascii="Times New Roman" w:hAnsi="Times New Roman" w:eastAsia="宋体" w:cs="Times New Roman"/>
          <w:color w:val="auto"/>
          <w:sz w:val="24"/>
          <w:szCs w:val="24"/>
        </w:rPr>
        <w:t>降温系统新鲜水补充量约</w:t>
      </w:r>
      <w:r>
        <w:rPr>
          <w:rFonts w:hint="eastAsia" w:ascii="Times New Roman" w:hAnsi="Times New Roman" w:cs="Times New Roman"/>
          <w:color w:val="auto"/>
          <w:sz w:val="24"/>
          <w:szCs w:val="24"/>
          <w:lang w:val="en-US" w:eastAsia="zh-CN"/>
        </w:rPr>
        <w:t>46.8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cs="Times New Roman"/>
          <w:color w:val="auto"/>
          <w:sz w:val="24"/>
          <w:szCs w:val="24"/>
          <w:lang w:val="en-US" w:eastAsia="zh-CN"/>
        </w:rPr>
        <w:t>4212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/a），该部分用水全部蒸发损耗，无废水产生。</w:t>
      </w:r>
    </w:p>
    <w:p>
      <w:pPr>
        <w:pStyle w:val="23"/>
        <w:ind w:firstLine="482"/>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9</w:t>
      </w:r>
      <w:r>
        <w:rPr>
          <w:rFonts w:hint="default" w:ascii="Times New Roman" w:hAnsi="Times New Roman" w:eastAsia="宋体" w:cs="Times New Roman"/>
          <w:b/>
          <w:color w:val="auto"/>
          <w:sz w:val="24"/>
          <w:szCs w:val="24"/>
        </w:rPr>
        <w:t>、绿化</w:t>
      </w:r>
      <w:r>
        <w:rPr>
          <w:rFonts w:hint="eastAsia" w:cs="Times New Roman"/>
          <w:b/>
          <w:color w:val="auto"/>
          <w:sz w:val="24"/>
          <w:szCs w:val="24"/>
          <w:lang w:eastAsia="zh-CN"/>
        </w:rPr>
        <w:t>林地</w:t>
      </w:r>
      <w:r>
        <w:rPr>
          <w:rFonts w:hint="default" w:ascii="Times New Roman" w:hAnsi="Times New Roman" w:eastAsia="宋体" w:cs="Times New Roman"/>
          <w:b/>
          <w:color w:val="auto"/>
          <w:sz w:val="24"/>
          <w:szCs w:val="24"/>
        </w:rPr>
        <w:t>用水</w:t>
      </w:r>
    </w:p>
    <w:p>
      <w:pPr>
        <w:pStyle w:val="23"/>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本项目厂区绿化</w:t>
      </w:r>
      <w:r>
        <w:rPr>
          <w:rFonts w:hint="eastAsia" w:cs="Times New Roman"/>
          <w:color w:val="auto"/>
          <w:sz w:val="24"/>
          <w:szCs w:val="24"/>
          <w:lang w:eastAsia="zh-CN"/>
        </w:rPr>
        <w:t>林地</w:t>
      </w:r>
      <w:r>
        <w:rPr>
          <w:rFonts w:hint="default" w:ascii="Times New Roman" w:hAnsi="Times New Roman" w:eastAsia="宋体" w:cs="Times New Roman"/>
          <w:color w:val="auto"/>
          <w:sz w:val="24"/>
          <w:szCs w:val="24"/>
        </w:rPr>
        <w:t>面积约5000m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，用水量按1.5L/m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·次计，按每年绿化用水次数为26次计，则绿化用水为</w:t>
      </w:r>
      <w:r>
        <w:rPr>
          <w:rFonts w:hint="eastAsia" w:ascii="Times New Roman" w:hAnsi="Times New Roman" w:cs="Times New Roman"/>
          <w:color w:val="auto"/>
          <w:sz w:val="24"/>
          <w:szCs w:val="24"/>
          <w:lang w:val="en-US" w:eastAsia="zh-CN"/>
        </w:rPr>
        <w:t>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/次，</w:t>
      </w:r>
      <w:r>
        <w:rPr>
          <w:rFonts w:hint="eastAsia" w:ascii="Times New Roman" w:hAnsi="Times New Roman" w:cs="Times New Roman"/>
          <w:color w:val="auto"/>
          <w:sz w:val="24"/>
          <w:szCs w:val="24"/>
          <w:lang w:val="en-US" w:eastAsia="zh-CN"/>
        </w:rPr>
        <w:t>195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/a；该部分用水使用污水处理设施储存池尾水，不计入用水量；经绿化吸收和自然蒸发，无废水产生。</w:t>
      </w:r>
    </w:p>
    <w:p>
      <w:pPr>
        <w:pStyle w:val="23"/>
        <w:wordWrap w:val="0"/>
        <w:ind w:firstLine="480"/>
        <w:rPr>
          <w:rFonts w:ascii="Times New Roman" w:hAnsi="Times New Roman"/>
          <w:color w:val="auto"/>
        </w:rPr>
      </w:pPr>
      <w:r>
        <w:rPr>
          <w:rFonts w:ascii="Times New Roman" w:hAnsi="Times New Roman"/>
          <w:color w:val="auto"/>
        </w:rPr>
        <w:t>本项目运营期用水量预测及分配情况见下表3</w:t>
      </w:r>
      <w:r>
        <w:rPr>
          <w:rFonts w:hint="eastAsia" w:ascii="Times New Roman" w:hAnsi="Times New Roman"/>
          <w:color w:val="auto"/>
          <w:lang w:val="en-US" w:eastAsia="zh-CN"/>
        </w:rPr>
        <w:t>.2</w:t>
      </w:r>
      <w:r>
        <w:rPr>
          <w:rFonts w:ascii="Times New Roman" w:hAnsi="Times New Roman"/>
          <w:color w:val="auto"/>
        </w:rPr>
        <w:t>-</w:t>
      </w:r>
      <w:r>
        <w:rPr>
          <w:rFonts w:hint="eastAsia" w:ascii="Times New Roman" w:hAnsi="Times New Roman"/>
          <w:color w:val="auto"/>
          <w:lang w:val="en-US" w:eastAsia="zh-CN"/>
        </w:rPr>
        <w:t>9</w:t>
      </w:r>
      <w:r>
        <w:rPr>
          <w:rFonts w:ascii="Times New Roman" w:hAnsi="Times New Roman"/>
          <w:color w:val="auto"/>
        </w:rPr>
        <w:t>。</w:t>
      </w:r>
    </w:p>
    <w:p>
      <w:pPr>
        <w:pStyle w:val="2503"/>
        <w:numPr>
          <w:ilvl w:val="0"/>
          <w:numId w:val="19"/>
        </w:numPr>
        <w:spacing w:before="120"/>
        <w:ind w:left="0" w:leftChars="0" w:firstLine="403" w:firstLineChars="0"/>
        <w:rPr>
          <w:color w:val="auto"/>
        </w:rPr>
      </w:pPr>
      <w:r>
        <w:rPr>
          <w:rFonts w:hint="eastAsia" w:ascii="Times New Roman" w:hAnsi="Times New Roman" w:cs="Times New Roman"/>
          <w:color w:val="auto"/>
          <w:lang w:val="en-US" w:eastAsia="zh-CN"/>
        </w:rPr>
        <w:t xml:space="preserve">  </w:t>
      </w:r>
      <w:r>
        <w:rPr>
          <w:color w:val="auto"/>
        </w:rPr>
        <w:t>项目用水量预测及分配情况表</w:t>
      </w:r>
    </w:p>
    <w:tbl>
      <w:tblPr>
        <w:tblStyle w:val="88"/>
        <w:tblW w:w="4995"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54"/>
        <w:gridCol w:w="918"/>
        <w:gridCol w:w="858"/>
        <w:gridCol w:w="1177"/>
        <w:gridCol w:w="836"/>
        <w:gridCol w:w="939"/>
        <w:gridCol w:w="1460"/>
        <w:gridCol w:w="145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070" w:type="pct"/>
            <w:gridSpan w:val="2"/>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用水项目</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用水标准</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用水规模</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排污系数</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用水量（m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/d）</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废水量（m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/d）</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53" w:type="pct"/>
            <w:vMerge w:val="restart"/>
            <w:tcBorders>
              <w:left w:val="single" w:color="auto" w:sz="4" w:space="0"/>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猪饮用水</w:t>
            </w:r>
          </w:p>
        </w:tc>
        <w:tc>
          <w:tcPr>
            <w:tcW w:w="516"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母猪</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20.4</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27.6</w:t>
            </w:r>
            <w:r>
              <w:rPr>
                <w:rFonts w:hint="default" w:ascii="Times New Roman" w:hAnsi="Times New Roman" w:cs="Times New Roman"/>
                <w:color w:val="auto"/>
                <w:sz w:val="21"/>
                <w:szCs w:val="21"/>
              </w:rPr>
              <w:t>L/头·d</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15862</w:t>
            </w:r>
            <w:r>
              <w:rPr>
                <w:rFonts w:hint="default" w:ascii="Times New Roman" w:hAnsi="Times New Roman" w:cs="Times New Roman"/>
                <w:color w:val="auto"/>
                <w:sz w:val="21"/>
                <w:szCs w:val="21"/>
              </w:rPr>
              <w:t>头</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299.37</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131.97</w:t>
            </w:r>
            <w:r>
              <w:rPr>
                <w:rFonts w:hint="default" w:ascii="Times New Roman" w:hAnsi="Times New Roman" w:cs="Times New Roman"/>
                <w:color w:val="auto"/>
                <w:sz w:val="21"/>
                <w:szCs w:val="21"/>
              </w:rPr>
              <w:t>（猪尿）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53" w:type="pct"/>
            <w:vMerge w:val="continue"/>
            <w:tcBorders>
              <w:left w:val="single" w:color="auto" w:sz="4" w:space="0"/>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p>
        </w:tc>
        <w:tc>
          <w:tcPr>
            <w:tcW w:w="516"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公猪</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20.4</w:t>
            </w:r>
            <w:r>
              <w:rPr>
                <w:rFonts w:hint="default" w:ascii="Times New Roman" w:hAnsi="Times New Roman" w:cs="Times New Roman"/>
                <w:color w:val="auto"/>
                <w:sz w:val="21"/>
                <w:szCs w:val="21"/>
              </w:rPr>
              <w:t>L/头·d</w:t>
            </w:r>
            <w:r>
              <w:rPr>
                <w:rFonts w:hint="eastAsia" w:ascii="Times New Roman" w:hAnsi="Times New Roman" w:cs="Times New Roman"/>
                <w:color w:val="auto"/>
                <w:sz w:val="21"/>
                <w:szCs w:val="21"/>
                <w:lang w:eastAsia="zh-CN"/>
              </w:rPr>
              <w:t>的</w:t>
            </w:r>
            <w:r>
              <w:rPr>
                <w:rFonts w:hint="eastAsia" w:ascii="Times New Roman" w:hAnsi="Times New Roman" w:cs="Times New Roman"/>
                <w:color w:val="auto"/>
                <w:sz w:val="21"/>
                <w:szCs w:val="21"/>
                <w:lang w:val="en-US" w:eastAsia="zh-CN"/>
              </w:rPr>
              <w:t>1</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rPr>
              <w:t>0头</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2.24</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0.99</w:t>
            </w:r>
            <w:r>
              <w:rPr>
                <w:rFonts w:hint="default" w:ascii="Times New Roman" w:hAnsi="Times New Roman" w:cs="Times New Roman"/>
                <w:color w:val="auto"/>
                <w:sz w:val="21"/>
                <w:szCs w:val="21"/>
              </w:rPr>
              <w:t>（猪尿）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53" w:type="pct"/>
            <w:vMerge w:val="continue"/>
            <w:tcBorders>
              <w:left w:val="single" w:color="auto" w:sz="4" w:space="0"/>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p>
        </w:tc>
        <w:tc>
          <w:tcPr>
            <w:tcW w:w="516"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仔猪</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L/头·d</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17980头</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53.94</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24.09</w:t>
            </w:r>
            <w:r>
              <w:rPr>
                <w:rFonts w:hint="default" w:ascii="Times New Roman" w:hAnsi="Times New Roman" w:cs="Times New Roman"/>
                <w:color w:val="auto"/>
                <w:sz w:val="21"/>
                <w:szCs w:val="21"/>
              </w:rPr>
              <w:t>（猪尿）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4</w:t>
            </w:r>
          </w:p>
        </w:tc>
        <w:tc>
          <w:tcPr>
            <w:tcW w:w="1070" w:type="pct"/>
            <w:gridSpan w:val="2"/>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cs="Times New Roman"/>
                <w:color w:val="auto"/>
                <w:sz w:val="21"/>
                <w:szCs w:val="21"/>
              </w:rPr>
              <w:t>猪粪脱水机的脱水量</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cs="Times New Roman"/>
                <w:color w:val="auto"/>
                <w:sz w:val="21"/>
                <w:szCs w:val="21"/>
              </w:rPr>
              <w:t>/</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cs="Times New Roman"/>
                <w:color w:val="auto"/>
                <w:sz w:val="21"/>
                <w:szCs w:val="21"/>
              </w:rPr>
              <w:t>/</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cs="Times New Roman"/>
                <w:color w:val="auto"/>
                <w:sz w:val="21"/>
                <w:szCs w:val="21"/>
              </w:rPr>
              <w:t>/</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cs="Times New Roman"/>
                <w:color w:val="auto"/>
                <w:sz w:val="21"/>
                <w:szCs w:val="21"/>
              </w:rPr>
              <w:t>/</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1"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15.2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5</w:t>
            </w:r>
          </w:p>
        </w:tc>
        <w:tc>
          <w:tcPr>
            <w:tcW w:w="1070" w:type="pct"/>
            <w:gridSpan w:val="2"/>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分娩设备清洗</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L/头</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100</w:t>
            </w:r>
            <w:r>
              <w:rPr>
                <w:rFonts w:hint="default" w:ascii="Times New Roman" w:hAnsi="Times New Roman" w:cs="Times New Roman"/>
                <w:color w:val="auto"/>
                <w:sz w:val="21"/>
                <w:szCs w:val="21"/>
              </w:rPr>
              <w:t>头/d</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0.95</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070" w:type="pct"/>
            <w:gridSpan w:val="2"/>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食槽清洗</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0.8</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7</w:t>
            </w:r>
          </w:p>
        </w:tc>
        <w:tc>
          <w:tcPr>
            <w:tcW w:w="1070" w:type="pct"/>
            <w:gridSpan w:val="2"/>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消毒用水</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全部损耗</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8</w:t>
            </w:r>
          </w:p>
        </w:tc>
        <w:tc>
          <w:tcPr>
            <w:tcW w:w="553" w:type="pct"/>
            <w:vMerge w:val="restart"/>
            <w:tcBorders>
              <w:left w:val="single" w:color="auto" w:sz="4" w:space="0"/>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职工生活用水</w:t>
            </w:r>
          </w:p>
        </w:tc>
        <w:tc>
          <w:tcPr>
            <w:tcW w:w="516"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办公及生活</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100L/人·d</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9</w:t>
            </w:r>
          </w:p>
        </w:tc>
        <w:tc>
          <w:tcPr>
            <w:tcW w:w="553" w:type="pct"/>
            <w:vMerge w:val="continue"/>
            <w:tcBorders>
              <w:left w:val="single" w:color="auto" w:sz="4" w:space="0"/>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p>
        </w:tc>
        <w:tc>
          <w:tcPr>
            <w:tcW w:w="516"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食堂</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25L/人·次</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070" w:type="pct"/>
            <w:gridSpan w:val="2"/>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夏季湿帘用水</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全部损耗</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46.8</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242" w:type="pct"/>
            <w:gridSpan w:val="6"/>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460" w:type="dxa"/>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477.554</w:t>
            </w:r>
          </w:p>
        </w:tc>
        <w:tc>
          <w:tcPr>
            <w:tcW w:w="14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233.75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11</w:t>
            </w:r>
          </w:p>
        </w:tc>
        <w:tc>
          <w:tcPr>
            <w:tcW w:w="1070" w:type="pct"/>
            <w:gridSpan w:val="2"/>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cs="Times New Roman"/>
                <w:color w:val="auto"/>
                <w:sz w:val="21"/>
                <w:szCs w:val="21"/>
              </w:rPr>
              <w:t>猪舍冲洗</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en-US" w:bidi="ar-SA"/>
              </w:rPr>
            </w:pP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L/m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·次计</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cs="Times New Roman"/>
                <w:color w:val="auto"/>
                <w:sz w:val="21"/>
                <w:szCs w:val="21"/>
              </w:rPr>
              <w:t>/</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cs="Times New Roman"/>
                <w:color w:val="auto"/>
                <w:sz w:val="21"/>
                <w:szCs w:val="21"/>
              </w:rPr>
              <w:t>0.9</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33.33</w:t>
            </w:r>
            <w:r>
              <w:rPr>
                <w:rFonts w:hint="default" w:ascii="Times New Roman" w:hAnsi="Times New Roman" w:cs="Times New Roman"/>
                <w:color w:val="auto"/>
                <w:sz w:val="21"/>
                <w:szCs w:val="21"/>
              </w:rPr>
              <w:t>（用储存池尾水，不计入总用水量）</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leftChars="0" w:right="1"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33.33</w:t>
            </w:r>
            <w:r>
              <w:rPr>
                <w:rFonts w:hint="default" w:ascii="Times New Roman" w:hAnsi="Times New Roman" w:cs="Times New Roman"/>
                <w:color w:val="auto"/>
                <w:sz w:val="21"/>
                <w:szCs w:val="21"/>
              </w:rPr>
              <w:t>（用储存池尾水，不计入总用水量）</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4"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2</w:t>
            </w:r>
          </w:p>
        </w:tc>
        <w:tc>
          <w:tcPr>
            <w:tcW w:w="1070" w:type="pct"/>
            <w:gridSpan w:val="2"/>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绿化</w:t>
            </w:r>
            <w:r>
              <w:rPr>
                <w:rFonts w:hint="eastAsia" w:ascii="Times New Roman" w:hAnsi="Times New Roman" w:cs="Times New Roman"/>
                <w:color w:val="auto"/>
                <w:sz w:val="21"/>
                <w:szCs w:val="21"/>
                <w:lang w:eastAsia="zh-CN"/>
              </w:rPr>
              <w:t>林地</w:t>
            </w:r>
            <w:r>
              <w:rPr>
                <w:rFonts w:hint="default" w:ascii="Times New Roman" w:hAnsi="Times New Roman" w:cs="Times New Roman"/>
                <w:color w:val="auto"/>
                <w:sz w:val="21"/>
                <w:szCs w:val="21"/>
              </w:rPr>
              <w:t>用水</w:t>
            </w:r>
          </w:p>
        </w:tc>
        <w:tc>
          <w:tcPr>
            <w:tcW w:w="70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1.5L/m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·次</w:t>
            </w:r>
          </w:p>
        </w:tc>
        <w:tc>
          <w:tcPr>
            <w:tcW w:w="50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5000m</w:t>
            </w:r>
            <w:r>
              <w:rPr>
                <w:rFonts w:hint="default" w:ascii="Times New Roman" w:hAnsi="Times New Roman" w:cs="Times New Roman"/>
                <w:color w:val="auto"/>
                <w:sz w:val="21"/>
                <w:szCs w:val="21"/>
                <w:vertAlign w:val="superscript"/>
              </w:rPr>
              <w:t>2</w:t>
            </w:r>
          </w:p>
        </w:tc>
        <w:tc>
          <w:tcPr>
            <w:tcW w:w="563" w:type="pct"/>
            <w:tcBorders>
              <w:righ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全部损耗</w:t>
            </w:r>
          </w:p>
        </w:tc>
        <w:tc>
          <w:tcPr>
            <w:tcW w:w="880" w:type="pct"/>
            <w:tcBorders>
              <w:left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0.53</w:t>
            </w:r>
            <w:r>
              <w:rPr>
                <w:rFonts w:hint="default" w:ascii="Times New Roman" w:hAnsi="Times New Roman" w:cs="Times New Roman"/>
                <w:color w:val="auto"/>
                <w:sz w:val="21"/>
                <w:szCs w:val="21"/>
              </w:rPr>
              <w:t>（用储存池尾水，不计入总用水量）</w:t>
            </w:r>
          </w:p>
        </w:tc>
        <w:tc>
          <w:tcPr>
            <w:tcW w:w="87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23"/>
        <w:wordWrap w:val="0"/>
        <w:spacing w:line="44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根据上述分析，本项目运营过程中新鲜水总用水量为</w:t>
      </w:r>
      <w:r>
        <w:rPr>
          <w:rFonts w:hint="default" w:ascii="Times New Roman" w:hAnsi="Times New Roman" w:eastAsia="宋体" w:cs="Times New Roman"/>
          <w:color w:val="auto"/>
          <w:sz w:val="24"/>
          <w:szCs w:val="24"/>
          <w:lang w:val="en-US" w:eastAsia="zh-CN"/>
        </w:rPr>
        <w:t>369.29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134790.85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排水量为</w:t>
      </w:r>
      <w:r>
        <w:rPr>
          <w:rFonts w:hint="default" w:ascii="Times New Roman" w:hAnsi="Times New Roman" w:eastAsia="宋体" w:cs="Times New Roman"/>
          <w:color w:val="auto"/>
          <w:sz w:val="24"/>
          <w:szCs w:val="24"/>
          <w:lang w:val="en-US" w:eastAsia="zh-CN"/>
        </w:rPr>
        <w:t>156.22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57020.3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本项目产生的废水经拟建的“</w:t>
      </w:r>
      <w:r>
        <w:rPr>
          <w:rFonts w:hint="default" w:ascii="Times New Roman" w:hAnsi="Times New Roman" w:eastAsia="宋体" w:cs="Times New Roman"/>
          <w:color w:val="auto"/>
          <w:sz w:val="24"/>
          <w:szCs w:val="24"/>
          <w:lang w:eastAsia="zh-CN"/>
        </w:rPr>
        <w:t>固液分离+UASB厌氧+絮凝沉淀+两级A/O系统+混凝絮凝沉淀+消毒</w:t>
      </w:r>
      <w:r>
        <w:rPr>
          <w:rFonts w:hint="default" w:ascii="Times New Roman" w:hAnsi="Times New Roman" w:eastAsia="宋体" w:cs="Times New Roman"/>
          <w:color w:val="auto"/>
          <w:sz w:val="24"/>
          <w:szCs w:val="24"/>
        </w:rPr>
        <w:t>”污水处理设施处理达《农田灌溉水质标准》（GB5084-2005）中旱作标准后暂存于储存池内，用于</w:t>
      </w:r>
      <w:r>
        <w:rPr>
          <w:rFonts w:hint="eastAsia" w:ascii="Times New Roman" w:hAnsi="Times New Roman" w:eastAsia="宋体" w:cs="Times New Roman"/>
          <w:color w:val="auto"/>
          <w:sz w:val="24"/>
          <w:szCs w:val="24"/>
          <w:lang w:eastAsia="zh-CN"/>
        </w:rPr>
        <w:t>生产回用（圈舍冲洗）以及</w:t>
      </w:r>
      <w:r>
        <w:rPr>
          <w:rFonts w:hint="default" w:ascii="Times New Roman" w:hAnsi="Times New Roman" w:eastAsia="宋体" w:cs="Times New Roman"/>
          <w:color w:val="auto"/>
          <w:sz w:val="24"/>
          <w:szCs w:val="24"/>
          <w:lang w:eastAsia="zh-CN"/>
        </w:rPr>
        <w:t>厂内绿化</w:t>
      </w:r>
      <w:r>
        <w:rPr>
          <w:rFonts w:hint="default" w:ascii="Times New Roman" w:hAnsi="Times New Roman" w:eastAsia="宋体" w:cs="Times New Roman"/>
          <w:color w:val="auto"/>
          <w:sz w:val="24"/>
          <w:szCs w:val="24"/>
        </w:rPr>
        <w:t>林地灌溉，不外排。</w:t>
      </w:r>
    </w:p>
    <w:p>
      <w:pPr>
        <w:jc w:val="center"/>
        <w:rPr>
          <w:color w:val="auto"/>
        </w:rPr>
      </w:pPr>
      <w:r>
        <w:rPr>
          <w:color w:val="auto"/>
        </w:rPr>
        <w:object>
          <v:shape id="_x0000_i1028" o:spt="75" type="#_x0000_t75" style="height:390pt;width:358.5pt;" o:ole="t" filled="f" o:preferrelative="t" stroked="f" coordsize="21600,21600">
            <v:path/>
            <v:fill on="f" focussize="0,0"/>
            <v:stroke on="f"/>
            <v:imagedata r:id="rId26" o:title=""/>
            <o:lock v:ext="edit" aspectratio="f"/>
            <w10:wrap type="none"/>
            <w10:anchorlock/>
          </v:shape>
          <o:OLEObject Type="Embed" ProgID="Visio.Drawing.11" ShapeID="_x0000_i1028" DrawAspect="Content" ObjectID="_1468075728" r:id="rId25">
            <o:LockedField>false</o:LockedField>
          </o:OLEObject>
        </w:object>
      </w:r>
    </w:p>
    <w:p>
      <w:pPr>
        <w:jc w:val="center"/>
        <w:rPr>
          <w:rFonts w:ascii="Times New Roman" w:hAnsi="Times New Roman" w:eastAsia="宋体" w:cs="Times New Roman"/>
          <w:b/>
          <w:color w:val="auto"/>
          <w:szCs w:val="20"/>
        </w:rPr>
      </w:pPr>
      <w:r>
        <w:rPr>
          <w:rFonts w:ascii="Times New Roman" w:hAnsi="Times New Roman" w:eastAsia="宋体" w:cs="Times New Roman"/>
          <w:b/>
          <w:color w:val="auto"/>
          <w:szCs w:val="20"/>
        </w:rPr>
        <w:t>图</w:t>
      </w:r>
      <w:r>
        <w:rPr>
          <w:rFonts w:ascii="Times New Roman" w:hAnsi="Times New Roman" w:eastAsia="宋体" w:cs="Times New Roman"/>
          <w:b/>
          <w:color w:val="auto"/>
          <w:szCs w:val="20"/>
        </w:rPr>
        <w:fldChar w:fldCharType="begin"/>
      </w:r>
      <w:r>
        <w:rPr>
          <w:rFonts w:ascii="Times New Roman" w:hAnsi="Times New Roman" w:eastAsia="宋体" w:cs="Times New Roman"/>
          <w:b/>
          <w:color w:val="auto"/>
          <w:szCs w:val="20"/>
        </w:rPr>
        <w:instrText xml:space="preserve"> STYLEREF 1 \s </w:instrText>
      </w:r>
      <w:r>
        <w:rPr>
          <w:rFonts w:ascii="Times New Roman" w:hAnsi="Times New Roman" w:eastAsia="宋体" w:cs="Times New Roman"/>
          <w:b/>
          <w:color w:val="auto"/>
          <w:szCs w:val="20"/>
        </w:rPr>
        <w:fldChar w:fldCharType="separate"/>
      </w:r>
      <w:r>
        <w:rPr>
          <w:rFonts w:ascii="Times New Roman" w:hAnsi="Times New Roman" w:eastAsia="宋体" w:cs="Times New Roman"/>
          <w:b/>
          <w:color w:val="auto"/>
          <w:szCs w:val="20"/>
        </w:rPr>
        <w:t>3</w:t>
      </w:r>
      <w:r>
        <w:rPr>
          <w:rFonts w:ascii="Times New Roman" w:hAnsi="Times New Roman" w:eastAsia="宋体" w:cs="Times New Roman"/>
          <w:b/>
          <w:color w:val="auto"/>
          <w:szCs w:val="20"/>
        </w:rPr>
        <w:fldChar w:fldCharType="end"/>
      </w:r>
      <w:r>
        <w:rPr>
          <w:rFonts w:ascii="Times New Roman" w:hAnsi="Times New Roman" w:eastAsia="宋体" w:cs="Times New Roman"/>
          <w:b/>
          <w:color w:val="auto"/>
          <w:szCs w:val="20"/>
        </w:rPr>
        <w:noBreakHyphen/>
      </w:r>
      <w:r>
        <w:rPr>
          <w:rFonts w:ascii="Times New Roman" w:hAnsi="Times New Roman" w:eastAsia="宋体" w:cs="Times New Roman"/>
          <w:b/>
          <w:color w:val="auto"/>
          <w:szCs w:val="20"/>
        </w:rPr>
        <w:fldChar w:fldCharType="begin"/>
      </w:r>
      <w:r>
        <w:rPr>
          <w:rFonts w:ascii="Times New Roman" w:hAnsi="Times New Roman" w:eastAsia="宋体" w:cs="Times New Roman"/>
          <w:b/>
          <w:color w:val="auto"/>
          <w:szCs w:val="20"/>
        </w:rPr>
        <w:instrText xml:space="preserve"> SEQ 图 \* ARABIC \s 1 </w:instrText>
      </w:r>
      <w:r>
        <w:rPr>
          <w:rFonts w:ascii="Times New Roman" w:hAnsi="Times New Roman" w:eastAsia="宋体" w:cs="Times New Roman"/>
          <w:b/>
          <w:color w:val="auto"/>
          <w:szCs w:val="20"/>
        </w:rPr>
        <w:fldChar w:fldCharType="separate"/>
      </w:r>
      <w:r>
        <w:rPr>
          <w:rFonts w:ascii="Times New Roman" w:hAnsi="Times New Roman" w:eastAsia="宋体" w:cs="Times New Roman"/>
          <w:b/>
          <w:color w:val="auto"/>
          <w:szCs w:val="20"/>
        </w:rPr>
        <w:t>5</w:t>
      </w:r>
      <w:r>
        <w:rPr>
          <w:rFonts w:ascii="Times New Roman" w:hAnsi="Times New Roman" w:eastAsia="宋体" w:cs="Times New Roman"/>
          <w:b/>
          <w:color w:val="auto"/>
          <w:szCs w:val="20"/>
        </w:rPr>
        <w:fldChar w:fldCharType="end"/>
      </w:r>
      <w:r>
        <w:rPr>
          <w:rFonts w:ascii="Times New Roman" w:hAnsi="Times New Roman" w:eastAsia="宋体" w:cs="Times New Roman"/>
          <w:b/>
          <w:color w:val="auto"/>
          <w:szCs w:val="20"/>
        </w:rPr>
        <w:t xml:space="preserve">  </w:t>
      </w:r>
      <w:r>
        <w:rPr>
          <w:rFonts w:hint="eastAsia" w:ascii="Times New Roman" w:hAnsi="Times New Roman" w:eastAsia="宋体" w:cs="Times New Roman"/>
          <w:b/>
          <w:color w:val="auto"/>
          <w:szCs w:val="20"/>
        </w:rPr>
        <w:t>项目水平衡图（</w:t>
      </w:r>
      <w:r>
        <w:rPr>
          <w:rFonts w:ascii="Times New Roman" w:hAnsi="Times New Roman" w:eastAsia="宋体" w:cs="Times New Roman"/>
          <w:b/>
          <w:color w:val="auto"/>
          <w:szCs w:val="20"/>
        </w:rPr>
        <w:t>m</w:t>
      </w:r>
      <w:r>
        <w:rPr>
          <w:rFonts w:ascii="Times New Roman" w:hAnsi="Times New Roman" w:eastAsia="宋体" w:cs="Times New Roman"/>
          <w:b/>
          <w:color w:val="auto"/>
          <w:szCs w:val="20"/>
          <w:vertAlign w:val="superscript"/>
        </w:rPr>
        <w:t>3</w:t>
      </w:r>
      <w:r>
        <w:rPr>
          <w:rFonts w:ascii="Times New Roman" w:hAnsi="Times New Roman" w:eastAsia="宋体" w:cs="Times New Roman"/>
          <w:b/>
          <w:color w:val="auto"/>
          <w:szCs w:val="20"/>
        </w:rPr>
        <w:t>/d</w:t>
      </w:r>
      <w:r>
        <w:rPr>
          <w:rFonts w:hint="eastAsia" w:ascii="Times New Roman" w:hAnsi="Times New Roman" w:eastAsia="宋体" w:cs="Times New Roman"/>
          <w:b/>
          <w:color w:val="auto"/>
          <w:szCs w:val="20"/>
        </w:rPr>
        <w:t>）</w:t>
      </w:r>
    </w:p>
    <w:p>
      <w:pPr>
        <w:widowControl/>
        <w:spacing w:line="240" w:lineRule="auto"/>
        <w:jc w:val="left"/>
        <w:rPr>
          <w:rFonts w:ascii="Times New Roman" w:hAnsi="Times New Roman" w:eastAsia="宋体" w:cs="Times New Roman"/>
          <w:b/>
          <w:color w:val="auto"/>
          <w:szCs w:val="20"/>
        </w:rPr>
      </w:pPr>
      <w:r>
        <w:rPr>
          <w:rFonts w:ascii="Times New Roman" w:hAnsi="Times New Roman" w:eastAsia="宋体" w:cs="Times New Roman"/>
          <w:b/>
          <w:color w:val="auto"/>
          <w:szCs w:val="20"/>
        </w:rPr>
        <w:br w:type="page"/>
      </w:r>
    </w:p>
    <w:p>
      <w:pPr>
        <w:pStyle w:val="7"/>
        <w:spacing w:before="0" w:after="0" w:line="360" w:lineRule="auto"/>
        <w:ind w:left="0" w:firstLine="0"/>
        <w:rPr>
          <w:rFonts w:hint="default" w:cs="Times New Roman"/>
          <w:color w:val="auto"/>
          <w:lang w:eastAsia="zh-CN"/>
        </w:rPr>
      </w:pPr>
      <w:bookmarkStart w:id="189" w:name="_Toc20809"/>
      <w:r>
        <w:rPr>
          <w:rFonts w:hint="eastAsia" w:cs="Times New Roman"/>
          <w:color w:val="auto"/>
          <w:lang w:eastAsia="zh-CN"/>
        </w:rPr>
        <w:t>运营期污染物产生及治理措施</w:t>
      </w:r>
      <w:bookmarkEnd w:id="189"/>
    </w:p>
    <w:p>
      <w:pPr>
        <w:pStyle w:val="8"/>
        <w:bidi w:val="0"/>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运营期废水产生、治理及排放</w:t>
      </w:r>
    </w:p>
    <w:p>
      <w:pPr>
        <w:ind w:firstLine="480"/>
        <w:rPr>
          <w:rFonts w:hint="eastAsia"/>
          <w:color w:val="auto"/>
          <w:sz w:val="24"/>
          <w:szCs w:val="24"/>
        </w:rPr>
      </w:pPr>
      <w:r>
        <w:rPr>
          <w:rFonts w:hint="eastAsia"/>
          <w:color w:val="auto"/>
          <w:sz w:val="24"/>
          <w:szCs w:val="24"/>
        </w:rPr>
        <w:t>本项目废水主要</w:t>
      </w:r>
      <w:r>
        <w:rPr>
          <w:rFonts w:hint="eastAsia"/>
          <w:color w:val="auto"/>
          <w:sz w:val="24"/>
          <w:szCs w:val="24"/>
          <w:lang w:eastAsia="zh-CN"/>
        </w:rPr>
        <w:t>为生产废水和生活废水，生产废水主要为</w:t>
      </w:r>
      <w:r>
        <w:rPr>
          <w:rFonts w:hint="eastAsia"/>
          <w:color w:val="auto"/>
          <w:sz w:val="24"/>
          <w:szCs w:val="24"/>
        </w:rPr>
        <w:t>养殖过程中产生的猪只尿液、猪舍冲洗废水、分娩设备清洗废水；生活污水主要为职工办公、食堂餐饮废水。</w:t>
      </w:r>
    </w:p>
    <w:p>
      <w:pPr>
        <w:ind w:firstLine="482"/>
        <w:rPr>
          <w:b/>
          <w:color w:val="auto"/>
          <w:sz w:val="24"/>
          <w:szCs w:val="24"/>
        </w:rPr>
      </w:pPr>
      <w:r>
        <w:rPr>
          <w:b/>
          <w:color w:val="auto"/>
          <w:sz w:val="24"/>
          <w:szCs w:val="24"/>
        </w:rPr>
        <w:t>（1）养殖废水</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为避免猪传染病的发生，猪群需要一个良好的生长环境，猪舍需保持干燥、清洁，猪舍用具及环境需定期冲洗和消毒。调研同类规模猪场及参考《畜禽养殖业污染治理工程技术规范》(HJ 497-2009)表A.1中提供的参考数据</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根据项目水平衡分析，运营期猪尿、猪粪脱水</w:t>
      </w:r>
      <w:r>
        <w:rPr>
          <w:rFonts w:hint="eastAsia" w:ascii="Times New Roman" w:hAnsi="Times New Roman" w:cs="Times New Roman"/>
          <w:color w:val="auto"/>
          <w:sz w:val="24"/>
          <w:szCs w:val="24"/>
          <w:lang w:eastAsia="zh-CN"/>
        </w:rPr>
        <w:t>、清洗</w:t>
      </w:r>
      <w:r>
        <w:rPr>
          <w:rFonts w:hint="default" w:ascii="Times New Roman" w:hAnsi="Times New Roman" w:cs="Times New Roman"/>
          <w:color w:val="auto"/>
          <w:sz w:val="24"/>
          <w:szCs w:val="24"/>
        </w:rPr>
        <w:t>废水产生量约</w:t>
      </w:r>
      <w:r>
        <w:rPr>
          <w:rFonts w:hint="eastAsia" w:ascii="Times New Roman" w:hAnsi="Times New Roman" w:cs="Times New Roman"/>
          <w:color w:val="auto"/>
          <w:sz w:val="24"/>
          <w:szCs w:val="24"/>
          <w:lang w:val="en-US" w:eastAsia="zh-CN"/>
        </w:rPr>
        <w:t>216.95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/d，合计</w:t>
      </w:r>
      <w:r>
        <w:rPr>
          <w:rFonts w:hint="eastAsia" w:ascii="Times New Roman" w:hAnsi="Times New Roman" w:cs="Times New Roman"/>
          <w:color w:val="auto"/>
          <w:sz w:val="24"/>
          <w:szCs w:val="24"/>
          <w:lang w:val="en-US" w:eastAsia="zh-CN"/>
        </w:rPr>
        <w:t>79186.75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/a。项目废水水质及污染物产生量见下表。</w:t>
      </w:r>
    </w:p>
    <w:p>
      <w:pPr>
        <w:pStyle w:val="2503"/>
        <w:numPr>
          <w:ilvl w:val="0"/>
          <w:numId w:val="19"/>
        </w:numPr>
        <w:spacing w:before="120"/>
        <w:ind w:left="0" w:leftChars="0" w:firstLine="403"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项目养殖废水水质情况一览表</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599"/>
        <w:gridCol w:w="1602"/>
        <w:gridCol w:w="655"/>
        <w:gridCol w:w="623"/>
        <w:gridCol w:w="531"/>
        <w:gridCol w:w="489"/>
        <w:gridCol w:w="384"/>
        <w:gridCol w:w="489"/>
        <w:gridCol w:w="594"/>
        <w:gridCol w:w="1340"/>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养殖废水</w:t>
            </w:r>
          </w:p>
        </w:tc>
        <w:tc>
          <w:tcPr>
            <w:tcW w:w="0" w:type="auto"/>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655"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623" w:type="dxa"/>
            <w:noWrap w:val="0"/>
            <w:vAlign w:val="center"/>
          </w:tcPr>
          <w:p>
            <w:pPr>
              <w:pStyle w:val="163"/>
              <w:keepNext w:val="0"/>
              <w:keepLines w:val="0"/>
              <w:suppressLineNumbers w:val="0"/>
              <w:kinsoku w:val="0"/>
              <w:overflowPunct w:val="0"/>
              <w:spacing w:before="12"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COD</w:t>
            </w:r>
            <w:r>
              <w:rPr>
                <w:rFonts w:hint="default" w:ascii="Times New Roman" w:hAnsi="Times New Roman" w:eastAsia="宋体" w:cs="Times New Roman"/>
                <w:color w:val="auto"/>
                <w:sz w:val="21"/>
                <w:szCs w:val="21"/>
              </w:rPr>
              <w:t>cr</w:t>
            </w:r>
          </w:p>
        </w:tc>
        <w:tc>
          <w:tcPr>
            <w:tcW w:w="0" w:type="auto"/>
            <w:noWrap w:val="0"/>
            <w:vAlign w:val="center"/>
          </w:tcPr>
          <w:p>
            <w:pPr>
              <w:pStyle w:val="163"/>
              <w:keepNext w:val="0"/>
              <w:keepLines w:val="0"/>
              <w:suppressLineNumbers w:val="0"/>
              <w:kinsoku w:val="0"/>
              <w:overflowPunct w:val="0"/>
              <w:spacing w:before="0" w:beforeAutospacing="0" w:after="0" w:afterAutospacing="0" w:line="241" w:lineRule="exact"/>
              <w:ind w:left="0" w:right="3"/>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0" w:type="auto"/>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0" w:type="auto"/>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TP</w:t>
            </w:r>
          </w:p>
        </w:tc>
        <w:tc>
          <w:tcPr>
            <w:tcW w:w="0" w:type="auto"/>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TN</w:t>
            </w:r>
          </w:p>
        </w:tc>
        <w:tc>
          <w:tcPr>
            <w:tcW w:w="0" w:type="auto"/>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0" w:type="auto"/>
            <w:noWrap w:val="0"/>
            <w:vAlign w:val="center"/>
          </w:tcPr>
          <w:p>
            <w:pPr>
              <w:pStyle w:val="163"/>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粪大肠菌群</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Merge w:val="restart"/>
            <w:noWrap w:val="0"/>
            <w:vAlign w:val="center"/>
          </w:tcPr>
          <w:p>
            <w:pPr>
              <w:pStyle w:val="163"/>
              <w:keepNext w:val="0"/>
              <w:keepLines w:val="0"/>
              <w:suppressLineNumbers w:val="0"/>
              <w:kinsoku w:val="0"/>
              <w:overflowPunct w:val="0"/>
              <w:spacing w:before="20" w:beforeAutospacing="0" w:after="0" w:afterAutospacing="0" w:line="225" w:lineRule="exact"/>
              <w:ind w:left="0" w:right="2"/>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216.95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p>
            <w:pPr>
              <w:pStyle w:val="163"/>
              <w:keepNext w:val="0"/>
              <w:keepLines w:val="0"/>
              <w:suppressLineNumbers w:val="0"/>
              <w:kinsoku w:val="0"/>
              <w:overflowPunct w:val="0"/>
              <w:spacing w:before="0" w:beforeAutospacing="0" w:after="0" w:afterAutospacing="0" w:line="274"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79186.75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0" w:type="auto"/>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产生浓度（mg/L）</w:t>
            </w:r>
          </w:p>
        </w:tc>
        <w:tc>
          <w:tcPr>
            <w:tcW w:w="655"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6.3~7.5</w:t>
            </w:r>
          </w:p>
        </w:tc>
        <w:tc>
          <w:tcPr>
            <w:tcW w:w="623"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2640</w:t>
            </w:r>
          </w:p>
        </w:tc>
        <w:tc>
          <w:tcPr>
            <w:tcW w:w="0" w:type="auto"/>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1200</w:t>
            </w:r>
          </w:p>
        </w:tc>
        <w:tc>
          <w:tcPr>
            <w:tcW w:w="0" w:type="auto"/>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261</w:t>
            </w:r>
          </w:p>
        </w:tc>
        <w:tc>
          <w:tcPr>
            <w:tcW w:w="0" w:type="auto"/>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43.5</w:t>
            </w:r>
          </w:p>
        </w:tc>
        <w:tc>
          <w:tcPr>
            <w:tcW w:w="0" w:type="auto"/>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370</w:t>
            </w:r>
          </w:p>
        </w:tc>
        <w:tc>
          <w:tcPr>
            <w:tcW w:w="0" w:type="auto"/>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5000</w:t>
            </w:r>
          </w:p>
        </w:tc>
        <w:tc>
          <w:tcPr>
            <w:tcW w:w="0" w:type="auto"/>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22000个/100mL</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Merge w:val="continue"/>
            <w:noWrap w:val="0"/>
            <w:vAlign w:val="center"/>
          </w:tcPr>
          <w:p>
            <w:pPr>
              <w:pStyle w:val="163"/>
              <w:keepNext w:val="0"/>
              <w:keepLines w:val="0"/>
              <w:suppressLineNumbers w:val="0"/>
              <w:kinsoku w:val="0"/>
              <w:overflowPunct w:val="0"/>
              <w:spacing w:before="15" w:beforeAutospacing="0" w:after="0" w:afterAutospacing="0"/>
              <w:ind w:left="1" w:right="0" w:firstLine="480"/>
              <w:jc w:val="center"/>
              <w:rPr>
                <w:rFonts w:hint="default" w:ascii="Times New Roman" w:hAnsi="Times New Roman" w:eastAsia="宋体" w:cs="Times New Roman"/>
                <w:color w:val="auto"/>
                <w:sz w:val="21"/>
                <w:szCs w:val="21"/>
              </w:rPr>
            </w:pPr>
          </w:p>
        </w:tc>
        <w:tc>
          <w:tcPr>
            <w:tcW w:w="0" w:type="auto"/>
            <w:noWrap w:val="0"/>
            <w:vAlign w:val="center"/>
          </w:tcPr>
          <w:p>
            <w:pPr>
              <w:pStyle w:val="163"/>
              <w:keepNext w:val="0"/>
              <w:keepLines w:val="0"/>
              <w:suppressLineNumbers w:val="0"/>
              <w:kinsoku w:val="0"/>
              <w:overflowPunct w:val="0"/>
              <w:spacing w:before="0" w:beforeAutospacing="0" w:after="0" w:afterAutospacing="0" w:line="256"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655" w:type="dxa"/>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c>
          <w:tcPr>
            <w:tcW w:w="62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 xml:space="preserve">209.05 </w:t>
            </w:r>
          </w:p>
        </w:tc>
        <w:tc>
          <w:tcPr>
            <w:tcW w:w="53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95.02 </w:t>
            </w:r>
          </w:p>
        </w:tc>
        <w:tc>
          <w:tcPr>
            <w:tcW w:w="48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 xml:space="preserve">20.67 </w:t>
            </w:r>
          </w:p>
        </w:tc>
        <w:tc>
          <w:tcPr>
            <w:tcW w:w="3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3.44 </w:t>
            </w:r>
          </w:p>
        </w:tc>
        <w:tc>
          <w:tcPr>
            <w:tcW w:w="48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 xml:space="preserve">29.30 </w:t>
            </w:r>
          </w:p>
        </w:tc>
        <w:tc>
          <w:tcPr>
            <w:tcW w:w="59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395.93 </w:t>
            </w:r>
          </w:p>
        </w:tc>
        <w:tc>
          <w:tcPr>
            <w:tcW w:w="0" w:type="auto"/>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项目运营期养殖污水量为</w:t>
      </w:r>
      <w:r>
        <w:rPr>
          <w:rFonts w:hint="eastAsia" w:ascii="Times New Roman" w:hAnsi="Times New Roman" w:cs="Times New Roman"/>
          <w:color w:val="auto"/>
          <w:sz w:val="24"/>
          <w:szCs w:val="24"/>
          <w:lang w:val="en-US" w:eastAsia="zh-CN"/>
        </w:rPr>
        <w:t>216.95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/d，其CODcr、NH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-N、TP浓度分别为 2640mg/L、261mg/L、43.5mg/L。</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根据《畜禽养殖业污染物排放标准》（GB18596-2001）的要求，对集约化畜禽养殖业干清粪工艺最高允许排水量数据见表3.</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w:t>
      </w:r>
    </w:p>
    <w:p>
      <w:pPr>
        <w:pStyle w:val="2503"/>
        <w:numPr>
          <w:ilvl w:val="0"/>
          <w:numId w:val="19"/>
        </w:numPr>
        <w:spacing w:before="120"/>
        <w:ind w:left="0" w:leftChars="0" w:firstLine="403" w:firstLineChars="0"/>
        <w:rPr>
          <w:rFonts w:hint="eastAsia" w:ascii="宋体" w:hAnsi="宋体" w:eastAsia="宋体" w:cs="宋体"/>
          <w:color w:val="auto"/>
        </w:rPr>
      </w:pPr>
      <w:r>
        <w:rPr>
          <w:color w:val="auto"/>
        </w:rPr>
        <w:t xml:space="preserve">   集</w:t>
      </w:r>
      <w:r>
        <w:rPr>
          <w:rFonts w:hint="eastAsia" w:ascii="宋体" w:hAnsi="宋体" w:eastAsia="宋体" w:cs="宋体"/>
          <w:color w:val="auto"/>
        </w:rPr>
        <w:t>约化畜禽养殖业干清粪工艺最高允许排水量</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1264"/>
        <w:gridCol w:w="1265"/>
        <w:gridCol w:w="1264"/>
        <w:gridCol w:w="1265"/>
        <w:gridCol w:w="1264"/>
        <w:gridCol w:w="1264"/>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20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种类</w:t>
            </w:r>
          </w:p>
        </w:tc>
        <w:tc>
          <w:tcPr>
            <w:tcW w:w="2529" w:type="dxa"/>
            <w:gridSpan w:val="2"/>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猪（m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/百头·天）</w:t>
            </w:r>
          </w:p>
        </w:tc>
        <w:tc>
          <w:tcPr>
            <w:tcW w:w="2529" w:type="dxa"/>
            <w:gridSpan w:val="2"/>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鸡（m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/千只·天）</w:t>
            </w:r>
          </w:p>
        </w:tc>
        <w:tc>
          <w:tcPr>
            <w:tcW w:w="2528" w:type="dxa"/>
            <w:gridSpan w:val="2"/>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牛（m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/百头·天）</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20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季节</w:t>
            </w:r>
          </w:p>
        </w:tc>
        <w:tc>
          <w:tcPr>
            <w:tcW w:w="1264"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冬季</w:t>
            </w:r>
          </w:p>
        </w:tc>
        <w:tc>
          <w:tcPr>
            <w:tcW w:w="1265"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夏季</w:t>
            </w:r>
          </w:p>
        </w:tc>
        <w:tc>
          <w:tcPr>
            <w:tcW w:w="1264"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冬季</w:t>
            </w:r>
          </w:p>
        </w:tc>
        <w:tc>
          <w:tcPr>
            <w:tcW w:w="1265"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夏季</w:t>
            </w:r>
          </w:p>
        </w:tc>
        <w:tc>
          <w:tcPr>
            <w:tcW w:w="1264"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冬季</w:t>
            </w:r>
          </w:p>
        </w:tc>
        <w:tc>
          <w:tcPr>
            <w:tcW w:w="1264"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夏季</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20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1264"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265"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264"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265"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264"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264"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bl>
    <w:p>
      <w:pPr>
        <w:pStyle w:val="23"/>
        <w:spacing w:line="240" w:lineRule="auto"/>
        <w:ind w:firstLine="0" w:firstLineChars="0"/>
        <w:rPr>
          <w:rFonts w:ascii="Times New Roman" w:hAnsi="Times New Roman" w:eastAsia="黑体"/>
          <w:color w:val="auto"/>
          <w:sz w:val="21"/>
          <w:szCs w:val="21"/>
        </w:rPr>
      </w:pPr>
      <w:r>
        <w:rPr>
          <w:rFonts w:ascii="Times New Roman" w:hAnsi="Times New Roman" w:eastAsia="黑体"/>
          <w:color w:val="auto"/>
          <w:sz w:val="21"/>
          <w:szCs w:val="21"/>
        </w:rPr>
        <w:t>注：废水最高允许排放量的单位中，百头、千只均指存栏数。春、秋季度水最高允许排放量按冬、夏两季的平均值计算。</w:t>
      </w:r>
    </w:p>
    <w:p>
      <w:pPr>
        <w:pStyle w:val="23"/>
        <w:spacing w:line="440" w:lineRule="exact"/>
        <w:ind w:firstLine="480"/>
        <w:rPr>
          <w:rFonts w:ascii="Times New Roman" w:hAnsi="Times New Roman"/>
          <w:color w:val="auto"/>
        </w:rPr>
      </w:pPr>
      <w:r>
        <w:rPr>
          <w:rFonts w:ascii="Times New Roman" w:hAnsi="Times New Roman"/>
          <w:color w:val="auto"/>
        </w:rPr>
        <w:t>由表3.</w:t>
      </w:r>
      <w:r>
        <w:rPr>
          <w:rFonts w:hint="eastAsia"/>
          <w:color w:val="auto"/>
          <w:lang w:val="en-US" w:eastAsia="zh-CN"/>
        </w:rPr>
        <w:t>2</w:t>
      </w:r>
      <w:r>
        <w:rPr>
          <w:rFonts w:ascii="Times New Roman" w:hAnsi="Times New Roman"/>
          <w:color w:val="auto"/>
        </w:rPr>
        <w:t>-</w:t>
      </w:r>
      <w:r>
        <w:rPr>
          <w:rFonts w:hint="eastAsia"/>
          <w:color w:val="auto"/>
          <w:lang w:val="en-US" w:eastAsia="zh-CN"/>
        </w:rPr>
        <w:t>11</w:t>
      </w:r>
      <w:r>
        <w:rPr>
          <w:rFonts w:ascii="Times New Roman" w:hAnsi="Times New Roman"/>
          <w:color w:val="auto"/>
        </w:rPr>
        <w:t>可知，本项目干清粪工艺最高允许排水量：夏季1.8m</w:t>
      </w:r>
      <w:r>
        <w:rPr>
          <w:rFonts w:ascii="Times New Roman" w:hAnsi="Times New Roman"/>
          <w:color w:val="auto"/>
          <w:vertAlign w:val="superscript"/>
        </w:rPr>
        <w:t>3</w:t>
      </w:r>
      <w:r>
        <w:rPr>
          <w:rFonts w:ascii="Times New Roman" w:hAnsi="Times New Roman"/>
          <w:color w:val="auto"/>
        </w:rPr>
        <w:t>/百头猪·d，冬季1.2m</w:t>
      </w:r>
      <w:r>
        <w:rPr>
          <w:rFonts w:ascii="Times New Roman" w:hAnsi="Times New Roman"/>
          <w:color w:val="auto"/>
          <w:vertAlign w:val="superscript"/>
        </w:rPr>
        <w:t>3</w:t>
      </w:r>
      <w:r>
        <w:rPr>
          <w:rFonts w:ascii="Times New Roman" w:hAnsi="Times New Roman"/>
          <w:color w:val="auto"/>
        </w:rPr>
        <w:t>/百头猪·d，本项目按平均最高允许排水量计算（1.5m</w:t>
      </w:r>
      <w:r>
        <w:rPr>
          <w:rFonts w:ascii="Times New Roman" w:hAnsi="Times New Roman"/>
          <w:color w:val="auto"/>
          <w:vertAlign w:val="superscript"/>
        </w:rPr>
        <w:t>3</w:t>
      </w:r>
      <w:r>
        <w:rPr>
          <w:rFonts w:ascii="Times New Roman" w:hAnsi="Times New Roman"/>
          <w:color w:val="auto"/>
        </w:rPr>
        <w:t>/百头猪·d）。根据项目折算存栏量</w:t>
      </w:r>
      <w:r>
        <w:rPr>
          <w:rFonts w:hint="eastAsia"/>
          <w:color w:val="auto"/>
          <w:lang w:val="en-US" w:eastAsia="zh-CN"/>
        </w:rPr>
        <w:t>17141</w:t>
      </w:r>
      <w:r>
        <w:rPr>
          <w:rFonts w:ascii="Times New Roman" w:hAnsi="Times New Roman"/>
          <w:color w:val="auto"/>
        </w:rPr>
        <w:t>头，则本项目最高允许排放量为</w:t>
      </w:r>
      <w:r>
        <w:rPr>
          <w:rFonts w:hint="eastAsia"/>
          <w:color w:val="auto"/>
          <w:lang w:val="en-US" w:eastAsia="zh-CN"/>
        </w:rPr>
        <w:t>257.115</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/d，本项目养殖废水总排放量为</w:t>
      </w:r>
      <w:r>
        <w:rPr>
          <w:rFonts w:hint="eastAsia"/>
          <w:color w:val="auto"/>
          <w:lang w:val="en-US" w:eastAsia="zh-CN"/>
        </w:rPr>
        <w:t>216.95</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/d，满足《畜禽养殖业污染物排放标准》（GB18596-2001）中的相关要求。</w:t>
      </w:r>
    </w:p>
    <w:p>
      <w:pPr>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（2）生活区污水</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本项目劳动定员120人，场区内内设置有职工食堂和倒班宿舍，根据项目水平衡分析，运营期职工生活用水量为21m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/d（7665m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/a），污水产生系数按80%计，则本项目生活污水产生量为16.8m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/d（6132m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pStyle w:val="2503"/>
        <w:numPr>
          <w:ilvl w:val="0"/>
          <w:numId w:val="19"/>
        </w:numPr>
        <w:spacing w:before="120"/>
        <w:ind w:left="0" w:leftChars="0" w:firstLine="403" w:firstLineChars="0"/>
        <w:rPr>
          <w:rFonts w:hint="default" w:ascii="Times New Roman" w:hAnsi="Times New Roman" w:cs="Times New Roman"/>
          <w:color w:val="auto"/>
        </w:rPr>
      </w:pPr>
      <w:r>
        <w:rPr>
          <w:rFonts w:hint="default" w:ascii="Times New Roman" w:hAnsi="Times New Roman" w:cs="Times New Roman"/>
          <w:color w:val="auto"/>
        </w:rPr>
        <w:t xml:space="preserve">  项目生活污水水质情况一览表</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59"/>
        <w:gridCol w:w="1944"/>
        <w:gridCol w:w="1184"/>
        <w:gridCol w:w="1051"/>
        <w:gridCol w:w="1051"/>
        <w:gridCol w:w="1051"/>
        <w:gridCol w:w="1047"/>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459" w:type="dxa"/>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生活污水</w:t>
            </w:r>
          </w:p>
        </w:tc>
        <w:tc>
          <w:tcPr>
            <w:tcW w:w="1944" w:type="dxa"/>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1184" w:type="dxa"/>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CODcr</w:t>
            </w:r>
          </w:p>
        </w:tc>
        <w:tc>
          <w:tcPr>
            <w:tcW w:w="1051" w:type="dxa"/>
            <w:noWrap w:val="0"/>
            <w:vAlign w:val="center"/>
          </w:tcPr>
          <w:p>
            <w:pPr>
              <w:pStyle w:val="163"/>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position w:val="2"/>
                <w:sz w:val="21"/>
                <w:szCs w:val="21"/>
              </w:rPr>
              <w:t>BOD</w:t>
            </w:r>
            <w:r>
              <w:rPr>
                <w:rFonts w:hint="default" w:ascii="Times New Roman" w:hAnsi="Times New Roman" w:eastAsia="宋体" w:cs="Times New Roman"/>
                <w:b/>
                <w:color w:val="auto"/>
                <w:sz w:val="21"/>
                <w:szCs w:val="21"/>
                <w:vertAlign w:val="subscript"/>
              </w:rPr>
              <w:t>5</w:t>
            </w:r>
          </w:p>
        </w:tc>
        <w:tc>
          <w:tcPr>
            <w:tcW w:w="1051" w:type="dxa"/>
            <w:noWrap w:val="0"/>
            <w:vAlign w:val="center"/>
          </w:tcPr>
          <w:p>
            <w:pPr>
              <w:pStyle w:val="163"/>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SS</w:t>
            </w:r>
          </w:p>
        </w:tc>
        <w:tc>
          <w:tcPr>
            <w:tcW w:w="1051" w:type="dxa"/>
            <w:noWrap w:val="0"/>
            <w:vAlign w:val="center"/>
          </w:tcPr>
          <w:p>
            <w:pPr>
              <w:pStyle w:val="163"/>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position w:val="2"/>
                <w:sz w:val="21"/>
                <w:szCs w:val="21"/>
              </w:rPr>
              <w:t>NH</w:t>
            </w:r>
            <w:r>
              <w:rPr>
                <w:rFonts w:hint="default" w:ascii="Times New Roman" w:hAnsi="Times New Roman" w:eastAsia="宋体" w:cs="Times New Roman"/>
                <w:b/>
                <w:color w:val="auto"/>
                <w:position w:val="2"/>
                <w:sz w:val="21"/>
                <w:szCs w:val="21"/>
                <w:vertAlign w:val="subscript"/>
              </w:rPr>
              <w:t>3</w:t>
            </w:r>
            <w:r>
              <w:rPr>
                <w:rFonts w:hint="default" w:ascii="Times New Roman" w:hAnsi="Times New Roman" w:eastAsia="宋体" w:cs="Times New Roman"/>
                <w:b/>
                <w:color w:val="auto"/>
                <w:position w:val="2"/>
                <w:sz w:val="21"/>
                <w:szCs w:val="21"/>
              </w:rPr>
              <w:t>-N</w:t>
            </w:r>
          </w:p>
        </w:tc>
        <w:tc>
          <w:tcPr>
            <w:tcW w:w="1047" w:type="dxa"/>
            <w:noWrap w:val="0"/>
            <w:vAlign w:val="center"/>
          </w:tcPr>
          <w:p>
            <w:pPr>
              <w:pStyle w:val="163"/>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TP</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459" w:type="dxa"/>
            <w:vMerge w:val="restart"/>
            <w:noWrap w:val="0"/>
            <w:vAlign w:val="center"/>
          </w:tcPr>
          <w:p>
            <w:pPr>
              <w:pStyle w:val="163"/>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16.8m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p>
            <w:pPr>
              <w:pStyle w:val="163"/>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r>
              <w:rPr>
                <w:rFonts w:hint="default" w:ascii="Times New Roman" w:hAnsi="Times New Roman" w:eastAsia="宋体" w:cs="Times New Roman"/>
                <w:color w:val="auto"/>
                <w:sz w:val="21"/>
                <w:szCs w:val="21"/>
              </w:rPr>
              <w:t>6132m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944" w:type="dxa"/>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产生浓度（mg/L）</w:t>
            </w:r>
          </w:p>
        </w:tc>
        <w:tc>
          <w:tcPr>
            <w:tcW w:w="1184" w:type="dxa"/>
            <w:noWrap w:val="0"/>
            <w:vAlign w:val="center"/>
          </w:tcPr>
          <w:p>
            <w:pPr>
              <w:pStyle w:val="163"/>
              <w:keepNext w:val="0"/>
              <w:keepLines w:val="0"/>
              <w:suppressLineNumbers w:val="0"/>
              <w:kinsoku w:val="0"/>
              <w:overflowPunct w:val="0"/>
              <w:spacing w:before="15"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1051"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051"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051"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047"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459" w:type="dxa"/>
            <w:vMerge w:val="continue"/>
            <w:noWrap w:val="0"/>
            <w:vAlign w:val="center"/>
          </w:tcPr>
          <w:p>
            <w:pPr>
              <w:pStyle w:val="163"/>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rPr>
            </w:pPr>
          </w:p>
        </w:tc>
        <w:tc>
          <w:tcPr>
            <w:tcW w:w="1944" w:type="dxa"/>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1184"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1051"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0.92</w:t>
            </w:r>
          </w:p>
        </w:tc>
        <w:tc>
          <w:tcPr>
            <w:tcW w:w="1051"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w:t>
            </w:r>
          </w:p>
        </w:tc>
        <w:tc>
          <w:tcPr>
            <w:tcW w:w="1051"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047" w:type="dxa"/>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0.018</w:t>
            </w:r>
          </w:p>
        </w:tc>
      </w:tr>
    </w:tbl>
    <w:p>
      <w:pPr>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2、废水治理措施</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（1）雨水</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本项目实施雨污分流，</w:t>
      </w:r>
      <w:r>
        <w:rPr>
          <w:rFonts w:hint="eastAsia" w:ascii="Times New Roman" w:hAnsi="Times New Roman" w:cs="Times New Roman"/>
          <w:color w:val="auto"/>
          <w:sz w:val="24"/>
          <w:szCs w:val="24"/>
        </w:rPr>
        <w:t>室外雨水（初期雨水除外）通过雨水沟渠自然排放</w:t>
      </w:r>
      <w:r>
        <w:rPr>
          <w:rFonts w:hint="default" w:ascii="Times New Roman" w:hAnsi="Times New Roman" w:eastAsia="宋体" w:cs="Times New Roman"/>
          <w:color w:val="auto"/>
          <w:sz w:val="24"/>
          <w:szCs w:val="24"/>
        </w:rPr>
        <w:t>。</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（2）污水</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根据建设单位提供的资料，本项目清粪工艺采用干清粪工艺，粪便收集脱水后进入项目配套的</w:t>
      </w:r>
      <w:r>
        <w:rPr>
          <w:rFonts w:hint="eastAsia" w:ascii="Times New Roman" w:hAnsi="Times New Roman" w:eastAsia="宋体" w:cs="Times New Roman"/>
          <w:color w:val="auto"/>
          <w:sz w:val="24"/>
          <w:szCs w:val="24"/>
          <w:lang w:eastAsia="zh-CN"/>
        </w:rPr>
        <w:t>有机肥生产基地</w:t>
      </w:r>
      <w:r>
        <w:rPr>
          <w:rFonts w:hint="default" w:ascii="Times New Roman" w:hAnsi="Times New Roman" w:eastAsia="宋体" w:cs="Times New Roman"/>
          <w:color w:val="auto"/>
          <w:sz w:val="24"/>
          <w:szCs w:val="24"/>
        </w:rPr>
        <w:t>处理用于制作</w:t>
      </w:r>
      <w:r>
        <w:rPr>
          <w:rFonts w:hint="eastAsia" w:ascii="Times New Roman" w:hAnsi="Times New Roman" w:eastAsia="宋体" w:cs="Times New Roman"/>
          <w:color w:val="auto"/>
          <w:sz w:val="24"/>
          <w:szCs w:val="24"/>
          <w:lang w:eastAsia="zh-CN"/>
        </w:rPr>
        <w:t>有机肥</w:t>
      </w:r>
      <w:r>
        <w:rPr>
          <w:rFonts w:hint="default" w:ascii="Times New Roman" w:hAnsi="Times New Roman" w:eastAsia="宋体" w:cs="Times New Roman"/>
          <w:color w:val="auto"/>
          <w:sz w:val="24"/>
          <w:szCs w:val="24"/>
        </w:rPr>
        <w:t>，实现日产日清。建设单位拟采用“固液分离+UASB厌氧+絮凝沉淀+两级A/O系统+混凝絮凝沉淀+消毒”污水处理设施处理达《农田灌溉水质标准》（GB5084-2005）中旱作标准后暂存于储存池内，</w:t>
      </w:r>
      <w:r>
        <w:rPr>
          <w:rFonts w:hint="eastAsia" w:ascii="Times New Roman" w:hAnsi="Times New Roman" w:eastAsia="宋体" w:cs="Times New Roman"/>
          <w:color w:val="auto"/>
          <w:sz w:val="24"/>
          <w:szCs w:val="24"/>
          <w:lang w:eastAsia="zh-CN"/>
        </w:rPr>
        <w:t>用于周围林地灌溉，不外排</w:t>
      </w:r>
      <w:r>
        <w:rPr>
          <w:rFonts w:hint="default" w:ascii="Times New Roman" w:hAnsi="Times New Roman" w:eastAsia="宋体" w:cs="Times New Roman"/>
          <w:color w:val="auto"/>
          <w:sz w:val="24"/>
          <w:szCs w:val="24"/>
        </w:rPr>
        <w:t>。</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本项目拟建的污水处理设施采用“</w:t>
      </w:r>
      <w:r>
        <w:rPr>
          <w:rFonts w:hint="eastAsia" w:ascii="Times New Roman" w:hAnsi="Times New Roman" w:eastAsia="宋体" w:cs="Times New Roman"/>
          <w:color w:val="auto"/>
          <w:sz w:val="24"/>
          <w:szCs w:val="24"/>
          <w:lang w:eastAsia="zh-CN"/>
        </w:rPr>
        <w:t>固液分离+UASB厌氧+絮凝沉淀+两级A/O系统+混凝絮凝沉淀+消毒</w:t>
      </w:r>
      <w:r>
        <w:rPr>
          <w:rFonts w:hint="default" w:ascii="Times New Roman" w:hAnsi="Times New Roman" w:eastAsia="宋体" w:cs="Times New Roman"/>
          <w:color w:val="auto"/>
          <w:sz w:val="24"/>
          <w:szCs w:val="24"/>
        </w:rPr>
        <w:t>”的工艺进行处理，具体处理工艺流程见图3.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，项目废水主要污染物产生、处理和排放情况统计见表3.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w:t>
      </w:r>
    </w:p>
    <w:p>
      <w:pPr>
        <w:pStyle w:val="2503"/>
        <w:numPr>
          <w:ilvl w:val="0"/>
          <w:numId w:val="19"/>
        </w:numPr>
        <w:spacing w:before="120"/>
        <w:ind w:left="0" w:leftChars="0" w:firstLine="403"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项目废水主要污染物产生、处理和排放情况统计表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35"/>
        <w:gridCol w:w="925"/>
        <w:gridCol w:w="809"/>
        <w:gridCol w:w="766"/>
        <w:gridCol w:w="766"/>
        <w:gridCol w:w="884"/>
        <w:gridCol w:w="678"/>
        <w:gridCol w:w="532"/>
        <w:gridCol w:w="1196"/>
        <w:gridCol w:w="812"/>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污水</w:t>
            </w:r>
          </w:p>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种类</w:t>
            </w:r>
          </w:p>
        </w:tc>
        <w:tc>
          <w:tcPr>
            <w:tcW w:w="557" w:type="pct"/>
            <w:vMerge w:val="restar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/a</w:t>
            </w:r>
          </w:p>
        </w:tc>
        <w:tc>
          <w:tcPr>
            <w:tcW w:w="487"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3391" w:type="pct"/>
            <w:gridSpan w:val="7"/>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主要污染物</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continue"/>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57" w:type="pct"/>
            <w:vMerge w:val="continue"/>
            <w:noWrap w:val="0"/>
            <w:vAlign w:val="center"/>
          </w:tcPr>
          <w:p>
            <w:pPr>
              <w:pStyle w:val="163"/>
              <w:keepNext w:val="0"/>
              <w:keepLines w:val="0"/>
              <w:suppressLineNumbers w:val="0"/>
              <w:kinsoku w:val="0"/>
              <w:overflowPunct w:val="0"/>
              <w:spacing w:before="0" w:beforeAutospacing="0" w:after="0" w:afterAutospacing="0"/>
              <w:ind w:left="478" w:right="0"/>
              <w:jc w:val="center"/>
              <w:rPr>
                <w:rFonts w:hint="default" w:ascii="Times New Roman" w:hAnsi="Times New Roman" w:eastAsia="宋体" w:cs="Times New Roman"/>
                <w:b/>
                <w:color w:val="auto"/>
                <w:sz w:val="21"/>
                <w:szCs w:val="21"/>
              </w:rPr>
            </w:pPr>
          </w:p>
        </w:tc>
        <w:tc>
          <w:tcPr>
            <w:tcW w:w="487" w:type="pct"/>
            <w:vMerge w:val="continue"/>
            <w:noWrap w:val="0"/>
            <w:vAlign w:val="center"/>
          </w:tcPr>
          <w:p>
            <w:pPr>
              <w:pStyle w:val="163"/>
              <w:keepNext w:val="0"/>
              <w:keepLines w:val="0"/>
              <w:suppressLineNumbers w:val="0"/>
              <w:kinsoku w:val="0"/>
              <w:overflowPunct w:val="0"/>
              <w:spacing w:before="0" w:beforeAutospacing="0" w:after="0" w:afterAutospacing="0"/>
              <w:ind w:left="478" w:right="0"/>
              <w:jc w:val="center"/>
              <w:rPr>
                <w:rFonts w:hint="default" w:ascii="Times New Roman" w:hAnsi="Times New Roman" w:eastAsia="宋体" w:cs="Times New Roman"/>
                <w:b/>
                <w:color w:val="auto"/>
                <w:sz w:val="21"/>
                <w:szCs w:val="21"/>
              </w:rPr>
            </w:pPr>
          </w:p>
        </w:tc>
        <w:tc>
          <w:tcPr>
            <w:tcW w:w="46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COD</w:t>
            </w:r>
          </w:p>
        </w:tc>
        <w:tc>
          <w:tcPr>
            <w:tcW w:w="46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position w:val="2"/>
                <w:sz w:val="21"/>
                <w:szCs w:val="21"/>
              </w:rPr>
              <w:t>BOD</w:t>
            </w:r>
            <w:r>
              <w:rPr>
                <w:rFonts w:hint="default" w:ascii="Times New Roman" w:hAnsi="Times New Roman" w:eastAsia="宋体" w:cs="Times New Roman"/>
                <w:b/>
                <w:color w:val="auto"/>
                <w:sz w:val="21"/>
                <w:szCs w:val="21"/>
                <w:vertAlign w:val="subscript"/>
              </w:rPr>
              <w:t>5</w:t>
            </w:r>
          </w:p>
        </w:tc>
        <w:tc>
          <w:tcPr>
            <w:tcW w:w="532"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SS</w:t>
            </w:r>
          </w:p>
        </w:tc>
        <w:tc>
          <w:tcPr>
            <w:tcW w:w="40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position w:val="2"/>
                <w:sz w:val="21"/>
                <w:szCs w:val="21"/>
              </w:rPr>
              <w:t>NH</w:t>
            </w:r>
            <w:r>
              <w:rPr>
                <w:rFonts w:hint="default" w:ascii="Times New Roman" w:hAnsi="Times New Roman" w:eastAsia="宋体" w:cs="Times New Roman"/>
                <w:b/>
                <w:color w:val="auto"/>
                <w:sz w:val="21"/>
                <w:szCs w:val="21"/>
                <w:vertAlign w:val="subscript"/>
              </w:rPr>
              <w:t>3</w:t>
            </w:r>
            <w:r>
              <w:rPr>
                <w:rFonts w:hint="default" w:ascii="Times New Roman" w:hAnsi="Times New Roman" w:eastAsia="宋体" w:cs="Times New Roman"/>
                <w:b/>
                <w:color w:val="auto"/>
                <w:position w:val="2"/>
                <w:sz w:val="21"/>
                <w:szCs w:val="21"/>
              </w:rPr>
              <w:t>-N</w:t>
            </w:r>
          </w:p>
        </w:tc>
        <w:tc>
          <w:tcPr>
            <w:tcW w:w="3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TP</w:t>
            </w:r>
          </w:p>
        </w:tc>
        <w:tc>
          <w:tcPr>
            <w:tcW w:w="7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粪大肠菌群</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蛔虫卵</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养殖废水</w:t>
            </w:r>
          </w:p>
        </w:tc>
        <w:tc>
          <w:tcPr>
            <w:tcW w:w="557"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79186.75</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w:t>
            </w:r>
          </w:p>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2640</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1200</w:t>
            </w:r>
          </w:p>
        </w:tc>
        <w:tc>
          <w:tcPr>
            <w:tcW w:w="8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5000</w:t>
            </w:r>
          </w:p>
        </w:tc>
        <w:tc>
          <w:tcPr>
            <w:tcW w:w="67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261</w:t>
            </w:r>
          </w:p>
        </w:tc>
        <w:tc>
          <w:tcPr>
            <w:tcW w:w="5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43.5</w:t>
            </w:r>
          </w:p>
        </w:tc>
        <w:tc>
          <w:tcPr>
            <w:tcW w:w="7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22000个/ml</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10个/L</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continue"/>
            <w:noWrap w:val="0"/>
            <w:vAlign w:val="center"/>
          </w:tcPr>
          <w:p>
            <w:pPr>
              <w:pStyle w:val="163"/>
              <w:keepNext w:val="0"/>
              <w:keepLines w:val="0"/>
              <w:suppressLineNumbers w:val="0"/>
              <w:kinsoku w:val="0"/>
              <w:overflowPunct w:val="0"/>
              <w:spacing w:before="0" w:beforeAutospacing="0" w:after="0" w:afterAutospacing="0"/>
              <w:ind w:left="331" w:right="0"/>
              <w:jc w:val="center"/>
              <w:rPr>
                <w:rFonts w:hint="default" w:ascii="Times New Roman" w:hAnsi="Times New Roman" w:eastAsia="宋体" w:cs="Times New Roman"/>
                <w:color w:val="auto"/>
                <w:sz w:val="21"/>
                <w:szCs w:val="21"/>
              </w:rPr>
            </w:pPr>
          </w:p>
        </w:tc>
        <w:tc>
          <w:tcPr>
            <w:tcW w:w="557" w:type="pct"/>
            <w:vMerge w:val="continue"/>
            <w:noWrap w:val="0"/>
            <w:vAlign w:val="center"/>
          </w:tcPr>
          <w:p>
            <w:pPr>
              <w:pStyle w:val="163"/>
              <w:keepNext w:val="0"/>
              <w:keepLines w:val="0"/>
              <w:suppressLineNumbers w:val="0"/>
              <w:kinsoku w:val="0"/>
              <w:overflowPunct w:val="0"/>
              <w:spacing w:before="0" w:beforeAutospacing="0" w:after="0" w:afterAutospacing="0"/>
              <w:ind w:left="331" w:right="0"/>
              <w:jc w:val="center"/>
              <w:rPr>
                <w:rFonts w:hint="default" w:ascii="Times New Roman" w:hAnsi="Times New Roman" w:eastAsia="宋体" w:cs="Times New Roman"/>
                <w:color w:val="auto"/>
                <w:sz w:val="21"/>
                <w:szCs w:val="21"/>
              </w:rPr>
            </w:pP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default" w:ascii="Times New Roman" w:hAnsi="Times New Roman" w:eastAsia="宋体" w:cs="Times New Roman"/>
                <w:color w:val="auto"/>
                <w:spacing w:val="-59"/>
                <w:sz w:val="21"/>
                <w:szCs w:val="21"/>
              </w:rPr>
              <w:t xml:space="preserve"> </w:t>
            </w:r>
            <w:r>
              <w:rPr>
                <w:rFonts w:hint="default" w:ascii="Times New Roman" w:hAnsi="Times New Roman" w:eastAsia="宋体" w:cs="Times New Roman"/>
                <w:color w:val="auto"/>
                <w:sz w:val="21"/>
                <w:szCs w:val="21"/>
              </w:rPr>
              <w:t>t/a</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134.35</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61.07</w:t>
            </w:r>
          </w:p>
        </w:tc>
        <w:tc>
          <w:tcPr>
            <w:tcW w:w="8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254.44</w:t>
            </w:r>
          </w:p>
        </w:tc>
        <w:tc>
          <w:tcPr>
            <w:tcW w:w="67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13.28</w:t>
            </w:r>
          </w:p>
        </w:tc>
        <w:tc>
          <w:tcPr>
            <w:tcW w:w="5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2.21</w:t>
            </w:r>
          </w:p>
        </w:tc>
        <w:tc>
          <w:tcPr>
            <w:tcW w:w="7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p>
        </w:tc>
        <w:tc>
          <w:tcPr>
            <w:tcW w:w="557"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6132</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w:t>
            </w:r>
          </w:p>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350</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150</w:t>
            </w:r>
          </w:p>
        </w:tc>
        <w:tc>
          <w:tcPr>
            <w:tcW w:w="8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250</w:t>
            </w:r>
          </w:p>
        </w:tc>
        <w:tc>
          <w:tcPr>
            <w:tcW w:w="67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w:t>
            </w:r>
          </w:p>
        </w:tc>
        <w:tc>
          <w:tcPr>
            <w:tcW w:w="5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3</w:t>
            </w:r>
          </w:p>
        </w:tc>
        <w:tc>
          <w:tcPr>
            <w:tcW w:w="7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continue"/>
            <w:noWrap w:val="0"/>
            <w:vAlign w:val="center"/>
          </w:tcPr>
          <w:p>
            <w:pPr>
              <w:pStyle w:val="163"/>
              <w:keepNext w:val="0"/>
              <w:keepLines w:val="0"/>
              <w:suppressLineNumbers w:val="0"/>
              <w:kinsoku w:val="0"/>
              <w:overflowPunct w:val="0"/>
              <w:spacing w:before="0" w:beforeAutospacing="0" w:after="0" w:afterAutospacing="0"/>
              <w:ind w:left="871" w:right="0"/>
              <w:jc w:val="center"/>
              <w:rPr>
                <w:rFonts w:hint="default" w:ascii="Times New Roman" w:hAnsi="Times New Roman" w:eastAsia="宋体" w:cs="Times New Roman"/>
                <w:color w:val="auto"/>
                <w:sz w:val="21"/>
                <w:szCs w:val="21"/>
              </w:rPr>
            </w:pPr>
          </w:p>
        </w:tc>
        <w:tc>
          <w:tcPr>
            <w:tcW w:w="557" w:type="pct"/>
            <w:vMerge w:val="continue"/>
            <w:noWrap w:val="0"/>
            <w:vAlign w:val="center"/>
          </w:tcPr>
          <w:p>
            <w:pPr>
              <w:pStyle w:val="163"/>
              <w:keepNext w:val="0"/>
              <w:keepLines w:val="0"/>
              <w:suppressLineNumbers w:val="0"/>
              <w:kinsoku w:val="0"/>
              <w:overflowPunct w:val="0"/>
              <w:spacing w:before="0" w:beforeAutospacing="0" w:after="0" w:afterAutospacing="0"/>
              <w:ind w:left="871" w:right="0"/>
              <w:jc w:val="center"/>
              <w:rPr>
                <w:rFonts w:hint="default" w:ascii="Times New Roman" w:hAnsi="Times New Roman" w:eastAsia="宋体" w:cs="Times New Roman"/>
                <w:color w:val="auto"/>
                <w:sz w:val="21"/>
                <w:szCs w:val="21"/>
              </w:rPr>
            </w:pP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default" w:ascii="Times New Roman" w:hAnsi="Times New Roman" w:eastAsia="宋体" w:cs="Times New Roman"/>
                <w:color w:val="auto"/>
                <w:spacing w:val="-59"/>
                <w:sz w:val="21"/>
                <w:szCs w:val="21"/>
              </w:rPr>
              <w:t xml:space="preserve"> </w:t>
            </w:r>
            <w:r>
              <w:rPr>
                <w:rFonts w:hint="default" w:ascii="Times New Roman" w:hAnsi="Times New Roman" w:eastAsia="宋体" w:cs="Times New Roman"/>
                <w:color w:val="auto"/>
                <w:sz w:val="21"/>
                <w:szCs w:val="21"/>
              </w:rPr>
              <w:t>t/a</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2.15</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0.92</w:t>
            </w:r>
          </w:p>
        </w:tc>
        <w:tc>
          <w:tcPr>
            <w:tcW w:w="8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1.53</w:t>
            </w:r>
          </w:p>
        </w:tc>
        <w:tc>
          <w:tcPr>
            <w:tcW w:w="67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0.15</w:t>
            </w:r>
          </w:p>
        </w:tc>
        <w:tc>
          <w:tcPr>
            <w:tcW w:w="5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0.018</w:t>
            </w:r>
          </w:p>
        </w:tc>
        <w:tc>
          <w:tcPr>
            <w:tcW w:w="7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c>
          <w:tcPr>
            <w:tcW w:w="48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混合后</w:t>
            </w:r>
          </w:p>
        </w:tc>
        <w:tc>
          <w:tcPr>
            <w:tcW w:w="557"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85318.75</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w:t>
            </w:r>
          </w:p>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2603.93 </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1184.42 </w:t>
            </w:r>
          </w:p>
        </w:tc>
        <w:tc>
          <w:tcPr>
            <w:tcW w:w="8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4971.61 </w:t>
            </w:r>
          </w:p>
        </w:tc>
        <w:tc>
          <w:tcPr>
            <w:tcW w:w="67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258.36 </w:t>
            </w:r>
          </w:p>
        </w:tc>
        <w:tc>
          <w:tcPr>
            <w:tcW w:w="5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43.17 </w:t>
            </w:r>
          </w:p>
        </w:tc>
        <w:tc>
          <w:tcPr>
            <w:tcW w:w="7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20418</w:t>
            </w:r>
            <w:r>
              <w:rPr>
                <w:rFonts w:hint="default" w:ascii="Times New Roman" w:hAnsi="Times New Roman" w:eastAsia="宋体" w:cs="Times New Roman"/>
                <w:color w:val="auto"/>
                <w:sz w:val="21"/>
                <w:szCs w:val="21"/>
              </w:rPr>
              <w:t>个/ml</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10个/L</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continue"/>
            <w:noWrap w:val="0"/>
            <w:vAlign w:val="center"/>
          </w:tcPr>
          <w:p>
            <w:pPr>
              <w:pStyle w:val="163"/>
              <w:keepNext w:val="0"/>
              <w:keepLines w:val="0"/>
              <w:suppressLineNumbers w:val="0"/>
              <w:kinsoku w:val="0"/>
              <w:overflowPunct w:val="0"/>
              <w:spacing w:before="0" w:beforeAutospacing="0" w:after="0" w:afterAutospacing="0"/>
              <w:ind w:left="331" w:right="0"/>
              <w:jc w:val="center"/>
              <w:rPr>
                <w:rFonts w:hint="default" w:ascii="Times New Roman" w:hAnsi="Times New Roman" w:eastAsia="宋体" w:cs="Times New Roman"/>
                <w:color w:val="auto"/>
                <w:sz w:val="21"/>
                <w:szCs w:val="21"/>
              </w:rPr>
            </w:pPr>
          </w:p>
        </w:tc>
        <w:tc>
          <w:tcPr>
            <w:tcW w:w="557" w:type="pct"/>
            <w:vMerge w:val="continue"/>
            <w:noWrap w:val="0"/>
            <w:vAlign w:val="center"/>
          </w:tcPr>
          <w:p>
            <w:pPr>
              <w:pStyle w:val="163"/>
              <w:keepNext w:val="0"/>
              <w:keepLines w:val="0"/>
              <w:suppressLineNumbers w:val="0"/>
              <w:kinsoku w:val="0"/>
              <w:overflowPunct w:val="0"/>
              <w:spacing w:before="0" w:beforeAutospacing="0" w:after="0" w:afterAutospacing="0"/>
              <w:ind w:left="331" w:right="0"/>
              <w:jc w:val="center"/>
              <w:rPr>
                <w:rFonts w:hint="default" w:ascii="Times New Roman" w:hAnsi="Times New Roman" w:eastAsia="宋体" w:cs="Times New Roman"/>
                <w:color w:val="auto"/>
                <w:sz w:val="21"/>
                <w:szCs w:val="21"/>
              </w:rPr>
            </w:pP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default" w:ascii="Times New Roman" w:hAnsi="Times New Roman" w:eastAsia="宋体" w:cs="Times New Roman"/>
                <w:color w:val="auto"/>
                <w:spacing w:val="-59"/>
                <w:sz w:val="21"/>
                <w:szCs w:val="21"/>
              </w:rPr>
              <w:t xml:space="preserve"> </w:t>
            </w:r>
            <w:r>
              <w:rPr>
                <w:rFonts w:hint="default" w:ascii="Times New Roman" w:hAnsi="Times New Roman" w:eastAsia="宋体" w:cs="Times New Roman"/>
                <w:color w:val="auto"/>
                <w:sz w:val="21"/>
                <w:szCs w:val="21"/>
              </w:rPr>
              <w:t>t/a</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222.16 </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101.05 </w:t>
            </w:r>
          </w:p>
        </w:tc>
        <w:tc>
          <w:tcPr>
            <w:tcW w:w="8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424.17 </w:t>
            </w:r>
          </w:p>
        </w:tc>
        <w:tc>
          <w:tcPr>
            <w:tcW w:w="67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22.04 </w:t>
            </w:r>
          </w:p>
        </w:tc>
        <w:tc>
          <w:tcPr>
            <w:tcW w:w="5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3.68 </w:t>
            </w:r>
          </w:p>
        </w:tc>
        <w:tc>
          <w:tcPr>
            <w:tcW w:w="7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restar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w:t>
            </w:r>
          </w:p>
        </w:tc>
        <w:tc>
          <w:tcPr>
            <w:tcW w:w="557"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85318.75</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200</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100</w:t>
            </w:r>
          </w:p>
        </w:tc>
        <w:tc>
          <w:tcPr>
            <w:tcW w:w="8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100</w:t>
            </w:r>
          </w:p>
        </w:tc>
        <w:tc>
          <w:tcPr>
            <w:tcW w:w="67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80</w:t>
            </w:r>
          </w:p>
        </w:tc>
        <w:tc>
          <w:tcPr>
            <w:tcW w:w="5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8</w:t>
            </w:r>
          </w:p>
        </w:tc>
        <w:tc>
          <w:tcPr>
            <w:tcW w:w="7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4000个/ml</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2.0个/L</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63" w:type="pct"/>
            <w:vMerge w:val="continue"/>
            <w:noWrap w:val="0"/>
            <w:vAlign w:val="center"/>
          </w:tcPr>
          <w:p>
            <w:pPr>
              <w:pStyle w:val="163"/>
              <w:keepNext w:val="0"/>
              <w:keepLines w:val="0"/>
              <w:suppressLineNumbers w:val="0"/>
              <w:kinsoku w:val="0"/>
              <w:overflowPunct w:val="0"/>
              <w:spacing w:before="0" w:beforeAutospacing="0" w:after="0" w:afterAutospacing="0"/>
              <w:ind w:left="304" w:right="0"/>
              <w:jc w:val="center"/>
              <w:rPr>
                <w:rFonts w:hint="default" w:ascii="Times New Roman" w:hAnsi="Times New Roman" w:eastAsia="宋体" w:cs="Times New Roman"/>
                <w:color w:val="auto"/>
                <w:sz w:val="21"/>
                <w:szCs w:val="21"/>
              </w:rPr>
            </w:pPr>
          </w:p>
        </w:tc>
        <w:tc>
          <w:tcPr>
            <w:tcW w:w="557" w:type="pct"/>
            <w:vMerge w:val="continue"/>
            <w:noWrap w:val="0"/>
            <w:vAlign w:val="center"/>
          </w:tcPr>
          <w:p>
            <w:pPr>
              <w:pStyle w:val="163"/>
              <w:keepNext w:val="0"/>
              <w:keepLines w:val="0"/>
              <w:suppressLineNumbers w:val="0"/>
              <w:kinsoku w:val="0"/>
              <w:overflowPunct w:val="0"/>
              <w:spacing w:before="0" w:beforeAutospacing="0" w:after="0" w:afterAutospacing="0"/>
              <w:ind w:left="304" w:right="0"/>
              <w:jc w:val="center"/>
              <w:rPr>
                <w:rFonts w:hint="default" w:ascii="Times New Roman" w:hAnsi="Times New Roman" w:eastAsia="宋体" w:cs="Times New Roman"/>
                <w:color w:val="auto"/>
                <w:sz w:val="21"/>
                <w:szCs w:val="21"/>
              </w:rPr>
            </w:pP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r>
              <w:rPr>
                <w:rFonts w:hint="default" w:ascii="Times New Roman" w:hAnsi="Times New Roman" w:eastAsia="宋体" w:cs="Times New Roman"/>
                <w:color w:val="auto"/>
                <w:spacing w:val="-59"/>
                <w:sz w:val="21"/>
                <w:szCs w:val="21"/>
              </w:rPr>
              <w:t xml:space="preserve"> </w:t>
            </w:r>
            <w:r>
              <w:rPr>
                <w:rFonts w:hint="default" w:ascii="Times New Roman" w:hAnsi="Times New Roman" w:eastAsia="宋体" w:cs="Times New Roman"/>
                <w:color w:val="auto"/>
                <w:sz w:val="21"/>
                <w:szCs w:val="21"/>
              </w:rPr>
              <w:t>t/a</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17.06 </w:t>
            </w:r>
          </w:p>
        </w:tc>
        <w:tc>
          <w:tcPr>
            <w:tcW w:w="76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8.53 </w:t>
            </w:r>
          </w:p>
        </w:tc>
        <w:tc>
          <w:tcPr>
            <w:tcW w:w="88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8.53 </w:t>
            </w:r>
          </w:p>
        </w:tc>
        <w:tc>
          <w:tcPr>
            <w:tcW w:w="67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6.83 </w:t>
            </w:r>
          </w:p>
        </w:tc>
        <w:tc>
          <w:tcPr>
            <w:tcW w:w="53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0.68 </w:t>
            </w:r>
          </w:p>
        </w:tc>
        <w:tc>
          <w:tcPr>
            <w:tcW w:w="72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c>
          <w:tcPr>
            <w:tcW w:w="487"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99"/>
                <w:sz w:val="21"/>
                <w:szCs w:val="21"/>
              </w:rPr>
              <w:t>/</w:t>
            </w:r>
          </w:p>
        </w:tc>
      </w:tr>
    </w:tbl>
    <w:p>
      <w:pPr>
        <w:pStyle w:val="8"/>
        <w:bidi w:val="0"/>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运营期噪声产生、治理及排放</w:t>
      </w:r>
    </w:p>
    <w:p>
      <w:pPr>
        <w:tabs>
          <w:tab w:val="left" w:pos="1220"/>
        </w:tabs>
        <w:spacing w:line="360" w:lineRule="auto"/>
        <w:ind w:firstLine="475" w:firstLineChars="198"/>
        <w:rPr>
          <w:rFonts w:hint="eastAsia" w:ascii="Times New Roman" w:hAnsi="Times New Roman" w:cs="Times New Roman"/>
          <w:color w:val="auto"/>
          <w:sz w:val="24"/>
          <w:szCs w:val="24"/>
        </w:rPr>
      </w:pPr>
      <w:r>
        <w:rPr>
          <w:rFonts w:hint="eastAsia" w:ascii="Times New Roman" w:hAnsi="Times New Roman" w:cs="Times New Roman"/>
          <w:color w:val="auto"/>
          <w:sz w:val="24"/>
          <w:szCs w:val="24"/>
        </w:rPr>
        <w:t>本项目运营期噪声主要来自于水泵、风机、发电机、污水处理设施、无害化降解处理机等设备噪声，猪叫声产生的噪声以及进出车辆噪声等。</w:t>
      </w:r>
    </w:p>
    <w:p>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1、噪声产生情况</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本项目运营过程中猪舍较为集中，猪叫声为间歇噪声，声压级约70dB（A），属于低频段为主的噪声。生产中主要产噪设备为</w:t>
      </w:r>
      <w:r>
        <w:rPr>
          <w:rFonts w:hint="eastAsia" w:ascii="Times New Roman" w:hAnsi="Times New Roman" w:eastAsia="宋体" w:cs="Times New Roman"/>
          <w:color w:val="auto"/>
          <w:sz w:val="24"/>
          <w:szCs w:val="24"/>
        </w:rPr>
        <w:t>水泵、风机、发电机、污水处理设施、无害化降解处理机</w:t>
      </w:r>
      <w:r>
        <w:rPr>
          <w:rFonts w:ascii="Times New Roman" w:hAnsi="Times New Roman" w:eastAsia="宋体" w:cs="Times New Roman"/>
          <w:color w:val="auto"/>
          <w:sz w:val="24"/>
          <w:szCs w:val="24"/>
        </w:rPr>
        <w:t>等，产生的噪声为机械性噪声，频谱特征大部分以中低频为主，声级约70～90dB（A）。项目取水水泵采用潜水泵，其余水泵主要为污水处理站的污水泵、回流泵和污泥泵，水泵均设置在泵房内或地下室；风机主要为猪舍水帘降温风机，位于猪舍纵墙的墙面上并设有水帘；柴油发电机组位于发电机房内。另外，生活区配备有空调，空调均为挂壁式空调，不设置中央空调及冷却塔。</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噪声主要</w:t>
      </w:r>
      <w:r>
        <w:rPr>
          <w:rFonts w:hint="eastAsia" w:ascii="Times New Roman" w:hAnsi="Times New Roman" w:eastAsia="宋体" w:cs="Times New Roman"/>
          <w:color w:val="auto"/>
          <w:sz w:val="24"/>
          <w:szCs w:val="24"/>
          <w:lang w:eastAsia="zh-CN"/>
        </w:rPr>
        <w:t>为</w:t>
      </w:r>
      <w:r>
        <w:rPr>
          <w:rFonts w:ascii="Times New Roman" w:hAnsi="Times New Roman" w:eastAsia="宋体" w:cs="Times New Roman"/>
          <w:color w:val="auto"/>
          <w:sz w:val="24"/>
          <w:szCs w:val="24"/>
        </w:rPr>
        <w:t>设备运行噪声以及猪叫声和出入场区的车辆噪声等，噪声值在70~90dB（A）之间，项目主要噪声源强及治理措施见表3.</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25</w:t>
      </w:r>
      <w:r>
        <w:rPr>
          <w:rFonts w:ascii="Times New Roman" w:hAnsi="Times New Roman" w:eastAsia="宋体" w:cs="Times New Roman"/>
          <w:color w:val="auto"/>
          <w:sz w:val="24"/>
          <w:szCs w:val="24"/>
        </w:rPr>
        <w:t>。</w:t>
      </w:r>
    </w:p>
    <w:p>
      <w:pPr>
        <w:pStyle w:val="2503"/>
        <w:numPr>
          <w:ilvl w:val="0"/>
          <w:numId w:val="19"/>
        </w:numPr>
        <w:spacing w:before="120"/>
        <w:ind w:left="0" w:leftChars="0" w:firstLine="403"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主要噪声源源强及治理措施一览表</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728"/>
        <w:gridCol w:w="2010"/>
        <w:gridCol w:w="827"/>
        <w:gridCol w:w="1015"/>
        <w:gridCol w:w="2726"/>
      </w:tblGrid>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声源名称</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位置</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排放特征</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源强dB(A)</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治理或防护措施</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猪叫声</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猪舍</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70~80</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猪舍隔声、减少扰动、加强管理</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风机</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猪舍</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65～70</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鼓风机</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设备房</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85~90</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水泵</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设备房</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80～90</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污泥泵</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设备房</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80～90</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空调</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生活区</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70~75</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1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柴油发电机</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发电机房</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80~85</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1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基础减振、隔声</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12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4"/>
                <w:szCs w:val="24"/>
                <w:lang w:val="en-US" w:eastAsia="zh-CN" w:bidi="ar-SA"/>
              </w:rPr>
              <w:t>无害化处理设备</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无害化处理间</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70～85</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3"/>
              <w:keepNext w:val="0"/>
              <w:keepLines w:val="0"/>
              <w:suppressLineNumbers w:val="0"/>
              <w:kinsoku w:val="0"/>
              <w:overflowPunct w:val="0"/>
              <w:spacing w:before="0" w:beforeAutospacing="0" w:after="0" w:afterAutospacing="0"/>
              <w:ind w:left="0" w:right="12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运输车辆</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运输路线及厂区内道路</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70~75</w:t>
            </w:r>
          </w:p>
        </w:tc>
        <w:tc>
          <w:tcPr>
            <w:tcW w:w="0" w:type="auto"/>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合理安排行驶路线，减少鸣笛</w:t>
            </w:r>
          </w:p>
        </w:tc>
      </w:tr>
    </w:tbl>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2、噪声防治措施</w:t>
      </w:r>
    </w:p>
    <w:p>
      <w:pPr>
        <w:pStyle w:val="2"/>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项目养殖场内的猪舍为砖混结构，除门窗和排风口以外，为密闭养殖，墙体可隔音，并且养殖区周围为大面积的山林，易于降噪，本次评价对项目噪声防治提出以下要求和措施：</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水泵房采用混凝土结构，水泵加装减振器，进水管道设可曲挠管道橡胶伸缩接头以减小水锤冲击和水泵振动产生的噪声，连接水泵进出口的水管、进出机房隔墙处与运转设备连接的管道均采用减振吊架。</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应急柴油发电机，采用低噪声设备、对发电机组采取减振措施、发电机房采取隔声、吸声等降噪措施，出风口设置消声器。</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t>通风设备采用低噪声型，且其吊装设备采用减振吊装、落地式安装设备采用弹簧减振器或橡胶减振垫，进出口设软接头，风机进出口风管处安装消声设备，四周设置隔声墙。</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cs="宋体"/>
          <w:color w:val="auto"/>
          <w:sz w:val="24"/>
          <w:szCs w:val="24"/>
        </w:rPr>
        <w:t>④</w:t>
      </w:r>
      <w:r>
        <w:rPr>
          <w:rFonts w:ascii="Times New Roman" w:hAnsi="Times New Roman" w:eastAsia="宋体" w:cs="Times New Roman"/>
          <w:color w:val="auto"/>
          <w:sz w:val="24"/>
          <w:szCs w:val="24"/>
        </w:rPr>
        <w:t>污水处理设施污泥泵、鼓风机均安装在室内或地下，基座安装减振垫，采用墙体隔声，噪声影响较小。在运营过程中应加强设备的维护和管理，保持设备处于良好运转状态，避免设备运转不正常产生的高噪声。</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t>猪叫声属于间断性噪声源，养殖场通过合理安排饲养时间、注意管理，防止猪受到惊吓造成鸣叫而扰民；禁止非工作人员随意进场，减少对猪舍的干扰；猪舍墙壁为砖砌墙，墙中加60mm厚聚苯保温板，有效隔声降噪。将猪只运进和运出的时间安排在昼间，尽可能的减少猪叫噪声对周围居民的影响。</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⑥</w:t>
      </w:r>
      <w:r>
        <w:rPr>
          <w:rFonts w:ascii="Times New Roman" w:hAnsi="Times New Roman" w:eastAsia="宋体" w:cs="Times New Roman"/>
          <w:color w:val="auto"/>
          <w:sz w:val="24"/>
          <w:szCs w:val="24"/>
        </w:rPr>
        <w:t>场内对车辆采取限速、禁鸣的要求，可以有效降低车辆运输带来的噪声；另外，运输车辆沿途必须按规范操作，尽量少鸣笛，以免对周围村民生活造成影响或因鸣笛使猪只受到惊吓而鸣叫，从而产生扰民。</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⑦</w:t>
      </w:r>
      <w:r>
        <w:rPr>
          <w:rFonts w:ascii="Times New Roman" w:hAnsi="Times New Roman" w:eastAsia="宋体" w:cs="Times New Roman"/>
          <w:color w:val="auto"/>
          <w:sz w:val="24"/>
          <w:szCs w:val="24"/>
        </w:rPr>
        <w:t>厂区四周种植乔木及灌木，加强场区内绿化，充分利用建筑物、绿化带阻隔声波传播；在绿化隔声的同时，吸收一定的臭气。</w:t>
      </w:r>
    </w:p>
    <w:p>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color w:val="auto"/>
          <w:sz w:val="24"/>
          <w:szCs w:val="24"/>
        </w:rPr>
        <w:t>采取上述措施后</w:t>
      </w:r>
      <w:r>
        <w:rPr>
          <w:rFonts w:ascii="Times New Roman" w:hAnsi="Times New Roman" w:eastAsia="宋体" w:cs="Times New Roman"/>
          <w:bCs/>
          <w:color w:val="auto"/>
          <w:sz w:val="24"/>
          <w:szCs w:val="24"/>
        </w:rPr>
        <w:t>可有效降低噪声值10~15dB(A)，再加上厂界距离衰减和隔声屏障，项目运营过程中产生的噪声能够满足《工业企业厂界环境噪声排放标准》（GB12348-2008）中的2类标准。</w:t>
      </w:r>
    </w:p>
    <w:p>
      <w:pPr>
        <w:pStyle w:val="8"/>
        <w:bidi w:val="0"/>
        <w:spacing w:line="360" w:lineRule="auto"/>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运营期固体废物产生、治理及排放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本项目生产运营过程中产生的固体废物主要为猪粪、污水处理设施污泥及沼渣、病死猪及胎盘、畜禽医疗废物、生活垃圾、废脱硫剂和废包装材料等。</w:t>
      </w:r>
    </w:p>
    <w:p>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lang w:val="zh-CN"/>
        </w:rPr>
        <w:t>1、猪粪</w:t>
      </w:r>
    </w:p>
    <w:p>
      <w:pPr>
        <w:pStyle w:val="23"/>
        <w:spacing w:line="440" w:lineRule="exact"/>
        <w:ind w:firstLine="480"/>
        <w:rPr>
          <w:rFonts w:hint="eastAsia" w:ascii="Times New Roman" w:hAnsi="Times New Roman"/>
          <w:color w:val="auto"/>
        </w:rPr>
      </w:pPr>
      <w:r>
        <w:rPr>
          <w:rFonts w:hint="eastAsia" w:ascii="Times New Roman" w:hAnsi="Times New Roman"/>
          <w:color w:val="auto"/>
        </w:rPr>
        <w:t>根据《四川省畜禽养殖污染防治技术指南（试行）》、《畜禽养殖业污染治理工程技术规范》（HJ497-2009）附录A中不同畜禽粪污日排泄量，成年猪猪粪产生定额约为2.0kg/d·头，</w:t>
      </w:r>
      <w:r>
        <w:rPr>
          <w:rFonts w:hint="eastAsia"/>
          <w:color w:val="auto"/>
          <w:lang w:eastAsia="zh-CN"/>
        </w:rPr>
        <w:t>根据实际情况，</w:t>
      </w:r>
      <w:r>
        <w:rPr>
          <w:rFonts w:hint="eastAsia"/>
          <w:color w:val="auto"/>
          <w:lang w:val="en-US" w:eastAsia="zh-CN"/>
        </w:rPr>
        <w:t>1头母猪当量2头成年猪的产污量，</w:t>
      </w:r>
      <w:r>
        <w:rPr>
          <w:rFonts w:hint="eastAsia" w:ascii="Times New Roman" w:hAnsi="Times New Roman"/>
          <w:color w:val="auto"/>
        </w:rPr>
        <w:t>本项目折算成年猪存栏量为</w:t>
      </w:r>
      <w:r>
        <w:rPr>
          <w:rFonts w:hint="eastAsia"/>
          <w:color w:val="auto"/>
          <w:lang w:val="en-US" w:eastAsia="zh-CN"/>
        </w:rPr>
        <w:t>33003</w:t>
      </w:r>
      <w:r>
        <w:rPr>
          <w:rFonts w:hint="eastAsia" w:ascii="Times New Roman" w:hAnsi="Times New Roman"/>
          <w:color w:val="auto"/>
        </w:rPr>
        <w:t>头，计算出猪粪的产生量</w:t>
      </w:r>
      <w:r>
        <w:rPr>
          <w:rFonts w:hint="eastAsia"/>
          <w:color w:val="auto"/>
          <w:lang w:eastAsia="zh-CN"/>
        </w:rPr>
        <w:t>约</w:t>
      </w:r>
      <w:r>
        <w:rPr>
          <w:rFonts w:hint="eastAsia" w:ascii="Times New Roman" w:hAnsi="Times New Roman"/>
          <w:color w:val="auto"/>
        </w:rPr>
        <w:t>为</w:t>
      </w:r>
      <w:r>
        <w:rPr>
          <w:rFonts w:hint="eastAsia"/>
          <w:color w:val="auto"/>
          <w:lang w:val="en-US" w:eastAsia="zh-CN"/>
        </w:rPr>
        <w:t>66</w:t>
      </w:r>
      <w:r>
        <w:rPr>
          <w:rFonts w:hint="eastAsia" w:ascii="Times New Roman" w:hAnsi="Times New Roman"/>
          <w:color w:val="auto"/>
        </w:rPr>
        <w:t>t/d（</w:t>
      </w:r>
      <w:r>
        <w:rPr>
          <w:rFonts w:hint="eastAsia"/>
          <w:color w:val="auto"/>
          <w:lang w:val="en-US" w:eastAsia="zh-CN"/>
        </w:rPr>
        <w:t>24092.19</w:t>
      </w:r>
      <w:r>
        <w:rPr>
          <w:rFonts w:hint="eastAsia" w:ascii="Times New Roman" w:hAnsi="Times New Roman"/>
          <w:color w:val="auto"/>
        </w:rPr>
        <w:t>t/a）。</w:t>
      </w:r>
    </w:p>
    <w:p>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本项目清粪工艺采用干清粪工艺，粪便收集脱水后进入项目配套的</w:t>
      </w:r>
      <w:r>
        <w:rPr>
          <w:rFonts w:hint="eastAsia" w:ascii="Times New Roman" w:hAnsi="Times New Roman" w:eastAsia="宋体" w:cs="Times New Roman"/>
          <w:color w:val="auto"/>
          <w:sz w:val="24"/>
          <w:szCs w:val="24"/>
          <w:lang w:val="en-US" w:eastAsia="zh-CN"/>
        </w:rPr>
        <w:t>有机肥生产基地</w:t>
      </w:r>
      <w:r>
        <w:rPr>
          <w:rFonts w:hint="default" w:ascii="Times New Roman" w:hAnsi="Times New Roman" w:eastAsia="宋体" w:cs="Times New Roman"/>
          <w:color w:val="auto"/>
          <w:sz w:val="24"/>
          <w:szCs w:val="24"/>
          <w:lang w:val="en-US" w:eastAsia="zh-CN"/>
        </w:rPr>
        <w:t>理用于制作生物肥</w:t>
      </w:r>
      <w:r>
        <w:rPr>
          <w:rFonts w:hint="eastAsia" w:ascii="Times New Roman" w:hAnsi="Times New Roman" w:eastAsia="宋体" w:cs="Times New Roman"/>
          <w:color w:val="auto"/>
          <w:sz w:val="24"/>
          <w:szCs w:val="24"/>
          <w:lang w:val="en-US" w:eastAsia="zh-CN"/>
        </w:rPr>
        <w:t>料</w:t>
      </w:r>
      <w:r>
        <w:rPr>
          <w:rFonts w:hint="default" w:ascii="Times New Roman" w:hAnsi="Times New Roman" w:eastAsia="宋体" w:cs="Times New Roman"/>
          <w:color w:val="auto"/>
          <w:sz w:val="24"/>
          <w:szCs w:val="24"/>
        </w:rPr>
        <w:t>。根据许道文、文李新等《基于热重法的干清猪粪直接燃烧特性分析》研究结论可知新鲜粪便的含水量约为74.28~76.75%，本项目取76.75%。本项目猪粪脱水机脱水后的粪渣含水量为70%（行业经验系数），本项目新鲜猪粪产生量为</w:t>
      </w:r>
      <w:r>
        <w:rPr>
          <w:rFonts w:hint="eastAsia" w:ascii="Times New Roman" w:hAnsi="Times New Roman" w:eastAsia="宋体" w:cs="Times New Roman"/>
          <w:color w:val="auto"/>
          <w:sz w:val="24"/>
          <w:szCs w:val="24"/>
          <w:lang w:val="en-US" w:eastAsia="zh-CN"/>
        </w:rPr>
        <w:t>66</w:t>
      </w:r>
      <w:r>
        <w:rPr>
          <w:rFonts w:hint="default" w:ascii="Times New Roman" w:hAnsi="Times New Roman" w:eastAsia="宋体" w:cs="Times New Roman"/>
          <w:color w:val="auto"/>
          <w:sz w:val="24"/>
          <w:szCs w:val="24"/>
        </w:rPr>
        <w:t>t/d，则猪粪脱水机的脱水量为</w:t>
      </w:r>
      <w:r>
        <w:rPr>
          <w:rFonts w:hint="eastAsia" w:ascii="Times New Roman" w:hAnsi="Times New Roman" w:eastAsia="宋体" w:cs="Times New Roman"/>
          <w:color w:val="auto"/>
          <w:sz w:val="24"/>
          <w:szCs w:val="24"/>
          <w:lang w:val="en-US" w:eastAsia="zh-CN"/>
        </w:rPr>
        <w:t>15.2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5546.72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进入污水系统的猪粪量仅占总量的2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（76.75%*（1-70%）=23.025%）</w:t>
      </w:r>
      <w:r>
        <w:rPr>
          <w:rFonts w:hint="default" w:ascii="Times New Roman" w:hAnsi="Times New Roman" w:eastAsia="宋体" w:cs="Times New Roman"/>
          <w:color w:val="auto"/>
          <w:sz w:val="24"/>
          <w:szCs w:val="24"/>
          <w:lang w:val="en-US" w:eastAsia="zh-CN"/>
        </w:rPr>
        <w:t>，剩余干清粪的量为：</w:t>
      </w:r>
      <w:r>
        <w:rPr>
          <w:rFonts w:hint="eastAsia" w:ascii="Times New Roman" w:hAnsi="Times New Roman" w:eastAsia="宋体" w:cs="Times New Roman"/>
          <w:color w:val="auto"/>
          <w:sz w:val="24"/>
          <w:szCs w:val="24"/>
          <w:lang w:val="en-US" w:eastAsia="zh-CN"/>
        </w:rPr>
        <w:t>66</w:t>
      </w:r>
      <w:r>
        <w:rPr>
          <w:rFonts w:hint="default" w:ascii="Times New Roman" w:hAnsi="Times New Roman" w:eastAsia="宋体" w:cs="Times New Roman"/>
          <w:color w:val="auto"/>
          <w:sz w:val="24"/>
          <w:szCs w:val="24"/>
          <w:lang w:val="en-US" w:eastAsia="zh-CN"/>
        </w:rPr>
        <w:t>t/d×（1-2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50.82</w:t>
      </w:r>
      <w:r>
        <w:rPr>
          <w:rFonts w:hint="default" w:ascii="Times New Roman" w:hAnsi="Times New Roman" w:eastAsia="宋体" w:cs="Times New Roman"/>
          <w:color w:val="auto"/>
          <w:sz w:val="24"/>
          <w:szCs w:val="24"/>
          <w:lang w:val="en-US" w:eastAsia="zh-CN"/>
        </w:rPr>
        <w:t>t/d（</w:t>
      </w:r>
      <w:r>
        <w:rPr>
          <w:rFonts w:hint="eastAsia" w:ascii="Times New Roman" w:hAnsi="Times New Roman" w:eastAsia="宋体" w:cs="Times New Roman"/>
          <w:color w:val="auto"/>
          <w:sz w:val="24"/>
          <w:szCs w:val="24"/>
          <w:lang w:val="en-US" w:eastAsia="zh-CN"/>
        </w:rPr>
        <w:t>18549.3</w:t>
      </w:r>
      <w:r>
        <w:rPr>
          <w:rFonts w:hint="default" w:ascii="Times New Roman" w:hAnsi="Times New Roman" w:eastAsia="宋体" w:cs="Times New Roman"/>
          <w:color w:val="auto"/>
          <w:sz w:val="24"/>
          <w:szCs w:val="24"/>
          <w:lang w:val="en-US" w:eastAsia="zh-CN"/>
        </w:rPr>
        <w:t>t/a），干清粪进入</w:t>
      </w:r>
      <w:r>
        <w:rPr>
          <w:rFonts w:hint="eastAsia" w:ascii="Times New Roman" w:hAnsi="Times New Roman" w:eastAsia="宋体" w:cs="Times New Roman"/>
          <w:color w:val="auto"/>
          <w:sz w:val="24"/>
          <w:szCs w:val="24"/>
          <w:lang w:val="en-US" w:eastAsia="zh-CN"/>
        </w:rPr>
        <w:t>有机肥生产基地</w:t>
      </w:r>
      <w:r>
        <w:rPr>
          <w:rFonts w:hint="default" w:ascii="Times New Roman" w:hAnsi="Times New Roman" w:eastAsia="宋体" w:cs="Times New Roman"/>
          <w:color w:val="auto"/>
          <w:sz w:val="24"/>
          <w:szCs w:val="24"/>
          <w:lang w:val="en-US" w:eastAsia="zh-CN"/>
        </w:rPr>
        <w:t>理用于制作生物肥</w:t>
      </w:r>
      <w:r>
        <w:rPr>
          <w:rFonts w:hint="eastAsia" w:ascii="Times New Roman" w:hAnsi="Times New Roman" w:eastAsia="宋体" w:cs="Times New Roman"/>
          <w:color w:val="auto"/>
          <w:sz w:val="24"/>
          <w:szCs w:val="24"/>
          <w:lang w:val="en-US" w:eastAsia="zh-CN"/>
        </w:rPr>
        <w:t>料</w:t>
      </w:r>
      <w:r>
        <w:rPr>
          <w:rFonts w:hint="default" w:ascii="Times New Roman" w:hAnsi="Times New Roman" w:eastAsia="宋体" w:cs="Times New Roman"/>
          <w:color w:val="auto"/>
          <w:sz w:val="24"/>
          <w:szCs w:val="24"/>
          <w:lang w:val="en-US" w:eastAsia="zh-CN"/>
        </w:rPr>
        <w:t>外售。</w:t>
      </w:r>
    </w:p>
    <w:p>
      <w:pPr>
        <w:spacing w:line="360" w:lineRule="auto"/>
        <w:ind w:firstLine="48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本项目猪粪拟采取如下措施：</w:t>
      </w:r>
    </w:p>
    <w:p>
      <w:pPr>
        <w:pStyle w:val="2"/>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①本项目猪粪经自动刮粪机定时刮出，由铲车及载粪农用车定期装车收集至堆肥车间，经好氧堆肥处理后，得到有机肥外售。</w:t>
      </w:r>
    </w:p>
    <w:p>
      <w:pPr>
        <w:pStyle w:val="2"/>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②加强厂区管理，在运输干粪的途中发现有洒落的情况时，及时清扫，避免洒落的干粪被雨水冲刷污染土壤和地下水。</w:t>
      </w:r>
    </w:p>
    <w:p>
      <w:pPr>
        <w:spacing w:line="360" w:lineRule="auto"/>
        <w:ind w:firstLine="482" w:firstLineChars="200"/>
        <w:rPr>
          <w:rFonts w:ascii="Times New Roman" w:hAnsi="Times New Roman" w:eastAsia="宋体" w:cs="Times New Roman"/>
          <w:b/>
          <w:color w:val="auto"/>
          <w:sz w:val="24"/>
          <w:szCs w:val="24"/>
          <w:lang w:val="zh-CN"/>
        </w:rPr>
      </w:pPr>
      <w:r>
        <w:rPr>
          <w:rFonts w:ascii="Times New Roman" w:hAnsi="Times New Roman" w:eastAsia="宋体" w:cs="Times New Roman"/>
          <w:b/>
          <w:color w:val="auto"/>
          <w:sz w:val="24"/>
          <w:szCs w:val="24"/>
          <w:lang w:val="zh-CN"/>
        </w:rPr>
        <w:t>2、污水处理设施污泥及沼渣</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（1）格栅渣</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本项目在污水处理站前设置有机械格栅，减少废水中较大的残渣，主要包括猪毛、残余的饲料等。格栅渣采用下式计算；</w:t>
      </w:r>
    </w:p>
    <w:p>
      <w:pPr>
        <w:spacing w:line="360" w:lineRule="auto"/>
        <w:ind w:firstLine="0" w:firstLineChars="0"/>
        <w:jc w:val="center"/>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rPr>
        <w:drawing>
          <wp:inline distT="0" distB="0" distL="114300" distR="114300">
            <wp:extent cx="1390650" cy="485775"/>
            <wp:effectExtent l="0" t="0" r="0" b="9525"/>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27"/>
                    <a:stretch>
                      <a:fillRect/>
                    </a:stretch>
                  </pic:blipFill>
                  <pic:spPr>
                    <a:xfrm>
                      <a:off x="0" y="0"/>
                      <a:ext cx="1390650" cy="4857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式中：</w:t>
      </w:r>
      <w:r>
        <w:rPr>
          <w:rFonts w:ascii="Times New Roman" w:hAnsi="Times New Roman" w:eastAsia="宋体" w:cs="Times New Roman"/>
          <w:i/>
          <w:color w:val="auto"/>
          <w:sz w:val="24"/>
          <w:szCs w:val="24"/>
          <w:lang w:val="zh-CN"/>
        </w:rPr>
        <w:t>Q</w:t>
      </w:r>
      <w:r>
        <w:rPr>
          <w:rFonts w:ascii="Times New Roman" w:hAnsi="Times New Roman" w:eastAsia="宋体" w:cs="Times New Roman"/>
          <w:color w:val="auto"/>
          <w:sz w:val="24"/>
          <w:szCs w:val="24"/>
          <w:vertAlign w:val="subscript"/>
          <w:lang w:val="zh-CN"/>
        </w:rPr>
        <w:t>max</w:t>
      </w:r>
      <w:r>
        <w:rPr>
          <w:rFonts w:ascii="Times New Roman" w:hAnsi="Times New Roman" w:eastAsia="宋体" w:cs="Times New Roman"/>
          <w:color w:val="auto"/>
          <w:sz w:val="24"/>
          <w:szCs w:val="24"/>
          <w:lang w:val="zh-CN"/>
        </w:rPr>
        <w:t>——最大流量，m</w:t>
      </w:r>
      <w:r>
        <w:rPr>
          <w:rFonts w:ascii="Times New Roman" w:hAnsi="Times New Roman" w:eastAsia="宋体" w:cs="Times New Roman"/>
          <w:color w:val="auto"/>
          <w:sz w:val="24"/>
          <w:szCs w:val="24"/>
          <w:vertAlign w:val="superscript"/>
          <w:lang w:val="zh-CN"/>
        </w:rPr>
        <w:t>3</w:t>
      </w:r>
      <w:r>
        <w:rPr>
          <w:rFonts w:ascii="Times New Roman" w:hAnsi="Times New Roman" w:eastAsia="宋体" w:cs="Times New Roman"/>
          <w:color w:val="auto"/>
          <w:sz w:val="24"/>
          <w:szCs w:val="24"/>
          <w:lang w:val="zh-CN"/>
        </w:rPr>
        <w:t>/s，本项目取0.1m</w:t>
      </w:r>
      <w:r>
        <w:rPr>
          <w:rFonts w:ascii="Times New Roman" w:hAnsi="Times New Roman" w:eastAsia="宋体" w:cs="Times New Roman"/>
          <w:color w:val="auto"/>
          <w:sz w:val="24"/>
          <w:szCs w:val="24"/>
          <w:vertAlign w:val="superscript"/>
          <w:lang w:val="zh-CN"/>
        </w:rPr>
        <w:t>3</w:t>
      </w:r>
      <w:r>
        <w:rPr>
          <w:rFonts w:ascii="Times New Roman" w:hAnsi="Times New Roman" w:eastAsia="宋体" w:cs="Times New Roman"/>
          <w:color w:val="auto"/>
          <w:sz w:val="24"/>
          <w:szCs w:val="24"/>
          <w:lang w:val="zh-CN"/>
        </w:rPr>
        <w:t>/s；</w:t>
      </w:r>
    </w:p>
    <w:p>
      <w:pPr>
        <w:spacing w:line="360" w:lineRule="auto"/>
        <w:ind w:firstLine="1200" w:firstLineChars="500"/>
        <w:rPr>
          <w:rFonts w:ascii="Times New Roman" w:hAnsi="Times New Roman" w:eastAsia="宋体" w:cs="Times New Roman"/>
          <w:color w:val="auto"/>
          <w:sz w:val="24"/>
          <w:szCs w:val="24"/>
          <w:lang w:val="zh-CN"/>
        </w:rPr>
      </w:pPr>
      <w:r>
        <w:rPr>
          <w:rFonts w:ascii="Times New Roman" w:hAnsi="Times New Roman" w:eastAsia="宋体" w:cs="Times New Roman"/>
          <w:i/>
          <w:color w:val="auto"/>
          <w:sz w:val="24"/>
          <w:szCs w:val="24"/>
          <w:lang w:val="zh-CN"/>
        </w:rPr>
        <w:t>W</w:t>
      </w:r>
      <w:r>
        <w:rPr>
          <w:rFonts w:ascii="Times New Roman" w:hAnsi="Times New Roman" w:eastAsia="宋体" w:cs="Times New Roman"/>
          <w:color w:val="auto"/>
          <w:sz w:val="24"/>
          <w:szCs w:val="24"/>
          <w:lang w:val="zh-CN"/>
        </w:rPr>
        <w:t>——每日栅渣量，m</w:t>
      </w:r>
      <w:r>
        <w:rPr>
          <w:rFonts w:ascii="Times New Roman" w:hAnsi="Times New Roman" w:eastAsia="宋体" w:cs="Times New Roman"/>
          <w:color w:val="auto"/>
          <w:sz w:val="24"/>
          <w:szCs w:val="24"/>
          <w:vertAlign w:val="superscript"/>
          <w:lang w:val="zh-CN"/>
        </w:rPr>
        <w:t>3</w:t>
      </w:r>
      <w:r>
        <w:rPr>
          <w:rFonts w:ascii="Times New Roman" w:hAnsi="Times New Roman" w:eastAsia="宋体" w:cs="Times New Roman"/>
          <w:color w:val="auto"/>
          <w:sz w:val="24"/>
          <w:szCs w:val="24"/>
          <w:lang w:val="zh-CN"/>
        </w:rPr>
        <w:t>/d；</w:t>
      </w:r>
    </w:p>
    <w:p>
      <w:pPr>
        <w:spacing w:line="360" w:lineRule="auto"/>
        <w:ind w:firstLine="1200" w:firstLineChars="500"/>
        <w:rPr>
          <w:rFonts w:ascii="Times New Roman" w:hAnsi="Times New Roman" w:eastAsia="宋体" w:cs="Times New Roman"/>
          <w:color w:val="auto"/>
          <w:sz w:val="24"/>
          <w:szCs w:val="24"/>
          <w:lang w:val="zh-CN"/>
        </w:rPr>
      </w:pPr>
      <w:r>
        <w:rPr>
          <w:rFonts w:ascii="Times New Roman" w:hAnsi="Times New Roman" w:eastAsia="宋体" w:cs="Times New Roman"/>
          <w:i/>
          <w:color w:val="auto"/>
          <w:sz w:val="24"/>
          <w:szCs w:val="24"/>
          <w:lang w:val="zh-CN"/>
        </w:rPr>
        <w:t>W</w:t>
      </w:r>
      <w:r>
        <w:rPr>
          <w:rFonts w:ascii="Times New Roman" w:hAnsi="Times New Roman" w:eastAsia="宋体" w:cs="Times New Roman"/>
          <w:i/>
          <w:color w:val="auto"/>
          <w:sz w:val="24"/>
          <w:szCs w:val="24"/>
          <w:vertAlign w:val="subscript"/>
          <w:lang w:val="zh-CN"/>
        </w:rPr>
        <w:t>0</w:t>
      </w:r>
      <w:r>
        <w:rPr>
          <w:rFonts w:ascii="Times New Roman" w:hAnsi="Times New Roman" w:eastAsia="宋体" w:cs="Times New Roman"/>
          <w:color w:val="auto"/>
          <w:sz w:val="24"/>
          <w:szCs w:val="24"/>
          <w:lang w:val="zh-CN"/>
        </w:rPr>
        <w:t>——栅渣量，取0.5m</w:t>
      </w:r>
      <w:r>
        <w:rPr>
          <w:rFonts w:ascii="Times New Roman" w:hAnsi="Times New Roman" w:eastAsia="宋体" w:cs="Times New Roman"/>
          <w:color w:val="auto"/>
          <w:sz w:val="24"/>
          <w:szCs w:val="24"/>
          <w:vertAlign w:val="superscript"/>
          <w:lang w:val="zh-CN"/>
        </w:rPr>
        <w:t>3</w:t>
      </w:r>
      <w:r>
        <w:rPr>
          <w:rFonts w:ascii="Times New Roman" w:hAnsi="Times New Roman" w:eastAsia="宋体" w:cs="Times New Roman"/>
          <w:color w:val="auto"/>
          <w:sz w:val="24"/>
          <w:szCs w:val="24"/>
          <w:lang w:val="zh-CN"/>
        </w:rPr>
        <w:t>/10</w:t>
      </w:r>
      <w:r>
        <w:rPr>
          <w:rFonts w:ascii="Times New Roman" w:hAnsi="Times New Roman" w:eastAsia="宋体" w:cs="Times New Roman"/>
          <w:color w:val="auto"/>
          <w:sz w:val="24"/>
          <w:szCs w:val="24"/>
          <w:vertAlign w:val="superscript"/>
          <w:lang w:val="zh-CN"/>
        </w:rPr>
        <w:t>3</w:t>
      </w:r>
      <w:r>
        <w:rPr>
          <w:rFonts w:ascii="Times New Roman" w:hAnsi="Times New Roman" w:eastAsia="宋体" w:cs="Times New Roman"/>
          <w:color w:val="auto"/>
          <w:sz w:val="24"/>
          <w:szCs w:val="24"/>
          <w:lang w:val="zh-CN"/>
        </w:rPr>
        <w:t>m</w:t>
      </w:r>
      <w:r>
        <w:rPr>
          <w:rFonts w:ascii="Times New Roman" w:hAnsi="Times New Roman" w:eastAsia="宋体" w:cs="Times New Roman"/>
          <w:color w:val="auto"/>
          <w:sz w:val="24"/>
          <w:szCs w:val="24"/>
          <w:vertAlign w:val="superscript"/>
          <w:lang w:val="zh-CN"/>
        </w:rPr>
        <w:t>3</w:t>
      </w:r>
      <w:r>
        <w:rPr>
          <w:rFonts w:ascii="Times New Roman" w:hAnsi="Times New Roman" w:eastAsia="宋体" w:cs="Times New Roman"/>
          <w:color w:val="auto"/>
          <w:sz w:val="24"/>
          <w:szCs w:val="24"/>
          <w:lang w:val="zh-CN"/>
        </w:rPr>
        <w:t>污水；</w:t>
      </w:r>
    </w:p>
    <w:p>
      <w:pPr>
        <w:spacing w:line="360" w:lineRule="auto"/>
        <w:ind w:firstLine="1200" w:firstLineChars="500"/>
        <w:rPr>
          <w:rFonts w:ascii="Times New Roman" w:hAnsi="Times New Roman" w:eastAsia="宋体" w:cs="Times New Roman"/>
          <w:color w:val="auto"/>
          <w:sz w:val="24"/>
          <w:szCs w:val="24"/>
          <w:lang w:val="zh-CN"/>
        </w:rPr>
      </w:pPr>
      <w:r>
        <w:rPr>
          <w:rFonts w:ascii="Times New Roman" w:hAnsi="Times New Roman" w:eastAsia="宋体" w:cs="Times New Roman"/>
          <w:i/>
          <w:color w:val="auto"/>
          <w:sz w:val="24"/>
          <w:szCs w:val="24"/>
          <w:lang w:val="zh-CN"/>
        </w:rPr>
        <w:t>K</w:t>
      </w:r>
      <w:r>
        <w:rPr>
          <w:rFonts w:ascii="Times New Roman" w:hAnsi="Times New Roman" w:eastAsia="宋体" w:cs="Times New Roman"/>
          <w:color w:val="auto"/>
          <w:sz w:val="24"/>
          <w:szCs w:val="24"/>
          <w:lang w:val="zh-CN"/>
        </w:rPr>
        <w:t>——总变化系数，取2.3；</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因此，本项目格栅渣产生量为0.27m</w:t>
      </w:r>
      <w:r>
        <w:rPr>
          <w:rFonts w:ascii="Times New Roman" w:hAnsi="Times New Roman" w:eastAsia="宋体" w:cs="Times New Roman"/>
          <w:color w:val="auto"/>
          <w:sz w:val="24"/>
          <w:szCs w:val="24"/>
          <w:vertAlign w:val="superscript"/>
          <w:lang w:val="zh-CN"/>
        </w:rPr>
        <w:t>3</w:t>
      </w:r>
      <w:r>
        <w:rPr>
          <w:rFonts w:ascii="Times New Roman" w:hAnsi="Times New Roman" w:eastAsia="宋体" w:cs="Times New Roman"/>
          <w:color w:val="auto"/>
          <w:sz w:val="24"/>
          <w:szCs w:val="24"/>
          <w:lang w:val="zh-CN"/>
        </w:rPr>
        <w:t>/d（98.55t/a），全部随猪粪送至发酵</w:t>
      </w:r>
      <w:r>
        <w:rPr>
          <w:rFonts w:hint="eastAsia" w:ascii="Times New Roman" w:hAnsi="Times New Roman" w:eastAsia="宋体" w:cs="Times New Roman"/>
          <w:color w:val="auto"/>
          <w:sz w:val="24"/>
          <w:szCs w:val="24"/>
          <w:lang w:val="zh-CN"/>
        </w:rPr>
        <w:t>罐堆肥</w:t>
      </w:r>
      <w:r>
        <w:rPr>
          <w:rFonts w:ascii="Times New Roman" w:hAnsi="Times New Roman" w:eastAsia="宋体" w:cs="Times New Roman"/>
          <w:color w:val="auto"/>
          <w:sz w:val="24"/>
          <w:szCs w:val="24"/>
          <w:lang w:val="zh-CN"/>
        </w:rPr>
        <w:t>。</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（2）固液分离机渣物</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由于畜禽养殖废水高SS的特点，本项目在调节池前设置固液分离机，减小污水处理设施的污染负荷，固液分离机的固体分离效率为60%，项目SS量为</w:t>
      </w:r>
      <w:r>
        <w:rPr>
          <w:rFonts w:hint="eastAsia" w:ascii="Times New Roman" w:hAnsi="Times New Roman" w:eastAsia="宋体" w:cs="Times New Roman"/>
          <w:color w:val="auto"/>
          <w:sz w:val="24"/>
          <w:szCs w:val="24"/>
          <w:lang w:val="en-US" w:eastAsia="zh-CN"/>
        </w:rPr>
        <w:t>427.17</w:t>
      </w:r>
      <w:r>
        <w:rPr>
          <w:rFonts w:ascii="Times New Roman" w:hAnsi="Times New Roman" w:eastAsia="宋体" w:cs="Times New Roman"/>
          <w:color w:val="auto"/>
          <w:sz w:val="24"/>
          <w:szCs w:val="24"/>
          <w:lang w:val="zh-CN"/>
        </w:rPr>
        <w:t>t/a，则分离的固体渣物量为</w:t>
      </w:r>
      <w:r>
        <w:rPr>
          <w:rFonts w:hint="eastAsia" w:ascii="Times New Roman" w:hAnsi="Times New Roman" w:eastAsia="宋体" w:cs="Times New Roman"/>
          <w:color w:val="auto"/>
          <w:sz w:val="24"/>
          <w:szCs w:val="24"/>
          <w:lang w:val="en-US" w:eastAsia="zh-CN"/>
        </w:rPr>
        <w:t>256.302</w:t>
      </w:r>
      <w:r>
        <w:rPr>
          <w:rFonts w:ascii="Times New Roman" w:hAnsi="Times New Roman" w:eastAsia="宋体" w:cs="Times New Roman"/>
          <w:color w:val="auto"/>
          <w:sz w:val="24"/>
          <w:szCs w:val="24"/>
          <w:lang w:val="zh-CN"/>
        </w:rPr>
        <w:t>t/a，全部送至发酵</w:t>
      </w:r>
      <w:r>
        <w:rPr>
          <w:rFonts w:hint="eastAsia" w:ascii="Times New Roman" w:hAnsi="Times New Roman" w:eastAsia="宋体" w:cs="Times New Roman"/>
          <w:color w:val="auto"/>
          <w:sz w:val="24"/>
          <w:szCs w:val="24"/>
          <w:lang w:val="zh-CN"/>
        </w:rPr>
        <w:t>罐</w:t>
      </w:r>
      <w:r>
        <w:rPr>
          <w:rFonts w:ascii="Times New Roman" w:hAnsi="Times New Roman" w:eastAsia="宋体" w:cs="Times New Roman"/>
          <w:color w:val="auto"/>
          <w:sz w:val="24"/>
          <w:szCs w:val="24"/>
          <w:lang w:val="zh-CN"/>
        </w:rPr>
        <w:t>堆肥。</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（3）沼渣及污泥</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本项目养猪场污水处理设施沼渣及污泥产生量按8kg/100m</w:t>
      </w:r>
      <w:r>
        <w:rPr>
          <w:rFonts w:ascii="Times New Roman" w:hAnsi="Times New Roman" w:eastAsia="宋体" w:cs="Times New Roman"/>
          <w:color w:val="auto"/>
          <w:sz w:val="24"/>
          <w:szCs w:val="24"/>
          <w:vertAlign w:val="superscript"/>
          <w:lang w:val="zh-CN"/>
        </w:rPr>
        <w:t>3</w:t>
      </w:r>
      <w:r>
        <w:rPr>
          <w:rFonts w:ascii="Times New Roman" w:hAnsi="Times New Roman" w:eastAsia="宋体" w:cs="Times New Roman"/>
          <w:color w:val="auto"/>
          <w:sz w:val="24"/>
          <w:szCs w:val="24"/>
          <w:lang w:val="zh-CN"/>
        </w:rPr>
        <w:t>·d（废水）计，进入污水处理设施的废水量为</w:t>
      </w:r>
      <w:r>
        <w:rPr>
          <w:rFonts w:hint="eastAsia" w:ascii="Times New Roman" w:hAnsi="Times New Roman" w:eastAsia="宋体" w:cs="Times New Roman"/>
          <w:color w:val="auto"/>
          <w:sz w:val="24"/>
          <w:szCs w:val="24"/>
          <w:lang w:val="en-US" w:eastAsia="zh-CN"/>
        </w:rPr>
        <w:t>216.95</w:t>
      </w:r>
      <w:r>
        <w:rPr>
          <w:rFonts w:ascii="Times New Roman" w:hAnsi="Times New Roman" w:eastAsia="宋体" w:cs="Times New Roman"/>
          <w:color w:val="auto"/>
          <w:sz w:val="24"/>
          <w:szCs w:val="24"/>
          <w:lang w:val="zh-CN"/>
        </w:rPr>
        <w:t>m</w:t>
      </w:r>
      <w:r>
        <w:rPr>
          <w:rFonts w:ascii="Times New Roman" w:hAnsi="Times New Roman" w:eastAsia="宋体" w:cs="Times New Roman"/>
          <w:color w:val="auto"/>
          <w:sz w:val="24"/>
          <w:szCs w:val="24"/>
          <w:vertAlign w:val="superscript"/>
          <w:lang w:val="zh-CN"/>
        </w:rPr>
        <w:t>3</w:t>
      </w:r>
      <w:r>
        <w:rPr>
          <w:rFonts w:ascii="Times New Roman" w:hAnsi="Times New Roman" w:eastAsia="宋体" w:cs="Times New Roman"/>
          <w:color w:val="auto"/>
          <w:sz w:val="24"/>
          <w:szCs w:val="24"/>
          <w:lang w:val="zh-CN"/>
        </w:rPr>
        <w:t>/d，则污水处理设施沼渣及污泥产生量为</w:t>
      </w:r>
      <w:r>
        <w:rPr>
          <w:rFonts w:hint="eastAsia" w:ascii="Times New Roman" w:hAnsi="Times New Roman" w:eastAsia="宋体" w:cs="Times New Roman"/>
          <w:color w:val="auto"/>
          <w:sz w:val="24"/>
          <w:szCs w:val="24"/>
          <w:lang w:val="en-US" w:eastAsia="zh-CN"/>
        </w:rPr>
        <w:t>17.36</w:t>
      </w:r>
      <w:r>
        <w:rPr>
          <w:rFonts w:ascii="Times New Roman" w:hAnsi="Times New Roman" w:eastAsia="宋体" w:cs="Times New Roman"/>
          <w:color w:val="auto"/>
          <w:sz w:val="24"/>
          <w:szCs w:val="24"/>
          <w:lang w:val="zh-CN"/>
        </w:rPr>
        <w:t>kg/d（</w:t>
      </w:r>
      <w:r>
        <w:rPr>
          <w:rFonts w:hint="eastAsia" w:ascii="Times New Roman" w:hAnsi="Times New Roman" w:eastAsia="宋体" w:cs="Times New Roman"/>
          <w:color w:val="auto"/>
          <w:sz w:val="24"/>
          <w:szCs w:val="24"/>
          <w:lang w:val="en-US" w:eastAsia="zh-CN"/>
        </w:rPr>
        <w:t>6.33</w:t>
      </w:r>
      <w:r>
        <w:rPr>
          <w:rFonts w:ascii="Times New Roman" w:hAnsi="Times New Roman" w:eastAsia="宋体" w:cs="Times New Roman"/>
          <w:color w:val="auto"/>
          <w:sz w:val="24"/>
          <w:szCs w:val="24"/>
          <w:lang w:val="zh-CN"/>
        </w:rPr>
        <w:t>t/a），定期清掏后送至发酵</w:t>
      </w:r>
      <w:r>
        <w:rPr>
          <w:rFonts w:hint="eastAsia" w:ascii="Times New Roman" w:hAnsi="Times New Roman" w:eastAsia="宋体" w:cs="Times New Roman"/>
          <w:color w:val="auto"/>
          <w:sz w:val="24"/>
          <w:szCs w:val="24"/>
          <w:lang w:val="zh-CN"/>
        </w:rPr>
        <w:t>罐堆肥</w:t>
      </w:r>
      <w:r>
        <w:rPr>
          <w:rFonts w:ascii="Times New Roman" w:hAnsi="Times New Roman" w:eastAsia="宋体" w:cs="Times New Roman"/>
          <w:color w:val="auto"/>
          <w:sz w:val="24"/>
          <w:szCs w:val="24"/>
          <w:lang w:val="zh-CN"/>
        </w:rPr>
        <w:t>发酵。</w:t>
      </w:r>
    </w:p>
    <w:p>
      <w:pPr>
        <w:spacing w:line="360" w:lineRule="auto"/>
        <w:ind w:firstLine="480" w:firstLineChars="200"/>
        <w:rPr>
          <w:rFonts w:hint="eastAsia" w:ascii="宋体" w:hAnsi="宋体" w:eastAsia="宋体" w:cs="宋体"/>
          <w:color w:val="auto"/>
          <w:sz w:val="24"/>
          <w:szCs w:val="24"/>
          <w:lang w:val="en-US" w:eastAsia="zh-CN"/>
        </w:rPr>
      </w:pPr>
      <w:r>
        <w:rPr>
          <w:rFonts w:ascii="Times New Roman" w:hAnsi="Times New Roman" w:eastAsia="宋体" w:cs="Times New Roman"/>
          <w:color w:val="auto"/>
          <w:sz w:val="24"/>
          <w:szCs w:val="24"/>
          <w:lang w:val="zh-CN"/>
        </w:rPr>
        <w:t>因此，本项目</w:t>
      </w:r>
      <w:r>
        <w:rPr>
          <w:rFonts w:hint="eastAsia" w:ascii="Times New Roman" w:hAnsi="Times New Roman" w:eastAsia="宋体" w:cs="Times New Roman"/>
          <w:color w:val="auto"/>
          <w:sz w:val="24"/>
          <w:szCs w:val="24"/>
          <w:lang w:val="zh-CN"/>
        </w:rPr>
        <w:t>污水处理设施污泥及沼渣共计</w:t>
      </w:r>
      <w:r>
        <w:rPr>
          <w:rFonts w:hint="eastAsia" w:ascii="Times New Roman" w:hAnsi="Times New Roman" w:eastAsia="宋体" w:cs="Times New Roman"/>
          <w:color w:val="auto"/>
          <w:sz w:val="24"/>
          <w:szCs w:val="24"/>
          <w:lang w:val="en-US" w:eastAsia="zh-CN"/>
        </w:rPr>
        <w:t>361.19/a</w:t>
      </w:r>
      <w:r>
        <w:rPr>
          <w:rFonts w:ascii="Times New Roman" w:hAnsi="Times New Roman" w:eastAsia="宋体" w:cs="Times New Roman"/>
          <w:color w:val="auto"/>
          <w:sz w:val="24"/>
          <w:szCs w:val="24"/>
          <w:lang w:val="zh-CN"/>
        </w:rPr>
        <w:t>，全部随猪粪送至发酵</w:t>
      </w:r>
      <w:r>
        <w:rPr>
          <w:rFonts w:hint="eastAsia" w:ascii="Times New Roman" w:hAnsi="Times New Roman" w:eastAsia="宋体" w:cs="Times New Roman"/>
          <w:color w:val="auto"/>
          <w:sz w:val="24"/>
          <w:szCs w:val="24"/>
          <w:lang w:val="zh-CN"/>
        </w:rPr>
        <w:t>罐堆肥</w:t>
      </w:r>
      <w:r>
        <w:rPr>
          <w:rFonts w:ascii="Times New Roman" w:hAnsi="Times New Roman" w:eastAsia="宋体" w:cs="Times New Roman"/>
          <w:color w:val="auto"/>
          <w:sz w:val="24"/>
          <w:szCs w:val="24"/>
          <w:lang w:val="zh-CN"/>
        </w:rPr>
        <w:t>。</w:t>
      </w:r>
    </w:p>
    <w:p>
      <w:pPr>
        <w:spacing w:line="360" w:lineRule="auto"/>
        <w:ind w:firstLine="482" w:firstLineChars="200"/>
        <w:rPr>
          <w:rFonts w:ascii="Times New Roman" w:hAnsi="Times New Roman" w:eastAsia="宋体" w:cs="Times New Roman"/>
          <w:b/>
          <w:color w:val="auto"/>
          <w:sz w:val="24"/>
          <w:szCs w:val="24"/>
          <w:lang w:val="zh-CN"/>
        </w:rPr>
      </w:pPr>
      <w:r>
        <w:rPr>
          <w:rFonts w:ascii="Times New Roman" w:hAnsi="Times New Roman" w:eastAsia="宋体" w:cs="Times New Roman"/>
          <w:b/>
          <w:color w:val="auto"/>
          <w:sz w:val="24"/>
          <w:szCs w:val="24"/>
          <w:lang w:val="zh-CN"/>
        </w:rPr>
        <w:t>3、病死猪及胎盘</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考虑到养殖的风险性，运营过程中会不定期的产生病死猪，且母猪在分娩时也会产生胎盘等废物。</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（1）产生情况</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根据目前规模化养殖场的管理水平，出现病死猪的几率和数量较低。</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类比同类型猪场，种猪场猪只的死亡率以仔猪为主。根据建设单位提供资料，本项目仔猪存活率为92.8%，仔猪死猪产生量约</w:t>
      </w:r>
      <w:r>
        <w:rPr>
          <w:rFonts w:hint="eastAsia" w:ascii="Times New Roman" w:hAnsi="Times New Roman" w:eastAsia="宋体" w:cs="Times New Roman"/>
          <w:color w:val="auto"/>
          <w:sz w:val="24"/>
          <w:szCs w:val="24"/>
          <w:lang w:val="en-US" w:eastAsia="zh-CN"/>
        </w:rPr>
        <w:t>5728</w:t>
      </w:r>
      <w:r>
        <w:rPr>
          <w:rFonts w:ascii="Times New Roman" w:hAnsi="Times New Roman" w:eastAsia="宋体" w:cs="Times New Roman"/>
          <w:color w:val="auto"/>
          <w:sz w:val="24"/>
          <w:szCs w:val="24"/>
          <w:lang w:val="zh-CN"/>
        </w:rPr>
        <w:t>头/年，平均重量以3kg/头计，仔猪病死猪重量约</w:t>
      </w:r>
      <w:r>
        <w:rPr>
          <w:rFonts w:hint="eastAsia" w:ascii="Times New Roman" w:hAnsi="Times New Roman" w:eastAsia="宋体" w:cs="Times New Roman"/>
          <w:color w:val="auto"/>
          <w:sz w:val="24"/>
          <w:szCs w:val="24"/>
          <w:lang w:val="en-US" w:eastAsia="zh-CN"/>
        </w:rPr>
        <w:t>17.18</w:t>
      </w:r>
      <w:r>
        <w:rPr>
          <w:rFonts w:ascii="Times New Roman" w:hAnsi="Times New Roman" w:eastAsia="宋体" w:cs="Times New Roman"/>
          <w:color w:val="auto"/>
          <w:sz w:val="24"/>
          <w:szCs w:val="24"/>
          <w:lang w:val="zh-CN"/>
        </w:rPr>
        <w:t>t/a；同时本项目</w:t>
      </w:r>
      <w:r>
        <w:rPr>
          <w:rFonts w:ascii="Times New Roman" w:hAnsi="Times New Roman" w:eastAsia="宋体" w:cs="Times New Roman"/>
          <w:color w:val="auto"/>
          <w:sz w:val="24"/>
          <w:szCs w:val="24"/>
        </w:rPr>
        <w:t>常年存栏母猪</w:t>
      </w:r>
      <w:r>
        <w:rPr>
          <w:rFonts w:hint="eastAsia" w:ascii="Times New Roman" w:hAnsi="Times New Roman" w:eastAsia="宋体" w:cs="Times New Roman"/>
          <w:color w:val="auto"/>
          <w:sz w:val="24"/>
          <w:szCs w:val="24"/>
          <w:lang w:val="en-US" w:eastAsia="zh-CN"/>
        </w:rPr>
        <w:t>15862</w:t>
      </w:r>
      <w:r>
        <w:rPr>
          <w:rFonts w:ascii="Times New Roman" w:hAnsi="Times New Roman" w:eastAsia="宋体" w:cs="Times New Roman"/>
          <w:color w:val="auto"/>
          <w:sz w:val="24"/>
          <w:szCs w:val="24"/>
        </w:rPr>
        <w:t>头，</w:t>
      </w:r>
      <w:r>
        <w:rPr>
          <w:rFonts w:ascii="Times New Roman" w:hAnsi="Times New Roman" w:eastAsia="宋体" w:cs="Times New Roman"/>
          <w:color w:val="auto"/>
          <w:sz w:val="24"/>
          <w:szCs w:val="24"/>
          <w:lang w:val="zh-CN"/>
        </w:rPr>
        <w:t>种猪分娩率为9</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zh-CN"/>
        </w:rPr>
        <w:t>2.2窝/（年·头）</w:t>
      </w:r>
      <w:r>
        <w:rPr>
          <w:rFonts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zh-CN"/>
        </w:rPr>
        <w:t>12头/窝，</w:t>
      </w:r>
      <w:r>
        <w:rPr>
          <w:rFonts w:ascii="Times New Roman" w:hAnsi="Times New Roman" w:eastAsia="宋体" w:cs="Times New Roman"/>
          <w:color w:val="auto"/>
          <w:sz w:val="24"/>
          <w:szCs w:val="24"/>
          <w:lang w:val="zh-CN"/>
        </w:rPr>
        <w:t>按每个胎盘约2kg计，则胎盘产生量为</w:t>
      </w:r>
      <w:r>
        <w:rPr>
          <w:rFonts w:hint="eastAsia" w:ascii="Times New Roman" w:hAnsi="Times New Roman" w:eastAsia="宋体" w:cs="Times New Roman"/>
          <w:color w:val="auto"/>
          <w:sz w:val="24"/>
          <w:szCs w:val="24"/>
          <w:lang w:val="en-US" w:eastAsia="zh-CN"/>
        </w:rPr>
        <w:t>770.51</w:t>
      </w:r>
      <w:r>
        <w:rPr>
          <w:rFonts w:ascii="Times New Roman" w:hAnsi="Times New Roman" w:eastAsia="宋体" w:cs="Times New Roman"/>
          <w:color w:val="auto"/>
          <w:sz w:val="24"/>
          <w:szCs w:val="24"/>
          <w:lang w:val="zh-CN"/>
        </w:rPr>
        <w:t>t/a。项目病死猪及胎盘产生量共计</w:t>
      </w:r>
      <w:r>
        <w:rPr>
          <w:rFonts w:hint="eastAsia" w:ascii="Times New Roman" w:hAnsi="Times New Roman" w:eastAsia="宋体" w:cs="Times New Roman"/>
          <w:color w:val="auto"/>
          <w:sz w:val="24"/>
          <w:szCs w:val="24"/>
          <w:lang w:val="en-US" w:eastAsia="zh-CN"/>
        </w:rPr>
        <w:t>787.69</w:t>
      </w:r>
      <w:r>
        <w:rPr>
          <w:rFonts w:ascii="Times New Roman" w:hAnsi="Times New Roman" w:eastAsia="宋体" w:cs="Times New Roman"/>
          <w:color w:val="auto"/>
          <w:sz w:val="24"/>
          <w:szCs w:val="24"/>
          <w:lang w:val="zh-CN"/>
        </w:rPr>
        <w:t>t/a。</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（2）处置措施</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经无害化降解处理机处理后，运至堆肥发酵罐，经好氧堆肥无害化处理后，得到有机肥半成品外售。</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对高温法处理的技术工艺及注意事项，本次评价要求如下：</w:t>
      </w:r>
    </w:p>
    <w:p>
      <w:pPr>
        <w:spacing w:line="360" w:lineRule="auto"/>
        <w:ind w:firstLine="480" w:firstLineChars="200"/>
        <w:rPr>
          <w:rFonts w:ascii="Times New Roman" w:hAnsi="Times New Roman" w:eastAsia="宋体" w:cs="Times New Roman"/>
          <w:color w:val="auto"/>
          <w:sz w:val="24"/>
          <w:szCs w:val="24"/>
          <w:lang w:val="zh-CN"/>
        </w:rPr>
      </w:pPr>
      <w:r>
        <w:rPr>
          <w:rFonts w:hint="eastAsia" w:ascii="宋体" w:hAnsi="宋体" w:eastAsia="宋体" w:cs="宋体"/>
          <w:color w:val="auto"/>
          <w:sz w:val="24"/>
          <w:szCs w:val="24"/>
          <w:lang w:val="zh-CN"/>
        </w:rPr>
        <w:t>①</w:t>
      </w:r>
      <w:r>
        <w:rPr>
          <w:rFonts w:ascii="Times New Roman" w:hAnsi="Times New Roman" w:eastAsia="宋体" w:cs="Times New Roman"/>
          <w:color w:val="auto"/>
          <w:sz w:val="24"/>
          <w:szCs w:val="24"/>
          <w:lang w:val="zh-CN"/>
        </w:rPr>
        <w:t>按照《病死及病害动物无害化处理技术规范》（农医发【2017】25号）要求，采用</w:t>
      </w:r>
      <w:r>
        <w:rPr>
          <w:rFonts w:hint="eastAsia" w:ascii="Times New Roman" w:hAnsi="Times New Roman" w:eastAsia="宋体" w:cs="Times New Roman"/>
          <w:color w:val="auto"/>
          <w:sz w:val="24"/>
          <w:szCs w:val="24"/>
          <w:lang w:val="zh-CN"/>
        </w:rPr>
        <w:t>无害化降解处理机</w:t>
      </w:r>
      <w:r>
        <w:rPr>
          <w:rFonts w:ascii="Times New Roman" w:hAnsi="Times New Roman" w:eastAsia="宋体" w:cs="Times New Roman"/>
          <w:color w:val="auto"/>
          <w:sz w:val="24"/>
          <w:szCs w:val="24"/>
          <w:lang w:val="zh-CN"/>
        </w:rPr>
        <w:t>机处理时不得用于患有炭疽等芽孢杆菌类疫病，以及牛海绵状脑病、痒病的染疫动物及产品、组织的处理，如发生此类情况，立即上报当地畜牧局</w:t>
      </w:r>
      <w:r>
        <w:rPr>
          <w:rFonts w:ascii="Times New Roman" w:hAnsi="Times New Roman" w:eastAsia="宋体" w:cs="Times New Roman"/>
          <w:color w:val="auto"/>
          <w:sz w:val="24"/>
          <w:szCs w:val="24"/>
        </w:rPr>
        <w:t>，启动畜禽疫病防控应急预案</w:t>
      </w:r>
      <w:r>
        <w:rPr>
          <w:rFonts w:ascii="Times New Roman" w:hAnsi="Times New Roman" w:eastAsia="宋体" w:cs="Times New Roman"/>
          <w:color w:val="auto"/>
          <w:sz w:val="24"/>
          <w:szCs w:val="24"/>
          <w:lang w:val="zh-CN"/>
        </w:rPr>
        <w:t>。</w:t>
      </w:r>
    </w:p>
    <w:p>
      <w:pPr>
        <w:spacing w:line="360" w:lineRule="auto"/>
        <w:ind w:firstLine="480" w:firstLineChars="200"/>
        <w:rPr>
          <w:rFonts w:ascii="Times New Roman" w:hAnsi="Times New Roman" w:eastAsia="宋体" w:cs="Times New Roman"/>
          <w:color w:val="auto"/>
          <w:sz w:val="24"/>
          <w:szCs w:val="24"/>
          <w:lang w:val="zh-CN"/>
        </w:rPr>
      </w:pPr>
      <w:r>
        <w:rPr>
          <w:rFonts w:hint="eastAsia" w:ascii="宋体" w:hAnsi="宋体" w:eastAsia="宋体" w:cs="宋体"/>
          <w:color w:val="auto"/>
          <w:sz w:val="24"/>
          <w:szCs w:val="24"/>
          <w:lang w:val="zh-CN"/>
        </w:rPr>
        <w:t>②</w:t>
      </w:r>
      <w:r>
        <w:rPr>
          <w:rFonts w:ascii="Times New Roman" w:hAnsi="Times New Roman" w:eastAsia="宋体" w:cs="Times New Roman"/>
          <w:color w:val="auto"/>
          <w:sz w:val="24"/>
          <w:szCs w:val="24"/>
          <w:lang w:val="zh-CN"/>
        </w:rPr>
        <w:t>进行病死猪的收集、暂存、转运等操作的工作人员应经过专门培训，掌握相应的动物防疫知识。同时病死猪等产品的收集、暂存、转运、无害化处理等环节应建有台账和记录。</w:t>
      </w:r>
    </w:p>
    <w:p>
      <w:pPr>
        <w:spacing w:line="360" w:lineRule="auto"/>
        <w:ind w:firstLine="480" w:firstLineChars="200"/>
        <w:rPr>
          <w:rFonts w:ascii="Times New Roman" w:hAnsi="Times New Roman" w:eastAsia="宋体" w:cs="Times New Roman"/>
          <w:color w:val="auto"/>
          <w:sz w:val="24"/>
          <w:szCs w:val="24"/>
          <w:lang w:val="zh-CN"/>
        </w:rPr>
      </w:pPr>
      <w:r>
        <w:rPr>
          <w:rFonts w:hint="eastAsia" w:ascii="宋体" w:hAnsi="宋体" w:eastAsia="宋体" w:cs="宋体"/>
          <w:color w:val="auto"/>
          <w:sz w:val="24"/>
          <w:szCs w:val="24"/>
          <w:lang w:val="zh-CN"/>
        </w:rPr>
        <w:t>③</w:t>
      </w:r>
      <w:r>
        <w:rPr>
          <w:rFonts w:ascii="Times New Roman" w:hAnsi="Times New Roman" w:eastAsia="宋体" w:cs="Times New Roman"/>
          <w:color w:val="auto"/>
          <w:sz w:val="24"/>
          <w:szCs w:val="24"/>
          <w:lang w:val="zh-CN"/>
        </w:rPr>
        <w:t>工作人员应使用专用的收集工具、包装用品、转运工具、清洗工具、消毒器材等，在操作过程中应穿戴防护服、口罩、护目镜、胶鞋及手套等防护用具。</w:t>
      </w:r>
    </w:p>
    <w:p>
      <w:pPr>
        <w:widowControl w:val="0"/>
        <w:spacing w:line="360" w:lineRule="auto"/>
        <w:ind w:firstLine="480" w:firstLineChars="200"/>
        <w:jc w:val="both"/>
        <w:rPr>
          <w:rFonts w:ascii="Times New Roman" w:hAnsi="Times New Roman" w:eastAsia="宋体" w:cs="Times New Roman"/>
          <w:color w:val="auto"/>
          <w:kern w:val="2"/>
          <w:sz w:val="24"/>
          <w:szCs w:val="20"/>
          <w:lang w:val="zh-CN" w:eastAsia="zh-CN" w:bidi="ar-SA"/>
        </w:rPr>
      </w:pPr>
      <w:r>
        <w:rPr>
          <w:rFonts w:hint="eastAsia" w:ascii="宋体" w:hAnsi="宋体" w:eastAsia="宋体" w:cs="宋体"/>
          <w:color w:val="auto"/>
          <w:kern w:val="2"/>
          <w:sz w:val="24"/>
          <w:szCs w:val="20"/>
          <w:lang w:val="zh-CN" w:eastAsia="zh-CN" w:bidi="ar-SA"/>
        </w:rPr>
        <w:t>④</w:t>
      </w:r>
      <w:r>
        <w:rPr>
          <w:rFonts w:ascii="Times New Roman" w:hAnsi="Times New Roman" w:eastAsia="宋体" w:cs="Times New Roman"/>
          <w:color w:val="auto"/>
          <w:kern w:val="2"/>
          <w:sz w:val="24"/>
          <w:szCs w:val="20"/>
          <w:lang w:val="zh-CN" w:eastAsia="zh-CN" w:bidi="ar-SA"/>
        </w:rPr>
        <w:t>工作完毕后，应对一次性防护用品作销毁处理，对循环使用的防护用品消毒处理。</w:t>
      </w:r>
    </w:p>
    <w:p>
      <w:pPr>
        <w:widowControl w:val="0"/>
        <w:spacing w:line="360" w:lineRule="auto"/>
        <w:ind w:firstLine="480" w:firstLineChars="200"/>
        <w:jc w:val="both"/>
        <w:rPr>
          <w:rFonts w:ascii="Times New Roman" w:hAnsi="Times New Roman" w:eastAsia="宋体" w:cs="Times New Roman"/>
          <w:color w:val="auto"/>
          <w:kern w:val="2"/>
          <w:sz w:val="24"/>
          <w:szCs w:val="20"/>
          <w:lang w:val="zh-CN" w:eastAsia="zh-CN" w:bidi="ar-SA"/>
        </w:rPr>
      </w:pPr>
      <w:r>
        <w:rPr>
          <w:rFonts w:ascii="Times New Roman" w:hAnsi="Times New Roman" w:eastAsia="宋体" w:cs="Times New Roman"/>
          <w:color w:val="auto"/>
          <w:kern w:val="2"/>
          <w:sz w:val="24"/>
          <w:szCs w:val="20"/>
          <w:lang w:val="zh-CN" w:eastAsia="zh-CN" w:bidi="ar-SA"/>
        </w:rPr>
        <w:t>采取上述措施后，项目运营期产生的病死猪及胎盘可实现无害化处置，</w:t>
      </w:r>
      <w:r>
        <w:rPr>
          <w:rFonts w:ascii="Times New Roman" w:hAnsi="Times New Roman" w:eastAsia="宋体" w:cs="Times New Roman"/>
          <w:color w:val="auto"/>
          <w:kern w:val="2"/>
          <w:sz w:val="24"/>
          <w:szCs w:val="20"/>
          <w:lang w:val="en-US" w:eastAsia="zh-CN" w:bidi="ar-SA"/>
        </w:rPr>
        <w:t>不会对周围环境造成明显不利影响</w:t>
      </w:r>
      <w:r>
        <w:rPr>
          <w:rFonts w:ascii="Times New Roman" w:hAnsi="Times New Roman" w:eastAsia="宋体" w:cs="Times New Roman"/>
          <w:color w:val="auto"/>
          <w:kern w:val="2"/>
          <w:sz w:val="24"/>
          <w:szCs w:val="20"/>
          <w:lang w:val="zh-CN" w:eastAsia="zh-CN" w:bidi="ar-SA"/>
        </w:rPr>
        <w:t>。</w:t>
      </w:r>
    </w:p>
    <w:p>
      <w:pPr>
        <w:spacing w:line="360" w:lineRule="auto"/>
        <w:ind w:firstLine="482" w:firstLineChars="200"/>
        <w:rPr>
          <w:rFonts w:ascii="Times New Roman" w:hAnsi="Times New Roman" w:eastAsia="宋体" w:cs="Times New Roman"/>
          <w:color w:val="auto"/>
          <w:sz w:val="24"/>
          <w:szCs w:val="24"/>
          <w:lang w:val="zh-CN"/>
        </w:rPr>
      </w:pPr>
      <w:r>
        <w:rPr>
          <w:rFonts w:ascii="Times New Roman" w:hAnsi="Times New Roman" w:eastAsia="宋体" w:cs="Times New Roman"/>
          <w:b/>
          <w:color w:val="auto"/>
          <w:sz w:val="24"/>
          <w:szCs w:val="24"/>
          <w:lang w:val="zh-CN"/>
        </w:rPr>
        <w:t>4、畜禽医疗废物</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（1）产生情况</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猪只在养殖过程中进行防疫、消毒时会产生废疫苗瓶、废消毒剂瓶、药品的包装及注射用针头等医疗废物，预计本项目医疗废物产生量约</w:t>
      </w:r>
      <w:r>
        <w:rPr>
          <w:rFonts w:hint="eastAsia" w:ascii="Times New Roman" w:hAnsi="Times New Roman" w:eastAsia="宋体" w:cs="Times New Roman"/>
          <w:color w:val="auto"/>
          <w:sz w:val="24"/>
          <w:szCs w:val="24"/>
          <w:lang w:val="en-US" w:eastAsia="zh-CN"/>
        </w:rPr>
        <w:t>1</w:t>
      </w:r>
      <w:r>
        <w:rPr>
          <w:rFonts w:ascii="Times New Roman" w:hAnsi="Times New Roman" w:eastAsia="宋体" w:cs="Times New Roman"/>
          <w:color w:val="auto"/>
          <w:sz w:val="24"/>
          <w:szCs w:val="24"/>
          <w:lang w:val="zh-CN"/>
        </w:rPr>
        <w:t>t/a，对照《国家危险废物名录》（2016年版），该部分医疗废物属于危险废物，类别为“HW01 医疗废物中900-001-01为防止动物传染病而需要收集和处置的废物”。</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（2）处置措施</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val="zh-CN"/>
        </w:rPr>
        <w:t>危险废物应单独收集处理，不与生活垃圾进行混装，</w:t>
      </w:r>
      <w:r>
        <w:rPr>
          <w:rFonts w:ascii="Times New Roman" w:hAnsi="Times New Roman" w:eastAsia="宋体" w:cs="Times New Roman"/>
          <w:color w:val="auto"/>
          <w:sz w:val="24"/>
          <w:szCs w:val="24"/>
        </w:rPr>
        <w:t>经收集后暂存于危险废物暂存间，最终交由具有相应资质类别的危险废物处置单位处置。</w:t>
      </w:r>
    </w:p>
    <w:p>
      <w:pPr>
        <w:pStyle w:val="2503"/>
        <w:numPr>
          <w:ilvl w:val="0"/>
          <w:numId w:val="19"/>
        </w:numPr>
        <w:spacing w:before="120"/>
        <w:ind w:left="0" w:leftChars="0" w:firstLine="403" w:firstLineChars="0"/>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b/>
          <w:color w:val="auto"/>
          <w:kern w:val="2"/>
          <w:sz w:val="21"/>
          <w:szCs w:val="24"/>
          <w:lang w:val="en-US" w:eastAsia="zh-CN" w:bidi="ar-SA"/>
        </w:rPr>
        <w:t>工程分析中危险废物汇总样表</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44"/>
        <w:gridCol w:w="605"/>
        <w:gridCol w:w="447"/>
        <w:gridCol w:w="837"/>
        <w:gridCol w:w="765"/>
        <w:gridCol w:w="645"/>
        <w:gridCol w:w="330"/>
        <w:gridCol w:w="450"/>
        <w:gridCol w:w="540"/>
        <w:gridCol w:w="510"/>
        <w:gridCol w:w="510"/>
        <w:gridCol w:w="2300"/>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24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序 号</w:t>
            </w:r>
          </w:p>
        </w:tc>
        <w:tc>
          <w:tcPr>
            <w:tcW w:w="60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危险 废物 名称</w:t>
            </w:r>
          </w:p>
        </w:tc>
        <w:tc>
          <w:tcPr>
            <w:tcW w:w="447"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危险 废物 类别</w:t>
            </w:r>
          </w:p>
        </w:tc>
        <w:tc>
          <w:tcPr>
            <w:tcW w:w="837"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危险废物代码</w:t>
            </w:r>
          </w:p>
        </w:tc>
        <w:tc>
          <w:tcPr>
            <w:tcW w:w="76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产生量</w:t>
            </w:r>
          </w:p>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（t/a）</w:t>
            </w:r>
          </w:p>
        </w:tc>
        <w:tc>
          <w:tcPr>
            <w:tcW w:w="64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产生工序 及装 置</w:t>
            </w:r>
          </w:p>
        </w:tc>
        <w:tc>
          <w:tcPr>
            <w:tcW w:w="33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形态</w:t>
            </w:r>
          </w:p>
        </w:tc>
        <w:tc>
          <w:tcPr>
            <w:tcW w:w="45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主要成分</w:t>
            </w:r>
          </w:p>
        </w:tc>
        <w:tc>
          <w:tcPr>
            <w:tcW w:w="54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有害成分</w:t>
            </w:r>
          </w:p>
        </w:tc>
        <w:tc>
          <w:tcPr>
            <w:tcW w:w="51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产废周期</w:t>
            </w:r>
          </w:p>
        </w:tc>
        <w:tc>
          <w:tcPr>
            <w:tcW w:w="51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危险特性</w:t>
            </w:r>
          </w:p>
        </w:tc>
        <w:tc>
          <w:tcPr>
            <w:tcW w:w="230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污染防治措施*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4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60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医疗 废物</w:t>
            </w:r>
          </w:p>
        </w:tc>
        <w:tc>
          <w:tcPr>
            <w:tcW w:w="447"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HW01医疗废物</w:t>
            </w:r>
          </w:p>
        </w:tc>
        <w:tc>
          <w:tcPr>
            <w:tcW w:w="837"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900-001-01</w:t>
            </w:r>
          </w:p>
        </w:tc>
        <w:tc>
          <w:tcPr>
            <w:tcW w:w="76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64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防疫 用品</w:t>
            </w:r>
          </w:p>
        </w:tc>
        <w:tc>
          <w:tcPr>
            <w:tcW w:w="33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固体</w:t>
            </w:r>
          </w:p>
        </w:tc>
        <w:tc>
          <w:tcPr>
            <w:tcW w:w="45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4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1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51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毒性</w:t>
            </w:r>
          </w:p>
        </w:tc>
        <w:tc>
          <w:tcPr>
            <w:tcW w:w="2300"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3"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建设单位应在场区内设立高密度聚乙烯塑料桶（内衬专用塑料袋）对卫生防疫产生的废药品（含器具）进行收集，禁止与生活垃圾进行混装，在项目建成投运前必须签订危险废物处置协议，项目产生的危险废物需定期交由具有相应资质类别的单位处置，并落实联单责任制。</w:t>
            </w:r>
          </w:p>
        </w:tc>
      </w:tr>
    </w:tbl>
    <w:p>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按照《建设项目危险废物环境影响评价指南》要求，本项目工程分析应给出危险废物收集、贮存、运输、利用、处置环节采取的污染防治措施。本项目拟设置</w:t>
      </w:r>
      <w:r>
        <w:rPr>
          <w:rFonts w:hint="eastAsia" w:ascii="Times New Roman" w:hAnsi="Times New Roman" w:eastAsia="宋体" w:cs="Times New Roman"/>
          <w:bCs/>
          <w:color w:val="auto"/>
          <w:sz w:val="24"/>
          <w:szCs w:val="24"/>
          <w:lang w:val="en-US" w:eastAsia="zh-CN"/>
        </w:rPr>
        <w:t>5</w:t>
      </w:r>
      <w:r>
        <w:rPr>
          <w:rFonts w:ascii="Times New Roman" w:hAnsi="Times New Roman" w:eastAsia="宋体" w:cs="Times New Roman"/>
          <w:bCs/>
          <w:color w:val="auto"/>
          <w:sz w:val="24"/>
          <w:szCs w:val="24"/>
        </w:rPr>
        <w:t>处危险废物暂存间（</w:t>
      </w:r>
      <w:r>
        <w:rPr>
          <w:rFonts w:hint="eastAsia" w:ascii="Times New Roman" w:hAnsi="Times New Roman" w:eastAsia="宋体" w:cs="Times New Roman"/>
          <w:bCs/>
          <w:color w:val="auto"/>
          <w:sz w:val="24"/>
          <w:szCs w:val="24"/>
        </w:rPr>
        <w:t>单间建筑</w:t>
      </w:r>
      <w:r>
        <w:rPr>
          <w:rFonts w:ascii="Times New Roman" w:hAnsi="Times New Roman" w:eastAsia="宋体" w:cs="Times New Roman"/>
          <w:bCs/>
          <w:color w:val="auto"/>
          <w:sz w:val="24"/>
          <w:szCs w:val="24"/>
        </w:rPr>
        <w:t>面积约</w:t>
      </w:r>
      <w:r>
        <w:rPr>
          <w:rFonts w:hint="eastAsia" w:ascii="Times New Roman" w:hAnsi="Times New Roman" w:eastAsia="宋体" w:cs="Times New Roman"/>
          <w:bCs/>
          <w:color w:val="auto"/>
          <w:sz w:val="24"/>
          <w:szCs w:val="24"/>
        </w:rPr>
        <w:t>5</w:t>
      </w:r>
      <w:r>
        <w:rPr>
          <w:rFonts w:ascii="Times New Roman" w:hAnsi="Times New Roman" w:eastAsia="宋体" w:cs="Times New Roman"/>
          <w:bCs/>
          <w:color w:val="auto"/>
          <w:sz w:val="24"/>
          <w:szCs w:val="24"/>
        </w:rPr>
        <w:t>m</w:t>
      </w:r>
      <w:r>
        <w:rPr>
          <w:rFonts w:ascii="Times New Roman" w:hAnsi="Times New Roman" w:eastAsia="宋体" w:cs="Times New Roman"/>
          <w:bCs/>
          <w:color w:val="auto"/>
          <w:sz w:val="24"/>
          <w:szCs w:val="24"/>
          <w:vertAlign w:val="superscript"/>
        </w:rPr>
        <w:t>2</w:t>
      </w: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rPr>
        <w:t>分别</w:t>
      </w:r>
      <w:r>
        <w:rPr>
          <w:rFonts w:ascii="Times New Roman" w:hAnsi="Times New Roman" w:eastAsia="宋体" w:cs="Times New Roman"/>
          <w:bCs/>
          <w:color w:val="auto"/>
          <w:sz w:val="24"/>
          <w:szCs w:val="24"/>
        </w:rPr>
        <w:t>位于</w:t>
      </w:r>
      <w:r>
        <w:rPr>
          <w:rFonts w:hint="eastAsia" w:ascii="Times New Roman" w:hAnsi="Times New Roman" w:eastAsia="宋体" w:cs="Times New Roman"/>
          <w:bCs/>
          <w:color w:val="auto"/>
          <w:sz w:val="24"/>
          <w:szCs w:val="24"/>
        </w:rPr>
        <w:t>各分娩舍圈舍旁</w:t>
      </w:r>
      <w:r>
        <w:rPr>
          <w:rFonts w:ascii="Times New Roman" w:hAnsi="Times New Roman" w:eastAsia="宋体" w:cs="Times New Roman"/>
          <w:bCs/>
          <w:color w:val="auto"/>
          <w:sz w:val="24"/>
          <w:szCs w:val="24"/>
        </w:rPr>
        <w:t>。危险废物暂存间设置按照《危险废物贮存污染物控制标准》（GB18597-2001）进行防风、防雨、防晒、防渗漏处理，地面渗透系数小于1.0×10</w:t>
      </w:r>
      <w:r>
        <w:rPr>
          <w:rFonts w:ascii="Times New Roman" w:hAnsi="Times New Roman" w:eastAsia="宋体" w:cs="Times New Roman"/>
          <w:bCs/>
          <w:color w:val="auto"/>
          <w:sz w:val="24"/>
          <w:szCs w:val="24"/>
          <w:vertAlign w:val="superscript"/>
        </w:rPr>
        <w:t>-10</w:t>
      </w:r>
      <w:r>
        <w:rPr>
          <w:rFonts w:ascii="Times New Roman" w:hAnsi="Times New Roman" w:eastAsia="宋体" w:cs="Times New Roman"/>
          <w:bCs/>
          <w:color w:val="auto"/>
          <w:sz w:val="24"/>
          <w:szCs w:val="24"/>
        </w:rPr>
        <w:t>cm/s。本项目危险废物贮存场所基本情况见表3.</w:t>
      </w:r>
      <w:r>
        <w:rPr>
          <w:rFonts w:hint="eastAsia" w:ascii="Times New Roman" w:hAnsi="Times New Roman" w:eastAsia="宋体" w:cs="Times New Roman"/>
          <w:bCs/>
          <w:color w:val="auto"/>
          <w:sz w:val="24"/>
          <w:szCs w:val="24"/>
          <w:lang w:val="en-US" w:eastAsia="zh-CN"/>
        </w:rPr>
        <w:t>2</w:t>
      </w: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lang w:val="en-US" w:eastAsia="zh-CN"/>
        </w:rPr>
        <w:t>27</w:t>
      </w:r>
      <w:r>
        <w:rPr>
          <w:rFonts w:ascii="Times New Roman" w:hAnsi="Times New Roman" w:eastAsia="宋体" w:cs="Times New Roman"/>
          <w:bCs/>
          <w:color w:val="auto"/>
          <w:sz w:val="24"/>
          <w:szCs w:val="24"/>
        </w:rPr>
        <w:t>。</w:t>
      </w:r>
    </w:p>
    <w:p>
      <w:pPr>
        <w:pStyle w:val="2503"/>
        <w:numPr>
          <w:ilvl w:val="0"/>
          <w:numId w:val="19"/>
        </w:numPr>
        <w:spacing w:before="120"/>
        <w:ind w:left="0" w:leftChars="0" w:firstLine="403" w:firstLineChars="0"/>
        <w:rPr>
          <w:rFonts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 xml:space="preserve">    </w:t>
      </w:r>
      <w:r>
        <w:rPr>
          <w:rFonts w:ascii="Times New Roman" w:hAnsi="Times New Roman" w:eastAsia="宋体" w:cs="Times New Roman"/>
          <w:b/>
          <w:color w:val="auto"/>
          <w:kern w:val="2"/>
          <w:sz w:val="21"/>
          <w:szCs w:val="24"/>
          <w:lang w:val="en-US" w:eastAsia="zh-CN" w:bidi="ar-SA"/>
        </w:rPr>
        <w:t>建设项目危险废物贮存场所基本情况表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864"/>
        <w:gridCol w:w="864"/>
        <w:gridCol w:w="864"/>
        <w:gridCol w:w="1196"/>
        <w:gridCol w:w="870"/>
        <w:gridCol w:w="870"/>
        <w:gridCol w:w="870"/>
        <w:gridCol w:w="870"/>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65"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86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贮存场所名称</w:t>
            </w:r>
          </w:p>
        </w:tc>
        <w:tc>
          <w:tcPr>
            <w:tcW w:w="86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危险废物名称</w:t>
            </w:r>
          </w:p>
        </w:tc>
        <w:tc>
          <w:tcPr>
            <w:tcW w:w="86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危险废物类别</w:t>
            </w:r>
          </w:p>
        </w:tc>
        <w:tc>
          <w:tcPr>
            <w:tcW w:w="1196"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危险废物代码</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位置</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面积</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贮存方式</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贮存能力</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65"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86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危险废物暂存间</w:t>
            </w:r>
          </w:p>
        </w:tc>
        <w:tc>
          <w:tcPr>
            <w:tcW w:w="864" w:type="dxa"/>
            <w:noWrap w:val="0"/>
            <w:vAlign w:val="center"/>
          </w:tcPr>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医疗废物</w:t>
            </w:r>
          </w:p>
        </w:tc>
        <w:tc>
          <w:tcPr>
            <w:tcW w:w="864" w:type="dxa"/>
            <w:noWrap w:val="0"/>
            <w:vAlign w:val="center"/>
          </w:tcPr>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HW01</w:t>
            </w:r>
          </w:p>
        </w:tc>
        <w:tc>
          <w:tcPr>
            <w:tcW w:w="1196" w:type="dxa"/>
            <w:noWrap w:val="0"/>
            <w:vAlign w:val="center"/>
          </w:tcPr>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900-001-01</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各分娩舍圈舍</w:t>
            </w:r>
            <w:r>
              <w:rPr>
                <w:rFonts w:hint="eastAsia" w:ascii="Times New Roman" w:hAnsi="Times New Roman" w:eastAsia="宋体" w:cs="Times New Roman"/>
                <w:bCs/>
                <w:color w:val="auto"/>
                <w:sz w:val="21"/>
                <w:szCs w:val="21"/>
              </w:rPr>
              <w:t>旁</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rPr>
              <w:t>×5m</w:t>
            </w:r>
            <w:r>
              <w:rPr>
                <w:rFonts w:hint="default" w:ascii="Times New Roman" w:hAnsi="Times New Roman" w:eastAsia="宋体" w:cs="Times New Roman"/>
                <w:bCs/>
                <w:color w:val="auto"/>
                <w:sz w:val="21"/>
                <w:szCs w:val="21"/>
                <w:vertAlign w:val="superscript"/>
              </w:rPr>
              <w:t>2</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桶装</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0.5</w:t>
            </w:r>
            <w:r>
              <w:rPr>
                <w:rFonts w:hint="default" w:ascii="Times New Roman" w:hAnsi="Times New Roman" w:eastAsia="宋体" w:cs="Times New Roman"/>
                <w:bCs/>
                <w:color w:val="auto"/>
                <w:sz w:val="21"/>
                <w:szCs w:val="21"/>
              </w:rPr>
              <w:t>t</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半年</w:t>
            </w:r>
          </w:p>
        </w:tc>
      </w:tr>
    </w:tbl>
    <w:p>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环评要求：</w:t>
      </w:r>
    </w:p>
    <w:p>
      <w:pPr>
        <w:wordWrap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w:t>
      </w:r>
      <w:r>
        <w:rPr>
          <w:rFonts w:ascii="Times New Roman" w:hAnsi="Times New Roman" w:eastAsia="宋体" w:cs="Times New Roman"/>
          <w:color w:val="auto"/>
          <w:sz w:val="24"/>
          <w:szCs w:val="24"/>
          <w:lang w:val="zh-CN"/>
        </w:rPr>
        <w:t>建设单位在场区内</w:t>
      </w:r>
      <w:r>
        <w:rPr>
          <w:rFonts w:ascii="Times New Roman" w:hAnsi="Times New Roman" w:eastAsia="宋体" w:cs="Times New Roman"/>
          <w:bCs/>
          <w:color w:val="auto"/>
          <w:sz w:val="24"/>
          <w:szCs w:val="24"/>
        </w:rPr>
        <w:t>设置</w:t>
      </w:r>
      <w:r>
        <w:rPr>
          <w:rFonts w:hint="eastAsia" w:ascii="Times New Roman" w:hAnsi="Times New Roman" w:eastAsia="宋体" w:cs="Times New Roman"/>
          <w:bCs/>
          <w:color w:val="auto"/>
          <w:sz w:val="24"/>
          <w:szCs w:val="24"/>
          <w:lang w:val="en-US" w:eastAsia="zh-CN"/>
        </w:rPr>
        <w:t>5</w:t>
      </w:r>
      <w:r>
        <w:rPr>
          <w:rFonts w:ascii="Times New Roman" w:hAnsi="Times New Roman" w:eastAsia="宋体" w:cs="Times New Roman"/>
          <w:bCs/>
          <w:color w:val="auto"/>
          <w:sz w:val="24"/>
          <w:szCs w:val="24"/>
        </w:rPr>
        <w:t>处危险废物暂存间（</w:t>
      </w:r>
      <w:r>
        <w:rPr>
          <w:rFonts w:hint="eastAsia" w:ascii="Times New Roman" w:hAnsi="Times New Roman" w:eastAsia="宋体" w:cs="Times New Roman"/>
          <w:bCs/>
          <w:color w:val="auto"/>
          <w:sz w:val="24"/>
          <w:szCs w:val="24"/>
        </w:rPr>
        <w:t>单间建筑</w:t>
      </w:r>
      <w:r>
        <w:rPr>
          <w:rFonts w:ascii="Times New Roman" w:hAnsi="Times New Roman" w:eastAsia="宋体" w:cs="Times New Roman"/>
          <w:bCs/>
          <w:color w:val="auto"/>
          <w:sz w:val="24"/>
          <w:szCs w:val="24"/>
        </w:rPr>
        <w:t>面积约</w:t>
      </w:r>
      <w:r>
        <w:rPr>
          <w:rFonts w:hint="eastAsia" w:ascii="Times New Roman" w:hAnsi="Times New Roman" w:eastAsia="宋体" w:cs="Times New Roman"/>
          <w:bCs/>
          <w:color w:val="auto"/>
          <w:sz w:val="24"/>
          <w:szCs w:val="24"/>
        </w:rPr>
        <w:t>5</w:t>
      </w:r>
      <w:r>
        <w:rPr>
          <w:rFonts w:ascii="Times New Roman" w:hAnsi="Times New Roman" w:eastAsia="宋体" w:cs="Times New Roman"/>
          <w:bCs/>
          <w:color w:val="auto"/>
          <w:sz w:val="24"/>
          <w:szCs w:val="24"/>
        </w:rPr>
        <w:t>m</w:t>
      </w:r>
      <w:r>
        <w:rPr>
          <w:rFonts w:ascii="Times New Roman" w:hAnsi="Times New Roman" w:eastAsia="宋体" w:cs="Times New Roman"/>
          <w:bCs/>
          <w:color w:val="auto"/>
          <w:sz w:val="24"/>
          <w:szCs w:val="24"/>
          <w:vertAlign w:val="superscript"/>
        </w:rPr>
        <w:t>2</w:t>
      </w: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rPr>
        <w:t>分别</w:t>
      </w:r>
      <w:r>
        <w:rPr>
          <w:rFonts w:ascii="Times New Roman" w:hAnsi="Times New Roman" w:eastAsia="宋体" w:cs="Times New Roman"/>
          <w:bCs/>
          <w:color w:val="auto"/>
          <w:sz w:val="24"/>
          <w:szCs w:val="24"/>
        </w:rPr>
        <w:t>位于</w:t>
      </w:r>
      <w:r>
        <w:rPr>
          <w:rFonts w:hint="eastAsia" w:ascii="Times New Roman" w:hAnsi="Times New Roman" w:eastAsia="宋体" w:cs="Times New Roman"/>
          <w:bCs/>
          <w:color w:val="auto"/>
          <w:sz w:val="24"/>
          <w:szCs w:val="24"/>
          <w:lang w:eastAsia="zh-CN"/>
        </w:rPr>
        <w:t>各分娩舍圈舍</w:t>
      </w:r>
      <w:r>
        <w:rPr>
          <w:rFonts w:hint="eastAsia" w:ascii="Times New Roman" w:hAnsi="Times New Roman" w:eastAsia="宋体" w:cs="Times New Roman"/>
          <w:bCs/>
          <w:color w:val="auto"/>
          <w:sz w:val="24"/>
          <w:szCs w:val="24"/>
        </w:rPr>
        <w:t>旁</w:t>
      </w:r>
      <w:r>
        <w:rPr>
          <w:rFonts w:ascii="Times New Roman" w:hAnsi="Times New Roman" w:eastAsia="宋体" w:cs="Times New Roman"/>
          <w:color w:val="auto"/>
          <w:sz w:val="24"/>
          <w:szCs w:val="24"/>
          <w:lang w:val="zh-CN"/>
        </w:rPr>
        <w:t>。内设高密度聚乙烯塑料桶（内衬专用塑料袋）对卫生防疫产生的废药品（含器具）进行收集，禁止与生活垃圾进行混装。做好</w:t>
      </w:r>
      <w:r>
        <w:rPr>
          <w:rFonts w:ascii="Times New Roman" w:hAnsi="Times New Roman" w:eastAsia="宋体" w:cs="Times New Roman"/>
          <w:bCs/>
          <w:color w:val="auto"/>
          <w:sz w:val="24"/>
          <w:szCs w:val="24"/>
        </w:rPr>
        <w:t>防渗漏</w:t>
      </w:r>
      <w:r>
        <w:rPr>
          <w:rFonts w:ascii="Times New Roman" w:hAnsi="Times New Roman" w:eastAsia="宋体" w:cs="Times New Roman"/>
          <w:color w:val="auto"/>
          <w:sz w:val="24"/>
          <w:szCs w:val="24"/>
          <w:lang w:val="zh-CN"/>
        </w:rPr>
        <w:t>措施，地面采取混凝土地面加铺防渗剂和人工材料（HDPE）防渗层，确保等效黏土防渗层K≤1×10</w:t>
      </w:r>
      <w:r>
        <w:rPr>
          <w:rFonts w:ascii="Times New Roman" w:hAnsi="Times New Roman" w:eastAsia="宋体" w:cs="Times New Roman"/>
          <w:color w:val="auto"/>
          <w:sz w:val="24"/>
          <w:szCs w:val="24"/>
          <w:vertAlign w:val="superscript"/>
          <w:lang w:val="zh-CN"/>
        </w:rPr>
        <w:t>-10</w:t>
      </w:r>
      <w:r>
        <w:rPr>
          <w:rFonts w:ascii="Times New Roman" w:hAnsi="Times New Roman" w:eastAsia="宋体" w:cs="Times New Roman"/>
          <w:color w:val="auto"/>
          <w:sz w:val="24"/>
          <w:szCs w:val="24"/>
          <w:lang w:val="zh-CN"/>
        </w:rPr>
        <w:t>cm/s，防止造成地下水污染。</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rPr>
        <w:t>2）项目产生的危险废物存放处置按照《危险废物贮存污染控制标准》（GB18597-2001/XG1-2013）严格执行，严禁将危险废物随意露天堆放。危险废物暂存间</w:t>
      </w:r>
      <w:r>
        <w:rPr>
          <w:rFonts w:ascii="Times New Roman" w:hAnsi="Times New Roman" w:eastAsia="宋体" w:cs="Times New Roman"/>
          <w:color w:val="auto"/>
          <w:sz w:val="24"/>
          <w:szCs w:val="24"/>
          <w:lang w:val="zh-CN"/>
        </w:rPr>
        <w:t>还应严格按照《环境保护图形标志—固体废物贮存（处置）场》（GB15562.2-1995）</w:t>
      </w:r>
      <w:r>
        <w:rPr>
          <w:rFonts w:ascii="Times New Roman" w:hAnsi="Times New Roman" w:eastAsia="宋体" w:cs="Times New Roman"/>
          <w:color w:val="auto"/>
          <w:sz w:val="24"/>
          <w:szCs w:val="24"/>
        </w:rPr>
        <w:t>的规定</w:t>
      </w:r>
      <w:r>
        <w:rPr>
          <w:rFonts w:ascii="Times New Roman" w:hAnsi="Times New Roman" w:eastAsia="宋体" w:cs="Times New Roman"/>
          <w:color w:val="auto"/>
          <w:sz w:val="24"/>
          <w:szCs w:val="24"/>
          <w:lang w:val="zh-CN"/>
        </w:rPr>
        <w:t>设置警示标识；在项目建成投运前必须与</w:t>
      </w:r>
      <w:r>
        <w:rPr>
          <w:rFonts w:ascii="Times New Roman" w:hAnsi="Times New Roman" w:eastAsia="宋体" w:cs="Times New Roman"/>
          <w:color w:val="auto"/>
          <w:sz w:val="24"/>
          <w:szCs w:val="24"/>
        </w:rPr>
        <w:t>具有相应资质类别的危险废物处理资质的单位签订危险废物处置协议，由资质单位定期</w:t>
      </w:r>
      <w:r>
        <w:rPr>
          <w:rFonts w:ascii="Times New Roman" w:hAnsi="Times New Roman" w:eastAsia="宋体" w:cs="Times New Roman"/>
          <w:color w:val="auto"/>
          <w:sz w:val="24"/>
          <w:szCs w:val="24"/>
          <w:lang w:val="zh-CN"/>
        </w:rPr>
        <w:t>（每年至少一次）</w:t>
      </w:r>
      <w:r>
        <w:rPr>
          <w:rFonts w:ascii="Times New Roman" w:hAnsi="Times New Roman" w:eastAsia="宋体" w:cs="Times New Roman"/>
          <w:color w:val="auto"/>
          <w:sz w:val="24"/>
          <w:szCs w:val="24"/>
        </w:rPr>
        <w:t>转运处置；</w:t>
      </w:r>
      <w:r>
        <w:rPr>
          <w:rFonts w:ascii="Times New Roman" w:hAnsi="Times New Roman" w:eastAsia="宋体" w:cs="Times New Roman"/>
          <w:color w:val="auto"/>
          <w:sz w:val="24"/>
          <w:szCs w:val="24"/>
          <w:lang w:val="zh-CN"/>
        </w:rPr>
        <w:t>危险废物转运时必须安全转移，防止撒漏</w:t>
      </w:r>
      <w:r>
        <w:rPr>
          <w:rFonts w:ascii="Times New Roman" w:hAnsi="Times New Roman" w:eastAsia="宋体" w:cs="Times New Roman"/>
          <w:color w:val="auto"/>
          <w:sz w:val="24"/>
          <w:szCs w:val="24"/>
        </w:rPr>
        <w:t>。</w:t>
      </w:r>
      <w:r>
        <w:rPr>
          <w:rFonts w:ascii="Times New Roman" w:hAnsi="Times New Roman" w:eastAsia="宋体" w:cs="Times New Roman"/>
          <w:color w:val="auto"/>
          <w:sz w:val="24"/>
          <w:szCs w:val="24"/>
          <w:lang w:val="zh-CN"/>
        </w:rPr>
        <w:t>危险废物的处置需严格按照《危险废物转移联单管理办法》规定办理危险废物转移手续，并严格执行《危险废物转移联单管理办法》规定，防止二次污染。</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危险废物转移前应依法向危险废物转出和转入所在的生态环境部门进行申报备案，严格按照国家危险废物管理规定，遵守《危险废物转移联单管理办法》，交由有相应资质类别的单位进行处置，办理转移手续。</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4）危险废物暂存间的选址与设计、运行与管理、安全防护、环境监测及应急措施等须遵循《危险废物贮存污染控制标准》（GB18597-2001/XG1-2013）的规定。建设单位对危险废物暂存间做好防渗、防腐处理。</w:t>
      </w:r>
    </w:p>
    <w:p>
      <w:pPr>
        <w:spacing w:line="360" w:lineRule="auto"/>
        <w:ind w:firstLine="482" w:firstLineChars="200"/>
        <w:rPr>
          <w:rFonts w:ascii="Times New Roman" w:hAnsi="Times New Roman" w:eastAsia="宋体" w:cs="Times New Roman"/>
          <w:b/>
          <w:color w:val="auto"/>
          <w:sz w:val="24"/>
          <w:szCs w:val="24"/>
          <w:lang w:val="zh-CN"/>
        </w:rPr>
      </w:pPr>
      <w:r>
        <w:rPr>
          <w:rFonts w:ascii="Times New Roman" w:hAnsi="Times New Roman" w:eastAsia="宋体" w:cs="Times New Roman"/>
          <w:b/>
          <w:color w:val="auto"/>
          <w:sz w:val="24"/>
          <w:szCs w:val="24"/>
          <w:lang w:val="zh-CN"/>
        </w:rPr>
        <w:t>5、生活垃圾</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生活垃圾主要来源于厂区内员工办公生活，本项目劳动定员为120人，生活垃圾产生量按每人每天0.5kg/人·d计算，则生活垃圾日产生量为60kg/d，年产生量为21.9t/a。生活垃圾袋装收集后暂存于生活垃圾暂存间，并及时运往垃圾中转站，由环卫部门统一清运处置。</w:t>
      </w:r>
    </w:p>
    <w:p>
      <w:pPr>
        <w:spacing w:line="360" w:lineRule="auto"/>
        <w:ind w:firstLine="482" w:firstLineChars="200"/>
        <w:rPr>
          <w:rFonts w:ascii="Times New Roman" w:hAnsi="Times New Roman" w:eastAsia="宋体" w:cs="Times New Roman"/>
          <w:b/>
          <w:color w:val="auto"/>
          <w:sz w:val="24"/>
          <w:szCs w:val="24"/>
          <w:lang w:val="zh-CN"/>
        </w:rPr>
      </w:pPr>
      <w:r>
        <w:rPr>
          <w:rFonts w:ascii="Times New Roman" w:hAnsi="Times New Roman" w:eastAsia="宋体" w:cs="Times New Roman"/>
          <w:b/>
          <w:color w:val="auto"/>
          <w:sz w:val="24"/>
          <w:szCs w:val="24"/>
          <w:lang w:val="zh-CN"/>
        </w:rPr>
        <w:t>6、废脱硫剂</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本项目沼气在使用前需经脱硫，脱硫剂的项目使用硫化铁脱硫剂净化沼气，一般情况下，脱硫剂可以再生3次，每次再生后脱硫剂可以用3~4个月，为了保证脱硫效果，本评价建议建设单位应半年购买新的脱硫剂对脱硫塔内脱硫剂进行彻底更换，</w:t>
      </w:r>
      <w:r>
        <w:rPr>
          <w:rFonts w:hint="eastAsia" w:ascii="Times New Roman" w:hAnsi="Times New Roman" w:eastAsia="宋体" w:cs="Times New Roman"/>
          <w:color w:val="auto"/>
          <w:sz w:val="24"/>
          <w:szCs w:val="24"/>
          <w:lang w:val="zh-CN"/>
        </w:rPr>
        <w:t>根据业主提供资料</w:t>
      </w:r>
      <w:r>
        <w:rPr>
          <w:rFonts w:ascii="Times New Roman" w:hAnsi="Times New Roman" w:eastAsia="宋体" w:cs="Times New Roman"/>
          <w:color w:val="auto"/>
          <w:sz w:val="24"/>
          <w:szCs w:val="24"/>
          <w:lang w:val="zh-CN"/>
        </w:rPr>
        <w:t>更换下来的废脱硫剂约</w:t>
      </w:r>
      <w:r>
        <w:rPr>
          <w:rFonts w:hint="eastAsia" w:ascii="Times New Roman" w:hAnsi="Times New Roman" w:eastAsia="宋体" w:cs="Times New Roman"/>
          <w:color w:val="auto"/>
          <w:sz w:val="24"/>
          <w:szCs w:val="24"/>
          <w:lang w:val="en-US" w:eastAsia="zh-CN"/>
        </w:rPr>
        <w:t>0.5</w:t>
      </w:r>
      <w:r>
        <w:rPr>
          <w:rFonts w:ascii="Times New Roman" w:hAnsi="Times New Roman" w:eastAsia="宋体" w:cs="Times New Roman"/>
          <w:color w:val="auto"/>
          <w:sz w:val="24"/>
          <w:szCs w:val="24"/>
          <w:lang w:val="zh-CN"/>
        </w:rPr>
        <w:t>t/a，主要成分为S、Fe</w:t>
      </w:r>
      <w:r>
        <w:rPr>
          <w:rFonts w:ascii="Times New Roman" w:hAnsi="Times New Roman" w:eastAsia="宋体" w:cs="Times New Roman"/>
          <w:color w:val="auto"/>
          <w:sz w:val="24"/>
          <w:szCs w:val="24"/>
          <w:vertAlign w:val="subscript"/>
          <w:lang w:val="zh-CN"/>
        </w:rPr>
        <w:t>2</w:t>
      </w:r>
      <w:r>
        <w:rPr>
          <w:rFonts w:ascii="Times New Roman" w:hAnsi="Times New Roman" w:eastAsia="宋体" w:cs="Times New Roman"/>
          <w:color w:val="auto"/>
          <w:sz w:val="24"/>
          <w:szCs w:val="24"/>
          <w:lang w:val="zh-CN"/>
        </w:rPr>
        <w:t>S</w:t>
      </w:r>
      <w:r>
        <w:rPr>
          <w:rFonts w:ascii="Times New Roman" w:hAnsi="Times New Roman" w:eastAsia="宋体" w:cs="Times New Roman"/>
          <w:color w:val="auto"/>
          <w:sz w:val="24"/>
          <w:szCs w:val="24"/>
          <w:vertAlign w:val="subscript"/>
          <w:lang w:val="zh-CN"/>
        </w:rPr>
        <w:t>3</w:t>
      </w:r>
      <w:r>
        <w:rPr>
          <w:rFonts w:ascii="Times New Roman" w:hAnsi="Times New Roman" w:eastAsia="宋体" w:cs="Times New Roman"/>
          <w:color w:val="auto"/>
          <w:sz w:val="24"/>
          <w:szCs w:val="24"/>
          <w:lang w:val="zh-CN"/>
        </w:rPr>
        <w:t>、Fe</w:t>
      </w:r>
      <w:r>
        <w:rPr>
          <w:rFonts w:ascii="Times New Roman" w:hAnsi="Times New Roman" w:eastAsia="宋体" w:cs="Times New Roman"/>
          <w:color w:val="auto"/>
          <w:sz w:val="24"/>
          <w:szCs w:val="24"/>
          <w:vertAlign w:val="subscript"/>
          <w:lang w:val="zh-CN"/>
        </w:rPr>
        <w:t>2</w:t>
      </w:r>
      <w:r>
        <w:rPr>
          <w:rFonts w:ascii="Times New Roman" w:hAnsi="Times New Roman" w:eastAsia="宋体" w:cs="Times New Roman"/>
          <w:color w:val="auto"/>
          <w:sz w:val="24"/>
          <w:szCs w:val="24"/>
          <w:lang w:val="zh-CN"/>
        </w:rPr>
        <w:t>O</w:t>
      </w:r>
      <w:r>
        <w:rPr>
          <w:rFonts w:ascii="Times New Roman" w:hAnsi="Times New Roman" w:eastAsia="宋体" w:cs="Times New Roman"/>
          <w:color w:val="auto"/>
          <w:sz w:val="24"/>
          <w:szCs w:val="24"/>
          <w:vertAlign w:val="subscript"/>
          <w:lang w:val="zh-CN"/>
        </w:rPr>
        <w:t>3</w:t>
      </w:r>
      <w:r>
        <w:rPr>
          <w:rFonts w:ascii="Times New Roman" w:hAnsi="Times New Roman" w:eastAsia="宋体" w:cs="Times New Roman"/>
          <w:color w:val="auto"/>
          <w:sz w:val="24"/>
          <w:szCs w:val="24"/>
          <w:lang w:val="zh-CN"/>
        </w:rPr>
        <w:t>等。经查《国家危险废物名录》，废脱硫剂不在该名录中，因此不属于危险废物，由原厂家回收再生利用。</w:t>
      </w:r>
    </w:p>
    <w:p>
      <w:pPr>
        <w:spacing w:line="360" w:lineRule="auto"/>
        <w:ind w:firstLine="482" w:firstLineChars="200"/>
        <w:rPr>
          <w:rFonts w:ascii="Times New Roman" w:hAnsi="Times New Roman" w:eastAsia="宋体" w:cs="Times New Roman"/>
          <w:b/>
          <w:color w:val="auto"/>
          <w:sz w:val="24"/>
          <w:szCs w:val="24"/>
          <w:lang w:val="zh-CN"/>
        </w:rPr>
      </w:pPr>
      <w:r>
        <w:rPr>
          <w:rFonts w:ascii="Times New Roman" w:hAnsi="Times New Roman" w:eastAsia="宋体" w:cs="Times New Roman"/>
          <w:b/>
          <w:color w:val="auto"/>
          <w:sz w:val="24"/>
          <w:szCs w:val="24"/>
          <w:lang w:val="zh-CN"/>
        </w:rPr>
        <w:t>7、废包装材料</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根据建设单位提供的资料及外购成品饲料、辅料等的包装情况，本项目废包装材料的产生量为</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lang w:val="zh-CN"/>
        </w:rPr>
        <w:t>t/a，</w:t>
      </w:r>
      <w:r>
        <w:rPr>
          <w:rFonts w:ascii="Times New Roman" w:hAnsi="Times New Roman" w:eastAsia="宋体" w:cs="Times New Roman"/>
          <w:color w:val="auto"/>
          <w:sz w:val="24"/>
          <w:szCs w:val="24"/>
        </w:rPr>
        <w:t>属于一般固体废物，统一收集后送至废品回收站收购。</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本项目固体废弃物产生和处置情况见表3.</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28</w:t>
      </w:r>
      <w:r>
        <w:rPr>
          <w:rFonts w:ascii="Times New Roman" w:hAnsi="Times New Roman" w:eastAsia="宋体" w:cs="Times New Roman"/>
          <w:color w:val="auto"/>
          <w:sz w:val="24"/>
          <w:szCs w:val="24"/>
        </w:rPr>
        <w:t>。</w:t>
      </w:r>
    </w:p>
    <w:p>
      <w:pPr>
        <w:pStyle w:val="2503"/>
        <w:numPr>
          <w:ilvl w:val="0"/>
          <w:numId w:val="19"/>
        </w:numPr>
        <w:spacing w:before="120"/>
        <w:ind w:left="0" w:leftChars="0" w:firstLine="403" w:firstLineChars="0"/>
        <w:rPr>
          <w:rFonts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 xml:space="preserve">    </w:t>
      </w:r>
      <w:r>
        <w:rPr>
          <w:rFonts w:ascii="Times New Roman" w:hAnsi="Times New Roman" w:eastAsia="宋体" w:cs="Times New Roman"/>
          <w:b/>
          <w:color w:val="auto"/>
          <w:kern w:val="2"/>
          <w:sz w:val="21"/>
          <w:szCs w:val="24"/>
          <w:lang w:val="en-US" w:eastAsia="zh-CN" w:bidi="ar-SA"/>
        </w:rPr>
        <w:t>固废产生及处置情况一览表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6"/>
        <w:gridCol w:w="1200"/>
        <w:gridCol w:w="1342"/>
        <w:gridCol w:w="1205"/>
        <w:gridCol w:w="1413"/>
        <w:gridCol w:w="271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序号</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固废名称</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产生量（t/a）</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来源</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固废类别</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处置方式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猪粪</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18549.3</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猪舍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收集堆肥发酵后作为有机肥外售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格栅渣</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98.55</w:t>
            </w:r>
          </w:p>
        </w:tc>
        <w:tc>
          <w:tcPr>
            <w:tcW w:w="707"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污水处理站</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收集堆肥发酵后作为有机肥外售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固液分离机渣物</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427.17</w:t>
            </w:r>
          </w:p>
        </w:tc>
        <w:tc>
          <w:tcPr>
            <w:tcW w:w="707"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沼渣及污泥</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6.33</w:t>
            </w:r>
          </w:p>
        </w:tc>
        <w:tc>
          <w:tcPr>
            <w:tcW w:w="707"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病死猪及胎盘</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787.69</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猪舍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采用</w:t>
            </w:r>
            <w:r>
              <w:rPr>
                <w:rFonts w:hint="eastAsia" w:ascii="Times New Roman" w:hAnsi="Times New Roman" w:eastAsia="宋体" w:cs="Times New Roman"/>
                <w:color w:val="auto"/>
                <w:kern w:val="2"/>
                <w:sz w:val="21"/>
                <w:szCs w:val="21"/>
                <w:lang w:val="en-US" w:eastAsia="zh-CN" w:bidi="ar-SA"/>
              </w:rPr>
              <w:t>无害化降解处理机</w:t>
            </w:r>
            <w:r>
              <w:rPr>
                <w:rFonts w:hint="default" w:ascii="Times New Roman" w:hAnsi="Times New Roman" w:eastAsia="宋体" w:cs="Times New Roman"/>
                <w:color w:val="auto"/>
                <w:kern w:val="2"/>
                <w:sz w:val="21"/>
                <w:szCs w:val="21"/>
                <w:lang w:val="en-US" w:eastAsia="zh-CN" w:bidi="ar-SA"/>
              </w:rPr>
              <w:t>处理，处理后运至</w:t>
            </w:r>
            <w:r>
              <w:rPr>
                <w:rFonts w:hint="eastAsia" w:ascii="Times New Roman" w:hAnsi="Times New Roman" w:eastAsia="宋体" w:cs="Times New Roman"/>
                <w:color w:val="auto"/>
                <w:kern w:val="2"/>
                <w:sz w:val="21"/>
                <w:szCs w:val="21"/>
                <w:lang w:val="en-US" w:eastAsia="zh-CN" w:bidi="ar-SA"/>
              </w:rPr>
              <w:t>堆肥车间</w:t>
            </w:r>
            <w:r>
              <w:rPr>
                <w:rFonts w:hint="default" w:ascii="Times New Roman" w:hAnsi="Times New Roman" w:eastAsia="宋体" w:cs="Times New Roman"/>
                <w:color w:val="auto"/>
                <w:kern w:val="2"/>
                <w:sz w:val="21"/>
                <w:szCs w:val="21"/>
                <w:lang w:val="en-US" w:eastAsia="zh-CN" w:bidi="ar-SA"/>
              </w:rPr>
              <w:t>堆肥发酵后作为有机肥外售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畜禽医疗废物</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猪舍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危险废物HW01</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暂存于危险废物暂存间，交由危险废物处置单位进行处置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生活垃圾</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21.9</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生活区</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袋装收集后暂存于生活垃圾暂存间，及时运往垃圾中转站，由环卫部门统一清运处置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废脱硫剂</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沼气净化间</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集中收集后交由原厂家回收再生利用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废包装材料 </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生产区</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统一收集后送至废品回收站收购</w:t>
            </w:r>
          </w:p>
        </w:tc>
      </w:tr>
    </w:tbl>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综上所述，本项目运营期产生的固体废弃物去向明确，处置措施合理可行，可有效防止固体废物的逸散和对环境的二次污染，不会对周围环境造成明显不利影响。</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地下水保护及防渗措施</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本项目为养殖业，采用干清粪工艺，本评价依据《环境影响评价技术导则  地下水环境》（HJ610-2016）中</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建设项目污染防控对策</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的相关要求，针对本项目提出以下地下水保护措施：</w:t>
      </w:r>
    </w:p>
    <w:p>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1、源头控制措施</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本项目采用干清粪工艺，粪便和尿液分别通过地埋式排污沟排出，产生的废水处理达标后通过暂存池储存、待用，粪便通过排粪沟、堆粪池收集后实现日产日清，产生的粪便运至</w:t>
      </w:r>
      <w:r>
        <w:rPr>
          <w:rFonts w:hint="eastAsia" w:ascii="Times New Roman" w:hAnsi="Times New Roman" w:eastAsia="宋体" w:cs="Times New Roman"/>
          <w:color w:val="auto"/>
          <w:sz w:val="24"/>
          <w:szCs w:val="24"/>
          <w:lang w:val="zh-CN"/>
        </w:rPr>
        <w:t>堆肥车间</w:t>
      </w:r>
      <w:r>
        <w:rPr>
          <w:rFonts w:ascii="Times New Roman" w:hAnsi="Times New Roman" w:eastAsia="宋体" w:cs="Times New Roman"/>
          <w:color w:val="auto"/>
          <w:sz w:val="24"/>
          <w:szCs w:val="24"/>
          <w:lang w:val="zh-CN"/>
        </w:rPr>
        <w:t>发酵后作为有机肥原料外售</w:t>
      </w:r>
      <w:r>
        <w:rPr>
          <w:rFonts w:ascii="Times New Roman" w:hAnsi="Times New Roman" w:eastAsia="宋体" w:cs="Times New Roman"/>
          <w:color w:val="auto"/>
          <w:sz w:val="24"/>
          <w:szCs w:val="24"/>
        </w:rPr>
        <w:t>；为防止污水等的泄漏污染地下水，拟采取的措施：排污沟、集污池、</w:t>
      </w:r>
      <w:r>
        <w:rPr>
          <w:rFonts w:hint="eastAsia" w:ascii="Times New Roman" w:hAnsi="Times New Roman" w:eastAsia="宋体" w:cs="Times New Roman"/>
          <w:color w:val="auto"/>
          <w:sz w:val="24"/>
          <w:szCs w:val="24"/>
          <w:lang w:eastAsia="zh-CN"/>
        </w:rPr>
        <w:t>异位发酵罐</w:t>
      </w:r>
      <w:r>
        <w:rPr>
          <w:rFonts w:ascii="Times New Roman" w:hAnsi="Times New Roman" w:eastAsia="宋体" w:cs="Times New Roman"/>
          <w:color w:val="auto"/>
          <w:sz w:val="24"/>
          <w:szCs w:val="24"/>
        </w:rPr>
        <w:t>及污水池等采取防腐和防渗漏处理；病死猪及胎盘处置时严格按照相关规范执行；</w:t>
      </w:r>
      <w:r>
        <w:rPr>
          <w:rFonts w:hint="eastAsia" w:ascii="Times New Roman" w:hAnsi="Times New Roman" w:eastAsia="宋体" w:cs="Times New Roman"/>
          <w:color w:val="auto"/>
          <w:sz w:val="24"/>
          <w:szCs w:val="24"/>
        </w:rPr>
        <w:t>危险废物暂存间</w:t>
      </w:r>
      <w:r>
        <w:rPr>
          <w:rFonts w:ascii="Times New Roman" w:hAnsi="Times New Roman" w:eastAsia="宋体" w:cs="Times New Roman"/>
          <w:color w:val="auto"/>
          <w:sz w:val="24"/>
          <w:szCs w:val="24"/>
        </w:rPr>
        <w:t>、生活垃圾暂存间采取防腐和防渗漏处理，畜禽医疗废物等转运时须安全转移，防止撒漏，防止二次污染；发电机房和储油间地面采取防腐和防渗漏处理；定期进行检漏监测及检修；强化各相关工程的转弯、承插、对接等处的防渗，作好隐蔽工程记录，强化防渗工程的环境管理。</w:t>
      </w:r>
    </w:p>
    <w:p>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2、分区防治措施</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将全厂按各功能单元所处的位置划分为重点防渗区、一般防渗区以及简单防渗区三类地下水污染防治区域：重点防渗区包括：污水处理区（污水处理设施）、粪便脱水间、</w:t>
      </w:r>
      <w:r>
        <w:rPr>
          <w:rFonts w:hint="eastAsia" w:ascii="Times New Roman" w:hAnsi="Times New Roman" w:eastAsia="宋体" w:cs="Times New Roman"/>
          <w:color w:val="auto"/>
          <w:sz w:val="24"/>
          <w:szCs w:val="24"/>
        </w:rPr>
        <w:t>危险废物暂存间</w:t>
      </w:r>
      <w:r>
        <w:rPr>
          <w:rFonts w:ascii="Times New Roman" w:hAnsi="Times New Roman" w:eastAsia="宋体" w:cs="Times New Roman"/>
          <w:color w:val="auto"/>
          <w:sz w:val="24"/>
          <w:szCs w:val="24"/>
        </w:rPr>
        <w:t>、发电机房及储油间、</w:t>
      </w:r>
      <w:r>
        <w:rPr>
          <w:rFonts w:hint="eastAsia" w:ascii="Times New Roman" w:hAnsi="Times New Roman" w:eastAsia="宋体" w:cs="Times New Roman"/>
          <w:color w:val="auto"/>
          <w:sz w:val="24"/>
          <w:szCs w:val="24"/>
          <w:lang w:eastAsia="zh-CN"/>
        </w:rPr>
        <w:t>药房</w:t>
      </w:r>
      <w:r>
        <w:rPr>
          <w:rFonts w:ascii="Times New Roman" w:hAnsi="Times New Roman" w:eastAsia="宋体" w:cs="Times New Roman"/>
          <w:color w:val="auto"/>
          <w:sz w:val="24"/>
          <w:szCs w:val="24"/>
        </w:rPr>
        <w:t>、粪污管道、粪肥储存间等。一般防渗区包括：圈舍、化粪池、隔油池等。简单防渗区包括：办公区、食堂地面以及站内道路等。地下水污染防渗分区划分原则见表3.</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25</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w:t>
      </w:r>
    </w:p>
    <w:p>
      <w:pPr>
        <w:pStyle w:val="2503"/>
        <w:numPr>
          <w:ilvl w:val="0"/>
          <w:numId w:val="19"/>
        </w:numPr>
        <w:spacing w:before="120"/>
        <w:ind w:left="0" w:leftChars="0" w:firstLine="403" w:firstLineChars="0"/>
        <w:rPr>
          <w:rFonts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 xml:space="preserve">   </w:t>
      </w:r>
      <w:r>
        <w:rPr>
          <w:rFonts w:ascii="Times New Roman" w:hAnsi="Times New Roman" w:eastAsia="宋体" w:cs="Times New Roman"/>
          <w:b/>
          <w:color w:val="auto"/>
          <w:kern w:val="2"/>
          <w:sz w:val="21"/>
          <w:szCs w:val="24"/>
          <w:lang w:val="en-US" w:eastAsia="zh-CN" w:bidi="ar-SA"/>
        </w:rPr>
        <w:t>污染控制难易程度分级参照表</w:t>
      </w:r>
    </w:p>
    <w:tbl>
      <w:tblPr>
        <w:tblStyle w:val="88"/>
        <w:tblW w:w="4999"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17"/>
        <w:gridCol w:w="6487"/>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109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污染控制难易程度</w:t>
            </w:r>
          </w:p>
        </w:tc>
        <w:tc>
          <w:tcPr>
            <w:tcW w:w="390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主要特征</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109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难</w:t>
            </w:r>
          </w:p>
        </w:tc>
        <w:tc>
          <w:tcPr>
            <w:tcW w:w="390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对地下水环境有污染的物料或污染物泄漏后，不能及时发现和处理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109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易</w:t>
            </w:r>
          </w:p>
        </w:tc>
        <w:tc>
          <w:tcPr>
            <w:tcW w:w="390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对地下水环境有污染的物料或污染物泄漏后，可及时发现和处理</w:t>
            </w:r>
          </w:p>
        </w:tc>
      </w:tr>
    </w:tbl>
    <w:p>
      <w:pPr>
        <w:pStyle w:val="2503"/>
        <w:numPr>
          <w:ilvl w:val="0"/>
          <w:numId w:val="19"/>
        </w:numPr>
        <w:spacing w:before="120"/>
        <w:ind w:left="0" w:leftChars="0" w:firstLine="403" w:firstLineChars="0"/>
        <w:rPr>
          <w:rFonts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ascii="Times New Roman" w:hAnsi="Times New Roman" w:eastAsia="宋体" w:cs="Times New Roman"/>
          <w:b/>
          <w:color w:val="auto"/>
          <w:kern w:val="2"/>
          <w:sz w:val="21"/>
          <w:szCs w:val="24"/>
          <w:lang w:val="en-US" w:eastAsia="zh-CN" w:bidi="ar-SA"/>
        </w:rPr>
        <w:t>天然包气带防污性能分级参照表</w:t>
      </w:r>
    </w:p>
    <w:tbl>
      <w:tblPr>
        <w:tblStyle w:val="88"/>
        <w:tblW w:w="4999"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53"/>
        <w:gridCol w:w="675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3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72" w:lineRule="exact"/>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分级</w:t>
            </w:r>
          </w:p>
        </w:tc>
        <w:tc>
          <w:tcPr>
            <w:tcW w:w="406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72" w:lineRule="exact"/>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包气带岩土的渗透性能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3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72"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强</w:t>
            </w:r>
          </w:p>
        </w:tc>
        <w:tc>
          <w:tcPr>
            <w:tcW w:w="406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88"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岩（土）层单层厚度 Mb≥1.0m，渗透系数K≤1×10</w:t>
            </w:r>
            <w:r>
              <w:rPr>
                <w:rFonts w:hint="default" w:ascii="Times New Roman" w:hAnsi="Times New Roman" w:eastAsia="宋体" w:cs="Times New Roman"/>
                <w:color w:val="auto"/>
                <w:kern w:val="2"/>
                <w:sz w:val="21"/>
                <w:szCs w:val="21"/>
                <w:vertAlign w:val="superscript"/>
                <w:lang w:val="en-US" w:eastAsia="zh-CN" w:bidi="ar-SA"/>
              </w:rPr>
              <w:t>-6</w:t>
            </w:r>
            <w:r>
              <w:rPr>
                <w:rFonts w:hint="default" w:ascii="Times New Roman" w:hAnsi="Times New Roman" w:eastAsia="宋体" w:cs="Times New Roman"/>
                <w:color w:val="auto"/>
                <w:kern w:val="2"/>
                <w:sz w:val="21"/>
                <w:szCs w:val="21"/>
                <w:lang w:val="en-US" w:eastAsia="zh-CN" w:bidi="ar-SA"/>
              </w:rPr>
              <w:t>cm/s，且分布连续、稳定</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3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w:t>
            </w:r>
          </w:p>
        </w:tc>
        <w:tc>
          <w:tcPr>
            <w:tcW w:w="406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6" w:lineRule="exact"/>
              <w:ind w:left="0" w:right="-15"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岩（土）层单层厚度 0.5m≤Mb＜1.0m，渗透系数K≤1×10</w:t>
            </w:r>
            <w:r>
              <w:rPr>
                <w:rFonts w:hint="default" w:ascii="Times New Roman" w:hAnsi="Times New Roman" w:eastAsia="宋体" w:cs="Times New Roman"/>
                <w:color w:val="auto"/>
                <w:kern w:val="2"/>
                <w:sz w:val="21"/>
                <w:szCs w:val="21"/>
                <w:vertAlign w:val="superscript"/>
                <w:lang w:val="en-US" w:eastAsia="zh-CN" w:bidi="ar-SA"/>
              </w:rPr>
              <w:t>-6</w:t>
            </w:r>
            <w:r>
              <w:rPr>
                <w:rFonts w:hint="default" w:ascii="Times New Roman" w:hAnsi="Times New Roman" w:eastAsia="宋体" w:cs="Times New Roman"/>
                <w:color w:val="auto"/>
                <w:kern w:val="2"/>
                <w:sz w:val="21"/>
                <w:szCs w:val="21"/>
                <w:lang w:val="en-US" w:eastAsia="zh-CN" w:bidi="ar-SA"/>
              </w:rPr>
              <w:t>cm/s，且分布连续、稳定。岩（土）层单层厚度 Mb≥1.0m，渗透系数1×10</w:t>
            </w:r>
            <w:r>
              <w:rPr>
                <w:rFonts w:hint="default" w:ascii="Times New Roman" w:hAnsi="Times New Roman" w:eastAsia="宋体" w:cs="Times New Roman"/>
                <w:color w:val="auto"/>
                <w:kern w:val="2"/>
                <w:sz w:val="21"/>
                <w:szCs w:val="21"/>
                <w:vertAlign w:val="superscript"/>
                <w:lang w:val="en-US" w:eastAsia="zh-CN" w:bidi="ar-SA"/>
              </w:rPr>
              <w:t>-6</w:t>
            </w:r>
            <w:r>
              <w:rPr>
                <w:rFonts w:hint="default" w:ascii="Times New Roman" w:hAnsi="Times New Roman" w:eastAsia="宋体" w:cs="Times New Roman"/>
                <w:color w:val="auto"/>
                <w:kern w:val="2"/>
                <w:sz w:val="21"/>
                <w:szCs w:val="21"/>
                <w:lang w:val="en-US" w:eastAsia="zh-CN" w:bidi="ar-SA"/>
              </w:rPr>
              <w:t>cm/s＜K≤1×10-4cm/s，且分布连续、稳定。</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3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74"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弱</w:t>
            </w:r>
          </w:p>
        </w:tc>
        <w:tc>
          <w:tcPr>
            <w:tcW w:w="406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9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岩（土）层不满足上述“强”和“中”条件</w:t>
            </w:r>
          </w:p>
        </w:tc>
      </w:tr>
    </w:tbl>
    <w:p>
      <w:pPr>
        <w:pStyle w:val="2503"/>
        <w:numPr>
          <w:ilvl w:val="0"/>
          <w:numId w:val="19"/>
        </w:numPr>
        <w:spacing w:before="120"/>
        <w:ind w:left="0" w:leftChars="0" w:firstLine="403" w:firstLineChars="0"/>
        <w:rPr>
          <w:rFonts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 xml:space="preserve">   </w:t>
      </w:r>
      <w:r>
        <w:rPr>
          <w:rFonts w:ascii="Times New Roman" w:hAnsi="Times New Roman" w:eastAsia="宋体" w:cs="Times New Roman"/>
          <w:b/>
          <w:color w:val="auto"/>
          <w:kern w:val="2"/>
          <w:sz w:val="21"/>
          <w:szCs w:val="24"/>
          <w:lang w:val="en-US" w:eastAsia="zh-CN" w:bidi="ar-SA"/>
        </w:rPr>
        <w:t>地下水污染防渗分区参照表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58"/>
        <w:gridCol w:w="1984"/>
        <w:gridCol w:w="1716"/>
        <w:gridCol w:w="1585"/>
        <w:gridCol w:w="1860"/>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防渗分区</w:t>
            </w: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天然包气带防污性能</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污染控制难易程度</w:t>
            </w:r>
          </w:p>
        </w:tc>
        <w:tc>
          <w:tcPr>
            <w:tcW w:w="95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污染物类型</w:t>
            </w:r>
          </w:p>
        </w:tc>
        <w:tc>
          <w:tcPr>
            <w:tcW w:w="1119"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防渗技术要求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重点防渗区</w:t>
            </w: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弱</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难</w:t>
            </w:r>
          </w:p>
        </w:tc>
        <w:tc>
          <w:tcPr>
            <w:tcW w:w="954"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3"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重金属、持久性有机污染物</w:t>
            </w:r>
          </w:p>
        </w:tc>
        <w:tc>
          <w:tcPr>
            <w:tcW w:w="1119" w:type="pct"/>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等效黏土防渗层Mb≥6.0m</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K≤1×10</w:t>
            </w:r>
            <w:r>
              <w:rPr>
                <w:rFonts w:hint="default" w:ascii="Times New Roman" w:hAnsi="Times New Roman" w:eastAsia="宋体" w:cs="Times New Roman"/>
                <w:color w:val="auto"/>
                <w:kern w:val="2"/>
                <w:sz w:val="21"/>
                <w:szCs w:val="21"/>
                <w:vertAlign w:val="superscript"/>
                <w:lang w:val="en-US" w:eastAsia="zh-CN" w:bidi="ar-SA"/>
              </w:rPr>
              <w:t>-7</w:t>
            </w:r>
            <w:r>
              <w:rPr>
                <w:rFonts w:hint="default" w:ascii="Times New Roman" w:hAnsi="Times New Roman" w:eastAsia="宋体" w:cs="Times New Roman"/>
                <w:color w:val="auto"/>
                <w:kern w:val="2"/>
                <w:sz w:val="21"/>
                <w:szCs w:val="21"/>
                <w:lang w:val="en-US" w:eastAsia="zh-CN" w:bidi="ar-SA"/>
              </w:rPr>
              <w:t>cm/s；或参照GB18598执行</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8"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中-强</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难</w:t>
            </w:r>
          </w:p>
        </w:tc>
        <w:tc>
          <w:tcPr>
            <w:tcW w:w="954"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弱</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易</w:t>
            </w:r>
          </w:p>
        </w:tc>
        <w:tc>
          <w:tcPr>
            <w:tcW w:w="954"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一般防渗区</w:t>
            </w: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弱</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难-易</w:t>
            </w:r>
          </w:p>
        </w:tc>
        <w:tc>
          <w:tcPr>
            <w:tcW w:w="954"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其他类型</w:t>
            </w:r>
          </w:p>
        </w:tc>
        <w:tc>
          <w:tcPr>
            <w:tcW w:w="1119" w:type="pct"/>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等效黏土防渗层Mb≥1.5m，K≤1×10</w:t>
            </w:r>
            <w:r>
              <w:rPr>
                <w:rFonts w:hint="default" w:ascii="Times New Roman" w:hAnsi="Times New Roman" w:eastAsia="宋体" w:cs="Times New Roman"/>
                <w:color w:val="auto"/>
                <w:kern w:val="2"/>
                <w:sz w:val="21"/>
                <w:szCs w:val="21"/>
                <w:vertAlign w:val="superscript"/>
                <w:lang w:val="en-US" w:eastAsia="zh-CN" w:bidi="ar-SA"/>
              </w:rPr>
              <w:t>-7</w:t>
            </w:r>
            <w:r>
              <w:rPr>
                <w:rFonts w:hint="default" w:ascii="Times New Roman" w:hAnsi="Times New Roman" w:eastAsia="宋体" w:cs="Times New Roman"/>
                <w:color w:val="auto"/>
                <w:kern w:val="2"/>
                <w:sz w:val="21"/>
                <w:szCs w:val="21"/>
                <w:lang w:val="en-US" w:eastAsia="zh-CN" w:bidi="ar-SA"/>
              </w:rPr>
              <w:t>cm/s；或参照GB18598 执行</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8"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中-强</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难</w:t>
            </w:r>
          </w:p>
        </w:tc>
        <w:tc>
          <w:tcPr>
            <w:tcW w:w="954"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易</w:t>
            </w:r>
          </w:p>
        </w:tc>
        <w:tc>
          <w:tcPr>
            <w:tcW w:w="954"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3"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重金属、持久性有机污染物</w:t>
            </w: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424" w:right="-3"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424" w:right="-3" w:firstLine="0" w:firstLineChars="0"/>
              <w:jc w:val="center"/>
              <w:rPr>
                <w:rFonts w:hint="default" w:ascii="Times New Roman" w:hAnsi="Times New Roman" w:eastAsia="宋体" w:cs="Times New Roman"/>
                <w:color w:val="auto"/>
                <w:kern w:val="2"/>
                <w:sz w:val="21"/>
                <w:szCs w:val="21"/>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强</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易</w:t>
            </w:r>
          </w:p>
        </w:tc>
        <w:tc>
          <w:tcPr>
            <w:tcW w:w="954"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简单防渗区</w:t>
            </w: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中-强</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易</w:t>
            </w:r>
          </w:p>
        </w:tc>
        <w:tc>
          <w:tcPr>
            <w:tcW w:w="95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其他类型</w:t>
            </w:r>
          </w:p>
        </w:tc>
        <w:tc>
          <w:tcPr>
            <w:tcW w:w="1119"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一般地面硬化</w:t>
            </w:r>
          </w:p>
        </w:tc>
      </w:tr>
    </w:tbl>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重点</w:t>
      </w:r>
      <w:r>
        <w:rPr>
          <w:rFonts w:hint="eastAsia" w:ascii="Times New Roman" w:hAnsi="Times New Roman" w:eastAsia="宋体" w:cs="Times New Roman"/>
          <w:color w:val="auto"/>
          <w:sz w:val="24"/>
          <w:szCs w:val="24"/>
        </w:rPr>
        <w:t>防渗</w:t>
      </w:r>
      <w:r>
        <w:rPr>
          <w:rFonts w:ascii="Times New Roman" w:hAnsi="Times New Roman" w:eastAsia="宋体" w:cs="Times New Roman"/>
          <w:color w:val="auto"/>
          <w:sz w:val="24"/>
          <w:szCs w:val="24"/>
        </w:rPr>
        <w:t>区防渗措施：</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厂区粪污输送全部采用管道输送，管道材料应视输送介质的不同选择合适材质并做表面的防腐、防锈蚀处理，减轻管道腐蚀造成的渗漏，并进行定期检查，防止跑冒漏滴的现象发生。污水处理设施池体、地面采用钢筋混凝土加防渗剂的防渗地坪+人工材料（HDPE）防渗层，确保等效黏土防渗层Mb≥6.0m，K≤1×10</w:t>
      </w:r>
      <w:r>
        <w:rPr>
          <w:rFonts w:ascii="Times New Roman" w:hAnsi="Times New Roman" w:eastAsia="宋体" w:cs="Times New Roman"/>
          <w:color w:val="auto"/>
          <w:sz w:val="24"/>
          <w:szCs w:val="24"/>
          <w:vertAlign w:val="superscript"/>
        </w:rPr>
        <w:t>-7</w:t>
      </w:r>
      <w:r>
        <w:rPr>
          <w:rFonts w:ascii="Times New Roman" w:hAnsi="Times New Roman" w:eastAsia="宋体" w:cs="Times New Roman"/>
          <w:color w:val="auto"/>
          <w:sz w:val="24"/>
          <w:szCs w:val="24"/>
        </w:rPr>
        <w:t>cm/s。</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粪便脱水间、粪肥储存间采用钢筋混凝土加防渗剂的防渗地坪+人工材料（HDPE）防渗层，确保等效黏土防渗层Mb≥6.0m，K≤1×10</w:t>
      </w:r>
      <w:r>
        <w:rPr>
          <w:rFonts w:ascii="Times New Roman" w:hAnsi="Times New Roman" w:eastAsia="宋体" w:cs="Times New Roman"/>
          <w:color w:val="auto"/>
          <w:sz w:val="24"/>
          <w:szCs w:val="24"/>
          <w:vertAlign w:val="superscript"/>
        </w:rPr>
        <w:t>-7</w:t>
      </w:r>
      <w:r>
        <w:rPr>
          <w:rFonts w:ascii="Times New Roman" w:hAnsi="Times New Roman" w:eastAsia="宋体" w:cs="Times New Roman"/>
          <w:color w:val="auto"/>
          <w:sz w:val="24"/>
          <w:szCs w:val="24"/>
        </w:rPr>
        <w:t>cm/s。</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危险废物暂存间</w:t>
      </w:r>
      <w:r>
        <w:rPr>
          <w:rFonts w:ascii="Times New Roman" w:hAnsi="Times New Roman" w:eastAsia="宋体" w:cs="Times New Roman"/>
          <w:color w:val="auto"/>
          <w:sz w:val="24"/>
          <w:szCs w:val="24"/>
        </w:rPr>
        <w:t>混凝土地面加铺防渗剂和人工材料（HDPE）防渗层，确保等效黏土防渗层Mb≥6.0m，K≤1×10</w:t>
      </w:r>
      <w:r>
        <w:rPr>
          <w:rFonts w:ascii="Times New Roman" w:hAnsi="Times New Roman" w:eastAsia="宋体" w:cs="Times New Roman"/>
          <w:color w:val="auto"/>
          <w:sz w:val="24"/>
          <w:szCs w:val="24"/>
          <w:vertAlign w:val="superscript"/>
        </w:rPr>
        <w:t>-10</w:t>
      </w:r>
      <w:r>
        <w:rPr>
          <w:rFonts w:ascii="Times New Roman" w:hAnsi="Times New Roman" w:eastAsia="宋体" w:cs="Times New Roman"/>
          <w:color w:val="auto"/>
          <w:sz w:val="24"/>
          <w:szCs w:val="24"/>
        </w:rPr>
        <w:t>cm/s。</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发电机房柴油储存于发电机房油缸间的液压油缸内，油缸为防渗油缸，地面采用钢筋混凝土+人工材料（HDPE）防渗层，确保等效黏土防渗层Mb≥6.0m，K≤1×10</w:t>
      </w:r>
      <w:r>
        <w:rPr>
          <w:rFonts w:ascii="Times New Roman" w:hAnsi="Times New Roman" w:eastAsia="宋体" w:cs="Times New Roman"/>
          <w:color w:val="auto"/>
          <w:sz w:val="24"/>
          <w:szCs w:val="24"/>
          <w:vertAlign w:val="superscript"/>
        </w:rPr>
        <w:t>-7</w:t>
      </w:r>
      <w:r>
        <w:rPr>
          <w:rFonts w:ascii="Times New Roman" w:hAnsi="Times New Roman" w:eastAsia="宋体" w:cs="Times New Roman"/>
          <w:color w:val="auto"/>
          <w:sz w:val="24"/>
          <w:szCs w:val="24"/>
        </w:rPr>
        <w:t>cm/s。</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药房</w:t>
      </w:r>
      <w:r>
        <w:rPr>
          <w:rFonts w:ascii="Times New Roman" w:hAnsi="Times New Roman" w:eastAsia="宋体" w:cs="Times New Roman"/>
          <w:color w:val="auto"/>
          <w:sz w:val="24"/>
          <w:szCs w:val="24"/>
        </w:rPr>
        <w:t>混凝土地面加铺防渗剂和人工材料（HDPE）防渗层，确保等效黏土防渗层Mb≥6.0m，K≤1×10</w:t>
      </w:r>
      <w:r>
        <w:rPr>
          <w:rFonts w:ascii="Times New Roman" w:hAnsi="Times New Roman" w:eastAsia="宋体" w:cs="Times New Roman"/>
          <w:color w:val="auto"/>
          <w:sz w:val="24"/>
          <w:szCs w:val="24"/>
          <w:vertAlign w:val="superscript"/>
        </w:rPr>
        <w:t>-7</w:t>
      </w:r>
      <w:r>
        <w:rPr>
          <w:rFonts w:ascii="Times New Roman" w:hAnsi="Times New Roman" w:eastAsia="宋体" w:cs="Times New Roman"/>
          <w:color w:val="auto"/>
          <w:sz w:val="24"/>
          <w:szCs w:val="24"/>
        </w:rPr>
        <w:t>cm/s。</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一般</w:t>
      </w:r>
      <w:r>
        <w:rPr>
          <w:rFonts w:hint="eastAsia" w:ascii="Times New Roman" w:hAnsi="Times New Roman" w:eastAsia="宋体" w:cs="Times New Roman"/>
          <w:color w:val="auto"/>
          <w:sz w:val="24"/>
          <w:szCs w:val="24"/>
        </w:rPr>
        <w:t>防渗</w:t>
      </w:r>
      <w:r>
        <w:rPr>
          <w:rFonts w:ascii="Times New Roman" w:hAnsi="Times New Roman" w:eastAsia="宋体" w:cs="Times New Roman"/>
          <w:color w:val="auto"/>
          <w:sz w:val="24"/>
          <w:szCs w:val="24"/>
        </w:rPr>
        <w:t>区防渗措施：</w:t>
      </w:r>
    </w:p>
    <w:p>
      <w:pPr>
        <w:spacing w:line="440" w:lineRule="exact"/>
        <w:ind w:firstLine="480" w:firstLineChars="200"/>
        <w:rPr>
          <w:rStyle w:val="2505"/>
          <w:rFonts w:hint="default" w:ascii="Times New Roman" w:hAnsi="Times New Roman" w:eastAsia="宋体" w:cs="Times New Roman"/>
          <w:color w:val="auto"/>
          <w:sz w:val="24"/>
          <w:szCs w:val="24"/>
        </w:rPr>
      </w:pPr>
      <w:r>
        <w:rPr>
          <w:rFonts w:ascii="Times New Roman" w:hAnsi="Times New Roman" w:eastAsia="宋体" w:cs="Times New Roman"/>
          <w:color w:val="auto"/>
          <w:sz w:val="24"/>
          <w:szCs w:val="24"/>
        </w:rPr>
        <w:t>一般防渗区地面采取粘土铺底，再在上层铺10~15cm的水泥进行硬化，</w:t>
      </w:r>
      <w:r>
        <w:rPr>
          <w:rStyle w:val="2505"/>
          <w:rFonts w:hint="default" w:ascii="Times New Roman" w:hAnsi="Times New Roman" w:cs="Times New Roman"/>
          <w:color w:val="auto"/>
        </w:rPr>
        <w:t>确保等效黏土防渗层Mb≥1.5m，</w:t>
      </w:r>
      <w:r>
        <w:rPr>
          <w:rFonts w:ascii="Times New Roman" w:hAnsi="Times New Roman" w:eastAsia="宋体" w:cs="Times New Roman"/>
          <w:color w:val="auto"/>
          <w:sz w:val="24"/>
          <w:szCs w:val="24"/>
        </w:rPr>
        <w:t>渗透系数</w:t>
      </w:r>
      <w:r>
        <w:rPr>
          <w:rStyle w:val="2505"/>
          <w:rFonts w:hint="default" w:ascii="Times New Roman" w:hAnsi="Times New Roman" w:cs="Times New Roman"/>
          <w:color w:val="auto"/>
        </w:rPr>
        <w:t>K≤10</w:t>
      </w:r>
      <w:r>
        <w:rPr>
          <w:rStyle w:val="2505"/>
          <w:rFonts w:hint="default" w:ascii="Times New Roman" w:hAnsi="Times New Roman" w:cs="Times New Roman"/>
          <w:color w:val="auto"/>
          <w:vertAlign w:val="superscript"/>
        </w:rPr>
        <w:t>-7</w:t>
      </w:r>
      <w:r>
        <w:rPr>
          <w:rStyle w:val="2505"/>
          <w:rFonts w:hint="default" w:ascii="Times New Roman" w:hAnsi="Times New Roman" w:cs="Times New Roman"/>
          <w:color w:val="auto"/>
        </w:rPr>
        <w:t>cm/s。</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t>简单防渗区</w:t>
      </w:r>
      <w:r>
        <w:rPr>
          <w:rFonts w:hint="eastAsia" w:ascii="Times New Roman" w:hAnsi="Times New Roman" w:eastAsia="宋体" w:cs="Times New Roman"/>
          <w:color w:val="auto"/>
          <w:sz w:val="24"/>
          <w:szCs w:val="24"/>
        </w:rPr>
        <w:t>防渗</w:t>
      </w:r>
      <w:r>
        <w:rPr>
          <w:rFonts w:ascii="Times New Roman" w:hAnsi="Times New Roman" w:eastAsia="宋体" w:cs="Times New Roman"/>
          <w:color w:val="auto"/>
          <w:sz w:val="24"/>
          <w:szCs w:val="24"/>
        </w:rPr>
        <w:t>措施：</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对于基本上不产生污染物的非污染防治区，仅进行一般地面硬化，不采取专门针对地下水污染的防治措施。</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项目分区防渗情况一览表见表3.5-2</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w:t>
      </w:r>
    </w:p>
    <w:p>
      <w:pPr>
        <w:widowControl w:val="0"/>
        <w:spacing w:before="120" w:beforeLines="50" w:line="240" w:lineRule="exact"/>
        <w:ind w:firstLine="0" w:firstLineChars="0"/>
        <w:jc w:val="center"/>
        <w:rPr>
          <w:rFonts w:ascii="Times New Roman" w:hAnsi="Times New Roman" w:eastAsia="宋体" w:cs="Times New Roman"/>
          <w:b/>
          <w:color w:val="auto"/>
          <w:kern w:val="2"/>
          <w:sz w:val="21"/>
          <w:szCs w:val="24"/>
          <w:lang w:val="en-US" w:eastAsia="zh-CN" w:bidi="ar-SA"/>
        </w:rPr>
      </w:pPr>
      <w:r>
        <w:rPr>
          <w:rFonts w:ascii="Times New Roman" w:hAnsi="Times New Roman" w:eastAsia="宋体" w:cs="Times New Roman"/>
          <w:b/>
          <w:color w:val="auto"/>
          <w:kern w:val="2"/>
          <w:sz w:val="21"/>
          <w:szCs w:val="24"/>
          <w:lang w:val="en-US" w:eastAsia="zh-CN" w:bidi="ar-SA"/>
        </w:rPr>
        <w:t>表 3.5-2</w:t>
      </w:r>
      <w:r>
        <w:rPr>
          <w:rFonts w:hint="eastAsia" w:ascii="Times New Roman" w:hAnsi="Times New Roman" w:eastAsia="宋体" w:cs="Times New Roman"/>
          <w:b/>
          <w:color w:val="auto"/>
          <w:kern w:val="2"/>
          <w:sz w:val="21"/>
          <w:szCs w:val="24"/>
          <w:lang w:val="en-US" w:eastAsia="zh-CN" w:bidi="ar-SA"/>
        </w:rPr>
        <w:t>2</w:t>
      </w:r>
      <w:r>
        <w:rPr>
          <w:rFonts w:ascii="Times New Roman" w:hAnsi="Times New Roman" w:eastAsia="宋体" w:cs="Times New Roman"/>
          <w:b/>
          <w:color w:val="auto"/>
          <w:kern w:val="2"/>
          <w:sz w:val="21"/>
          <w:szCs w:val="24"/>
          <w:lang w:val="en-US" w:eastAsia="zh-CN" w:bidi="ar-SA"/>
        </w:rPr>
        <w:t xml:space="preserve">    分区防渗情况一览表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5"/>
        <w:gridCol w:w="1588"/>
        <w:gridCol w:w="1188"/>
        <w:gridCol w:w="490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序号</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2"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名称</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防渗级别</w:t>
            </w:r>
          </w:p>
        </w:tc>
        <w:tc>
          <w:tcPr>
            <w:tcW w:w="29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防渗要求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污水管（埋地）</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重点防渗区</w:t>
            </w:r>
          </w:p>
        </w:tc>
        <w:tc>
          <w:tcPr>
            <w:tcW w:w="29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粪污输送全部采用管道输送，管道材料应视输送介质的</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01"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不同选择合适材质并做表面的防腐、防锈蚀处理，减轻 管道腐蚀造成的渗漏，并进行定期检查，防止跑冒漏滴 的现象发生。</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污水处理设施</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重点防渗区</w:t>
            </w:r>
          </w:p>
        </w:tc>
        <w:tc>
          <w:tcPr>
            <w:tcW w:w="29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池体、地面采用钢筋混凝土加防渗剂的防渗地坪+人工</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材料（HDPE）防渗层，确保等效黏土防渗层Mb≥6.0m， K≤1×10</w:t>
            </w:r>
            <w:r>
              <w:rPr>
                <w:rFonts w:hint="default" w:ascii="Times New Roman" w:hAnsi="Times New Roman" w:eastAsia="宋体" w:cs="Times New Roman"/>
                <w:color w:val="auto"/>
                <w:kern w:val="2"/>
                <w:sz w:val="21"/>
                <w:szCs w:val="21"/>
                <w:vertAlign w:val="superscript"/>
                <w:lang w:val="en-US" w:eastAsia="zh-CN" w:bidi="ar-SA"/>
              </w:rPr>
              <w:t>-7</w:t>
            </w:r>
            <w:r>
              <w:rPr>
                <w:rFonts w:hint="default" w:ascii="Times New Roman" w:hAnsi="Times New Roman" w:eastAsia="宋体" w:cs="Times New Roman"/>
                <w:color w:val="auto"/>
                <w:kern w:val="2"/>
                <w:sz w:val="21"/>
                <w:szCs w:val="21"/>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13"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粪便脱水间、粪肥储存间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重点防渗区</w:t>
            </w:r>
          </w:p>
        </w:tc>
        <w:tc>
          <w:tcPr>
            <w:tcW w:w="29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地面采用钢筋混凝土加防渗剂的防渗地坪+人工材料</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98"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（HDPE）防渗层，确保等效黏土防渗层Mb≥6.0m， K≤1×10</w:t>
            </w:r>
            <w:r>
              <w:rPr>
                <w:rFonts w:hint="default" w:ascii="Times New Roman" w:hAnsi="Times New Roman" w:eastAsia="宋体" w:cs="Times New Roman"/>
                <w:color w:val="auto"/>
                <w:kern w:val="2"/>
                <w:sz w:val="21"/>
                <w:szCs w:val="21"/>
                <w:vertAlign w:val="superscript"/>
                <w:lang w:val="en-US" w:eastAsia="zh-CN" w:bidi="ar-SA"/>
              </w:rPr>
              <w:t>-7</w:t>
            </w:r>
            <w:r>
              <w:rPr>
                <w:rFonts w:hint="default" w:ascii="Times New Roman" w:hAnsi="Times New Roman" w:eastAsia="宋体" w:cs="Times New Roman"/>
                <w:color w:val="auto"/>
                <w:kern w:val="2"/>
                <w:sz w:val="21"/>
                <w:szCs w:val="21"/>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2"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危险废物暂存间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重点防渗区</w:t>
            </w:r>
          </w:p>
        </w:tc>
        <w:tc>
          <w:tcPr>
            <w:tcW w:w="29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混凝土地面加铺防渗剂和人工材料（HDPE）防渗层，</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确保等效黏土防渗层Mb≥6.0m，K≤1×10</w:t>
            </w:r>
            <w:r>
              <w:rPr>
                <w:rFonts w:hint="default" w:ascii="Times New Roman" w:hAnsi="Times New Roman" w:eastAsia="宋体" w:cs="Times New Roman"/>
                <w:color w:val="auto"/>
                <w:kern w:val="2"/>
                <w:sz w:val="21"/>
                <w:szCs w:val="21"/>
                <w:vertAlign w:val="superscript"/>
                <w:lang w:val="en-US" w:eastAsia="zh-CN" w:bidi="ar-SA"/>
              </w:rPr>
              <w:t>-10</w:t>
            </w:r>
            <w:r>
              <w:rPr>
                <w:rFonts w:hint="default" w:ascii="Times New Roman" w:hAnsi="Times New Roman" w:eastAsia="宋体" w:cs="Times New Roman"/>
                <w:color w:val="auto"/>
                <w:kern w:val="2"/>
                <w:sz w:val="21"/>
                <w:szCs w:val="21"/>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11"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发电机房及储油 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重点防渗区</w:t>
            </w:r>
          </w:p>
        </w:tc>
        <w:tc>
          <w:tcPr>
            <w:tcW w:w="29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柴油储存于发电机房油缸间的液压油缸内，油缸为防渗油缸，地面采用钢筋混凝土+人工材料（HDPE）防渗层， 确保等效黏土防渗层Mb≥6.0m，K≤1×10</w:t>
            </w:r>
            <w:r>
              <w:rPr>
                <w:rFonts w:hint="default" w:ascii="Times New Roman" w:hAnsi="Times New Roman" w:eastAsia="宋体" w:cs="Times New Roman"/>
                <w:color w:val="auto"/>
                <w:kern w:val="2"/>
                <w:sz w:val="21"/>
                <w:szCs w:val="21"/>
                <w:vertAlign w:val="superscript"/>
                <w:lang w:val="en-US" w:eastAsia="zh-CN" w:bidi="ar-SA"/>
              </w:rPr>
              <w:t>-7</w:t>
            </w:r>
            <w:r>
              <w:rPr>
                <w:rFonts w:hint="default" w:ascii="Times New Roman" w:hAnsi="Times New Roman" w:eastAsia="宋体" w:cs="Times New Roman"/>
                <w:color w:val="auto"/>
                <w:kern w:val="2"/>
                <w:sz w:val="21"/>
                <w:szCs w:val="21"/>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药房</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重点防渗区</w:t>
            </w:r>
          </w:p>
        </w:tc>
        <w:tc>
          <w:tcPr>
            <w:tcW w:w="29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混凝土地面加铺防渗剂和人工材料（HDPE）防渗层，</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确保等效黏土防渗层Mb≥6.0m，K≤1×10</w:t>
            </w:r>
            <w:r>
              <w:rPr>
                <w:rFonts w:hint="default" w:ascii="Times New Roman" w:hAnsi="Times New Roman" w:eastAsia="宋体" w:cs="Times New Roman"/>
                <w:color w:val="auto"/>
                <w:kern w:val="2"/>
                <w:sz w:val="21"/>
                <w:szCs w:val="21"/>
                <w:vertAlign w:val="superscript"/>
                <w:lang w:val="en-US" w:eastAsia="zh-CN" w:bidi="ar-SA"/>
              </w:rPr>
              <w:t>-7</w:t>
            </w:r>
            <w:r>
              <w:rPr>
                <w:rFonts w:hint="default" w:ascii="Times New Roman" w:hAnsi="Times New Roman" w:eastAsia="宋体" w:cs="Times New Roman"/>
                <w:color w:val="auto"/>
                <w:kern w:val="2"/>
                <w:sz w:val="21"/>
                <w:szCs w:val="21"/>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2"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圈舍</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一般防渗区</w:t>
            </w:r>
          </w:p>
        </w:tc>
        <w:tc>
          <w:tcPr>
            <w:tcW w:w="2950" w:type="pct"/>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01"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地面采取钢筋混凝土并涂覆防渗涂料，可使一般防渗区 域的等效黏土防渗层Mb≥1.5m，K≤1×10</w:t>
            </w:r>
            <w:r>
              <w:rPr>
                <w:rFonts w:hint="default" w:ascii="Times New Roman" w:hAnsi="Times New Roman" w:eastAsia="宋体" w:cs="Times New Roman"/>
                <w:color w:val="auto"/>
                <w:kern w:val="2"/>
                <w:sz w:val="21"/>
                <w:szCs w:val="21"/>
                <w:vertAlign w:val="superscript"/>
                <w:lang w:val="en-US" w:eastAsia="zh-CN" w:bidi="ar-SA"/>
              </w:rPr>
              <w:t>-7</w:t>
            </w:r>
            <w:r>
              <w:rPr>
                <w:rFonts w:hint="default" w:ascii="Times New Roman" w:hAnsi="Times New Roman" w:eastAsia="宋体" w:cs="Times New Roman"/>
                <w:color w:val="auto"/>
                <w:kern w:val="2"/>
                <w:sz w:val="21"/>
                <w:szCs w:val="21"/>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生活垃圾暂存间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一般防渗区</w:t>
            </w:r>
          </w:p>
        </w:tc>
        <w:tc>
          <w:tcPr>
            <w:tcW w:w="2950" w:type="pct"/>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7"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化粪池、隔油池</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一般防渗区</w:t>
            </w:r>
          </w:p>
        </w:tc>
        <w:tc>
          <w:tcPr>
            <w:tcW w:w="2950" w:type="pct"/>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7" w:right="0" w:firstLine="0" w:firstLineChars="0"/>
              <w:jc w:val="center"/>
              <w:rPr>
                <w:rFonts w:hint="default" w:ascii="Times New Roman" w:hAnsi="Times New Roman" w:eastAsia="宋体" w:cs="Times New Roman"/>
                <w:color w:val="auto"/>
                <w:kern w:val="0"/>
                <w:sz w:val="21"/>
                <w:szCs w:val="21"/>
                <w:lang w:val="en-US" w:eastAsia="zh-CN" w:bidi="ar-SA"/>
              </w:rPr>
            </w:pPr>
          </w:p>
        </w:tc>
      </w:tr>
    </w:tbl>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综上，本项目拟采取的各项地下水防护措施合理，不会对周围地下水产生污染性影响。</w:t>
      </w:r>
    </w:p>
    <w:p>
      <w:pPr>
        <w:pStyle w:val="8"/>
        <w:bidi w:val="0"/>
        <w:rPr>
          <w:rFonts w:hint="default" w:ascii="Times New Roman" w:hAnsi="Times New Roman" w:eastAsia="宋体" w:cs="Times New Roman"/>
          <w:color w:val="auto"/>
          <w:sz w:val="24"/>
          <w:szCs w:val="24"/>
        </w:rPr>
      </w:pPr>
      <w:bookmarkStart w:id="190" w:name="_Toc27577"/>
      <w:r>
        <w:rPr>
          <w:rFonts w:hint="eastAsia" w:eastAsia="宋体" w:cs="Times New Roman"/>
          <w:color w:val="auto"/>
          <w:sz w:val="24"/>
          <w:szCs w:val="24"/>
          <w:lang w:eastAsia="zh-CN"/>
        </w:rPr>
        <w:t>运营期废气产生、治理及排放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本项目运营期产生的大气污染物主要包括恶臭气体（养殖区猪舍恶臭、污水处理站恶臭、堆肥发酵罐恶臭）、沼气、食堂油烟废气、病死猪处理车间废气、柴油发电机废气等。</w:t>
      </w:r>
    </w:p>
    <w:p>
      <w:pPr>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1、恶臭气体</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恶臭臭气是许多单一臭气物质相互作用的产物。目前，已鉴定出在猪粪尿中有恶臭成分220种，这些物质都是产生生化反应的中间产物或终端产物，其中包括了多种挥发性有机酸、醇类物质、醛类物质、酯类物质、胺类物质、硫化物、硫醇以及含氮杂环类物质。在粪尿中还发现80多种含氮化合物，其中有10种与恶臭味有关。其中主要恶臭物质有三甲基胺、氨气、硫化氢以及类臭基硫酸等。其中危害较大的是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S。本项目恶臭气体主要来自猪舍、</w:t>
      </w:r>
      <w:r>
        <w:rPr>
          <w:rFonts w:hint="eastAsia" w:ascii="Times New Roman" w:hAnsi="Times New Roman" w:eastAsia="宋体" w:cs="Times New Roman"/>
          <w:color w:val="auto"/>
          <w:sz w:val="24"/>
          <w:szCs w:val="24"/>
          <w:lang w:eastAsia="zh-CN"/>
        </w:rPr>
        <w:t>堆肥车间</w:t>
      </w:r>
      <w:r>
        <w:rPr>
          <w:rFonts w:hint="default" w:ascii="Times New Roman" w:hAnsi="Times New Roman" w:eastAsia="宋体" w:cs="Times New Roman"/>
          <w:color w:val="auto"/>
          <w:sz w:val="24"/>
          <w:szCs w:val="24"/>
        </w:rPr>
        <w:t>以及污水处理站。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（1）猪舍恶臭</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猪舍本身就是大面积的臭气发生地，再加上动物身体覆盖着粪便，就更加大大的增加了臭气散发面。这些地方臭气产生的多少还与粪便的水分含量和粪便堆积的厚度有关。粪便堆积的越厚就会因厌氧发酵的而使臭气产生量越大，尤其在场地排水不畅时就更是如此。但是实验表明，只要加强猪舍管理，采取铺设水泥地面、粪便及时清理干净等措施，可以很好的限制臭气的产生。</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猪舍全部采用机械刮粪机干清粪工艺清污，由于猪场臭气产生量与气温、猪场清洁条件、饲料等有关，且属于面源污染，无组织扩散，目前较难统计出较准确的产生量。本次评价参考《中国环境科学学会学术年会论文集》（2010）中的《养猪场恶臭影响量化分析及控制对策研究》（天津市环境影响评价中心 孙艳青、张潞、李万庆）提供的数据，猪舍NH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S排放排放强度统计见表3.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w:t>
      </w:r>
    </w:p>
    <w:p>
      <w:pPr>
        <w:pStyle w:val="2503"/>
        <w:numPr>
          <w:ilvl w:val="0"/>
          <w:numId w:val="19"/>
        </w:numPr>
        <w:spacing w:before="120"/>
        <w:ind w:left="0" w:leftChars="0" w:firstLine="403" w:firstLineChars="0"/>
        <w:rPr>
          <w:rFonts w:hint="default" w:ascii="Times New Roman" w:hAnsi="Times New Roman" w:cs="Times New Roman"/>
          <w:color w:val="auto"/>
        </w:rPr>
      </w:pPr>
      <w:r>
        <w:rPr>
          <w:rFonts w:hint="default" w:ascii="Times New Roman" w:hAnsi="Times New Roman" w:cs="Times New Roman"/>
          <w:color w:val="auto"/>
        </w:rPr>
        <w:t xml:space="preserve">   猪舍NH</w:t>
      </w:r>
      <w:r>
        <w:rPr>
          <w:rFonts w:hint="default" w:ascii="Times New Roman" w:hAnsi="Times New Roman" w:cs="Times New Roman"/>
          <w:color w:val="auto"/>
          <w:vertAlign w:val="subscript"/>
        </w:rPr>
        <w:t>3</w:t>
      </w:r>
      <w:r>
        <w:rPr>
          <w:rFonts w:hint="default" w:ascii="Times New Roman" w:hAnsi="Times New Roman" w:cs="Times New Roman"/>
          <w:color w:val="auto"/>
        </w:rPr>
        <w:t>及H</w:t>
      </w:r>
      <w:r>
        <w:rPr>
          <w:rFonts w:hint="default" w:ascii="Times New Roman" w:hAnsi="Times New Roman" w:cs="Times New Roman"/>
          <w:color w:val="auto"/>
          <w:vertAlign w:val="subscript"/>
        </w:rPr>
        <w:t>2</w:t>
      </w:r>
      <w:r>
        <w:rPr>
          <w:rFonts w:hint="default" w:ascii="Times New Roman" w:hAnsi="Times New Roman" w:cs="Times New Roman"/>
          <w:color w:val="auto"/>
        </w:rPr>
        <w:t>S排放强度统计</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3194"/>
        <w:gridCol w:w="3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88"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猪舍</w:t>
            </w:r>
          </w:p>
        </w:tc>
        <w:tc>
          <w:tcPr>
            <w:tcW w:w="1874"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NH</w:t>
            </w:r>
            <w:r>
              <w:rPr>
                <w:rFonts w:hint="default" w:ascii="Times New Roman" w:hAnsi="Times New Roman" w:eastAsia="宋体" w:cs="Times New Roman"/>
                <w:b/>
                <w:color w:val="auto"/>
                <w:sz w:val="21"/>
                <w:szCs w:val="21"/>
                <w:vertAlign w:val="subscript"/>
              </w:rPr>
              <w:t>3</w:t>
            </w:r>
            <w:r>
              <w:rPr>
                <w:rFonts w:hint="default" w:ascii="Times New Roman" w:hAnsi="Times New Roman" w:eastAsia="宋体" w:cs="Times New Roman"/>
                <w:b/>
                <w:color w:val="auto"/>
                <w:sz w:val="21"/>
                <w:szCs w:val="21"/>
              </w:rPr>
              <w:t>排放强度[g/（头·d）]</w:t>
            </w:r>
          </w:p>
        </w:tc>
        <w:tc>
          <w:tcPr>
            <w:tcW w:w="2036"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H</w:t>
            </w:r>
            <w:r>
              <w:rPr>
                <w:rFonts w:hint="default" w:ascii="Times New Roman" w:hAnsi="Times New Roman" w:eastAsia="宋体" w:cs="Times New Roman"/>
                <w:b/>
                <w:color w:val="auto"/>
                <w:sz w:val="21"/>
                <w:szCs w:val="21"/>
                <w:vertAlign w:val="subscript"/>
              </w:rPr>
              <w:t>2</w:t>
            </w:r>
            <w:r>
              <w:rPr>
                <w:rFonts w:hint="default" w:ascii="Times New Roman" w:hAnsi="Times New Roman" w:eastAsia="宋体" w:cs="Times New Roman"/>
                <w:b/>
                <w:color w:val="auto"/>
                <w:sz w:val="21"/>
                <w:szCs w:val="21"/>
              </w:rPr>
              <w:t>S排放强度[g/（头·d）]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88"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母猪</w:t>
            </w:r>
          </w:p>
        </w:tc>
        <w:tc>
          <w:tcPr>
            <w:tcW w:w="1874"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2036"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88"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公猪</w:t>
            </w:r>
          </w:p>
        </w:tc>
        <w:tc>
          <w:tcPr>
            <w:tcW w:w="1874"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2036"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88"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哺乳仔猪</w:t>
            </w:r>
          </w:p>
        </w:tc>
        <w:tc>
          <w:tcPr>
            <w:tcW w:w="1874"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2036"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88"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保育猪</w:t>
            </w:r>
          </w:p>
        </w:tc>
        <w:tc>
          <w:tcPr>
            <w:tcW w:w="1874"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0.95</w:t>
            </w:r>
          </w:p>
        </w:tc>
        <w:tc>
          <w:tcPr>
            <w:tcW w:w="2036"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88"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中猪</w:t>
            </w:r>
          </w:p>
        </w:tc>
        <w:tc>
          <w:tcPr>
            <w:tcW w:w="1874"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036"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88"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大猪</w:t>
            </w:r>
          </w:p>
        </w:tc>
        <w:tc>
          <w:tcPr>
            <w:tcW w:w="1874"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5.65</w:t>
            </w:r>
          </w:p>
        </w:tc>
        <w:tc>
          <w:tcPr>
            <w:tcW w:w="2036" w:type="pc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bl>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规模畜禽养殖场污染防治最佳可行技术指南（实行）》，合理设计的猪舍可对67%的氨产生影响，清除粪便可影响另外减少25%的氨，调整饲料对氨的影响占15%~20%。本项目通过调控饲料（采用低氮饲料），猪粪日产日清，恶臭产生量将降低80%。结合建设单位养殖过程在饲料中添加活菌剂（EM菌）等，根据《动物科学》（现代农业科技，2011年第6期）中的《猪舍内氨气排放控制研究进展》（山东省滕州市畜牧兽医局，高建萱），通过在饲料中添加活菌剂，可使猪舍中臭气含量下降40.28%-56.46%；同时，养殖场内绿化带、树林吸收恶臭，也能够有效减少恶臭产生。</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根据《自然科学》现代化农业，2011年第6期（总第383期）“微生物除臭剂研究进展”（赵晓锋、隋文志）的资料，经国家环境分析测试中心和陕西环境监测中心测试养殖场生物除臭剂（大力克、万洁芬等）对NH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S的去除效率分别为92.6%和89%。</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本项目猪舍恶臭的产生</w:t>
      </w:r>
      <w:r>
        <w:rPr>
          <w:rFonts w:hint="eastAsia" w:ascii="Times New Roman" w:hAnsi="Times New Roman" w:eastAsia="宋体" w:cs="Times New Roman"/>
          <w:color w:val="auto"/>
          <w:sz w:val="24"/>
          <w:szCs w:val="24"/>
          <w:lang w:eastAsia="zh-CN"/>
        </w:rPr>
        <w:t>及排放</w:t>
      </w:r>
      <w:r>
        <w:rPr>
          <w:rFonts w:hint="default" w:ascii="Times New Roman" w:hAnsi="Times New Roman" w:eastAsia="宋体" w:cs="Times New Roman"/>
          <w:color w:val="auto"/>
          <w:sz w:val="24"/>
          <w:szCs w:val="24"/>
        </w:rPr>
        <w:t>情况见表3.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pPr>
        <w:pStyle w:val="2503"/>
        <w:numPr>
          <w:ilvl w:val="0"/>
          <w:numId w:val="19"/>
        </w:numPr>
        <w:spacing w:before="120"/>
        <w:ind w:left="0" w:leftChars="0" w:firstLine="403" w:firstLineChars="0"/>
        <w:rPr>
          <w:rFonts w:hint="default" w:ascii="Times New Roman" w:hAnsi="Times New Roman" w:cs="Times New Roman"/>
          <w:color w:val="auto"/>
        </w:rPr>
      </w:pPr>
      <w:r>
        <w:rPr>
          <w:rFonts w:hint="default" w:ascii="Times New Roman" w:hAnsi="Times New Roman" w:cs="Times New Roman"/>
          <w:color w:val="auto"/>
        </w:rPr>
        <w:t xml:space="preserve">   猪舍恶臭产生及排放情况一览表</w:t>
      </w:r>
    </w:p>
    <w:tbl>
      <w:tblPr>
        <w:tblStyle w:val="88"/>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15"/>
        <w:gridCol w:w="861"/>
        <w:gridCol w:w="862"/>
        <w:gridCol w:w="919"/>
        <w:gridCol w:w="805"/>
        <w:gridCol w:w="863"/>
        <w:gridCol w:w="860"/>
        <w:gridCol w:w="862"/>
        <w:gridCol w:w="8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165" w:type="dxa"/>
            <w:gridSpan w:val="2"/>
            <w:vMerge w:val="restart"/>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存栏（头）</w:t>
            </w:r>
          </w:p>
        </w:tc>
        <w:tc>
          <w:tcPr>
            <w:tcW w:w="1723" w:type="dxa"/>
            <w:gridSpan w:val="2"/>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产污系数</w:t>
            </w:r>
          </w:p>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（g/头·d）</w:t>
            </w:r>
          </w:p>
        </w:tc>
        <w:tc>
          <w:tcPr>
            <w:tcW w:w="1724" w:type="dxa"/>
            <w:gridSpan w:val="2"/>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（kg/d）</w:t>
            </w:r>
          </w:p>
        </w:tc>
        <w:tc>
          <w:tcPr>
            <w:tcW w:w="1723" w:type="dxa"/>
            <w:gridSpan w:val="2"/>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臭气去除效率（%）</w:t>
            </w:r>
          </w:p>
        </w:tc>
        <w:tc>
          <w:tcPr>
            <w:tcW w:w="1725" w:type="dxa"/>
            <w:gridSpan w:val="2"/>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臭气排放量（kg/d）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165" w:type="dxa"/>
            <w:gridSpan w:val="2"/>
            <w:vMerge w:val="continue"/>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861"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p>
        </w:tc>
        <w:tc>
          <w:tcPr>
            <w:tcW w:w="862"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w:t>
            </w:r>
          </w:p>
        </w:tc>
        <w:tc>
          <w:tcPr>
            <w:tcW w:w="919"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p>
        </w:tc>
        <w:tc>
          <w:tcPr>
            <w:tcW w:w="805"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p>
        </w:tc>
        <w:tc>
          <w:tcPr>
            <w:tcW w:w="860"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w:t>
            </w:r>
          </w:p>
        </w:tc>
        <w:tc>
          <w:tcPr>
            <w:tcW w:w="862"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350"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母猪</w:t>
            </w:r>
          </w:p>
        </w:tc>
        <w:tc>
          <w:tcPr>
            <w:tcW w:w="815"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15862</w:t>
            </w:r>
          </w:p>
        </w:tc>
        <w:tc>
          <w:tcPr>
            <w:tcW w:w="861"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0.53</w:t>
            </w:r>
          </w:p>
        </w:tc>
        <w:tc>
          <w:tcPr>
            <w:tcW w:w="862"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919"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8.4069</w:t>
            </w:r>
          </w:p>
        </w:tc>
        <w:tc>
          <w:tcPr>
            <w:tcW w:w="805"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1.2690</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92.6</w:t>
            </w:r>
          </w:p>
        </w:tc>
        <w:tc>
          <w:tcPr>
            <w:tcW w:w="860"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w:t>
            </w:r>
          </w:p>
        </w:tc>
        <w:tc>
          <w:tcPr>
            <w:tcW w:w="862"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0.6221</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0.1396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350"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公猪</w:t>
            </w:r>
          </w:p>
        </w:tc>
        <w:tc>
          <w:tcPr>
            <w:tcW w:w="815"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w:t>
            </w:r>
          </w:p>
        </w:tc>
        <w:tc>
          <w:tcPr>
            <w:tcW w:w="861"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0.53</w:t>
            </w:r>
          </w:p>
        </w:tc>
        <w:tc>
          <w:tcPr>
            <w:tcW w:w="862"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919"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0.0583</w:t>
            </w:r>
          </w:p>
        </w:tc>
        <w:tc>
          <w:tcPr>
            <w:tcW w:w="805"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0.0055</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92.6</w:t>
            </w:r>
          </w:p>
        </w:tc>
        <w:tc>
          <w:tcPr>
            <w:tcW w:w="860"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w:t>
            </w:r>
          </w:p>
        </w:tc>
        <w:tc>
          <w:tcPr>
            <w:tcW w:w="862"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0.0043</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350"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仔猪</w:t>
            </w:r>
          </w:p>
        </w:tc>
        <w:tc>
          <w:tcPr>
            <w:tcW w:w="815"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17980</w:t>
            </w:r>
          </w:p>
        </w:tc>
        <w:tc>
          <w:tcPr>
            <w:tcW w:w="861"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62"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919"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1.2586</w:t>
            </w:r>
          </w:p>
        </w:tc>
        <w:tc>
          <w:tcPr>
            <w:tcW w:w="805"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0.3596</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92.6</w:t>
            </w:r>
          </w:p>
        </w:tc>
        <w:tc>
          <w:tcPr>
            <w:tcW w:w="860"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w:t>
            </w:r>
          </w:p>
        </w:tc>
        <w:tc>
          <w:tcPr>
            <w:tcW w:w="862"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0.0931</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0.0396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888" w:type="dxa"/>
            <w:gridSpan w:val="4"/>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919"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9.7238</w:t>
            </w:r>
          </w:p>
        </w:tc>
        <w:tc>
          <w:tcPr>
            <w:tcW w:w="805"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1.6341</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0"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62"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0.7196</w:t>
            </w:r>
          </w:p>
        </w:tc>
        <w:tc>
          <w:tcPr>
            <w:tcW w:w="863" w:type="dxa"/>
            <w:noWrap w:val="0"/>
            <w:vAlign w:val="center"/>
          </w:tcPr>
          <w:p>
            <w:pPr>
              <w:pStyle w:val="2504"/>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0.1797 </w:t>
            </w:r>
          </w:p>
        </w:tc>
      </w:tr>
    </w:tbl>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根据上述计算，本项目猪舍（常年存栏量为</w:t>
      </w:r>
      <w:r>
        <w:rPr>
          <w:rFonts w:hint="eastAsia" w:ascii="Times New Roman" w:hAnsi="Times New Roman" w:eastAsia="宋体" w:cs="Times New Roman"/>
          <w:color w:val="auto"/>
          <w:sz w:val="24"/>
          <w:szCs w:val="24"/>
          <w:lang w:val="en-US" w:eastAsia="zh-CN"/>
        </w:rPr>
        <w:t>17141</w:t>
      </w:r>
      <w:r>
        <w:rPr>
          <w:rFonts w:hint="default" w:ascii="Times New Roman" w:hAnsi="Times New Roman" w:eastAsia="宋体" w:cs="Times New Roman"/>
          <w:color w:val="auto"/>
          <w:sz w:val="24"/>
          <w:szCs w:val="24"/>
        </w:rPr>
        <w:t>头）恶臭污染物产生量H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S为</w:t>
      </w:r>
      <w:r>
        <w:rPr>
          <w:rFonts w:hint="eastAsia" w:ascii="Times New Roman" w:hAnsi="Times New Roman" w:eastAsia="宋体" w:cs="Times New Roman"/>
          <w:color w:val="auto"/>
          <w:sz w:val="24"/>
          <w:szCs w:val="24"/>
          <w:lang w:val="en-US" w:eastAsia="zh-CN"/>
        </w:rPr>
        <w:t>1.6341</w:t>
      </w:r>
      <w:r>
        <w:rPr>
          <w:rFonts w:hint="default" w:ascii="Times New Roman" w:hAnsi="Times New Roman" w:eastAsia="宋体" w:cs="Times New Roman"/>
          <w:color w:val="auto"/>
          <w:sz w:val="24"/>
          <w:szCs w:val="24"/>
        </w:rPr>
        <w:t>kg/d（约0.0</w:t>
      </w:r>
      <w:r>
        <w:rPr>
          <w:rFonts w:hint="eastAsia" w:ascii="Times New Roman" w:hAnsi="Times New Roman" w:eastAsia="宋体" w:cs="Times New Roman"/>
          <w:color w:val="auto"/>
          <w:sz w:val="24"/>
          <w:szCs w:val="24"/>
          <w:lang w:val="en-US" w:eastAsia="zh-CN"/>
        </w:rPr>
        <w:t>681</w:t>
      </w:r>
      <w:r>
        <w:rPr>
          <w:rFonts w:hint="default" w:ascii="Times New Roman" w:hAnsi="Times New Roman" w:eastAsia="宋体" w:cs="Times New Roman"/>
          <w:color w:val="auto"/>
          <w:sz w:val="24"/>
          <w:szCs w:val="24"/>
        </w:rPr>
        <w:t>kg/h）、NH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9.7238</w:t>
      </w:r>
      <w:r>
        <w:rPr>
          <w:rFonts w:hint="default" w:ascii="Times New Roman" w:hAnsi="Times New Roman" w:eastAsia="宋体" w:cs="Times New Roman"/>
          <w:color w:val="auto"/>
          <w:sz w:val="24"/>
          <w:szCs w:val="24"/>
        </w:rPr>
        <w:t>kg/d（约</w:t>
      </w:r>
      <w:r>
        <w:rPr>
          <w:rFonts w:hint="eastAsia" w:ascii="Times New Roman" w:hAnsi="Times New Roman" w:eastAsia="宋体" w:cs="Times New Roman"/>
          <w:color w:val="auto"/>
          <w:sz w:val="24"/>
          <w:szCs w:val="24"/>
          <w:lang w:val="en-US" w:eastAsia="zh-CN"/>
        </w:rPr>
        <w:t>0.4052</w:t>
      </w:r>
      <w:r>
        <w:rPr>
          <w:rFonts w:hint="default" w:ascii="Times New Roman" w:hAnsi="Times New Roman" w:eastAsia="宋体" w:cs="Times New Roman"/>
          <w:color w:val="auto"/>
          <w:sz w:val="24"/>
          <w:szCs w:val="24"/>
        </w:rPr>
        <w:t>kg/h），排放量H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S为</w:t>
      </w:r>
      <w:r>
        <w:rPr>
          <w:rFonts w:hint="eastAsia" w:ascii="Times New Roman" w:hAnsi="Times New Roman" w:eastAsia="宋体" w:cs="Times New Roman"/>
          <w:color w:val="auto"/>
          <w:sz w:val="24"/>
          <w:szCs w:val="24"/>
          <w:lang w:val="en-US" w:eastAsia="zh-CN"/>
        </w:rPr>
        <w:t>0.1797</w:t>
      </w:r>
      <w:r>
        <w:rPr>
          <w:rFonts w:hint="default" w:ascii="Times New Roman" w:hAnsi="Times New Roman" w:eastAsia="宋体" w:cs="Times New Roman"/>
          <w:color w:val="auto"/>
          <w:sz w:val="24"/>
          <w:szCs w:val="24"/>
        </w:rPr>
        <w:t>kg/d（约0.0</w:t>
      </w:r>
      <w:r>
        <w:rPr>
          <w:rFonts w:hint="eastAsia" w:ascii="Times New Roman" w:hAnsi="Times New Roman" w:eastAsia="宋体" w:cs="Times New Roman"/>
          <w:color w:val="auto"/>
          <w:sz w:val="24"/>
          <w:szCs w:val="24"/>
          <w:lang w:val="en-US" w:eastAsia="zh-CN"/>
        </w:rPr>
        <w:t>007</w:t>
      </w:r>
      <w:r>
        <w:rPr>
          <w:rFonts w:hint="default" w:ascii="Times New Roman" w:hAnsi="Times New Roman" w:eastAsia="宋体" w:cs="Times New Roman"/>
          <w:color w:val="auto"/>
          <w:sz w:val="24"/>
          <w:szCs w:val="24"/>
        </w:rPr>
        <w:t>kg/h）、NH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为0</w:t>
      </w:r>
      <w:r>
        <w:rPr>
          <w:rFonts w:hint="eastAsia" w:ascii="Times New Roman" w:hAnsi="Times New Roman" w:eastAsia="宋体" w:cs="Times New Roman"/>
          <w:color w:val="auto"/>
          <w:sz w:val="24"/>
          <w:szCs w:val="24"/>
          <w:lang w:val="en-US" w:eastAsia="zh-CN"/>
        </w:rPr>
        <w:t>.7196</w:t>
      </w:r>
      <w:r>
        <w:rPr>
          <w:rFonts w:hint="default" w:ascii="Times New Roman" w:hAnsi="Times New Roman" w:eastAsia="宋体" w:cs="Times New Roman"/>
          <w:color w:val="auto"/>
          <w:sz w:val="24"/>
          <w:szCs w:val="24"/>
        </w:rPr>
        <w:t>kg/d（约</w:t>
      </w:r>
      <w:r>
        <w:rPr>
          <w:rFonts w:hint="eastAsia" w:ascii="Times New Roman" w:hAnsi="Times New Roman" w:eastAsia="宋体" w:cs="Times New Roman"/>
          <w:color w:val="auto"/>
          <w:sz w:val="24"/>
          <w:szCs w:val="24"/>
          <w:lang w:val="en-US" w:eastAsia="zh-CN"/>
        </w:rPr>
        <w:t>0.03</w:t>
      </w:r>
      <w:r>
        <w:rPr>
          <w:rFonts w:hint="default" w:ascii="Times New Roman" w:hAnsi="Times New Roman" w:eastAsia="宋体" w:cs="Times New Roman"/>
          <w:color w:val="auto"/>
          <w:sz w:val="24"/>
          <w:szCs w:val="24"/>
        </w:rPr>
        <w:t>kg/h）。</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防治措施：</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本项目主体设计中将采取如下几种措施减少恶臭的产生与传播：</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①加强猪舍管理。本项目猪舍为干清粪猪舍，猪尿及时排至固液分离处，猪舍干粪每日清扫，通过减少粪便的停留时间和覆盖面积，可大大降低猪舍恶臭气体产生；</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猪舍恶臭负压收集。本项目的猪舍夏季采用水帘风机通风降温(其它季节不需降温，循环水池内空置，仅保持风机送风)，封闭性较好。水帘风机安装会使整个猪舍形成微负压，猪舍外的空气穿过水帘后被吸入猪舍，带着猪舍内的气体经风机排出室外，故本项目恶臭亦随气流由风机排出，不会呈无组织向四周扩散。</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科学设计日粮，提高饲料利用率:猪采食饲料后，饲料在消化道消化过程中(尤其后段肠道)，因微生物腐败分解而产生臭气；同时，没有消化吸收部分在体外被微生物降解，也产生恶臭。产生的粪污越多，臭气就越多。提高日粮的消化率、减少干物质(特别是蛋白质)排出量，既减少肠道臭气的产生，又可减少粪便排出后臭气的产生，这是减少恶臭来源的有效措施。试验证明，日粮消化率由85%提高至90%，粪便干物质排出量就减少三分之一；日粮蛋白质减少2%，粪便排泄量就降低20%。可采用经氨基酸平衡的低蛋白日粮和采用稀饲喂养方式减少恶臭的产生。</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④合理使用饲料添加剂:提倡日粮中添加酶制剂、酸制剂、EM制剂、丝兰属植物提取物、沸石等，除提高猪生产性能外，对控制恶臭具有重要作用。</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⑤</w:t>
      </w:r>
      <w:r>
        <w:rPr>
          <w:rFonts w:hint="default" w:ascii="Times New Roman" w:hAnsi="Times New Roman" w:eastAsia="宋体" w:cs="Times New Roman"/>
          <w:color w:val="auto"/>
          <w:sz w:val="24"/>
          <w:szCs w:val="24"/>
        </w:rPr>
        <w:t>投放吸附剂和喷洒除臭剂。本项目会定时向猪舍内投放吸附剂(秸秆)，以减少恶臭的散发，并且每天多次喷洒除臭剂，以减少恶臭的产生，且使用高锰酸钾等氧化剂及一些杀菌剂，可杀死厌氧发酵的细菌，达到除臭目的。</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⑥</w:t>
      </w:r>
      <w:r>
        <w:rPr>
          <w:rFonts w:hint="default" w:ascii="Times New Roman" w:hAnsi="Times New Roman" w:eastAsia="宋体" w:cs="Times New Roman"/>
          <w:color w:val="auto"/>
          <w:sz w:val="24"/>
          <w:szCs w:val="24"/>
        </w:rPr>
        <w:t>加强项目场区及四周绿化。在项目场区内部及周围进行绿化和种植植物，特别是加强场区四周的绿化，对恶臭起到阻隔效果，能阻挡猪舍臭气向周边扩散；场区绿化以完全消灭裸露地面为原则，广种花草树木。场区道路两边种植乔灌木、夹竹桃、松柏等，场界边缘地带种植杨、槐等高大树种形成多层防护林带，以降低恶臭污染的影响程度。</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⑦</w:t>
      </w:r>
      <w:r>
        <w:rPr>
          <w:rFonts w:hint="default" w:ascii="Times New Roman" w:hAnsi="Times New Roman" w:eastAsia="宋体" w:cs="Times New Roman"/>
          <w:color w:val="auto"/>
          <w:sz w:val="24"/>
          <w:szCs w:val="24"/>
        </w:rPr>
        <w:t>加强消毒措施。主入口车行道设置消毒池，猪舍定期使用84消毒液喷雾消毒。</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采取上述措施后，本项目养猪场运营期间猪舍恶臭污染物排放量H</w:t>
      </w:r>
      <w:r>
        <w:rPr>
          <w:rFonts w:hint="default" w:ascii="Times New Roman" w:hAnsi="Times New Roman" w:eastAsia="宋体" w:cs="Times New Roman"/>
          <w:b/>
          <w:color w:val="auto"/>
          <w:sz w:val="24"/>
          <w:szCs w:val="24"/>
          <w:vertAlign w:val="subscript"/>
        </w:rPr>
        <w:t>2</w:t>
      </w:r>
      <w:r>
        <w:rPr>
          <w:rFonts w:hint="default" w:ascii="Times New Roman" w:hAnsi="Times New Roman" w:eastAsia="宋体" w:cs="Times New Roman"/>
          <w:b/>
          <w:color w:val="auto"/>
          <w:sz w:val="24"/>
          <w:szCs w:val="24"/>
        </w:rPr>
        <w:t>S约0.00</w:t>
      </w:r>
      <w:r>
        <w:rPr>
          <w:rFonts w:hint="eastAsia" w:ascii="Times New Roman" w:hAnsi="Times New Roman" w:eastAsia="宋体" w:cs="Times New Roman"/>
          <w:b/>
          <w:color w:val="auto"/>
          <w:sz w:val="24"/>
          <w:szCs w:val="24"/>
          <w:lang w:val="en-US" w:eastAsia="zh-CN"/>
        </w:rPr>
        <w:t>07</w:t>
      </w:r>
      <w:r>
        <w:rPr>
          <w:rFonts w:hint="default" w:ascii="Times New Roman" w:hAnsi="Times New Roman" w:eastAsia="宋体" w:cs="Times New Roman"/>
          <w:b/>
          <w:color w:val="auto"/>
          <w:sz w:val="24"/>
          <w:szCs w:val="24"/>
        </w:rPr>
        <w:t>kg/h、NH</w:t>
      </w:r>
      <w:r>
        <w:rPr>
          <w:rFonts w:hint="default" w:ascii="Times New Roman" w:hAnsi="Times New Roman" w:eastAsia="宋体" w:cs="Times New Roman"/>
          <w:b/>
          <w:color w:val="auto"/>
          <w:sz w:val="24"/>
          <w:szCs w:val="24"/>
          <w:vertAlign w:val="subscript"/>
        </w:rPr>
        <w:t>3</w:t>
      </w:r>
      <w:r>
        <w:rPr>
          <w:rFonts w:hint="default" w:ascii="Times New Roman" w:hAnsi="Times New Roman" w:eastAsia="宋体" w:cs="Times New Roman"/>
          <w:b/>
          <w:color w:val="auto"/>
          <w:sz w:val="24"/>
          <w:szCs w:val="24"/>
        </w:rPr>
        <w:t>约0.0</w:t>
      </w:r>
      <w:r>
        <w:rPr>
          <w:rFonts w:hint="eastAsia"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kg/h。</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堆肥发酵罐</w:t>
      </w:r>
      <w:r>
        <w:rPr>
          <w:rFonts w:hint="default" w:ascii="Times New Roman" w:hAnsi="Times New Roman" w:eastAsia="宋体" w:cs="Times New Roman"/>
          <w:b/>
          <w:bCs/>
          <w:color w:val="auto"/>
          <w:sz w:val="24"/>
          <w:szCs w:val="24"/>
        </w:rPr>
        <w:t>恶臭</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类比养猪场猪粪堆场监测的相关统计资料（资料来源：孙艳清，张潞，李万庆</w:t>
      </w:r>
      <w:r>
        <w:rPr>
          <w:rFonts w:hint="eastAsia" w:ascii="Times New Roman" w:hAnsi="Times New Roman" w:eastAsia="宋体" w:cs="Times New Roman"/>
          <w:color w:val="auto"/>
          <w:kern w:val="2"/>
          <w:sz w:val="24"/>
          <w:szCs w:val="24"/>
          <w:lang w:val="en-US" w:eastAsia="zh-CN" w:bidi="ar-SA"/>
        </w:rPr>
        <w:t xml:space="preserve"> </w:t>
      </w:r>
      <w:r>
        <w:rPr>
          <w:rFonts w:hint="default" w:ascii="Times New Roman" w:hAnsi="Times New Roman" w:eastAsia="宋体" w:cs="Times New Roman"/>
          <w:color w:val="auto"/>
          <w:kern w:val="2"/>
          <w:sz w:val="24"/>
          <w:szCs w:val="24"/>
          <w:lang w:val="en-US" w:eastAsia="zh-CN" w:bidi="ar-SA"/>
        </w:rPr>
        <w:t>养猪场恶臭影响量化分析及控制对策研究[C].中国环境科学学会学术年会论文集(2010），3237-3239)，NH</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的平均排放量为4.35g/（m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·d），且排放量随处置方式的改变而改变，在没有任何遮盖以及猪粪没有结皮的情况下，NH</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的排放强度5.2g/(m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vertAlign w:val="baseline"/>
          <w:lang w:val="en-US" w:eastAsia="zh-CN" w:bidi="ar-SA"/>
        </w:rPr>
        <w:t>·</w:t>
      </w:r>
      <w:r>
        <w:rPr>
          <w:rFonts w:hint="default" w:ascii="Times New Roman" w:hAnsi="Times New Roman" w:eastAsia="宋体" w:cs="Times New Roman"/>
          <w:color w:val="auto"/>
          <w:kern w:val="2"/>
          <w:sz w:val="24"/>
          <w:szCs w:val="24"/>
          <w:lang w:val="en-US" w:eastAsia="zh-CN" w:bidi="ar-SA"/>
        </w:rPr>
        <w:t>d)，结皮后(16-30cm)则为0.6-~1.8g/(m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·d)；若再覆盖稻草(15-~23cm)，则氨气的排放强度为0.3~1.2g/(m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·d)，随着堆放时间的增加，猪粪腐熟程度逐渐增加，氨气的排放强度逐渐减少。</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同时</w:t>
      </w:r>
      <w:r>
        <w:rPr>
          <w:rFonts w:hint="default" w:ascii="Times New Roman" w:hAnsi="Times New Roman" w:eastAsia="宋体" w:cs="Times New Roman"/>
          <w:color w:val="auto"/>
          <w:kern w:val="2"/>
          <w:sz w:val="24"/>
          <w:szCs w:val="24"/>
          <w:lang w:val="en-US" w:eastAsia="zh-CN" w:bidi="ar-SA"/>
        </w:rPr>
        <w:t>根据同类型生猪标准化养殖场资料，H</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S排放强度为0.12g/(m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·d)。本项目猪粪发酵区约190.8m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本次评价按氨气的排放强度为1.2g/(m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·d)</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H</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S排放强度为0.12g/(m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·d)</w:t>
      </w:r>
      <w:r>
        <w:rPr>
          <w:rFonts w:hint="eastAsia" w:ascii="Times New Roman" w:hAnsi="Times New Roman" w:eastAsia="宋体" w:cs="Times New Roman"/>
          <w:color w:val="auto"/>
          <w:kern w:val="2"/>
          <w:sz w:val="24"/>
          <w:szCs w:val="24"/>
          <w:lang w:val="en-US" w:eastAsia="zh-CN" w:bidi="ar-SA"/>
        </w:rPr>
        <w:t>进行估算，</w:t>
      </w:r>
      <w:r>
        <w:rPr>
          <w:rFonts w:hint="default" w:ascii="Times New Roman" w:hAnsi="Times New Roman" w:eastAsia="宋体" w:cs="Times New Roman"/>
          <w:color w:val="auto"/>
          <w:kern w:val="2"/>
          <w:sz w:val="24"/>
          <w:szCs w:val="24"/>
          <w:lang w:val="en-US" w:eastAsia="zh-CN" w:bidi="ar-SA"/>
        </w:rPr>
        <w:t>则堆肥发酵车间恶臭气体NH</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的产生量为0.00954kg/h，H</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S的产生为0.000954kg/h。</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通过文献《养猪生产对环境的污染和防治对策》，综述后得出结论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猪的生产性能未受影响情况下，日粮蛋白质每降低1个百分点，氨排出量可减少84%左右。建设单位在饲料中一般补充赖氨酸和蛋氨酸等氢基酸，配制成符合营养需要的平衡日粮(从市场上直接购买配好的氢基酸)，从而减少日常饲料中的蛋白质，而每降低日常饲料中的蛋白质1个百分点，总氮(粪氮和尿氮)排出量会降低约8%，排尿量减少11%，还可降低尿氮含量、猪舍中氨气浓度和释放速度。</w:t>
      </w:r>
    </w:p>
    <w:p>
      <w:pPr>
        <w:spacing w:line="360" w:lineRule="auto"/>
        <w:ind w:firstLine="48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建设单位采取合理搭配饲料，并在饲料中添加EM提高日粮消化率、减少干物质(蛋白质)排出量，预计项目总氮、氨氮转化为NH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S量可控制在5%左右，项目在日常管理中采用在产生臭气污染源处投放吸附剂(沸石、锯末、膨润土、蛭石等)，投加或喷洒化学除臭剂用于杀菌消毒</w:t>
      </w:r>
      <w:r>
        <w:rPr>
          <w:rFonts w:hint="eastAsia" w:ascii="Times New Roman" w:hAnsi="Times New Roman" w:eastAsia="宋体" w:cs="Times New Roman"/>
          <w:color w:val="auto"/>
          <w:sz w:val="24"/>
          <w:szCs w:val="24"/>
          <w:lang w:eastAsia="zh-CN"/>
        </w:rPr>
        <w:t>。</w:t>
      </w:r>
    </w:p>
    <w:p>
      <w:pPr>
        <w:spacing w:line="360" w:lineRule="auto"/>
        <w:ind w:firstLine="48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eastAsia="zh-CN"/>
        </w:rPr>
        <w:t>堆肥车间全部封闭，负压抽风的废气经“碱液喷淋+生物过滤法”处理后经15m高排气筒排放。收集效率95%，处理效率不低于90%</w:t>
      </w:r>
      <w:r>
        <w:rPr>
          <w:rFonts w:hint="eastAsia" w:ascii="Times New Roman" w:hAnsi="Times New Roman" w:eastAsia="宋体" w:cs="Times New Roman"/>
          <w:color w:val="auto"/>
          <w:sz w:val="24"/>
          <w:szCs w:val="24"/>
          <w:lang w:eastAsia="zh-CN"/>
        </w:rPr>
        <w:t>，风量设计为</w:t>
      </w:r>
      <w:r>
        <w:rPr>
          <w:rFonts w:hint="eastAsia" w:ascii="Times New Roman" w:hAnsi="Times New Roman" w:eastAsia="宋体" w:cs="Times New Roman"/>
          <w:color w:val="auto"/>
          <w:sz w:val="24"/>
          <w:szCs w:val="24"/>
          <w:lang w:val="en-US" w:eastAsia="zh-CN"/>
        </w:rPr>
        <w:t>5000m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经上述处理措施后，本项目恶臭产、排放情况见表3.</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p>
    <w:p>
      <w:pPr>
        <w:pStyle w:val="2503"/>
        <w:numPr>
          <w:ilvl w:val="0"/>
          <w:numId w:val="19"/>
        </w:numPr>
        <w:spacing w:before="120" w:line="360" w:lineRule="auto"/>
        <w:ind w:left="0" w:leftChars="0" w:firstLine="403" w:firstLineChars="0"/>
        <w:rPr>
          <w:rFonts w:hint="default" w:ascii="Times New Roman" w:hAnsi="Times New Roman" w:cs="Times New Roman"/>
          <w:color w:val="auto"/>
        </w:rPr>
      </w:pPr>
      <w:r>
        <w:rPr>
          <w:rFonts w:hint="default" w:ascii="Times New Roman" w:hAnsi="Times New Roman" w:cs="Times New Roman"/>
          <w:color w:val="auto"/>
        </w:rPr>
        <w:t xml:space="preserve">   源头控制后</w:t>
      </w:r>
      <w:r>
        <w:rPr>
          <w:rFonts w:hint="eastAsia" w:ascii="Times New Roman" w:hAnsi="Times New Roman" w:cs="Times New Roman"/>
          <w:color w:val="auto"/>
          <w:lang w:eastAsia="zh-CN"/>
        </w:rPr>
        <w:t>堆肥车间</w:t>
      </w:r>
      <w:r>
        <w:rPr>
          <w:rFonts w:hint="default" w:ascii="Times New Roman" w:hAnsi="Times New Roman" w:cs="Times New Roman"/>
          <w:color w:val="auto"/>
        </w:rPr>
        <w:t>恶臭气体产生量一览表</w:t>
      </w:r>
    </w:p>
    <w:tbl>
      <w:tblPr>
        <w:tblStyle w:val="88"/>
        <w:tblW w:w="4996" w:type="pct"/>
        <w:jc w:val="center"/>
        <w:tblLayout w:type="autofit"/>
        <w:tblCellMar>
          <w:top w:w="0" w:type="dxa"/>
          <w:left w:w="0" w:type="dxa"/>
          <w:bottom w:w="0" w:type="dxa"/>
          <w:right w:w="0" w:type="dxa"/>
        </w:tblCellMar>
      </w:tblPr>
      <w:tblGrid>
        <w:gridCol w:w="859"/>
        <w:gridCol w:w="802"/>
        <w:gridCol w:w="1134"/>
        <w:gridCol w:w="694"/>
        <w:gridCol w:w="733"/>
        <w:gridCol w:w="704"/>
        <w:gridCol w:w="787"/>
        <w:gridCol w:w="1013"/>
        <w:gridCol w:w="791"/>
        <w:gridCol w:w="782"/>
      </w:tblGrid>
      <w:tr>
        <w:tblPrEx>
          <w:tblCellMar>
            <w:top w:w="0" w:type="dxa"/>
            <w:left w:w="0" w:type="dxa"/>
            <w:bottom w:w="0" w:type="dxa"/>
            <w:right w:w="0" w:type="dxa"/>
          </w:tblCellMar>
        </w:tblPrEx>
        <w:trPr>
          <w:jc w:val="center"/>
        </w:trPr>
        <w:tc>
          <w:tcPr>
            <w:tcW w:w="524" w:type="pct"/>
            <w:tcBorders>
              <w:top w:val="single" w:color="auto" w:sz="12" w:space="0"/>
              <w:left w:val="nil"/>
              <w:bottom w:val="single" w:color="000000" w:sz="4" w:space="0"/>
              <w:right w:val="single" w:color="000000" w:sz="4" w:space="0"/>
            </w:tcBorders>
            <w:noWrap w:val="0"/>
            <w:vAlign w:val="center"/>
          </w:tcPr>
          <w:p>
            <w:pPr>
              <w:pStyle w:val="163"/>
              <w:keepNext w:val="0"/>
              <w:keepLines w:val="0"/>
              <w:suppressLineNumbers w:val="0"/>
              <w:kinsoku w:val="0"/>
              <w:overflowPunct w:val="0"/>
              <w:spacing w:before="109"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污染源位置</w:t>
            </w:r>
          </w:p>
        </w:tc>
        <w:tc>
          <w:tcPr>
            <w:tcW w:w="490"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109"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污染物名称</w:t>
            </w:r>
          </w:p>
        </w:tc>
        <w:tc>
          <w:tcPr>
            <w:tcW w:w="690"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排放强度</w:t>
            </w:r>
            <w:r>
              <w:rPr>
                <w:rFonts w:hint="default" w:ascii="Times New Roman" w:hAnsi="Times New Roman" w:eastAsia="宋体" w:cs="Times New Roman"/>
                <w:b/>
                <w:bCs/>
                <w:color w:val="auto"/>
                <w:spacing w:val="-59"/>
                <w:sz w:val="21"/>
                <w:szCs w:val="21"/>
              </w:rPr>
              <w:t xml:space="preserve"> </w:t>
            </w:r>
            <w:r>
              <w:rPr>
                <w:rFonts w:hint="default" w:ascii="Times New Roman" w:hAnsi="Times New Roman" w:eastAsia="宋体" w:cs="Times New Roman"/>
                <w:b/>
                <w:color w:val="auto"/>
                <w:sz w:val="21"/>
                <w:szCs w:val="21"/>
              </w:rPr>
              <w:t>g/(m</w:t>
            </w:r>
            <w:r>
              <w:rPr>
                <w:rFonts w:hint="default" w:ascii="Times New Roman" w:hAnsi="Times New Roman" w:eastAsia="宋体" w:cs="Times New Roman"/>
                <w:b/>
                <w:color w:val="auto"/>
                <w:sz w:val="21"/>
                <w:szCs w:val="21"/>
                <w:vertAlign w:val="superscript"/>
              </w:rPr>
              <w:t>2</w:t>
            </w:r>
            <w:r>
              <w:rPr>
                <w:rFonts w:hint="default" w:ascii="Times New Roman" w:hAnsi="Times New Roman" w:eastAsia="宋体" w:cs="Times New Roman"/>
                <w:b/>
                <w:color w:val="auto"/>
                <w:sz w:val="21"/>
                <w:szCs w:val="21"/>
              </w:rPr>
              <w:t>.d)</w:t>
            </w:r>
          </w:p>
        </w:tc>
        <w:tc>
          <w:tcPr>
            <w:tcW w:w="425"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117"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面积</w:t>
            </w:r>
            <w:r>
              <w:rPr>
                <w:rFonts w:hint="default" w:ascii="Times New Roman" w:hAnsi="Times New Roman" w:eastAsia="宋体" w:cs="Times New Roman"/>
                <w:b/>
                <w:bCs/>
                <w:color w:val="auto"/>
                <w:spacing w:val="-53"/>
                <w:sz w:val="21"/>
                <w:szCs w:val="21"/>
              </w:rPr>
              <w:t xml:space="preserve"> </w:t>
            </w:r>
            <w:r>
              <w:rPr>
                <w:rFonts w:hint="default" w:ascii="Times New Roman" w:hAnsi="Times New Roman" w:eastAsia="宋体" w:cs="Times New Roman"/>
                <w:b/>
                <w:color w:val="auto"/>
                <w:sz w:val="21"/>
                <w:szCs w:val="21"/>
              </w:rPr>
              <w:t>m</w:t>
            </w:r>
            <w:r>
              <w:rPr>
                <w:rFonts w:hint="default" w:ascii="Times New Roman" w:hAnsi="Times New Roman" w:eastAsia="宋体" w:cs="Times New Roman"/>
                <w:b/>
                <w:color w:val="auto"/>
                <w:sz w:val="21"/>
                <w:szCs w:val="21"/>
                <w:vertAlign w:val="superscript"/>
              </w:rPr>
              <w:t>2</w:t>
            </w:r>
          </w:p>
        </w:tc>
        <w:tc>
          <w:tcPr>
            <w:tcW w:w="448"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年产生量</w:t>
            </w:r>
          </w:p>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（t/a）</w:t>
            </w:r>
          </w:p>
        </w:tc>
        <w:tc>
          <w:tcPr>
            <w:tcW w:w="431"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109" w:beforeAutospacing="0" w:after="0" w:afterAutospacing="0" w:line="360" w:lineRule="auto"/>
              <w:ind w:left="0" w:right="0"/>
              <w:jc w:val="center"/>
              <w:rPr>
                <w:rFonts w:hint="eastAsia" w:ascii="Times New Roman" w:hAnsi="Times New Roman" w:eastAsia="宋体" w:cs="Times New Roman"/>
                <w:b/>
                <w:color w:val="auto"/>
                <w:sz w:val="21"/>
                <w:szCs w:val="21"/>
                <w:lang w:eastAsia="zh-CN"/>
              </w:rPr>
            </w:pPr>
            <w:r>
              <w:rPr>
                <w:rFonts w:hint="eastAsia" w:ascii="Times New Roman" w:hAnsi="Times New Roman" w:cs="Times New Roman"/>
                <w:b/>
                <w:color w:val="auto"/>
                <w:sz w:val="21"/>
                <w:szCs w:val="21"/>
                <w:lang w:eastAsia="zh-CN"/>
              </w:rPr>
              <w:t>收集效率</w:t>
            </w:r>
          </w:p>
        </w:tc>
        <w:tc>
          <w:tcPr>
            <w:tcW w:w="481" w:type="pct"/>
            <w:tcBorders>
              <w:top w:val="single" w:color="auto" w:sz="12" w:space="0"/>
              <w:left w:val="single" w:color="000000" w:sz="4" w:space="0"/>
              <w:bottom w:val="single" w:color="000000" w:sz="4" w:space="0"/>
              <w:right w:val="nil"/>
            </w:tcBorders>
            <w:noWrap w:val="0"/>
            <w:vAlign w:val="center"/>
          </w:tcPr>
          <w:p>
            <w:pPr>
              <w:pStyle w:val="163"/>
              <w:keepNext w:val="0"/>
              <w:keepLines w:val="0"/>
              <w:suppressLineNumbers w:val="0"/>
              <w:kinsoku w:val="0"/>
              <w:overflowPunct w:val="0"/>
              <w:spacing w:before="109" w:beforeAutospacing="0" w:after="0" w:afterAutospacing="0" w:line="360" w:lineRule="auto"/>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去除效率</w:t>
            </w:r>
          </w:p>
        </w:tc>
        <w:tc>
          <w:tcPr>
            <w:tcW w:w="551" w:type="pct"/>
            <w:tcBorders>
              <w:top w:val="single" w:color="auto" w:sz="12" w:space="0"/>
              <w:left w:val="single" w:color="000000" w:sz="4" w:space="0"/>
              <w:bottom w:val="single" w:color="000000" w:sz="4" w:space="0"/>
              <w:right w:val="nil"/>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排放浓度</w:t>
            </w:r>
          </w:p>
          <w:p>
            <w:pPr>
              <w:pStyle w:val="163"/>
              <w:keepNext w:val="0"/>
              <w:keepLines w:val="0"/>
              <w:suppressLineNumbers w:val="0"/>
              <w:kinsoku w:val="0"/>
              <w:overflowPunct w:val="0"/>
              <w:spacing w:before="0" w:beforeAutospacing="0" w:after="0" w:afterAutospacing="0" w:line="360" w:lineRule="auto"/>
              <w:ind w:left="0" w:right="0"/>
              <w:jc w:val="center"/>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（mg/m</w:t>
            </w:r>
            <w:r>
              <w:rPr>
                <w:rFonts w:hint="eastAsia" w:ascii="Times New Roman" w:hAnsi="Times New Roman" w:cs="Times New Roman"/>
                <w:b/>
                <w:bCs/>
                <w:color w:val="auto"/>
                <w:sz w:val="21"/>
                <w:szCs w:val="21"/>
                <w:vertAlign w:val="superscript"/>
                <w:lang w:eastAsia="zh-CN"/>
              </w:rPr>
              <w:t>3</w:t>
            </w:r>
            <w:r>
              <w:rPr>
                <w:rFonts w:hint="eastAsia" w:ascii="Times New Roman" w:hAnsi="Times New Roman" w:cs="Times New Roman"/>
                <w:b/>
                <w:bCs/>
                <w:color w:val="auto"/>
                <w:sz w:val="21"/>
                <w:szCs w:val="21"/>
                <w:lang w:eastAsia="zh-CN"/>
              </w:rPr>
              <w:t>）</w:t>
            </w:r>
          </w:p>
        </w:tc>
        <w:tc>
          <w:tcPr>
            <w:tcW w:w="783" w:type="dxa"/>
            <w:tcBorders>
              <w:top w:val="single" w:color="auto" w:sz="12" w:space="0"/>
              <w:left w:val="single" w:color="000000" w:sz="4" w:space="0"/>
              <w:bottom w:val="single" w:color="000000" w:sz="4" w:space="0"/>
              <w:right w:val="nil"/>
            </w:tcBorders>
            <w:noWrap w:val="0"/>
            <w:vAlign w:val="center"/>
          </w:tcPr>
          <w:p>
            <w:pPr>
              <w:pStyle w:val="163"/>
              <w:keepNext w:val="0"/>
              <w:keepLines w:val="0"/>
              <w:suppressLineNumbers w:val="0"/>
              <w:kinsoku w:val="0"/>
              <w:overflowPunct w:val="0"/>
              <w:spacing w:before="0" w:beforeAutospacing="0" w:after="0" w:afterAutospacing="0" w:line="360" w:lineRule="auto"/>
              <w:ind w:left="0" w:leftChars="0" w:right="0" w:rightChars="0"/>
              <w:jc w:val="center"/>
              <w:rPr>
                <w:rFonts w:hint="eastAsia" w:ascii="Times New Roman" w:hAnsi="Times New Roman" w:cs="Times New Roman"/>
                <w:b/>
                <w:bCs/>
                <w:color w:val="auto"/>
                <w:sz w:val="21"/>
                <w:szCs w:val="21"/>
                <w:lang w:eastAsia="zh-CN"/>
              </w:rPr>
            </w:pPr>
            <w:r>
              <w:rPr>
                <w:rFonts w:hint="default" w:ascii="Times New Roman" w:hAnsi="Times New Roman" w:eastAsia="宋体" w:cs="Times New Roman"/>
                <w:b/>
                <w:bCs/>
                <w:color w:val="auto"/>
                <w:sz w:val="21"/>
                <w:szCs w:val="21"/>
              </w:rPr>
              <w:t>排放</w:t>
            </w:r>
            <w:r>
              <w:rPr>
                <w:rFonts w:hint="eastAsia" w:ascii="Times New Roman" w:hAnsi="Times New Roman" w:eastAsia="宋体" w:cs="Times New Roman"/>
                <w:b/>
                <w:bCs/>
                <w:color w:val="auto"/>
                <w:sz w:val="21"/>
                <w:szCs w:val="21"/>
                <w:lang w:eastAsia="zh-CN"/>
              </w:rPr>
              <w:t>速率</w:t>
            </w:r>
            <w:r>
              <w:rPr>
                <w:rFonts w:hint="eastAsia" w:ascii="Times New Roman" w:hAnsi="Times New Roman" w:eastAsia="宋体" w:cs="Times New Roman"/>
                <w:b/>
                <w:bCs/>
                <w:color w:val="auto"/>
                <w:sz w:val="21"/>
                <w:szCs w:val="21"/>
                <w:lang w:val="en-US" w:eastAsia="zh-CN"/>
              </w:rPr>
              <w:t>kg/h</w:t>
            </w:r>
          </w:p>
        </w:tc>
        <w:tc>
          <w:tcPr>
            <w:tcW w:w="477" w:type="pct"/>
            <w:tcBorders>
              <w:top w:val="single" w:color="auto" w:sz="12" w:space="0"/>
              <w:left w:val="single" w:color="000000" w:sz="4" w:space="0"/>
              <w:bottom w:val="single" w:color="000000" w:sz="4" w:space="0"/>
              <w:right w:val="nil"/>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年排放量</w:t>
            </w:r>
          </w:p>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（t/a）</w:t>
            </w:r>
          </w:p>
        </w:tc>
      </w:tr>
      <w:tr>
        <w:tblPrEx>
          <w:tblCellMar>
            <w:top w:w="0" w:type="dxa"/>
            <w:left w:w="0" w:type="dxa"/>
            <w:bottom w:w="0" w:type="dxa"/>
            <w:right w:w="0" w:type="dxa"/>
          </w:tblCellMar>
        </w:tblPrEx>
        <w:trPr>
          <w:jc w:val="center"/>
        </w:trPr>
        <w:tc>
          <w:tcPr>
            <w:tcW w:w="524" w:type="pct"/>
            <w:vMerge w:val="restart"/>
            <w:tcBorders>
              <w:top w:val="single" w:color="000000" w:sz="4" w:space="0"/>
              <w:left w:val="nil"/>
              <w:bottom w:val="single" w:color="000000" w:sz="10"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堆肥发酵罐</w:t>
            </w: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44"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NH</w:t>
            </w:r>
            <w:r>
              <w:rPr>
                <w:rFonts w:hint="default" w:ascii="Times New Roman" w:hAnsi="Times New Roman" w:eastAsia="宋体" w:cs="Times New Roman"/>
                <w:color w:val="auto"/>
                <w:sz w:val="21"/>
                <w:szCs w:val="21"/>
                <w:vertAlign w:val="subscript"/>
              </w:rPr>
              <w:t>3</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48"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425" w:type="pct"/>
            <w:vMerge w:val="restart"/>
            <w:tcBorders>
              <w:top w:val="single" w:color="000000" w:sz="4" w:space="0"/>
              <w:left w:val="single" w:color="000000" w:sz="4" w:space="0"/>
              <w:bottom w:val="single" w:color="000000" w:sz="10"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190.8</w:t>
            </w:r>
          </w:p>
        </w:tc>
        <w:tc>
          <w:tcPr>
            <w:tcW w:w="4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0.0836</w:t>
            </w:r>
          </w:p>
        </w:tc>
        <w:tc>
          <w:tcPr>
            <w:tcW w:w="431" w:type="pct"/>
            <w:vMerge w:val="restart"/>
            <w:tcBorders>
              <w:top w:val="single" w:color="000000" w:sz="4" w:space="0"/>
              <w:left w:val="single" w:color="000000" w:sz="4" w:space="0"/>
              <w:bottom w:val="single" w:color="000000" w:sz="10"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95%</w:t>
            </w:r>
          </w:p>
        </w:tc>
        <w:tc>
          <w:tcPr>
            <w:tcW w:w="481" w:type="pct"/>
            <w:vMerge w:val="restart"/>
            <w:tcBorders>
              <w:top w:val="single" w:color="000000" w:sz="4" w:space="0"/>
              <w:left w:val="single" w:color="000000" w:sz="4" w:space="0"/>
              <w:right w:val="nil"/>
            </w:tcBorders>
            <w:noWrap w:val="0"/>
            <w:vAlign w:val="center"/>
          </w:tcPr>
          <w:p>
            <w:pPr>
              <w:pStyle w:val="163"/>
              <w:keepNext w:val="0"/>
              <w:keepLines w:val="0"/>
              <w:suppressLineNumbers w:val="0"/>
              <w:kinsoku w:val="0"/>
              <w:overflowPunct w:val="0"/>
              <w:spacing w:before="0" w:beforeAutospacing="0" w:after="0" w:afterAutospacing="0" w:line="36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551"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0.181324</w:t>
            </w:r>
          </w:p>
        </w:tc>
        <w:tc>
          <w:tcPr>
            <w:tcW w:w="783"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0.001</w:t>
            </w:r>
          </w:p>
        </w:tc>
        <w:tc>
          <w:tcPr>
            <w:tcW w:w="477"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i w:val="0"/>
                <w:color w:val="auto"/>
                <w:kern w:val="0"/>
                <w:sz w:val="21"/>
                <w:szCs w:val="21"/>
                <w:u w:val="none"/>
                <w:lang w:val="en-US" w:eastAsia="zh-CN" w:bidi="ar"/>
              </w:rPr>
              <w:t>0.0079</w:t>
            </w:r>
          </w:p>
        </w:tc>
      </w:tr>
      <w:tr>
        <w:tblPrEx>
          <w:tblCellMar>
            <w:top w:w="0" w:type="dxa"/>
            <w:left w:w="0" w:type="dxa"/>
            <w:bottom w:w="0" w:type="dxa"/>
            <w:right w:w="0" w:type="dxa"/>
          </w:tblCellMar>
        </w:tblPrEx>
        <w:trPr>
          <w:jc w:val="center"/>
        </w:trPr>
        <w:tc>
          <w:tcPr>
            <w:tcW w:w="524" w:type="pct"/>
            <w:vMerge w:val="continue"/>
            <w:tcBorders>
              <w:top w:val="single" w:color="000000" w:sz="4" w:space="0"/>
              <w:left w:val="nil"/>
              <w:bottom w:val="single" w:color="auto" w:sz="12" w:space="0"/>
              <w:right w:val="single" w:color="000000" w:sz="4" w:space="0"/>
            </w:tcBorders>
            <w:noWrap w:val="0"/>
            <w:vAlign w:val="center"/>
          </w:tcPr>
          <w:p>
            <w:pPr>
              <w:pStyle w:val="163"/>
              <w:keepNext w:val="0"/>
              <w:keepLines w:val="0"/>
              <w:suppressLineNumbers w:val="0"/>
              <w:kinsoku w:val="0"/>
              <w:overflowPunct w:val="0"/>
              <w:spacing w:before="48" w:beforeAutospacing="0" w:after="0" w:afterAutospacing="0" w:line="360" w:lineRule="auto"/>
              <w:ind w:left="380" w:right="0" w:firstLine="480"/>
              <w:jc w:val="center"/>
              <w:rPr>
                <w:rFonts w:hint="default" w:ascii="Times New Roman" w:hAnsi="Times New Roman" w:eastAsia="宋体" w:cs="Times New Roman"/>
                <w:color w:val="auto"/>
                <w:sz w:val="21"/>
                <w:szCs w:val="21"/>
              </w:rPr>
            </w:pPr>
          </w:p>
        </w:tc>
        <w:tc>
          <w:tcPr>
            <w:tcW w:w="490" w:type="pct"/>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45"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position w:val="2"/>
                <w:sz w:val="21"/>
                <w:szCs w:val="21"/>
              </w:rPr>
              <w:t>S</w:t>
            </w:r>
          </w:p>
        </w:tc>
        <w:tc>
          <w:tcPr>
            <w:tcW w:w="690" w:type="pct"/>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48"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c>
          <w:tcPr>
            <w:tcW w:w="425" w:type="pct"/>
            <w:vMerge w:val="continue"/>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48" w:beforeAutospacing="0" w:after="0" w:afterAutospacing="0" w:line="360" w:lineRule="auto"/>
              <w:ind w:left="0" w:right="0" w:firstLine="480"/>
              <w:jc w:val="center"/>
              <w:rPr>
                <w:rFonts w:hint="default" w:ascii="Times New Roman" w:hAnsi="Times New Roman" w:eastAsia="宋体" w:cs="Times New Roman"/>
                <w:color w:val="auto"/>
                <w:sz w:val="21"/>
                <w:szCs w:val="21"/>
              </w:rPr>
            </w:pPr>
          </w:p>
        </w:tc>
        <w:tc>
          <w:tcPr>
            <w:tcW w:w="448"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0.0084</w:t>
            </w:r>
          </w:p>
        </w:tc>
        <w:tc>
          <w:tcPr>
            <w:tcW w:w="431" w:type="pct"/>
            <w:vMerge w:val="continue"/>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rPr>
            </w:pPr>
          </w:p>
        </w:tc>
        <w:tc>
          <w:tcPr>
            <w:tcW w:w="481" w:type="pct"/>
            <w:vMerge w:val="continue"/>
            <w:tcBorders>
              <w:left w:val="single" w:color="000000" w:sz="4" w:space="0"/>
              <w:bottom w:val="single" w:color="auto" w:sz="12" w:space="0"/>
              <w:right w:val="nil"/>
            </w:tcBorders>
            <w:noWrap w:val="0"/>
            <w:vAlign w:val="center"/>
          </w:tcPr>
          <w:p>
            <w:pPr>
              <w:pStyle w:val="163"/>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rPr>
            </w:pPr>
          </w:p>
        </w:tc>
        <w:tc>
          <w:tcPr>
            <w:tcW w:w="551" w:type="pct"/>
            <w:tcBorders>
              <w:top w:val="single" w:color="000000" w:sz="4"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0.018219</w:t>
            </w:r>
          </w:p>
        </w:tc>
        <w:tc>
          <w:tcPr>
            <w:tcW w:w="783" w:type="dxa"/>
            <w:tcBorders>
              <w:top w:val="single" w:color="000000" w:sz="4"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0.0001</w:t>
            </w:r>
          </w:p>
        </w:tc>
        <w:tc>
          <w:tcPr>
            <w:tcW w:w="477" w:type="pct"/>
            <w:tcBorders>
              <w:top w:val="single" w:color="000000" w:sz="4"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0.0008</w:t>
            </w:r>
          </w:p>
        </w:tc>
      </w:tr>
    </w:tbl>
    <w:p>
      <w:pPr>
        <w:spacing w:line="360" w:lineRule="auto"/>
        <w:ind w:firstLine="482"/>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color w:val="auto"/>
          <w:sz w:val="24"/>
          <w:szCs w:val="24"/>
        </w:rPr>
        <w:t>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环评要求建设单位必须采取除臭措施，措施如下：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w:t>
      </w:r>
      <w:r>
        <w:rPr>
          <w:rFonts w:hint="default" w:ascii="Times New Roman" w:hAnsi="Times New Roman" w:eastAsia="宋体" w:cs="Times New Roman"/>
          <w:color w:val="auto"/>
          <w:kern w:val="2"/>
          <w:sz w:val="24"/>
          <w:szCs w:val="24"/>
          <w:lang w:val="en-US" w:eastAsia="zh-CN" w:bidi="ar-SA"/>
        </w:rPr>
        <w:t>喷洒除臭剂。每天多次喷酒除臭剂，以减少恶臭的产生。</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w:t>
      </w:r>
      <w:r>
        <w:rPr>
          <w:rFonts w:hint="default" w:ascii="Times New Roman" w:hAnsi="Times New Roman" w:eastAsia="宋体" w:cs="Times New Roman"/>
          <w:color w:val="auto"/>
          <w:kern w:val="2"/>
          <w:sz w:val="24"/>
          <w:szCs w:val="24"/>
          <w:lang w:val="en-US" w:eastAsia="zh-CN" w:bidi="ar-SA"/>
        </w:rPr>
        <w:t>堆肥车间全部封闭，负压抽风的废气经“碱液喷淋+生物过滤法”处理后经 15m高排气筒</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排放。收集效率95%，处理效率不低于90%。</w:t>
      </w:r>
    </w:p>
    <w:p>
      <w:pPr>
        <w:spacing w:line="360" w:lineRule="auto"/>
        <w:ind w:firstLine="482"/>
        <w:rPr>
          <w:rFonts w:hint="default"/>
          <w:color w:val="auto"/>
          <w:sz w:val="24"/>
          <w:szCs w:val="24"/>
          <w:lang w:val="en-US" w:eastAsia="zh-CN"/>
        </w:rPr>
      </w:pPr>
      <w:r>
        <w:rPr>
          <w:rFonts w:hint="default" w:ascii="Times New Roman" w:hAnsi="Times New Roman" w:eastAsia="宋体" w:cs="Times New Roman"/>
          <w:b/>
          <w:color w:val="auto"/>
          <w:sz w:val="24"/>
          <w:szCs w:val="24"/>
        </w:rPr>
        <w:t>采取上述措施后，本项目运营期间</w:t>
      </w:r>
      <w:r>
        <w:rPr>
          <w:rFonts w:hint="eastAsia" w:ascii="Times New Roman" w:hAnsi="Times New Roman" w:eastAsia="宋体" w:cs="Times New Roman"/>
          <w:b/>
          <w:color w:val="auto"/>
          <w:sz w:val="24"/>
          <w:szCs w:val="24"/>
          <w:lang w:eastAsia="zh-CN"/>
        </w:rPr>
        <w:t>堆肥车间</w:t>
      </w:r>
      <w:r>
        <w:rPr>
          <w:rFonts w:hint="default" w:ascii="Times New Roman" w:hAnsi="Times New Roman" w:eastAsia="宋体" w:cs="Times New Roman"/>
          <w:b/>
          <w:color w:val="auto"/>
          <w:sz w:val="24"/>
          <w:szCs w:val="24"/>
        </w:rPr>
        <w:t>污染物</w:t>
      </w:r>
      <w:r>
        <w:rPr>
          <w:rFonts w:hint="eastAsia" w:ascii="Times New Roman" w:hAnsi="Times New Roman" w:eastAsia="宋体" w:cs="Times New Roman"/>
          <w:b/>
          <w:color w:val="auto"/>
          <w:sz w:val="24"/>
          <w:szCs w:val="24"/>
          <w:lang w:eastAsia="zh-CN"/>
        </w:rPr>
        <w:t>有组织</w:t>
      </w:r>
      <w:r>
        <w:rPr>
          <w:rFonts w:hint="default" w:ascii="Times New Roman" w:hAnsi="Times New Roman" w:eastAsia="宋体" w:cs="Times New Roman"/>
          <w:b/>
          <w:color w:val="auto"/>
          <w:sz w:val="24"/>
          <w:szCs w:val="24"/>
        </w:rPr>
        <w:t>排放量H</w:t>
      </w:r>
      <w:r>
        <w:rPr>
          <w:rFonts w:hint="default" w:ascii="Times New Roman" w:hAnsi="Times New Roman" w:eastAsia="宋体" w:cs="Times New Roman"/>
          <w:b/>
          <w:color w:val="auto"/>
          <w:sz w:val="24"/>
          <w:szCs w:val="24"/>
          <w:vertAlign w:val="subscript"/>
        </w:rPr>
        <w:t>2</w:t>
      </w:r>
      <w:r>
        <w:rPr>
          <w:rFonts w:hint="default" w:ascii="Times New Roman" w:hAnsi="Times New Roman" w:eastAsia="宋体" w:cs="Times New Roman"/>
          <w:b/>
          <w:color w:val="auto"/>
          <w:sz w:val="24"/>
          <w:szCs w:val="24"/>
        </w:rPr>
        <w:t>S约0.00</w:t>
      </w:r>
      <w:r>
        <w:rPr>
          <w:rFonts w:hint="eastAsia" w:ascii="Times New Roman" w:hAnsi="Times New Roman" w:eastAsia="宋体" w:cs="Times New Roman"/>
          <w:b/>
          <w:color w:val="auto"/>
          <w:sz w:val="24"/>
          <w:szCs w:val="24"/>
          <w:lang w:val="en-US" w:eastAsia="zh-CN"/>
        </w:rPr>
        <w:t>009</w:t>
      </w:r>
      <w:r>
        <w:rPr>
          <w:rFonts w:hint="default" w:ascii="Times New Roman" w:hAnsi="Times New Roman" w:eastAsia="宋体" w:cs="Times New Roman"/>
          <w:b/>
          <w:color w:val="auto"/>
          <w:sz w:val="24"/>
          <w:szCs w:val="24"/>
        </w:rPr>
        <w:t>kg/h、NH</w:t>
      </w:r>
      <w:r>
        <w:rPr>
          <w:rFonts w:hint="default" w:ascii="Times New Roman" w:hAnsi="Times New Roman" w:eastAsia="宋体" w:cs="Times New Roman"/>
          <w:b/>
          <w:color w:val="auto"/>
          <w:sz w:val="24"/>
          <w:szCs w:val="24"/>
          <w:vertAlign w:val="subscript"/>
        </w:rPr>
        <w:t>3</w:t>
      </w:r>
      <w:r>
        <w:rPr>
          <w:rFonts w:hint="default" w:ascii="Times New Roman" w:hAnsi="Times New Roman" w:eastAsia="宋体" w:cs="Times New Roman"/>
          <w:b/>
          <w:color w:val="auto"/>
          <w:sz w:val="24"/>
          <w:szCs w:val="24"/>
        </w:rPr>
        <w:t>约</w:t>
      </w:r>
      <w:r>
        <w:rPr>
          <w:rFonts w:hint="eastAsia" w:ascii="Times New Roman" w:hAnsi="Times New Roman" w:eastAsia="宋体" w:cs="Times New Roman"/>
          <w:b/>
          <w:color w:val="auto"/>
          <w:sz w:val="24"/>
          <w:szCs w:val="24"/>
          <w:lang w:val="en-US" w:eastAsia="zh-CN"/>
        </w:rPr>
        <w:t>0.0009</w:t>
      </w:r>
      <w:r>
        <w:rPr>
          <w:rFonts w:hint="default" w:ascii="Times New Roman" w:hAnsi="Times New Roman" w:eastAsia="宋体" w:cs="Times New Roman"/>
          <w:b/>
          <w:color w:val="auto"/>
          <w:sz w:val="24"/>
          <w:szCs w:val="24"/>
        </w:rPr>
        <w:t>kg/h</w:t>
      </w:r>
      <w:r>
        <w:rPr>
          <w:rFonts w:hint="eastAsia" w:ascii="Times New Roman" w:hAnsi="Times New Roman" w:eastAsia="宋体" w:cs="Times New Roman"/>
          <w:b/>
          <w:color w:val="auto"/>
          <w:sz w:val="24"/>
          <w:szCs w:val="24"/>
          <w:lang w:eastAsia="zh-CN"/>
        </w:rPr>
        <w:t>，无组织</w:t>
      </w:r>
      <w:r>
        <w:rPr>
          <w:rFonts w:hint="default" w:ascii="Times New Roman" w:hAnsi="Times New Roman" w:eastAsia="宋体" w:cs="Times New Roman"/>
          <w:b/>
          <w:color w:val="auto"/>
          <w:sz w:val="24"/>
          <w:szCs w:val="24"/>
        </w:rPr>
        <w:t>排放量H</w:t>
      </w:r>
      <w:r>
        <w:rPr>
          <w:rFonts w:hint="default" w:ascii="Times New Roman" w:hAnsi="Times New Roman" w:eastAsia="宋体" w:cs="Times New Roman"/>
          <w:b/>
          <w:color w:val="auto"/>
          <w:sz w:val="24"/>
          <w:szCs w:val="24"/>
          <w:vertAlign w:val="subscript"/>
        </w:rPr>
        <w:t>2</w:t>
      </w:r>
      <w:r>
        <w:rPr>
          <w:rFonts w:hint="default" w:ascii="Times New Roman" w:hAnsi="Times New Roman" w:eastAsia="宋体" w:cs="Times New Roman"/>
          <w:b/>
          <w:color w:val="auto"/>
          <w:sz w:val="24"/>
          <w:szCs w:val="24"/>
        </w:rPr>
        <w:t>S约</w:t>
      </w:r>
      <w:r>
        <w:rPr>
          <w:rFonts w:hint="eastAsia" w:ascii="Times New Roman" w:hAnsi="Times New Roman" w:eastAsia="宋体" w:cs="Times New Roman"/>
          <w:b/>
          <w:color w:val="auto"/>
          <w:sz w:val="24"/>
          <w:szCs w:val="24"/>
          <w:lang w:val="en-US" w:eastAsia="zh-CN"/>
        </w:rPr>
        <w:t>0.00005</w:t>
      </w:r>
      <w:r>
        <w:rPr>
          <w:rFonts w:hint="default" w:ascii="Times New Roman" w:hAnsi="Times New Roman" w:eastAsia="宋体" w:cs="Times New Roman"/>
          <w:b/>
          <w:color w:val="auto"/>
          <w:sz w:val="24"/>
          <w:szCs w:val="24"/>
        </w:rPr>
        <w:t>kg/h、NH</w:t>
      </w:r>
      <w:r>
        <w:rPr>
          <w:rFonts w:hint="default" w:ascii="Times New Roman" w:hAnsi="Times New Roman" w:eastAsia="宋体" w:cs="Times New Roman"/>
          <w:b/>
          <w:color w:val="auto"/>
          <w:sz w:val="24"/>
          <w:szCs w:val="24"/>
          <w:vertAlign w:val="subscript"/>
        </w:rPr>
        <w:t>3</w:t>
      </w:r>
      <w:r>
        <w:rPr>
          <w:rFonts w:hint="default" w:ascii="Times New Roman" w:hAnsi="Times New Roman" w:eastAsia="宋体" w:cs="Times New Roman"/>
          <w:b/>
          <w:color w:val="auto"/>
          <w:sz w:val="24"/>
          <w:szCs w:val="24"/>
        </w:rPr>
        <w:t>约</w:t>
      </w:r>
      <w:r>
        <w:rPr>
          <w:rFonts w:hint="eastAsia" w:ascii="Times New Roman" w:hAnsi="Times New Roman" w:eastAsia="宋体" w:cs="Times New Roman"/>
          <w:b/>
          <w:color w:val="auto"/>
          <w:sz w:val="24"/>
          <w:szCs w:val="24"/>
          <w:lang w:val="en-US" w:eastAsia="zh-CN"/>
        </w:rPr>
        <w:t>0.0005</w:t>
      </w:r>
      <w:r>
        <w:rPr>
          <w:rFonts w:hint="default" w:ascii="Times New Roman" w:hAnsi="Times New Roman" w:eastAsia="宋体" w:cs="Times New Roman"/>
          <w:b/>
          <w:color w:val="auto"/>
          <w:sz w:val="24"/>
          <w:szCs w:val="24"/>
        </w:rPr>
        <w:t>kg/h。</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污水处理站恶臭</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根据美国EPA的研究，污水处理厂每处理1gBOD5，可产生0.0031g的氨和0.00012g硫化氢。本项目采用“固液分离+UASB厌氧+絮凝沉淀+两级A/O系统+混凝絮凝沉淀+消毒”处理工艺处理，设计处理规模</w:t>
      </w:r>
      <w:r>
        <w:rPr>
          <w:rFonts w:hint="eastAsia" w:ascii="Times New Roman" w:hAnsi="Times New Roman" w:eastAsia="宋体"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/d，出水水质达到《农田灌溉水质标准》（GB5084-2005）表2中旱作和《畜禽养殖业污染物排放标准》 （GB18596-2001）表5中的水污染物排放标准后用作土地施肥，不外排。</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本项目污水处理设施去除BOD</w:t>
      </w:r>
      <w:r>
        <w:rPr>
          <w:rFonts w:hint="default" w:ascii="Times New Roman" w:hAnsi="Times New Roman" w:eastAsia="宋体" w:cs="Times New Roman"/>
          <w:color w:val="auto"/>
          <w:kern w:val="2"/>
          <w:sz w:val="24"/>
          <w:szCs w:val="24"/>
          <w:vertAlign w:val="subscript"/>
          <w:lang w:val="en-US" w:eastAsia="zh-CN" w:bidi="ar-SA"/>
        </w:rPr>
        <w:t>5</w:t>
      </w:r>
      <w:r>
        <w:rPr>
          <w:rFonts w:hint="default" w:ascii="Times New Roman" w:hAnsi="Times New Roman" w:eastAsia="宋体" w:cs="Times New Roman"/>
          <w:color w:val="auto"/>
          <w:kern w:val="2"/>
          <w:sz w:val="24"/>
          <w:szCs w:val="24"/>
          <w:lang w:val="en-US" w:eastAsia="zh-CN" w:bidi="ar-SA"/>
        </w:rPr>
        <w:t>量约70.88t/a，则氨产生量</w:t>
      </w:r>
      <w:r>
        <w:rPr>
          <w:rFonts w:hint="eastAsia" w:ascii="Times New Roman" w:hAnsi="Times New Roman" w:eastAsia="宋体" w:cs="Times New Roman"/>
          <w:color w:val="auto"/>
          <w:kern w:val="2"/>
          <w:sz w:val="24"/>
          <w:szCs w:val="24"/>
          <w:lang w:val="en-US" w:eastAsia="zh-CN" w:bidi="ar-SA"/>
        </w:rPr>
        <w:t>0.22</w:t>
      </w:r>
      <w:r>
        <w:rPr>
          <w:rFonts w:hint="default" w:ascii="Times New Roman" w:hAnsi="Times New Roman" w:eastAsia="宋体" w:cs="Times New Roman"/>
          <w:color w:val="auto"/>
          <w:kern w:val="2"/>
          <w:sz w:val="24"/>
          <w:szCs w:val="24"/>
          <w:lang w:val="en-US" w:eastAsia="zh-CN" w:bidi="ar-SA"/>
        </w:rPr>
        <w:t>t/a，硫化氢产生量为0.00</w:t>
      </w:r>
      <w:r>
        <w:rPr>
          <w:rFonts w:hint="eastAsia" w:ascii="Times New Roman" w:hAnsi="Times New Roman" w:eastAsia="宋体" w:cs="Times New Roman"/>
          <w:color w:val="auto"/>
          <w:kern w:val="2"/>
          <w:sz w:val="24"/>
          <w:szCs w:val="24"/>
          <w:lang w:val="en-US" w:eastAsia="zh-CN" w:bidi="ar-SA"/>
        </w:rPr>
        <w:t>85</w:t>
      </w:r>
      <w:r>
        <w:rPr>
          <w:rFonts w:hint="default" w:ascii="Times New Roman" w:hAnsi="Times New Roman" w:eastAsia="宋体" w:cs="Times New Roman"/>
          <w:color w:val="auto"/>
          <w:kern w:val="2"/>
          <w:sz w:val="24"/>
          <w:szCs w:val="24"/>
          <w:lang w:val="en-US" w:eastAsia="zh-CN" w:bidi="ar-SA"/>
        </w:rPr>
        <w:t>t/a。</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对污水处理设施恶臭产生较大的部位：预处理阶段、污泥处理区封闭，通过废气处理设施处理达标后通过15m高排气筒排放。收集效率95%，处理效率不低于90%。</w:t>
      </w:r>
      <w:r>
        <w:rPr>
          <w:rFonts w:hint="eastAsia" w:ascii="Times New Roman" w:hAnsi="Times New Roman" w:eastAsia="宋体" w:cs="Times New Roman"/>
          <w:color w:val="auto"/>
          <w:kern w:val="2"/>
          <w:sz w:val="24"/>
          <w:szCs w:val="24"/>
          <w:lang w:val="en-US" w:eastAsia="zh-CN" w:bidi="ar-SA"/>
        </w:rPr>
        <w:t>同时在</w:t>
      </w:r>
      <w:r>
        <w:rPr>
          <w:rFonts w:hint="default" w:ascii="Times New Roman" w:hAnsi="Times New Roman" w:eastAsia="宋体" w:cs="Times New Roman"/>
          <w:color w:val="auto"/>
          <w:kern w:val="2"/>
          <w:sz w:val="24"/>
          <w:szCs w:val="24"/>
          <w:lang w:val="en-US" w:eastAsia="zh-CN" w:bidi="ar-SA"/>
        </w:rPr>
        <w:t>在设施周边或固液分离区喷洒除臭剂</w:t>
      </w:r>
      <w:r>
        <w:rPr>
          <w:rFonts w:hint="eastAsia" w:ascii="Times New Roman" w:hAnsi="Times New Roman" w:eastAsia="宋体" w:cs="Times New Roman"/>
          <w:color w:val="auto"/>
          <w:kern w:val="2"/>
          <w:sz w:val="24"/>
          <w:szCs w:val="24"/>
          <w:lang w:val="en-US" w:eastAsia="zh-CN" w:bidi="ar-SA"/>
        </w:rPr>
        <w:t>。</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经上述处理措施后，本项目恶臭产、排放情况见表3.</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p>
    <w:p>
      <w:pPr>
        <w:pStyle w:val="2503"/>
        <w:numPr>
          <w:ilvl w:val="0"/>
          <w:numId w:val="19"/>
        </w:numPr>
        <w:spacing w:before="120" w:line="360" w:lineRule="auto"/>
        <w:ind w:left="0" w:leftChars="0" w:firstLine="403" w:firstLineChars="0"/>
        <w:rPr>
          <w:rFonts w:hint="default" w:ascii="Times New Roman" w:hAnsi="Times New Roman" w:cs="Times New Roman"/>
          <w:color w:val="auto"/>
        </w:rPr>
      </w:pPr>
      <w:r>
        <w:rPr>
          <w:rFonts w:hint="default" w:ascii="Times New Roman" w:hAnsi="Times New Roman" w:cs="Times New Roman"/>
          <w:color w:val="auto"/>
        </w:rPr>
        <w:t xml:space="preserve">   污水处理站恶臭气体产生量一览表</w:t>
      </w:r>
    </w:p>
    <w:tbl>
      <w:tblPr>
        <w:tblStyle w:val="88"/>
        <w:tblW w:w="4996" w:type="pct"/>
        <w:jc w:val="center"/>
        <w:tblLayout w:type="autofit"/>
        <w:tblCellMar>
          <w:top w:w="0" w:type="dxa"/>
          <w:left w:w="0" w:type="dxa"/>
          <w:bottom w:w="0" w:type="dxa"/>
          <w:right w:w="0" w:type="dxa"/>
        </w:tblCellMar>
      </w:tblPr>
      <w:tblGrid>
        <w:gridCol w:w="811"/>
        <w:gridCol w:w="758"/>
        <w:gridCol w:w="1072"/>
        <w:gridCol w:w="1072"/>
        <w:gridCol w:w="691"/>
        <w:gridCol w:w="663"/>
        <w:gridCol w:w="741"/>
        <w:gridCol w:w="1013"/>
        <w:gridCol w:w="739"/>
        <w:gridCol w:w="739"/>
      </w:tblGrid>
      <w:tr>
        <w:tblPrEx>
          <w:tblCellMar>
            <w:top w:w="0" w:type="dxa"/>
            <w:left w:w="0" w:type="dxa"/>
            <w:bottom w:w="0" w:type="dxa"/>
            <w:right w:w="0" w:type="dxa"/>
          </w:tblCellMar>
        </w:tblPrEx>
        <w:trPr>
          <w:jc w:val="center"/>
        </w:trPr>
        <w:tc>
          <w:tcPr>
            <w:tcW w:w="488" w:type="pct"/>
            <w:tcBorders>
              <w:top w:val="single" w:color="auto" w:sz="12" w:space="0"/>
              <w:left w:val="nil"/>
              <w:bottom w:val="single" w:color="000000" w:sz="4" w:space="0"/>
              <w:right w:val="single" w:color="000000" w:sz="4" w:space="0"/>
            </w:tcBorders>
            <w:noWrap w:val="0"/>
            <w:vAlign w:val="center"/>
          </w:tcPr>
          <w:p>
            <w:pPr>
              <w:pStyle w:val="163"/>
              <w:keepNext w:val="0"/>
              <w:keepLines w:val="0"/>
              <w:suppressLineNumbers w:val="0"/>
              <w:kinsoku w:val="0"/>
              <w:overflowPunct w:val="0"/>
              <w:spacing w:before="109"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污染源位置</w:t>
            </w:r>
          </w:p>
        </w:tc>
        <w:tc>
          <w:tcPr>
            <w:tcW w:w="456"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109"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污染物名称</w:t>
            </w:r>
          </w:p>
        </w:tc>
        <w:tc>
          <w:tcPr>
            <w:tcW w:w="645"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109" w:beforeAutospacing="0" w:after="0" w:afterAutospacing="0" w:line="360" w:lineRule="auto"/>
              <w:ind w:left="0" w:right="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排气量m3/h</w:t>
            </w:r>
          </w:p>
        </w:tc>
        <w:tc>
          <w:tcPr>
            <w:tcW w:w="645"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bCs/>
                <w:color w:val="auto"/>
                <w:sz w:val="21"/>
                <w:szCs w:val="21"/>
                <w:lang w:eastAsia="zh-CN"/>
              </w:rPr>
              <w:t>产生</w:t>
            </w:r>
            <w:r>
              <w:rPr>
                <w:rFonts w:hint="default" w:ascii="Times New Roman" w:hAnsi="Times New Roman" w:eastAsia="宋体" w:cs="Times New Roman"/>
                <w:b/>
                <w:bCs/>
                <w:color w:val="auto"/>
                <w:sz w:val="21"/>
                <w:szCs w:val="21"/>
              </w:rPr>
              <w:t>强度</w:t>
            </w:r>
            <w:r>
              <w:rPr>
                <w:rFonts w:hint="eastAsia" w:ascii="Times New Roman" w:hAnsi="Times New Roman" w:eastAsia="宋体" w:cs="Times New Roman"/>
                <w:b/>
                <w:bCs/>
                <w:color w:val="auto"/>
                <w:sz w:val="21"/>
                <w:szCs w:val="21"/>
                <w:lang w:val="en-US" w:eastAsia="zh-CN"/>
              </w:rPr>
              <w:t>kg/h</w:t>
            </w:r>
          </w:p>
        </w:tc>
        <w:tc>
          <w:tcPr>
            <w:tcW w:w="416"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产生量</w:t>
            </w:r>
          </w:p>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（t/a）</w:t>
            </w:r>
          </w:p>
        </w:tc>
        <w:tc>
          <w:tcPr>
            <w:tcW w:w="399"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109" w:beforeAutospacing="0" w:after="0" w:afterAutospacing="0" w:line="360" w:lineRule="auto"/>
              <w:ind w:left="0" w:right="0"/>
              <w:jc w:val="center"/>
              <w:rPr>
                <w:rFonts w:hint="eastAsia" w:ascii="Times New Roman" w:hAnsi="Times New Roman" w:eastAsia="宋体" w:cs="Times New Roman"/>
                <w:b/>
                <w:color w:val="auto"/>
                <w:sz w:val="21"/>
                <w:szCs w:val="21"/>
                <w:lang w:eastAsia="zh-CN"/>
              </w:rPr>
            </w:pPr>
            <w:r>
              <w:rPr>
                <w:rFonts w:hint="eastAsia" w:ascii="Times New Roman" w:hAnsi="Times New Roman" w:cs="Times New Roman"/>
                <w:b/>
                <w:color w:val="auto"/>
                <w:sz w:val="21"/>
                <w:szCs w:val="21"/>
                <w:lang w:eastAsia="zh-CN"/>
              </w:rPr>
              <w:t>收集效率</w:t>
            </w:r>
          </w:p>
        </w:tc>
        <w:tc>
          <w:tcPr>
            <w:tcW w:w="446" w:type="pct"/>
            <w:tcBorders>
              <w:top w:val="single" w:color="auto" w:sz="12" w:space="0"/>
              <w:left w:val="single" w:color="000000" w:sz="4" w:space="0"/>
              <w:bottom w:val="single" w:color="000000" w:sz="4" w:space="0"/>
              <w:right w:val="nil"/>
            </w:tcBorders>
            <w:noWrap w:val="0"/>
            <w:vAlign w:val="center"/>
          </w:tcPr>
          <w:p>
            <w:pPr>
              <w:pStyle w:val="163"/>
              <w:keepNext w:val="0"/>
              <w:keepLines w:val="0"/>
              <w:suppressLineNumbers w:val="0"/>
              <w:kinsoku w:val="0"/>
              <w:overflowPunct w:val="0"/>
              <w:spacing w:before="109" w:beforeAutospacing="0" w:after="0" w:afterAutospacing="0" w:line="360" w:lineRule="auto"/>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去除效率</w:t>
            </w:r>
          </w:p>
        </w:tc>
        <w:tc>
          <w:tcPr>
            <w:tcW w:w="610" w:type="pct"/>
            <w:tcBorders>
              <w:top w:val="single" w:color="auto" w:sz="12" w:space="0"/>
              <w:left w:val="single" w:color="000000" w:sz="4" w:space="0"/>
              <w:bottom w:val="single" w:color="000000" w:sz="4" w:space="0"/>
              <w:right w:val="nil"/>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排放浓度</w:t>
            </w:r>
          </w:p>
          <w:p>
            <w:pPr>
              <w:pStyle w:val="163"/>
              <w:keepNext w:val="0"/>
              <w:keepLines w:val="0"/>
              <w:suppressLineNumbers w:val="0"/>
              <w:kinsoku w:val="0"/>
              <w:overflowPunct w:val="0"/>
              <w:spacing w:before="0" w:beforeAutospacing="0" w:after="0" w:afterAutospacing="0" w:line="360" w:lineRule="auto"/>
              <w:ind w:left="0" w:right="0"/>
              <w:jc w:val="center"/>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（mg/m</w:t>
            </w:r>
            <w:r>
              <w:rPr>
                <w:rFonts w:hint="eastAsia" w:ascii="Times New Roman" w:hAnsi="Times New Roman" w:cs="Times New Roman"/>
                <w:b/>
                <w:bCs/>
                <w:color w:val="auto"/>
                <w:sz w:val="21"/>
                <w:szCs w:val="21"/>
                <w:vertAlign w:val="superscript"/>
                <w:lang w:eastAsia="zh-CN"/>
              </w:rPr>
              <w:t>3</w:t>
            </w:r>
            <w:r>
              <w:rPr>
                <w:rFonts w:hint="eastAsia" w:ascii="Times New Roman" w:hAnsi="Times New Roman" w:cs="Times New Roman"/>
                <w:b/>
                <w:bCs/>
                <w:color w:val="auto"/>
                <w:sz w:val="21"/>
                <w:szCs w:val="21"/>
                <w:lang w:eastAsia="zh-CN"/>
              </w:rPr>
              <w:t>）</w:t>
            </w:r>
          </w:p>
        </w:tc>
        <w:tc>
          <w:tcPr>
            <w:tcW w:w="445" w:type="pct"/>
            <w:tcBorders>
              <w:top w:val="single" w:color="auto" w:sz="12" w:space="0"/>
              <w:left w:val="single" w:color="000000" w:sz="4" w:space="0"/>
              <w:bottom w:val="single" w:color="000000" w:sz="4" w:space="0"/>
              <w:right w:val="nil"/>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eastAsia" w:ascii="Times New Roman" w:hAnsi="Times New Roman" w:cs="Times New Roman"/>
                <w:b/>
                <w:bCs/>
                <w:color w:val="auto"/>
                <w:sz w:val="21"/>
                <w:szCs w:val="21"/>
                <w:lang w:eastAsia="zh-CN"/>
              </w:rPr>
            </w:pPr>
            <w:r>
              <w:rPr>
                <w:rFonts w:hint="default" w:ascii="Times New Roman" w:hAnsi="Times New Roman" w:eastAsia="宋体" w:cs="Times New Roman"/>
                <w:b/>
                <w:bCs/>
                <w:color w:val="auto"/>
                <w:sz w:val="21"/>
                <w:szCs w:val="21"/>
              </w:rPr>
              <w:t>排放</w:t>
            </w:r>
            <w:r>
              <w:rPr>
                <w:rFonts w:hint="eastAsia" w:ascii="Times New Roman" w:hAnsi="Times New Roman" w:eastAsia="宋体" w:cs="Times New Roman"/>
                <w:b/>
                <w:bCs/>
                <w:color w:val="auto"/>
                <w:sz w:val="21"/>
                <w:szCs w:val="21"/>
                <w:lang w:eastAsia="zh-CN"/>
              </w:rPr>
              <w:t>速率</w:t>
            </w:r>
            <w:r>
              <w:rPr>
                <w:rFonts w:hint="eastAsia" w:ascii="Times New Roman" w:hAnsi="Times New Roman" w:eastAsia="宋体" w:cs="Times New Roman"/>
                <w:b/>
                <w:bCs/>
                <w:color w:val="auto"/>
                <w:sz w:val="21"/>
                <w:szCs w:val="21"/>
                <w:lang w:val="en-US" w:eastAsia="zh-CN"/>
              </w:rPr>
              <w:t>kg/h</w:t>
            </w:r>
          </w:p>
        </w:tc>
        <w:tc>
          <w:tcPr>
            <w:tcW w:w="445" w:type="pct"/>
            <w:tcBorders>
              <w:top w:val="single" w:color="auto" w:sz="12" w:space="0"/>
              <w:left w:val="single" w:color="000000" w:sz="4" w:space="0"/>
              <w:bottom w:val="single" w:color="000000" w:sz="4" w:space="0"/>
              <w:right w:val="nil"/>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年排放量</w:t>
            </w:r>
          </w:p>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（t/a）</w:t>
            </w:r>
          </w:p>
        </w:tc>
      </w:tr>
      <w:tr>
        <w:tblPrEx>
          <w:tblCellMar>
            <w:top w:w="0" w:type="dxa"/>
            <w:left w:w="0" w:type="dxa"/>
            <w:bottom w:w="0" w:type="dxa"/>
            <w:right w:w="0" w:type="dxa"/>
          </w:tblCellMar>
        </w:tblPrEx>
        <w:trPr>
          <w:jc w:val="center"/>
        </w:trPr>
        <w:tc>
          <w:tcPr>
            <w:tcW w:w="488" w:type="pct"/>
            <w:vMerge w:val="restart"/>
            <w:tcBorders>
              <w:top w:val="single" w:color="000000" w:sz="4" w:space="0"/>
              <w:left w:val="nil"/>
              <w:bottom w:val="single" w:color="000000" w:sz="10"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污水处理站</w:t>
            </w:r>
          </w:p>
        </w:tc>
        <w:tc>
          <w:tcPr>
            <w:tcW w:w="456"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44"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NH</w:t>
            </w:r>
            <w:r>
              <w:rPr>
                <w:rFonts w:hint="default" w:ascii="Times New Roman" w:hAnsi="Times New Roman" w:eastAsia="宋体" w:cs="Times New Roman"/>
                <w:color w:val="auto"/>
                <w:sz w:val="21"/>
                <w:szCs w:val="21"/>
                <w:vertAlign w:val="subscript"/>
              </w:rPr>
              <w:t>3</w:t>
            </w:r>
          </w:p>
        </w:tc>
        <w:tc>
          <w:tcPr>
            <w:tcW w:w="645" w:type="pct"/>
            <w:vMerge w:val="restart"/>
            <w:tcBorders>
              <w:top w:val="single" w:color="000000" w:sz="4" w:space="0"/>
              <w:left w:val="single" w:color="000000" w:sz="4" w:space="0"/>
              <w:right w:val="single" w:color="000000" w:sz="4" w:space="0"/>
            </w:tcBorders>
            <w:noWrap w:val="0"/>
            <w:vAlign w:val="center"/>
          </w:tcPr>
          <w:p>
            <w:pPr>
              <w:pStyle w:val="163"/>
              <w:keepNext w:val="0"/>
              <w:keepLines w:val="0"/>
              <w:suppressLineNumbers w:val="0"/>
              <w:kinsoku w:val="0"/>
              <w:overflowPunct w:val="0"/>
              <w:spacing w:before="44" w:beforeAutospacing="0" w:after="0" w:afterAutospacing="0" w:line="360" w:lineRule="auto"/>
              <w:ind w:left="0" w:right="0"/>
              <w:jc w:val="center"/>
              <w:rPr>
                <w:rFonts w:hint="default" w:ascii="Times New Roman" w:hAnsi="Times New Roman" w:eastAsia="宋体" w:cs="Times New Roman"/>
                <w:color w:val="auto"/>
                <w:position w:val="2"/>
                <w:sz w:val="21"/>
                <w:szCs w:val="21"/>
                <w:lang w:val="en-US" w:eastAsia="zh-CN"/>
              </w:rPr>
            </w:pPr>
            <w:r>
              <w:rPr>
                <w:rFonts w:hint="default" w:ascii="Times New Roman" w:hAnsi="Times New Roman" w:eastAsia="宋体" w:cs="Times New Roman"/>
                <w:color w:val="auto"/>
                <w:position w:val="2"/>
                <w:sz w:val="21"/>
                <w:szCs w:val="21"/>
                <w:lang w:val="en-US" w:eastAsia="zh-CN"/>
              </w:rPr>
              <w:t>5000</w:t>
            </w:r>
          </w:p>
        </w:tc>
        <w:tc>
          <w:tcPr>
            <w:tcW w:w="645"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48"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0.22</w:t>
            </w:r>
          </w:p>
        </w:tc>
        <w:tc>
          <w:tcPr>
            <w:tcW w:w="399" w:type="pct"/>
            <w:vMerge w:val="restart"/>
            <w:tcBorders>
              <w:top w:val="single" w:color="000000" w:sz="4" w:space="0"/>
              <w:left w:val="single" w:color="000000" w:sz="4" w:space="0"/>
              <w:bottom w:val="single" w:color="000000" w:sz="10"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95%</w:t>
            </w:r>
          </w:p>
        </w:tc>
        <w:tc>
          <w:tcPr>
            <w:tcW w:w="446" w:type="pct"/>
            <w:vMerge w:val="restart"/>
            <w:tcBorders>
              <w:top w:val="single" w:color="000000" w:sz="4" w:space="0"/>
              <w:left w:val="single" w:color="000000" w:sz="4" w:space="0"/>
              <w:right w:val="nil"/>
            </w:tcBorders>
            <w:noWrap w:val="0"/>
            <w:vAlign w:val="center"/>
          </w:tcPr>
          <w:p>
            <w:pPr>
              <w:pStyle w:val="163"/>
              <w:keepNext w:val="0"/>
              <w:keepLines w:val="0"/>
              <w:suppressLineNumbers w:val="0"/>
              <w:kinsoku w:val="0"/>
              <w:overflowPunct w:val="0"/>
              <w:spacing w:before="0" w:beforeAutospacing="0" w:after="0" w:afterAutospacing="0" w:line="36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w:t>
            </w:r>
          </w:p>
        </w:tc>
        <w:tc>
          <w:tcPr>
            <w:tcW w:w="1013"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0.477169</w:t>
            </w:r>
          </w:p>
        </w:tc>
        <w:tc>
          <w:tcPr>
            <w:tcW w:w="445"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0.0002</w:t>
            </w:r>
          </w:p>
        </w:tc>
        <w:tc>
          <w:tcPr>
            <w:tcW w:w="739"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0.0209</w:t>
            </w:r>
          </w:p>
        </w:tc>
      </w:tr>
      <w:tr>
        <w:tblPrEx>
          <w:tblCellMar>
            <w:top w:w="0" w:type="dxa"/>
            <w:left w:w="0" w:type="dxa"/>
            <w:bottom w:w="0" w:type="dxa"/>
            <w:right w:w="0" w:type="dxa"/>
          </w:tblCellMar>
        </w:tblPrEx>
        <w:trPr>
          <w:jc w:val="center"/>
        </w:trPr>
        <w:tc>
          <w:tcPr>
            <w:tcW w:w="488" w:type="pct"/>
            <w:vMerge w:val="continue"/>
            <w:tcBorders>
              <w:top w:val="single" w:color="000000" w:sz="4" w:space="0"/>
              <w:left w:val="nil"/>
              <w:bottom w:val="single" w:color="auto" w:sz="12" w:space="0"/>
              <w:right w:val="single" w:color="000000" w:sz="4" w:space="0"/>
            </w:tcBorders>
            <w:noWrap w:val="0"/>
            <w:vAlign w:val="center"/>
          </w:tcPr>
          <w:p>
            <w:pPr>
              <w:pStyle w:val="163"/>
              <w:keepNext w:val="0"/>
              <w:keepLines w:val="0"/>
              <w:suppressLineNumbers w:val="0"/>
              <w:kinsoku w:val="0"/>
              <w:overflowPunct w:val="0"/>
              <w:spacing w:before="48" w:beforeAutospacing="0" w:after="0" w:afterAutospacing="0" w:line="360" w:lineRule="auto"/>
              <w:ind w:left="380" w:right="0" w:firstLine="480"/>
              <w:jc w:val="center"/>
              <w:rPr>
                <w:rFonts w:hint="default" w:ascii="Times New Roman" w:hAnsi="Times New Roman" w:eastAsia="宋体" w:cs="Times New Roman"/>
                <w:color w:val="auto"/>
                <w:sz w:val="21"/>
                <w:szCs w:val="21"/>
              </w:rPr>
            </w:pPr>
          </w:p>
        </w:tc>
        <w:tc>
          <w:tcPr>
            <w:tcW w:w="456" w:type="pct"/>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45" w:beforeAutospacing="0" w:after="0" w:afterAutospacing="0" w:line="36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position w:val="2"/>
                <w:sz w:val="21"/>
                <w:szCs w:val="21"/>
              </w:rPr>
              <w:t>S</w:t>
            </w:r>
          </w:p>
        </w:tc>
        <w:tc>
          <w:tcPr>
            <w:tcW w:w="645" w:type="pct"/>
            <w:vMerge w:val="continue"/>
            <w:tcBorders>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45" w:beforeAutospacing="0" w:after="0" w:afterAutospacing="0" w:line="360" w:lineRule="auto"/>
              <w:ind w:left="0" w:right="0"/>
              <w:jc w:val="center"/>
              <w:rPr>
                <w:rFonts w:hint="default" w:ascii="Times New Roman" w:hAnsi="Times New Roman" w:eastAsia="宋体" w:cs="Times New Roman"/>
                <w:color w:val="auto"/>
                <w:position w:val="2"/>
                <w:sz w:val="21"/>
                <w:szCs w:val="21"/>
              </w:rPr>
            </w:pPr>
          </w:p>
        </w:tc>
        <w:tc>
          <w:tcPr>
            <w:tcW w:w="645" w:type="pct"/>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48"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01</w:t>
            </w:r>
          </w:p>
        </w:tc>
        <w:tc>
          <w:tcPr>
            <w:tcW w:w="416"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0.0085</w:t>
            </w:r>
          </w:p>
        </w:tc>
        <w:tc>
          <w:tcPr>
            <w:tcW w:w="399" w:type="pct"/>
            <w:vMerge w:val="continue"/>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rPr>
            </w:pPr>
          </w:p>
        </w:tc>
        <w:tc>
          <w:tcPr>
            <w:tcW w:w="446" w:type="pct"/>
            <w:vMerge w:val="continue"/>
            <w:tcBorders>
              <w:left w:val="single" w:color="000000" w:sz="4" w:space="0"/>
              <w:bottom w:val="single" w:color="auto" w:sz="12" w:space="0"/>
              <w:right w:val="nil"/>
            </w:tcBorders>
            <w:noWrap w:val="0"/>
            <w:vAlign w:val="center"/>
          </w:tcPr>
          <w:p>
            <w:pPr>
              <w:pStyle w:val="163"/>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rPr>
            </w:pPr>
          </w:p>
        </w:tc>
        <w:tc>
          <w:tcPr>
            <w:tcW w:w="1013" w:type="dxa"/>
            <w:tcBorders>
              <w:top w:val="single" w:color="000000" w:sz="4"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0.018436</w:t>
            </w:r>
          </w:p>
        </w:tc>
        <w:tc>
          <w:tcPr>
            <w:tcW w:w="445" w:type="pct"/>
            <w:tcBorders>
              <w:top w:val="single" w:color="000000" w:sz="4"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0.0001</w:t>
            </w:r>
          </w:p>
        </w:tc>
        <w:tc>
          <w:tcPr>
            <w:tcW w:w="739" w:type="dxa"/>
            <w:tcBorders>
              <w:top w:val="single" w:color="000000" w:sz="4"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0.0008</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color w:val="auto"/>
          <w:sz w:val="24"/>
          <w:szCs w:val="24"/>
        </w:rPr>
        <w:t>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对污水处理设施恶臭产生较大的部位：预处理阶段、污泥处理区封闭，通过废气处理设施处理达标后通过15m高排气筒</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排放。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同时通过在污水处理设备密四周安装喷雾喷头喷洒植物型除臭剂，雾珠与风机排出的废气接触，吸收了空气中的粉尘及部分恶臭气体，可有效减少恶臭排放。</w:t>
      </w:r>
    </w:p>
    <w:p>
      <w:pPr>
        <w:spacing w:line="360" w:lineRule="auto"/>
        <w:ind w:firstLine="482"/>
        <w:rPr>
          <w:rFonts w:hint="default"/>
          <w:color w:val="auto"/>
          <w:lang w:val="en-US" w:eastAsia="zh-CN"/>
        </w:rPr>
      </w:pPr>
      <w:r>
        <w:rPr>
          <w:rFonts w:hint="default" w:ascii="Times New Roman" w:hAnsi="Times New Roman" w:eastAsia="宋体" w:cs="Times New Roman"/>
          <w:b/>
          <w:color w:val="auto"/>
          <w:sz w:val="24"/>
          <w:szCs w:val="24"/>
        </w:rPr>
        <w:t>采取上述措施后，本项目运营期间</w:t>
      </w:r>
      <w:r>
        <w:rPr>
          <w:rFonts w:hint="eastAsia" w:ascii="Times New Roman" w:hAnsi="Times New Roman" w:eastAsia="宋体" w:cs="Times New Roman"/>
          <w:b/>
          <w:color w:val="auto"/>
          <w:sz w:val="24"/>
          <w:szCs w:val="24"/>
          <w:lang w:eastAsia="zh-CN"/>
        </w:rPr>
        <w:t>污水处理站</w:t>
      </w:r>
      <w:r>
        <w:rPr>
          <w:rFonts w:hint="default" w:ascii="Times New Roman" w:hAnsi="Times New Roman" w:eastAsia="宋体" w:cs="Times New Roman"/>
          <w:b/>
          <w:color w:val="auto"/>
          <w:sz w:val="24"/>
          <w:szCs w:val="24"/>
        </w:rPr>
        <w:t>污染物</w:t>
      </w:r>
      <w:r>
        <w:rPr>
          <w:rFonts w:hint="eastAsia" w:ascii="Times New Roman" w:hAnsi="Times New Roman" w:eastAsia="宋体" w:cs="Times New Roman"/>
          <w:b/>
          <w:color w:val="auto"/>
          <w:sz w:val="24"/>
          <w:szCs w:val="24"/>
          <w:lang w:eastAsia="zh-CN"/>
        </w:rPr>
        <w:t>有组织</w:t>
      </w:r>
      <w:r>
        <w:rPr>
          <w:rFonts w:hint="default" w:ascii="Times New Roman" w:hAnsi="Times New Roman" w:eastAsia="宋体" w:cs="Times New Roman"/>
          <w:b/>
          <w:color w:val="auto"/>
          <w:sz w:val="24"/>
          <w:szCs w:val="24"/>
        </w:rPr>
        <w:t>排放量H</w:t>
      </w:r>
      <w:r>
        <w:rPr>
          <w:rFonts w:hint="default" w:ascii="Times New Roman" w:hAnsi="Times New Roman" w:eastAsia="宋体" w:cs="Times New Roman"/>
          <w:b/>
          <w:color w:val="auto"/>
          <w:sz w:val="24"/>
          <w:szCs w:val="24"/>
          <w:vertAlign w:val="subscript"/>
        </w:rPr>
        <w:t>2</w:t>
      </w:r>
      <w:r>
        <w:rPr>
          <w:rFonts w:hint="default" w:ascii="Times New Roman" w:hAnsi="Times New Roman" w:eastAsia="宋体" w:cs="Times New Roman"/>
          <w:b/>
          <w:color w:val="auto"/>
          <w:sz w:val="24"/>
          <w:szCs w:val="24"/>
        </w:rPr>
        <w:t>S约</w:t>
      </w:r>
      <w:r>
        <w:rPr>
          <w:rFonts w:hint="eastAsia" w:ascii="Times New Roman" w:hAnsi="Times New Roman" w:eastAsia="宋体" w:cs="Times New Roman"/>
          <w:b/>
          <w:color w:val="auto"/>
          <w:sz w:val="24"/>
          <w:szCs w:val="24"/>
          <w:lang w:val="en-US" w:eastAsia="zh-CN"/>
        </w:rPr>
        <w:t>0.0001</w:t>
      </w:r>
      <w:r>
        <w:rPr>
          <w:rFonts w:hint="default" w:ascii="Times New Roman" w:hAnsi="Times New Roman" w:eastAsia="宋体" w:cs="Times New Roman"/>
          <w:b/>
          <w:color w:val="auto"/>
          <w:sz w:val="24"/>
          <w:szCs w:val="24"/>
        </w:rPr>
        <w:t>kg/h、NH</w:t>
      </w:r>
      <w:r>
        <w:rPr>
          <w:rFonts w:hint="default" w:ascii="Times New Roman" w:hAnsi="Times New Roman" w:eastAsia="宋体" w:cs="Times New Roman"/>
          <w:b/>
          <w:color w:val="auto"/>
          <w:sz w:val="24"/>
          <w:szCs w:val="24"/>
          <w:vertAlign w:val="subscript"/>
        </w:rPr>
        <w:t>3</w:t>
      </w:r>
      <w:r>
        <w:rPr>
          <w:rFonts w:hint="default" w:ascii="Times New Roman" w:hAnsi="Times New Roman" w:eastAsia="宋体" w:cs="Times New Roman"/>
          <w:b/>
          <w:color w:val="auto"/>
          <w:sz w:val="24"/>
          <w:szCs w:val="24"/>
        </w:rPr>
        <w:t>约</w:t>
      </w:r>
      <w:r>
        <w:rPr>
          <w:rFonts w:hint="eastAsia" w:ascii="Times New Roman" w:hAnsi="Times New Roman" w:eastAsia="宋体" w:cs="Times New Roman"/>
          <w:b/>
          <w:color w:val="auto"/>
          <w:sz w:val="24"/>
          <w:szCs w:val="24"/>
          <w:lang w:val="en-US" w:eastAsia="zh-CN"/>
        </w:rPr>
        <w:t>0.0002</w:t>
      </w:r>
      <w:r>
        <w:rPr>
          <w:rFonts w:hint="default" w:ascii="Times New Roman" w:hAnsi="Times New Roman" w:eastAsia="宋体" w:cs="Times New Roman"/>
          <w:b/>
          <w:color w:val="auto"/>
          <w:sz w:val="24"/>
          <w:szCs w:val="24"/>
        </w:rPr>
        <w:t>kg/h</w:t>
      </w:r>
      <w:r>
        <w:rPr>
          <w:rFonts w:hint="eastAsia" w:ascii="Times New Roman" w:hAnsi="Times New Roman" w:eastAsia="宋体" w:cs="Times New Roman"/>
          <w:b/>
          <w:color w:val="auto"/>
          <w:sz w:val="24"/>
          <w:szCs w:val="24"/>
          <w:lang w:eastAsia="zh-CN"/>
        </w:rPr>
        <w:t>，无组织</w:t>
      </w:r>
      <w:r>
        <w:rPr>
          <w:rFonts w:hint="default" w:ascii="Times New Roman" w:hAnsi="Times New Roman" w:eastAsia="宋体" w:cs="Times New Roman"/>
          <w:b/>
          <w:color w:val="auto"/>
          <w:sz w:val="24"/>
          <w:szCs w:val="24"/>
        </w:rPr>
        <w:t>排放量H</w:t>
      </w:r>
      <w:r>
        <w:rPr>
          <w:rFonts w:hint="default" w:ascii="Times New Roman" w:hAnsi="Times New Roman" w:eastAsia="宋体" w:cs="Times New Roman"/>
          <w:b/>
          <w:color w:val="auto"/>
          <w:sz w:val="24"/>
          <w:szCs w:val="24"/>
          <w:vertAlign w:val="subscript"/>
        </w:rPr>
        <w:t>2</w:t>
      </w:r>
      <w:r>
        <w:rPr>
          <w:rFonts w:hint="default" w:ascii="Times New Roman" w:hAnsi="Times New Roman" w:eastAsia="宋体" w:cs="Times New Roman"/>
          <w:b/>
          <w:color w:val="auto"/>
          <w:sz w:val="24"/>
          <w:szCs w:val="24"/>
        </w:rPr>
        <w:t>S约</w:t>
      </w:r>
      <w:r>
        <w:rPr>
          <w:rFonts w:hint="eastAsia" w:ascii="Times New Roman" w:hAnsi="Times New Roman" w:eastAsia="宋体" w:cs="Times New Roman"/>
          <w:b/>
          <w:color w:val="auto"/>
          <w:sz w:val="24"/>
          <w:szCs w:val="24"/>
          <w:lang w:val="en-US" w:eastAsia="zh-CN"/>
        </w:rPr>
        <w:t>0.00005</w:t>
      </w:r>
      <w:r>
        <w:rPr>
          <w:rFonts w:hint="default" w:ascii="Times New Roman" w:hAnsi="Times New Roman" w:eastAsia="宋体" w:cs="Times New Roman"/>
          <w:b/>
          <w:color w:val="auto"/>
          <w:sz w:val="24"/>
          <w:szCs w:val="24"/>
        </w:rPr>
        <w:t>kg/h、NH</w:t>
      </w:r>
      <w:r>
        <w:rPr>
          <w:rFonts w:hint="default" w:ascii="Times New Roman" w:hAnsi="Times New Roman" w:eastAsia="宋体" w:cs="Times New Roman"/>
          <w:b/>
          <w:color w:val="auto"/>
          <w:sz w:val="24"/>
          <w:szCs w:val="24"/>
          <w:vertAlign w:val="subscript"/>
        </w:rPr>
        <w:t>3</w:t>
      </w:r>
      <w:r>
        <w:rPr>
          <w:rFonts w:hint="default" w:ascii="Times New Roman" w:hAnsi="Times New Roman" w:eastAsia="宋体" w:cs="Times New Roman"/>
          <w:b/>
          <w:color w:val="auto"/>
          <w:sz w:val="24"/>
          <w:szCs w:val="24"/>
        </w:rPr>
        <w:t>约</w:t>
      </w:r>
      <w:r>
        <w:rPr>
          <w:rFonts w:hint="eastAsia" w:ascii="Times New Roman" w:hAnsi="Times New Roman" w:eastAsia="宋体" w:cs="Times New Roman"/>
          <w:b/>
          <w:color w:val="auto"/>
          <w:sz w:val="24"/>
          <w:szCs w:val="24"/>
          <w:lang w:val="en-US" w:eastAsia="zh-CN"/>
        </w:rPr>
        <w:t>0.00125</w:t>
      </w:r>
      <w:r>
        <w:rPr>
          <w:rFonts w:hint="default" w:ascii="Times New Roman" w:hAnsi="Times New Roman" w:eastAsia="宋体" w:cs="Times New Roman"/>
          <w:b/>
          <w:color w:val="auto"/>
          <w:sz w:val="24"/>
          <w:szCs w:val="24"/>
        </w:rPr>
        <w:t>kg/h。</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病死猪处理车间废气</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本项目无害化降解处理机处理病死猪时，该处理机会产生废气（主要为恶臭</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气体），该废气经自带净化装置处理后外排</w:t>
      </w:r>
      <w:r>
        <w:rPr>
          <w:rFonts w:hint="eastAsia" w:ascii="Times New Roman" w:hAnsi="Times New Roman" w:eastAsia="宋体" w:cs="Times New Roman"/>
          <w:color w:val="auto"/>
          <w:kern w:val="2"/>
          <w:sz w:val="24"/>
          <w:szCs w:val="24"/>
          <w:lang w:val="en-US" w:eastAsia="zh-CN" w:bidi="ar-SA"/>
        </w:rPr>
        <w:t>（无组织，排气筒高度为8m）</w:t>
      </w:r>
      <w:r>
        <w:rPr>
          <w:rFonts w:hint="default" w:ascii="Times New Roman" w:hAnsi="Times New Roman" w:eastAsia="宋体" w:cs="Times New Roman"/>
          <w:color w:val="auto"/>
          <w:kern w:val="2"/>
          <w:sz w:val="24"/>
          <w:szCs w:val="24"/>
          <w:lang w:val="en-US" w:eastAsia="zh-CN" w:bidi="ar-SA"/>
        </w:rPr>
        <w:t>，同时无害化降解处理机几乎密闭环境下，完成破碎、加热、搅拌、发酵和烘干工序。根据中国广州分析测试中心对该专利产品废气排放口及其下风向5m监测报告数据可知，该专利产品无组织排放的废气在下风向5m就能够达标排放。</w:t>
      </w:r>
      <w:r>
        <w:rPr>
          <w:color w:val="auto"/>
        </w:rPr>
        <w:t>本项目</w:t>
      </w:r>
      <w:r>
        <w:rPr>
          <w:rFonts w:hint="eastAsia"/>
          <w:color w:val="auto"/>
          <w:lang w:eastAsia="zh-CN"/>
        </w:rPr>
        <w:t>单次</w:t>
      </w:r>
      <w:r>
        <w:rPr>
          <w:color w:val="auto"/>
        </w:rPr>
        <w:t>处理规模小，且属间歇性排，其恶臭排放量较小，本次评价不做定量分析。</w:t>
      </w:r>
    </w:p>
    <w:p>
      <w:pPr>
        <w:pStyle w:val="2503"/>
        <w:numPr>
          <w:ilvl w:val="0"/>
          <w:numId w:val="19"/>
        </w:numPr>
        <w:spacing w:before="120" w:line="360" w:lineRule="auto"/>
        <w:ind w:left="0" w:leftChars="0" w:firstLine="403" w:firstLineChars="0"/>
        <w:rPr>
          <w:rFonts w:hint="default" w:ascii="Times New Roman" w:hAnsi="Times New Roman" w:cs="Times New Roman"/>
          <w:color w:val="auto"/>
        </w:rPr>
      </w:pP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无害化降解处理机废气监测结果 单位：mg/m³</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961"/>
        <w:gridCol w:w="628"/>
        <w:gridCol w:w="740"/>
        <w:gridCol w:w="612"/>
        <w:gridCol w:w="529"/>
        <w:gridCol w:w="584"/>
        <w:gridCol w:w="689"/>
        <w:gridCol w:w="584"/>
        <w:gridCol w:w="680"/>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vMerge w:val="restart"/>
            <w:tcBorders>
              <w:top w:val="single" w:color="auto" w:sz="12"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编号</w:t>
            </w:r>
          </w:p>
        </w:tc>
        <w:tc>
          <w:tcPr>
            <w:tcW w:w="1155" w:type="pct"/>
            <w:vMerge w:val="restart"/>
            <w:tcBorders>
              <w:top w:val="single" w:color="auto" w:sz="12"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采样位置</w:t>
            </w:r>
          </w:p>
        </w:tc>
        <w:tc>
          <w:tcPr>
            <w:tcW w:w="3463" w:type="pct"/>
            <w:gridSpan w:val="9"/>
            <w:tcBorders>
              <w:top w:val="single" w:color="auto" w:sz="12"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监测项目及结果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vMerge w:val="continue"/>
            <w:tcBorders>
              <w:top w:val="single" w:color="auto" w:sz="8"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155" w:type="pct"/>
            <w:vMerge w:val="continue"/>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p>
        </w:tc>
        <w:tc>
          <w:tcPr>
            <w:tcW w:w="374"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auto"/>
                <w:sz w:val="21"/>
                <w:szCs w:val="21"/>
                <w:lang w:val="en-US" w:eastAsia="zh-CN"/>
              </w:rPr>
            </w:pPr>
          </w:p>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w:t>
            </w:r>
          </w:p>
        </w:tc>
        <w:tc>
          <w:tcPr>
            <w:tcW w:w="44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硫化氢</w:t>
            </w:r>
          </w:p>
        </w:tc>
        <w:tc>
          <w:tcPr>
            <w:tcW w:w="36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二硫化碳</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苯乙烯</w:t>
            </w:r>
          </w:p>
        </w:tc>
        <w:tc>
          <w:tcPr>
            <w:tcW w:w="343"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三甲胺</w:t>
            </w:r>
          </w:p>
        </w:tc>
        <w:tc>
          <w:tcPr>
            <w:tcW w:w="378"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甲硫醇</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甲硫醚</w:t>
            </w:r>
          </w:p>
        </w:tc>
        <w:tc>
          <w:tcPr>
            <w:tcW w:w="41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二甲二硫</w:t>
            </w:r>
          </w:p>
        </w:tc>
        <w:tc>
          <w:tcPr>
            <w:tcW w:w="517" w:type="pct"/>
            <w:tcBorders>
              <w:top w:val="single" w:color="auto" w:sz="8"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臭气浓度（无量 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8"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5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益康生无害化降解处理机废气排放口</w:t>
            </w:r>
          </w:p>
        </w:tc>
        <w:tc>
          <w:tcPr>
            <w:tcW w:w="374"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0.13</w:t>
            </w:r>
          </w:p>
        </w:tc>
        <w:tc>
          <w:tcPr>
            <w:tcW w:w="44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0.004</w:t>
            </w:r>
          </w:p>
        </w:tc>
        <w:tc>
          <w:tcPr>
            <w:tcW w:w="36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0.13</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343"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378"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41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517" w:type="pct"/>
            <w:tcBorders>
              <w:top w:val="single" w:color="auto" w:sz="8"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8"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15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益康生无害化降解处理机废气排放口下风向5米处A点</w:t>
            </w:r>
          </w:p>
        </w:tc>
        <w:tc>
          <w:tcPr>
            <w:tcW w:w="374"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0.13</w:t>
            </w:r>
          </w:p>
        </w:tc>
        <w:tc>
          <w:tcPr>
            <w:tcW w:w="44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36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343"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378"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41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ND</w:t>
            </w:r>
          </w:p>
        </w:tc>
        <w:tc>
          <w:tcPr>
            <w:tcW w:w="517" w:type="pct"/>
            <w:tcBorders>
              <w:top w:val="single" w:color="auto" w:sz="8"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gridSpan w:val="2"/>
            <w:tcBorders>
              <w:top w:val="single" w:color="auto" w:sz="8"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《畜禽养殖业污染物排放标准》（GB18596-2001）</w:t>
            </w:r>
          </w:p>
        </w:tc>
        <w:tc>
          <w:tcPr>
            <w:tcW w:w="374"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6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43"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78"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1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517" w:type="pct"/>
            <w:tcBorders>
              <w:top w:val="single" w:color="auto" w:sz="8"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gridSpan w:val="2"/>
            <w:tcBorders>
              <w:top w:val="single" w:color="auto" w:sz="8" w:space="0"/>
              <w:left w:val="nil"/>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《恶臭污染物排放标准》（GB14554-93）</w:t>
            </w:r>
          </w:p>
        </w:tc>
        <w:tc>
          <w:tcPr>
            <w:tcW w:w="374"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440"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65"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316"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343"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0.08</w:t>
            </w:r>
          </w:p>
        </w:tc>
        <w:tc>
          <w:tcPr>
            <w:tcW w:w="378"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0.007</w:t>
            </w:r>
          </w:p>
        </w:tc>
        <w:tc>
          <w:tcPr>
            <w:tcW w:w="316"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w:t>
            </w:r>
          </w:p>
        </w:tc>
        <w:tc>
          <w:tcPr>
            <w:tcW w:w="410"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517" w:type="pct"/>
            <w:tcBorders>
              <w:top w:val="single" w:color="auto" w:sz="8" w:space="0"/>
              <w:left w:val="single" w:color="auto" w:sz="8" w:space="0"/>
              <w:bottom w:val="single" w:color="auto" w:sz="12"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241" w:firstLineChars="1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）运输恶臭及尾气</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根据类比调查，猪</w:t>
      </w:r>
      <w:r>
        <w:rPr>
          <w:rFonts w:hint="eastAsia" w:ascii="Times New Roman" w:hAnsi="Times New Roman" w:eastAsia="宋体" w:cs="Times New Roman"/>
          <w:b w:val="0"/>
          <w:bCs w:val="0"/>
          <w:color w:val="auto"/>
          <w:kern w:val="2"/>
          <w:sz w:val="24"/>
          <w:szCs w:val="24"/>
          <w:lang w:val="en-US" w:eastAsia="zh-CN" w:bidi="ar-SA"/>
        </w:rPr>
        <w:t>苗</w:t>
      </w:r>
      <w:r>
        <w:rPr>
          <w:rFonts w:hint="default" w:ascii="Times New Roman" w:hAnsi="Times New Roman" w:eastAsia="宋体" w:cs="Times New Roman"/>
          <w:b w:val="0"/>
          <w:bCs w:val="0"/>
          <w:color w:val="auto"/>
          <w:kern w:val="2"/>
          <w:sz w:val="24"/>
          <w:szCs w:val="24"/>
          <w:lang w:val="en-US" w:eastAsia="zh-CN" w:bidi="ar-SA"/>
        </w:rPr>
        <w:t>外运过程中，猪粪便、尿液等会散发出恶臭，会对公路沿线的环境产生短暂的恶臭污染，待运输车辆远离后影响可消除。车辆运输产生的汽车尾气主要成分为：CO、HC和NOx，经过扩散对沿线敏感点影响较小。</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2、沼气</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（1）沼气产生量</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根据建设单位提供资料，项目厌氧池在运行过程中将会产生沼气，沼气经收集、</w:t>
      </w:r>
      <w:r>
        <w:rPr>
          <w:rFonts w:hint="eastAsia" w:ascii="Times New Roman" w:hAnsi="Times New Roman" w:eastAsia="宋体" w:cs="Times New Roman"/>
          <w:color w:val="auto"/>
          <w:sz w:val="24"/>
          <w:szCs w:val="24"/>
        </w:rPr>
        <w:t>脱水</w:t>
      </w:r>
      <w:r>
        <w:rPr>
          <w:rFonts w:ascii="Times New Roman" w:hAnsi="Times New Roman" w:eastAsia="宋体" w:cs="Times New Roman"/>
          <w:color w:val="auto"/>
          <w:sz w:val="24"/>
          <w:szCs w:val="24"/>
        </w:rPr>
        <w:t>脱硫、输送入</w:t>
      </w:r>
      <w:r>
        <w:rPr>
          <w:rFonts w:hint="eastAsia" w:ascii="Times New Roman" w:hAnsi="Times New Roman" w:eastAsia="宋体" w:cs="Times New Roman"/>
          <w:color w:val="auto"/>
          <w:sz w:val="24"/>
          <w:szCs w:val="24"/>
        </w:rPr>
        <w:t>双膜储气袋</w:t>
      </w:r>
      <w:r>
        <w:rPr>
          <w:rFonts w:ascii="Times New Roman" w:hAnsi="Times New Roman" w:eastAsia="宋体" w:cs="Times New Roman"/>
          <w:color w:val="auto"/>
          <w:sz w:val="24"/>
          <w:szCs w:val="24"/>
        </w:rPr>
        <w:t>。沼气是有机物质在一定的温度、湿度、酸度条件下，隔绝空气（厌氧环境），经微生物作用（发酵）而产生的可燃性气体，其主要成分为CH</w:t>
      </w:r>
      <w:r>
        <w:rPr>
          <w:rFonts w:ascii="Times New Roman" w:hAnsi="Times New Roman" w:eastAsia="宋体" w:cs="Times New Roman"/>
          <w:color w:val="auto"/>
          <w:sz w:val="24"/>
          <w:szCs w:val="24"/>
          <w:vertAlign w:val="subscript"/>
        </w:rPr>
        <w:t>4</w:t>
      </w:r>
      <w:r>
        <w:rPr>
          <w:rFonts w:ascii="Times New Roman" w:hAnsi="Times New Roman" w:eastAsia="宋体" w:cs="Times New Roman"/>
          <w:color w:val="auto"/>
          <w:sz w:val="24"/>
          <w:szCs w:val="24"/>
        </w:rPr>
        <w:t>，即甲烷占50%~80%，同时含20%~40%的CO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，1%~5%的N</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，0.2%~3%的H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和H</w:t>
      </w:r>
      <w:r>
        <w:rPr>
          <w:rFonts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等</w:t>
      </w:r>
      <w:r>
        <w:rPr>
          <w:rFonts w:ascii="Times New Roman" w:hAnsi="Times New Roman" w:eastAsia="宋体" w:cs="Times New Roman"/>
          <w:color w:val="auto"/>
          <w:sz w:val="24"/>
          <w:szCs w:val="24"/>
        </w:rPr>
        <w:t>。燃烧后生成CO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O、SO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。沼气成分详见表3.</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w:t>
      </w:r>
    </w:p>
    <w:p>
      <w:pPr>
        <w:pStyle w:val="2503"/>
        <w:numPr>
          <w:ilvl w:val="0"/>
          <w:numId w:val="19"/>
        </w:numPr>
        <w:spacing w:before="120"/>
        <w:ind w:left="0" w:leftChars="0" w:firstLine="403"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沼气成分一览表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2130"/>
        <w:gridCol w:w="1220"/>
        <w:gridCol w:w="1220"/>
        <w:gridCol w:w="683"/>
        <w:gridCol w:w="683"/>
        <w:gridCol w:w="852"/>
        <w:gridCol w:w="1515"/>
      </w:tblGrid>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1" w:hRule="exact"/>
          <w:jc w:val="center"/>
        </w:trPr>
        <w:tc>
          <w:tcPr>
            <w:tcW w:w="128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5"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成分</w:t>
            </w:r>
          </w:p>
        </w:tc>
        <w:tc>
          <w:tcPr>
            <w:tcW w:w="73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position w:val="2"/>
                <w:sz w:val="21"/>
                <w:szCs w:val="21"/>
                <w:lang w:val="en-US" w:eastAsia="zh-CN" w:bidi="ar-SA"/>
              </w:rPr>
              <w:t>CH</w:t>
            </w:r>
            <w:r>
              <w:rPr>
                <w:rFonts w:hint="default" w:ascii="Times New Roman" w:hAnsi="Times New Roman" w:eastAsia="宋体" w:cs="Times New Roman"/>
                <w:b/>
                <w:color w:val="auto"/>
                <w:kern w:val="0"/>
                <w:sz w:val="21"/>
                <w:szCs w:val="21"/>
                <w:vertAlign w:val="subscript"/>
                <w:lang w:val="en-US" w:eastAsia="zh-CN" w:bidi="ar-SA"/>
              </w:rPr>
              <w:t>4</w:t>
            </w:r>
          </w:p>
        </w:tc>
        <w:tc>
          <w:tcPr>
            <w:tcW w:w="73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position w:val="2"/>
                <w:sz w:val="21"/>
                <w:szCs w:val="21"/>
                <w:lang w:val="en-US" w:eastAsia="zh-CN" w:bidi="ar-SA"/>
              </w:rPr>
              <w:t>CO</w:t>
            </w:r>
            <w:r>
              <w:rPr>
                <w:rFonts w:hint="default" w:ascii="Times New Roman" w:hAnsi="Times New Roman" w:eastAsia="宋体" w:cs="Times New Roman"/>
                <w:b/>
                <w:color w:val="auto"/>
                <w:kern w:val="0"/>
                <w:sz w:val="21"/>
                <w:szCs w:val="21"/>
                <w:vertAlign w:val="subscript"/>
                <w:lang w:val="en-US" w:eastAsia="zh-CN" w:bidi="ar-SA"/>
              </w:rPr>
              <w:t>2</w:t>
            </w:r>
          </w:p>
        </w:tc>
        <w:tc>
          <w:tcPr>
            <w:tcW w:w="41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position w:val="2"/>
                <w:sz w:val="21"/>
                <w:szCs w:val="21"/>
                <w:lang w:val="en-US" w:eastAsia="zh-CN" w:bidi="ar-SA"/>
              </w:rPr>
              <w:t>N</w:t>
            </w:r>
            <w:r>
              <w:rPr>
                <w:rFonts w:hint="default" w:ascii="Times New Roman" w:hAnsi="Times New Roman" w:eastAsia="宋体" w:cs="Times New Roman"/>
                <w:b/>
                <w:color w:val="auto"/>
                <w:kern w:val="0"/>
                <w:sz w:val="21"/>
                <w:szCs w:val="21"/>
                <w:vertAlign w:val="subscript"/>
                <w:lang w:val="en-US" w:eastAsia="zh-CN" w:bidi="ar-SA"/>
              </w:rPr>
              <w:t>2</w:t>
            </w:r>
          </w:p>
        </w:tc>
        <w:tc>
          <w:tcPr>
            <w:tcW w:w="41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position w:val="2"/>
                <w:sz w:val="21"/>
                <w:szCs w:val="21"/>
                <w:lang w:val="en-US" w:eastAsia="zh-CN" w:bidi="ar-SA"/>
              </w:rPr>
              <w:t>H</w:t>
            </w:r>
            <w:r>
              <w:rPr>
                <w:rFonts w:hint="default" w:ascii="Times New Roman" w:hAnsi="Times New Roman" w:eastAsia="宋体" w:cs="Times New Roman"/>
                <w:b/>
                <w:color w:val="auto"/>
                <w:kern w:val="0"/>
                <w:sz w:val="21"/>
                <w:szCs w:val="21"/>
                <w:vertAlign w:val="subscript"/>
                <w:lang w:val="en-US" w:eastAsia="zh-CN" w:bidi="ar-SA"/>
              </w:rPr>
              <w:t>2</w:t>
            </w:r>
          </w:p>
        </w:tc>
        <w:tc>
          <w:tcPr>
            <w:tcW w:w="51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position w:val="2"/>
                <w:sz w:val="21"/>
                <w:szCs w:val="21"/>
                <w:lang w:val="en-US" w:eastAsia="zh-CN" w:bidi="ar-SA"/>
              </w:rPr>
              <w:t>O</w:t>
            </w:r>
            <w:r>
              <w:rPr>
                <w:rFonts w:hint="default" w:ascii="Times New Roman" w:hAnsi="Times New Roman" w:eastAsia="宋体" w:cs="Times New Roman"/>
                <w:b/>
                <w:color w:val="auto"/>
                <w:kern w:val="0"/>
                <w:sz w:val="21"/>
                <w:szCs w:val="21"/>
                <w:vertAlign w:val="subscript"/>
                <w:lang w:val="en-US" w:eastAsia="zh-CN" w:bidi="ar-SA"/>
              </w:rPr>
              <w:t>2</w:t>
            </w:r>
          </w:p>
        </w:tc>
        <w:tc>
          <w:tcPr>
            <w:tcW w:w="91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6"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position w:val="2"/>
                <w:sz w:val="21"/>
                <w:szCs w:val="21"/>
                <w:lang w:val="en-US" w:eastAsia="zh-CN" w:bidi="ar-SA"/>
              </w:rPr>
              <w:t>H</w:t>
            </w:r>
            <w:r>
              <w:rPr>
                <w:rFonts w:hint="default" w:ascii="Times New Roman" w:hAnsi="Times New Roman" w:eastAsia="宋体" w:cs="Times New Roman"/>
                <w:b/>
                <w:color w:val="auto"/>
                <w:kern w:val="0"/>
                <w:sz w:val="21"/>
                <w:szCs w:val="21"/>
                <w:vertAlign w:val="subscript"/>
                <w:lang w:val="en-US" w:eastAsia="zh-CN" w:bidi="ar-SA"/>
              </w:rPr>
              <w:t>2</w:t>
            </w:r>
            <w:r>
              <w:rPr>
                <w:rFonts w:hint="default" w:ascii="Times New Roman" w:hAnsi="Times New Roman" w:eastAsia="宋体" w:cs="Times New Roman"/>
                <w:b/>
                <w:color w:val="auto"/>
                <w:kern w:val="0"/>
                <w:position w:val="2"/>
                <w:sz w:val="21"/>
                <w:szCs w:val="21"/>
                <w:lang w:val="en-US" w:eastAsia="zh-CN" w:bidi="ar-SA"/>
              </w:rPr>
              <w:t>S</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1" w:hRule="exact"/>
          <w:jc w:val="center"/>
        </w:trPr>
        <w:tc>
          <w:tcPr>
            <w:tcW w:w="128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含量（体积分数）</w:t>
            </w:r>
          </w:p>
        </w:tc>
        <w:tc>
          <w:tcPr>
            <w:tcW w:w="73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50%~80%</w:t>
            </w:r>
          </w:p>
        </w:tc>
        <w:tc>
          <w:tcPr>
            <w:tcW w:w="73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20%~40%</w:t>
            </w:r>
          </w:p>
        </w:tc>
        <w:tc>
          <w:tcPr>
            <w:tcW w:w="41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&lt;5%</w:t>
            </w:r>
          </w:p>
        </w:tc>
        <w:tc>
          <w:tcPr>
            <w:tcW w:w="41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&lt;1%</w:t>
            </w:r>
          </w:p>
        </w:tc>
        <w:tc>
          <w:tcPr>
            <w:tcW w:w="51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&lt;0.4%</w:t>
            </w:r>
          </w:p>
        </w:tc>
        <w:tc>
          <w:tcPr>
            <w:tcW w:w="91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0.05%~0.1%</w: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根据《规模化畜禽养殖场沼气工程设计规范》（NY/T1222-2006）可知，理论上每削减1kgCOD可产生0.35m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沼气，一般情况下，养殖废水经厌氧发酵处理工序COD去除率为85%，即项目废水在厌氧发酵处理工序去除COD约为108.49t/a，则本项目沼气产生量为104.03m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/d（37972.5m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/a）。</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根据建设单位提供的资料，本项目设置了双膜储气袋</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150</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，用于储存沼气。沼气2</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时，密度1.205kg/m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，约合</w:t>
      </w:r>
      <w:r>
        <w:rPr>
          <w:rFonts w:hint="eastAsia" w:ascii="Times New Roman" w:hAnsi="Times New Roman" w:eastAsia="宋体" w:cs="Times New Roman"/>
          <w:color w:val="auto"/>
          <w:sz w:val="24"/>
          <w:szCs w:val="24"/>
          <w:lang w:val="en-US" w:eastAsia="zh-CN"/>
        </w:rPr>
        <w:t>45.76</w:t>
      </w:r>
      <w:r>
        <w:rPr>
          <w:rFonts w:hint="eastAsia" w:ascii="Times New Roman" w:hAnsi="Times New Roman" w:eastAsia="宋体" w:cs="Times New Roman"/>
          <w:color w:val="auto"/>
          <w:sz w:val="24"/>
          <w:szCs w:val="24"/>
        </w:rPr>
        <w:t>t/a。</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（2）拟采取的措施</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畜禽养殖业污染治理工程技术规范》（HJ497-2009）中“厌氧处理产生的沼气须完全利用，不得直接向环境排放。经净化处理后通过输配气系统可用于居民生活用气、锅炉燃烧、沼气发电等”的规定。本项目产生的沼气经气水分离和活性氧化铁吸附柱脱硫除臭（脱硫除臭效率为99.5%）后，储存于双膜储气袋（容积为</w:t>
      </w:r>
      <w:r>
        <w:rPr>
          <w:rFonts w:hint="eastAsia"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）内，全部用于养殖场生活和生产燃气。</w:t>
      </w:r>
    </w:p>
    <w:p>
      <w:pPr>
        <w:spacing w:line="360" w:lineRule="auto"/>
        <w:ind w:firstLine="480" w:firstLineChars="2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畜禽养殖业污染防治技术政策》（环发【2010】151号）中有关内容，厌氧发酵产生的沼气应进行收集，并根据利用途径进行脱水、脱硫等净化处理；沼气宜作为燃料直接利用。本项目沼气从厌氧反应器沼气池流入管道，首先经过沼气脱水罐和脱硫装置，其目的是净化沼气，净化后的沼气从储气</w:t>
      </w:r>
      <w:r>
        <w:rPr>
          <w:rFonts w:hint="default" w:ascii="Times New Roman" w:hAnsi="Times New Roman" w:eastAsia="宋体" w:cs="Times New Roman"/>
          <w:color w:val="auto"/>
          <w:sz w:val="24"/>
          <w:szCs w:val="24"/>
          <w:lang w:eastAsia="zh-CN"/>
        </w:rPr>
        <w:t>袋</w:t>
      </w:r>
      <w:r>
        <w:rPr>
          <w:rFonts w:hint="default" w:ascii="Times New Roman" w:hAnsi="Times New Roman" w:eastAsia="宋体" w:cs="Times New Roman"/>
          <w:color w:val="auto"/>
          <w:sz w:val="24"/>
          <w:szCs w:val="24"/>
        </w:rPr>
        <w:t>进入后续沼气利用系统。沼气预处理措施流程见图3.</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p>
    <w:p>
      <w:pPr>
        <w:widowControl w:val="0"/>
        <w:spacing w:before="120" w:beforeLines="50" w:after="120" w:afterLines="50" w:line="240" w:lineRule="auto"/>
        <w:ind w:firstLine="0" w:firstLineChars="0"/>
        <w:jc w:val="center"/>
        <w:rPr>
          <w:rFonts w:ascii="Times New Roman" w:hAnsi="Times New Roman" w:eastAsia="宋体" w:cs="Times New Roman"/>
          <w:b/>
          <w:color w:val="auto"/>
          <w:kern w:val="2"/>
          <w:sz w:val="21"/>
          <w:szCs w:val="24"/>
          <w:lang w:val="en-US" w:eastAsia="zh-CN" w:bidi="ar-SA"/>
        </w:rPr>
      </w:pPr>
      <w:r>
        <w:rPr>
          <w:rFonts w:ascii="Times New Roman" w:hAnsi="Times New Roman" w:eastAsia="宋体" w:cs="Times New Roman"/>
          <w:b/>
          <w:color w:val="auto"/>
          <w:kern w:val="2"/>
          <w:sz w:val="21"/>
          <w:szCs w:val="24"/>
          <w:lang w:val="en-US" w:eastAsia="zh-CN" w:bidi="ar-SA"/>
        </w:rPr>
        <w:drawing>
          <wp:inline distT="0" distB="0" distL="114300" distR="114300">
            <wp:extent cx="5269865" cy="1214120"/>
            <wp:effectExtent l="0" t="0" r="6985" b="5080"/>
            <wp:docPr id="12" name="图片 12" descr="H7T3II92WPJ2HX91GE`6`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7T3II92WPJ2HX91GE`6`BV"/>
                    <pic:cNvPicPr>
                      <a:picLocks noChangeAspect="1"/>
                    </pic:cNvPicPr>
                  </pic:nvPicPr>
                  <pic:blipFill>
                    <a:blip r:embed="rId28"/>
                    <a:stretch>
                      <a:fillRect/>
                    </a:stretch>
                  </pic:blipFill>
                  <pic:spPr>
                    <a:xfrm>
                      <a:off x="0" y="0"/>
                      <a:ext cx="5269865" cy="1214120"/>
                    </a:xfrm>
                    <a:prstGeom prst="rect">
                      <a:avLst/>
                    </a:prstGeom>
                  </pic:spPr>
                </pic:pic>
              </a:graphicData>
            </a:graphic>
          </wp:inline>
        </w:drawing>
      </w:r>
    </w:p>
    <w:p>
      <w:pPr>
        <w:pStyle w:val="2503"/>
        <w:numPr>
          <w:ilvl w:val="0"/>
          <w:numId w:val="21"/>
        </w:numPr>
        <w:spacing w:before="120" w:line="360" w:lineRule="auto"/>
        <w:ind w:left="0" w:leftChars="0" w:firstLine="403" w:firstLineChars="0"/>
        <w:rPr>
          <w:rFonts w:ascii="Times New Roman" w:hAnsi="Times New Roman" w:eastAsia="宋体" w:cs="Times New Roman"/>
          <w:b/>
          <w:color w:val="auto"/>
          <w:kern w:val="2"/>
          <w:sz w:val="21"/>
          <w:szCs w:val="24"/>
          <w:lang w:val="en-US" w:eastAsia="zh-CN" w:bidi="ar-SA"/>
        </w:rPr>
      </w:pPr>
      <w:r>
        <w:rPr>
          <w:rFonts w:hint="eastAsia" w:ascii="Times New Roman" w:hAnsi="Times New Roman" w:cs="Times New Roman"/>
          <w:b/>
          <w:color w:val="auto"/>
          <w:kern w:val="2"/>
          <w:sz w:val="21"/>
          <w:szCs w:val="21"/>
          <w:lang w:val="en-US" w:eastAsia="zh-CN" w:bidi="ar-SA"/>
        </w:rPr>
        <w:t xml:space="preserve">   </w:t>
      </w:r>
      <w:r>
        <w:rPr>
          <w:rFonts w:ascii="Times New Roman" w:hAnsi="Times New Roman" w:eastAsia="宋体" w:cs="Times New Roman"/>
          <w:b/>
          <w:color w:val="auto"/>
          <w:kern w:val="2"/>
          <w:sz w:val="21"/>
          <w:szCs w:val="24"/>
          <w:lang w:val="en-US" w:eastAsia="zh-CN" w:bidi="ar-SA"/>
        </w:rPr>
        <w:t>沼气预处理措施流程示意图</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脱水器（气水分离器）</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沼气是高湿度的混合气，沼气自沼气池进入管道时，温度逐渐降低，管道中会产生大量含杂质的冷凝水。如果不从系统中除去，容易堵塞、破坏管道设备。项目沼气脱水采用过滤器，此过滤器是一种用于滤除沼气中所含的固体杂质和水分的装置，由罐体和充填于罐体内的砾石组成。罐体为圆筒形，其底部为开孔筛板，筛板下方带有圆弧形集水器，集水器底部装有放水阀，罐体内带有半隔板将罐体分隔为底部连通的左罐体和右罐体，左右罐体上分别开有沼气进出口。沼气通过过滤器时可使其中的固体颗粒被截留，部分水分冷凝于砾石表面并经集水器排出。</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脱硫（硫化氢的去除）</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根据沼气技术培训资料及大理州农科院《沼气的主要成分及用途》，沼气中H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S平均含量为0.034%。沼气需要进行脱硫处理，以防止对沼气输送管道的腐蚀影响。本项目脱硫剂为氧化铁，采用常温Fe</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干式脱硫法，它是将Fe</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屑（或粉）和木屑混合制成脱硫剂，以湿态（含水40%左右）填充于脱硫装置内。Fe</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脱硫剂为条状多孔结构固体，对H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S能进行快速的不可逆化学吸附，数秒内可将H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S脱除到1×10</w:t>
      </w:r>
      <w:r>
        <w:rPr>
          <w:rFonts w:ascii="Times New Roman" w:hAnsi="Times New Roman" w:eastAsia="宋体" w:cs="Times New Roman"/>
          <w:color w:val="auto"/>
          <w:sz w:val="24"/>
          <w:szCs w:val="24"/>
          <w:vertAlign w:val="superscript"/>
        </w:rPr>
        <w:t>-6</w:t>
      </w:r>
      <w:r>
        <w:rPr>
          <w:rFonts w:ascii="Times New Roman" w:hAnsi="Times New Roman" w:eastAsia="宋体" w:cs="Times New Roman"/>
          <w:color w:val="auto"/>
          <w:sz w:val="24"/>
          <w:szCs w:val="24"/>
        </w:rPr>
        <w:t>以下。当沼气通过时，经如下反应，达到脱硫目的：</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脱硫：Fe</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O+3H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 =Fe</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+4H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 +63KJ/mol</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再生：Fe</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+3/2O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+3H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O=Fe</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O+2H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 xml:space="preserve">O+3S+103KJ/mol </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脱硫剂工作一定时间后，其活性会逐渐下降，脱硫效果逐渐变差，就需要对脱硫剂进行处理。当气体中O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分子数与H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S分子数之比大于2.5时，脱硫、再生反应可实现连续再生，氧化铁实际上相当于催化剂。常温下氧化铁脱硫剂的累积硫容量可达 30%～40%以上，当脱硫剂中硫未达到30%时，脱硫剂可进行再生；若脱硫剂硫容超过30%时，就要更新脱硫剂。</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类比同规模养殖场经采用专用沼气脱硫剂脱硫后，硫去除率可达到85%以上，经核算沼气净化后H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S含量不高于20mg/m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，符合《规模化畜禽养殖场沼气工程设计规范》（NY/T1222-2006）中规定的标准要求。</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经脱硫处理后的沼气不会对管道等产生大的腐蚀影响，即其因腐蚀导致沼气泄露的可能性很小。</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（3）沼气燃烧废气</w:t>
      </w:r>
    </w:p>
    <w:p>
      <w:pPr>
        <w:wordWrap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通过食堂炉灶燃烧沼气时，净化后的沼气中仅含有极少量H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S≤20mg/m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，评价按20mg/m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的不利情况计）及其它杂质。根据《环境保护实用数据手册》中各种燃料燃烧时产生污染物系数和本项目沼气的含硫量知：沼气燃烧时会产生SO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与NOx，每1m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沼气燃烧SO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产生量为0.0376g；沼气燃烧时NOx产生量为6.3kg/万m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沼气。</w:t>
      </w:r>
      <w:r>
        <w:rPr>
          <w:rFonts w:hint="eastAsia" w:ascii="Times New Roman" w:hAnsi="Times New Roman" w:eastAsia="宋体" w:cs="Times New Roman"/>
          <w:color w:val="auto"/>
          <w:sz w:val="24"/>
          <w:szCs w:val="24"/>
          <w:lang w:eastAsia="zh-CN"/>
        </w:rPr>
        <w:t>本项目可用于食堂炉灶燃烧的沼气量为</w:t>
      </w:r>
      <w:r>
        <w:rPr>
          <w:rFonts w:hint="eastAsia" w:ascii="Times New Roman" w:hAnsi="Times New Roman" w:eastAsia="宋体" w:cs="Times New Roman"/>
          <w:color w:val="auto"/>
          <w:kern w:val="0"/>
          <w:sz w:val="24"/>
          <w:szCs w:val="24"/>
          <w:lang w:val="en-US" w:eastAsia="zh-CN" w:bidi="ar-SA"/>
        </w:rPr>
        <w:t>35040</w:t>
      </w:r>
      <w:r>
        <w:rPr>
          <w:rFonts w:ascii="Times New Roman" w:hAnsi="Times New Roman" w:eastAsia="宋体" w:cs="Times New Roman"/>
          <w:color w:val="auto"/>
          <w:kern w:val="0"/>
          <w:sz w:val="24"/>
          <w:szCs w:val="24"/>
          <w:lang w:val="en-US" w:eastAsia="zh-CN" w:bidi="ar-SA"/>
        </w:rPr>
        <w:t>m</w:t>
      </w:r>
      <w:r>
        <w:rPr>
          <w:rFonts w:ascii="Times New Roman" w:hAnsi="Times New Roman" w:eastAsia="宋体" w:cs="Times New Roman"/>
          <w:color w:val="auto"/>
          <w:kern w:val="0"/>
          <w:sz w:val="24"/>
          <w:szCs w:val="24"/>
          <w:vertAlign w:val="superscript"/>
          <w:lang w:val="en-US" w:eastAsia="zh-CN" w:bidi="ar-SA"/>
        </w:rPr>
        <w:t>3</w:t>
      </w:r>
      <w:r>
        <w:rPr>
          <w:rFonts w:ascii="Times New Roman" w:hAnsi="Times New Roman" w:eastAsia="宋体" w:cs="Times New Roman"/>
          <w:color w:val="auto"/>
          <w:kern w:val="0"/>
          <w:sz w:val="24"/>
          <w:szCs w:val="24"/>
          <w:lang w:val="en-US" w:eastAsia="zh-CN" w:bidi="ar-SA"/>
        </w:rPr>
        <w:t>/a</w:t>
      </w:r>
      <w:r>
        <w:rPr>
          <w:rFonts w:hint="eastAsia" w:ascii="Times New Roman" w:hAnsi="Times New Roman" w:eastAsia="宋体" w:cs="Times New Roman"/>
          <w:color w:val="auto"/>
          <w:kern w:val="0"/>
          <w:sz w:val="24"/>
          <w:szCs w:val="24"/>
          <w:lang w:val="en-US" w:eastAsia="zh-CN" w:bidi="ar-SA"/>
        </w:rPr>
        <w:t>，用于发电的沼气量为2932</w:t>
      </w:r>
      <w:r>
        <w:rPr>
          <w:rFonts w:ascii="Times New Roman" w:hAnsi="Times New Roman" w:eastAsia="宋体" w:cs="Times New Roman"/>
          <w:color w:val="auto"/>
          <w:kern w:val="0"/>
          <w:sz w:val="24"/>
          <w:szCs w:val="24"/>
          <w:lang w:val="en-US" w:eastAsia="zh-CN" w:bidi="ar-SA"/>
        </w:rPr>
        <w:t>m</w:t>
      </w:r>
      <w:r>
        <w:rPr>
          <w:rFonts w:ascii="Times New Roman" w:hAnsi="Times New Roman" w:eastAsia="宋体" w:cs="Times New Roman"/>
          <w:color w:val="auto"/>
          <w:kern w:val="0"/>
          <w:sz w:val="24"/>
          <w:szCs w:val="24"/>
          <w:vertAlign w:val="superscript"/>
          <w:lang w:val="en-US" w:eastAsia="zh-CN" w:bidi="ar-SA"/>
        </w:rPr>
        <w:t>3</w:t>
      </w:r>
      <w:r>
        <w:rPr>
          <w:rFonts w:ascii="Times New Roman" w:hAnsi="Times New Roman" w:eastAsia="宋体" w:cs="Times New Roman"/>
          <w:color w:val="auto"/>
          <w:kern w:val="0"/>
          <w:sz w:val="24"/>
          <w:szCs w:val="24"/>
          <w:lang w:val="en-US" w:eastAsia="zh-CN" w:bidi="ar-SA"/>
        </w:rPr>
        <w:t>/a</w:t>
      </w:r>
      <w:r>
        <w:rPr>
          <w:rFonts w:hint="eastAsia" w:ascii="Times New Roman" w:hAnsi="Times New Roman" w:eastAsia="宋体" w:cs="Times New Roman"/>
          <w:color w:val="auto"/>
          <w:kern w:val="0"/>
          <w:sz w:val="24"/>
          <w:szCs w:val="24"/>
          <w:lang w:val="en-US" w:eastAsia="zh-CN" w:bidi="ar-SA"/>
        </w:rPr>
        <w:t>。</w:t>
      </w:r>
    </w:p>
    <w:p>
      <w:pPr>
        <w:pStyle w:val="2503"/>
        <w:numPr>
          <w:ilvl w:val="0"/>
          <w:numId w:val="19"/>
        </w:numPr>
        <w:spacing w:before="120"/>
        <w:ind w:left="0" w:leftChars="0" w:firstLine="403"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沼气燃烧废气污染物一览表</w:t>
      </w:r>
    </w:p>
    <w:tbl>
      <w:tblPr>
        <w:tblStyle w:val="88"/>
        <w:tblW w:w="8787"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524"/>
        <w:gridCol w:w="1035"/>
        <w:gridCol w:w="854"/>
        <w:gridCol w:w="1441"/>
        <w:gridCol w:w="1323"/>
        <w:gridCol w:w="1323"/>
        <w:gridCol w:w="1088"/>
        <w:gridCol w:w="11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24"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序号</w:t>
            </w:r>
          </w:p>
        </w:tc>
        <w:tc>
          <w:tcPr>
            <w:tcW w:w="1035"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沼气量</w:t>
            </w:r>
          </w:p>
        </w:tc>
        <w:tc>
          <w:tcPr>
            <w:tcW w:w="2295" w:type="dxa"/>
            <w:gridSpan w:val="2"/>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产污系数</w:t>
            </w:r>
          </w:p>
        </w:tc>
        <w:tc>
          <w:tcPr>
            <w:tcW w:w="1323"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污染物产生量（t/a）</w:t>
            </w:r>
          </w:p>
        </w:tc>
        <w:tc>
          <w:tcPr>
            <w:tcW w:w="1323"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1"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污染物排放量（t/a）</w:t>
            </w:r>
          </w:p>
        </w:tc>
        <w:tc>
          <w:tcPr>
            <w:tcW w:w="1088"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排放浓度</w:t>
            </w:r>
          </w:p>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（mg/m</w:t>
            </w:r>
            <w:r>
              <w:rPr>
                <w:rFonts w:hint="default" w:ascii="Times New Roman" w:hAnsi="Times New Roman" w:eastAsia="宋体" w:cs="Times New Roman"/>
                <w:b/>
                <w:color w:val="auto"/>
                <w:kern w:val="0"/>
                <w:sz w:val="21"/>
                <w:szCs w:val="21"/>
                <w:vertAlign w:val="superscript"/>
                <w:lang w:val="en-US" w:eastAsia="zh-CN" w:bidi="ar-SA"/>
              </w:rPr>
              <w:t>3</w:t>
            </w:r>
            <w:r>
              <w:rPr>
                <w:rFonts w:hint="default" w:ascii="Times New Roman" w:hAnsi="Times New Roman" w:eastAsia="宋体" w:cs="Times New Roman"/>
                <w:b/>
                <w:color w:val="auto"/>
                <w:kern w:val="0"/>
                <w:sz w:val="21"/>
                <w:szCs w:val="21"/>
                <w:lang w:val="en-US" w:eastAsia="zh-CN" w:bidi="ar-SA"/>
              </w:rPr>
              <w:t>）</w:t>
            </w:r>
          </w:p>
        </w:tc>
        <w:tc>
          <w:tcPr>
            <w:tcW w:w="1199"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排放标准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24" w:type="dxa"/>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99"/>
                <w:kern w:val="0"/>
                <w:sz w:val="21"/>
                <w:szCs w:val="21"/>
                <w:lang w:val="en-US" w:eastAsia="zh-CN" w:bidi="ar-SA"/>
              </w:rPr>
              <w:t>1</w:t>
            </w:r>
          </w:p>
        </w:tc>
        <w:tc>
          <w:tcPr>
            <w:tcW w:w="1035" w:type="dxa"/>
            <w:vMerge w:val="restar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35040</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/a</w:t>
            </w:r>
          </w:p>
        </w:tc>
        <w:tc>
          <w:tcPr>
            <w:tcW w:w="854"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SO</w:t>
            </w:r>
            <w:r>
              <w:rPr>
                <w:rFonts w:hint="default" w:ascii="Times New Roman" w:hAnsi="Times New Roman" w:eastAsia="宋体" w:cs="Times New Roman"/>
                <w:color w:val="auto"/>
                <w:kern w:val="0"/>
                <w:sz w:val="21"/>
                <w:szCs w:val="21"/>
                <w:vertAlign w:val="subscript"/>
                <w:lang w:val="en-US" w:eastAsia="zh-CN" w:bidi="ar-SA"/>
              </w:rPr>
              <w:t>2</w:t>
            </w:r>
          </w:p>
        </w:tc>
        <w:tc>
          <w:tcPr>
            <w:tcW w:w="1441"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1"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0.0376g/m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沼气</w:t>
            </w:r>
          </w:p>
        </w:tc>
        <w:tc>
          <w:tcPr>
            <w:tcW w:w="132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0.0013 </w:t>
            </w:r>
          </w:p>
        </w:tc>
        <w:tc>
          <w:tcPr>
            <w:tcW w:w="132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0.0013 </w:t>
            </w:r>
          </w:p>
        </w:tc>
        <w:tc>
          <w:tcPr>
            <w:tcW w:w="1088"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3.58</w:t>
            </w:r>
          </w:p>
        </w:tc>
        <w:tc>
          <w:tcPr>
            <w:tcW w:w="1199"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550mg/m</w:t>
            </w:r>
            <w:r>
              <w:rPr>
                <w:rFonts w:hint="default" w:ascii="Times New Roman" w:hAnsi="Times New Roman" w:eastAsia="宋体" w:cs="Times New Roman"/>
                <w:color w:val="auto"/>
                <w:kern w:val="0"/>
                <w:sz w:val="21"/>
                <w:szCs w:val="21"/>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24"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w w:val="99"/>
                <w:kern w:val="0"/>
                <w:sz w:val="21"/>
                <w:szCs w:val="21"/>
                <w:lang w:val="en-US" w:eastAsia="zh-CN" w:bidi="ar-SA"/>
              </w:rPr>
              <w:t>2</w:t>
            </w:r>
          </w:p>
        </w:tc>
        <w:tc>
          <w:tcPr>
            <w:tcW w:w="1035" w:type="dxa"/>
            <w:vMerge w:val="continue"/>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9"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854"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NO</w:t>
            </w:r>
            <w:r>
              <w:rPr>
                <w:rFonts w:hint="default" w:ascii="Times New Roman" w:hAnsi="Times New Roman" w:eastAsia="宋体" w:cs="Times New Roman"/>
                <w:color w:val="auto"/>
                <w:kern w:val="0"/>
                <w:sz w:val="21"/>
                <w:szCs w:val="21"/>
                <w:lang w:val="en-US" w:eastAsia="zh-CN" w:bidi="ar-SA"/>
              </w:rPr>
              <w:t>x</w:t>
            </w:r>
          </w:p>
        </w:tc>
        <w:tc>
          <w:tcPr>
            <w:tcW w:w="1441"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1"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6.3kg/万</w:t>
            </w:r>
            <w:r>
              <w:rPr>
                <w:rFonts w:hint="default" w:ascii="Times New Roman" w:hAnsi="Times New Roman" w:eastAsia="宋体" w:cs="Times New Roman"/>
                <w:color w:val="auto"/>
                <w:spacing w:val="-52"/>
                <w:kern w:val="0"/>
                <w:sz w:val="21"/>
                <w:szCs w:val="21"/>
                <w:lang w:val="en-US" w:eastAsia="zh-CN" w:bidi="ar-SA"/>
              </w:rPr>
              <w:t xml:space="preserve"> </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沼气</w:t>
            </w:r>
          </w:p>
        </w:tc>
        <w:tc>
          <w:tcPr>
            <w:tcW w:w="132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0.2208 </w:t>
            </w:r>
          </w:p>
        </w:tc>
        <w:tc>
          <w:tcPr>
            <w:tcW w:w="132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 xml:space="preserve">0.2208 </w:t>
            </w:r>
          </w:p>
        </w:tc>
        <w:tc>
          <w:tcPr>
            <w:tcW w:w="1088"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60.00</w:t>
            </w:r>
          </w:p>
        </w:tc>
        <w:tc>
          <w:tcPr>
            <w:tcW w:w="1199" w:type="dxa"/>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240mg/m</w:t>
            </w:r>
            <w:r>
              <w:rPr>
                <w:rFonts w:hint="default" w:ascii="Times New Roman" w:hAnsi="Times New Roman" w:eastAsia="宋体" w:cs="Times New Roman"/>
                <w:color w:val="auto"/>
                <w:kern w:val="0"/>
                <w:sz w:val="21"/>
                <w:szCs w:val="21"/>
                <w:vertAlign w:val="superscript"/>
                <w:lang w:val="en-US" w:eastAsia="zh-CN" w:bidi="ar-SA"/>
              </w:rPr>
              <w:t>3</w:t>
            </w:r>
          </w:p>
        </w:tc>
      </w:tr>
    </w:tbl>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为落实《畜禽养殖业污染防治技术政策》（环发【2010】151号），实现沼气的资源化利用，本环评要求：</w:t>
      </w:r>
      <w:r>
        <w:rPr>
          <w:rFonts w:ascii="Times New Roman" w:hAnsi="Times New Roman" w:eastAsia="宋体" w:cs="Times New Roman"/>
          <w:b/>
          <w:color w:val="auto"/>
          <w:sz w:val="24"/>
          <w:szCs w:val="24"/>
          <w:u w:val="single"/>
        </w:rPr>
        <w:t>建设单位应将沼气进行收集净化处理后用于项目内养殖场内的生活燃气</w:t>
      </w:r>
      <w:r>
        <w:rPr>
          <w:rFonts w:hint="eastAsia" w:ascii="Times New Roman" w:hAnsi="Times New Roman" w:eastAsia="宋体" w:cs="Times New Roman"/>
          <w:b/>
          <w:color w:val="auto"/>
          <w:sz w:val="24"/>
          <w:szCs w:val="24"/>
          <w:u w:val="single"/>
          <w:lang w:eastAsia="zh-CN"/>
        </w:rPr>
        <w:t>或沼气发电</w:t>
      </w:r>
      <w:r>
        <w:rPr>
          <w:rFonts w:ascii="Times New Roman" w:hAnsi="Times New Roman" w:eastAsia="宋体" w:cs="Times New Roman"/>
          <w:b/>
          <w:color w:val="auto"/>
          <w:sz w:val="24"/>
          <w:szCs w:val="24"/>
          <w:u w:val="single"/>
        </w:rPr>
        <w:t>等，其设计由建设单位委托专业单位进行，购置相应设备，必须实现沼气完全燃烧，不可直接向大气环境排放。</w:t>
      </w:r>
    </w:p>
    <w:p>
      <w:pPr>
        <w:spacing w:line="360" w:lineRule="auto"/>
        <w:ind w:firstLine="482" w:firstLineChars="200"/>
        <w:rPr>
          <w:rFonts w:ascii="Times New Roman" w:hAnsi="Times New Roman" w:eastAsia="宋体" w:cs="Times New Roman"/>
          <w:color w:val="auto"/>
          <w:sz w:val="24"/>
          <w:szCs w:val="24"/>
        </w:rPr>
      </w:pPr>
      <w:r>
        <w:rPr>
          <w:rFonts w:ascii="Times New Roman" w:hAnsi="Times New Roman" w:eastAsia="宋体" w:cs="Times New Roman"/>
          <w:b/>
          <w:color w:val="auto"/>
          <w:sz w:val="24"/>
          <w:szCs w:val="24"/>
        </w:rPr>
        <w:t>3、食堂油烟</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设有职工食堂，食堂采用本项目污水处理过程中产生的经净化后的清洁能源沼气作为，经净化的沼气属于清洁能源，燃烧对周围环境空气质量影响小，因此本项目运营过程中食堂产生的废气主要为食堂油烟。油烟指烹调油烟，由水蒸汽和油珠组成，它是食用油加热到250℃以上，油脂发生氧化、水解、聚合、裂解等反应，随沸腾的油挥发出来的烹调烟气。</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厨房油烟废气主要成分为动植物油烟，根据对餐饮企业的类比调查，目前居民人均食用油量为30g/人·d，根据不同的烧炸工况，油的挥发量不同，按日进行烧炸工况6小时计，油的平均挥发量为总耗油量的3%。本项目食堂内拟设有2个灶头，就餐人次按120人计，项目年耗食用油量1.314t/a。则油烟产生量为39.42kg/a（0.108kg/d，0.018kg/h）。</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防治措施：根据国家《饮食行业油烟排放标准（试行）》（GB18483-2001）标准的要求，本次评价要求在食堂安装油烟净化器处理，烟气净化设施（去除率大于75%，风机风量约5000m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/h），并由专用内置强制排烟道至食堂楼顶排放，则食堂油烟污染物排放量为9.855kg/a（0.027kg/d，0.0045kg/h），排放浓度约为0.9mg/m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。能够满足《饮食业油烟排放标准（试行）》（GB18483-2001）的排放标准油烟最高允许排放浓度（≤2.0mg/m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）要求，对区域环境影响很小。</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4、柴油发电机废气</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本项目配备1台</w:t>
      </w:r>
      <w:r>
        <w:rPr>
          <w:rFonts w:hint="eastAsia" w:ascii="Times New Roman" w:hAnsi="Times New Roman" w:eastAsia="宋体" w:cs="Times New Roman"/>
          <w:b w:val="0"/>
          <w:bCs w:val="0"/>
          <w:color w:val="auto"/>
          <w:kern w:val="2"/>
          <w:sz w:val="24"/>
          <w:szCs w:val="24"/>
          <w:lang w:val="en-US" w:eastAsia="zh-CN" w:bidi="ar-SA"/>
        </w:rPr>
        <w:t>800</w:t>
      </w:r>
      <w:r>
        <w:rPr>
          <w:rFonts w:hint="default" w:ascii="Times New Roman" w:hAnsi="Times New Roman" w:eastAsia="宋体" w:cs="Times New Roman"/>
          <w:b w:val="0"/>
          <w:bCs w:val="0"/>
          <w:color w:val="auto"/>
          <w:kern w:val="2"/>
          <w:sz w:val="24"/>
          <w:szCs w:val="24"/>
          <w:lang w:val="en-US" w:eastAsia="zh-CN" w:bidi="ar-SA"/>
        </w:rPr>
        <w:t>kW的备用柴油发电机作为厂区的应急电源，当出现突发性停电，可自行发电供给养殖场使用。柴油发电机在使用过程中会产生废气，其主要成分为CO、HC、NOx。发电机房采用机械送、排风的形式，发电机房内保持着良好的通风性，柴油发电机产生的废气先由自身携带的废气净化装置处理，处理后经抽排风系统抽至排风口处排放。由于柴油发电机产生的废气量很小，采用上述措施后完全能够做到达标排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备用发电机只有在停电时使用，备用发电机使用的频率很小，废气的排放间断性强，加上废气通过自由扩散后，浓度很小，对周围环境影响很小。同时，环评建议项目使用0#号柴油，0#柴油属于清洁能源，其燃烧产生的废气污染物较少，可进一步降低对外环境的不良影响。</w:t>
      </w:r>
    </w:p>
    <w:p>
      <w:pPr>
        <w:pStyle w:val="2"/>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废气产生及排放情况汇总</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综上所述，项目产生的沼气经沼气经净化系统处理后主要用于食堂燃烧</w:t>
      </w:r>
      <w:r>
        <w:rPr>
          <w:rFonts w:hint="eastAsia" w:ascii="Times New Roman" w:hAnsi="Times New Roman" w:eastAsia="宋体" w:cs="Times New Roman"/>
          <w:color w:val="auto"/>
          <w:sz w:val="24"/>
          <w:szCs w:val="24"/>
          <w:lang w:eastAsia="zh-CN"/>
        </w:rPr>
        <w:t>和沼气发电</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猪舍</w:t>
      </w:r>
      <w:r>
        <w:rPr>
          <w:rFonts w:ascii="Times New Roman" w:hAnsi="Times New Roman" w:eastAsia="宋体" w:cs="Times New Roman"/>
          <w:color w:val="auto"/>
          <w:sz w:val="24"/>
          <w:szCs w:val="24"/>
        </w:rPr>
        <w:t>恶臭通过猪粪日产日清、加强通风、饲料中添加EM、喷洒除臭剂等措施，可在厂界达标排放；</w:t>
      </w:r>
      <w:r>
        <w:rPr>
          <w:rFonts w:hint="eastAsia" w:ascii="Times New Roman" w:hAnsi="Times New Roman" w:eastAsia="宋体" w:cs="Times New Roman"/>
          <w:color w:val="auto"/>
          <w:sz w:val="24"/>
          <w:szCs w:val="24"/>
          <w:lang w:eastAsia="zh-CN"/>
        </w:rPr>
        <w:t>污水处理站恶臭及堆肥发酵罐产生的恶臭</w:t>
      </w:r>
      <w:r>
        <w:rPr>
          <w:rFonts w:hint="default" w:ascii="Times New Roman" w:hAnsi="Times New Roman" w:eastAsia="宋体" w:cs="Times New Roman"/>
          <w:color w:val="auto"/>
          <w:kern w:val="2"/>
          <w:sz w:val="24"/>
          <w:szCs w:val="24"/>
          <w:lang w:val="en-US" w:eastAsia="zh-CN" w:bidi="ar-SA"/>
        </w:rPr>
        <w:t>经“碱液喷淋+生物过滤法”处理后经15m高排气筒</w:t>
      </w:r>
      <w:r>
        <w:rPr>
          <w:rFonts w:hint="eastAsia" w:ascii="Times New Roman" w:hAnsi="Times New Roman" w:eastAsia="宋体" w:cs="Times New Roman"/>
          <w:color w:val="auto"/>
          <w:kern w:val="2"/>
          <w:sz w:val="24"/>
          <w:szCs w:val="24"/>
          <w:lang w:val="en-US" w:eastAsia="zh-CN" w:bidi="ar-SA"/>
        </w:rPr>
        <w:t>（1#）达标</w:t>
      </w:r>
      <w:r>
        <w:rPr>
          <w:rFonts w:hint="default" w:ascii="Times New Roman" w:hAnsi="Times New Roman" w:eastAsia="宋体" w:cs="Times New Roman"/>
          <w:color w:val="auto"/>
          <w:kern w:val="2"/>
          <w:sz w:val="24"/>
          <w:szCs w:val="24"/>
          <w:lang w:val="en-US" w:eastAsia="zh-CN" w:bidi="ar-SA"/>
        </w:rPr>
        <w:t>排放</w:t>
      </w:r>
      <w:r>
        <w:rPr>
          <w:rFonts w:hint="eastAsia" w:ascii="Times New Roman" w:hAnsi="Times New Roman" w:eastAsia="宋体" w:cs="Times New Roman"/>
          <w:color w:val="auto"/>
          <w:kern w:val="2"/>
          <w:sz w:val="24"/>
          <w:szCs w:val="24"/>
          <w:lang w:val="en-US" w:eastAsia="zh-CN" w:bidi="ar-SA"/>
        </w:rPr>
        <w:t>；无害化处理机恶臭经自带恶臭净化器处理后由8m高的排气筒排放（无组织）；</w:t>
      </w:r>
      <w:r>
        <w:rPr>
          <w:rFonts w:ascii="Times New Roman" w:hAnsi="Times New Roman" w:eastAsia="宋体" w:cs="Times New Roman"/>
          <w:color w:val="auto"/>
          <w:sz w:val="24"/>
          <w:szCs w:val="24"/>
        </w:rPr>
        <w:t>食堂油烟经油烟净化器处理后经烟道至楼顶达标排放；柴油发电机产生的废气由自身携带的废气净化装置处理后能够做到达标排放。</w:t>
      </w:r>
    </w:p>
    <w:p>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①</w:t>
      </w:r>
      <w:r>
        <w:rPr>
          <w:rFonts w:hint="default" w:ascii="Times New Roman" w:hAnsi="Times New Roman" w:eastAsia="宋体" w:cs="Times New Roman"/>
          <w:b/>
          <w:bCs/>
          <w:color w:val="auto"/>
          <w:sz w:val="24"/>
          <w:szCs w:val="24"/>
          <w:lang w:eastAsia="zh-CN"/>
        </w:rPr>
        <w:t>恶臭气体有组织排放情况</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本项目恶臭气体有组织排放情况见下表。</w:t>
      </w:r>
      <w:r>
        <w:rPr>
          <w:rFonts w:ascii="Times New Roman" w:hAnsi="Times New Roman" w:eastAsia="宋体" w:cs="Times New Roman"/>
          <w:color w:val="auto"/>
          <w:sz w:val="24"/>
          <w:szCs w:val="24"/>
        </w:rPr>
        <w:t>项目废气产生及排放情况见表3.</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22</w:t>
      </w:r>
      <w:r>
        <w:rPr>
          <w:rFonts w:ascii="Times New Roman" w:hAnsi="Times New Roman" w:eastAsia="宋体" w:cs="Times New Roman"/>
          <w:color w:val="auto"/>
          <w:sz w:val="24"/>
          <w:szCs w:val="24"/>
        </w:rPr>
        <w:t>。</w:t>
      </w:r>
    </w:p>
    <w:p>
      <w:pPr>
        <w:pStyle w:val="2"/>
        <w:ind w:left="0" w:leftChars="0" w:firstLine="0" w:firstLineChars="0"/>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503"/>
        <w:numPr>
          <w:ilvl w:val="0"/>
          <w:numId w:val="19"/>
        </w:numPr>
        <w:spacing w:before="120" w:line="360" w:lineRule="auto"/>
        <w:ind w:left="0" w:leftChars="0" w:firstLine="403"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项目恶臭有组织废气产生及排放情况</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24"/>
        <w:gridCol w:w="449"/>
        <w:gridCol w:w="450"/>
        <w:gridCol w:w="450"/>
        <w:gridCol w:w="799"/>
        <w:gridCol w:w="1030"/>
        <w:gridCol w:w="952"/>
        <w:gridCol w:w="1025"/>
        <w:gridCol w:w="773"/>
        <w:gridCol w:w="718"/>
        <w:gridCol w:w="905"/>
        <w:gridCol w:w="382"/>
        <w:gridCol w:w="588"/>
        <w:gridCol w:w="628"/>
        <w:gridCol w:w="679"/>
        <w:gridCol w:w="930"/>
        <w:gridCol w:w="1150"/>
        <w:gridCol w:w="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40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产污环境</w:t>
            </w:r>
          </w:p>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b/>
                <w:bCs/>
                <w:color w:val="auto"/>
                <w:sz w:val="21"/>
                <w:szCs w:val="21"/>
                <w:lang w:val="en-US" w:eastAsia="zh-CN"/>
              </w:rPr>
            </w:pPr>
          </w:p>
        </w:tc>
        <w:tc>
          <w:tcPr>
            <w:tcW w:w="789" w:type="pct"/>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排气参数</w:t>
            </w:r>
          </w:p>
        </w:tc>
        <w:tc>
          <w:tcPr>
            <w:tcW w:w="374"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污染物名称</w:t>
            </w:r>
          </w:p>
        </w:tc>
        <w:tc>
          <w:tcPr>
            <w:tcW w:w="1000"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废气产生量</w:t>
            </w:r>
          </w:p>
        </w:tc>
        <w:tc>
          <w:tcPr>
            <w:tcW w:w="26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治理</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措施</w:t>
            </w:r>
          </w:p>
        </w:tc>
        <w:tc>
          <w:tcPr>
            <w:tcW w:w="32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去除率%</w:t>
            </w:r>
          </w:p>
        </w:tc>
        <w:tc>
          <w:tcPr>
            <w:tcW w:w="751" w:type="pct"/>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废气排放状况</w:t>
            </w:r>
          </w:p>
        </w:tc>
        <w:tc>
          <w:tcPr>
            <w:tcW w:w="755" w:type="pct"/>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排放标准</w:t>
            </w:r>
          </w:p>
        </w:tc>
        <w:tc>
          <w:tcPr>
            <w:tcW w:w="326"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0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p>
        </w:tc>
        <w:tc>
          <w:tcPr>
            <w:tcW w:w="16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16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高度</w:t>
            </w:r>
          </w:p>
        </w:tc>
        <w:tc>
          <w:tcPr>
            <w:tcW w:w="16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内径</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(m)</w:t>
            </w:r>
          </w:p>
        </w:tc>
        <w:tc>
          <w:tcPr>
            <w:tcW w:w="2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排气量m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/h</w:t>
            </w:r>
          </w:p>
        </w:tc>
        <w:tc>
          <w:tcPr>
            <w:tcW w:w="374"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p>
        </w:tc>
        <w:tc>
          <w:tcPr>
            <w:tcW w:w="34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372"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281"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26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p>
        </w:tc>
        <w:tc>
          <w:tcPr>
            <w:tcW w:w="32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p>
        </w:tc>
        <w:tc>
          <w:tcPr>
            <w:tcW w:w="273" w:type="pct"/>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23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248"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338"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416"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浓度mg/m</w:t>
            </w:r>
            <w:r>
              <w:rPr>
                <w:rFonts w:hint="default" w:ascii="Times New Roman" w:hAnsi="Times New Roman" w:eastAsia="宋体" w:cs="Times New Roman"/>
                <w:b w:val="0"/>
                <w:bCs w:val="0"/>
                <w:color w:val="auto"/>
                <w:sz w:val="21"/>
                <w:szCs w:val="21"/>
                <w:vertAlign w:val="superscript"/>
              </w:rPr>
              <w:t>3</w:t>
            </w:r>
          </w:p>
        </w:tc>
        <w:tc>
          <w:tcPr>
            <w:tcW w:w="32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40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堆肥发酵罐</w:t>
            </w:r>
          </w:p>
        </w:tc>
        <w:tc>
          <w:tcPr>
            <w:tcW w:w="16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6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16m</w:t>
            </w:r>
          </w:p>
        </w:tc>
        <w:tc>
          <w:tcPr>
            <w:tcW w:w="16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w:t>
            </w:r>
          </w:p>
        </w:tc>
        <w:tc>
          <w:tcPr>
            <w:tcW w:w="290"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5000</w:t>
            </w:r>
          </w:p>
        </w:tc>
        <w:tc>
          <w:tcPr>
            <w:tcW w:w="374" w:type="pct"/>
            <w:noWrap w:val="0"/>
            <w:vAlign w:val="center"/>
          </w:tcPr>
          <w:p>
            <w:pPr>
              <w:pStyle w:val="163"/>
              <w:keepNext w:val="0"/>
              <w:keepLines w:val="0"/>
              <w:suppressLineNumbers w:val="0"/>
              <w:kinsoku w:val="0"/>
              <w:overflowPunct w:val="0"/>
              <w:spacing w:before="44" w:beforeAutospacing="0" w:after="0" w:afterAutospacing="0" w:line="36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NH</w:t>
            </w:r>
            <w:r>
              <w:rPr>
                <w:rFonts w:hint="default" w:ascii="Times New Roman" w:hAnsi="Times New Roman" w:eastAsia="宋体" w:cs="Times New Roman"/>
                <w:color w:val="auto"/>
                <w:sz w:val="21"/>
                <w:szCs w:val="21"/>
                <w:vertAlign w:val="subscript"/>
              </w:rPr>
              <w:t>3</w:t>
            </w:r>
          </w:p>
        </w:tc>
        <w:tc>
          <w:tcPr>
            <w:tcW w:w="34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1.91</w:t>
            </w:r>
          </w:p>
        </w:tc>
        <w:tc>
          <w:tcPr>
            <w:tcW w:w="3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color w:val="auto"/>
                <w:kern w:val="0"/>
                <w:sz w:val="21"/>
                <w:szCs w:val="21"/>
                <w:u w:val="none"/>
                <w:lang w:val="en-US" w:eastAsia="zh-CN" w:bidi="ar"/>
              </w:rPr>
              <w:t>0.01</w:t>
            </w:r>
          </w:p>
        </w:tc>
        <w:tc>
          <w:tcPr>
            <w:tcW w:w="281" w:type="pct"/>
            <w:noWrap w:val="0"/>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color w:val="auto"/>
                <w:kern w:val="0"/>
                <w:sz w:val="21"/>
                <w:szCs w:val="21"/>
                <w:u w:val="none"/>
                <w:lang w:val="en-US" w:eastAsia="zh-CN" w:bidi="ar"/>
              </w:rPr>
              <w:t>0.0836</w:t>
            </w:r>
          </w:p>
        </w:tc>
        <w:tc>
          <w:tcPr>
            <w:tcW w:w="26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“碱液喷淋+生物滤池”</w:t>
            </w:r>
          </w:p>
        </w:tc>
        <w:tc>
          <w:tcPr>
            <w:tcW w:w="32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收集效率95%，处理效率不低于90%</w:t>
            </w:r>
          </w:p>
        </w:tc>
        <w:tc>
          <w:tcPr>
            <w:tcW w:w="97" w:type="pct"/>
            <w:vMerge w:val="restart"/>
            <w:noWrap w:val="0"/>
            <w:vAlign w:val="center"/>
          </w:tcPr>
          <w:p>
            <w:pPr>
              <w:pStyle w:val="163"/>
              <w:keepNext w:val="0"/>
              <w:keepLines w:val="0"/>
              <w:suppressLineNumbers w:val="0"/>
              <w:kinsoku w:val="0"/>
              <w:overflowPunct w:val="0"/>
              <w:spacing w:before="44" w:beforeAutospacing="0" w:after="0" w:afterAutospacing="0" w:line="360" w:lineRule="auto"/>
              <w:ind w:left="0" w:leftChars="0" w:right="0" w:rightChars="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position w:val="2"/>
                <w:sz w:val="21"/>
                <w:szCs w:val="21"/>
              </w:rPr>
              <w:t>NH</w:t>
            </w:r>
            <w:r>
              <w:rPr>
                <w:rFonts w:hint="default" w:ascii="Times New Roman" w:hAnsi="Times New Roman" w:eastAsia="宋体" w:cs="Times New Roman"/>
                <w:color w:val="auto"/>
                <w:sz w:val="21"/>
                <w:szCs w:val="21"/>
                <w:vertAlign w:val="subscript"/>
              </w:rPr>
              <w:t>3</w:t>
            </w:r>
          </w:p>
        </w:tc>
        <w:tc>
          <w:tcPr>
            <w:tcW w:w="175"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0.6604</w:t>
            </w:r>
          </w:p>
        </w:tc>
        <w:tc>
          <w:tcPr>
            <w:tcW w:w="230"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0.0012</w:t>
            </w:r>
          </w:p>
        </w:tc>
        <w:tc>
          <w:tcPr>
            <w:tcW w:w="248"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0.0288</w:t>
            </w:r>
          </w:p>
        </w:tc>
        <w:tc>
          <w:tcPr>
            <w:tcW w:w="33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4.9</w:t>
            </w:r>
          </w:p>
        </w:tc>
        <w:tc>
          <w:tcPr>
            <w:tcW w:w="41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w:t>
            </w:r>
          </w:p>
        </w:tc>
        <w:tc>
          <w:tcPr>
            <w:tcW w:w="32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40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90"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74" w:type="pct"/>
            <w:noWrap w:val="0"/>
            <w:vAlign w:val="center"/>
          </w:tcPr>
          <w:p>
            <w:pPr>
              <w:pStyle w:val="163"/>
              <w:keepNext w:val="0"/>
              <w:keepLines w:val="0"/>
              <w:suppressLineNumbers w:val="0"/>
              <w:kinsoku w:val="0"/>
              <w:overflowPunct w:val="0"/>
              <w:spacing w:before="45" w:beforeAutospacing="0" w:after="0" w:afterAutospacing="0" w:line="36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position w:val="2"/>
                <w:sz w:val="21"/>
                <w:szCs w:val="21"/>
              </w:rPr>
              <w:t>S</w:t>
            </w:r>
          </w:p>
        </w:tc>
        <w:tc>
          <w:tcPr>
            <w:tcW w:w="34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0.191</w:t>
            </w:r>
          </w:p>
        </w:tc>
        <w:tc>
          <w:tcPr>
            <w:tcW w:w="37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i w:val="0"/>
                <w:color w:val="auto"/>
                <w:kern w:val="0"/>
                <w:sz w:val="21"/>
                <w:szCs w:val="21"/>
                <w:u w:val="none"/>
                <w:lang w:val="en-US" w:eastAsia="zh-CN" w:bidi="ar"/>
              </w:rPr>
              <w:t>0.001</w:t>
            </w:r>
          </w:p>
        </w:tc>
        <w:tc>
          <w:tcPr>
            <w:tcW w:w="281" w:type="pct"/>
            <w:noWrap w:val="0"/>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color w:val="auto"/>
                <w:kern w:val="0"/>
                <w:sz w:val="21"/>
                <w:szCs w:val="21"/>
                <w:u w:val="none"/>
                <w:lang w:val="en-US" w:eastAsia="zh-CN" w:bidi="ar"/>
              </w:rPr>
              <w:t>0.0084</w:t>
            </w:r>
          </w:p>
        </w:tc>
        <w:tc>
          <w:tcPr>
            <w:tcW w:w="26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32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97"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bidi="ar"/>
              </w:rPr>
            </w:pPr>
          </w:p>
        </w:tc>
        <w:tc>
          <w:tcPr>
            <w:tcW w:w="17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bidi="ar"/>
              </w:rPr>
            </w:pPr>
          </w:p>
        </w:tc>
        <w:tc>
          <w:tcPr>
            <w:tcW w:w="230"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bidi="ar"/>
              </w:rPr>
            </w:pPr>
          </w:p>
        </w:tc>
        <w:tc>
          <w:tcPr>
            <w:tcW w:w="248"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bidi="ar"/>
              </w:rPr>
            </w:pPr>
          </w:p>
        </w:tc>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41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32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0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污水处理站</w:t>
            </w: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90"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74" w:type="pct"/>
            <w:vMerge w:val="restart"/>
            <w:noWrap w:val="0"/>
            <w:vAlign w:val="center"/>
          </w:tcPr>
          <w:p>
            <w:pPr>
              <w:pStyle w:val="163"/>
              <w:keepNext w:val="0"/>
              <w:keepLines w:val="0"/>
              <w:suppressLineNumbers w:val="0"/>
              <w:kinsoku w:val="0"/>
              <w:overflowPunct w:val="0"/>
              <w:spacing w:before="44" w:beforeAutospacing="0" w:after="0" w:afterAutospacing="0" w:line="36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NH</w:t>
            </w:r>
            <w:r>
              <w:rPr>
                <w:rFonts w:hint="default" w:ascii="Times New Roman" w:hAnsi="Times New Roman" w:eastAsia="宋体" w:cs="Times New Roman"/>
                <w:color w:val="auto"/>
                <w:sz w:val="21"/>
                <w:szCs w:val="21"/>
                <w:vertAlign w:val="subscript"/>
              </w:rPr>
              <w:t>3</w:t>
            </w:r>
          </w:p>
        </w:tc>
        <w:tc>
          <w:tcPr>
            <w:tcW w:w="346"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5.02</w:t>
            </w:r>
          </w:p>
        </w:tc>
        <w:tc>
          <w:tcPr>
            <w:tcW w:w="372" w:type="pct"/>
            <w:vMerge w:val="restart"/>
            <w:noWrap w:val="0"/>
            <w:vAlign w:val="center"/>
          </w:tcPr>
          <w:p>
            <w:pPr>
              <w:pStyle w:val="163"/>
              <w:keepNext w:val="0"/>
              <w:keepLines w:val="0"/>
              <w:suppressLineNumbers w:val="0"/>
              <w:kinsoku w:val="0"/>
              <w:overflowPunct w:val="0"/>
              <w:spacing w:before="48" w:beforeAutospacing="0" w:after="0" w:afterAutospacing="0" w:line="36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0.025</w:t>
            </w:r>
          </w:p>
        </w:tc>
        <w:tc>
          <w:tcPr>
            <w:tcW w:w="281" w:type="pct"/>
            <w:vMerge w:val="restart"/>
            <w:noWrap w:val="0"/>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0.22</w:t>
            </w:r>
          </w:p>
        </w:tc>
        <w:tc>
          <w:tcPr>
            <w:tcW w:w="26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32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97"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bidi="ar"/>
              </w:rPr>
            </w:pPr>
          </w:p>
        </w:tc>
        <w:tc>
          <w:tcPr>
            <w:tcW w:w="17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bidi="ar"/>
              </w:rPr>
            </w:pPr>
          </w:p>
        </w:tc>
        <w:tc>
          <w:tcPr>
            <w:tcW w:w="230"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p>
        </w:tc>
        <w:tc>
          <w:tcPr>
            <w:tcW w:w="248"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p>
        </w:tc>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41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32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40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90"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74" w:type="pct"/>
            <w:vMerge w:val="continue"/>
            <w:noWrap w:val="0"/>
            <w:vAlign w:val="center"/>
          </w:tcPr>
          <w:p>
            <w:pPr>
              <w:pStyle w:val="163"/>
              <w:keepNext w:val="0"/>
              <w:keepLines w:val="0"/>
              <w:suppressLineNumbers w:val="0"/>
              <w:kinsoku w:val="0"/>
              <w:overflowPunct w:val="0"/>
              <w:spacing w:before="44" w:beforeAutospacing="0" w:after="0" w:afterAutospacing="0" w:line="360" w:lineRule="auto"/>
              <w:ind w:left="0" w:leftChars="0" w:right="0" w:rightChars="0"/>
              <w:jc w:val="center"/>
              <w:rPr>
                <w:rFonts w:hint="default" w:ascii="Times New Roman" w:hAnsi="Times New Roman" w:eastAsia="宋体" w:cs="Times New Roman"/>
                <w:color w:val="auto"/>
                <w:position w:val="2"/>
                <w:sz w:val="21"/>
                <w:szCs w:val="21"/>
              </w:rPr>
            </w:pPr>
          </w:p>
        </w:tc>
        <w:tc>
          <w:tcPr>
            <w:tcW w:w="346"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p>
        </w:tc>
        <w:tc>
          <w:tcPr>
            <w:tcW w:w="372" w:type="pct"/>
            <w:vMerge w:val="continue"/>
            <w:noWrap w:val="0"/>
            <w:vAlign w:val="center"/>
          </w:tcPr>
          <w:p>
            <w:pPr>
              <w:pStyle w:val="163"/>
              <w:keepNext w:val="0"/>
              <w:keepLines w:val="0"/>
              <w:suppressLineNumbers w:val="0"/>
              <w:kinsoku w:val="0"/>
              <w:overflowPunct w:val="0"/>
              <w:spacing w:before="48" w:beforeAutospacing="0" w:after="0" w:afterAutospacing="0" w:line="360" w:lineRule="auto"/>
              <w:ind w:left="0" w:leftChars="0" w:right="0" w:rightChars="0"/>
              <w:jc w:val="center"/>
              <w:rPr>
                <w:rFonts w:hint="default" w:ascii="Times New Roman" w:hAnsi="Times New Roman" w:eastAsia="宋体" w:cs="Times New Roman"/>
                <w:color w:val="auto"/>
                <w:sz w:val="21"/>
                <w:szCs w:val="21"/>
                <w:lang w:val="en-US" w:eastAsia="zh-CN"/>
              </w:rPr>
            </w:pPr>
          </w:p>
        </w:tc>
        <w:tc>
          <w:tcPr>
            <w:tcW w:w="281" w:type="pct"/>
            <w:vMerge w:val="continue"/>
            <w:noWrap w:val="0"/>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26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32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97" w:type="pct"/>
            <w:vMerge w:val="restart"/>
            <w:noWrap w:val="0"/>
            <w:vAlign w:val="center"/>
          </w:tcPr>
          <w:p>
            <w:pPr>
              <w:pStyle w:val="163"/>
              <w:keepNext w:val="0"/>
              <w:keepLines w:val="0"/>
              <w:suppressLineNumbers w:val="0"/>
              <w:kinsoku w:val="0"/>
              <w:overflowPunct w:val="0"/>
              <w:spacing w:before="45" w:beforeAutospacing="0" w:after="0" w:afterAutospacing="0" w:line="360" w:lineRule="auto"/>
              <w:ind w:left="0" w:leftChars="0" w:right="0" w:rightChars="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position w:val="2"/>
                <w:sz w:val="21"/>
                <w:szCs w:val="21"/>
              </w:rPr>
              <w:t>S</w:t>
            </w:r>
          </w:p>
        </w:tc>
        <w:tc>
          <w:tcPr>
            <w:tcW w:w="175"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0.036</w:t>
            </w:r>
            <w:r>
              <w:rPr>
                <w:rFonts w:hint="default" w:ascii="Times New Roman" w:hAnsi="Times New Roman" w:eastAsia="宋体" w:cs="Times New Roman"/>
                <w:color w:val="auto"/>
                <w:kern w:val="0"/>
                <w:sz w:val="21"/>
                <w:szCs w:val="21"/>
                <w:lang w:val="en-US" w:eastAsia="zh-CN" w:bidi="ar"/>
              </w:rPr>
              <w:t>7</w:t>
            </w:r>
          </w:p>
        </w:tc>
        <w:tc>
          <w:tcPr>
            <w:tcW w:w="230"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w:t>
            </w:r>
          </w:p>
        </w:tc>
        <w:tc>
          <w:tcPr>
            <w:tcW w:w="248"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0.0016</w:t>
            </w:r>
          </w:p>
        </w:tc>
        <w:tc>
          <w:tcPr>
            <w:tcW w:w="33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0.33</w:t>
            </w:r>
          </w:p>
        </w:tc>
        <w:tc>
          <w:tcPr>
            <w:tcW w:w="41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2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0" w:hRule="atLeast"/>
          <w:jc w:val="center"/>
        </w:trPr>
        <w:tc>
          <w:tcPr>
            <w:tcW w:w="40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16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290"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74" w:type="pct"/>
            <w:noWrap w:val="0"/>
            <w:vAlign w:val="center"/>
          </w:tcPr>
          <w:p>
            <w:pPr>
              <w:pStyle w:val="163"/>
              <w:keepNext w:val="0"/>
              <w:keepLines w:val="0"/>
              <w:suppressLineNumbers w:val="0"/>
              <w:kinsoku w:val="0"/>
              <w:overflowPunct w:val="0"/>
              <w:spacing w:before="45" w:beforeAutospacing="0" w:after="0" w:afterAutospacing="0" w:line="36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position w:val="2"/>
                <w:sz w:val="21"/>
                <w:szCs w:val="21"/>
              </w:rPr>
              <w:t>S</w:t>
            </w:r>
          </w:p>
        </w:tc>
        <w:tc>
          <w:tcPr>
            <w:tcW w:w="34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0.19</w:t>
            </w:r>
          </w:p>
        </w:tc>
        <w:tc>
          <w:tcPr>
            <w:tcW w:w="372" w:type="pct"/>
            <w:noWrap w:val="0"/>
            <w:vAlign w:val="center"/>
          </w:tcPr>
          <w:p>
            <w:pPr>
              <w:pStyle w:val="163"/>
              <w:keepNext w:val="0"/>
              <w:keepLines w:val="0"/>
              <w:suppressLineNumbers w:val="0"/>
              <w:kinsoku w:val="0"/>
              <w:overflowPunct w:val="0"/>
              <w:spacing w:before="48" w:beforeAutospacing="0" w:after="0" w:afterAutospacing="0" w:line="360" w:lineRule="auto"/>
              <w:ind w:left="0" w:leftChars="0" w:right="0" w:rightChars="0"/>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0.001</w:t>
            </w:r>
          </w:p>
        </w:tc>
        <w:tc>
          <w:tcPr>
            <w:tcW w:w="281" w:type="pct"/>
            <w:noWrap w:val="0"/>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color w:val="auto"/>
                <w:kern w:val="0"/>
                <w:sz w:val="21"/>
                <w:szCs w:val="21"/>
                <w:u w:val="none"/>
                <w:lang w:val="en-US" w:eastAsia="zh-CN" w:bidi="ar"/>
              </w:rPr>
              <w:t>0.0085</w:t>
            </w:r>
          </w:p>
        </w:tc>
        <w:tc>
          <w:tcPr>
            <w:tcW w:w="26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32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97"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bidi="ar"/>
              </w:rPr>
            </w:pPr>
          </w:p>
        </w:tc>
        <w:tc>
          <w:tcPr>
            <w:tcW w:w="175"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bidi="ar"/>
              </w:rPr>
            </w:pPr>
          </w:p>
        </w:tc>
        <w:tc>
          <w:tcPr>
            <w:tcW w:w="230"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p>
        </w:tc>
        <w:tc>
          <w:tcPr>
            <w:tcW w:w="248"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p>
        </w:tc>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41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32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r>
    </w:tbl>
    <w:p>
      <w:pPr>
        <w:pStyle w:val="2"/>
        <w:spacing w:line="360" w:lineRule="auto"/>
        <w:ind w:left="0" w:leftChars="0" w:firstLine="0" w:firstLineChars="0"/>
        <w:rPr>
          <w:color w:val="auto"/>
          <w:kern w:val="0"/>
          <w:sz w:val="24"/>
        </w:rPr>
        <w:sectPr>
          <w:footerReference r:id="rId7" w:type="default"/>
          <w:pgSz w:w="16838" w:h="11906" w:orient="landscape"/>
          <w:pgMar w:top="1797" w:right="1452" w:bottom="1797" w:left="1452" w:header="851" w:footer="992" w:gutter="0"/>
          <w:pgNumType w:fmt="decimal"/>
          <w:cols w:space="720" w:num="1"/>
          <w:docGrid w:type="lines" w:linePitch="312" w:charSpace="0"/>
        </w:sectPr>
      </w:pPr>
    </w:p>
    <w:p>
      <w:pPr>
        <w:spacing w:line="360" w:lineRule="auto"/>
        <w:ind w:firstLine="482" w:firstLineChars="200"/>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②</w:t>
      </w:r>
      <w:r>
        <w:rPr>
          <w:rFonts w:hint="default" w:ascii="Times New Roman" w:hAnsi="Times New Roman" w:eastAsia="宋体" w:cs="Times New Roman"/>
          <w:b/>
          <w:bCs/>
          <w:color w:val="auto"/>
          <w:sz w:val="24"/>
          <w:szCs w:val="24"/>
          <w:lang w:eastAsia="zh-CN"/>
        </w:rPr>
        <w:t>恶臭气体</w:t>
      </w:r>
      <w:r>
        <w:rPr>
          <w:rFonts w:hint="eastAsia" w:ascii="Times New Roman" w:hAnsi="Times New Roman" w:eastAsia="宋体" w:cs="Times New Roman"/>
          <w:b/>
          <w:bCs/>
          <w:color w:val="auto"/>
          <w:sz w:val="24"/>
          <w:szCs w:val="24"/>
          <w:lang w:eastAsia="zh-CN"/>
        </w:rPr>
        <w:t>无组织</w:t>
      </w:r>
      <w:r>
        <w:rPr>
          <w:rFonts w:hint="default" w:ascii="Times New Roman" w:hAnsi="Times New Roman" w:eastAsia="宋体" w:cs="Times New Roman"/>
          <w:b/>
          <w:bCs/>
          <w:color w:val="auto"/>
          <w:sz w:val="24"/>
          <w:szCs w:val="24"/>
          <w:lang w:eastAsia="zh-CN"/>
        </w:rPr>
        <w:t>排放情况</w:t>
      </w:r>
    </w:p>
    <w:p>
      <w:pPr>
        <w:pStyle w:val="2503"/>
        <w:numPr>
          <w:ilvl w:val="0"/>
          <w:numId w:val="19"/>
        </w:numPr>
        <w:spacing w:before="120"/>
        <w:ind w:left="0" w:leftChars="0" w:firstLine="403"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项目无组织废气排放情况</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5"/>
        <w:gridCol w:w="1108"/>
        <w:gridCol w:w="1571"/>
        <w:gridCol w:w="1438"/>
        <w:gridCol w:w="1604"/>
        <w:gridCol w:w="12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default"/>
                <w:b/>
                <w:color w:val="auto"/>
                <w:kern w:val="0"/>
              </w:rPr>
              <w:t>产生环节</w:t>
            </w:r>
          </w:p>
        </w:tc>
        <w:tc>
          <w:tcPr>
            <w:tcW w:w="650" w:type="pct"/>
            <w:vMerge w:val="restart"/>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污染物</w:t>
            </w:r>
          </w:p>
        </w:tc>
        <w:tc>
          <w:tcPr>
            <w:tcW w:w="1766" w:type="pct"/>
            <w:gridSpan w:val="2"/>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无组织排放量</w:t>
            </w:r>
          </w:p>
        </w:tc>
        <w:tc>
          <w:tcPr>
            <w:tcW w:w="1694" w:type="pct"/>
            <w:gridSpan w:val="2"/>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b/>
                <w:bCs/>
                <w:color w:val="auto"/>
              </w:rPr>
            </w:pPr>
          </w:p>
        </w:tc>
        <w:tc>
          <w:tcPr>
            <w:tcW w:w="650" w:type="pct"/>
            <w:vMerge w:val="continue"/>
            <w:noWrap w:val="0"/>
            <w:vAlign w:val="center"/>
          </w:tcPr>
          <w:p>
            <w:pPr>
              <w:keepNext w:val="0"/>
              <w:keepLines w:val="0"/>
              <w:suppressLineNumbers w:val="0"/>
              <w:spacing w:before="0" w:beforeAutospacing="0" w:after="0" w:afterAutospacing="0"/>
              <w:ind w:left="0" w:right="0"/>
              <w:jc w:val="center"/>
              <w:rPr>
                <w:rFonts w:hint="default"/>
                <w:b/>
                <w:bCs/>
                <w:color w:val="auto"/>
              </w:rPr>
            </w:pPr>
          </w:p>
        </w:tc>
        <w:tc>
          <w:tcPr>
            <w:tcW w:w="922" w:type="pct"/>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eastAsia"/>
                <w:b/>
                <w:bCs/>
                <w:color w:val="auto"/>
                <w:lang w:eastAsia="zh-CN"/>
              </w:rPr>
              <w:t>排放</w:t>
            </w:r>
            <w:r>
              <w:rPr>
                <w:rFonts w:hint="default"/>
                <w:b/>
                <w:bCs/>
                <w:color w:val="auto"/>
              </w:rPr>
              <w:t>量t/a</w:t>
            </w:r>
          </w:p>
        </w:tc>
        <w:tc>
          <w:tcPr>
            <w:tcW w:w="843" w:type="pct"/>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eastAsia"/>
                <w:b/>
                <w:bCs/>
                <w:color w:val="auto"/>
                <w:lang w:eastAsia="zh-CN"/>
              </w:rPr>
              <w:t>排放</w:t>
            </w:r>
            <w:r>
              <w:rPr>
                <w:rFonts w:hint="default"/>
                <w:b/>
                <w:bCs/>
                <w:color w:val="auto"/>
              </w:rPr>
              <w:t>速率kg/h</w:t>
            </w:r>
          </w:p>
        </w:tc>
        <w:tc>
          <w:tcPr>
            <w:tcW w:w="941" w:type="pct"/>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监控点</w:t>
            </w:r>
          </w:p>
        </w:tc>
        <w:tc>
          <w:tcPr>
            <w:tcW w:w="753" w:type="pct"/>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浓度(mg/m</w:t>
            </w:r>
            <w:r>
              <w:rPr>
                <w:rFonts w:hint="default"/>
                <w:b/>
                <w:bCs/>
                <w:color w:val="auto"/>
                <w:vertAlign w:val="superscript"/>
              </w:rPr>
              <w:t>3</w:t>
            </w:r>
            <w:r>
              <w:rPr>
                <w:rFonts w:hint="default"/>
                <w:b/>
                <w:bCs/>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kern w:val="0"/>
              </w:rPr>
            </w:pPr>
            <w:r>
              <w:rPr>
                <w:rFonts w:hint="eastAsia"/>
                <w:color w:val="auto"/>
                <w:kern w:val="0"/>
              </w:rPr>
              <w:t>猪舍恶臭</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color w:val="auto"/>
                <w:kern w:val="0"/>
                <w:lang w:bidi="ar"/>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92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color w:val="auto"/>
              </w:rPr>
            </w:pPr>
            <w:r>
              <w:rPr>
                <w:rFonts w:hint="eastAsia" w:ascii="Times New Roman" w:hAnsi="Times New Roman" w:eastAsia="宋体" w:cs="Times New Roman"/>
                <w:color w:val="auto"/>
                <w:kern w:val="0"/>
                <w:sz w:val="21"/>
                <w:szCs w:val="21"/>
                <w:lang w:val="en-US" w:eastAsia="zh-CN" w:bidi="ar-SA"/>
              </w:rPr>
              <w:t>0.2626</w:t>
            </w:r>
          </w:p>
        </w:tc>
        <w:tc>
          <w:tcPr>
            <w:tcW w:w="843" w:type="pct"/>
            <w:noWrap w:val="0"/>
            <w:vAlign w:val="center"/>
          </w:tcPr>
          <w:p>
            <w:pPr>
              <w:keepNext w:val="0"/>
              <w:keepLines w:val="0"/>
              <w:suppressLineNumbers w:val="0"/>
              <w:spacing w:before="0" w:beforeAutospacing="0" w:after="0" w:afterAutospacing="0"/>
              <w:ind w:left="0" w:right="0"/>
              <w:jc w:val="center"/>
              <w:rPr>
                <w:rFonts w:hint="default" w:eastAsiaTheme="minorEastAsia"/>
                <w:bCs/>
                <w:color w:val="auto"/>
                <w:lang w:val="en-US" w:eastAsia="zh-CN"/>
              </w:rPr>
            </w:pPr>
            <w:r>
              <w:rPr>
                <w:rFonts w:hint="eastAsia"/>
                <w:color w:val="auto"/>
                <w:kern w:val="0"/>
                <w:lang w:val="en-US" w:eastAsia="zh-CN"/>
              </w:rPr>
              <w:t>0.03</w:t>
            </w:r>
          </w:p>
        </w:tc>
        <w:tc>
          <w:tcPr>
            <w:tcW w:w="941"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周围外浓度最高点</w:t>
            </w:r>
          </w:p>
          <w:p>
            <w:pPr>
              <w:keepNext w:val="0"/>
              <w:keepLines w:val="0"/>
              <w:suppressLineNumbers w:val="0"/>
              <w:spacing w:before="0" w:beforeAutospacing="0" w:after="0" w:afterAutospacing="0"/>
              <w:ind w:left="0" w:right="0"/>
              <w:jc w:val="center"/>
              <w:rPr>
                <w:rFonts w:hint="default"/>
                <w:color w:val="auto"/>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eastAsiaTheme="minorEastAsia"/>
                <w:color w:val="auto"/>
                <w:lang w:val="en-US" w:eastAsia="zh-CN"/>
              </w:rPr>
            </w:pPr>
            <w:r>
              <w:rPr>
                <w:rFonts w:hint="eastAsia" w:ascii="Times New Roman" w:hAnsi="Times New Roman" w:cs="Times New Roman"/>
                <w:color w:val="auto"/>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kern w:val="0"/>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color w:val="auto"/>
                <w:kern w:val="0"/>
                <w:lang w:bidi="ar"/>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92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eastAsia"/>
                <w:color w:val="auto"/>
              </w:rPr>
            </w:pPr>
            <w:r>
              <w:rPr>
                <w:rFonts w:hint="eastAsia" w:ascii="Times New Roman" w:hAnsi="Times New Roman" w:eastAsia="宋体" w:cs="Times New Roman"/>
                <w:color w:val="auto"/>
                <w:kern w:val="0"/>
                <w:sz w:val="21"/>
                <w:szCs w:val="21"/>
                <w:lang w:val="en-US" w:eastAsia="zh-CN" w:bidi="ar-SA"/>
              </w:rPr>
              <w:t>0.0656</w:t>
            </w:r>
          </w:p>
        </w:tc>
        <w:tc>
          <w:tcPr>
            <w:tcW w:w="843" w:type="pct"/>
            <w:noWrap w:val="0"/>
            <w:vAlign w:val="center"/>
          </w:tcPr>
          <w:p>
            <w:pPr>
              <w:keepNext w:val="0"/>
              <w:keepLines w:val="0"/>
              <w:suppressLineNumbers w:val="0"/>
              <w:spacing w:before="0" w:beforeAutospacing="0" w:after="0" w:afterAutospacing="0"/>
              <w:ind w:left="0" w:right="0"/>
              <w:jc w:val="center"/>
              <w:rPr>
                <w:rFonts w:hint="default" w:eastAsiaTheme="minorEastAsia"/>
                <w:bCs/>
                <w:color w:val="auto"/>
                <w:lang w:val="en-US" w:eastAsia="zh-CN"/>
              </w:rPr>
            </w:pPr>
            <w:r>
              <w:rPr>
                <w:rFonts w:hint="eastAsia"/>
                <w:bCs/>
                <w:color w:val="auto"/>
                <w:lang w:val="en-US" w:eastAsia="zh-CN"/>
              </w:rPr>
              <w:t>0.0007</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r>
              <w:rPr>
                <w:rFonts w:hint="eastAsia" w:ascii="Times New Roman" w:hAnsi="Times New Roman" w:cs="Times New Roman"/>
                <w:color w:val="auto"/>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Times New Roman" w:hAnsi="Times New Roman" w:eastAsia="宋体" w:cs="Times New Roman"/>
                <w:color w:val="auto"/>
                <w:kern w:val="0"/>
                <w:sz w:val="21"/>
                <w:szCs w:val="21"/>
                <w:lang w:val="en-US" w:eastAsia="zh-CN" w:bidi="ar-SA"/>
              </w:rPr>
              <w:t>堆肥发酵罐</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color w:val="auto"/>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922" w:type="pct"/>
            <w:noWrap w:val="0"/>
            <w:vAlign w:val="center"/>
          </w:tcPr>
          <w:p>
            <w:pPr>
              <w:keepNext w:val="0"/>
              <w:keepLines w:val="0"/>
              <w:suppressLineNumbers w:val="0"/>
              <w:spacing w:before="0" w:beforeAutospacing="0" w:after="0" w:afterAutospacing="0"/>
              <w:ind w:left="0" w:right="0"/>
              <w:jc w:val="center"/>
              <w:rPr>
                <w:rFonts w:hint="default" w:eastAsiaTheme="minorEastAsia"/>
                <w:color w:val="auto"/>
                <w:lang w:val="en-US" w:eastAsia="zh-CN"/>
              </w:rPr>
            </w:pPr>
            <w:r>
              <w:rPr>
                <w:rFonts w:hint="eastAsia"/>
                <w:color w:val="auto"/>
                <w:lang w:val="en-US" w:eastAsia="zh-CN"/>
              </w:rPr>
              <w:t>0.00418</w:t>
            </w:r>
          </w:p>
        </w:tc>
        <w:tc>
          <w:tcPr>
            <w:tcW w:w="843" w:type="pct"/>
            <w:noWrap w:val="0"/>
            <w:vAlign w:val="center"/>
          </w:tcPr>
          <w:p>
            <w:pPr>
              <w:keepNext w:val="0"/>
              <w:keepLines w:val="0"/>
              <w:suppressLineNumbers w:val="0"/>
              <w:spacing w:before="0" w:beforeAutospacing="0" w:after="0" w:afterAutospacing="0"/>
              <w:ind w:left="0" w:right="0"/>
              <w:jc w:val="center"/>
              <w:rPr>
                <w:rFonts w:hint="default" w:eastAsiaTheme="minorEastAsia"/>
                <w:bCs/>
                <w:color w:val="auto"/>
                <w:lang w:val="en-US" w:eastAsia="zh-CN"/>
              </w:rPr>
            </w:pPr>
            <w:r>
              <w:rPr>
                <w:rFonts w:hint="default"/>
                <w:bCs/>
                <w:color w:val="auto"/>
              </w:rPr>
              <w:t>0.000</w:t>
            </w:r>
            <w:r>
              <w:rPr>
                <w:rFonts w:hint="eastAsia"/>
                <w:bCs/>
                <w:color w:val="auto"/>
                <w:lang w:val="en-US" w:eastAsia="zh-CN"/>
              </w:rPr>
              <w:t>5</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r>
              <w:rPr>
                <w:rFonts w:hint="eastAsia" w:ascii="Times New Roman" w:hAnsi="Times New Roman" w:cs="Times New Roman"/>
                <w:color w:val="auto"/>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color w:val="auto"/>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922" w:type="pct"/>
            <w:noWrap w:val="0"/>
            <w:vAlign w:val="center"/>
          </w:tcPr>
          <w:p>
            <w:pPr>
              <w:keepNext w:val="0"/>
              <w:keepLines w:val="0"/>
              <w:suppressLineNumbers w:val="0"/>
              <w:spacing w:before="0" w:beforeAutospacing="0" w:after="0" w:afterAutospacing="0"/>
              <w:ind w:left="0" w:right="0"/>
              <w:jc w:val="center"/>
              <w:rPr>
                <w:rFonts w:hint="default" w:eastAsiaTheme="minorEastAsia"/>
                <w:color w:val="auto"/>
                <w:lang w:val="en-US" w:eastAsia="zh-CN"/>
              </w:rPr>
            </w:pPr>
            <w:r>
              <w:rPr>
                <w:rFonts w:hint="eastAsia"/>
                <w:color w:val="auto"/>
                <w:lang w:val="en-US" w:eastAsia="zh-CN"/>
              </w:rPr>
              <w:t>0.00042</w:t>
            </w:r>
          </w:p>
        </w:tc>
        <w:tc>
          <w:tcPr>
            <w:tcW w:w="843" w:type="pct"/>
            <w:noWrap w:val="0"/>
            <w:vAlign w:val="center"/>
          </w:tcPr>
          <w:p>
            <w:pPr>
              <w:keepNext w:val="0"/>
              <w:keepLines w:val="0"/>
              <w:suppressLineNumbers w:val="0"/>
              <w:spacing w:before="0" w:beforeAutospacing="0" w:after="0" w:afterAutospacing="0"/>
              <w:ind w:left="0" w:right="0"/>
              <w:jc w:val="center"/>
              <w:rPr>
                <w:rFonts w:hint="default" w:eastAsiaTheme="minorEastAsia"/>
                <w:bCs/>
                <w:color w:val="auto"/>
                <w:lang w:val="en-US" w:eastAsia="zh-CN"/>
              </w:rPr>
            </w:pPr>
            <w:r>
              <w:rPr>
                <w:rFonts w:hint="eastAsia"/>
                <w:bCs/>
                <w:color w:val="auto"/>
              </w:rPr>
              <w:t>0.0000</w:t>
            </w:r>
            <w:r>
              <w:rPr>
                <w:rFonts w:hint="eastAsia"/>
                <w:bCs/>
                <w:color w:val="auto"/>
                <w:lang w:val="en-US" w:eastAsia="zh-CN"/>
              </w:rPr>
              <w:t>5</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r>
              <w:rPr>
                <w:rFonts w:hint="eastAsia" w:ascii="Times New Roman" w:hAnsi="Times New Roman" w:cs="Times New Roman"/>
                <w:color w:val="auto"/>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eastAsia" w:eastAsiaTheme="minorEastAsia"/>
                <w:color w:val="auto"/>
                <w:lang w:eastAsia="zh-CN"/>
              </w:rPr>
            </w:pPr>
            <w:r>
              <w:rPr>
                <w:rFonts w:hint="eastAsia"/>
                <w:color w:val="auto"/>
                <w:lang w:eastAsia="zh-CN"/>
              </w:rPr>
              <w:t>污水处理站</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position w:val="2"/>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922" w:type="pct"/>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color w:val="auto"/>
                <w:lang w:val="en-US" w:eastAsia="zh-CN"/>
              </w:rPr>
              <w:t>0.011</w:t>
            </w:r>
          </w:p>
        </w:tc>
        <w:tc>
          <w:tcPr>
            <w:tcW w:w="843" w:type="pct"/>
            <w:noWrap w:val="0"/>
            <w:vAlign w:val="center"/>
          </w:tcPr>
          <w:p>
            <w:pPr>
              <w:keepNext w:val="0"/>
              <w:keepLines w:val="0"/>
              <w:suppressLineNumbers w:val="0"/>
              <w:spacing w:before="0" w:beforeAutospacing="0" w:after="0" w:afterAutospacing="0"/>
              <w:ind w:left="0" w:right="0"/>
              <w:jc w:val="center"/>
              <w:rPr>
                <w:rFonts w:hint="default" w:eastAsiaTheme="minorEastAsia"/>
                <w:bCs/>
                <w:color w:val="auto"/>
                <w:lang w:val="en-US" w:eastAsia="zh-CN"/>
              </w:rPr>
            </w:pPr>
            <w:r>
              <w:rPr>
                <w:rFonts w:hint="eastAsia"/>
                <w:bCs/>
                <w:color w:val="auto"/>
                <w:lang w:val="en-US" w:eastAsia="zh-CN"/>
              </w:rPr>
              <w:t>0.00125</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r>
              <w:rPr>
                <w:rFonts w:hint="eastAsia" w:ascii="Times New Roman" w:hAnsi="Times New Roman" w:cs="Times New Roman"/>
                <w:color w:val="auto"/>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position w:val="2"/>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922" w:type="pct"/>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color w:val="auto"/>
                <w:lang w:val="en-US" w:eastAsia="zh-CN"/>
              </w:rPr>
              <w:t>0.000425</w:t>
            </w:r>
          </w:p>
        </w:tc>
        <w:tc>
          <w:tcPr>
            <w:tcW w:w="843" w:type="pct"/>
            <w:noWrap w:val="0"/>
            <w:vAlign w:val="center"/>
          </w:tcPr>
          <w:p>
            <w:pPr>
              <w:keepNext w:val="0"/>
              <w:keepLines w:val="0"/>
              <w:suppressLineNumbers w:val="0"/>
              <w:spacing w:before="0" w:beforeAutospacing="0" w:after="0" w:afterAutospacing="0"/>
              <w:ind w:left="0" w:right="0"/>
              <w:jc w:val="center"/>
              <w:rPr>
                <w:rFonts w:hint="default" w:eastAsiaTheme="minorEastAsia"/>
                <w:bCs/>
                <w:color w:val="auto"/>
                <w:lang w:val="en-US" w:eastAsia="zh-CN"/>
              </w:rPr>
            </w:pPr>
            <w:r>
              <w:rPr>
                <w:rFonts w:hint="eastAsia"/>
                <w:bCs/>
                <w:color w:val="auto"/>
                <w:lang w:val="en-US" w:eastAsia="zh-CN"/>
              </w:rPr>
              <w:t>0.00005</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r>
              <w:rPr>
                <w:rFonts w:hint="eastAsia" w:ascii="Times New Roman" w:hAnsi="Times New Roman" w:cs="Times New Roman"/>
                <w:color w:val="auto"/>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病死猪处理车间</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position w:val="2"/>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922" w:type="pct"/>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不做定量分析</w:t>
            </w:r>
          </w:p>
        </w:tc>
        <w:tc>
          <w:tcPr>
            <w:tcW w:w="843" w:type="pct"/>
            <w:noWrap w:val="0"/>
            <w:vAlign w:val="center"/>
          </w:tcPr>
          <w:p>
            <w:pPr>
              <w:keepNext w:val="0"/>
              <w:keepLines w:val="0"/>
              <w:suppressLineNumbers w:val="0"/>
              <w:spacing w:before="0" w:beforeAutospacing="0" w:after="0" w:afterAutospacing="0"/>
              <w:ind w:left="0" w:right="0"/>
              <w:jc w:val="center"/>
              <w:rPr>
                <w:rFonts w:hint="default"/>
                <w:bCs/>
                <w:color w:val="auto"/>
                <w:lang w:val="en-US" w:eastAsia="zh-CN"/>
              </w:rPr>
            </w:pPr>
            <w:r>
              <w:rPr>
                <w:rFonts w:hint="eastAsia"/>
                <w:bCs/>
                <w:color w:val="auto"/>
                <w:lang w:val="en-US" w:eastAsia="zh-CN"/>
              </w:rPr>
              <w:t>/</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r>
              <w:rPr>
                <w:rFonts w:hint="eastAsia" w:ascii="Times New Roman" w:hAnsi="Times New Roman" w:cs="Times New Roman"/>
                <w:color w:val="auto"/>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position w:val="2"/>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922" w:type="pct"/>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不做定量分析</w:t>
            </w:r>
          </w:p>
        </w:tc>
        <w:tc>
          <w:tcPr>
            <w:tcW w:w="843" w:type="pct"/>
            <w:noWrap w:val="0"/>
            <w:vAlign w:val="center"/>
          </w:tcPr>
          <w:p>
            <w:pPr>
              <w:keepNext w:val="0"/>
              <w:keepLines w:val="0"/>
              <w:suppressLineNumbers w:val="0"/>
              <w:spacing w:before="0" w:beforeAutospacing="0" w:after="0" w:afterAutospacing="0"/>
              <w:ind w:left="0" w:right="0"/>
              <w:jc w:val="center"/>
              <w:rPr>
                <w:rFonts w:hint="default"/>
                <w:bCs/>
                <w:color w:val="auto"/>
                <w:lang w:val="en-US" w:eastAsia="zh-CN"/>
              </w:rPr>
            </w:pPr>
            <w:r>
              <w:rPr>
                <w:rFonts w:hint="eastAsia"/>
                <w:bCs/>
                <w:color w:val="auto"/>
                <w:lang w:val="en-US" w:eastAsia="zh-CN"/>
              </w:rPr>
              <w:t>/</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r>
              <w:rPr>
                <w:rFonts w:hint="eastAsia" w:ascii="Times New Roman" w:hAnsi="Times New Roman" w:cs="Times New Roman"/>
                <w:color w:val="auto"/>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b/>
                <w:bCs/>
                <w:color w:val="auto"/>
                <w:kern w:val="0"/>
              </w:rPr>
            </w:pPr>
            <w:r>
              <w:rPr>
                <w:rFonts w:hint="default"/>
                <w:b/>
                <w:bCs/>
                <w:color w:val="auto"/>
                <w:kern w:val="0"/>
              </w:rPr>
              <w:t>合计</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b/>
                <w:bCs/>
                <w:color w:val="auto"/>
                <w:kern w:val="0"/>
                <w:lang w:bidi="ar"/>
              </w:rPr>
            </w:pPr>
            <w:r>
              <w:rPr>
                <w:rFonts w:hint="default" w:ascii="Times New Roman" w:hAnsi="Times New Roman" w:eastAsia="宋体" w:cs="Times New Roman"/>
                <w:b/>
                <w:bCs/>
                <w:color w:val="auto"/>
                <w:kern w:val="0"/>
                <w:position w:val="2"/>
                <w:sz w:val="21"/>
                <w:szCs w:val="21"/>
                <w:lang w:val="en-US" w:eastAsia="zh-CN" w:bidi="ar-SA"/>
              </w:rPr>
              <w:t>NH</w:t>
            </w:r>
            <w:r>
              <w:rPr>
                <w:rFonts w:hint="default" w:ascii="Times New Roman" w:hAnsi="Times New Roman" w:eastAsia="宋体" w:cs="Times New Roman"/>
                <w:b/>
                <w:bCs/>
                <w:color w:val="auto"/>
                <w:kern w:val="0"/>
                <w:position w:val="2"/>
                <w:sz w:val="21"/>
                <w:szCs w:val="21"/>
                <w:vertAlign w:val="subscript"/>
                <w:lang w:val="en-US" w:eastAsia="zh-CN" w:bidi="ar-SA"/>
              </w:rPr>
              <w:t>3</w:t>
            </w:r>
          </w:p>
        </w:tc>
        <w:tc>
          <w:tcPr>
            <w:tcW w:w="92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rPr>
            </w:pPr>
            <w:r>
              <w:rPr>
                <w:rFonts w:hint="default" w:ascii="Calibri" w:hAnsi="Calibri" w:eastAsia="宋体" w:cs="Calibri"/>
                <w:b/>
                <w:i w:val="0"/>
                <w:color w:val="auto"/>
                <w:kern w:val="0"/>
                <w:sz w:val="21"/>
                <w:szCs w:val="21"/>
                <w:u w:val="none"/>
                <w:lang w:val="en-US" w:eastAsia="zh-CN" w:bidi="ar"/>
              </w:rPr>
              <w:t>0.27778</w:t>
            </w:r>
          </w:p>
        </w:tc>
        <w:tc>
          <w:tcPr>
            <w:tcW w:w="84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bCs/>
                <w:color w:val="auto"/>
              </w:rPr>
            </w:pPr>
            <w:r>
              <w:rPr>
                <w:rFonts w:hint="default" w:ascii="Calibri" w:hAnsi="Calibri" w:eastAsia="宋体" w:cs="Calibri"/>
                <w:b/>
                <w:i w:val="0"/>
                <w:color w:val="auto"/>
                <w:kern w:val="0"/>
                <w:sz w:val="21"/>
                <w:szCs w:val="21"/>
                <w:u w:val="none"/>
                <w:lang w:val="en-US" w:eastAsia="zh-CN" w:bidi="ar"/>
              </w:rPr>
              <w:t>0.03175</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eastAsia" w:eastAsiaTheme="minorEastAsia"/>
                <w:color w:val="auto"/>
                <w:lang w:val="en-US" w:eastAsia="zh-CN"/>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color w:val="auto"/>
              </w:rPr>
            </w:pPr>
            <w:r>
              <w:rPr>
                <w:rFonts w:hint="eastAsia" w:ascii="Times New Roman" w:hAnsi="Times New Roman" w:cs="Times New Roman"/>
                <w:color w:val="auto"/>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b/>
                <w:bCs/>
                <w:color w:val="auto"/>
                <w:kern w:val="0"/>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b/>
                <w:bCs/>
                <w:color w:val="auto"/>
              </w:rPr>
            </w:pPr>
            <w:r>
              <w:rPr>
                <w:rFonts w:hint="default" w:ascii="Times New Roman" w:hAnsi="Times New Roman" w:eastAsia="宋体" w:cs="Times New Roman"/>
                <w:b/>
                <w:bCs/>
                <w:color w:val="auto"/>
                <w:kern w:val="0"/>
                <w:position w:val="2"/>
                <w:sz w:val="21"/>
                <w:szCs w:val="21"/>
                <w:lang w:val="en-US" w:eastAsia="zh-CN" w:bidi="ar-SA"/>
              </w:rPr>
              <w:t>H</w:t>
            </w:r>
            <w:r>
              <w:rPr>
                <w:rFonts w:hint="default" w:ascii="Times New Roman" w:hAnsi="Times New Roman" w:eastAsia="宋体" w:cs="Times New Roman"/>
                <w:b/>
                <w:bCs/>
                <w:color w:val="auto"/>
                <w:kern w:val="0"/>
                <w:position w:val="2"/>
                <w:sz w:val="21"/>
                <w:szCs w:val="21"/>
                <w:vertAlign w:val="subscript"/>
                <w:lang w:val="en-US" w:eastAsia="zh-CN" w:bidi="ar-SA"/>
              </w:rPr>
              <w:t>2</w:t>
            </w:r>
            <w:r>
              <w:rPr>
                <w:rFonts w:hint="default" w:ascii="Times New Roman" w:hAnsi="Times New Roman" w:eastAsia="宋体" w:cs="Times New Roman"/>
                <w:b/>
                <w:bCs/>
                <w:color w:val="auto"/>
                <w:kern w:val="0"/>
                <w:position w:val="2"/>
                <w:sz w:val="21"/>
                <w:szCs w:val="21"/>
                <w:lang w:val="en-US" w:eastAsia="zh-CN" w:bidi="ar-SA"/>
              </w:rPr>
              <w:t>S</w:t>
            </w:r>
          </w:p>
        </w:tc>
        <w:tc>
          <w:tcPr>
            <w:tcW w:w="92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auto"/>
                <w:kern w:val="0"/>
                <w:lang w:bidi="ar"/>
              </w:rPr>
            </w:pPr>
            <w:r>
              <w:rPr>
                <w:rFonts w:hint="default" w:ascii="Calibri" w:hAnsi="Calibri" w:eastAsia="宋体" w:cs="Calibri"/>
                <w:b/>
                <w:i w:val="0"/>
                <w:color w:val="auto"/>
                <w:kern w:val="0"/>
                <w:sz w:val="21"/>
                <w:szCs w:val="21"/>
                <w:u w:val="none"/>
                <w:lang w:val="en-US" w:eastAsia="zh-CN" w:bidi="ar"/>
              </w:rPr>
              <w:t>0.066445</w:t>
            </w:r>
          </w:p>
        </w:tc>
        <w:tc>
          <w:tcPr>
            <w:tcW w:w="84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auto"/>
                <w:kern w:val="0"/>
                <w:lang w:bidi="ar"/>
              </w:rPr>
            </w:pPr>
            <w:r>
              <w:rPr>
                <w:rFonts w:hint="default" w:ascii="Calibri" w:hAnsi="Calibri" w:eastAsia="宋体" w:cs="Calibri"/>
                <w:b/>
                <w:i w:val="0"/>
                <w:color w:val="auto"/>
                <w:kern w:val="0"/>
                <w:sz w:val="21"/>
                <w:szCs w:val="21"/>
                <w:u w:val="none"/>
                <w:lang w:val="en-US" w:eastAsia="zh-CN" w:bidi="ar"/>
              </w:rPr>
              <w:t>0.0008</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eastAsia" w:eastAsiaTheme="minorEastAsia"/>
                <w:color w:val="auto"/>
                <w:lang w:val="en-US" w:eastAsia="zh-CN"/>
              </w:rPr>
            </w:pPr>
          </w:p>
        </w:tc>
        <w:tc>
          <w:tcPr>
            <w:tcW w:w="753" w:type="pct"/>
            <w:noWrap w:val="0"/>
            <w:vAlign w:val="center"/>
          </w:tcPr>
          <w:p>
            <w:pPr>
              <w:keepNext w:val="0"/>
              <w:keepLines w:val="0"/>
              <w:suppressLineNumbers w:val="0"/>
              <w:spacing w:before="0" w:beforeAutospacing="0" w:after="0" w:afterAutospacing="0"/>
              <w:ind w:left="0" w:right="0"/>
              <w:jc w:val="center"/>
              <w:rPr>
                <w:rFonts w:hint="default" w:eastAsiaTheme="minorEastAsia"/>
                <w:color w:val="auto"/>
                <w:lang w:val="en-US" w:eastAsia="zh-CN"/>
              </w:rPr>
            </w:pPr>
            <w:r>
              <w:rPr>
                <w:rFonts w:hint="eastAsia"/>
                <w:color w:val="auto"/>
                <w:lang w:val="en-US" w:eastAsia="zh-CN"/>
              </w:rPr>
              <w:t>0.06</w:t>
            </w:r>
          </w:p>
        </w:tc>
      </w:tr>
    </w:tbl>
    <w:p>
      <w:p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lang w:eastAsia="zh-CN"/>
        </w:rPr>
        <w:t>③项目废气产生及</w:t>
      </w:r>
      <w:r>
        <w:rPr>
          <w:rFonts w:hint="default" w:ascii="Times New Roman" w:hAnsi="Times New Roman" w:eastAsia="宋体" w:cs="Times New Roman"/>
          <w:b/>
          <w:bCs/>
          <w:color w:val="auto"/>
          <w:sz w:val="24"/>
          <w:szCs w:val="24"/>
          <w:lang w:eastAsia="zh-CN"/>
        </w:rPr>
        <w:t>排放情况</w:t>
      </w:r>
      <w:r>
        <w:rPr>
          <w:rFonts w:hint="eastAsia" w:ascii="Times New Roman" w:hAnsi="Times New Roman" w:eastAsia="宋体" w:cs="Times New Roman"/>
          <w:b/>
          <w:bCs/>
          <w:color w:val="auto"/>
          <w:sz w:val="24"/>
          <w:szCs w:val="24"/>
          <w:lang w:eastAsia="zh-CN"/>
        </w:rPr>
        <w:t>汇总</w:t>
      </w:r>
    </w:p>
    <w:p>
      <w:pPr>
        <w:pStyle w:val="2"/>
        <w:rPr>
          <w:color w:val="auto"/>
        </w:rPr>
      </w:pPr>
      <w:r>
        <w:rPr>
          <w:rFonts w:ascii="Times New Roman" w:hAnsi="Times New Roman" w:eastAsia="宋体" w:cs="Times New Roman"/>
          <w:color w:val="auto"/>
          <w:sz w:val="24"/>
          <w:szCs w:val="24"/>
        </w:rPr>
        <w:t>项目废气产生及排放情况</w:t>
      </w:r>
      <w:r>
        <w:rPr>
          <w:rFonts w:hint="eastAsia" w:ascii="Times New Roman" w:hAnsi="Times New Roman" w:eastAsia="宋体" w:cs="Times New Roman"/>
          <w:color w:val="auto"/>
          <w:sz w:val="24"/>
          <w:szCs w:val="24"/>
          <w:lang w:eastAsia="zh-CN"/>
        </w:rPr>
        <w:t>汇总</w:t>
      </w:r>
      <w:r>
        <w:rPr>
          <w:rFonts w:ascii="Times New Roman" w:hAnsi="Times New Roman" w:eastAsia="宋体" w:cs="Times New Roman"/>
          <w:color w:val="auto"/>
          <w:sz w:val="24"/>
          <w:szCs w:val="24"/>
        </w:rPr>
        <w:t>见表3.</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24</w:t>
      </w:r>
      <w:r>
        <w:rPr>
          <w:rFonts w:ascii="Times New Roman" w:hAnsi="Times New Roman" w:eastAsia="宋体" w:cs="Times New Roman"/>
          <w:color w:val="auto"/>
          <w:sz w:val="24"/>
          <w:szCs w:val="24"/>
        </w:rPr>
        <w:t>。</w:t>
      </w:r>
    </w:p>
    <w:p>
      <w:pPr>
        <w:pStyle w:val="2503"/>
        <w:numPr>
          <w:ilvl w:val="0"/>
          <w:numId w:val="19"/>
        </w:numPr>
        <w:spacing w:before="120"/>
        <w:ind w:left="0" w:leftChars="0" w:firstLine="403"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项目废气染物产生及排放情况一览表</w:t>
      </w:r>
    </w:p>
    <w:tbl>
      <w:tblPr>
        <w:tblStyle w:val="88"/>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3"/>
        <w:gridCol w:w="709"/>
        <w:gridCol w:w="676"/>
        <w:gridCol w:w="815"/>
        <w:gridCol w:w="1464"/>
        <w:gridCol w:w="1464"/>
        <w:gridCol w:w="1833"/>
        <w:gridCol w:w="1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118" w:type="dxa"/>
            <w:gridSpan w:val="3"/>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污染源</w:t>
            </w: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污染物</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产生量</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排放量</w:t>
            </w:r>
          </w:p>
        </w:tc>
        <w:tc>
          <w:tcPr>
            <w:tcW w:w="1833"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处理措施</w:t>
            </w:r>
          </w:p>
        </w:tc>
        <w:tc>
          <w:tcPr>
            <w:tcW w:w="1093"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排放方式及去向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733"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生产养殖区</w:t>
            </w:r>
          </w:p>
        </w:tc>
        <w:tc>
          <w:tcPr>
            <w:tcW w:w="1385" w:type="dxa"/>
            <w:gridSpan w:val="2"/>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猪舍恶臭</w:t>
            </w: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3.5492</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0.2626</w:t>
            </w:r>
            <w:r>
              <w:rPr>
                <w:rFonts w:hint="default" w:ascii="Times New Roman" w:hAnsi="Times New Roman" w:eastAsia="宋体" w:cs="Times New Roman"/>
                <w:color w:val="auto"/>
                <w:kern w:val="0"/>
                <w:sz w:val="21"/>
                <w:szCs w:val="21"/>
                <w:lang w:val="en-US" w:eastAsia="zh-CN" w:bidi="ar-SA"/>
              </w:rPr>
              <w:t>t/a</w:t>
            </w:r>
          </w:p>
        </w:tc>
        <w:tc>
          <w:tcPr>
            <w:tcW w:w="1833"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除臭、绿化、加强通风、漏缝地板、饲料合理配置</w:t>
            </w:r>
          </w:p>
        </w:tc>
        <w:tc>
          <w:tcPr>
            <w:tcW w:w="1093"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46"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排放到大气环境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40" w:right="146" w:firstLine="0" w:firstLineChars="0"/>
              <w:jc w:val="center"/>
              <w:rPr>
                <w:rFonts w:hint="default" w:ascii="Times New Roman" w:hAnsi="Times New Roman" w:eastAsia="宋体" w:cs="Times New Roman"/>
                <w:color w:val="auto"/>
                <w:kern w:val="0"/>
                <w:sz w:val="21"/>
                <w:szCs w:val="21"/>
                <w:lang w:val="en-US" w:eastAsia="zh-CN" w:bidi="ar-SA"/>
              </w:rPr>
            </w:pPr>
          </w:p>
        </w:tc>
        <w:tc>
          <w:tcPr>
            <w:tcW w:w="1385" w:type="dxa"/>
            <w:gridSpan w:val="2"/>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40" w:right="146" w:firstLine="0" w:firstLineChars="0"/>
              <w:jc w:val="center"/>
              <w:rPr>
                <w:rFonts w:hint="default" w:ascii="Times New Roman" w:hAnsi="Times New Roman" w:eastAsia="宋体" w:cs="Times New Roman"/>
                <w:color w:val="auto"/>
                <w:kern w:val="0"/>
                <w:sz w:val="21"/>
                <w:szCs w:val="21"/>
                <w:lang w:val="en-US" w:eastAsia="zh-CN" w:bidi="ar-SA"/>
              </w:rPr>
            </w:pP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0.5964t/a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0.0656</w:t>
            </w:r>
            <w:r>
              <w:rPr>
                <w:rFonts w:hint="default" w:ascii="Times New Roman" w:hAnsi="Times New Roman" w:eastAsia="宋体" w:cs="Times New Roman"/>
                <w:color w:val="auto"/>
                <w:kern w:val="0"/>
                <w:sz w:val="21"/>
                <w:szCs w:val="21"/>
                <w:lang w:val="en-US" w:eastAsia="zh-CN" w:bidi="ar-SA"/>
              </w:rPr>
              <w:t>t/a</w:t>
            </w:r>
          </w:p>
        </w:tc>
        <w:tc>
          <w:tcPr>
            <w:tcW w:w="18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41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410"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3"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61"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环保</w:t>
            </w:r>
            <w:r>
              <w:rPr>
                <w:rFonts w:hint="default" w:ascii="Times New Roman" w:hAnsi="Times New Roman" w:eastAsia="宋体" w:cs="Times New Roman"/>
                <w:color w:val="auto"/>
                <w:w w:val="99"/>
                <w:kern w:val="0"/>
                <w:sz w:val="21"/>
                <w:szCs w:val="21"/>
                <w:lang w:val="en-US" w:eastAsia="zh-CN" w:bidi="ar-SA"/>
              </w:rPr>
              <w:t xml:space="preserve"> </w:t>
            </w:r>
            <w:r>
              <w:rPr>
                <w:rFonts w:hint="eastAsia" w:ascii="Times New Roman" w:hAnsi="Times New Roman" w:eastAsia="宋体" w:cs="Times New Roman"/>
                <w:color w:val="auto"/>
                <w:kern w:val="0"/>
                <w:sz w:val="21"/>
                <w:szCs w:val="21"/>
                <w:lang w:val="en-US" w:eastAsia="zh-CN" w:bidi="ar-SA"/>
              </w:rPr>
              <w:t>设施</w:t>
            </w:r>
            <w:r>
              <w:rPr>
                <w:rFonts w:hint="default" w:ascii="Times New Roman" w:hAnsi="Times New Roman" w:eastAsia="宋体" w:cs="Times New Roman"/>
                <w:color w:val="auto"/>
                <w:kern w:val="0"/>
                <w:sz w:val="21"/>
                <w:szCs w:val="21"/>
                <w:lang w:val="en-US" w:eastAsia="zh-CN" w:bidi="ar-SA"/>
              </w:rPr>
              <w:t>区</w:t>
            </w:r>
          </w:p>
        </w:tc>
        <w:tc>
          <w:tcPr>
            <w:tcW w:w="709"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污水处理站恶臭</w:t>
            </w:r>
          </w:p>
        </w:tc>
        <w:tc>
          <w:tcPr>
            <w:tcW w:w="676"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无组织</w:t>
            </w: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r>
              <w:rPr>
                <w:rFonts w:hint="eastAsia" w:ascii="Times New Roman" w:hAnsi="Times New Roman" w:eastAsia="宋体" w:cs="Times New Roman"/>
                <w:color w:val="auto"/>
                <w:kern w:val="0"/>
                <w:sz w:val="21"/>
                <w:szCs w:val="21"/>
                <w:lang w:val="en-US" w:eastAsia="zh-CN" w:bidi="ar-SA"/>
              </w:rPr>
              <w:t>22</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0.11</w:t>
            </w:r>
            <w:r>
              <w:rPr>
                <w:rFonts w:hint="default" w:ascii="Times New Roman" w:hAnsi="Times New Roman" w:eastAsia="宋体" w:cs="Times New Roman"/>
                <w:color w:val="auto"/>
                <w:kern w:val="0"/>
                <w:sz w:val="21"/>
                <w:szCs w:val="21"/>
                <w:lang w:val="en-US" w:eastAsia="zh-CN" w:bidi="ar-SA"/>
              </w:rPr>
              <w:t>t/a</w:t>
            </w:r>
          </w:p>
        </w:tc>
        <w:tc>
          <w:tcPr>
            <w:tcW w:w="1833"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宋体" w:hAnsi="宋体" w:eastAsia="宋体" w:cs="宋体"/>
                <w:color w:val="auto"/>
                <w:sz w:val="21"/>
                <w:szCs w:val="21"/>
                <w:lang w:eastAsia="zh-CN"/>
              </w:rPr>
            </w:pPr>
            <w:r>
              <w:rPr>
                <w:rFonts w:hint="default" w:ascii="宋体" w:hAnsi="宋体" w:eastAsia="宋体" w:cs="宋体"/>
                <w:color w:val="auto"/>
                <w:sz w:val="21"/>
                <w:szCs w:val="21"/>
              </w:rPr>
              <w:t>喷洒除臭剂</w:t>
            </w:r>
            <w:r>
              <w:rPr>
                <w:rFonts w:hint="eastAsia" w:ascii="宋体" w:hAnsi="宋体" w:eastAsia="宋体" w:cs="宋体"/>
                <w:color w:val="auto"/>
                <w:sz w:val="21"/>
                <w:szCs w:val="21"/>
                <w:lang w:eastAsia="zh-CN"/>
              </w:rPr>
              <w:t>、绿化</w:t>
            </w: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61" w:firstLine="0" w:firstLineChars="0"/>
              <w:jc w:val="center"/>
              <w:rPr>
                <w:rFonts w:hint="default" w:ascii="Times New Roman" w:hAnsi="Times New Roman" w:eastAsia="宋体" w:cs="Times New Roman"/>
                <w:color w:val="auto"/>
                <w:kern w:val="0"/>
                <w:sz w:val="21"/>
                <w:szCs w:val="21"/>
                <w:lang w:val="en-US" w:eastAsia="zh-CN" w:bidi="ar-SA"/>
              </w:rPr>
            </w:pPr>
          </w:p>
        </w:tc>
        <w:tc>
          <w:tcPr>
            <w:tcW w:w="709"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p>
        </w:tc>
        <w:tc>
          <w:tcPr>
            <w:tcW w:w="676"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w:t>
            </w:r>
            <w:r>
              <w:rPr>
                <w:rFonts w:hint="eastAsia" w:ascii="Times New Roman" w:hAnsi="Times New Roman" w:eastAsia="宋体" w:cs="Times New Roman"/>
                <w:color w:val="auto"/>
                <w:kern w:val="0"/>
                <w:sz w:val="21"/>
                <w:szCs w:val="21"/>
                <w:lang w:val="en-US" w:eastAsia="zh-CN" w:bidi="ar-SA"/>
              </w:rPr>
              <w:t>85</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0.000425</w:t>
            </w:r>
            <w:r>
              <w:rPr>
                <w:rFonts w:hint="default" w:ascii="Times New Roman" w:hAnsi="Times New Roman" w:eastAsia="宋体" w:cs="Times New Roman"/>
                <w:color w:val="auto"/>
                <w:kern w:val="0"/>
                <w:sz w:val="21"/>
                <w:szCs w:val="21"/>
                <w:lang w:val="en-US" w:eastAsia="zh-CN" w:bidi="ar-SA"/>
              </w:rPr>
              <w:t>t/a</w:t>
            </w:r>
          </w:p>
        </w:tc>
        <w:tc>
          <w:tcPr>
            <w:tcW w:w="18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宋体" w:hAnsi="宋体" w:eastAsia="宋体" w:cs="宋体"/>
                <w:color w:val="auto"/>
                <w:sz w:val="21"/>
                <w:szCs w:val="21"/>
              </w:rPr>
            </w:pP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61" w:firstLine="0" w:firstLineChars="0"/>
              <w:jc w:val="center"/>
              <w:rPr>
                <w:rFonts w:hint="default" w:ascii="Times New Roman" w:hAnsi="Times New Roman" w:eastAsia="宋体" w:cs="Times New Roman"/>
                <w:color w:val="auto"/>
                <w:kern w:val="0"/>
                <w:sz w:val="21"/>
                <w:szCs w:val="21"/>
                <w:lang w:val="en-US" w:eastAsia="zh-CN" w:bidi="ar-SA"/>
              </w:rPr>
            </w:pPr>
          </w:p>
        </w:tc>
        <w:tc>
          <w:tcPr>
            <w:tcW w:w="709"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p>
        </w:tc>
        <w:tc>
          <w:tcPr>
            <w:tcW w:w="676"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有组织</w:t>
            </w: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w:t>
            </w:r>
            <w:r>
              <w:rPr>
                <w:rFonts w:hint="eastAsia" w:ascii="Times New Roman" w:hAnsi="Times New Roman" w:eastAsia="宋体" w:cs="Times New Roman"/>
                <w:color w:val="auto"/>
                <w:kern w:val="0"/>
                <w:sz w:val="21"/>
                <w:szCs w:val="21"/>
                <w:lang w:val="en-US" w:eastAsia="zh-CN" w:bidi="ar-SA"/>
              </w:rPr>
              <w:t>22</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0.0209</w:t>
            </w:r>
            <w:r>
              <w:rPr>
                <w:rFonts w:hint="default" w:ascii="Times New Roman" w:hAnsi="Times New Roman" w:eastAsia="宋体" w:cs="Times New Roman"/>
                <w:color w:val="auto"/>
                <w:kern w:val="0"/>
                <w:sz w:val="21"/>
                <w:szCs w:val="21"/>
                <w:lang w:val="en-US" w:eastAsia="zh-CN" w:bidi="ar-SA"/>
              </w:rPr>
              <w:t>t/a</w:t>
            </w:r>
          </w:p>
        </w:tc>
        <w:tc>
          <w:tcPr>
            <w:tcW w:w="1833"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宋体" w:hAnsi="宋体" w:eastAsia="宋体" w:cs="宋体"/>
                <w:color w:val="auto"/>
                <w:sz w:val="21"/>
                <w:szCs w:val="21"/>
              </w:rPr>
              <w:t>“碱液喷淋+生物过滤法”处理后经15m高排气筒</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default" w:ascii="宋体" w:hAnsi="宋体" w:eastAsia="宋体" w:cs="宋体"/>
                <w:color w:val="auto"/>
                <w:sz w:val="21"/>
                <w:szCs w:val="21"/>
              </w:rPr>
              <w:t>排放</w:t>
            </w: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09"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676"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0.00</w:t>
            </w:r>
            <w:r>
              <w:rPr>
                <w:rFonts w:hint="eastAsia" w:ascii="Times New Roman" w:hAnsi="Times New Roman" w:eastAsia="宋体" w:cs="Times New Roman"/>
                <w:color w:val="auto"/>
                <w:kern w:val="0"/>
                <w:sz w:val="21"/>
                <w:szCs w:val="21"/>
                <w:lang w:val="en-US" w:eastAsia="zh-CN" w:bidi="ar-SA"/>
              </w:rPr>
              <w:t>85</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0.0008</w:t>
            </w:r>
            <w:r>
              <w:rPr>
                <w:rFonts w:hint="default" w:ascii="Times New Roman" w:hAnsi="Times New Roman" w:eastAsia="宋体" w:cs="Times New Roman"/>
                <w:color w:val="auto"/>
                <w:kern w:val="0"/>
                <w:sz w:val="21"/>
                <w:szCs w:val="21"/>
                <w:lang w:val="en-US" w:eastAsia="zh-CN" w:bidi="ar-SA"/>
              </w:rPr>
              <w:t>t/a</w:t>
            </w:r>
          </w:p>
        </w:tc>
        <w:tc>
          <w:tcPr>
            <w:tcW w:w="18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09" w:type="dxa"/>
            <w:vMerge w:val="restart"/>
            <w:tcBorders>
              <w:right w:val="single" w:color="000000" w:sz="8"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堆肥发酵罐</w:t>
            </w:r>
          </w:p>
        </w:tc>
        <w:tc>
          <w:tcPr>
            <w:tcW w:w="676" w:type="dxa"/>
            <w:vMerge w:val="restart"/>
            <w:tcBorders>
              <w:left w:val="single" w:color="000000" w:sz="8"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有组织</w:t>
            </w: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0.0836</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0.0079</w:t>
            </w:r>
            <w:r>
              <w:rPr>
                <w:rFonts w:hint="default" w:ascii="Times New Roman" w:hAnsi="Times New Roman" w:eastAsia="宋体" w:cs="Times New Roman"/>
                <w:color w:val="auto"/>
                <w:kern w:val="0"/>
                <w:sz w:val="21"/>
                <w:szCs w:val="21"/>
                <w:lang w:val="en-US" w:eastAsia="zh-CN" w:bidi="ar-SA"/>
              </w:rPr>
              <w:t>t/a</w:t>
            </w:r>
          </w:p>
        </w:tc>
        <w:tc>
          <w:tcPr>
            <w:tcW w:w="18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09" w:type="dxa"/>
            <w:vMerge w:val="continue"/>
            <w:tcBorders>
              <w:right w:val="single" w:color="000000" w:sz="8"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676" w:type="dxa"/>
            <w:vMerge w:val="continue"/>
            <w:tcBorders>
              <w:left w:val="single" w:color="000000" w:sz="8"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0.0084</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0.0008</w:t>
            </w:r>
            <w:r>
              <w:rPr>
                <w:rFonts w:hint="default" w:ascii="Times New Roman" w:hAnsi="Times New Roman" w:eastAsia="宋体" w:cs="Times New Roman"/>
                <w:color w:val="auto"/>
                <w:kern w:val="0"/>
                <w:sz w:val="21"/>
                <w:szCs w:val="21"/>
                <w:lang w:val="en-US" w:eastAsia="zh-CN" w:bidi="ar-SA"/>
              </w:rPr>
              <w:t>t/a</w:t>
            </w:r>
          </w:p>
        </w:tc>
        <w:tc>
          <w:tcPr>
            <w:tcW w:w="18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09" w:type="dxa"/>
            <w:vMerge w:val="continue"/>
            <w:tcBorders>
              <w:right w:val="single" w:color="000000" w:sz="8"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676" w:type="dxa"/>
            <w:vMerge w:val="restart"/>
            <w:tcBorders>
              <w:left w:val="single" w:color="000000" w:sz="8"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无组织</w:t>
            </w: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position w:val="2"/>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0.0836</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0.00836</w:t>
            </w:r>
            <w:r>
              <w:rPr>
                <w:rFonts w:hint="default" w:ascii="Times New Roman" w:hAnsi="Times New Roman" w:eastAsia="宋体" w:cs="Times New Roman"/>
                <w:color w:val="auto"/>
                <w:kern w:val="0"/>
                <w:sz w:val="21"/>
                <w:szCs w:val="21"/>
                <w:lang w:val="en-US" w:eastAsia="zh-CN" w:bidi="ar-SA"/>
              </w:rPr>
              <w:t>t/a</w:t>
            </w:r>
          </w:p>
        </w:tc>
        <w:tc>
          <w:tcPr>
            <w:tcW w:w="1833"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喷洒除臭剂、绿化</w:t>
            </w: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709" w:type="dxa"/>
            <w:vMerge w:val="continue"/>
            <w:tcBorders>
              <w:right w:val="single" w:color="000000" w:sz="8"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676" w:type="dxa"/>
            <w:vMerge w:val="continue"/>
            <w:tcBorders>
              <w:left w:val="single" w:color="000000" w:sz="8"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position w:val="2"/>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0.0084</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0.00084</w:t>
            </w:r>
            <w:r>
              <w:rPr>
                <w:rFonts w:hint="default" w:ascii="Times New Roman" w:hAnsi="Times New Roman" w:eastAsia="宋体" w:cs="Times New Roman"/>
                <w:color w:val="auto"/>
                <w:kern w:val="0"/>
                <w:sz w:val="21"/>
                <w:szCs w:val="21"/>
                <w:lang w:val="en-US" w:eastAsia="zh-CN" w:bidi="ar-SA"/>
              </w:rPr>
              <w:t>t/a</w:t>
            </w:r>
          </w:p>
        </w:tc>
        <w:tc>
          <w:tcPr>
            <w:tcW w:w="18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18" w:type="dxa"/>
            <w:gridSpan w:val="3"/>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沼气</w:t>
            </w: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lang w:val="en-US" w:eastAsia="zh-CN" w:bidi="ar-SA"/>
              </w:rPr>
              <w:t>SO</w:t>
            </w:r>
            <w:r>
              <w:rPr>
                <w:rFonts w:hint="default" w:ascii="Times New Roman" w:hAnsi="Times New Roman" w:eastAsia="宋体" w:cs="Times New Roman"/>
                <w:color w:val="auto"/>
                <w:kern w:val="0"/>
                <w:position w:val="2"/>
                <w:sz w:val="21"/>
                <w:szCs w:val="21"/>
                <w:vertAlign w:val="subscript"/>
                <w:lang w:val="en-US" w:eastAsia="zh-CN" w:bidi="ar-SA"/>
              </w:rPr>
              <w:t>2</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0.0013</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0.0013</w:t>
            </w:r>
            <w:r>
              <w:rPr>
                <w:rFonts w:hint="default" w:ascii="Times New Roman" w:hAnsi="Times New Roman" w:eastAsia="宋体" w:cs="Times New Roman"/>
                <w:color w:val="auto"/>
                <w:kern w:val="0"/>
                <w:sz w:val="21"/>
                <w:szCs w:val="21"/>
                <w:lang w:val="en-US" w:eastAsia="zh-CN" w:bidi="ar-SA"/>
              </w:rPr>
              <w:t>t/a</w:t>
            </w:r>
          </w:p>
        </w:tc>
        <w:tc>
          <w:tcPr>
            <w:tcW w:w="1833" w:type="dxa"/>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沼气脱水脱硫处理</w:t>
            </w:r>
            <w:r>
              <w:rPr>
                <w:rFonts w:hint="eastAsia" w:ascii="Times New Roman" w:hAnsi="Times New Roman" w:eastAsia="宋体" w:cs="Times New Roman"/>
                <w:color w:val="auto"/>
                <w:kern w:val="0"/>
                <w:sz w:val="21"/>
                <w:szCs w:val="21"/>
                <w:lang w:val="en-US" w:eastAsia="zh-CN" w:bidi="ar-SA"/>
              </w:rPr>
              <w:t>+燃烧回用</w:t>
            </w: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118" w:type="dxa"/>
            <w:gridSpan w:val="3"/>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245"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NOx</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0.2208</w:t>
            </w:r>
            <w:r>
              <w:rPr>
                <w:rFonts w:hint="default" w:ascii="Times New Roman" w:hAnsi="Times New Roman" w:eastAsia="宋体" w:cs="Times New Roman"/>
                <w:color w:val="auto"/>
                <w:kern w:val="0"/>
                <w:sz w:val="21"/>
                <w:szCs w:val="21"/>
                <w:lang w:val="en-US" w:eastAsia="zh-CN" w:bidi="ar-SA"/>
              </w:rPr>
              <w:t>t/a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0.2208</w:t>
            </w:r>
            <w:r>
              <w:rPr>
                <w:rFonts w:hint="default" w:ascii="Times New Roman" w:hAnsi="Times New Roman" w:eastAsia="宋体" w:cs="Times New Roman"/>
                <w:color w:val="auto"/>
                <w:kern w:val="0"/>
                <w:sz w:val="21"/>
                <w:szCs w:val="21"/>
                <w:lang w:val="en-US" w:eastAsia="zh-CN" w:bidi="ar-SA"/>
              </w:rPr>
              <w:t>t/a</w:t>
            </w:r>
          </w:p>
        </w:tc>
        <w:tc>
          <w:tcPr>
            <w:tcW w:w="183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461" w:right="0" w:firstLine="0" w:firstLineChars="0"/>
              <w:jc w:val="center"/>
              <w:rPr>
                <w:rFonts w:hint="default" w:ascii="Times New Roman" w:hAnsi="Times New Roman" w:eastAsia="宋体" w:cs="Times New Roman"/>
                <w:color w:val="auto"/>
                <w:kern w:val="0"/>
                <w:sz w:val="21"/>
                <w:szCs w:val="21"/>
                <w:lang w:val="en-US" w:eastAsia="zh-CN" w:bidi="ar-SA"/>
              </w:rPr>
            </w:pPr>
          </w:p>
        </w:tc>
        <w:tc>
          <w:tcPr>
            <w:tcW w:w="1093" w:type="dxa"/>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461" w:right="0" w:firstLine="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118" w:type="dxa"/>
            <w:gridSpan w:val="3"/>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食堂油烟废气</w:t>
            </w: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油烟</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39.42kg/a</w:t>
            </w:r>
          </w:p>
        </w:tc>
        <w:tc>
          <w:tcPr>
            <w:tcW w:w="1464"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9.855kg/a</w:t>
            </w:r>
          </w:p>
        </w:tc>
        <w:tc>
          <w:tcPr>
            <w:tcW w:w="1833"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油烟净化器+排烟管道</w:t>
            </w:r>
          </w:p>
        </w:tc>
        <w:tc>
          <w:tcPr>
            <w:tcW w:w="1093"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屋顶高空排放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118" w:type="dxa"/>
            <w:gridSpan w:val="3"/>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柴油发电机废气</w:t>
            </w:r>
          </w:p>
        </w:tc>
        <w:tc>
          <w:tcPr>
            <w:tcW w:w="815" w:type="dxa"/>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CO、HC、NOx</w:t>
            </w:r>
          </w:p>
        </w:tc>
        <w:tc>
          <w:tcPr>
            <w:tcW w:w="5854" w:type="dxa"/>
            <w:gridSpan w:val="4"/>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由自身携带的废气净化装置处理，处理后经抽排风系统抽至排风口处排放</w:t>
            </w:r>
          </w:p>
        </w:tc>
      </w:tr>
    </w:tbl>
    <w:p>
      <w:pPr>
        <w:pStyle w:val="7"/>
        <w:spacing w:before="0" w:after="0" w:line="360" w:lineRule="auto"/>
        <w:ind w:left="0" w:firstLine="0"/>
        <w:rPr>
          <w:rFonts w:ascii="Times New Roman" w:hAnsi="Times New Roman" w:eastAsia="黑体" w:cs="Times New Roman"/>
          <w:b/>
          <w:bCs/>
          <w:color w:val="auto"/>
          <w:kern w:val="2"/>
          <w:sz w:val="28"/>
          <w:szCs w:val="28"/>
          <w:lang w:val="en-US" w:eastAsia="zh-CN" w:bidi="ar-SA"/>
        </w:rPr>
      </w:pPr>
      <w:r>
        <w:rPr>
          <w:rFonts w:ascii="Times New Roman" w:hAnsi="Times New Roman" w:eastAsia="黑体" w:cs="Times New Roman"/>
          <w:b/>
          <w:bCs/>
          <w:color w:val="auto"/>
          <w:kern w:val="2"/>
          <w:sz w:val="28"/>
          <w:szCs w:val="28"/>
          <w:lang w:val="en-US" w:eastAsia="zh-CN" w:bidi="ar-SA"/>
        </w:rPr>
        <w:t>非正常排放及防范措施</w:t>
      </w:r>
      <w:bookmarkEnd w:id="190"/>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1、废水事故排放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由于猪场废水含有大量的有机物、氨氮、病原体细菌等，若出现项目废水未经处理直接排入沟渠，会造成水体发臭，大量滋生细菌、臭虫等，近而影响周围家畜、家禽和人群健康。若遇雨水冲刷，污染地表水体。另一方面，若废水不经处理而排入项目附近的水塘，长此以往，水塘污水通过渗透会污染地下水环境，可能会污染猪场区域内地下井水和周边地下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2、恶臭非正常排放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若猪舍猪粪便做不到日产日清，将导致种猪场臭气浓度显著增加，并影响到周边区域，影响周围人群感受，影响到猪只和人群的生长和健康，使种猪场生产率严重下降。预防这一影响最有效的措施是猪只粪便必须日产日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3、环境事故防范对策和建议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为杜绝污水排入厂外周边水体，建议应采取以下措施来确保废水不排放：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派专人对废水处理设施进行维护，及时发现处理设备的隐患，确保处理系统正常运行；开、停、检修要有预案，有严密周全的计划，确保不发生非正常排放，或使影响最小；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应设有备用电源和备用处理设备和零件，以备停电或设备出现故障时保障及时更换使废水全部做到达标排放；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t>对员工进行岗位培训，持证上岗。经常性监测并做好值班记录，实行岗位责任制；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宋体" w:hAnsi="宋体" w:eastAsia="宋体" w:cs="宋体"/>
          <w:color w:val="auto"/>
          <w:sz w:val="24"/>
          <w:szCs w:val="24"/>
        </w:rPr>
        <w:t>④</w:t>
      </w:r>
      <w:r>
        <w:rPr>
          <w:rFonts w:ascii="Times New Roman" w:hAnsi="Times New Roman" w:eastAsia="宋体" w:cs="Times New Roman"/>
          <w:color w:val="auto"/>
          <w:sz w:val="24"/>
          <w:szCs w:val="24"/>
        </w:rPr>
        <w:t>保持猪场内管网的畅通，防止各污水池内污水泄漏。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t>本次环评要求场址内设事故池1座，</w:t>
      </w:r>
      <w:r>
        <w:rPr>
          <w:rFonts w:ascii="Times New Roman" w:hAnsi="Times New Roman" w:eastAsia="宋体" w:cs="Times New Roman"/>
          <w:b/>
          <w:color w:val="auto"/>
          <w:sz w:val="24"/>
          <w:szCs w:val="24"/>
        </w:rPr>
        <w:t>本项目拟建一座有效容积</w:t>
      </w:r>
      <w:r>
        <w:rPr>
          <w:rFonts w:hint="eastAsia" w:ascii="Times New Roman" w:hAnsi="Times New Roman" w:eastAsia="宋体" w:cs="Times New Roman"/>
          <w:b/>
          <w:color w:val="auto"/>
          <w:sz w:val="24"/>
          <w:szCs w:val="24"/>
          <w:lang w:val="en-US" w:eastAsia="zh-CN"/>
        </w:rPr>
        <w:t>20</w:t>
      </w:r>
      <w:r>
        <w:rPr>
          <w:rFonts w:ascii="Times New Roman" w:hAnsi="Times New Roman" w:eastAsia="宋体" w:cs="Times New Roman"/>
          <w:b/>
          <w:color w:val="auto"/>
          <w:sz w:val="24"/>
          <w:szCs w:val="24"/>
        </w:rPr>
        <w:t>00m</w:t>
      </w:r>
      <w:r>
        <w:rPr>
          <w:rFonts w:ascii="Times New Roman" w:hAnsi="Times New Roman" w:eastAsia="宋体" w:cs="Times New Roman"/>
          <w:b/>
          <w:color w:val="auto"/>
          <w:sz w:val="24"/>
          <w:szCs w:val="24"/>
          <w:vertAlign w:val="superscript"/>
        </w:rPr>
        <w:t>3</w:t>
      </w:r>
      <w:r>
        <w:rPr>
          <w:rFonts w:ascii="Times New Roman" w:hAnsi="Times New Roman" w:eastAsia="宋体" w:cs="Times New Roman"/>
          <w:b/>
          <w:color w:val="auto"/>
          <w:sz w:val="24"/>
          <w:szCs w:val="24"/>
        </w:rPr>
        <w:t>的事故应急池位于污水处理区，</w:t>
      </w:r>
      <w:r>
        <w:rPr>
          <w:rFonts w:ascii="Times New Roman" w:hAnsi="Times New Roman" w:eastAsia="宋体" w:cs="Times New Roman"/>
          <w:color w:val="auto"/>
          <w:sz w:val="24"/>
          <w:szCs w:val="24"/>
        </w:rPr>
        <w:t>在污水处理设施发生事故时，将废水导入并暂存，不得直接排放。</w:t>
      </w:r>
    </w:p>
    <w:p>
      <w:pPr>
        <w:widowControl w:val="0"/>
        <w:spacing w:line="460" w:lineRule="exact"/>
        <w:ind w:firstLine="480" w:firstLineChars="200"/>
        <w:jc w:val="both"/>
        <w:rPr>
          <w:rFonts w:ascii="Times New Roman" w:hAnsi="Times New Roman" w:eastAsia="宋体" w:cs="Times New Roman"/>
          <w:color w:val="auto"/>
          <w:kern w:val="2"/>
          <w:sz w:val="24"/>
          <w:szCs w:val="20"/>
          <w:lang w:val="en-US" w:eastAsia="zh-CN" w:bidi="ar-SA"/>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spacing w:before="0" w:after="0" w:line="360" w:lineRule="auto"/>
        <w:ind w:left="0" w:firstLine="0"/>
        <w:rPr>
          <w:rFonts w:ascii="Times New Roman" w:hAnsi="Times New Roman" w:eastAsia="黑体" w:cs="Times New Roman"/>
          <w:b/>
          <w:bCs/>
          <w:color w:val="auto"/>
          <w:kern w:val="2"/>
          <w:sz w:val="28"/>
          <w:szCs w:val="28"/>
          <w:lang w:val="en-US" w:eastAsia="zh-CN" w:bidi="ar-SA"/>
        </w:rPr>
      </w:pPr>
      <w:bookmarkStart w:id="191" w:name="_Toc4580"/>
      <w:r>
        <w:rPr>
          <w:rFonts w:ascii="Times New Roman" w:hAnsi="Times New Roman" w:eastAsia="黑体" w:cs="Times New Roman"/>
          <w:b/>
          <w:bCs/>
          <w:color w:val="auto"/>
          <w:kern w:val="2"/>
          <w:sz w:val="28"/>
          <w:szCs w:val="28"/>
          <w:lang w:val="en-US" w:eastAsia="zh-CN" w:bidi="ar-SA"/>
        </w:rPr>
        <w:t>项目主要污染物排放量汇总</w:t>
      </w:r>
      <w:bookmarkEnd w:id="191"/>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本项目主要污染物产生及排放情况统计见表3.</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p>
    <w:p>
      <w:pPr>
        <w:pStyle w:val="2503"/>
        <w:numPr>
          <w:ilvl w:val="0"/>
          <w:numId w:val="19"/>
        </w:numPr>
        <w:spacing w:before="120"/>
        <w:ind w:left="0" w:leftChars="0" w:firstLine="403" w:firstLineChars="0"/>
        <w:rPr>
          <w:color w:val="auto"/>
        </w:rPr>
      </w:pPr>
      <w:r>
        <w:rPr>
          <w:rFonts w:hint="default" w:ascii="Times New Roman" w:hAnsi="Times New Roman" w:eastAsia="宋体" w:cs="Times New Roman"/>
          <w:color w:val="auto"/>
          <w:sz w:val="21"/>
          <w:szCs w:val="21"/>
          <w:lang w:val="en-US" w:eastAsia="zh-CN"/>
        </w:rPr>
        <w:t xml:space="preserve">    </w:t>
      </w:r>
      <w:r>
        <w:rPr>
          <w:color w:val="auto"/>
        </w:rPr>
        <w:t>工程“三废”排放量统计表</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37"/>
        <w:gridCol w:w="604"/>
        <w:gridCol w:w="1339"/>
        <w:gridCol w:w="2668"/>
        <w:gridCol w:w="3645"/>
        <w:gridCol w:w="519"/>
        <w:gridCol w:w="2201"/>
        <w:gridCol w:w="2111"/>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种类</w:t>
            </w:r>
          </w:p>
        </w:tc>
        <w:tc>
          <w:tcPr>
            <w:tcW w:w="1943"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污染源</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处理前产生量及浓度</w:t>
            </w:r>
          </w:p>
        </w:tc>
        <w:tc>
          <w:tcPr>
            <w:tcW w:w="3645"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处置方式</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处理后排放量及浓度</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处理效率及排放去向</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restart"/>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废水</w:t>
            </w:r>
          </w:p>
        </w:tc>
        <w:tc>
          <w:tcPr>
            <w:tcW w:w="604" w:type="dxa"/>
            <w:vMerge w:val="restart"/>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施工期</w:t>
            </w: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施工作业废水</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3</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/d</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1"/>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经沉淀后回用</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1"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沉淀后回用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施工人员生活污水</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4.0m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/d</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经临时简易化粪池收集用作农肥</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用作农肥，不外排</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57" w:hRule="atLeast"/>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604" w:type="dxa"/>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营运期</w:t>
            </w: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生活污水</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养殖废水</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sz w:val="21"/>
                <w:szCs w:val="21"/>
                <w:lang w:val="en-US" w:eastAsia="zh-CN"/>
              </w:rPr>
              <w:t>65232.8</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/a</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w:t>
            </w:r>
            <w:r>
              <w:rPr>
                <w:rFonts w:hint="eastAsia" w:ascii="Times New Roman" w:hAnsi="Times New Roman" w:cs="Times New Roman"/>
                <w:color w:val="auto"/>
                <w:kern w:val="2"/>
                <w:sz w:val="21"/>
                <w:szCs w:val="21"/>
                <w:lang w:val="en-US" w:eastAsia="zh-CN"/>
              </w:rPr>
              <w:t>2608.87</w:t>
            </w:r>
            <w:r>
              <w:rPr>
                <w:rFonts w:hint="default" w:ascii="Times New Roman" w:hAnsi="Times New Roman" w:eastAsia="宋体" w:cs="Times New Roman"/>
                <w:color w:val="auto"/>
                <w:kern w:val="2"/>
                <w:sz w:val="21"/>
                <w:szCs w:val="21"/>
              </w:rPr>
              <w:t>mg/L;</w:t>
            </w:r>
            <w:r>
              <w:rPr>
                <w:rFonts w:hint="eastAsia" w:ascii="Times New Roman" w:hAnsi="Times New Roman" w:cs="Times New Roman"/>
                <w:color w:val="auto"/>
                <w:kern w:val="2"/>
                <w:sz w:val="21"/>
                <w:szCs w:val="21"/>
                <w:lang w:val="en-US" w:eastAsia="zh-CN"/>
              </w:rPr>
              <w:t>170.18</w:t>
            </w:r>
            <w:r>
              <w:rPr>
                <w:rFonts w:hint="default" w:ascii="Times New Roman" w:hAnsi="Times New Roman" w:eastAsia="宋体" w:cs="Times New Roman"/>
                <w:color w:val="auto"/>
                <w:kern w:val="2"/>
                <w:sz w:val="21"/>
                <w:szCs w:val="21"/>
              </w:rPr>
              <w:t>t/a</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BOD:</w:t>
            </w:r>
            <w:r>
              <w:rPr>
                <w:rFonts w:hint="eastAsia" w:ascii="Times New Roman" w:hAnsi="Times New Roman" w:cs="Times New Roman"/>
                <w:color w:val="auto"/>
                <w:kern w:val="2"/>
                <w:sz w:val="21"/>
                <w:szCs w:val="21"/>
                <w:lang w:val="en-US" w:eastAsia="zh-CN"/>
              </w:rPr>
              <w:t>1186.55</w:t>
            </w:r>
            <w:r>
              <w:rPr>
                <w:rFonts w:hint="default" w:ascii="Times New Roman" w:hAnsi="Times New Roman" w:eastAsia="宋体" w:cs="Times New Roman"/>
                <w:color w:val="auto"/>
                <w:kern w:val="2"/>
                <w:sz w:val="21"/>
                <w:szCs w:val="21"/>
              </w:rPr>
              <w:t>mg/L;</w:t>
            </w:r>
            <w:r>
              <w:rPr>
                <w:rFonts w:hint="eastAsia" w:ascii="Times New Roman" w:hAnsi="Times New Roman" w:cs="Times New Roman"/>
                <w:color w:val="auto"/>
                <w:kern w:val="2"/>
                <w:sz w:val="21"/>
                <w:szCs w:val="21"/>
                <w:lang w:val="en-US" w:eastAsia="zh-CN"/>
              </w:rPr>
              <w:t>77.40</w:t>
            </w:r>
            <w:r>
              <w:rPr>
                <w:rFonts w:hint="default" w:ascii="Times New Roman" w:hAnsi="Times New Roman" w:eastAsia="宋体" w:cs="Times New Roman"/>
                <w:color w:val="auto"/>
                <w:kern w:val="2"/>
                <w:sz w:val="21"/>
                <w:szCs w:val="21"/>
              </w:rPr>
              <w:t>t/a</w:t>
            </w:r>
          </w:p>
          <w:p>
            <w:pPr>
              <w:pStyle w:val="163"/>
              <w:keepNext w:val="0"/>
              <w:keepLines w:val="0"/>
              <w:suppressLineNumbers w:val="0"/>
              <w:kinsoku w:val="0"/>
              <w:wordWrap w:val="0"/>
              <w:overflowPunct w:val="0"/>
              <w:spacing w:before="0" w:beforeAutospacing="0" w:after="0" w:afterAutospacing="0"/>
              <w:ind w:left="0" w:right="144"/>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w:t>
            </w:r>
            <w:r>
              <w:rPr>
                <w:rFonts w:hint="eastAsia" w:ascii="Times New Roman" w:hAnsi="Times New Roman" w:cs="Times New Roman"/>
                <w:color w:val="auto"/>
                <w:kern w:val="2"/>
                <w:sz w:val="21"/>
                <w:szCs w:val="21"/>
                <w:lang w:val="en-US" w:eastAsia="zh-CN"/>
              </w:rPr>
              <w:t>4975.534</w:t>
            </w:r>
            <w:r>
              <w:rPr>
                <w:rFonts w:hint="default" w:ascii="Times New Roman" w:hAnsi="Times New Roman" w:eastAsia="宋体" w:cs="Times New Roman"/>
                <w:color w:val="auto"/>
                <w:kern w:val="2"/>
                <w:sz w:val="21"/>
                <w:szCs w:val="21"/>
              </w:rPr>
              <w:t>mg/L;</w:t>
            </w:r>
            <w:r>
              <w:rPr>
                <w:rFonts w:hint="eastAsia" w:ascii="Times New Roman" w:hAnsi="Times New Roman" w:cs="Times New Roman"/>
                <w:color w:val="auto"/>
                <w:kern w:val="2"/>
                <w:sz w:val="21"/>
                <w:szCs w:val="21"/>
                <w:lang w:val="en-US" w:eastAsia="zh-CN"/>
              </w:rPr>
              <w:t>324.57</w:t>
            </w:r>
            <w:r>
              <w:rPr>
                <w:rFonts w:hint="default" w:ascii="Times New Roman" w:hAnsi="Times New Roman" w:eastAsia="宋体" w:cs="Times New Roman"/>
                <w:color w:val="auto"/>
                <w:kern w:val="2"/>
                <w:sz w:val="21"/>
                <w:szCs w:val="21"/>
              </w:rPr>
              <w:t>t/a</w:t>
            </w:r>
          </w:p>
          <w:p>
            <w:pPr>
              <w:pStyle w:val="163"/>
              <w:keepNext w:val="0"/>
              <w:keepLines w:val="0"/>
              <w:suppressLineNumbers w:val="0"/>
              <w:kinsoku w:val="0"/>
              <w:wordWrap w:val="0"/>
              <w:overflowPunct w:val="0"/>
              <w:spacing w:before="0" w:beforeAutospacing="0" w:after="0" w:afterAutospacing="0"/>
              <w:ind w:left="0" w:right="144"/>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r>
              <w:rPr>
                <w:rFonts w:hint="eastAsia" w:ascii="Times New Roman" w:hAnsi="Times New Roman" w:cs="Times New Roman"/>
                <w:color w:val="auto"/>
                <w:kern w:val="2"/>
                <w:sz w:val="21"/>
                <w:szCs w:val="21"/>
                <w:lang w:val="en-US" w:eastAsia="zh-CN"/>
              </w:rPr>
              <w:t>258.73</w:t>
            </w:r>
            <w:r>
              <w:rPr>
                <w:rFonts w:hint="default" w:ascii="Times New Roman" w:hAnsi="Times New Roman" w:eastAsia="宋体" w:cs="Times New Roman"/>
                <w:color w:val="auto"/>
                <w:kern w:val="2"/>
                <w:sz w:val="21"/>
                <w:szCs w:val="21"/>
              </w:rPr>
              <w:t>mg/L;</w:t>
            </w:r>
            <w:r>
              <w:rPr>
                <w:rFonts w:hint="eastAsia" w:ascii="Times New Roman" w:hAnsi="Times New Roman" w:cs="Times New Roman"/>
                <w:color w:val="auto"/>
                <w:kern w:val="2"/>
                <w:sz w:val="21"/>
                <w:szCs w:val="21"/>
                <w:lang w:val="en-US" w:eastAsia="zh-CN"/>
              </w:rPr>
              <w:t>16.88</w:t>
            </w:r>
            <w:r>
              <w:rPr>
                <w:rFonts w:hint="default" w:ascii="Times New Roman" w:hAnsi="Times New Roman" w:eastAsia="宋体" w:cs="Times New Roman"/>
                <w:color w:val="auto"/>
                <w:kern w:val="2"/>
                <w:sz w:val="21"/>
                <w:szCs w:val="21"/>
              </w:rPr>
              <w:t>t/a</w:t>
            </w:r>
          </w:p>
          <w:p>
            <w:pPr>
              <w:pStyle w:val="163"/>
              <w:keepNext w:val="0"/>
              <w:keepLines w:val="0"/>
              <w:suppressLineNumbers w:val="0"/>
              <w:kinsoku w:val="0"/>
              <w:wordWrap w:val="0"/>
              <w:overflowPunct w:val="0"/>
              <w:spacing w:before="0" w:beforeAutospacing="0" w:after="0" w:afterAutospacing="0"/>
              <w:ind w:left="0" w:right="1"/>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粪大肠菌群:</w:t>
            </w:r>
            <w:r>
              <w:rPr>
                <w:rFonts w:hint="eastAsia" w:ascii="Times New Roman" w:hAnsi="Times New Roman" w:cs="Times New Roman"/>
                <w:color w:val="auto"/>
                <w:kern w:val="2"/>
                <w:sz w:val="21"/>
                <w:szCs w:val="21"/>
                <w:lang w:val="en-US" w:eastAsia="zh-CN"/>
              </w:rPr>
              <w:t>19932</w:t>
            </w:r>
            <w:r>
              <w:rPr>
                <w:rFonts w:hint="default" w:ascii="Times New Roman" w:hAnsi="Times New Roman" w:eastAsia="宋体" w:cs="Times New Roman"/>
                <w:color w:val="auto"/>
                <w:kern w:val="2"/>
                <w:sz w:val="21"/>
                <w:szCs w:val="21"/>
              </w:rPr>
              <w:t>个/mL</w:t>
            </w:r>
          </w:p>
          <w:p>
            <w:pPr>
              <w:pStyle w:val="163"/>
              <w:keepNext w:val="0"/>
              <w:keepLines w:val="0"/>
              <w:suppressLineNumbers w:val="0"/>
              <w:kinsoku w:val="0"/>
              <w:wordWrap w:val="0"/>
              <w:overflowPunct w:val="0"/>
              <w:spacing w:before="0" w:beforeAutospacing="0" w:after="0" w:afterAutospacing="0"/>
              <w:ind w:left="0" w:right="1"/>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蛔虫卵:10个/L</w:t>
            </w:r>
          </w:p>
        </w:tc>
        <w:tc>
          <w:tcPr>
            <w:tcW w:w="3645"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经项目自建的污水处理设施（“</w:t>
            </w:r>
            <w:r>
              <w:rPr>
                <w:rFonts w:hint="eastAsia" w:ascii="Times New Roman" w:hAnsi="Times New Roman" w:cs="Times New Roman"/>
                <w:color w:val="auto"/>
                <w:kern w:val="2"/>
                <w:sz w:val="21"/>
                <w:szCs w:val="21"/>
                <w:lang w:eastAsia="zh-CN"/>
              </w:rPr>
              <w:t>固液分离+UASB厌氧+絮凝沉淀+两级A/O系统+混凝絮凝沉淀+消毒</w:t>
            </w:r>
            <w:r>
              <w:rPr>
                <w:rFonts w:hint="default" w:ascii="Times New Roman" w:hAnsi="Times New Roman" w:eastAsia="宋体" w:cs="Times New Roman"/>
                <w:color w:val="auto"/>
                <w:kern w:val="2"/>
                <w:sz w:val="21"/>
                <w:szCs w:val="21"/>
              </w:rPr>
              <w:t>”污水处理设施处理达《农田灌溉水质标准》（GB5084-2005）中旱作标准后暂存于储存池内，</w:t>
            </w:r>
            <w:r>
              <w:rPr>
                <w:rFonts w:hint="eastAsia" w:ascii="Times New Roman" w:hAnsi="Times New Roman" w:cs="Times New Roman"/>
                <w:color w:val="auto"/>
                <w:kern w:val="2"/>
                <w:sz w:val="21"/>
                <w:szCs w:val="21"/>
                <w:lang w:eastAsia="zh-CN"/>
              </w:rPr>
              <w:t>用于周围林地灌溉，不外排</w:t>
            </w:r>
            <w:r>
              <w:rPr>
                <w:rFonts w:hint="default" w:ascii="Times New Roman" w:hAnsi="Times New Roman" w:eastAsia="宋体" w:cs="Times New Roman"/>
                <w:color w:val="auto"/>
                <w:kern w:val="2"/>
                <w:sz w:val="21"/>
                <w:szCs w:val="21"/>
              </w:rPr>
              <w:t>。</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sz w:val="21"/>
                <w:szCs w:val="21"/>
                <w:lang w:val="en-US" w:eastAsia="zh-CN"/>
              </w:rPr>
              <w:t>65232.8</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/a</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COD:200mg/L;</w:t>
            </w:r>
            <w:r>
              <w:rPr>
                <w:rFonts w:hint="eastAsia" w:ascii="Times New Roman" w:hAnsi="Times New Roman" w:cs="Times New Roman"/>
                <w:color w:val="auto"/>
                <w:kern w:val="2"/>
                <w:sz w:val="21"/>
                <w:szCs w:val="21"/>
                <w:lang w:val="en-US" w:eastAsia="zh-CN"/>
              </w:rPr>
              <w:t>13.05</w:t>
            </w:r>
            <w:r>
              <w:rPr>
                <w:rFonts w:hint="default" w:ascii="Times New Roman" w:hAnsi="Times New Roman" w:eastAsia="宋体" w:cs="Times New Roman"/>
                <w:color w:val="auto"/>
                <w:kern w:val="2"/>
                <w:sz w:val="21"/>
                <w:szCs w:val="21"/>
              </w:rPr>
              <w:t>t/a</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BOD:100mg/L;</w:t>
            </w:r>
            <w:r>
              <w:rPr>
                <w:rFonts w:hint="eastAsia" w:ascii="Times New Roman" w:hAnsi="Times New Roman" w:cs="Times New Roman"/>
                <w:color w:val="auto"/>
                <w:kern w:val="2"/>
                <w:sz w:val="21"/>
                <w:szCs w:val="21"/>
                <w:lang w:val="en-US" w:eastAsia="zh-CN"/>
              </w:rPr>
              <w:t>6.52</w:t>
            </w:r>
            <w:r>
              <w:rPr>
                <w:rFonts w:hint="default" w:ascii="Times New Roman" w:hAnsi="Times New Roman" w:eastAsia="宋体" w:cs="Times New Roman"/>
                <w:color w:val="auto"/>
                <w:kern w:val="2"/>
                <w:sz w:val="21"/>
                <w:szCs w:val="21"/>
              </w:rPr>
              <w:t>t/a</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SS:100mg/L;</w:t>
            </w:r>
            <w:r>
              <w:rPr>
                <w:rFonts w:hint="eastAsia" w:ascii="Times New Roman" w:hAnsi="Times New Roman" w:cs="Times New Roman"/>
                <w:color w:val="auto"/>
                <w:kern w:val="2"/>
                <w:sz w:val="21"/>
                <w:szCs w:val="21"/>
                <w:lang w:val="en-US" w:eastAsia="zh-CN"/>
              </w:rPr>
              <w:t>6.52</w:t>
            </w:r>
            <w:r>
              <w:rPr>
                <w:rFonts w:hint="default" w:ascii="Times New Roman" w:hAnsi="Times New Roman" w:eastAsia="宋体" w:cs="Times New Roman"/>
                <w:color w:val="auto"/>
                <w:kern w:val="2"/>
                <w:sz w:val="21"/>
                <w:szCs w:val="21"/>
              </w:rPr>
              <w:t>t/a</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-N:80mg/L;</w:t>
            </w:r>
            <w:r>
              <w:rPr>
                <w:rFonts w:hint="eastAsia" w:ascii="Times New Roman" w:hAnsi="Times New Roman" w:cs="Times New Roman"/>
                <w:color w:val="auto"/>
                <w:kern w:val="2"/>
                <w:sz w:val="21"/>
                <w:szCs w:val="21"/>
                <w:lang w:val="en-US" w:eastAsia="zh-CN"/>
              </w:rPr>
              <w:t>5.22</w:t>
            </w:r>
            <w:r>
              <w:rPr>
                <w:rFonts w:hint="default" w:ascii="Times New Roman" w:hAnsi="Times New Roman" w:eastAsia="宋体" w:cs="Times New Roman"/>
                <w:color w:val="auto"/>
                <w:kern w:val="2"/>
                <w:sz w:val="21"/>
                <w:szCs w:val="21"/>
              </w:rPr>
              <w:t>t/a</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粪大肠菌群:40000个/mL</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蛔虫卵:2.0个/L</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有效利用，不外排</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restart"/>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废气</w:t>
            </w:r>
          </w:p>
        </w:tc>
        <w:tc>
          <w:tcPr>
            <w:tcW w:w="604" w:type="dxa"/>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施工期</w:t>
            </w: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施工扬尘</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3.5mg/m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(平均浓度)</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洒水降尘、设置围挡、加强管理</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&lt;1.0mg/m</w:t>
            </w:r>
            <w:r>
              <w:rPr>
                <w:rFonts w:hint="default" w:ascii="Times New Roman" w:hAnsi="Times New Roman" w:eastAsia="宋体" w:cs="Times New Roman"/>
                <w:color w:val="auto"/>
                <w:kern w:val="2"/>
                <w:sz w:val="21"/>
                <w:szCs w:val="21"/>
                <w:vertAlign w:val="superscript"/>
              </w:rPr>
              <w:t>3</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无组织排放</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78" w:hRule="atLeast"/>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604" w:type="dxa"/>
            <w:vMerge w:val="restart"/>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营运期</w:t>
            </w:r>
          </w:p>
        </w:tc>
        <w:tc>
          <w:tcPr>
            <w:tcW w:w="1339" w:type="dxa"/>
            <w:tcBorders>
              <w:bottom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猪舍恶臭</w:t>
            </w:r>
          </w:p>
        </w:tc>
        <w:tc>
          <w:tcPr>
            <w:tcW w:w="2668" w:type="dxa"/>
            <w:tcBorders>
              <w:bottom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w:t>
            </w:r>
            <w:r>
              <w:rPr>
                <w:rFonts w:hint="eastAsia" w:ascii="Times New Roman" w:hAnsi="Times New Roman" w:cs="Times New Roman"/>
                <w:color w:val="auto"/>
                <w:kern w:val="2"/>
                <w:sz w:val="21"/>
                <w:szCs w:val="21"/>
                <w:lang w:val="en-US" w:eastAsia="zh-CN"/>
              </w:rPr>
              <w:t>0.4052</w:t>
            </w:r>
            <w:r>
              <w:rPr>
                <w:rFonts w:hint="default" w:ascii="Times New Roman" w:hAnsi="Times New Roman" w:eastAsia="宋体" w:cs="Times New Roman"/>
                <w:color w:val="auto"/>
                <w:kern w:val="2"/>
                <w:sz w:val="21"/>
                <w:szCs w:val="21"/>
              </w:rPr>
              <w:t>kg/h</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w:t>
            </w:r>
            <w:r>
              <w:rPr>
                <w:rFonts w:hint="eastAsia" w:ascii="Times New Roman" w:hAnsi="Times New Roman" w:cs="Times New Roman"/>
                <w:color w:val="auto"/>
                <w:kern w:val="2"/>
                <w:sz w:val="21"/>
                <w:szCs w:val="21"/>
                <w:lang w:val="en-US" w:eastAsia="zh-CN"/>
              </w:rPr>
              <w:t>0.0681</w:t>
            </w:r>
            <w:r>
              <w:rPr>
                <w:rFonts w:hint="default" w:ascii="Times New Roman" w:hAnsi="Times New Roman" w:eastAsia="宋体" w:cs="Times New Roman"/>
                <w:color w:val="auto"/>
                <w:kern w:val="2"/>
                <w:sz w:val="21"/>
                <w:szCs w:val="21"/>
              </w:rPr>
              <w:t>kg/h</w:t>
            </w:r>
          </w:p>
        </w:tc>
        <w:tc>
          <w:tcPr>
            <w:tcW w:w="3645" w:type="dxa"/>
            <w:tcBorders>
              <w:bottom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除臭、绿化、加强通风、漏缝地板、饲料合理配置</w:t>
            </w:r>
          </w:p>
        </w:tc>
        <w:tc>
          <w:tcPr>
            <w:tcW w:w="2720" w:type="dxa"/>
            <w:gridSpan w:val="2"/>
            <w:tcBorders>
              <w:bottom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w:t>
            </w:r>
            <w:r>
              <w:rPr>
                <w:rFonts w:hint="eastAsia" w:ascii="Times New Roman" w:hAnsi="Times New Roman" w:cs="Times New Roman"/>
                <w:color w:val="auto"/>
                <w:kern w:val="2"/>
                <w:sz w:val="21"/>
                <w:szCs w:val="21"/>
                <w:lang w:val="en-US" w:eastAsia="zh-CN"/>
              </w:rPr>
              <w:t>0.03</w:t>
            </w:r>
            <w:r>
              <w:rPr>
                <w:rFonts w:hint="default" w:ascii="Times New Roman" w:hAnsi="Times New Roman" w:eastAsia="宋体" w:cs="Times New Roman"/>
                <w:color w:val="auto"/>
                <w:kern w:val="2"/>
                <w:sz w:val="21"/>
                <w:szCs w:val="21"/>
              </w:rPr>
              <w:t>kg/h</w:t>
            </w:r>
          </w:p>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w:t>
            </w:r>
            <w:r>
              <w:rPr>
                <w:rFonts w:hint="eastAsia" w:ascii="Times New Roman" w:hAnsi="Times New Roman" w:cs="Times New Roman"/>
                <w:color w:val="auto"/>
                <w:kern w:val="2"/>
                <w:sz w:val="21"/>
                <w:szCs w:val="21"/>
                <w:lang w:val="en-US" w:eastAsia="zh-CN"/>
              </w:rPr>
              <w:t>0.0007</w:t>
            </w:r>
            <w:r>
              <w:rPr>
                <w:rFonts w:hint="default" w:ascii="Times New Roman" w:hAnsi="Times New Roman" w:eastAsia="宋体" w:cs="Times New Roman"/>
                <w:color w:val="auto"/>
                <w:kern w:val="2"/>
                <w:sz w:val="21"/>
                <w:szCs w:val="21"/>
              </w:rPr>
              <w:t>kg/h</w:t>
            </w:r>
          </w:p>
        </w:tc>
        <w:tc>
          <w:tcPr>
            <w:tcW w:w="2111" w:type="dxa"/>
            <w:vMerge w:val="restart"/>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厂界臭气浓度均能够满足《畜禽养殖业污染物排放标准》中的规定值，对厂界外空气质量影响很小</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1339" w:type="dxa"/>
            <w:vMerge w:val="restart"/>
            <w:tcBorders>
              <w:top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eastAsia="zh-CN"/>
              </w:rPr>
              <w:t>堆肥发酵罐恶臭</w:t>
            </w:r>
          </w:p>
        </w:tc>
        <w:tc>
          <w:tcPr>
            <w:tcW w:w="2668" w:type="dxa"/>
            <w:vMerge w:val="restart"/>
            <w:tcBorders>
              <w:top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：0.25kg/h</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S：0.025kg/h</w:t>
            </w:r>
          </w:p>
        </w:tc>
        <w:tc>
          <w:tcPr>
            <w:tcW w:w="3645" w:type="dxa"/>
            <w:vMerge w:val="restart"/>
            <w:tcBorders>
              <w:top w:val="single" w:color="auto" w:sz="4" w:space="0"/>
            </w:tcBorders>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“碱液喷淋+生物过滤法”处理后经15m高排气筒排放</w:t>
            </w:r>
          </w:p>
        </w:tc>
        <w:tc>
          <w:tcPr>
            <w:tcW w:w="519" w:type="dxa"/>
            <w:tcBorders>
              <w:top w:val="single" w:color="auto" w:sz="4" w:space="0"/>
              <w:bottom w:val="single" w:color="000000" w:sz="8" w:space="0"/>
              <w:right w:val="single" w:color="000000" w:sz="8"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eastAsia="zh-CN"/>
              </w:rPr>
              <w:t>有组织</w:t>
            </w:r>
          </w:p>
        </w:tc>
        <w:tc>
          <w:tcPr>
            <w:tcW w:w="2201" w:type="dxa"/>
            <w:tcBorders>
              <w:top w:val="single" w:color="auto" w:sz="4" w:space="0"/>
              <w:left w:val="single" w:color="000000" w:sz="8" w:space="0"/>
              <w:bottom w:val="single" w:color="000000" w:sz="8" w:space="0"/>
            </w:tcBorders>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w:t>
            </w:r>
            <w:r>
              <w:rPr>
                <w:rFonts w:hint="eastAsia" w:ascii="Times New Roman" w:hAnsi="Times New Roman" w:cs="Times New Roman"/>
                <w:color w:val="auto"/>
                <w:kern w:val="2"/>
                <w:sz w:val="21"/>
                <w:szCs w:val="21"/>
                <w:lang w:val="en-US" w:eastAsia="zh-CN"/>
              </w:rPr>
              <w:t>0.0012</w:t>
            </w:r>
            <w:r>
              <w:rPr>
                <w:rFonts w:hint="default" w:ascii="Times New Roman" w:hAnsi="Times New Roman" w:eastAsia="宋体" w:cs="Times New Roman"/>
                <w:color w:val="auto"/>
                <w:kern w:val="2"/>
                <w:sz w:val="21"/>
                <w:szCs w:val="21"/>
              </w:rPr>
              <w:t>kg/h</w:t>
            </w:r>
          </w:p>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w:t>
            </w:r>
            <w:r>
              <w:rPr>
                <w:rFonts w:hint="eastAsia" w:ascii="Times New Roman" w:hAnsi="Times New Roman" w:cs="Times New Roman"/>
                <w:color w:val="auto"/>
                <w:kern w:val="2"/>
                <w:sz w:val="21"/>
                <w:szCs w:val="21"/>
                <w:lang w:eastAsia="zh-CN"/>
              </w:rPr>
              <w:t>：</w:t>
            </w:r>
            <w:r>
              <w:rPr>
                <w:rFonts w:hint="eastAsia" w:ascii="Times New Roman" w:hAnsi="Times New Roman" w:cs="Times New Roman"/>
                <w:color w:val="auto"/>
                <w:kern w:val="2"/>
                <w:sz w:val="21"/>
                <w:szCs w:val="21"/>
                <w:lang w:val="en-US" w:eastAsia="zh-CN"/>
              </w:rPr>
              <w:t>0.0002</w:t>
            </w:r>
            <w:r>
              <w:rPr>
                <w:rFonts w:hint="default" w:ascii="Times New Roman" w:hAnsi="Times New Roman" w:eastAsia="宋体" w:cs="Times New Roman"/>
                <w:color w:val="auto"/>
                <w:kern w:val="2"/>
                <w:sz w:val="21"/>
                <w:szCs w:val="21"/>
              </w:rPr>
              <w:t>kg/h</w:t>
            </w:r>
          </w:p>
        </w:tc>
        <w:tc>
          <w:tcPr>
            <w:tcW w:w="2111"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1339" w:type="dxa"/>
            <w:vMerge w:val="continue"/>
            <w:tcBorders>
              <w:bottom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cs="Times New Roman"/>
                <w:color w:val="auto"/>
                <w:kern w:val="2"/>
                <w:sz w:val="21"/>
                <w:szCs w:val="21"/>
                <w:lang w:eastAsia="zh-CN"/>
              </w:rPr>
            </w:pPr>
          </w:p>
        </w:tc>
        <w:tc>
          <w:tcPr>
            <w:tcW w:w="2668" w:type="dxa"/>
            <w:vMerge w:val="continue"/>
            <w:tcBorders>
              <w:bottom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3645" w:type="dxa"/>
            <w:vMerge w:val="continue"/>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p>
        </w:tc>
        <w:tc>
          <w:tcPr>
            <w:tcW w:w="519" w:type="dxa"/>
            <w:vMerge w:val="restart"/>
            <w:tcBorders>
              <w:top w:val="single" w:color="000000" w:sz="8" w:space="0"/>
              <w:right w:val="single" w:color="000000" w:sz="8"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eastAsia="zh-CN"/>
              </w:rPr>
              <w:t>无组织</w:t>
            </w:r>
          </w:p>
        </w:tc>
        <w:tc>
          <w:tcPr>
            <w:tcW w:w="2201" w:type="dxa"/>
            <w:vMerge w:val="restart"/>
            <w:tcBorders>
              <w:top w:val="single" w:color="000000" w:sz="8" w:space="0"/>
              <w:left w:val="single" w:color="000000" w:sz="8" w:space="0"/>
            </w:tcBorders>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w:t>
            </w:r>
            <w:r>
              <w:rPr>
                <w:rFonts w:hint="eastAsia" w:ascii="Times New Roman" w:hAnsi="Times New Roman" w:cs="Times New Roman"/>
                <w:color w:val="auto"/>
                <w:kern w:val="2"/>
                <w:sz w:val="21"/>
                <w:szCs w:val="21"/>
                <w:lang w:val="en-US" w:eastAsia="zh-CN"/>
              </w:rPr>
              <w:t>:0.00175</w:t>
            </w:r>
            <w:r>
              <w:rPr>
                <w:rFonts w:hint="default" w:ascii="Times New Roman" w:hAnsi="Times New Roman" w:eastAsia="宋体" w:cs="Times New Roman"/>
                <w:color w:val="auto"/>
                <w:kern w:val="2"/>
                <w:sz w:val="21"/>
                <w:szCs w:val="21"/>
              </w:rPr>
              <w:t>kg/h</w:t>
            </w:r>
          </w:p>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w:t>
            </w:r>
            <w:r>
              <w:rPr>
                <w:rFonts w:hint="eastAsia" w:ascii="Times New Roman" w:hAnsi="Times New Roman" w:cs="Times New Roman"/>
                <w:color w:val="auto"/>
                <w:kern w:val="2"/>
                <w:sz w:val="21"/>
                <w:szCs w:val="21"/>
                <w:lang w:val="en-US" w:eastAsia="zh-CN"/>
              </w:rPr>
              <w:t>0.0001</w:t>
            </w:r>
            <w:r>
              <w:rPr>
                <w:rFonts w:hint="default" w:ascii="Times New Roman" w:hAnsi="Times New Roman" w:eastAsia="宋体" w:cs="Times New Roman"/>
                <w:color w:val="auto"/>
                <w:kern w:val="2"/>
                <w:sz w:val="21"/>
                <w:szCs w:val="21"/>
              </w:rPr>
              <w:t>kg/h</w:t>
            </w:r>
          </w:p>
        </w:tc>
        <w:tc>
          <w:tcPr>
            <w:tcW w:w="2111"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1339" w:type="dxa"/>
            <w:tcBorders>
              <w:top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污水处理站恶臭</w:t>
            </w:r>
          </w:p>
        </w:tc>
        <w:tc>
          <w:tcPr>
            <w:tcW w:w="2668" w:type="dxa"/>
            <w:tcBorders>
              <w:top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w:t>
            </w:r>
            <w:r>
              <w:rPr>
                <w:rFonts w:hint="eastAsia" w:ascii="Times New Roman" w:hAnsi="Times New Roman" w:cs="Times New Roman"/>
                <w:color w:val="auto"/>
                <w:kern w:val="2"/>
                <w:sz w:val="21"/>
                <w:szCs w:val="21"/>
                <w:lang w:val="en-US" w:eastAsia="zh-CN"/>
              </w:rPr>
              <w:t>0.22t/a</w:t>
            </w:r>
            <w:r>
              <w:rPr>
                <w:rFonts w:hint="default" w:ascii="Times New Roman" w:hAnsi="Times New Roman" w:eastAsia="宋体" w:cs="Times New Roman"/>
                <w:color w:val="auto"/>
                <w:kern w:val="2"/>
                <w:sz w:val="21"/>
                <w:szCs w:val="21"/>
              </w:rPr>
              <w:t>/</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w:t>
            </w:r>
            <w:r>
              <w:rPr>
                <w:rFonts w:hint="eastAsia" w:ascii="Times New Roman" w:hAnsi="Times New Roman" w:cs="Times New Roman"/>
                <w:color w:val="auto"/>
                <w:kern w:val="2"/>
                <w:sz w:val="21"/>
                <w:szCs w:val="21"/>
                <w:lang w:val="en-US" w:eastAsia="zh-CN"/>
              </w:rPr>
              <w:t>0.0085t/a</w:t>
            </w:r>
            <w:r>
              <w:rPr>
                <w:rFonts w:hint="default" w:ascii="Times New Roman" w:hAnsi="Times New Roman" w:eastAsia="宋体" w:cs="Times New Roman"/>
                <w:color w:val="auto"/>
                <w:kern w:val="2"/>
                <w:sz w:val="21"/>
                <w:szCs w:val="21"/>
              </w:rPr>
              <w:t>/</w:t>
            </w:r>
          </w:p>
        </w:tc>
        <w:tc>
          <w:tcPr>
            <w:tcW w:w="3645" w:type="dxa"/>
            <w:vMerge w:val="continue"/>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p>
        </w:tc>
        <w:tc>
          <w:tcPr>
            <w:tcW w:w="519" w:type="dxa"/>
            <w:vMerge w:val="continue"/>
            <w:tcBorders>
              <w:right w:val="single" w:color="000000" w:sz="8"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p>
        </w:tc>
        <w:tc>
          <w:tcPr>
            <w:tcW w:w="2201" w:type="dxa"/>
            <w:vMerge w:val="continue"/>
            <w:tcBorders>
              <w:left w:val="single" w:color="000000" w:sz="8"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p>
        </w:tc>
        <w:tc>
          <w:tcPr>
            <w:tcW w:w="2111"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rPr>
            </w:pPr>
          </w:p>
        </w:tc>
        <w:tc>
          <w:tcPr>
            <w:tcW w:w="1339" w:type="dxa"/>
            <w:tcBorders>
              <w:top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病死猪处理车间</w:t>
            </w:r>
          </w:p>
        </w:tc>
        <w:tc>
          <w:tcPr>
            <w:tcW w:w="2668" w:type="dxa"/>
            <w:tcBorders>
              <w:top w:val="single" w:color="auto" w:sz="4" w:space="0"/>
            </w:tcBorders>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eastAsia="zh-CN"/>
              </w:rPr>
              <w:t>少量</w:t>
            </w: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w:t>
            </w:r>
          </w:p>
        </w:tc>
        <w:tc>
          <w:tcPr>
            <w:tcW w:w="3645"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eastAsia="zh-CN"/>
              </w:rPr>
              <w:t>恶臭净化器净化后排放</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w:t>
            </w:r>
            <w:r>
              <w:rPr>
                <w:rFonts w:hint="eastAsia" w:ascii="Times New Roman" w:hAnsi="Times New Roman" w:eastAsia="宋体" w:cs="Times New Roman"/>
                <w:color w:val="auto"/>
                <w:kern w:val="2"/>
                <w:sz w:val="21"/>
                <w:szCs w:val="21"/>
                <w:lang w:val="en-US" w:eastAsia="zh-CN"/>
              </w:rPr>
              <w:t>0.13</w:t>
            </w:r>
            <w:r>
              <w:rPr>
                <w:rFonts w:hint="default" w:ascii="Times New Roman" w:hAnsi="Times New Roman" w:cs="Times New Roman"/>
                <w:color w:val="auto"/>
              </w:rPr>
              <w:t>mg/m³</w:t>
            </w:r>
          </w:p>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vertAlign w:val="subscript"/>
              </w:rPr>
              <w:t>2</w:t>
            </w:r>
            <w:r>
              <w:rPr>
                <w:rFonts w:hint="default" w:ascii="Times New Roman" w:hAnsi="Times New Roman" w:eastAsia="宋体" w:cs="Times New Roman"/>
                <w:color w:val="auto"/>
                <w:kern w:val="2"/>
                <w:sz w:val="21"/>
                <w:szCs w:val="21"/>
              </w:rPr>
              <w:t>S：</w:t>
            </w:r>
            <w:r>
              <w:rPr>
                <w:rFonts w:hint="eastAsia" w:ascii="Times New Roman" w:hAnsi="Times New Roman" w:eastAsia="宋体" w:cs="Times New Roman"/>
                <w:color w:val="auto"/>
                <w:kern w:val="2"/>
                <w:sz w:val="21"/>
                <w:szCs w:val="21"/>
                <w:lang w:val="en-US" w:eastAsia="zh-CN"/>
              </w:rPr>
              <w:t>0.04</w:t>
            </w:r>
            <w:r>
              <w:rPr>
                <w:rFonts w:hint="default" w:ascii="Times New Roman" w:hAnsi="Times New Roman" w:cs="Times New Roman"/>
                <w:color w:val="auto"/>
              </w:rPr>
              <w:t>mg/m³</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eastAsia="zh-CN"/>
              </w:rPr>
              <w:t>无组织排放</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沼气</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 w:val="0"/>
                <w:bCs w:val="0"/>
                <w:color w:val="auto"/>
                <w:kern w:val="2"/>
                <w:sz w:val="21"/>
                <w:szCs w:val="21"/>
                <w:lang w:val="en-US" w:eastAsia="zh-CN" w:bidi="ar-SA"/>
              </w:rPr>
              <w:t>104.03</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/d</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净化后燃烧</w:t>
            </w:r>
            <w:r>
              <w:rPr>
                <w:rFonts w:hint="eastAsia" w:ascii="Times New Roman" w:hAnsi="Times New Roman" w:cs="Times New Roman"/>
                <w:color w:val="auto"/>
                <w:kern w:val="2"/>
                <w:sz w:val="21"/>
                <w:szCs w:val="21"/>
                <w:lang w:eastAsia="zh-CN"/>
              </w:rPr>
              <w:t>或发电</w:t>
            </w:r>
            <w:r>
              <w:rPr>
                <w:rFonts w:hint="default" w:ascii="Times New Roman" w:hAnsi="Times New Roman" w:eastAsia="宋体" w:cs="Times New Roman"/>
                <w:color w:val="auto"/>
                <w:kern w:val="2"/>
                <w:sz w:val="21"/>
                <w:szCs w:val="21"/>
              </w:rPr>
              <w:t>使用</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清洁能源，燃烧废气对外环境无明显影响</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食堂油烟</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0.018kg/h</w:t>
            </w:r>
          </w:p>
        </w:tc>
        <w:tc>
          <w:tcPr>
            <w:tcW w:w="3645"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经油烟罩收集后，再经油烟净化设备处 理，油烟的净化率可达75%以上，治理后油烟引至食堂楼顶排入大气</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0.0045kg/h</w:t>
            </w:r>
          </w:p>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0.9mg/m</w:t>
            </w:r>
            <w:r>
              <w:rPr>
                <w:rFonts w:hint="default" w:ascii="Times New Roman" w:hAnsi="Times New Roman" w:eastAsia="宋体" w:cs="Times New Roman"/>
                <w:color w:val="auto"/>
                <w:kern w:val="2"/>
                <w:sz w:val="21"/>
                <w:szCs w:val="21"/>
                <w:vertAlign w:val="superscript"/>
              </w:rPr>
              <w:t>3</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排放浓度能达到《饮食业油烟排放标准》(GB18483-2001)小型规模标准</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发电机废气</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少量CO、HC、NOx</w:t>
            </w:r>
          </w:p>
        </w:tc>
        <w:tc>
          <w:tcPr>
            <w:tcW w:w="3645" w:type="dxa"/>
            <w:noWrap w:val="0"/>
            <w:vAlign w:val="center"/>
          </w:tcPr>
          <w:p>
            <w:pPr>
              <w:pStyle w:val="163"/>
              <w:keepNext w:val="0"/>
              <w:keepLines w:val="0"/>
              <w:suppressLineNumbers w:val="0"/>
              <w:kinsoku w:val="0"/>
              <w:overflowPunct w:val="0"/>
              <w:spacing w:before="0" w:beforeAutospacing="0" w:after="0" w:afterAutospacing="0"/>
              <w:ind w:left="106"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由自身携带的废气净化装置处理，处理后经抽排风系统抽至排风口处排放</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少量</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达标排放</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restart"/>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固体</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废弃</w:t>
            </w:r>
          </w:p>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物</w:t>
            </w:r>
          </w:p>
        </w:tc>
        <w:tc>
          <w:tcPr>
            <w:tcW w:w="604" w:type="dxa"/>
            <w:vMerge w:val="restart"/>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施工期</w:t>
            </w: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开挖弃土方</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31000m</w:t>
            </w:r>
            <w:r>
              <w:rPr>
                <w:rFonts w:hint="default" w:ascii="Times New Roman" w:hAnsi="Times New Roman" w:eastAsia="宋体" w:cs="Times New Roman"/>
                <w:color w:val="auto"/>
                <w:kern w:val="2"/>
                <w:sz w:val="21"/>
                <w:szCs w:val="21"/>
                <w:vertAlign w:val="superscript"/>
              </w:rPr>
              <w:t>3</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绿化覆土</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去向明确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建筑垃圾</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375.275</w:t>
            </w:r>
            <w:r>
              <w:rPr>
                <w:rFonts w:hint="default" w:ascii="Times New Roman" w:hAnsi="Times New Roman" w:eastAsia="宋体" w:cs="Times New Roman"/>
                <w:color w:val="auto"/>
                <w:kern w:val="2"/>
                <w:sz w:val="21"/>
                <w:szCs w:val="21"/>
              </w:rPr>
              <w:t>t</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外运至城建部门制定地点堆放</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外运</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生活垃圾</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50kg/d</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交由环卫部门统一收集清运</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50kg/d</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去向明确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restart"/>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营运期</w:t>
            </w: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猪只粪便</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18549.3</w:t>
            </w:r>
            <w:r>
              <w:rPr>
                <w:rFonts w:hint="default" w:ascii="Times New Roman" w:hAnsi="Times New Roman" w:eastAsia="宋体" w:cs="Times New Roman"/>
                <w:color w:val="auto"/>
                <w:kern w:val="2"/>
                <w:sz w:val="21"/>
                <w:szCs w:val="21"/>
              </w:rPr>
              <w:t>t/a</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收集堆肥发酵后作为有机肥外售</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18549.3</w:t>
            </w:r>
            <w:r>
              <w:rPr>
                <w:rFonts w:hint="default" w:ascii="Times New Roman" w:hAnsi="Times New Roman" w:eastAsia="宋体" w:cs="Times New Roman"/>
                <w:color w:val="auto"/>
                <w:kern w:val="2"/>
                <w:sz w:val="21"/>
                <w:szCs w:val="21"/>
              </w:rPr>
              <w:t>t/a</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资源化利用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沼渣、污泥</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361.19</w:t>
            </w:r>
            <w:r>
              <w:rPr>
                <w:rFonts w:hint="default" w:ascii="Times New Roman" w:hAnsi="Times New Roman" w:eastAsia="宋体" w:cs="Times New Roman"/>
                <w:color w:val="auto"/>
                <w:kern w:val="2"/>
                <w:sz w:val="21"/>
                <w:szCs w:val="21"/>
              </w:rPr>
              <w:t>/a</w:t>
            </w:r>
          </w:p>
        </w:tc>
        <w:tc>
          <w:tcPr>
            <w:tcW w:w="3645"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收集堆肥发酵后作为有机肥外售</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361.19</w:t>
            </w:r>
            <w:r>
              <w:rPr>
                <w:rFonts w:hint="default" w:ascii="Times New Roman" w:hAnsi="Times New Roman" w:eastAsia="宋体" w:cs="Times New Roman"/>
                <w:color w:val="auto"/>
                <w:kern w:val="2"/>
                <w:sz w:val="21"/>
                <w:szCs w:val="21"/>
              </w:rPr>
              <w:t>t/a</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资源化利用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病死猪及胎盘</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787.69</w:t>
            </w:r>
            <w:r>
              <w:rPr>
                <w:rFonts w:hint="default" w:ascii="Times New Roman" w:hAnsi="Times New Roman" w:eastAsia="宋体" w:cs="Times New Roman"/>
                <w:color w:val="auto"/>
                <w:kern w:val="2"/>
                <w:sz w:val="21"/>
                <w:szCs w:val="21"/>
              </w:rPr>
              <w:t>t/a</w:t>
            </w:r>
          </w:p>
        </w:tc>
        <w:tc>
          <w:tcPr>
            <w:tcW w:w="3645" w:type="dxa"/>
            <w:noWrap w:val="0"/>
            <w:vAlign w:val="center"/>
          </w:tcPr>
          <w:p>
            <w:pPr>
              <w:pStyle w:val="16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采用无害化</w:t>
            </w:r>
            <w:r>
              <w:rPr>
                <w:rFonts w:hint="eastAsia" w:cs="Times New Roman"/>
                <w:color w:val="auto"/>
                <w:sz w:val="21"/>
                <w:szCs w:val="21"/>
                <w:lang w:eastAsia="zh-CN"/>
              </w:rPr>
              <w:t>无害化降解处理机</w:t>
            </w:r>
            <w:r>
              <w:rPr>
                <w:rFonts w:hint="default" w:ascii="Times New Roman" w:hAnsi="Times New Roman" w:eastAsia="宋体" w:cs="Times New Roman"/>
                <w:color w:val="auto"/>
                <w:sz w:val="21"/>
                <w:szCs w:val="21"/>
              </w:rPr>
              <w:t>处理，处理后运至</w:t>
            </w:r>
            <w:r>
              <w:rPr>
                <w:rFonts w:hint="eastAsia" w:cs="Times New Roman"/>
                <w:color w:val="auto"/>
                <w:sz w:val="21"/>
                <w:szCs w:val="21"/>
                <w:lang w:eastAsia="zh-CN"/>
              </w:rPr>
              <w:t>堆肥车间</w:t>
            </w:r>
            <w:r>
              <w:rPr>
                <w:rFonts w:hint="default" w:ascii="Times New Roman" w:hAnsi="Times New Roman" w:eastAsia="宋体" w:cs="Times New Roman"/>
                <w:color w:val="auto"/>
                <w:sz w:val="21"/>
                <w:szCs w:val="21"/>
              </w:rPr>
              <w:t>堆肥发酵后作为有机肥外售</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787.69</w:t>
            </w:r>
            <w:r>
              <w:rPr>
                <w:rFonts w:hint="default" w:ascii="Times New Roman" w:hAnsi="Times New Roman" w:eastAsia="宋体" w:cs="Times New Roman"/>
                <w:color w:val="auto"/>
                <w:kern w:val="2"/>
                <w:sz w:val="21"/>
                <w:szCs w:val="21"/>
              </w:rPr>
              <w:t>t/a</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资源化利用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畜禽医疗废物</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1</w:t>
            </w:r>
            <w:r>
              <w:rPr>
                <w:rFonts w:hint="default" w:ascii="Times New Roman" w:hAnsi="Times New Roman" w:eastAsia="宋体" w:cs="Times New Roman"/>
                <w:color w:val="auto"/>
                <w:kern w:val="2"/>
                <w:sz w:val="21"/>
                <w:szCs w:val="21"/>
              </w:rPr>
              <w:t>t/a</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暂存于危险废物暂存间，交由危险废物处置单位进行处置</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1</w:t>
            </w:r>
            <w:r>
              <w:rPr>
                <w:rFonts w:hint="default" w:ascii="Times New Roman" w:hAnsi="Times New Roman" w:eastAsia="宋体" w:cs="Times New Roman"/>
                <w:color w:val="auto"/>
                <w:kern w:val="2"/>
                <w:sz w:val="21"/>
                <w:szCs w:val="21"/>
              </w:rPr>
              <w:t>t/a</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无害化处置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废包装材料</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8</w:t>
            </w:r>
            <w:r>
              <w:rPr>
                <w:rFonts w:hint="default" w:ascii="Times New Roman" w:hAnsi="Times New Roman" w:eastAsia="宋体" w:cs="Times New Roman"/>
                <w:color w:val="auto"/>
                <w:kern w:val="2"/>
                <w:sz w:val="21"/>
                <w:szCs w:val="21"/>
              </w:rPr>
              <w:t>t/a</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统一收集后送至废品回收站收购</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8</w:t>
            </w:r>
            <w:r>
              <w:rPr>
                <w:rFonts w:hint="default" w:ascii="Times New Roman" w:hAnsi="Times New Roman" w:eastAsia="宋体" w:cs="Times New Roman"/>
                <w:color w:val="auto"/>
                <w:kern w:val="2"/>
                <w:sz w:val="21"/>
                <w:szCs w:val="21"/>
              </w:rPr>
              <w:t>t/a</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资源化利用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生活垃圾</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21.9t/a</w:t>
            </w:r>
          </w:p>
        </w:tc>
        <w:tc>
          <w:tcPr>
            <w:tcW w:w="3645"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袋装收集后暂存于生活垃圾暂存间，及时运往垃圾中转站，由环卫部门统一清运处置</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21.9t/a</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去向明确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废脱硫剂</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0.5</w:t>
            </w:r>
            <w:r>
              <w:rPr>
                <w:rFonts w:hint="default" w:ascii="Times New Roman" w:hAnsi="Times New Roman" w:eastAsia="宋体" w:cs="Times New Roman"/>
                <w:color w:val="auto"/>
                <w:kern w:val="2"/>
                <w:sz w:val="21"/>
                <w:szCs w:val="21"/>
              </w:rPr>
              <w:t>t/a</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集中收集后交由原厂家回收再生利用</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Times New Roman" w:hAnsi="Times New Roman" w:cs="Times New Roman"/>
                <w:color w:val="auto"/>
                <w:kern w:val="2"/>
                <w:sz w:val="21"/>
                <w:szCs w:val="21"/>
                <w:lang w:val="en-US" w:eastAsia="zh-CN"/>
              </w:rPr>
              <w:t>0.5</w:t>
            </w:r>
            <w:r>
              <w:rPr>
                <w:rFonts w:hint="default" w:ascii="Times New Roman" w:hAnsi="Times New Roman" w:eastAsia="宋体" w:cs="Times New Roman"/>
                <w:color w:val="auto"/>
                <w:kern w:val="2"/>
                <w:sz w:val="21"/>
                <w:szCs w:val="21"/>
              </w:rPr>
              <w:t>t/a</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去向明确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restart"/>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噪声</w:t>
            </w:r>
          </w:p>
        </w:tc>
        <w:tc>
          <w:tcPr>
            <w:tcW w:w="604"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施工期</w:t>
            </w: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施工机械及运输车辆</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施工期间各类噪声源强在75~105dB(A)之间</w:t>
            </w:r>
          </w:p>
        </w:tc>
        <w:tc>
          <w:tcPr>
            <w:tcW w:w="3645"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合理布设高噪声设备、设置施工围挡、合 理安排施工时间</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施工机械噪声非连续，满足《建筑施工场界环境噪声排放标准》（GB12523-2011）中限值要求</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噪声达标排放</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604"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营运期</w:t>
            </w:r>
          </w:p>
        </w:tc>
        <w:tc>
          <w:tcPr>
            <w:tcW w:w="1339"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设备运行噪声</w:t>
            </w:r>
          </w:p>
        </w:tc>
        <w:tc>
          <w:tcPr>
            <w:tcW w:w="2668"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猪叫声：80dB(A)</w:t>
            </w:r>
          </w:p>
          <w:p>
            <w:pPr>
              <w:pStyle w:val="163"/>
              <w:keepNext w:val="0"/>
              <w:keepLines w:val="0"/>
              <w:suppressLineNumbers w:val="0"/>
              <w:kinsoku w:val="0"/>
              <w:wordWrap w:val="0"/>
              <w:overflowPunct w:val="0"/>
              <w:spacing w:before="0" w:beforeAutospacing="0" w:after="0" w:afterAutospacing="0"/>
              <w:ind w:left="0" w:right="105"/>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 xml:space="preserve">水泵：80dB(A) </w:t>
            </w:r>
          </w:p>
          <w:p>
            <w:pPr>
              <w:pStyle w:val="163"/>
              <w:keepNext w:val="0"/>
              <w:keepLines w:val="0"/>
              <w:suppressLineNumbers w:val="0"/>
              <w:kinsoku w:val="0"/>
              <w:wordWrap w:val="0"/>
              <w:overflowPunct w:val="0"/>
              <w:spacing w:before="0" w:beforeAutospacing="0" w:after="0" w:afterAutospacing="0"/>
              <w:ind w:left="0" w:right="105"/>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柴油发电机：85dB(A)</w:t>
            </w:r>
          </w:p>
          <w:p>
            <w:pPr>
              <w:pStyle w:val="163"/>
              <w:keepNext w:val="0"/>
              <w:keepLines w:val="0"/>
              <w:suppressLineNumbers w:val="0"/>
              <w:kinsoku w:val="0"/>
              <w:wordWrap w:val="0"/>
              <w:overflowPunct w:val="0"/>
              <w:spacing w:before="0" w:beforeAutospacing="0" w:after="0" w:afterAutospacing="0"/>
              <w:ind w:left="0" w:right="105"/>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污水处理系统：85dB(A)</w:t>
            </w:r>
          </w:p>
          <w:p>
            <w:pPr>
              <w:pStyle w:val="163"/>
              <w:keepNext w:val="0"/>
              <w:keepLines w:val="0"/>
              <w:suppressLineNumbers w:val="0"/>
              <w:kinsoku w:val="0"/>
              <w:wordWrap w:val="0"/>
              <w:overflowPunct w:val="0"/>
              <w:spacing w:before="0" w:beforeAutospacing="0" w:after="0" w:afterAutospacing="0"/>
              <w:ind w:left="0" w:right="105"/>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运输车辆：70dB(A)</w:t>
            </w:r>
          </w:p>
        </w:tc>
        <w:tc>
          <w:tcPr>
            <w:tcW w:w="3645"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加装减振垫、墙体隔声、距离衰减；对于 运输车辆</w:t>
            </w:r>
            <w:r>
              <w:rPr>
                <w:rFonts w:hint="default" w:ascii="Times New Roman" w:hAnsi="Times New Roman" w:eastAsia="宋体" w:cs="Times New Roman"/>
                <w:color w:val="auto"/>
                <w:sz w:val="21"/>
                <w:szCs w:val="21"/>
              </w:rPr>
              <w:t>合理安排行驶路线，</w:t>
            </w:r>
            <w:r>
              <w:rPr>
                <w:rFonts w:hint="default" w:ascii="Times New Roman" w:hAnsi="Times New Roman" w:eastAsia="宋体" w:cs="Times New Roman"/>
                <w:color w:val="auto"/>
                <w:kern w:val="2"/>
                <w:sz w:val="21"/>
                <w:szCs w:val="21"/>
              </w:rPr>
              <w:t>减速慢行、严禁鸣笛</w:t>
            </w:r>
          </w:p>
        </w:tc>
        <w:tc>
          <w:tcPr>
            <w:tcW w:w="2720" w:type="dxa"/>
            <w:gridSpan w:val="2"/>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厂界噪声达标，</w:t>
            </w:r>
            <w:r>
              <w:rPr>
                <w:rFonts w:hint="default" w:ascii="Times New Roman" w:hAnsi="Times New Roman" w:eastAsia="宋体" w:cs="Times New Roman"/>
                <w:color w:val="auto"/>
                <w:kern w:val="2"/>
                <w:sz w:val="21"/>
                <w:szCs w:val="21"/>
              </w:rPr>
              <w:t>满足《工业企业厂界噪声排 放标准》（GB12348-2008）2类标准限值：昼间≤60dB(A) 夜间≤50dB(A)</w:t>
            </w:r>
          </w:p>
        </w:tc>
        <w:tc>
          <w:tcPr>
            <w:tcW w:w="2111" w:type="dxa"/>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噪声达标排放</w:t>
            </w:r>
          </w:p>
        </w:tc>
      </w:tr>
      <w:bookmarkEnd w:id="134"/>
    </w:tbl>
    <w:p>
      <w:pPr>
        <w:widowControl w:val="0"/>
        <w:spacing w:line="460" w:lineRule="exact"/>
        <w:ind w:firstLine="480" w:firstLineChars="200"/>
        <w:jc w:val="both"/>
        <w:rPr>
          <w:rFonts w:ascii="Times New Roman" w:hAnsi="Times New Roman" w:eastAsia="宋体" w:cs="Times New Roman"/>
          <w:color w:val="auto"/>
          <w:kern w:val="2"/>
          <w:sz w:val="24"/>
          <w:szCs w:val="20"/>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rPr>
          <w:color w:val="auto"/>
          <w:sz w:val="24"/>
        </w:rPr>
      </w:pPr>
      <w:bookmarkStart w:id="192" w:name="_Toc22046"/>
      <w:r>
        <w:rPr>
          <w:rFonts w:hint="default" w:ascii="Times New Roman" w:hAnsi="Times New Roman" w:eastAsia="宋体" w:cs="Times New Roman"/>
          <w:color w:val="auto"/>
        </w:rPr>
        <w:t>环境现状调查与评价</w:t>
      </w:r>
      <w:bookmarkEnd w:id="192"/>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rPr>
      </w:pPr>
      <w:bookmarkStart w:id="193" w:name="_Toc24493"/>
      <w:r>
        <w:rPr>
          <w:rFonts w:hint="default" w:ascii="Times New Roman" w:hAnsi="Times New Roman" w:eastAsia="宋体" w:cs="Times New Roman"/>
          <w:color w:val="auto"/>
        </w:rPr>
        <w:t>自然环境现状调查与评价</w:t>
      </w:r>
      <w:bookmarkEnd w:id="193"/>
    </w:p>
    <w:p>
      <w:pPr>
        <w:pStyle w:val="7"/>
        <w:spacing w:before="0" w:after="0" w:line="360" w:lineRule="auto"/>
        <w:ind w:left="0" w:firstLine="0"/>
        <w:rPr>
          <w:rFonts w:hint="default"/>
          <w:color w:val="auto"/>
        </w:rPr>
      </w:pPr>
      <w:bookmarkStart w:id="194" w:name="_Toc29221868"/>
      <w:bookmarkStart w:id="195" w:name="_Toc4346"/>
      <w:r>
        <w:rPr>
          <w:rFonts w:hint="eastAsia" w:cs="Times New Roman"/>
          <w:color w:val="auto"/>
          <w:lang w:eastAsia="zh-CN"/>
        </w:rPr>
        <w:t>自然环境概况</w:t>
      </w:r>
      <w:bookmarkEnd w:id="194"/>
      <w:bookmarkEnd w:id="195"/>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地理位置</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巴中是四川与陕西的交界地区，四川东北部门户。地处北纬31°15′~32°45′，东经106°21′~107°45′之间。东邻达州，南接南充，西抵广元，北接陕西汉中。位于中国第二大苏区-川陕革命根据地的中心和首府，处于南北旅游圈最佳对接带和成都、重庆、西安的旅游“金三角”枢纽位置。市政府所在地西距成都308公里，北距西安650公里，距重庆498公里，与相邻的达州、南充、汉中及宝成铁路、襄渝铁路距离都在200公里左右，全市幅员面积122930.3平方公里。</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江县隶属四川省巴中市，位于巴中市东北部，米仓山东段南麓大巴山缺口处，介于北纬31°39′-32°33′，东经106°59′-107°46′之间，总面积4116.58平方公里。县域东接万源市，南邻平昌县，西靠巴州、南江二区县，北连陕西省南郑、西乡、镇巴三县。通江县南距达州市150公里，距重庆市420公里；西距巴中市89公里，距省会成都市580 公里，距广元市270公里；东距万源市180公里；北距陕西省镇巴县158公里；西北距南 江县131公里，境内的公路主要有通巴公路，通中公路</w:t>
      </w:r>
    </w:p>
    <w:p>
      <w:pPr>
        <w:spacing w:line="360" w:lineRule="auto"/>
        <w:ind w:firstLine="480"/>
        <w:rPr>
          <w:rFonts w:ascii="Times New Roman" w:hAnsi="Times New Roman" w:cs="Times New Roman"/>
          <w:bCs/>
          <w:color w:val="auto"/>
          <w:kern w:val="0"/>
          <w:sz w:val="24"/>
        </w:rPr>
      </w:pPr>
      <w:r>
        <w:rPr>
          <w:rFonts w:ascii="Times New Roman" w:hAnsi="Times New Roman" w:cs="Times New Roman"/>
          <w:bCs/>
          <w:color w:val="auto"/>
          <w:kern w:val="0"/>
          <w:sz w:val="24"/>
        </w:rPr>
        <w:t>拟建项目选址位于</w:t>
      </w:r>
      <w:r>
        <w:rPr>
          <w:rFonts w:hint="eastAsia" w:ascii="Times New Roman" w:hAnsi="Times New Roman" w:cs="Times New Roman"/>
          <w:bCs/>
          <w:color w:val="auto"/>
          <w:kern w:val="0"/>
          <w:sz w:val="24"/>
          <w:lang w:eastAsia="zh-CN"/>
        </w:rPr>
        <w:t>通江县龙凤场镇</w:t>
      </w:r>
      <w:r>
        <w:rPr>
          <w:rFonts w:ascii="Times New Roman" w:hAnsi="Times New Roman" w:cs="Times New Roman"/>
          <w:bCs/>
          <w:color w:val="auto"/>
          <w:kern w:val="0"/>
          <w:sz w:val="24"/>
        </w:rPr>
        <w:t>，项目地理位置图见附图1。</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地形地貌地质</w:t>
      </w:r>
    </w:p>
    <w:p>
      <w:pPr>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通江县属中、低山区，包括中切割低山、中切割中山和深切割中山。呈“三山夹 两谷”地形。地貌基本特征有三：低、中山界限明显，均受三个二级构造单元的构造 线控制。涪阳-五龙山鼻状构造轴线，为通江县境低、中山的分界线，此线以南为中切 割低山。川北台陷与米仓山、大巴山交界线，形成县境中切割中山与深切割中山的分 界线，此线以北为深切割中山。米仓山台穹中楼子庙空山坝挠曲褶皱带之南端，为通 江县境岩溶地貌的分界线，此线以北为中山岩溶地貌。切割深，多窄谷、峡谷。中切 割低山切割一般600米，多“V”型谷、平底谷；中切割中山切割一般700-900米，多窄 谷；深切割中山切割高达1200米以上，多峡谷。三级阶梯状构造，从北至南逐渐降低。 北部深切割中山海拔1500-2000米；中部中切割中山海拔1300-1500米；南部中切割低山 海拔800-1000米。</w:t>
      </w:r>
    </w:p>
    <w:p>
      <w:pPr>
        <w:ind w:firstLine="480"/>
        <w:jc w:val="left"/>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根据全国山地划分标准，全县地貌分区划分为中切割低山区（占县版图20%）、中切割中山区（占县版图36%）、深切割中山区（占县版图44%）。浅切割低山地貌区主要位于县境南部，山体为台梁状和塔状，山顶平矮，河谷曲折，主要包括广纳、杨柏、诺江、春在、麻石、三合、东山、铁佛、三溪、双泉、文峰、火炬、大兴、民胜等14个乡镇，土地总面积802.35k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，占全县国土面积的19.45%。</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气候气象</w:t>
      </w:r>
    </w:p>
    <w:p>
      <w:pPr>
        <w:pStyle w:val="154"/>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通江县境属中亚热带湿润季风气候区，光照适宜、四季分明。主要气象要素如下：</w:t>
      </w:r>
    </w:p>
    <w:p>
      <w:pPr>
        <w:pStyle w:val="154"/>
        <w:numPr>
          <w:ilvl w:val="0"/>
          <w:numId w:val="27"/>
        </w:num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气温：多年平均气温16.6度，月平均最高气温21.3度，月平均最低气温13.2度，极端最高气温40.2度（1994年8月5日），历年极端最低气温-6.2度（1975年12月5日）。</w:t>
      </w:r>
    </w:p>
    <w:p>
      <w:pPr>
        <w:pStyle w:val="154"/>
        <w:numPr>
          <w:ilvl w:val="0"/>
          <w:numId w:val="27"/>
        </w:num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降雨量：多年平均降雨量1050-1150mm，一天最大降雨量为211.1mm（1989年6月7日），一小时最大降雨量为59.1mm（2000年7月7日），一次暴雨持续日数为5天、雨量为1827.5mm（1983年），近五年最长连续暴雨天日数为 9 天（2004年8月31日-9月8日）。</w:t>
      </w:r>
    </w:p>
    <w:p>
      <w:pPr>
        <w:pStyle w:val="154"/>
        <w:numPr>
          <w:ilvl w:val="0"/>
          <w:numId w:val="27"/>
        </w:num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蒸发量：年均蒸发量为1184.0mm，月蒸发量最大值为174.3mm（8月份）， 月蒸发量最小值为36.2mm（12月份）。</w:t>
      </w:r>
    </w:p>
    <w:p>
      <w:pPr>
        <w:pStyle w:val="154"/>
        <w:numPr>
          <w:ilvl w:val="0"/>
          <w:numId w:val="27"/>
        </w:num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地温：年平均地温18.1度。</w:t>
      </w:r>
    </w:p>
    <w:p>
      <w:pPr>
        <w:pStyle w:val="154"/>
        <w:numPr>
          <w:ilvl w:val="0"/>
          <w:numId w:val="27"/>
        </w:num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日照：常年平均日照时数为1348.7h。</w:t>
      </w:r>
    </w:p>
    <w:p>
      <w:pPr>
        <w:pStyle w:val="154"/>
        <w:numPr>
          <w:ilvl w:val="0"/>
          <w:numId w:val="27"/>
        </w:num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风向：全年主导风向为SE，次主导风向为NW、ESE，最小风频方向为SE；年平均风速12m/s，极端最大风速（风向）为14.0m/s（SE，1973年8月11日）。</w:t>
      </w:r>
    </w:p>
    <w:p>
      <w:pPr>
        <w:pStyle w:val="154"/>
        <w:numPr>
          <w:ilvl w:val="0"/>
          <w:numId w:val="27"/>
        </w:num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雾：多年平均雾日28.0天，最多年份雾日42天，最少年份雾日18天。</w:t>
      </w:r>
    </w:p>
    <w:p>
      <w:pPr>
        <w:pStyle w:val="154"/>
        <w:numPr>
          <w:ilvl w:val="0"/>
          <w:numId w:val="27"/>
        </w:num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雷暴：年均雷暴天数33.2天。</w:t>
      </w:r>
    </w:p>
    <w:p>
      <w:pPr>
        <w:pStyle w:val="154"/>
        <w:numPr>
          <w:ilvl w:val="0"/>
          <w:numId w:val="27"/>
        </w:numPr>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主要灾害性天气：夏旱、伏旱，秋绵雨，冰雹，洪涝。</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河流水系</w:t>
      </w:r>
    </w:p>
    <w:p>
      <w:p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通江县境水系呈网状发育，河谷溪沟密布，宕（大通江）、诺（小通江）二水从北至南，纵贯北部中部区域。境内流域面积50平方公里以上的河流27条，其中流域面积在100平方公里以上的14条，流域面积在1000平方公理以上的4条。境内地表水多年平均径流总量为26.9亿立方米。其中境内地下水年出露量为2.260亿立方米。县过境地表水数量较大，多年平均年径量32.8亿立方米。县水能理论蕴藏总量36.70万千瓦，可开发水能资源20.22万千瓦，占总蕴藏量的55%。</w:t>
      </w:r>
    </w:p>
    <w:p>
      <w:p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大通江河为渠江左岸一级支流，通江河发源于米仓山东麓的陕西省镇巴县，由东北向西南流经三溪、简池，至铁炉垭入通江县境，至牛卧池折向东南流，至长平又转向西南，流经泥溪、永安、瓦室、春在、广纳，至张家弯入平昌县境，经澌滩、云台于平昌县城注入干流，流域面积8958km2，河道全长244km，落差430m，平均比降1.8‰。</w:t>
      </w:r>
    </w:p>
    <w:p>
      <w:pPr>
        <w:adjustRightInd w:val="0"/>
        <w:snapToGrid w:val="0"/>
        <w:ind w:firstLine="480" w:firstLineChars="200"/>
        <w:rPr>
          <w:rFonts w:ascii="Times New Roman" w:hAnsi="Times New Roman" w:cs="Times New Roman"/>
          <w:color w:val="auto"/>
          <w:sz w:val="24"/>
        </w:rPr>
      </w:pPr>
      <w:r>
        <w:rPr>
          <w:rFonts w:ascii="宋体" w:hAnsi="宋体" w:eastAsia="宋体" w:cs="宋体"/>
          <w:color w:val="auto"/>
          <w:sz w:val="24"/>
          <w:szCs w:val="24"/>
        </w:rPr>
        <w:t>小通江为通江右岸支流，渠江二级支流，古称平州水、诺水、西河，发源于陕西省南郑县广家店米仓山。上源称碑坝河，西偏南流过广家店、西河乡，转南过碑坝镇、朱家坝，南入四川省通江县境，乃称小通江。过新潮乡(长屋间)、斑竹园，左纳楼子河。曲折南过金家坝，左纳临江；过平溪镇，右纳甘家河。又南过板桥口乡，转东南左纳砥坝沟；南至青峪乡， 左纳蔡黄沟。过站又南过窄口、新场乡、涪阳镇，右纳陈河溪、湾田河；南过草池乡，右纳回林沟。急转东流又东南，过赤江、天井，以下有一河曲，绕石牛嘴由西南折东北，又东过通江县城南，此处查得1974年9月13日洪峰流量7320m3/s。至小江口汇入通江。小通江河流域面积1876km2，河道全长154km，河道平均坡降3.82‰，流域平面形态呈长条形，其中四川省境内1207km2、106km，河流总落差272m。</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水文地质</w:t>
      </w:r>
    </w:p>
    <w:p>
      <w:pPr>
        <w:pStyle w:val="154"/>
        <w:ind w:firstLine="480"/>
        <w:rPr>
          <w:rFonts w:ascii="宋体" w:hAnsi="宋体" w:eastAsia="宋体" w:cs="宋体"/>
          <w:color w:val="auto"/>
          <w:sz w:val="24"/>
          <w:szCs w:val="24"/>
        </w:rPr>
      </w:pPr>
      <w:r>
        <w:rPr>
          <w:rFonts w:ascii="宋体" w:hAnsi="宋体" w:eastAsia="宋体" w:cs="宋体"/>
          <w:color w:val="auto"/>
          <w:sz w:val="24"/>
          <w:szCs w:val="24"/>
        </w:rPr>
        <w:t>根据《中国地震动反应谱特征周期》及《中国地震动峰值加速度区划图》，本区抗震设防烈度为6度，设计基本地震加速度值为0.05g。通江县域地下水类型分为上层滞水和基岩裂隙水，地下水较贫乏。其中境内地下水年出露量为2.260亿立方米。县过境地表水数量较大，多年平均年径流量32.8亿立方米。县水能理论蕴藏总量36.70万千瓦，可开发水能资源20.22万千瓦，占总蕴藏量的55%。</w:t>
      </w:r>
    </w:p>
    <w:p>
      <w:pPr>
        <w:pStyle w:val="154"/>
        <w:ind w:firstLine="480"/>
        <w:rPr>
          <w:rFonts w:ascii="宋体" w:hAnsi="宋体" w:eastAsia="宋体" w:cs="宋体"/>
          <w:color w:val="auto"/>
          <w:sz w:val="24"/>
          <w:szCs w:val="24"/>
        </w:rPr>
      </w:pPr>
      <w:r>
        <w:rPr>
          <w:rFonts w:ascii="宋体" w:hAnsi="宋体" w:eastAsia="宋体" w:cs="宋体"/>
          <w:color w:val="auto"/>
          <w:sz w:val="24"/>
          <w:szCs w:val="24"/>
        </w:rPr>
        <w:t>上层滞水：主要赋存于第四系细粒土层中，其分布不连续，直接受大气降水及地表水的补给，受季节影响，水位不稳定，水量小。</w:t>
      </w:r>
    </w:p>
    <w:p>
      <w:pPr>
        <w:pStyle w:val="154"/>
        <w:ind w:firstLine="480"/>
        <w:rPr>
          <w:rFonts w:hint="eastAsia" w:ascii="宋体" w:hAnsi="宋体" w:cs="宋体"/>
          <w:color w:val="auto"/>
          <w:sz w:val="24"/>
          <w:szCs w:val="24"/>
          <w:lang w:eastAsia="zh-CN"/>
        </w:rPr>
      </w:pPr>
      <w:r>
        <w:rPr>
          <w:rFonts w:ascii="宋体" w:hAnsi="宋体" w:eastAsia="宋体" w:cs="宋体"/>
          <w:color w:val="auto"/>
          <w:sz w:val="24"/>
          <w:szCs w:val="24"/>
        </w:rPr>
        <w:t>基岩裂隙水：主要分布于白垩系粉砂质泥岩浅部风化带裂隙和深部层间孔隙、裂隙中，其中浅部风化带裂隙水含水较弱。风化裂隙发育时有少量层间裂隙水出露，水量小，水利联系水平向较好，垂直向较差。粉砂质泥岩为下部隔水层</w:t>
      </w:r>
      <w:r>
        <w:rPr>
          <w:rFonts w:hint="eastAsia" w:ascii="宋体" w:hAnsi="宋体" w:cs="宋体"/>
          <w:color w:val="auto"/>
          <w:sz w:val="24"/>
          <w:szCs w:val="24"/>
          <w:lang w:eastAsia="zh-CN"/>
        </w:rPr>
        <w:t>。</w:t>
      </w:r>
    </w:p>
    <w:p>
      <w:pPr>
        <w:pStyle w:val="154"/>
        <w:ind w:firstLine="480"/>
        <w:rPr>
          <w:rFonts w:ascii="宋体" w:hAnsi="宋体" w:eastAsia="宋体" w:cs="宋体"/>
          <w:color w:val="auto"/>
          <w:sz w:val="24"/>
          <w:szCs w:val="24"/>
        </w:rPr>
      </w:pPr>
      <w:r>
        <w:rPr>
          <w:rFonts w:ascii="宋体" w:hAnsi="宋体" w:eastAsia="宋体" w:cs="宋体"/>
          <w:color w:val="auto"/>
          <w:sz w:val="24"/>
          <w:szCs w:val="24"/>
        </w:rPr>
        <w:t>本区地下水主要可分为三种类型：（1）碳酸盐岩裂隙溶洞水：含水层为二、三迭 系地层；（2）碎屑岩层间裂隙水：含水层为白田坝组千佛岩组下部；（3）基岩裂隙水：含水层为上侏罗统蓬莱镇组，中侏罗统沙溪庙组，白垩系城墙岩群。</w:t>
      </w:r>
    </w:p>
    <w:p>
      <w:pPr>
        <w:pStyle w:val="7"/>
        <w:spacing w:before="0" w:after="0" w:line="360" w:lineRule="auto"/>
        <w:ind w:left="0" w:firstLine="0"/>
        <w:rPr>
          <w:rFonts w:hint="eastAsia" w:cs="Times New Roman"/>
          <w:color w:val="auto"/>
          <w:lang w:eastAsia="zh-CN"/>
        </w:rPr>
      </w:pPr>
      <w:bookmarkStart w:id="196" w:name="_Toc24852"/>
      <w:r>
        <w:rPr>
          <w:rFonts w:hint="eastAsia" w:cs="Times New Roman"/>
          <w:color w:val="auto"/>
          <w:lang w:eastAsia="zh-CN"/>
        </w:rPr>
        <w:t>区域资源分布情况</w:t>
      </w:r>
      <w:bookmarkEnd w:id="196"/>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矿产资源</w:t>
      </w:r>
    </w:p>
    <w:p>
      <w:p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县域内矿藏有菱铁矿、赤铁矿、铅土矿、银矿等；能源矿藏有煤、石油、天然气、铀等。此外，石灰石、白云岩、石英石、石膏、大理石、硫铁矿、钾矿石、膨润土均 有一定的分布。通江县境内油气资源极为丰富，系整个通（江）南（江）巴（州）油气构造带的核心区域，现已探明县境天然气储量为5600亿立方米。</w:t>
      </w:r>
    </w:p>
    <w:p>
      <w:pPr>
        <w:numPr>
          <w:ilvl w:val="0"/>
          <w:numId w:val="28"/>
        </w:num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矿产资源以能源矿产和非金属矿产为主，几乎没有金属矿产。能源矿产中，天然气最具有资源潜力。煤矿为中等发热量、低硫中高灰分的无烟煤或烟煤，资源潜 力有限。非金属矿产中，以水泥用石灰岩、砖瓦页岩、岩盐的资源远景较大，其次是耐火粘土、建筑用河道砂石、陶瓷粘土、膨润土及石膏。金属矿产公有菱铁矿，呈扁豆体分散状产在煤矿地层中，不具规模开采条件，且全铁品 位较低。</w:t>
      </w:r>
    </w:p>
    <w:p>
      <w:pPr>
        <w:numPr>
          <w:ilvl w:val="0"/>
          <w:numId w:val="28"/>
        </w:numPr>
        <w:adjustRightInd w:val="0"/>
        <w:snapToGrid w:val="0"/>
        <w:ind w:firstLine="480" w:firstLineChars="200"/>
        <w:rPr>
          <w:rFonts w:hint="eastAsia" w:ascii="Times New Roman" w:hAnsi="Times New Roman" w:cs="Times New Roman"/>
          <w:color w:val="auto"/>
          <w:sz w:val="24"/>
        </w:rPr>
      </w:pPr>
      <w:r>
        <w:rPr>
          <w:rFonts w:ascii="宋体" w:hAnsi="宋体" w:eastAsia="宋体" w:cs="宋体"/>
          <w:color w:val="auto"/>
          <w:sz w:val="24"/>
          <w:szCs w:val="24"/>
        </w:rPr>
        <w:t>能源矿产、水泥用石灰岩、耐火粘土、膨润土等矿产资源分布相对集中，有利于矿产资源勘查和开发利用布局。天然气集中于涪阳构造内；煤矿、耐火粘土、水 泥用石灰岩、菱铁矿、石英砂岩基本沿铁厂乡、临江乡、两河口乡及铁溪镇至朱元乡 一带分布；膨润土、陶瓷粘土矿则在铁佛镇周边一带有出露。</w:t>
      </w:r>
    </w:p>
    <w:p>
      <w:pPr>
        <w:numPr>
          <w:ilvl w:val="0"/>
          <w:numId w:val="28"/>
        </w:numPr>
        <w:adjustRightInd w:val="0"/>
        <w:snapToGrid w:val="0"/>
        <w:ind w:firstLine="480" w:firstLineChars="200"/>
        <w:rPr>
          <w:rFonts w:hint="eastAsia" w:ascii="Times New Roman" w:hAnsi="Times New Roman" w:cs="Times New Roman"/>
          <w:color w:val="auto"/>
          <w:sz w:val="24"/>
        </w:rPr>
      </w:pPr>
      <w:r>
        <w:rPr>
          <w:rFonts w:ascii="宋体" w:hAnsi="宋体" w:eastAsia="宋体" w:cs="宋体"/>
          <w:color w:val="auto"/>
          <w:sz w:val="24"/>
          <w:szCs w:val="24"/>
        </w:rPr>
        <w:t>砖瓦页岩矿在平溪—临江—两河口—铁溪一线以南地区都有分布，建筑用河道砂石沿通江河及主要支流都有一定量的产出，有利于满足城乡建设需要。</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植物资源</w:t>
      </w:r>
    </w:p>
    <w:p>
      <w:p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通江县属于亚热带常绿阔叶林区的西南缘台地干性长绿松，栎亚区。由于境内地 形、地貌、气候、土壤等条件的综合影响，使至植被水平，地带性规律受到干扰，而垂直地带性则典型完整。</w:t>
      </w:r>
    </w:p>
    <w:p>
      <w:p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森林植被的特点，一是天然林多，人工林少，残次面积大；二是森林覆盖面积小。境内现在的自然植被有四个垂直带森林类型：高山栎类灌丛草甸带、云南松—针、阔叶林带、云南松—常绿阔叶带、稀树灌木草丛带。草地植被为华南亚热带湿润常绿林灌木草丛区的云贵高原灌木草丛段。主要分布在县境的南北两端，零散的与耕地、林地相互交错。</w:t>
      </w:r>
    </w:p>
    <w:p>
      <w:p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全县野生植物中木本、草木、藤本和栽培植物共202科，571属，1554种；其中菌 类21科，56属，134种；苔鲜2科，2属3种；蕨类10科，14属，26种；维管束植物169 科，499属，1391种。全县林地19万公顷，森林覆盖率57.61%。有植物乔灌木77科308种，其中果木类13种，竹类8种，属国家一、二、三级保护树种主要有水杉、三尖杉、银杏、鹅掌楸、红豆树、领春木、华榛等14种。</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动物资源</w:t>
      </w:r>
    </w:p>
    <w:p>
      <w:p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通江县境内有脊椎动物458种，分隶于5纲、34目、93科、284属。其中有分布的国家一、二级保护动物32种，省重点保护动物23种，有益的或有重要经济科研价值的保护对象149 种。无脊椎动物已通过调查鉴定的昆虫类170种，人畜寄生虫类18种，扁虫类78种，线虫类56种，陆生环境动物、软体动物、节肢动物等约800多种，水生浮游类和底栖类97种。</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土壤</w:t>
      </w:r>
    </w:p>
    <w:p>
      <w:pPr>
        <w:adjustRightInd w:val="0"/>
        <w:snapToGrid w:val="0"/>
        <w:ind w:firstLine="480" w:firstLineChars="200"/>
        <w:rPr>
          <w:rFonts w:hint="eastAsia" w:ascii="宋体" w:hAnsi="宋体" w:eastAsia="宋体" w:cs="宋体"/>
          <w:color w:val="auto"/>
          <w:sz w:val="24"/>
          <w:szCs w:val="24"/>
        </w:rPr>
      </w:pPr>
      <w:r>
        <w:rPr>
          <w:rFonts w:ascii="宋体" w:hAnsi="宋体" w:eastAsia="宋体" w:cs="宋体"/>
          <w:color w:val="auto"/>
          <w:sz w:val="24"/>
          <w:szCs w:val="24"/>
        </w:rPr>
        <w:t>通江县属中、低山区，呈“三山夹两谷”之势，三级阶梯状构造明显，从北至南逐渐降低。播种耕地面积89693公顷。县内土壤共有6个土类、10个亚类、16个土属、36个土种。其中有31个土种是农业土壤，7个土种是森林土。水稻土是全县农业土壤中最大的土类，面积406858亩，占农业土壤的54%；次为紫色土类，面积194108亩，占25。8%；再次为黄棕壤、黄壤、石灰岩土、新积土等 4 个土类。水稻土类有3个亚类、7个土属、15个土种，其中淹育型水稻 土亚类紫泥土田土属是最大的土属，有3个土种，面积193840亩，占水稻土的47.6%；次为潴育型水稻土亚类紫黄泥田土属，有4个土种，面积177021亩，占43.5%。旱作土壤有5个土类、7个亚类、9个土属、16个土种，其中最大的土类是紫色土类，面积194108亩，占旱地面积的56%。</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旅游资源与文物古迹</w:t>
      </w:r>
    </w:p>
    <w:p>
      <w:p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通江自然风光秀丽，人文景观丰富，红军文化灿烂。诺水河国家重点风景名胜区、空山国家森林公园，红四方面军总指挥部旧址纪念馆、川陕革命根据地红军烈士陵园、红军石刻标语等国家重点红色旅游景区，是川东北旅游环线上一颗璀璨的明珠。</w:t>
      </w:r>
    </w:p>
    <w:p>
      <w:pPr>
        <w:numPr>
          <w:ilvl w:val="0"/>
          <w:numId w:val="29"/>
        </w:num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自然风光</w:t>
      </w:r>
    </w:p>
    <w:p>
      <w:pPr>
        <w:adjustRightInd w:val="0"/>
        <w:snapToGrid w:val="0"/>
        <w:ind w:firstLine="480" w:firstLineChars="200"/>
        <w:rPr>
          <w:rFonts w:ascii="宋体" w:hAnsi="宋体" w:eastAsia="宋体" w:cs="宋体"/>
          <w:color w:val="auto"/>
          <w:sz w:val="24"/>
          <w:szCs w:val="24"/>
        </w:rPr>
      </w:pPr>
      <w:r>
        <w:rPr>
          <w:rFonts w:ascii="宋体" w:hAnsi="宋体" w:eastAsia="宋体" w:cs="宋体"/>
          <w:color w:val="auto"/>
          <w:sz w:val="24"/>
          <w:szCs w:val="24"/>
        </w:rPr>
        <w:t>通江自然生态环境优良，资源丰富，森林覆盖率达57.6%，国家重点风景名胜区—诺水河风景名胜区、国家森林公园—空山森林公园就孕育其中。诺水洞天、临江丽峡、空山天盆 以及麻坝石林，围绕通江县城构成一道环形风景线。诺水河景区的洞奇；诺水、临江丽峡的水美；金童山、国画屏障的山秀；米仓古栈道的路险；水天一线、临江峡谷的幽深；麻坝姿态万千的石林；陈河九湾十八包蕴藏 的神秘和极具开发价值的温泉等等，使游客流连忘返。</w:t>
      </w:r>
    </w:p>
    <w:p>
      <w:pPr>
        <w:numPr>
          <w:ilvl w:val="0"/>
          <w:numId w:val="29"/>
        </w:numPr>
        <w:adjustRightInd w:val="0"/>
        <w:snapToGrid w:val="0"/>
        <w:ind w:left="0" w:leftChars="0" w:firstLine="480" w:firstLineChars="200"/>
        <w:rPr>
          <w:rFonts w:ascii="宋体" w:hAnsi="宋体" w:eastAsia="宋体" w:cs="宋体"/>
          <w:color w:val="auto"/>
          <w:sz w:val="24"/>
          <w:szCs w:val="24"/>
        </w:rPr>
      </w:pPr>
      <w:r>
        <w:rPr>
          <w:rFonts w:ascii="宋体" w:hAnsi="宋体" w:eastAsia="宋体" w:cs="宋体"/>
          <w:color w:val="auto"/>
          <w:sz w:val="24"/>
          <w:szCs w:val="24"/>
        </w:rPr>
        <w:t>历史古迹通江历史悠久，名胜古迹遍布城乡。境内有地上地下不可多得的文物点200余处，馆藏文物7000多件。春在乡擂鼓寨新石器文化遗址，填补了四川龙山文化普系和类型的空白；通江摩岩造像“唐代精品颇多，堪称艺术瑰宝”，县城西千佛岩摩崖造像中的“七级佛塔”及广纳白乳溪的“净土变”龛龙为精品，还有巴人文化遗址、三国文化、佛教文化、白莲教兰号义军大本营旧址等等，极具旅游科考价值。</w:t>
      </w:r>
    </w:p>
    <w:p>
      <w:pPr>
        <w:numPr>
          <w:ilvl w:val="0"/>
          <w:numId w:val="29"/>
        </w:numPr>
        <w:adjustRightInd w:val="0"/>
        <w:snapToGrid w:val="0"/>
        <w:ind w:left="0" w:leftChars="0" w:firstLine="480" w:firstLineChars="200"/>
        <w:rPr>
          <w:rFonts w:ascii="宋体" w:hAnsi="宋体" w:eastAsia="宋体" w:cs="宋体"/>
          <w:color w:val="auto"/>
          <w:sz w:val="24"/>
          <w:szCs w:val="24"/>
        </w:rPr>
      </w:pPr>
      <w:r>
        <w:rPr>
          <w:rFonts w:ascii="宋体" w:hAnsi="宋体" w:eastAsia="宋体" w:cs="宋体"/>
          <w:color w:val="auto"/>
          <w:sz w:val="24"/>
          <w:szCs w:val="24"/>
        </w:rPr>
        <w:t>川北民居风光通江银耳博物馆、巴山民俗文化展览馆极具川北民居特色，展示了丰富的川北民俗文化。</w:t>
      </w:r>
    </w:p>
    <w:p>
      <w:pPr>
        <w:numPr>
          <w:ilvl w:val="0"/>
          <w:numId w:val="29"/>
        </w:numPr>
        <w:adjustRightInd w:val="0"/>
        <w:snapToGrid w:val="0"/>
        <w:ind w:left="0" w:leftChars="0" w:firstLine="480" w:firstLineChars="200"/>
        <w:rPr>
          <w:rFonts w:ascii="宋体" w:hAnsi="宋体" w:eastAsia="宋体" w:cs="宋体"/>
          <w:color w:val="auto"/>
          <w:sz w:val="24"/>
          <w:szCs w:val="24"/>
        </w:rPr>
      </w:pPr>
      <w:r>
        <w:rPr>
          <w:rFonts w:ascii="宋体" w:hAnsi="宋体" w:eastAsia="宋体" w:cs="宋体"/>
          <w:color w:val="auto"/>
          <w:sz w:val="24"/>
          <w:szCs w:val="24"/>
        </w:rPr>
        <w:t>红军文化通江被专家誉为“露天革命博物馆”，有全国最大的革命烈士陵园，有规模宏大的红军石 刻标语，有数量众多的革命文物，更有“智勇坚定、排难创新、团 结奋斗、不胜不休”的红 军精神。2004年底，“川陕苏区”被列入《2004—2010年全国红色旅游发展规划纲要》的12个重点红色旅游区，2005年被列为全国30条精品线路之一，红四方面军总指挥部旧址纪念馆、红军烈士陵园及红军石刻标语名列全国123个红色旅游经典景区之中。全县基本形成了 以县城为中心的四条红色旅游线、六大革命旧址群。</w:t>
      </w:r>
    </w:p>
    <w:p>
      <w:pPr>
        <w:numPr>
          <w:ilvl w:val="0"/>
          <w:numId w:val="29"/>
        </w:numPr>
        <w:adjustRightInd w:val="0"/>
        <w:snapToGrid w:val="0"/>
        <w:ind w:left="0" w:leftChars="0" w:firstLine="480" w:firstLineChars="200"/>
        <w:rPr>
          <w:rFonts w:hint="eastAsia"/>
          <w:color w:val="auto"/>
        </w:rPr>
      </w:pPr>
      <w:r>
        <w:rPr>
          <w:rFonts w:ascii="宋体" w:hAnsi="宋体" w:eastAsia="宋体" w:cs="宋体"/>
          <w:color w:val="auto"/>
          <w:sz w:val="24"/>
          <w:szCs w:val="24"/>
        </w:rPr>
        <w:t>文物古迹通江县文化遗产资源丰富，是全国全省文物大县，目前共有861处不可移动文物，各级文物保护单位180处236点，其中全国重点文物保护单位4处29点、省级36处67点、市级18处、县级122处。</w:t>
      </w:r>
    </w:p>
    <w:p>
      <w:pPr>
        <w:numPr>
          <w:ilvl w:val="0"/>
          <w:numId w:val="0"/>
        </w:numPr>
        <w:adjustRightInd w:val="0"/>
        <w:snapToGrid w:val="0"/>
        <w:ind w:leftChars="200"/>
        <w:rPr>
          <w:rFonts w:hint="eastAsia"/>
          <w:color w:val="auto"/>
        </w:rPr>
      </w:pPr>
      <w:r>
        <w:rPr>
          <w:rFonts w:ascii="宋体" w:hAnsi="宋体" w:eastAsia="宋体" w:cs="宋体"/>
          <w:color w:val="auto"/>
          <w:sz w:val="24"/>
          <w:szCs w:val="24"/>
        </w:rPr>
        <w:t>评价区域无自然保护区、风景名胜区、自然遗迹、文物古迹等。</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cs="Times New Roman"/>
          <w:color w:val="auto"/>
        </w:rPr>
      </w:pPr>
      <w:bookmarkStart w:id="197" w:name="_Toc6902"/>
      <w:r>
        <w:rPr>
          <w:rFonts w:cs="Times New Roman"/>
          <w:color w:val="auto"/>
        </w:rPr>
        <w:t>环境质量现状调查与评价</w:t>
      </w:r>
      <w:bookmarkEnd w:id="197"/>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cs="Times New Roman"/>
          <w:color w:val="auto"/>
        </w:rPr>
      </w:pPr>
      <w:bookmarkStart w:id="198" w:name="_Toc11310"/>
      <w:r>
        <w:rPr>
          <w:rFonts w:cs="Times New Roman"/>
          <w:color w:val="auto"/>
        </w:rPr>
        <w:t>环境质量现状调查与评价</w:t>
      </w:r>
      <w:bookmarkEnd w:id="198"/>
    </w:p>
    <w:p>
      <w:pPr>
        <w:pStyle w:val="7"/>
        <w:spacing w:before="0" w:after="0" w:line="360" w:lineRule="auto"/>
        <w:ind w:left="0" w:firstLine="0"/>
        <w:rPr>
          <w:rFonts w:cs="Times New Roman"/>
          <w:color w:val="auto"/>
        </w:rPr>
      </w:pPr>
      <w:bookmarkStart w:id="199" w:name="_Toc17307"/>
      <w:bookmarkStart w:id="200" w:name="_Toc470789067"/>
      <w:bookmarkStart w:id="201" w:name="_Toc261592242"/>
      <w:bookmarkStart w:id="202" w:name="_Toc369668195"/>
      <w:bookmarkStart w:id="203" w:name="_Toc214714285"/>
      <w:bookmarkStart w:id="204" w:name="_Toc362744200"/>
      <w:bookmarkStart w:id="205" w:name="_Toc241784472"/>
      <w:bookmarkStart w:id="206" w:name="_Toc295386562"/>
      <w:r>
        <w:rPr>
          <w:rFonts w:cs="Times New Roman"/>
          <w:color w:val="auto"/>
        </w:rPr>
        <w:t>环境空气质量现状调查与评价</w:t>
      </w:r>
      <w:bookmarkEnd w:id="199"/>
      <w:bookmarkEnd w:id="200"/>
      <w:bookmarkEnd w:id="201"/>
      <w:bookmarkEnd w:id="202"/>
      <w:bookmarkEnd w:id="203"/>
      <w:bookmarkEnd w:id="204"/>
      <w:bookmarkEnd w:id="205"/>
      <w:bookmarkEnd w:id="206"/>
    </w:p>
    <w:p>
      <w:pPr>
        <w:pStyle w:val="8"/>
        <w:numPr>
          <w:ilvl w:val="3"/>
          <w:numId w:val="30"/>
        </w:numPr>
        <w:spacing w:line="374" w:lineRule="auto"/>
        <w:rPr>
          <w:rFonts w:cs="Times New Roman"/>
          <w:color w:val="auto"/>
        </w:rPr>
      </w:pPr>
      <w:r>
        <w:rPr>
          <w:rFonts w:hint="eastAsia" w:cs="Times New Roman"/>
          <w:color w:val="auto"/>
        </w:rPr>
        <w:t>项目所在区域达标区</w:t>
      </w:r>
      <w:r>
        <w:rPr>
          <w:rFonts w:cs="Times New Roman"/>
          <w:color w:val="auto"/>
        </w:rPr>
        <w:t>判断</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大气环境》（HJ2.2-2018）中6.2.11规定：项目所在区域达标判定，优先采用国家或地方生态环境主管部门公开发布的评价基准年环境质量公告或环境质量报告中的数据或结论。</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本项目位于巴中市</w:t>
      </w:r>
      <w:r>
        <w:rPr>
          <w:rFonts w:hint="eastAsia" w:ascii="Times New Roman" w:hAnsi="Times New Roman" w:eastAsia="宋体" w:cs="Times New Roman"/>
          <w:color w:val="auto"/>
          <w:sz w:val="24"/>
          <w:szCs w:val="24"/>
          <w:lang w:eastAsia="zh-CN"/>
        </w:rPr>
        <w:t>通江</w:t>
      </w:r>
      <w:r>
        <w:rPr>
          <w:rFonts w:hint="default" w:ascii="Times New Roman" w:hAnsi="Times New Roman" w:eastAsia="宋体" w:cs="Times New Roman"/>
          <w:color w:val="auto"/>
          <w:sz w:val="24"/>
          <w:szCs w:val="24"/>
        </w:rPr>
        <w:t>县</w:t>
      </w:r>
      <w:r>
        <w:rPr>
          <w:rFonts w:hint="eastAsia" w:ascii="Times New Roman" w:hAnsi="Times New Roman" w:eastAsia="宋体" w:cs="Times New Roman"/>
          <w:color w:val="auto"/>
          <w:sz w:val="24"/>
          <w:szCs w:val="24"/>
          <w:lang w:eastAsia="zh-CN"/>
        </w:rPr>
        <w:t>龙凤场镇火焰沟</w:t>
      </w:r>
      <w:r>
        <w:rPr>
          <w:rFonts w:hint="default" w:ascii="Times New Roman" w:hAnsi="Times New Roman" w:eastAsia="宋体" w:cs="Times New Roman"/>
          <w:color w:val="auto"/>
          <w:sz w:val="24"/>
          <w:szCs w:val="24"/>
        </w:rPr>
        <w:t>，项目区域行政区划属于巴中市</w:t>
      </w:r>
      <w:r>
        <w:rPr>
          <w:rFonts w:hint="eastAsia" w:ascii="Times New Roman" w:hAnsi="Times New Roman" w:eastAsia="宋体" w:cs="Times New Roman"/>
          <w:color w:val="auto"/>
          <w:sz w:val="24"/>
          <w:szCs w:val="24"/>
          <w:lang w:eastAsia="zh-CN"/>
        </w:rPr>
        <w:t>通</w:t>
      </w:r>
      <w:r>
        <w:rPr>
          <w:rFonts w:hint="default" w:ascii="Times New Roman" w:hAnsi="Times New Roman" w:eastAsia="宋体" w:cs="Times New Roman"/>
          <w:color w:val="auto"/>
          <w:sz w:val="24"/>
          <w:szCs w:val="24"/>
        </w:rPr>
        <w:t>江县；根据《环境影响评价技术导则 大气环境》（HJ2.2-2018）要求，本次评价选取</w:t>
      </w:r>
      <w:r>
        <w:rPr>
          <w:rFonts w:hint="eastAsia" w:ascii="Times New Roman" w:hAnsi="Times New Roman" w:eastAsia="宋体" w:cs="Times New Roman"/>
          <w:color w:val="auto"/>
          <w:sz w:val="24"/>
          <w:szCs w:val="24"/>
          <w:lang w:eastAsia="zh-CN"/>
        </w:rPr>
        <w:t>通江</w:t>
      </w:r>
      <w:r>
        <w:rPr>
          <w:rFonts w:hint="default" w:ascii="Times New Roman" w:hAnsi="Times New Roman" w:eastAsia="宋体" w:cs="Times New Roman"/>
          <w:color w:val="auto"/>
          <w:sz w:val="24"/>
          <w:szCs w:val="24"/>
        </w:rPr>
        <w:t>县人民政府网于2020年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日公开发布的《</w:t>
      </w:r>
      <w:r>
        <w:rPr>
          <w:rFonts w:hint="eastAsia" w:ascii="Times New Roman" w:hAnsi="Times New Roman" w:eastAsia="宋体" w:cs="Times New Roman"/>
          <w:color w:val="auto"/>
          <w:sz w:val="24"/>
          <w:szCs w:val="24"/>
          <w:lang w:eastAsia="zh-CN"/>
        </w:rPr>
        <w:t>通</w:t>
      </w:r>
      <w:r>
        <w:rPr>
          <w:rFonts w:hint="default" w:ascii="Times New Roman" w:hAnsi="Times New Roman" w:eastAsia="宋体" w:cs="Times New Roman"/>
          <w:color w:val="auto"/>
          <w:sz w:val="24"/>
          <w:szCs w:val="24"/>
        </w:rPr>
        <w:t>江县</w:t>
      </w:r>
      <w:r>
        <w:rPr>
          <w:rFonts w:hint="eastAsia" w:ascii="Times New Roman" w:hAnsi="Times New Roman" w:eastAsia="宋体" w:cs="Times New Roman"/>
          <w:color w:val="auto"/>
          <w:sz w:val="24"/>
          <w:szCs w:val="24"/>
          <w:lang w:val="en-US" w:eastAsia="zh-CN"/>
        </w:rPr>
        <w:t>2020年</w:t>
      </w:r>
      <w:r>
        <w:rPr>
          <w:rFonts w:hint="default" w:ascii="Times New Roman" w:hAnsi="Times New Roman" w:eastAsia="宋体" w:cs="Times New Roman"/>
          <w:color w:val="auto"/>
          <w:sz w:val="24"/>
          <w:szCs w:val="24"/>
        </w:rPr>
        <w:t>环境质量公告</w:t>
      </w:r>
      <w:r>
        <w:rPr>
          <w:rFonts w:hint="eastAsia" w:ascii="Times New Roman" w:hAnsi="Times New Roman" w:eastAsia="宋体" w:cs="Times New Roman"/>
          <w:color w:val="auto"/>
          <w:sz w:val="24"/>
          <w:szCs w:val="24"/>
          <w:lang w:eastAsia="zh-CN"/>
        </w:rPr>
        <w:t>（半年报）</w:t>
      </w:r>
      <w:r>
        <w:rPr>
          <w:rFonts w:hint="default" w:ascii="Times New Roman" w:hAnsi="Times New Roman" w:eastAsia="宋体" w:cs="Times New Roman"/>
          <w:color w:val="auto"/>
          <w:sz w:val="24"/>
          <w:szCs w:val="24"/>
        </w:rPr>
        <w:t>》中的环境空气质量结论进行区域达标判定，具体情况见图4.2-1。</w:t>
      </w:r>
    </w:p>
    <w:p>
      <w:pPr>
        <w:adjustRightInd w:val="0"/>
        <w:snapToGrid w:val="0"/>
        <w:rPr>
          <w:color w:val="auto"/>
        </w:rPr>
      </w:pPr>
      <w:r>
        <w:rPr>
          <w:color w:val="auto"/>
        </w:rPr>
        <w:drawing>
          <wp:inline distT="0" distB="0" distL="114300" distR="114300">
            <wp:extent cx="5502910" cy="3470275"/>
            <wp:effectExtent l="0" t="0" r="2540" b="15875"/>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29"/>
                    <a:stretch>
                      <a:fillRect/>
                    </a:stretch>
                  </pic:blipFill>
                  <pic:spPr>
                    <a:xfrm>
                      <a:off x="0" y="0"/>
                      <a:ext cx="5502910" cy="3470275"/>
                    </a:xfrm>
                    <a:prstGeom prst="rect">
                      <a:avLst/>
                    </a:prstGeom>
                    <a:noFill/>
                    <a:ln>
                      <a:noFill/>
                    </a:ln>
                  </pic:spPr>
                </pic:pic>
              </a:graphicData>
            </a:graphic>
          </wp:inline>
        </w:drawing>
      </w:r>
    </w:p>
    <w:p>
      <w:pPr>
        <w:jc w:val="center"/>
        <w:rPr>
          <w:color w:val="auto"/>
        </w:rPr>
      </w:pPr>
      <w:r>
        <w:rPr>
          <w:color w:val="auto"/>
        </w:rPr>
        <w:t>图</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color w:val="auto"/>
        </w:rPr>
        <w:noBreakHyphen/>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环境空气质量截</w:t>
      </w:r>
      <w:r>
        <w:rPr>
          <w:color w:val="auto"/>
        </w:rPr>
        <w:t>图</w:t>
      </w:r>
    </w:p>
    <w:p>
      <w:pPr>
        <w:pStyle w:val="36"/>
        <w:spacing w:after="0"/>
        <w:ind w:firstLine="482"/>
        <w:rPr>
          <w:rFonts w:hint="eastAsia" w:ascii="Times New Roman" w:hAnsi="Times New Roman" w:cs="Times New Roman"/>
          <w:color w:val="auto"/>
          <w:sz w:val="24"/>
        </w:rPr>
      </w:pPr>
      <w:r>
        <w:rPr>
          <w:rFonts w:hint="eastAsia" w:ascii="Times New Roman" w:hAnsi="Times New Roman" w:eastAsia="宋体" w:cs="Times New Roman"/>
          <w:color w:val="auto"/>
          <w:sz w:val="24"/>
          <w:szCs w:val="24"/>
          <w:lang w:eastAsia="zh-CN"/>
        </w:rPr>
        <w:t>根据</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通</w:t>
      </w:r>
      <w:r>
        <w:rPr>
          <w:rFonts w:hint="default" w:ascii="Times New Roman" w:hAnsi="Times New Roman" w:eastAsia="宋体" w:cs="Times New Roman"/>
          <w:color w:val="auto"/>
          <w:sz w:val="24"/>
          <w:szCs w:val="24"/>
        </w:rPr>
        <w:t>江县</w:t>
      </w:r>
      <w:r>
        <w:rPr>
          <w:rFonts w:hint="eastAsia" w:ascii="Times New Roman" w:hAnsi="Times New Roman" w:eastAsia="宋体" w:cs="Times New Roman"/>
          <w:color w:val="auto"/>
          <w:sz w:val="24"/>
          <w:szCs w:val="24"/>
          <w:lang w:val="en-US" w:eastAsia="zh-CN"/>
        </w:rPr>
        <w:t>2020年</w:t>
      </w:r>
      <w:r>
        <w:rPr>
          <w:rFonts w:hint="default" w:ascii="Times New Roman" w:hAnsi="Times New Roman" w:eastAsia="宋体" w:cs="Times New Roman"/>
          <w:color w:val="auto"/>
          <w:sz w:val="24"/>
          <w:szCs w:val="24"/>
        </w:rPr>
        <w:t>环境质量公告</w:t>
      </w:r>
      <w:r>
        <w:rPr>
          <w:rFonts w:hint="eastAsia" w:ascii="Times New Roman" w:hAnsi="Times New Roman" w:eastAsia="宋体" w:cs="Times New Roman"/>
          <w:color w:val="auto"/>
          <w:sz w:val="24"/>
          <w:szCs w:val="24"/>
          <w:lang w:eastAsia="zh-CN"/>
        </w:rPr>
        <w:t>（半年报）</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rPr>
        <w:t>利用空气自动监测系统对通江县城建成区的空气质量状况进行24小时连续自动在线监测。根据《环境空气质量标准》（GB3095-2012）的监测要求和评价标准，上半年，通江县城区空气质量优良天数为172天（其中优85天，良87天），优良率94.5%，优良率同比上升1.7%；首要污染物为细颗粒物PM2.5，平均浓度31.7μg/m3，浓度同比下降11.9%。</w:t>
      </w:r>
    </w:p>
    <w:p>
      <w:pPr>
        <w:pStyle w:val="2503"/>
        <w:numPr>
          <w:ilvl w:val="0"/>
          <w:numId w:val="31"/>
        </w:numPr>
        <w:spacing w:before="120"/>
        <w:ind w:left="425" w:leftChars="0" w:hanging="425"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eastAsia="zh-CN"/>
        </w:rPr>
        <w:t>通江</w:t>
      </w:r>
      <w:r>
        <w:rPr>
          <w:rFonts w:hint="default" w:ascii="Times New Roman" w:hAnsi="Times New Roman" w:eastAsia="宋体" w:cs="Times New Roman"/>
          <w:color w:val="auto"/>
        </w:rPr>
        <w:t>县环境空气质量监测结</w:t>
      </w:r>
      <w:r>
        <w:rPr>
          <w:rFonts w:hint="eastAsia" w:ascii="Times New Roman" w:hAnsi="Times New Roman" w:eastAsia="宋体" w:cs="Times New Roman"/>
          <w:color w:val="auto"/>
          <w:lang w:eastAsia="zh-CN"/>
        </w:rPr>
        <w:t>果（首要污染物）</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55"/>
        <w:gridCol w:w="2109"/>
        <w:gridCol w:w="1441"/>
        <w:gridCol w:w="1337"/>
        <w:gridCol w:w="1055"/>
        <w:gridCol w:w="122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98" w:hRule="atLeast"/>
          <w:jc w:val="center"/>
        </w:trPr>
        <w:tc>
          <w:tcPr>
            <w:tcW w:w="795"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b/>
                <w:color w:val="auto"/>
                <w:sz w:val="21"/>
                <w:szCs w:val="21"/>
              </w:rPr>
            </w:pPr>
            <w:r>
              <w:rPr>
                <w:rFonts w:hint="default"/>
                <w:b/>
                <w:color w:val="auto"/>
                <w:sz w:val="21"/>
                <w:szCs w:val="21"/>
              </w:rPr>
              <w:t>污染物</w:t>
            </w:r>
          </w:p>
        </w:tc>
        <w:tc>
          <w:tcPr>
            <w:tcW w:w="1237"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b/>
                <w:color w:val="auto"/>
                <w:sz w:val="21"/>
                <w:szCs w:val="21"/>
              </w:rPr>
            </w:pPr>
            <w:r>
              <w:rPr>
                <w:rFonts w:hint="default"/>
                <w:b/>
                <w:color w:val="auto"/>
                <w:sz w:val="21"/>
                <w:szCs w:val="21"/>
              </w:rPr>
              <w:t>年评价指标</w:t>
            </w:r>
          </w:p>
        </w:tc>
        <w:tc>
          <w:tcPr>
            <w:tcW w:w="845"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b/>
                <w:color w:val="auto"/>
                <w:sz w:val="21"/>
                <w:szCs w:val="21"/>
              </w:rPr>
            </w:pPr>
            <w:r>
              <w:rPr>
                <w:rFonts w:hint="default"/>
                <w:b/>
                <w:color w:val="auto"/>
                <w:sz w:val="21"/>
                <w:szCs w:val="21"/>
              </w:rPr>
              <w:t>现状浓度</w:t>
            </w:r>
            <w:r>
              <w:rPr>
                <w:rFonts w:hint="eastAsia"/>
                <w:b/>
                <w:color w:val="auto"/>
                <w:sz w:val="21"/>
                <w:szCs w:val="21"/>
              </w:rPr>
              <w:t>/</w:t>
            </w:r>
          </w:p>
          <w:p>
            <w:pPr>
              <w:keepNext w:val="0"/>
              <w:keepLines w:val="0"/>
              <w:suppressLineNumbers w:val="0"/>
              <w:spacing w:before="0" w:beforeAutospacing="0" w:after="0" w:afterAutospacing="0" w:line="240" w:lineRule="auto"/>
              <w:ind w:left="0" w:right="-105" w:rightChars="-50" w:firstLine="0" w:firstLineChars="0"/>
              <w:jc w:val="center"/>
              <w:rPr>
                <w:rFonts w:hint="default"/>
                <w:b/>
                <w:color w:val="auto"/>
                <w:sz w:val="21"/>
                <w:szCs w:val="21"/>
              </w:rPr>
            </w:pPr>
            <w:r>
              <w:rPr>
                <w:rFonts w:hint="default"/>
                <w:b/>
                <w:color w:val="auto"/>
                <w:sz w:val="21"/>
                <w:szCs w:val="21"/>
              </w:rPr>
              <w:t>（μg/m</w:t>
            </w:r>
            <w:r>
              <w:rPr>
                <w:rFonts w:hint="default"/>
                <w:b/>
                <w:color w:val="auto"/>
                <w:sz w:val="21"/>
                <w:szCs w:val="21"/>
                <w:vertAlign w:val="superscript"/>
              </w:rPr>
              <w:t>3</w:t>
            </w:r>
            <w:r>
              <w:rPr>
                <w:rFonts w:hint="default"/>
                <w:b/>
                <w:color w:val="auto"/>
                <w:sz w:val="21"/>
                <w:szCs w:val="21"/>
              </w:rPr>
              <w:t>）</w:t>
            </w:r>
          </w:p>
        </w:tc>
        <w:tc>
          <w:tcPr>
            <w:tcW w:w="784"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b/>
                <w:color w:val="auto"/>
                <w:sz w:val="21"/>
                <w:szCs w:val="21"/>
              </w:rPr>
            </w:pPr>
            <w:r>
              <w:rPr>
                <w:rFonts w:hint="default"/>
                <w:b/>
                <w:color w:val="auto"/>
                <w:sz w:val="21"/>
                <w:szCs w:val="21"/>
              </w:rPr>
              <w:t>标准值</w:t>
            </w:r>
            <w:r>
              <w:rPr>
                <w:rFonts w:hint="eastAsia"/>
                <w:b/>
                <w:color w:val="auto"/>
                <w:sz w:val="21"/>
                <w:szCs w:val="21"/>
              </w:rPr>
              <w:t>/</w:t>
            </w:r>
          </w:p>
          <w:p>
            <w:pPr>
              <w:keepNext w:val="0"/>
              <w:keepLines w:val="0"/>
              <w:suppressLineNumbers w:val="0"/>
              <w:spacing w:before="0" w:beforeAutospacing="0" w:after="0" w:afterAutospacing="0" w:line="240" w:lineRule="auto"/>
              <w:ind w:left="0" w:right="-105" w:rightChars="-50" w:firstLine="0" w:firstLineChars="0"/>
              <w:jc w:val="center"/>
              <w:rPr>
                <w:rFonts w:hint="default"/>
                <w:b/>
                <w:color w:val="auto"/>
                <w:sz w:val="21"/>
                <w:szCs w:val="21"/>
              </w:rPr>
            </w:pPr>
            <w:r>
              <w:rPr>
                <w:rFonts w:hint="default"/>
                <w:b/>
                <w:color w:val="auto"/>
                <w:sz w:val="21"/>
                <w:szCs w:val="21"/>
              </w:rPr>
              <w:t>（μg/m</w:t>
            </w:r>
            <w:r>
              <w:rPr>
                <w:rFonts w:hint="default"/>
                <w:b/>
                <w:color w:val="auto"/>
                <w:sz w:val="21"/>
                <w:szCs w:val="21"/>
                <w:vertAlign w:val="superscript"/>
              </w:rPr>
              <w:t>3</w:t>
            </w:r>
            <w:r>
              <w:rPr>
                <w:rFonts w:hint="default"/>
                <w:b/>
                <w:color w:val="auto"/>
                <w:sz w:val="21"/>
                <w:szCs w:val="21"/>
              </w:rPr>
              <w:t>）</w:t>
            </w:r>
          </w:p>
        </w:tc>
        <w:tc>
          <w:tcPr>
            <w:tcW w:w="619" w:type="pct"/>
            <w:tcBorders>
              <w:tl2br w:val="nil"/>
              <w:tr2bl w:val="nil"/>
            </w:tcBorders>
            <w:noWrap w:val="0"/>
            <w:vAlign w:val="center"/>
          </w:tcPr>
          <w:p>
            <w:pPr>
              <w:keepNext w:val="0"/>
              <w:keepLines w:val="0"/>
              <w:suppressLineNumbers w:val="0"/>
              <w:spacing w:before="0" w:beforeAutospacing="0" w:after="0" w:afterAutospacing="0" w:line="240" w:lineRule="auto"/>
              <w:ind w:left="0" w:right="-105" w:rightChars="-50" w:firstLine="0" w:firstLineChars="0"/>
              <w:jc w:val="center"/>
              <w:rPr>
                <w:rFonts w:hint="default"/>
                <w:b/>
                <w:color w:val="auto"/>
                <w:sz w:val="21"/>
                <w:szCs w:val="21"/>
              </w:rPr>
            </w:pPr>
            <w:r>
              <w:rPr>
                <w:rFonts w:hint="default"/>
                <w:b/>
                <w:color w:val="auto"/>
                <w:sz w:val="21"/>
                <w:szCs w:val="21"/>
              </w:rPr>
              <w:t>占标率</w:t>
            </w:r>
            <w:r>
              <w:rPr>
                <w:rFonts w:hint="eastAsia"/>
                <w:b/>
                <w:color w:val="auto"/>
                <w:sz w:val="21"/>
                <w:szCs w:val="21"/>
              </w:rPr>
              <w:t>/</w:t>
            </w:r>
            <w:r>
              <w:rPr>
                <w:rFonts w:hint="default"/>
                <w:b/>
                <w:color w:val="auto"/>
                <w:sz w:val="21"/>
                <w:szCs w:val="21"/>
              </w:rPr>
              <w:t>（%）</w:t>
            </w:r>
          </w:p>
        </w:tc>
        <w:tc>
          <w:tcPr>
            <w:tcW w:w="717"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b/>
                <w:color w:val="auto"/>
                <w:sz w:val="21"/>
                <w:szCs w:val="21"/>
              </w:rPr>
            </w:pPr>
            <w:r>
              <w:rPr>
                <w:rFonts w:hint="default"/>
                <w:b/>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90" w:hRule="atLeast"/>
          <w:jc w:val="center"/>
        </w:trPr>
        <w:tc>
          <w:tcPr>
            <w:tcW w:w="795"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color w:val="auto"/>
                <w:sz w:val="21"/>
                <w:szCs w:val="21"/>
              </w:rPr>
            </w:pPr>
            <w:r>
              <w:rPr>
                <w:rFonts w:hint="default"/>
                <w:color w:val="auto"/>
                <w:sz w:val="21"/>
                <w:szCs w:val="21"/>
              </w:rPr>
              <w:t>PM</w:t>
            </w:r>
            <w:r>
              <w:rPr>
                <w:rFonts w:hint="default"/>
                <w:color w:val="auto"/>
                <w:sz w:val="21"/>
                <w:szCs w:val="21"/>
                <w:vertAlign w:val="subscript"/>
              </w:rPr>
              <w:t>10</w:t>
            </w:r>
          </w:p>
        </w:tc>
        <w:tc>
          <w:tcPr>
            <w:tcW w:w="1237"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年平均质量浓度</w:t>
            </w:r>
          </w:p>
        </w:tc>
        <w:tc>
          <w:tcPr>
            <w:tcW w:w="845"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49.2</w:t>
            </w:r>
          </w:p>
        </w:tc>
        <w:tc>
          <w:tcPr>
            <w:tcW w:w="784" w:type="pct"/>
            <w:tcBorders>
              <w:tl2br w:val="nil"/>
              <w:tr2bl w:val="nil"/>
            </w:tcBorders>
            <w:noWrap w:val="0"/>
            <w:vAlign w:val="center"/>
          </w:tcPr>
          <w:p>
            <w:pPr>
              <w:keepNext w:val="0"/>
              <w:keepLines w:val="0"/>
              <w:suppressLineNumbers w:val="0"/>
              <w:spacing w:before="0" w:beforeAutospacing="0" w:after="0" w:afterAutospacing="0" w:line="240" w:lineRule="auto"/>
              <w:ind w:left="0" w:right="-105" w:rightChars="-50" w:firstLine="0" w:firstLineChars="0"/>
              <w:jc w:val="center"/>
              <w:rPr>
                <w:rFonts w:hint="default"/>
                <w:color w:val="auto"/>
                <w:sz w:val="21"/>
                <w:szCs w:val="21"/>
              </w:rPr>
            </w:pPr>
            <w:r>
              <w:rPr>
                <w:rFonts w:hint="default"/>
                <w:color w:val="auto"/>
                <w:sz w:val="21"/>
                <w:szCs w:val="21"/>
              </w:rPr>
              <w:t>70</w:t>
            </w:r>
          </w:p>
        </w:tc>
        <w:tc>
          <w:tcPr>
            <w:tcW w:w="619"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eastAsiaTheme="minorEastAsia"/>
                <w:color w:val="auto"/>
                <w:sz w:val="21"/>
                <w:szCs w:val="21"/>
                <w:lang w:val="en-US" w:eastAsia="zh-CN"/>
              </w:rPr>
            </w:pPr>
            <w:r>
              <w:rPr>
                <w:rFonts w:hint="default"/>
                <w:color w:val="auto"/>
                <w:sz w:val="21"/>
                <w:szCs w:val="21"/>
              </w:rPr>
              <w:t>7</w:t>
            </w:r>
            <w:r>
              <w:rPr>
                <w:rFonts w:hint="eastAsia"/>
                <w:color w:val="auto"/>
                <w:sz w:val="21"/>
                <w:szCs w:val="21"/>
                <w:lang w:val="en-US" w:eastAsia="zh-CN"/>
              </w:rPr>
              <w:t>0.29</w:t>
            </w:r>
          </w:p>
        </w:tc>
        <w:tc>
          <w:tcPr>
            <w:tcW w:w="717"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color w:val="auto"/>
                <w:sz w:val="21"/>
                <w:szCs w:val="21"/>
              </w:rPr>
            </w:pPr>
            <w:r>
              <w:rPr>
                <w:rFonts w:hint="default"/>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10" w:hRule="atLeast"/>
          <w:jc w:val="center"/>
        </w:trPr>
        <w:tc>
          <w:tcPr>
            <w:tcW w:w="795"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color w:val="auto"/>
                <w:sz w:val="21"/>
                <w:szCs w:val="21"/>
              </w:rPr>
            </w:pPr>
            <w:r>
              <w:rPr>
                <w:rFonts w:hint="default"/>
                <w:color w:val="auto"/>
                <w:sz w:val="21"/>
                <w:szCs w:val="21"/>
              </w:rPr>
              <w:t>PM</w:t>
            </w:r>
            <w:r>
              <w:rPr>
                <w:rFonts w:hint="default"/>
                <w:color w:val="auto"/>
                <w:sz w:val="21"/>
                <w:szCs w:val="21"/>
                <w:vertAlign w:val="subscript"/>
              </w:rPr>
              <w:t>2.5</w:t>
            </w:r>
          </w:p>
        </w:tc>
        <w:tc>
          <w:tcPr>
            <w:tcW w:w="1237"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年平均质量浓度</w:t>
            </w:r>
          </w:p>
        </w:tc>
        <w:tc>
          <w:tcPr>
            <w:tcW w:w="845"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31.7</w:t>
            </w:r>
          </w:p>
        </w:tc>
        <w:tc>
          <w:tcPr>
            <w:tcW w:w="784" w:type="pct"/>
            <w:tcBorders>
              <w:tl2br w:val="nil"/>
              <w:tr2bl w:val="nil"/>
            </w:tcBorders>
            <w:noWrap w:val="0"/>
            <w:vAlign w:val="center"/>
          </w:tcPr>
          <w:p>
            <w:pPr>
              <w:keepNext w:val="0"/>
              <w:keepLines w:val="0"/>
              <w:suppressLineNumbers w:val="0"/>
              <w:spacing w:before="0" w:beforeAutospacing="0" w:after="0" w:afterAutospacing="0" w:line="240" w:lineRule="auto"/>
              <w:ind w:left="0" w:right="-105" w:rightChars="-50" w:firstLine="0" w:firstLineChars="0"/>
              <w:jc w:val="center"/>
              <w:rPr>
                <w:rFonts w:hint="default"/>
                <w:color w:val="auto"/>
                <w:sz w:val="21"/>
                <w:szCs w:val="21"/>
              </w:rPr>
            </w:pPr>
            <w:r>
              <w:rPr>
                <w:rFonts w:hint="default"/>
                <w:color w:val="auto"/>
                <w:sz w:val="21"/>
                <w:szCs w:val="21"/>
              </w:rPr>
              <w:t>35</w:t>
            </w:r>
          </w:p>
        </w:tc>
        <w:tc>
          <w:tcPr>
            <w:tcW w:w="619"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90</w:t>
            </w:r>
          </w:p>
        </w:tc>
        <w:tc>
          <w:tcPr>
            <w:tcW w:w="717" w:type="pct"/>
            <w:tcBorders>
              <w:tl2br w:val="nil"/>
              <w:tr2bl w:val="nil"/>
            </w:tcBorders>
            <w:noWrap w:val="0"/>
            <w:vAlign w:val="center"/>
          </w:tcPr>
          <w:p>
            <w:pPr>
              <w:keepNext w:val="0"/>
              <w:keepLines w:val="0"/>
              <w:suppressLineNumbers w:val="0"/>
              <w:spacing w:before="0" w:beforeAutospacing="0" w:after="0" w:afterAutospacing="0" w:line="240" w:lineRule="auto"/>
              <w:ind w:left="-105" w:leftChars="-50" w:right="-105" w:rightChars="-50" w:firstLine="0" w:firstLineChars="0"/>
              <w:jc w:val="center"/>
              <w:rPr>
                <w:rFonts w:hint="default"/>
                <w:color w:val="auto"/>
                <w:sz w:val="21"/>
                <w:szCs w:val="21"/>
              </w:rPr>
            </w:pPr>
            <w:r>
              <w:rPr>
                <w:rFonts w:hint="default"/>
                <w:color w:val="auto"/>
                <w:sz w:val="21"/>
                <w:szCs w:val="21"/>
              </w:rPr>
              <w:t>达标</w:t>
            </w:r>
          </w:p>
        </w:tc>
      </w:tr>
    </w:tbl>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根据生态环境局公示，通江县首要污染物为</w:t>
      </w:r>
      <w:r>
        <w:rPr>
          <w:rFonts w:hint="default" w:ascii="Times New Roman" w:hAnsi="Times New Roman" w:cs="Times New Roman"/>
          <w:color w:val="auto"/>
          <w:sz w:val="24"/>
          <w:szCs w:val="24"/>
          <w:lang w:val="en-US" w:eastAsia="zh-CN"/>
        </w:rPr>
        <w:t>PM10、PM2.5，其余</w:t>
      </w:r>
      <w:r>
        <w:rPr>
          <w:rFonts w:hint="eastAsia" w:ascii="Times New Roman" w:hAnsi="Times New Roman" w:cs="Times New Roman"/>
          <w:color w:val="auto"/>
          <w:sz w:val="24"/>
          <w:szCs w:val="24"/>
          <w:lang w:val="en-US" w:eastAsia="zh-CN"/>
        </w:rPr>
        <w:t>4项</w:t>
      </w:r>
      <w:r>
        <w:rPr>
          <w:rFonts w:hint="default" w:ascii="Times New Roman" w:hAnsi="Times New Roman" w:cs="Times New Roman"/>
          <w:color w:val="auto"/>
          <w:sz w:val="24"/>
          <w:szCs w:val="24"/>
          <w:lang w:val="en-US" w:eastAsia="zh-CN"/>
        </w:rPr>
        <w:t>基本因子</w:t>
      </w:r>
      <w:r>
        <w:rPr>
          <w:rFonts w:hint="eastAsia" w:ascii="Times New Roman" w:hAnsi="Times New Roman" w:cs="Times New Roman"/>
          <w:color w:val="auto"/>
          <w:sz w:val="24"/>
          <w:szCs w:val="24"/>
          <w:lang w:val="en-US" w:eastAsia="zh-CN"/>
        </w:rPr>
        <w:t>达标但具体数据</w:t>
      </w:r>
      <w:r>
        <w:rPr>
          <w:rFonts w:hint="default" w:ascii="Times New Roman" w:hAnsi="Times New Roman" w:cs="Times New Roman"/>
          <w:color w:val="auto"/>
          <w:sz w:val="24"/>
          <w:szCs w:val="24"/>
          <w:lang w:val="en-US" w:eastAsia="zh-CN"/>
        </w:rPr>
        <w:t>不予公布，</w:t>
      </w:r>
      <w:r>
        <w:rPr>
          <w:rFonts w:hint="default" w:ascii="Times New Roman" w:hAnsi="Times New Roman" w:cs="Times New Roman"/>
          <w:color w:val="auto"/>
          <w:sz w:val="24"/>
          <w:szCs w:val="24"/>
        </w:rPr>
        <w:t>根据以上分析，</w:t>
      </w:r>
      <w:r>
        <w:rPr>
          <w:rFonts w:hint="default" w:ascii="Times New Roman" w:hAnsi="Times New Roman" w:cs="Times New Roman"/>
          <w:color w:val="auto"/>
          <w:sz w:val="24"/>
          <w:szCs w:val="24"/>
          <w:lang w:eastAsia="zh-CN"/>
        </w:rPr>
        <w:t>首要污染物为</w:t>
      </w:r>
      <w:r>
        <w:rPr>
          <w:rFonts w:hint="default" w:ascii="Times New Roman" w:hAnsi="Times New Roman" w:cs="Times New Roman"/>
          <w:color w:val="auto"/>
          <w:sz w:val="24"/>
          <w:szCs w:val="24"/>
          <w:lang w:val="en-US" w:eastAsia="zh-CN"/>
        </w:rPr>
        <w:t>PM10、PM2.5未超标，</w:t>
      </w:r>
      <w:r>
        <w:rPr>
          <w:rFonts w:hint="default" w:ascii="Times New Roman" w:hAnsi="Times New Roman" w:cs="Times New Roman"/>
          <w:color w:val="auto"/>
          <w:sz w:val="24"/>
          <w:szCs w:val="24"/>
        </w:rPr>
        <w:t>项目所在区域环境空气质量达标，属于达标区。</w:t>
      </w:r>
    </w:p>
    <w:p>
      <w:pPr>
        <w:pStyle w:val="8"/>
        <w:numPr>
          <w:ilvl w:val="3"/>
          <w:numId w:val="30"/>
        </w:numPr>
        <w:spacing w:line="374" w:lineRule="auto"/>
        <w:rPr>
          <w:rFonts w:hint="eastAsia"/>
          <w:b/>
          <w:color w:val="auto"/>
        </w:rPr>
      </w:pPr>
      <w:r>
        <w:rPr>
          <w:rFonts w:hint="eastAsia"/>
          <w:b/>
          <w:color w:val="auto"/>
        </w:rPr>
        <w:t>其他污染物环境质量现状</w:t>
      </w:r>
    </w:p>
    <w:p>
      <w:pPr>
        <w:ind w:firstLine="48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1、监测点位</w:t>
      </w:r>
    </w:p>
    <w:p>
      <w:pPr>
        <w:ind w:firstLine="480"/>
        <w:rPr>
          <w:color w:val="auto"/>
        </w:rPr>
      </w:pPr>
      <w:r>
        <w:rPr>
          <w:rFonts w:hint="eastAsia" w:ascii="Times New Roman" w:hAnsi="Times New Roman" w:eastAsia="宋体" w:cs="Times New Roman"/>
          <w:color w:val="auto"/>
          <w:kern w:val="2"/>
          <w:sz w:val="24"/>
          <w:szCs w:val="24"/>
          <w:lang w:val="en-US" w:eastAsia="zh-CN" w:bidi="ar-SA"/>
        </w:rPr>
        <w:t>为掌握区域内其他污染物环境空气质量现状情况，本次评价委托四川洁承环境科技有限公司进行实地监测，设置1个监测点位，位于项目下风向，其他污染物补充监测点位基本信息见表4.2-2。</w:t>
      </w:r>
    </w:p>
    <w:p>
      <w:pPr>
        <w:pStyle w:val="2503"/>
        <w:numPr>
          <w:ilvl w:val="0"/>
          <w:numId w:val="31"/>
        </w:numPr>
        <w:spacing w:before="120"/>
        <w:ind w:left="425" w:leftChars="0" w:hanging="425" w:firstLineChars="0"/>
        <w:rPr>
          <w:rFonts w:hint="eastAsia" w:ascii="Times New Roman" w:hAnsi="Times New Roman" w:eastAsia="宋体" w:cs="Times New Roman"/>
          <w:color w:val="auto"/>
        </w:rPr>
      </w:pPr>
      <w:r>
        <w:rPr>
          <w:rFonts w:hint="eastAsia" w:ascii="Times New Roman" w:hAnsi="Times New Roman" w:eastAsia="宋体" w:cs="Times New Roman"/>
          <w:color w:val="auto"/>
        </w:rPr>
        <w:t xml:space="preserve"> </w:t>
      </w:r>
      <w:r>
        <w:rPr>
          <w:rFonts w:hint="default" w:ascii="Times New Roman" w:hAnsi="Times New Roman" w:eastAsia="宋体" w:cs="Times New Roman"/>
          <w:color w:val="auto"/>
        </w:rPr>
        <w:t xml:space="preserve">   </w:t>
      </w:r>
      <w:r>
        <w:rPr>
          <w:rFonts w:hint="eastAsia" w:ascii="Times New Roman" w:hAnsi="Times New Roman" w:eastAsia="宋体" w:cs="Times New Roman"/>
          <w:color w:val="auto"/>
        </w:rPr>
        <w:t>其他污染物补充监测点位基本信息</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060"/>
        <w:gridCol w:w="1119"/>
        <w:gridCol w:w="1119"/>
        <w:gridCol w:w="868"/>
        <w:gridCol w:w="1810"/>
        <w:gridCol w:w="1073"/>
        <w:gridCol w:w="1257"/>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Merge w:val="restar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监测点名称</w:t>
            </w:r>
          </w:p>
        </w:tc>
        <w:tc>
          <w:tcPr>
            <w:tcW w:w="0" w:type="auto"/>
            <w:gridSpan w:val="2"/>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监测点坐标/m</w:t>
            </w:r>
          </w:p>
        </w:tc>
        <w:tc>
          <w:tcPr>
            <w:tcW w:w="0" w:type="auto"/>
            <w:vMerge w:val="restar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监测因子</w:t>
            </w:r>
          </w:p>
        </w:tc>
        <w:tc>
          <w:tcPr>
            <w:tcW w:w="0" w:type="auto"/>
            <w:vMerge w:val="restar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监测时段</w:t>
            </w:r>
          </w:p>
        </w:tc>
        <w:tc>
          <w:tcPr>
            <w:tcW w:w="0" w:type="auto"/>
            <w:vMerge w:val="restart"/>
            <w:noWrap w:val="0"/>
            <w:vAlign w:val="center"/>
          </w:tcPr>
          <w:p>
            <w:pPr>
              <w:pStyle w:val="168"/>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相对厂址方位</w:t>
            </w:r>
          </w:p>
        </w:tc>
        <w:tc>
          <w:tcPr>
            <w:tcW w:w="0" w:type="auto"/>
            <w:vMerge w:val="restart"/>
            <w:noWrap w:val="0"/>
            <w:vAlign w:val="center"/>
          </w:tcPr>
          <w:p>
            <w:pPr>
              <w:pStyle w:val="168"/>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相对厂界距离</w:t>
            </w:r>
            <w:r>
              <w:rPr>
                <w:rFonts w:hint="default" w:ascii="Times New Roman" w:hAnsi="Times New Roman" w:eastAsia="宋体" w:cs="Times New Roman"/>
                <w:b/>
                <w:color w:val="auto"/>
                <w:sz w:val="21"/>
                <w:szCs w:val="21"/>
              </w:rPr>
              <w:t>/m</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0" w:type="auto"/>
            <w:noWrap w:val="0"/>
            <w:vAlign w:val="center"/>
          </w:tcPr>
          <w:p>
            <w:pPr>
              <w:pStyle w:val="168"/>
              <w:keepNext w:val="0"/>
              <w:keepLines w:val="0"/>
              <w:suppressLineNumbers w:val="0"/>
              <w:spacing w:before="0" w:beforeAutospacing="0" w:after="0" w:afterAutospacing="0"/>
              <w:ind w:left="0" w:right="0"/>
              <w:rPr>
                <w:rFonts w:hint="default"/>
                <w:b/>
                <w:i/>
                <w:color w:val="auto"/>
                <w:sz w:val="21"/>
                <w:szCs w:val="21"/>
              </w:rPr>
            </w:pPr>
            <w:r>
              <w:rPr>
                <w:rFonts w:hint="default"/>
                <w:b/>
                <w:i/>
                <w:color w:val="auto"/>
                <w:sz w:val="21"/>
                <w:szCs w:val="21"/>
              </w:rPr>
              <w:t>X</w:t>
            </w:r>
          </w:p>
        </w:tc>
        <w:tc>
          <w:tcPr>
            <w:tcW w:w="0" w:type="auto"/>
            <w:noWrap w:val="0"/>
            <w:vAlign w:val="center"/>
          </w:tcPr>
          <w:p>
            <w:pPr>
              <w:pStyle w:val="168"/>
              <w:keepNext w:val="0"/>
              <w:keepLines w:val="0"/>
              <w:suppressLineNumbers w:val="0"/>
              <w:spacing w:before="0" w:beforeAutospacing="0" w:after="0" w:afterAutospacing="0"/>
              <w:ind w:left="0" w:right="0"/>
              <w:rPr>
                <w:rFonts w:hint="default"/>
                <w:b/>
                <w:i/>
                <w:color w:val="auto"/>
                <w:sz w:val="21"/>
                <w:szCs w:val="21"/>
              </w:rPr>
            </w:pPr>
            <w:r>
              <w:rPr>
                <w:rFonts w:hint="default"/>
                <w:b/>
                <w:i/>
                <w:color w:val="auto"/>
                <w:sz w:val="21"/>
                <w:szCs w:val="21"/>
              </w:rPr>
              <w:t>Y</w:t>
            </w:r>
          </w:p>
        </w:tc>
        <w:tc>
          <w:tcPr>
            <w:tcW w:w="0" w:type="auto"/>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0" w:type="auto"/>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0" w:type="auto"/>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0" w:type="auto"/>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noWrap w:val="0"/>
            <w:vAlign w:val="center"/>
          </w:tcPr>
          <w:p>
            <w:pPr>
              <w:pStyle w:val="168"/>
              <w:keepNext w:val="0"/>
              <w:keepLines w:val="0"/>
              <w:suppressLineNumbers w:val="0"/>
              <w:spacing w:before="0" w:beforeAutospacing="0" w:after="0" w:afterAutospacing="0"/>
              <w:ind w:left="0" w:right="0"/>
              <w:rPr>
                <w:rFonts w:hint="eastAsia" w:eastAsia="宋体"/>
                <w:color w:val="auto"/>
                <w:sz w:val="21"/>
                <w:szCs w:val="21"/>
                <w:lang w:eastAsia="zh-CN"/>
              </w:rPr>
            </w:pPr>
            <w:r>
              <w:rPr>
                <w:rFonts w:hint="default"/>
                <w:color w:val="auto"/>
                <w:sz w:val="21"/>
                <w:szCs w:val="21"/>
              </w:rPr>
              <w:t>1#</w:t>
            </w:r>
            <w:r>
              <w:rPr>
                <w:rFonts w:hint="eastAsia"/>
                <w:color w:val="auto"/>
                <w:sz w:val="21"/>
                <w:szCs w:val="21"/>
                <w:lang w:eastAsia="zh-CN"/>
              </w:rPr>
              <w:t>项目下风向</w:t>
            </w:r>
          </w:p>
        </w:tc>
        <w:tc>
          <w:tcPr>
            <w:tcW w:w="0" w:type="auto"/>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eastAsia"/>
                <w:color w:val="auto"/>
                <w:sz w:val="21"/>
                <w:szCs w:val="21"/>
              </w:rPr>
              <w:t>107.5932180</w:t>
            </w:r>
          </w:p>
        </w:tc>
        <w:tc>
          <w:tcPr>
            <w:tcW w:w="0" w:type="auto"/>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eastAsia"/>
                <w:color w:val="auto"/>
                <w:sz w:val="21"/>
                <w:szCs w:val="21"/>
              </w:rPr>
              <w:t>32.01067613</w:t>
            </w:r>
          </w:p>
        </w:tc>
        <w:tc>
          <w:tcPr>
            <w:tcW w:w="0" w:type="auto"/>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NH</w:t>
            </w:r>
            <w:r>
              <w:rPr>
                <w:rFonts w:hint="default"/>
                <w:color w:val="auto"/>
                <w:sz w:val="21"/>
                <w:szCs w:val="21"/>
                <w:vertAlign w:val="subscript"/>
              </w:rPr>
              <w:t>3</w:t>
            </w:r>
            <w:r>
              <w:rPr>
                <w:rFonts w:hint="default"/>
                <w:color w:val="auto"/>
                <w:sz w:val="21"/>
                <w:szCs w:val="21"/>
              </w:rPr>
              <w:t>、H</w:t>
            </w:r>
            <w:r>
              <w:rPr>
                <w:rFonts w:hint="default"/>
                <w:color w:val="auto"/>
                <w:sz w:val="21"/>
                <w:szCs w:val="21"/>
                <w:vertAlign w:val="subscript"/>
              </w:rPr>
              <w:t>2</w:t>
            </w:r>
            <w:r>
              <w:rPr>
                <w:rFonts w:hint="default"/>
                <w:color w:val="auto"/>
                <w:sz w:val="21"/>
                <w:szCs w:val="21"/>
              </w:rPr>
              <w:t>S</w:t>
            </w:r>
          </w:p>
        </w:tc>
        <w:tc>
          <w:tcPr>
            <w:tcW w:w="0" w:type="auto"/>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20</w:t>
            </w:r>
            <w:r>
              <w:rPr>
                <w:rFonts w:hint="eastAsia"/>
                <w:color w:val="auto"/>
                <w:sz w:val="21"/>
                <w:szCs w:val="21"/>
                <w:lang w:val="en-US" w:eastAsia="zh-CN"/>
              </w:rPr>
              <w:t>20</w:t>
            </w:r>
            <w:r>
              <w:rPr>
                <w:rFonts w:hint="default"/>
                <w:color w:val="auto"/>
                <w:sz w:val="21"/>
                <w:szCs w:val="21"/>
              </w:rPr>
              <w:t>.</w:t>
            </w:r>
            <w:r>
              <w:rPr>
                <w:rFonts w:hint="eastAsia"/>
                <w:color w:val="auto"/>
                <w:sz w:val="21"/>
                <w:szCs w:val="21"/>
                <w:lang w:val="en-US" w:eastAsia="zh-CN"/>
              </w:rPr>
              <w:t>7</w:t>
            </w:r>
            <w:r>
              <w:rPr>
                <w:rFonts w:hint="eastAsia"/>
                <w:color w:val="auto"/>
                <w:sz w:val="21"/>
                <w:szCs w:val="21"/>
              </w:rPr>
              <w:t>.</w:t>
            </w:r>
            <w:r>
              <w:rPr>
                <w:rFonts w:hint="eastAsia"/>
                <w:color w:val="auto"/>
                <w:sz w:val="21"/>
                <w:szCs w:val="21"/>
                <w:lang w:val="en-US" w:eastAsia="zh-CN"/>
              </w:rPr>
              <w:t>21</w:t>
            </w:r>
            <w:r>
              <w:rPr>
                <w:rFonts w:hint="default"/>
                <w:color w:val="auto"/>
                <w:sz w:val="21"/>
                <w:szCs w:val="21"/>
              </w:rPr>
              <w:t>~20</w:t>
            </w:r>
            <w:r>
              <w:rPr>
                <w:rFonts w:hint="eastAsia"/>
                <w:color w:val="auto"/>
                <w:sz w:val="21"/>
                <w:szCs w:val="21"/>
                <w:lang w:val="en-US" w:eastAsia="zh-CN"/>
              </w:rPr>
              <w:t>20</w:t>
            </w:r>
            <w:r>
              <w:rPr>
                <w:rFonts w:hint="default"/>
                <w:color w:val="auto"/>
                <w:sz w:val="21"/>
                <w:szCs w:val="21"/>
              </w:rPr>
              <w:t>.</w:t>
            </w:r>
            <w:r>
              <w:rPr>
                <w:rFonts w:hint="eastAsia"/>
                <w:color w:val="auto"/>
                <w:sz w:val="21"/>
                <w:szCs w:val="21"/>
                <w:lang w:val="en-US" w:eastAsia="zh-CN"/>
              </w:rPr>
              <w:t>7</w:t>
            </w:r>
            <w:r>
              <w:rPr>
                <w:rFonts w:hint="eastAsia"/>
                <w:color w:val="auto"/>
                <w:sz w:val="21"/>
                <w:szCs w:val="21"/>
              </w:rPr>
              <w:t>.</w:t>
            </w:r>
            <w:r>
              <w:rPr>
                <w:rFonts w:hint="eastAsia"/>
                <w:color w:val="auto"/>
                <w:sz w:val="21"/>
                <w:szCs w:val="21"/>
                <w:lang w:val="en-US" w:eastAsia="zh-CN"/>
              </w:rPr>
              <w:t>27</w:t>
            </w:r>
          </w:p>
        </w:tc>
        <w:tc>
          <w:tcPr>
            <w:tcW w:w="0" w:type="auto"/>
            <w:noWrap w:val="0"/>
            <w:vAlign w:val="center"/>
          </w:tcPr>
          <w:p>
            <w:pPr>
              <w:pStyle w:val="171"/>
              <w:keepNext w:val="0"/>
              <w:keepLines w:val="0"/>
              <w:suppressLineNumbers w:val="0"/>
              <w:spacing w:before="24" w:beforeAutospacing="0" w:after="0" w:afterAutospacing="0"/>
              <w:ind w:left="0" w:right="0"/>
              <w:rPr>
                <w:rFonts w:hint="default"/>
                <w:color w:val="auto"/>
                <w:sz w:val="21"/>
                <w:szCs w:val="21"/>
              </w:rPr>
            </w:pPr>
            <w:r>
              <w:rPr>
                <w:rFonts w:hint="eastAsia"/>
                <w:color w:val="auto"/>
              </w:rPr>
              <w:t>项目所在地</w:t>
            </w:r>
          </w:p>
        </w:tc>
        <w:tc>
          <w:tcPr>
            <w:tcW w:w="0" w:type="auto"/>
            <w:noWrap w:val="0"/>
            <w:vAlign w:val="center"/>
          </w:tcPr>
          <w:p>
            <w:pPr>
              <w:pStyle w:val="171"/>
              <w:keepNext w:val="0"/>
              <w:keepLines w:val="0"/>
              <w:suppressLineNumbers w:val="0"/>
              <w:spacing w:before="24" w:beforeAutospacing="0" w:after="0" w:afterAutospacing="0"/>
              <w:ind w:left="0" w:right="0"/>
              <w:rPr>
                <w:rFonts w:hint="default"/>
                <w:color w:val="auto"/>
                <w:sz w:val="21"/>
                <w:szCs w:val="21"/>
              </w:rPr>
            </w:pPr>
            <w:r>
              <w:rPr>
                <w:rFonts w:hint="eastAsia"/>
                <w:color w:val="auto"/>
              </w:rPr>
              <w:t>0</w:t>
            </w:r>
          </w:p>
        </w:tc>
      </w:tr>
    </w:tbl>
    <w:p>
      <w:pPr>
        <w:pStyle w:val="110"/>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2、</w:t>
      </w:r>
      <w:r>
        <w:rPr>
          <w:rFonts w:hint="default" w:ascii="Times New Roman" w:hAnsi="Times New Roman" w:eastAsia="宋体" w:cs="Times New Roman"/>
          <w:b/>
          <w:bCs/>
          <w:color w:val="auto"/>
        </w:rPr>
        <w:t>监测项目</w:t>
      </w:r>
    </w:p>
    <w:p>
      <w:pPr>
        <w:pStyle w:val="110"/>
        <w:rPr>
          <w:rFonts w:hint="default" w:ascii="Times New Roman" w:hAnsi="Times New Roman" w:eastAsia="宋体" w:cs="Times New Roman"/>
          <w:color w:val="auto"/>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w:t>
      </w:r>
    </w:p>
    <w:p>
      <w:pPr>
        <w:pStyle w:val="110"/>
        <w:numPr>
          <w:ilvl w:val="0"/>
          <w:numId w:val="32"/>
        </w:numP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监测频次及时间</w:t>
      </w:r>
    </w:p>
    <w:p>
      <w:pPr>
        <w:pStyle w:val="110"/>
        <w:rPr>
          <w:rFonts w:hint="default" w:ascii="Times New Roman" w:hAnsi="Times New Roman" w:eastAsia="宋体" w:cs="Times New Roman"/>
          <w:color w:val="auto"/>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S检测时间为20</w:t>
      </w:r>
      <w:r>
        <w:rPr>
          <w:rFonts w:hint="eastAsia" w:ascii="Times New Roman" w:hAnsi="Times New Roman" w:eastAsia="宋体" w:cs="Times New Roman"/>
          <w:color w:val="auto"/>
          <w:lang w:val="en-US" w:eastAsia="zh-CN"/>
        </w:rPr>
        <w:t>20</w:t>
      </w:r>
      <w:r>
        <w:rPr>
          <w:rFonts w:hint="default" w:ascii="Times New Roman" w:hAnsi="Times New Roman" w:eastAsia="宋体" w:cs="Times New Roman"/>
          <w:color w:val="auto"/>
        </w:rPr>
        <w:t>年</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rPr>
        <w:t>月</w:t>
      </w:r>
      <w:r>
        <w:rPr>
          <w:rFonts w:hint="eastAsia" w:ascii="Times New Roman" w:hAnsi="Times New Roman" w:eastAsia="宋体" w:cs="Times New Roman"/>
          <w:color w:val="auto"/>
          <w:lang w:val="en-US" w:eastAsia="zh-CN"/>
        </w:rPr>
        <w:t>21</w:t>
      </w:r>
      <w:r>
        <w:rPr>
          <w:rFonts w:hint="default" w:ascii="Times New Roman" w:hAnsi="Times New Roman" w:eastAsia="宋体" w:cs="Times New Roman"/>
          <w:color w:val="auto"/>
        </w:rPr>
        <w:t>日~</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rPr>
        <w:t>月2</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rPr>
        <w:t>日，</w:t>
      </w:r>
      <w:r>
        <w:rPr>
          <w:color w:val="auto"/>
          <w:sz w:val="24"/>
          <w:szCs w:val="24"/>
        </w:rPr>
        <w:t>氨、硫化氢</w:t>
      </w:r>
      <w:r>
        <w:rPr>
          <w:color w:val="auto"/>
          <w:sz w:val="24"/>
        </w:rPr>
        <w:t>为小时平均浓度</w:t>
      </w:r>
      <w:r>
        <w:rPr>
          <w:rFonts w:hint="eastAsia"/>
          <w:color w:val="auto"/>
          <w:sz w:val="24"/>
          <w:vertAlign w:val="baseline"/>
          <w:lang w:val="en-US" w:eastAsia="zh-CN"/>
        </w:rPr>
        <w:t>，</w:t>
      </w:r>
      <w:r>
        <w:rPr>
          <w:rFonts w:hint="eastAsia"/>
          <w:color w:val="auto"/>
          <w:sz w:val="24"/>
          <w:lang w:val="en-US" w:eastAsia="zh-CN"/>
        </w:rPr>
        <w:t>连续</w:t>
      </w:r>
      <w:r>
        <w:rPr>
          <w:rFonts w:hint="eastAsia"/>
          <w:color w:val="auto"/>
          <w:sz w:val="24"/>
        </w:rPr>
        <w:t xml:space="preserve">监测 </w:t>
      </w:r>
      <w:r>
        <w:rPr>
          <w:rFonts w:hint="eastAsia"/>
          <w:color w:val="auto"/>
          <w:sz w:val="24"/>
          <w:lang w:val="en-US" w:eastAsia="zh-CN"/>
        </w:rPr>
        <w:t>7</w:t>
      </w:r>
      <w:r>
        <w:rPr>
          <w:rFonts w:hint="eastAsia"/>
          <w:color w:val="auto"/>
          <w:sz w:val="24"/>
        </w:rPr>
        <w:t>天</w:t>
      </w:r>
      <w:r>
        <w:rPr>
          <w:rFonts w:hint="eastAsia"/>
          <w:color w:val="auto"/>
          <w:sz w:val="24"/>
          <w:lang w:eastAsia="zh-CN"/>
        </w:rPr>
        <w:t>，每天监测</w:t>
      </w:r>
      <w:r>
        <w:rPr>
          <w:rFonts w:hint="eastAsia"/>
          <w:color w:val="auto"/>
          <w:sz w:val="24"/>
          <w:lang w:val="en-US" w:eastAsia="zh-CN"/>
        </w:rPr>
        <w:t>4次</w:t>
      </w:r>
      <w:r>
        <w:rPr>
          <w:rFonts w:hint="default" w:ascii="Times New Roman" w:hAnsi="Times New Roman" w:eastAsia="宋体" w:cs="Times New Roman"/>
          <w:color w:val="auto"/>
        </w:rPr>
        <w:t>。</w:t>
      </w:r>
    </w:p>
    <w:p>
      <w:pPr>
        <w:pStyle w:val="110"/>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4、</w:t>
      </w:r>
      <w:r>
        <w:rPr>
          <w:rFonts w:hint="default" w:ascii="Times New Roman" w:hAnsi="Times New Roman" w:eastAsia="宋体" w:cs="Times New Roman"/>
          <w:b/>
          <w:bCs/>
          <w:color w:val="auto"/>
        </w:rPr>
        <w:t>采样与分析方法</w:t>
      </w:r>
    </w:p>
    <w:p>
      <w:pPr>
        <w:pStyle w:val="110"/>
        <w:rPr>
          <w:rFonts w:hint="default" w:ascii="Times New Roman" w:hAnsi="Times New Roman" w:eastAsia="宋体" w:cs="Times New Roman"/>
          <w:color w:val="auto"/>
        </w:rPr>
      </w:pPr>
      <w:r>
        <w:rPr>
          <w:rFonts w:hint="default" w:ascii="Times New Roman" w:hAnsi="Times New Roman" w:eastAsia="宋体" w:cs="Times New Roman"/>
          <w:color w:val="auto"/>
        </w:rPr>
        <w:t>按国家标准方法和推荐方法进行。</w:t>
      </w:r>
    </w:p>
    <w:p>
      <w:pPr>
        <w:pStyle w:val="110"/>
        <w:numPr>
          <w:ilvl w:val="0"/>
          <w:numId w:val="26"/>
        </w:numPr>
        <w:ind w:left="0" w:leftChars="0"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现状监测结果</w:t>
      </w:r>
    </w:p>
    <w:p>
      <w:pPr>
        <w:pStyle w:val="110"/>
        <w:numPr>
          <w:ilvl w:val="0"/>
          <w:numId w:val="0"/>
        </w:numPr>
        <w:ind w:leftChars="200"/>
        <w:rPr>
          <w:rFonts w:hint="default" w:ascii="Times New Roman" w:hAnsi="Times New Roman" w:eastAsia="宋体" w:cs="Times New Roman"/>
          <w:b/>
          <w:bCs/>
          <w:color w:val="auto"/>
        </w:rPr>
      </w:pPr>
    </w:p>
    <w:p>
      <w:pPr>
        <w:pStyle w:val="2503"/>
        <w:numPr>
          <w:ilvl w:val="0"/>
          <w:numId w:val="31"/>
        </w:numPr>
        <w:spacing w:before="120"/>
        <w:ind w:left="425" w:leftChars="0" w:hanging="425"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eastAsia="zh-CN"/>
        </w:rPr>
        <w:t>环境空气</w:t>
      </w:r>
      <w:r>
        <w:rPr>
          <w:rFonts w:hint="default" w:ascii="Times New Roman" w:hAnsi="Times New Roman" w:eastAsia="宋体" w:cs="Times New Roman"/>
          <w:color w:val="auto"/>
        </w:rPr>
        <w:t>监测结果表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160"/>
        <w:gridCol w:w="1025"/>
        <w:gridCol w:w="992"/>
        <w:gridCol w:w="992"/>
        <w:gridCol w:w="992"/>
        <w:gridCol w:w="1005"/>
        <w:gridCol w:w="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91"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监测</w:t>
            </w:r>
            <w:r>
              <w:rPr>
                <w:rFonts w:hint="default" w:ascii="Times New Roman" w:hAnsi="Times New Roman" w:eastAsia="宋体" w:cs="Times New Roman"/>
                <w:b/>
                <w:color w:val="auto"/>
                <w:kern w:val="0"/>
                <w:sz w:val="21"/>
                <w:szCs w:val="21"/>
                <w:lang w:eastAsia="zh-CN"/>
              </w:rPr>
              <w:t>日期</w:t>
            </w:r>
          </w:p>
        </w:tc>
        <w:tc>
          <w:tcPr>
            <w:tcW w:w="699"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监测点位及编号</w:t>
            </w:r>
          </w:p>
        </w:tc>
        <w:tc>
          <w:tcPr>
            <w:tcW w:w="617"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监测项目</w:t>
            </w:r>
          </w:p>
        </w:tc>
        <w:tc>
          <w:tcPr>
            <w:tcW w:w="2396" w:type="pct"/>
            <w:gridSpan w:val="4"/>
            <w:tcBorders>
              <w:bottom w:val="single" w:color="auto" w:sz="4" w:space="0"/>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监测结果</w:t>
            </w:r>
          </w:p>
        </w:tc>
        <w:tc>
          <w:tcPr>
            <w:tcW w:w="596" w:type="pct"/>
            <w:vMerge w:val="restart"/>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91" w:type="pct"/>
            <w:vMerge w:val="continue"/>
            <w:tcBorders>
              <w:bottom w:val="single" w:color="auto" w:sz="12" w:space="0"/>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rPr>
            </w:pPr>
          </w:p>
        </w:tc>
        <w:tc>
          <w:tcPr>
            <w:tcW w:w="699" w:type="pct"/>
            <w:vMerge w:val="continue"/>
            <w:tcBorders>
              <w:bottom w:val="single" w:color="auto" w:sz="12" w:space="0"/>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lang w:eastAsia="zh-CN"/>
              </w:rPr>
            </w:pPr>
          </w:p>
        </w:tc>
        <w:tc>
          <w:tcPr>
            <w:tcW w:w="617" w:type="pct"/>
            <w:vMerge w:val="continue"/>
            <w:tcBorders>
              <w:bottom w:val="single" w:color="auto" w:sz="12" w:space="0"/>
            </w:tcBorders>
            <w:noWrap w:val="0"/>
            <w:tcMar>
              <w:left w:w="0" w:type="dxa"/>
              <w:right w:w="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lang w:eastAsia="zh-CN"/>
              </w:rPr>
            </w:pPr>
          </w:p>
        </w:tc>
        <w:tc>
          <w:tcPr>
            <w:tcW w:w="597" w:type="pct"/>
            <w:tcBorders>
              <w:bottom w:val="single" w:color="auto" w:sz="12"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第一次</w:t>
            </w:r>
          </w:p>
        </w:tc>
        <w:tc>
          <w:tcPr>
            <w:tcW w:w="597" w:type="pct"/>
            <w:tcBorders>
              <w:bottom w:val="single" w:color="auto" w:sz="12"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第二次</w:t>
            </w:r>
          </w:p>
        </w:tc>
        <w:tc>
          <w:tcPr>
            <w:tcW w:w="597" w:type="pct"/>
            <w:tcBorders>
              <w:bottom w:val="single" w:color="auto" w:sz="12"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第三次</w:t>
            </w:r>
          </w:p>
        </w:tc>
        <w:tc>
          <w:tcPr>
            <w:tcW w:w="604" w:type="pct"/>
            <w:tcBorders>
              <w:bottom w:val="single" w:color="auto" w:sz="12"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第四次</w:t>
            </w:r>
          </w:p>
        </w:tc>
        <w:tc>
          <w:tcPr>
            <w:tcW w:w="596" w:type="pct"/>
            <w:vMerge w:val="continue"/>
            <w:tcBorders>
              <w:bottom w:val="single" w:color="auto" w:sz="12"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restart"/>
            <w:tcBorders>
              <w:top w:val="single" w:color="auto" w:sz="12"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2020.07.21</w:t>
            </w:r>
          </w:p>
        </w:tc>
        <w:tc>
          <w:tcPr>
            <w:tcW w:w="699" w:type="pct"/>
            <w:vMerge w:val="restart"/>
            <w:tcBorders>
              <w:top w:val="single" w:color="auto" w:sz="12"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1#项目下风向</w:t>
            </w:r>
          </w:p>
        </w:tc>
        <w:tc>
          <w:tcPr>
            <w:tcW w:w="617" w:type="pct"/>
            <w:tcBorders>
              <w:top w:val="single" w:color="auto" w:sz="12"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硫化氢</w:t>
            </w:r>
          </w:p>
        </w:tc>
        <w:tc>
          <w:tcPr>
            <w:tcW w:w="597" w:type="pct"/>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597" w:type="pct"/>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7" w:type="pct"/>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604" w:type="pct"/>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596" w:type="pct"/>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99"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0"/>
                <w:sz w:val="21"/>
                <w:szCs w:val="21"/>
                <w:lang w:val="en-US" w:eastAsia="zh-CN"/>
              </w:rPr>
            </w:pP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氨</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0.15</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0.08</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0.19</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91"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2020.07.22</w:t>
            </w:r>
          </w:p>
        </w:tc>
        <w:tc>
          <w:tcPr>
            <w:tcW w:w="699"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1#项目下风向</w:t>
            </w: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硫化氢</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p>
        </w:tc>
        <w:tc>
          <w:tcPr>
            <w:tcW w:w="699"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氨</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0.13</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0.06</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0.18</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2020.07.23</w:t>
            </w:r>
          </w:p>
        </w:tc>
        <w:tc>
          <w:tcPr>
            <w:tcW w:w="699"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1#项目下风向</w:t>
            </w: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硫化氢</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p>
        </w:tc>
        <w:tc>
          <w:tcPr>
            <w:tcW w:w="699"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氨</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0.11</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0.19</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0.14</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2020.07.24</w:t>
            </w:r>
          </w:p>
        </w:tc>
        <w:tc>
          <w:tcPr>
            <w:tcW w:w="699"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1#项目下风向</w:t>
            </w: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硫化氢</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p>
        </w:tc>
        <w:tc>
          <w:tcPr>
            <w:tcW w:w="699"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氨</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0.19</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0.15</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0.12</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2020.07.25</w:t>
            </w:r>
          </w:p>
        </w:tc>
        <w:tc>
          <w:tcPr>
            <w:tcW w:w="699"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1#项目下风向</w:t>
            </w: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硫化氢</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p>
        </w:tc>
        <w:tc>
          <w:tcPr>
            <w:tcW w:w="699"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氨</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0.19</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0.16</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0.11</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2020.07.26</w:t>
            </w:r>
          </w:p>
        </w:tc>
        <w:tc>
          <w:tcPr>
            <w:tcW w:w="699"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1#项目下风向</w:t>
            </w: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硫化氢</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0.002</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p>
        </w:tc>
        <w:tc>
          <w:tcPr>
            <w:tcW w:w="699" w:type="pct"/>
            <w:vMerge w:val="continue"/>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氨</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0.18</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0.16</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0.14</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0.14</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105" w:leftChars="-50" w:right="34" w:rightChars="16" w:firstLine="105" w:firstLine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2020.07.27</w:t>
            </w:r>
          </w:p>
        </w:tc>
        <w:tc>
          <w:tcPr>
            <w:tcW w:w="699" w:type="pct"/>
            <w:vMerge w:val="restar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1#项目下风向</w:t>
            </w:r>
          </w:p>
        </w:tc>
        <w:tc>
          <w:tcPr>
            <w:tcW w:w="617" w:type="pct"/>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硫化氢</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597"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0.003</w:t>
            </w:r>
          </w:p>
        </w:tc>
        <w:tc>
          <w:tcPr>
            <w:tcW w:w="60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0.003</w:t>
            </w:r>
          </w:p>
        </w:tc>
        <w:tc>
          <w:tcPr>
            <w:tcW w:w="59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1" w:type="pct"/>
            <w:vMerge w:val="continue"/>
            <w:tcBorders>
              <w:top w:val="single" w:color="auto" w:sz="4" w:space="0"/>
              <w:bottom w:val="single" w:color="auto" w:sz="12"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99" w:type="pct"/>
            <w:vMerge w:val="continue"/>
            <w:tcBorders>
              <w:top w:val="single" w:color="auto" w:sz="4" w:space="0"/>
              <w:bottom w:val="single" w:color="auto" w:sz="12"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p>
        </w:tc>
        <w:tc>
          <w:tcPr>
            <w:tcW w:w="617" w:type="pct"/>
            <w:tcBorders>
              <w:top w:val="single" w:color="auto" w:sz="4" w:space="0"/>
              <w:bottom w:val="single" w:color="auto" w:sz="12" w:space="0"/>
            </w:tcBorders>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氨</w:t>
            </w:r>
          </w:p>
        </w:tc>
        <w:tc>
          <w:tcPr>
            <w:tcW w:w="597" w:type="pct"/>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0.18</w:t>
            </w:r>
          </w:p>
        </w:tc>
        <w:tc>
          <w:tcPr>
            <w:tcW w:w="597" w:type="pct"/>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0.14</w:t>
            </w:r>
          </w:p>
        </w:tc>
        <w:tc>
          <w:tcPr>
            <w:tcW w:w="597" w:type="pct"/>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0.10</w:t>
            </w:r>
          </w:p>
        </w:tc>
        <w:tc>
          <w:tcPr>
            <w:tcW w:w="604" w:type="pct"/>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0.13</w:t>
            </w:r>
          </w:p>
        </w:tc>
        <w:tc>
          <w:tcPr>
            <w:tcW w:w="596" w:type="pct"/>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sz w:val="21"/>
                <w:szCs w:val="21"/>
                <w:lang w:val="en-US" w:eastAsia="zh-CN"/>
              </w:rPr>
              <w:t>mg/m³</w:t>
            </w:r>
          </w:p>
        </w:tc>
      </w:tr>
    </w:tbl>
    <w:p>
      <w:pPr>
        <w:pStyle w:val="8"/>
        <w:numPr>
          <w:ilvl w:val="3"/>
          <w:numId w:val="30"/>
        </w:numPr>
        <w:spacing w:line="374" w:lineRule="auto"/>
        <w:rPr>
          <w:rFonts w:hint="eastAsia" w:ascii="Times New Roman" w:hAnsi="Times New Roman" w:cs="Times New Roman"/>
          <w:b/>
          <w:bCs/>
          <w:color w:val="auto"/>
          <w:lang w:val="en-US" w:eastAsia="zh-CN"/>
        </w:rPr>
      </w:pPr>
      <w:r>
        <w:rPr>
          <w:rFonts w:hint="eastAsia"/>
          <w:b/>
          <w:color w:val="auto"/>
        </w:rPr>
        <w:t>其他污染物环境质量现状</w:t>
      </w:r>
      <w:r>
        <w:rPr>
          <w:rFonts w:hint="eastAsia"/>
          <w:b/>
          <w:color w:val="auto"/>
          <w:lang w:eastAsia="zh-CN"/>
        </w:rPr>
        <w:t>评价</w:t>
      </w:r>
    </w:p>
    <w:p>
      <w:pPr>
        <w:pStyle w:val="110"/>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1、</w:t>
      </w:r>
      <w:r>
        <w:rPr>
          <w:rFonts w:hint="default" w:ascii="Times New Roman" w:hAnsi="Times New Roman" w:eastAsia="宋体" w:cs="Times New Roman"/>
          <w:b/>
          <w:bCs/>
          <w:color w:val="auto"/>
        </w:rPr>
        <w:t>评价方法</w:t>
      </w:r>
    </w:p>
    <w:p>
      <w:pPr>
        <w:pStyle w:val="110"/>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环境空气质量现状评价采用单因子污染指数法，其评价公式为：</w:t>
      </w:r>
    </w:p>
    <w:p>
      <w:pPr>
        <w:pStyle w:val="110"/>
        <w:rPr>
          <w:rFonts w:hint="default" w:ascii="Times New Roman" w:hAnsi="Times New Roman" w:eastAsia="宋体" w:cs="Times New Roman"/>
          <w:color w:val="auto"/>
        </w:rPr>
      </w:pPr>
    </w:p>
    <w:p>
      <w:pPr>
        <w:pStyle w:val="110"/>
        <w:jc w:val="center"/>
        <w:rPr>
          <w:rFonts w:hint="default" w:ascii="Times New Roman" w:hAnsi="Times New Roman" w:eastAsia="宋体" w:cs="Times New Roman"/>
          <w:color w:val="auto"/>
        </w:rPr>
      </w:pPr>
      <w:r>
        <w:rPr>
          <w:rFonts w:hint="eastAsia"/>
          <w:color w:val="auto"/>
        </w:rPr>
        <w:t>I</w:t>
      </w:r>
      <w:r>
        <w:rPr>
          <w:rFonts w:hint="eastAsia"/>
          <w:color w:val="auto"/>
          <w:vertAlign w:val="subscript"/>
        </w:rPr>
        <w:t>i</w:t>
      </w:r>
      <w:r>
        <w:rPr>
          <w:rFonts w:hint="eastAsia"/>
          <w:color w:val="auto"/>
        </w:rPr>
        <w:t>=Ci/C0×100%</w:t>
      </w:r>
    </w:p>
    <w:p>
      <w:pPr>
        <w:pStyle w:val="110"/>
        <w:rPr>
          <w:rFonts w:hint="default" w:ascii="Times New Roman" w:hAnsi="Times New Roman" w:eastAsia="宋体" w:cs="Times New Roman"/>
          <w:color w:val="auto"/>
        </w:rPr>
      </w:pPr>
      <w:r>
        <w:rPr>
          <w:rFonts w:hint="default" w:ascii="Times New Roman" w:hAnsi="Times New Roman" w:eastAsia="宋体" w:cs="Times New Roman"/>
          <w:color w:val="auto"/>
        </w:rPr>
        <w:t>式中：C0——污染因子 i 的环境质量标准（mg/m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pPr>
        <w:pStyle w:val="110"/>
        <w:rPr>
          <w:rFonts w:hint="default" w:ascii="Times New Roman" w:hAnsi="Times New Roman" w:eastAsia="宋体" w:cs="Times New Roman"/>
          <w:color w:val="auto"/>
        </w:rPr>
      </w:pPr>
      <w:r>
        <w:rPr>
          <w:rFonts w:hint="default" w:ascii="Times New Roman" w:hAnsi="Times New Roman" w:eastAsia="宋体" w:cs="Times New Roman"/>
          <w:color w:val="auto"/>
        </w:rPr>
        <w:t>Ci——污染因子i的实测浓度（mg/m3）；</w:t>
      </w:r>
    </w:p>
    <w:p>
      <w:pPr>
        <w:pStyle w:val="110"/>
        <w:rPr>
          <w:rFonts w:hint="default" w:ascii="Times New Roman" w:hAnsi="Times New Roman" w:eastAsia="宋体" w:cs="Times New Roman"/>
          <w:color w:val="auto"/>
        </w:rPr>
      </w:pPr>
      <w:r>
        <w:rPr>
          <w:rFonts w:hint="default" w:ascii="Times New Roman" w:hAnsi="Times New Roman" w:eastAsia="宋体" w:cs="Times New Roman"/>
          <w:color w:val="auto"/>
        </w:rPr>
        <w:t>I</w:t>
      </w:r>
      <w:r>
        <w:rPr>
          <w:rFonts w:hint="default" w:ascii="Times New Roman" w:hAnsi="Times New Roman" w:eastAsia="宋体" w:cs="Times New Roman"/>
          <w:color w:val="auto"/>
          <w:vertAlign w:val="subscript"/>
        </w:rPr>
        <w:t>i</w:t>
      </w:r>
      <w:r>
        <w:rPr>
          <w:rFonts w:hint="default" w:ascii="Times New Roman" w:hAnsi="Times New Roman" w:eastAsia="宋体" w:cs="Times New Roman"/>
          <w:color w:val="auto"/>
        </w:rPr>
        <w:t>——污染因子i的占标率，“0～1”满足标准，&gt;1为超标。当Pi≥1.0时，表明大气环境已经受到该项评价因子所表征的污染物的污染，Pi值越大，受污染程度越重。</w:t>
      </w:r>
    </w:p>
    <w:p>
      <w:pPr>
        <w:pStyle w:val="110"/>
        <w:numPr>
          <w:ilvl w:val="0"/>
          <w:numId w:val="0"/>
        </w:numPr>
        <w:ind w:leftChars="200"/>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2、</w:t>
      </w:r>
      <w:r>
        <w:rPr>
          <w:rFonts w:hint="default" w:ascii="Times New Roman" w:hAnsi="Times New Roman" w:eastAsia="宋体" w:cs="Times New Roman"/>
          <w:b/>
          <w:bCs/>
          <w:color w:val="auto"/>
        </w:rPr>
        <w:t>评价标准</w:t>
      </w:r>
    </w:p>
    <w:p>
      <w:pPr>
        <w:pStyle w:val="110"/>
        <w:rPr>
          <w:color w:val="auto"/>
        </w:rPr>
      </w:pPr>
      <w:r>
        <w:rPr>
          <w:rFonts w:hint="default" w:ascii="Times New Roman" w:hAnsi="Times New Roman" w:eastAsia="宋体" w:cs="Times New Roman"/>
          <w:color w:val="auto"/>
        </w:rPr>
        <w:t>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执行《环境影响评价技术导则-大气环境》（HJ2.2-2018）附录 D其它污染物空气质量浓度参考限值。</w:t>
      </w:r>
    </w:p>
    <w:p>
      <w:pPr>
        <w:spacing w:line="440" w:lineRule="exact"/>
        <w:ind w:firstLine="482" w:firstLineChars="200"/>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3、评价结果</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采用上述单因子污染指数法，本项目大气环境评价结果见表4.2-4。</w:t>
      </w:r>
    </w:p>
    <w:p>
      <w:pPr>
        <w:pStyle w:val="2503"/>
        <w:numPr>
          <w:ilvl w:val="0"/>
          <w:numId w:val="31"/>
        </w:numPr>
        <w:spacing w:before="120"/>
        <w:ind w:left="425" w:leftChars="0" w:hanging="425"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其他污染物环境质量现状评价结果</w:t>
      </w:r>
    </w:p>
    <w:tbl>
      <w:tblPr>
        <w:tblStyle w:val="88"/>
        <w:tblW w:w="4996" w:type="pct"/>
        <w:tblInd w:w="0" w:type="dxa"/>
        <w:tblLayout w:type="autofit"/>
        <w:tblCellMar>
          <w:top w:w="0" w:type="dxa"/>
          <w:left w:w="0" w:type="dxa"/>
          <w:bottom w:w="0" w:type="dxa"/>
          <w:right w:w="0" w:type="dxa"/>
        </w:tblCellMar>
      </w:tblPr>
      <w:tblGrid>
        <w:gridCol w:w="404"/>
        <w:gridCol w:w="1119"/>
        <w:gridCol w:w="1119"/>
        <w:gridCol w:w="575"/>
        <w:gridCol w:w="466"/>
        <w:gridCol w:w="914"/>
        <w:gridCol w:w="1162"/>
        <w:gridCol w:w="1016"/>
        <w:gridCol w:w="835"/>
        <w:gridCol w:w="689"/>
      </w:tblGrid>
      <w:tr>
        <w:tblPrEx>
          <w:tblCellMar>
            <w:top w:w="0" w:type="dxa"/>
            <w:left w:w="0" w:type="dxa"/>
            <w:bottom w:w="0" w:type="dxa"/>
            <w:right w:w="0" w:type="dxa"/>
          </w:tblCellMar>
        </w:tblPrEx>
        <w:tc>
          <w:tcPr>
            <w:tcW w:w="244" w:type="pct"/>
            <w:vMerge w:val="restart"/>
            <w:tcBorders>
              <w:top w:val="single" w:color="auto" w:sz="12"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default"/>
                <w:b/>
                <w:color w:val="auto"/>
                <w:sz w:val="21"/>
                <w:szCs w:val="21"/>
              </w:rPr>
              <w:t>监测 点位</w:t>
            </w:r>
          </w:p>
        </w:tc>
        <w:tc>
          <w:tcPr>
            <w:tcW w:w="1348" w:type="pct"/>
            <w:gridSpan w:val="2"/>
            <w:tcBorders>
              <w:top w:val="single" w:color="auto" w:sz="12"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default"/>
                <w:b/>
                <w:color w:val="auto"/>
                <w:sz w:val="21"/>
                <w:szCs w:val="21"/>
              </w:rPr>
              <w:t>监测点坐标/m</w:t>
            </w:r>
          </w:p>
        </w:tc>
        <w:tc>
          <w:tcPr>
            <w:tcW w:w="347" w:type="pct"/>
            <w:vMerge w:val="restart"/>
            <w:tcBorders>
              <w:top w:val="single" w:color="auto" w:sz="12"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default"/>
                <w:b/>
                <w:color w:val="auto"/>
                <w:sz w:val="21"/>
                <w:szCs w:val="21"/>
              </w:rPr>
              <w:t>污染物</w:t>
            </w:r>
          </w:p>
        </w:tc>
        <w:tc>
          <w:tcPr>
            <w:tcW w:w="281" w:type="pct"/>
            <w:vMerge w:val="restart"/>
            <w:tcBorders>
              <w:top w:val="single" w:color="auto" w:sz="12"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default"/>
                <w:b/>
                <w:color w:val="auto"/>
                <w:sz w:val="21"/>
                <w:szCs w:val="21"/>
              </w:rPr>
              <w:t>平均 时间</w:t>
            </w:r>
          </w:p>
        </w:tc>
        <w:tc>
          <w:tcPr>
            <w:tcW w:w="550" w:type="pct"/>
            <w:vMerge w:val="restart"/>
            <w:tcBorders>
              <w:top w:val="single" w:color="auto" w:sz="12"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default"/>
                <w:b/>
                <w:color w:val="auto"/>
                <w:sz w:val="21"/>
                <w:szCs w:val="21"/>
              </w:rPr>
              <w:t>评价标准/（</w:t>
            </w:r>
            <w:r>
              <w:rPr>
                <w:rFonts w:hint="eastAsia"/>
                <w:b/>
                <w:color w:val="auto"/>
                <w:sz w:val="21"/>
                <w:szCs w:val="21"/>
                <w:lang w:val="en-US" w:eastAsia="zh-CN"/>
              </w:rPr>
              <w:t>m</w:t>
            </w:r>
            <w:r>
              <w:rPr>
                <w:rFonts w:hint="default"/>
                <w:b/>
                <w:color w:val="auto"/>
                <w:sz w:val="21"/>
                <w:szCs w:val="21"/>
              </w:rPr>
              <w:t>g/m</w:t>
            </w:r>
            <w:r>
              <w:rPr>
                <w:rFonts w:hint="default"/>
                <w:b/>
                <w:color w:val="auto"/>
                <w:sz w:val="21"/>
                <w:szCs w:val="21"/>
                <w:vertAlign w:val="superscript"/>
              </w:rPr>
              <w:t>3</w:t>
            </w:r>
            <w:r>
              <w:rPr>
                <w:rFonts w:hint="default"/>
                <w:b/>
                <w:color w:val="auto"/>
                <w:sz w:val="21"/>
                <w:szCs w:val="21"/>
              </w:rPr>
              <w:t>）</w:t>
            </w:r>
          </w:p>
        </w:tc>
        <w:tc>
          <w:tcPr>
            <w:tcW w:w="700" w:type="pct"/>
            <w:vMerge w:val="restart"/>
            <w:tcBorders>
              <w:top w:val="single" w:color="auto" w:sz="12"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default"/>
                <w:b/>
                <w:color w:val="auto"/>
                <w:sz w:val="21"/>
                <w:szCs w:val="21"/>
              </w:rPr>
              <w:t>监测浓度范围/（</w:t>
            </w:r>
            <w:r>
              <w:rPr>
                <w:rFonts w:hint="eastAsia"/>
                <w:b/>
                <w:color w:val="auto"/>
                <w:sz w:val="21"/>
                <w:szCs w:val="21"/>
                <w:lang w:val="en-US" w:eastAsia="zh-CN"/>
              </w:rPr>
              <w:t>m</w:t>
            </w:r>
            <w:r>
              <w:rPr>
                <w:rFonts w:hint="default"/>
                <w:b/>
                <w:color w:val="auto"/>
                <w:sz w:val="21"/>
                <w:szCs w:val="21"/>
              </w:rPr>
              <w:t>g/m</w:t>
            </w:r>
            <w:r>
              <w:rPr>
                <w:rFonts w:hint="default"/>
                <w:b/>
                <w:color w:val="auto"/>
                <w:sz w:val="21"/>
                <w:szCs w:val="21"/>
                <w:vertAlign w:val="superscript"/>
              </w:rPr>
              <w:t>3</w:t>
            </w:r>
            <w:r>
              <w:rPr>
                <w:rFonts w:hint="default"/>
                <w:b/>
                <w:color w:val="auto"/>
                <w:sz w:val="21"/>
                <w:szCs w:val="21"/>
              </w:rPr>
              <w:t>）</w:t>
            </w:r>
          </w:p>
        </w:tc>
        <w:tc>
          <w:tcPr>
            <w:tcW w:w="612" w:type="pct"/>
            <w:vMerge w:val="restart"/>
            <w:tcBorders>
              <w:top w:val="single" w:color="auto" w:sz="12"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default"/>
                <w:b/>
                <w:color w:val="auto"/>
                <w:sz w:val="21"/>
                <w:szCs w:val="21"/>
              </w:rPr>
              <w:t>最大浓度占 标率/%</w:t>
            </w:r>
          </w:p>
        </w:tc>
        <w:tc>
          <w:tcPr>
            <w:tcW w:w="503" w:type="pct"/>
            <w:vMerge w:val="restart"/>
            <w:tcBorders>
              <w:top w:val="single" w:color="auto" w:sz="12"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default"/>
                <w:b/>
                <w:color w:val="auto"/>
                <w:sz w:val="21"/>
                <w:szCs w:val="21"/>
              </w:rPr>
              <w:t>超标率/%</w:t>
            </w:r>
          </w:p>
        </w:tc>
        <w:tc>
          <w:tcPr>
            <w:tcW w:w="409" w:type="pct"/>
            <w:vMerge w:val="restart"/>
            <w:tcBorders>
              <w:top w:val="single" w:color="auto" w:sz="12" w:space="0"/>
              <w:left w:val="single" w:color="000000" w:sz="6" w:space="0"/>
              <w:bottom w:val="single" w:color="000000" w:sz="4" w:space="0"/>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default"/>
                <w:b/>
                <w:color w:val="auto"/>
                <w:sz w:val="21"/>
                <w:szCs w:val="21"/>
              </w:rPr>
              <w:t>达标情况</w:t>
            </w:r>
          </w:p>
        </w:tc>
      </w:tr>
      <w:tr>
        <w:tblPrEx>
          <w:tblCellMar>
            <w:top w:w="0" w:type="dxa"/>
            <w:left w:w="0" w:type="dxa"/>
            <w:bottom w:w="0" w:type="dxa"/>
            <w:right w:w="0" w:type="dxa"/>
          </w:tblCellMar>
        </w:tblPrEx>
        <w:tc>
          <w:tcPr>
            <w:tcW w:w="244" w:type="pct"/>
            <w:vMerge w:val="continue"/>
            <w:tcBorders>
              <w:top w:val="single" w:color="000000" w:sz="4"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674"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i/>
                <w:color w:val="auto"/>
                <w:sz w:val="21"/>
                <w:szCs w:val="21"/>
              </w:rPr>
            </w:pPr>
            <w:r>
              <w:rPr>
                <w:rFonts w:hint="default"/>
                <w:b/>
                <w:i/>
                <w:color w:val="auto"/>
                <w:sz w:val="21"/>
                <w:szCs w:val="21"/>
              </w:rPr>
              <w:t>X</w:t>
            </w:r>
          </w:p>
        </w:tc>
        <w:tc>
          <w:tcPr>
            <w:tcW w:w="674"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i/>
                <w:color w:val="auto"/>
                <w:sz w:val="21"/>
                <w:szCs w:val="21"/>
              </w:rPr>
            </w:pPr>
            <w:r>
              <w:rPr>
                <w:rFonts w:hint="default"/>
                <w:b/>
                <w:i/>
                <w:color w:val="auto"/>
                <w:sz w:val="21"/>
                <w:szCs w:val="21"/>
              </w:rPr>
              <w:t>Y</w:t>
            </w:r>
          </w:p>
        </w:tc>
        <w:tc>
          <w:tcPr>
            <w:tcW w:w="347"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281"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550"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700"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612"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503"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409" w:type="pct"/>
            <w:vMerge w:val="continue"/>
            <w:tcBorders>
              <w:top w:val="single" w:color="000000" w:sz="4" w:space="0"/>
              <w:left w:val="single" w:color="000000" w:sz="6" w:space="0"/>
              <w:bottom w:val="single" w:color="000000" w:sz="4" w:space="0"/>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r>
      <w:tr>
        <w:tblPrEx>
          <w:tblCellMar>
            <w:top w:w="0" w:type="dxa"/>
            <w:left w:w="0" w:type="dxa"/>
            <w:bottom w:w="0" w:type="dxa"/>
            <w:right w:w="0" w:type="dxa"/>
          </w:tblCellMar>
        </w:tblPrEx>
        <w:tc>
          <w:tcPr>
            <w:tcW w:w="244" w:type="pct"/>
            <w:vMerge w:val="restart"/>
            <w:tcBorders>
              <w:top w:val="single" w:color="000000" w:sz="4"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default"/>
                <w:b w:val="0"/>
                <w:bCs/>
                <w:color w:val="auto"/>
                <w:sz w:val="21"/>
                <w:szCs w:val="21"/>
              </w:rPr>
              <w:t>1#</w:t>
            </w:r>
          </w:p>
        </w:tc>
        <w:tc>
          <w:tcPr>
            <w:tcW w:w="674" w:type="pct"/>
            <w:vMerge w:val="restart"/>
            <w:tcBorders>
              <w:top w:val="single" w:color="000000" w:sz="4" w:space="0"/>
              <w:left w:val="single" w:color="000000" w:sz="6" w:space="0"/>
              <w:bottom w:val="single" w:color="000000" w:sz="4" w:space="0"/>
              <w:right w:val="single" w:color="000000" w:sz="6" w:space="0"/>
            </w:tcBorders>
            <w:noWrap w:val="0"/>
            <w:vAlign w:val="center"/>
          </w:tcPr>
          <w:p>
            <w:pPr>
              <w:pStyle w:val="168"/>
              <w:keepNext w:val="0"/>
              <w:keepLines w:val="0"/>
              <w:suppressLineNumbers w:val="0"/>
              <w:spacing w:before="0" w:beforeAutospacing="0" w:after="0" w:afterAutospacing="0"/>
              <w:ind w:left="0" w:right="0"/>
              <w:rPr>
                <w:rFonts w:hint="default"/>
                <w:b w:val="0"/>
                <w:bCs/>
                <w:color w:val="auto"/>
                <w:sz w:val="21"/>
                <w:szCs w:val="21"/>
              </w:rPr>
            </w:pPr>
            <w:r>
              <w:rPr>
                <w:rFonts w:hint="eastAsia"/>
                <w:color w:val="auto"/>
                <w:sz w:val="21"/>
                <w:szCs w:val="21"/>
              </w:rPr>
              <w:t>107.5932180</w:t>
            </w:r>
          </w:p>
        </w:tc>
        <w:tc>
          <w:tcPr>
            <w:tcW w:w="674" w:type="pct"/>
            <w:vMerge w:val="restart"/>
            <w:tcBorders>
              <w:top w:val="single" w:color="000000" w:sz="4" w:space="0"/>
              <w:left w:val="single" w:color="000000" w:sz="6" w:space="0"/>
              <w:bottom w:val="single" w:color="000000" w:sz="4" w:space="0"/>
              <w:right w:val="single" w:color="000000" w:sz="6" w:space="0"/>
            </w:tcBorders>
            <w:noWrap w:val="0"/>
            <w:vAlign w:val="center"/>
          </w:tcPr>
          <w:p>
            <w:pPr>
              <w:pStyle w:val="168"/>
              <w:keepNext w:val="0"/>
              <w:keepLines w:val="0"/>
              <w:suppressLineNumbers w:val="0"/>
              <w:spacing w:before="0" w:beforeAutospacing="0" w:after="0" w:afterAutospacing="0"/>
              <w:ind w:left="0" w:right="0"/>
              <w:rPr>
                <w:rFonts w:hint="default"/>
                <w:b w:val="0"/>
                <w:bCs/>
                <w:color w:val="auto"/>
                <w:sz w:val="21"/>
                <w:szCs w:val="21"/>
              </w:rPr>
            </w:pPr>
            <w:r>
              <w:rPr>
                <w:rFonts w:hint="eastAsia"/>
                <w:color w:val="auto"/>
                <w:sz w:val="21"/>
                <w:szCs w:val="21"/>
              </w:rPr>
              <w:t>32.01067613</w:t>
            </w:r>
          </w:p>
        </w:tc>
        <w:tc>
          <w:tcPr>
            <w:tcW w:w="347"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NH</w:t>
            </w:r>
            <w:r>
              <w:rPr>
                <w:rFonts w:hint="default" w:ascii="Times New Roman" w:hAnsi="Times New Roman" w:cs="Times New Roman"/>
                <w:b w:val="0"/>
                <w:bCs/>
                <w:color w:val="auto"/>
                <w:sz w:val="21"/>
                <w:szCs w:val="21"/>
                <w:vertAlign w:val="subscript"/>
              </w:rPr>
              <w:t>3</w:t>
            </w:r>
          </w:p>
        </w:tc>
        <w:tc>
          <w:tcPr>
            <w:tcW w:w="281"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7d</w:t>
            </w:r>
          </w:p>
        </w:tc>
        <w:tc>
          <w:tcPr>
            <w:tcW w:w="550"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eastAsia="宋体"/>
                <w:b w:val="0"/>
                <w:bCs/>
                <w:color w:val="auto"/>
                <w:sz w:val="21"/>
                <w:szCs w:val="21"/>
                <w:lang w:val="en-US" w:eastAsia="zh-CN"/>
              </w:rPr>
            </w:pPr>
            <w:r>
              <w:rPr>
                <w:rFonts w:hint="eastAsia"/>
                <w:b w:val="0"/>
                <w:bCs/>
                <w:color w:val="auto"/>
                <w:sz w:val="21"/>
                <w:szCs w:val="21"/>
                <w:lang w:val="en-US" w:eastAsia="zh-CN"/>
              </w:rPr>
              <w:t>0.2</w:t>
            </w:r>
          </w:p>
        </w:tc>
        <w:tc>
          <w:tcPr>
            <w:tcW w:w="700"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0.06</w:t>
            </w:r>
            <w:r>
              <w:rPr>
                <w:rFonts w:hint="default" w:ascii="Times New Roman" w:hAnsi="Times New Roman" w:cs="Times New Roman"/>
                <w:b w:val="0"/>
                <w:bCs/>
                <w:color w:val="auto"/>
                <w:sz w:val="21"/>
                <w:szCs w:val="21"/>
              </w:rPr>
              <w:t>~</w:t>
            </w:r>
            <w:r>
              <w:rPr>
                <w:rFonts w:hint="eastAsia" w:ascii="Times New Roman" w:hAnsi="Times New Roman" w:cs="Times New Roman"/>
                <w:b w:val="0"/>
                <w:bCs/>
                <w:color w:val="auto"/>
                <w:sz w:val="21"/>
                <w:szCs w:val="21"/>
                <w:lang w:val="en-US" w:eastAsia="zh-CN"/>
              </w:rPr>
              <w:t>0.19</w:t>
            </w:r>
          </w:p>
        </w:tc>
        <w:tc>
          <w:tcPr>
            <w:tcW w:w="612"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95</w:t>
            </w:r>
          </w:p>
        </w:tc>
        <w:tc>
          <w:tcPr>
            <w:tcW w:w="503"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w:t>
            </w:r>
          </w:p>
        </w:tc>
        <w:tc>
          <w:tcPr>
            <w:tcW w:w="409" w:type="pct"/>
            <w:tcBorders>
              <w:top w:val="single" w:color="000000" w:sz="4" w:space="0"/>
              <w:left w:val="single" w:color="000000" w:sz="6" w:space="0"/>
              <w:bottom w:val="single" w:color="000000" w:sz="4" w:space="0"/>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default"/>
                <w:b w:val="0"/>
                <w:bCs/>
                <w:color w:val="auto"/>
                <w:sz w:val="21"/>
                <w:szCs w:val="21"/>
              </w:rPr>
              <w:t>达标</w:t>
            </w:r>
          </w:p>
        </w:tc>
      </w:tr>
      <w:tr>
        <w:tblPrEx>
          <w:tblCellMar>
            <w:top w:w="0" w:type="dxa"/>
            <w:left w:w="0" w:type="dxa"/>
            <w:bottom w:w="0" w:type="dxa"/>
            <w:right w:w="0" w:type="dxa"/>
          </w:tblCellMar>
        </w:tblPrEx>
        <w:tc>
          <w:tcPr>
            <w:tcW w:w="244" w:type="pct"/>
            <w:vMerge w:val="continue"/>
            <w:tcBorders>
              <w:top w:val="single" w:color="000000" w:sz="4"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674"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674"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347"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H</w:t>
            </w:r>
            <w:r>
              <w:rPr>
                <w:rFonts w:hint="default" w:ascii="Times New Roman" w:hAnsi="Times New Roman" w:cs="Times New Roman"/>
                <w:b w:val="0"/>
                <w:bCs/>
                <w:color w:val="auto"/>
                <w:sz w:val="21"/>
                <w:szCs w:val="21"/>
                <w:vertAlign w:val="subscript"/>
              </w:rPr>
              <w:t>2</w:t>
            </w:r>
            <w:r>
              <w:rPr>
                <w:rFonts w:hint="default" w:ascii="Times New Roman" w:hAnsi="Times New Roman" w:cs="Times New Roman"/>
                <w:b w:val="0"/>
                <w:bCs/>
                <w:color w:val="auto"/>
                <w:sz w:val="21"/>
                <w:szCs w:val="21"/>
              </w:rPr>
              <w:t>S</w:t>
            </w:r>
          </w:p>
        </w:tc>
        <w:tc>
          <w:tcPr>
            <w:tcW w:w="281"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7d</w:t>
            </w:r>
          </w:p>
        </w:tc>
        <w:tc>
          <w:tcPr>
            <w:tcW w:w="550"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eastAsia="宋体"/>
                <w:b w:val="0"/>
                <w:bCs/>
                <w:color w:val="auto"/>
                <w:sz w:val="21"/>
                <w:szCs w:val="21"/>
                <w:lang w:val="en-US" w:eastAsia="zh-CN"/>
              </w:rPr>
            </w:pPr>
            <w:r>
              <w:rPr>
                <w:rFonts w:hint="eastAsia"/>
                <w:b w:val="0"/>
                <w:bCs/>
                <w:color w:val="auto"/>
                <w:sz w:val="21"/>
                <w:szCs w:val="21"/>
                <w:lang w:val="en-US" w:eastAsia="zh-CN"/>
              </w:rPr>
              <w:t>0.01</w:t>
            </w:r>
          </w:p>
        </w:tc>
        <w:tc>
          <w:tcPr>
            <w:tcW w:w="700"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0.002</w:t>
            </w:r>
            <w:r>
              <w:rPr>
                <w:rFonts w:hint="default" w:ascii="Times New Roman" w:hAnsi="Times New Roman" w:cs="Times New Roman"/>
                <w:b w:val="0"/>
                <w:bCs/>
                <w:color w:val="auto"/>
                <w:sz w:val="21"/>
                <w:szCs w:val="21"/>
              </w:rPr>
              <w:t>~</w:t>
            </w:r>
            <w:r>
              <w:rPr>
                <w:rFonts w:hint="eastAsia" w:ascii="Times New Roman" w:hAnsi="Times New Roman" w:cs="Times New Roman"/>
                <w:b w:val="0"/>
                <w:bCs/>
                <w:color w:val="auto"/>
                <w:sz w:val="21"/>
                <w:szCs w:val="21"/>
                <w:lang w:val="en-US" w:eastAsia="zh-CN"/>
              </w:rPr>
              <w:t>0.00</w:t>
            </w:r>
            <w:r>
              <w:rPr>
                <w:rFonts w:hint="default" w:ascii="Times New Roman" w:hAnsi="Times New Roman" w:cs="Times New Roman"/>
                <w:b w:val="0"/>
                <w:bCs/>
                <w:color w:val="auto"/>
                <w:sz w:val="21"/>
                <w:szCs w:val="21"/>
              </w:rPr>
              <w:t>3</w:t>
            </w:r>
          </w:p>
        </w:tc>
        <w:tc>
          <w:tcPr>
            <w:tcW w:w="612"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30</w:t>
            </w:r>
          </w:p>
        </w:tc>
        <w:tc>
          <w:tcPr>
            <w:tcW w:w="503" w:type="pct"/>
            <w:tcBorders>
              <w:top w:val="single" w:color="000000" w:sz="4" w:space="0"/>
              <w:left w:val="single" w:color="000000" w:sz="6" w:space="0"/>
              <w:bottom w:val="single" w:color="000000" w:sz="4" w:space="0"/>
              <w:right w:val="single" w:color="000000" w:sz="6" w:space="0"/>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w:t>
            </w:r>
          </w:p>
        </w:tc>
        <w:tc>
          <w:tcPr>
            <w:tcW w:w="409" w:type="pct"/>
            <w:tcBorders>
              <w:top w:val="single" w:color="000000" w:sz="4" w:space="0"/>
              <w:left w:val="single" w:color="000000" w:sz="6" w:space="0"/>
              <w:bottom w:val="single" w:color="000000" w:sz="4" w:space="0"/>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default"/>
                <w:b w:val="0"/>
                <w:bCs/>
                <w:color w:val="auto"/>
                <w:sz w:val="21"/>
                <w:szCs w:val="21"/>
              </w:rPr>
              <w:t>达标</w:t>
            </w:r>
          </w:p>
        </w:tc>
      </w:tr>
      <w:tr>
        <w:tblPrEx>
          <w:tblCellMar>
            <w:top w:w="0" w:type="dxa"/>
            <w:left w:w="0" w:type="dxa"/>
            <w:bottom w:w="0" w:type="dxa"/>
            <w:right w:w="0" w:type="dxa"/>
          </w:tblCellMar>
        </w:tblPrEx>
        <w:tc>
          <w:tcPr>
            <w:tcW w:w="5000" w:type="pct"/>
            <w:gridSpan w:val="10"/>
            <w:tcBorders>
              <w:top w:val="single" w:color="000000" w:sz="4" w:space="0"/>
              <w:bottom w:val="single" w:color="auto" w:sz="12" w:space="0"/>
            </w:tcBorders>
            <w:noWrap w:val="0"/>
            <w:vAlign w:val="center"/>
          </w:tcPr>
          <w:p>
            <w:pPr>
              <w:pStyle w:val="1855"/>
              <w:keepNext w:val="0"/>
              <w:keepLines w:val="0"/>
              <w:suppressLineNumbers w:val="0"/>
              <w:spacing w:beforeAutospacing="0" w:afterAutospacing="0" w:line="240" w:lineRule="auto"/>
              <w:ind w:left="0" w:right="0"/>
              <w:jc w:val="left"/>
              <w:rPr>
                <w:rFonts w:hint="default"/>
                <w:b w:val="0"/>
                <w:bCs/>
                <w:color w:val="auto"/>
                <w:sz w:val="21"/>
                <w:szCs w:val="21"/>
              </w:rPr>
            </w:pPr>
            <w:r>
              <w:rPr>
                <w:rFonts w:hint="default"/>
                <w:b w:val="0"/>
                <w:bCs/>
                <w:color w:val="auto"/>
                <w:sz w:val="21"/>
                <w:szCs w:val="21"/>
              </w:rPr>
              <w:t>注：评价标准参照《环境影响评价技术导则  大气环境》（HJ2.2-2018）附录D中</w:t>
            </w:r>
            <w:r>
              <w:rPr>
                <w:rFonts w:hint="eastAsia"/>
                <w:b w:val="0"/>
                <w:bCs/>
                <w:color w:val="auto"/>
                <w:sz w:val="21"/>
                <w:szCs w:val="21"/>
              </w:rPr>
              <w:t>其他</w:t>
            </w:r>
            <w:r>
              <w:rPr>
                <w:rFonts w:hint="default"/>
                <w:b w:val="0"/>
                <w:bCs/>
                <w:color w:val="auto"/>
                <w:sz w:val="21"/>
                <w:szCs w:val="21"/>
              </w:rPr>
              <w:t>污染物空气质量浓度参考限值。</w:t>
            </w:r>
          </w:p>
        </w:tc>
      </w:tr>
    </w:tbl>
    <w:p>
      <w:pPr>
        <w:spacing w:line="360" w:lineRule="auto"/>
        <w:ind w:firstLine="480" w:firstLineChars="200"/>
        <w:rPr>
          <w:rFonts w:hint="default"/>
          <w:color w:val="auto"/>
          <w:lang w:val="en-US" w:eastAsia="zh-CN"/>
        </w:rPr>
      </w:pPr>
      <w:r>
        <w:rPr>
          <w:rFonts w:hint="eastAsia" w:ascii="Times New Roman" w:hAnsi="Times New Roman" w:eastAsia="宋体" w:cs="Times New Roman"/>
          <w:color w:val="auto"/>
          <w:sz w:val="24"/>
          <w:szCs w:val="24"/>
          <w:lang w:val="en-US" w:eastAsia="zh-CN"/>
        </w:rPr>
        <w:t>监测结果表明：评价区域内环境空气中的</w:t>
      </w:r>
      <w:r>
        <w:rPr>
          <w:rFonts w:hint="default" w:ascii="Times New Roman" w:hAnsi="Times New Roman" w:eastAsia="宋体" w:cs="Times New Roman"/>
          <w:color w:val="auto"/>
          <w:sz w:val="24"/>
          <w:szCs w:val="24"/>
          <w:lang w:val="en-US" w:eastAsia="zh-CN"/>
        </w:rPr>
        <w:t>NH3、</w:t>
      </w:r>
      <w:r>
        <w:rPr>
          <w:rFonts w:hint="eastAsia"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lang w:val="en-US" w:eastAsia="zh-CN"/>
        </w:rPr>
        <w:t>2S</w:t>
      </w:r>
      <w:r>
        <w:rPr>
          <w:rFonts w:hint="eastAsia" w:ascii="Times New Roman" w:hAnsi="Times New Roman" w:eastAsia="宋体" w:cs="Times New Roman"/>
          <w:color w:val="auto"/>
          <w:sz w:val="24"/>
          <w:szCs w:val="24"/>
          <w:lang w:val="en-US" w:eastAsia="zh-CN"/>
        </w:rPr>
        <w:t>的浓度值均满足《环境影响评价技术导则</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大气环境》（HJ2.2-2018）附录</w:t>
      </w:r>
      <w:r>
        <w:rPr>
          <w:rFonts w:hint="default" w:ascii="Times New Roman" w:hAnsi="Times New Roman" w:eastAsia="宋体" w:cs="Times New Roman"/>
          <w:color w:val="auto"/>
          <w:sz w:val="24"/>
          <w:szCs w:val="24"/>
          <w:lang w:val="en-US" w:eastAsia="zh-CN"/>
        </w:rPr>
        <w:t>D中</w:t>
      </w:r>
      <w:r>
        <w:rPr>
          <w:rFonts w:hint="eastAsia" w:ascii="Times New Roman" w:hAnsi="Times New Roman" w:eastAsia="宋体" w:cs="Times New Roman"/>
          <w:color w:val="auto"/>
          <w:sz w:val="24"/>
          <w:szCs w:val="24"/>
          <w:lang w:val="en-US" w:eastAsia="zh-CN"/>
        </w:rPr>
        <w:t>其他</w:t>
      </w:r>
      <w:r>
        <w:rPr>
          <w:rFonts w:hint="default" w:ascii="Times New Roman" w:hAnsi="Times New Roman" w:eastAsia="宋体" w:cs="Times New Roman"/>
          <w:color w:val="auto"/>
          <w:sz w:val="24"/>
          <w:szCs w:val="24"/>
          <w:lang w:val="en-US" w:eastAsia="zh-CN"/>
        </w:rPr>
        <w:t>污染物空气质量浓度参考限值</w:t>
      </w:r>
      <w:r>
        <w:rPr>
          <w:rFonts w:hint="eastAsia" w:ascii="Times New Roman" w:hAnsi="Times New Roman" w:eastAsia="宋体" w:cs="Times New Roman"/>
          <w:color w:val="auto"/>
          <w:sz w:val="24"/>
          <w:szCs w:val="24"/>
          <w:lang w:val="en-US" w:eastAsia="zh-CN"/>
        </w:rPr>
        <w:t>要求。</w:t>
      </w:r>
    </w:p>
    <w:p>
      <w:pPr>
        <w:pStyle w:val="7"/>
        <w:spacing w:before="0" w:after="0" w:line="360" w:lineRule="auto"/>
        <w:ind w:left="0" w:firstLine="0"/>
        <w:rPr>
          <w:rFonts w:cs="Times New Roman"/>
          <w:color w:val="auto"/>
          <w:lang w:val="en-US" w:eastAsia="zh-CN"/>
        </w:rPr>
      </w:pPr>
      <w:bookmarkStart w:id="207" w:name="_Toc360778937"/>
      <w:bookmarkStart w:id="208" w:name="_Toc17670"/>
      <w:r>
        <w:rPr>
          <w:rFonts w:cs="Times New Roman"/>
          <w:color w:val="auto"/>
          <w:lang w:val="en-US" w:eastAsia="zh-CN"/>
        </w:rPr>
        <w:t>地表水环境质量现状监测及评价</w:t>
      </w:r>
      <w:bookmarkEnd w:id="207"/>
      <w:bookmarkEnd w:id="208"/>
    </w:p>
    <w:p>
      <w:pPr>
        <w:pStyle w:val="8"/>
        <w:numPr>
          <w:ilvl w:val="3"/>
          <w:numId w:val="30"/>
        </w:numPr>
        <w:spacing w:line="374" w:lineRule="auto"/>
        <w:rPr>
          <w:rFonts w:hint="eastAsia" w:cs="Times New Roman"/>
          <w:color w:val="auto"/>
          <w:lang w:val="en-US" w:eastAsia="zh-CN"/>
        </w:rPr>
      </w:pPr>
      <w:r>
        <w:rPr>
          <w:rFonts w:hint="eastAsia" w:cs="Times New Roman"/>
          <w:color w:val="auto"/>
          <w:lang w:val="en-US" w:eastAsia="zh-CN"/>
        </w:rPr>
        <w:t>地表水环境质量现状监测</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为了解本项目所在区域地表水环境质量现状，本次评价委托</w:t>
      </w:r>
      <w:r>
        <w:rPr>
          <w:rFonts w:hint="eastAsia" w:ascii="Times New Roman" w:hAnsi="Times New Roman" w:eastAsia="宋体" w:cs="Times New Roman"/>
          <w:color w:val="auto"/>
          <w:sz w:val="24"/>
          <w:szCs w:val="24"/>
          <w:lang w:eastAsia="zh-CN"/>
        </w:rPr>
        <w:t>四川洁承环境科技有限公司</w:t>
      </w:r>
      <w:r>
        <w:rPr>
          <w:rFonts w:hint="eastAsia" w:ascii="Times New Roman" w:hAnsi="Times New Roman" w:eastAsia="宋体" w:cs="Times New Roman"/>
          <w:color w:val="auto"/>
          <w:sz w:val="24"/>
          <w:szCs w:val="24"/>
        </w:rPr>
        <w:t>于20</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25</w:t>
      </w:r>
      <w:r>
        <w:rPr>
          <w:rFonts w:hint="eastAsia" w:ascii="Times New Roman" w:hAnsi="Times New Roman" w:eastAsia="宋体" w:cs="Times New Roman"/>
          <w:color w:val="auto"/>
          <w:sz w:val="24"/>
          <w:szCs w:val="24"/>
        </w:rPr>
        <w:t>日~2</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rPr>
        <w:t>日对项目周边地表水进行水质监测。</w:t>
      </w:r>
    </w:p>
    <w:p>
      <w:pPr>
        <w:spacing w:line="440" w:lineRule="exact"/>
        <w:ind w:firstLine="482" w:firstLineChars="200"/>
        <w:rPr>
          <w:rFonts w:ascii="Times New Roman" w:hAnsi="Times New Roman" w:eastAsia="宋体" w:cs="Times New Roman"/>
          <w:b/>
          <w:bCs w:val="0"/>
          <w:color w:val="auto"/>
          <w:sz w:val="24"/>
          <w:szCs w:val="24"/>
        </w:rPr>
      </w:pPr>
      <w:r>
        <w:rPr>
          <w:rFonts w:ascii="Times New Roman" w:hAnsi="Times New Roman" w:eastAsia="宋体" w:cs="Times New Roman"/>
          <w:b/>
          <w:bCs w:val="0"/>
          <w:color w:val="auto"/>
          <w:sz w:val="24"/>
          <w:szCs w:val="24"/>
        </w:rPr>
        <w:t>1、监测断面</w:t>
      </w:r>
    </w:p>
    <w:p>
      <w:pPr>
        <w:spacing w:line="480" w:lineRule="exact"/>
        <w:ind w:firstLine="525"/>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地表水环境现状监测布</w:t>
      </w:r>
      <w:r>
        <w:rPr>
          <w:rFonts w:hint="eastAsia" w:ascii="Times New Roman" w:hAnsi="Times New Roman" w:cs="Times New Roman"/>
          <w:color w:val="auto"/>
          <w:sz w:val="24"/>
          <w:szCs w:val="24"/>
          <w:lang w:eastAsia="zh-CN"/>
        </w:rPr>
        <w:t>设置</w:t>
      </w:r>
      <w:r>
        <w:rPr>
          <w:rFonts w:hint="default" w:ascii="Times New Roman" w:hAnsi="Times New Roman" w:cs="Times New Roman"/>
          <w:color w:val="auto"/>
          <w:kern w:val="0"/>
          <w:sz w:val="24"/>
          <w:szCs w:val="24"/>
          <w:lang w:val="en-US" w:eastAsia="zh-CN"/>
        </w:rPr>
        <w:t>上</w:t>
      </w:r>
      <w:r>
        <w:rPr>
          <w:rFonts w:hint="eastAsia"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val="en-US" w:eastAsia="zh-CN"/>
        </w:rPr>
        <w:t>个监测断面</w:t>
      </w:r>
      <w:r>
        <w:rPr>
          <w:rFonts w:hint="default" w:ascii="Times New Roman" w:hAnsi="Times New Roman" w:cs="Times New Roman"/>
          <w:color w:val="auto"/>
          <w:sz w:val="24"/>
          <w:szCs w:val="24"/>
        </w:rPr>
        <w:t>。监测断面具体位置见表</w:t>
      </w:r>
      <w:r>
        <w:rPr>
          <w:rFonts w:hint="eastAsia" w:ascii="Times New Roman" w:hAnsi="Times New Roman" w:cs="Times New Roman"/>
          <w:color w:val="auto"/>
          <w:sz w:val="24"/>
          <w:szCs w:val="24"/>
          <w:lang w:val="en-US" w:eastAsia="zh-CN"/>
        </w:rPr>
        <w:t>4.2-5</w:t>
      </w:r>
      <w:r>
        <w:rPr>
          <w:rFonts w:hint="default" w:ascii="Times New Roman" w:hAnsi="Times New Roman" w:cs="Times New Roman"/>
          <w:color w:val="auto"/>
          <w:sz w:val="24"/>
          <w:szCs w:val="24"/>
        </w:rPr>
        <w:t>。</w:t>
      </w:r>
    </w:p>
    <w:p>
      <w:pPr>
        <w:pStyle w:val="2503"/>
        <w:numPr>
          <w:ilvl w:val="0"/>
          <w:numId w:val="31"/>
        </w:numPr>
        <w:spacing w:before="120"/>
        <w:ind w:left="425" w:leftChars="0" w:hanging="425"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地表水监测布点表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3353"/>
        <w:gridCol w:w="1232"/>
        <w:gridCol w:w="32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0"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监测断面</w:t>
            </w:r>
          </w:p>
        </w:tc>
        <w:tc>
          <w:tcPr>
            <w:tcW w:w="1967"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断面名称</w:t>
            </w:r>
          </w:p>
        </w:tc>
        <w:tc>
          <w:tcPr>
            <w:tcW w:w="723"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断面特性</w:t>
            </w:r>
          </w:p>
        </w:tc>
        <w:tc>
          <w:tcPr>
            <w:tcW w:w="1878"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color w:val="auto"/>
                <w:sz w:val="21"/>
                <w:szCs w:val="21"/>
              </w:rPr>
              <w:t>检测项目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0"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w:t>
            </w:r>
          </w:p>
        </w:tc>
        <w:tc>
          <w:tcPr>
            <w:tcW w:w="1967"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lang w:eastAsia="zh-CN"/>
              </w:rPr>
              <w:t>本项目所在地小河沟</w:t>
            </w:r>
            <w:r>
              <w:rPr>
                <w:rFonts w:hint="default" w:ascii="Times New Roman" w:hAnsi="Times New Roman" w:eastAsia="宋体" w:cs="Times New Roman"/>
                <w:color w:val="auto"/>
                <w:kern w:val="0"/>
                <w:sz w:val="21"/>
                <w:szCs w:val="21"/>
                <w:lang w:val="en-US" w:eastAsia="zh-CN"/>
              </w:rPr>
              <w:t>上游500m</w:t>
            </w:r>
          </w:p>
        </w:tc>
        <w:tc>
          <w:tcPr>
            <w:tcW w:w="723"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对照断面</w:t>
            </w:r>
          </w:p>
        </w:tc>
        <w:tc>
          <w:tcPr>
            <w:tcW w:w="1878" w:type="pct"/>
            <w:vMerge w:val="restart"/>
            <w:noWrap w:val="0"/>
            <w:vAlign w:val="center"/>
          </w:tcPr>
          <w:p>
            <w:pPr>
              <w:keepNext w:val="0"/>
              <w:keepLines w:val="0"/>
              <w:suppressLineNumbers w:val="0"/>
              <w:spacing w:before="0" w:beforeAutospacing="0" w:after="0" w:afterAutospacing="0" w:line="480" w:lineRule="exact"/>
              <w:ind w:left="0" w:right="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pH、COD</w:t>
            </w:r>
            <w:r>
              <w:rPr>
                <w:rFonts w:hint="default" w:ascii="Times New Roman" w:hAnsi="Times New Roman" w:eastAsia="宋体" w:cs="Times New Roman"/>
                <w:color w:val="auto"/>
                <w:sz w:val="21"/>
                <w:szCs w:val="21"/>
                <w:vertAlign w:val="subscript"/>
              </w:rPr>
              <w:t xml:space="preserve">Cr </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、氨氮、总磷、总氮、粪大肠菌群共7项。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0"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W2</w:t>
            </w:r>
          </w:p>
        </w:tc>
        <w:tc>
          <w:tcPr>
            <w:tcW w:w="1967"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eastAsia="zh-CN"/>
              </w:rPr>
              <w:t>本项目所在地小河沟</w:t>
            </w:r>
            <w:r>
              <w:rPr>
                <w:rFonts w:hint="default" w:ascii="Times New Roman" w:hAnsi="Times New Roman" w:eastAsia="宋体" w:cs="Times New Roman"/>
                <w:color w:val="auto"/>
                <w:kern w:val="0"/>
                <w:sz w:val="21"/>
                <w:szCs w:val="21"/>
                <w:lang w:val="en-US" w:eastAsia="zh-CN"/>
              </w:rPr>
              <w:t>下游1500m</w:t>
            </w:r>
          </w:p>
        </w:tc>
        <w:tc>
          <w:tcPr>
            <w:tcW w:w="723"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控制断面</w:t>
            </w:r>
          </w:p>
        </w:tc>
        <w:tc>
          <w:tcPr>
            <w:tcW w:w="1878" w:type="pct"/>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0"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w:t>
            </w:r>
            <w:r>
              <w:rPr>
                <w:rFonts w:hint="default" w:ascii="Times New Roman" w:hAnsi="Times New Roman" w:eastAsia="宋体" w:cs="Times New Roman"/>
                <w:color w:val="auto"/>
                <w:sz w:val="21"/>
                <w:szCs w:val="21"/>
                <w:lang w:val="en-US" w:eastAsia="zh-CN"/>
              </w:rPr>
              <w:t>3</w:t>
            </w:r>
          </w:p>
        </w:tc>
        <w:tc>
          <w:tcPr>
            <w:tcW w:w="1967"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本项目所在地小河沟</w:t>
            </w:r>
            <w:r>
              <w:rPr>
                <w:rFonts w:hint="default" w:ascii="Times New Roman" w:hAnsi="Times New Roman" w:eastAsia="宋体" w:cs="Times New Roman"/>
                <w:color w:val="auto"/>
                <w:kern w:val="0"/>
                <w:sz w:val="21"/>
                <w:szCs w:val="21"/>
                <w:lang w:val="en-US" w:eastAsia="zh-CN"/>
              </w:rPr>
              <w:t>下游3000m</w:t>
            </w:r>
          </w:p>
        </w:tc>
        <w:tc>
          <w:tcPr>
            <w:tcW w:w="723"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消减断面</w:t>
            </w:r>
          </w:p>
        </w:tc>
        <w:tc>
          <w:tcPr>
            <w:tcW w:w="1878" w:type="pct"/>
            <w:vMerge w:val="continue"/>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p>
        </w:tc>
      </w:tr>
    </w:tbl>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2、监测项目</w:t>
      </w:r>
    </w:p>
    <w:p>
      <w:pPr>
        <w:spacing w:line="360" w:lineRule="auto"/>
        <w:ind w:firstLine="480" w:firstLineChars="20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pH、CODCr 、BOD5 、氨氮、总磷、总氮、粪大肠菌群共7项。</w:t>
      </w:r>
    </w:p>
    <w:p>
      <w:pPr>
        <w:spacing w:line="440" w:lineRule="exact"/>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3、监测周期及频率</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监测时间为20</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25</w:t>
      </w:r>
      <w:r>
        <w:rPr>
          <w:rFonts w:hint="eastAsia" w:ascii="Times New Roman" w:hAnsi="Times New Roman" w:eastAsia="宋体" w:cs="Times New Roman"/>
          <w:color w:val="auto"/>
          <w:sz w:val="24"/>
          <w:szCs w:val="24"/>
        </w:rPr>
        <w:t>日~</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rPr>
        <w:t>日，共3天，每天采样1次。</w:t>
      </w:r>
    </w:p>
    <w:p>
      <w:pPr>
        <w:spacing w:line="440" w:lineRule="exact"/>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4、监测分析方法</w:t>
      </w:r>
    </w:p>
    <w:p>
      <w:pPr>
        <w:spacing w:line="440" w:lineRule="exact"/>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地表水采样按规范执行，分析方法采用《地表水环境质量标准》（GB3838-2002）中有关标准方法</w:t>
      </w:r>
      <w:r>
        <w:rPr>
          <w:rFonts w:hint="eastAsia" w:ascii="Times New Roman" w:hAnsi="Times New Roman" w:eastAsia="宋体" w:cs="Times New Roman"/>
          <w:color w:val="auto"/>
          <w:sz w:val="24"/>
          <w:szCs w:val="24"/>
        </w:rPr>
        <w:t>执行。</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5</w:t>
      </w:r>
      <w:r>
        <w:rPr>
          <w:rFonts w:hint="eastAsia" w:ascii="Times New Roman" w:hAnsi="Times New Roman" w:eastAsia="宋体" w:cs="Times New Roman"/>
          <w:b/>
          <w:color w:val="auto"/>
          <w:sz w:val="24"/>
          <w:szCs w:val="24"/>
        </w:rPr>
        <w:t>、监测结果</w:t>
      </w:r>
    </w:p>
    <w:p>
      <w:pPr>
        <w:spacing w:line="440" w:lineRule="exact"/>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sz w:val="24"/>
          <w:szCs w:val="24"/>
        </w:rPr>
        <w:t>地表水环境质量现状监测结果见表</w:t>
      </w:r>
      <w:r>
        <w:rPr>
          <w:rFonts w:ascii="Times New Roman" w:hAnsi="Times New Roman" w:eastAsia="宋体" w:cs="Times New Roman"/>
          <w:color w:val="auto"/>
          <w:sz w:val="24"/>
          <w:szCs w:val="24"/>
        </w:rPr>
        <w:t>4.2-</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rPr>
        <w:t>。</w:t>
      </w:r>
    </w:p>
    <w:p>
      <w:pPr>
        <w:pStyle w:val="2503"/>
        <w:numPr>
          <w:ilvl w:val="0"/>
          <w:numId w:val="31"/>
        </w:numPr>
        <w:spacing w:before="120"/>
        <w:ind w:left="425" w:leftChars="0" w:hanging="425"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地</w:t>
      </w: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水环境质量监测结果表</w:t>
      </w:r>
    </w:p>
    <w:tbl>
      <w:tblPr>
        <w:tblStyle w:val="89"/>
        <w:tblW w:w="4998" w:type="pct"/>
        <w:jc w:val="center"/>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031"/>
        <w:gridCol w:w="1694"/>
        <w:gridCol w:w="1389"/>
        <w:gridCol w:w="1549"/>
        <w:gridCol w:w="1554"/>
        <w:gridCol w:w="1302"/>
      </w:tblGrid>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监测点位及编号</w:t>
            </w:r>
          </w:p>
        </w:tc>
        <w:tc>
          <w:tcPr>
            <w:tcW w:w="994"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监测项目</w:t>
            </w:r>
          </w:p>
        </w:tc>
        <w:tc>
          <w:tcPr>
            <w:tcW w:w="2636" w:type="pct"/>
            <w:gridSpan w:val="3"/>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监测结果</w:t>
            </w:r>
          </w:p>
        </w:tc>
        <w:tc>
          <w:tcPr>
            <w:tcW w:w="76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94"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815"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2020.07.25</w:t>
            </w:r>
          </w:p>
        </w:tc>
        <w:tc>
          <w:tcPr>
            <w:tcW w:w="909"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2020.07.26</w:t>
            </w:r>
          </w:p>
        </w:tc>
        <w:tc>
          <w:tcPr>
            <w:tcW w:w="912"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2020.07.27</w:t>
            </w:r>
          </w:p>
        </w:tc>
        <w:tc>
          <w:tcPr>
            <w:tcW w:w="764"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restar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1#本项目所在地小河沟上游500米处</w:t>
            </w:r>
          </w:p>
        </w:tc>
        <w:tc>
          <w:tcPr>
            <w:tcW w:w="994"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815"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7.24</w:t>
            </w:r>
          </w:p>
        </w:tc>
        <w:tc>
          <w:tcPr>
            <w:tcW w:w="909"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7.21</w:t>
            </w:r>
          </w:p>
        </w:tc>
        <w:tc>
          <w:tcPr>
            <w:tcW w:w="912"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7.27</w:t>
            </w:r>
          </w:p>
        </w:tc>
        <w:tc>
          <w:tcPr>
            <w:tcW w:w="764"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五日生化需氧量</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0.334</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0.278</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0.361</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0.39</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粪大肠菌群</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MPN/L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2#本项目所在地小河沟下游1500米处</w:t>
            </w: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pH</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7.21</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7.25</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7.26</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化学需氧量</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五日生化需氧量</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氨氮</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0.369</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0.224</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0.372</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总磷</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总氮</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0.54</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0.48</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粪大肠菌群</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1.2×102</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MPN/L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3#本项目所在地小河沟下游3000米处</w:t>
            </w: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pH</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7.20</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7.30</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7.29</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化学需氧量</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五日生化需氧量</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氨氮</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0.288</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0.338</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0.329</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总磷</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总氮</w:t>
            </w:r>
          </w:p>
        </w:tc>
        <w:tc>
          <w:tcPr>
            <w:tcW w:w="81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0.82</w:t>
            </w:r>
          </w:p>
        </w:tc>
        <w:tc>
          <w:tcPr>
            <w:tcW w:w="9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0.92</w:t>
            </w:r>
          </w:p>
        </w:tc>
        <w:tc>
          <w:tcPr>
            <w:tcW w:w="9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0.76</w:t>
            </w:r>
          </w:p>
        </w:tc>
        <w:tc>
          <w:tcPr>
            <w:tcW w:w="76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05"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994"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粪大肠菌群</w:t>
            </w:r>
          </w:p>
        </w:tc>
        <w:tc>
          <w:tcPr>
            <w:tcW w:w="815"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2.3×102</w:t>
            </w:r>
          </w:p>
        </w:tc>
        <w:tc>
          <w:tcPr>
            <w:tcW w:w="909"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3.3×102</w:t>
            </w:r>
          </w:p>
        </w:tc>
        <w:tc>
          <w:tcPr>
            <w:tcW w:w="912"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2.4×102</w:t>
            </w:r>
          </w:p>
        </w:tc>
        <w:tc>
          <w:tcPr>
            <w:tcW w:w="764"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MPN/L</w:t>
            </w:r>
          </w:p>
        </w:tc>
      </w:tr>
    </w:tbl>
    <w:p>
      <w:pPr>
        <w:pStyle w:val="8"/>
        <w:numPr>
          <w:ilvl w:val="3"/>
          <w:numId w:val="30"/>
        </w:numPr>
        <w:spacing w:line="374" w:lineRule="auto"/>
        <w:rPr>
          <w:rFonts w:hint="eastAsia"/>
          <w:color w:val="auto"/>
        </w:rPr>
      </w:pPr>
      <w:r>
        <w:rPr>
          <w:rFonts w:hint="eastAsia" w:cs="Times New Roman"/>
          <w:color w:val="auto"/>
          <w:lang w:val="en-US" w:eastAsia="zh-CN"/>
        </w:rPr>
        <w:t>地表水环境质量现状评价</w:t>
      </w:r>
    </w:p>
    <w:p>
      <w:pPr>
        <w:pStyle w:val="110"/>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1、</w:t>
      </w:r>
      <w:r>
        <w:rPr>
          <w:rFonts w:hint="default" w:ascii="Times New Roman" w:hAnsi="Times New Roman" w:eastAsia="宋体" w:cs="Times New Roman"/>
          <w:b/>
          <w:bCs/>
          <w:color w:val="auto"/>
        </w:rPr>
        <w:t>评价方法</w:t>
      </w:r>
    </w:p>
    <w:p>
      <w:pPr>
        <w:tabs>
          <w:tab w:val="left" w:pos="2840"/>
        </w:tabs>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按照《中华人民共和国环境保护行业标准环境影响评价技术导则——地面水环境，HJ/T2.3-2018》，本次地面水环境影响评价采用单因子指数评价法，计算公式如下：</w:t>
      </w:r>
    </w:p>
    <w:p>
      <w:pPr>
        <w:tabs>
          <w:tab w:val="left" w:pos="2840"/>
        </w:tabs>
        <w:spacing w:line="360" w:lineRule="auto"/>
        <w:jc w:val="center"/>
        <w:rPr>
          <w:rFonts w:ascii="Times New Roman" w:hAnsi="Times New Roman"/>
          <w:color w:val="auto"/>
          <w:sz w:val="24"/>
          <w:highlight w:val="none"/>
        </w:rPr>
      </w:pPr>
      <w:r>
        <w:rPr>
          <w:rFonts w:ascii="Times New Roman" w:hAnsi="Times New Roman"/>
          <w:color w:val="auto"/>
          <w:position w:val="-34"/>
          <w:sz w:val="24"/>
          <w:highlight w:val="none"/>
        </w:rPr>
        <w:object>
          <v:shape id="_x0000_i1029" o:spt="75" type="#_x0000_t75" style="height:38.5pt;width:53.6pt;" o:ole="t" filled="f" o:preferrelative="t" stroked="f" coordsize="21600,21600">
            <v:path/>
            <v:fill on="f" focussize="0,0"/>
            <v:stroke on="f"/>
            <v:imagedata r:id="rId31" o:title=""/>
            <o:lock v:ext="edit" aspectratio="f"/>
            <w10:wrap type="none"/>
            <w10:anchorlock/>
          </v:shape>
          <o:OLEObject Type="Embed" ProgID="Equation.3" ShapeID="_x0000_i1029" DrawAspect="Content" ObjectID="_1468075729" r:id="rId30">
            <o:LockedField>false</o:LockedField>
          </o:OLEObject>
        </w:object>
      </w:r>
    </w:p>
    <w:p>
      <w:pPr>
        <w:tabs>
          <w:tab w:val="left" w:pos="2840"/>
        </w:tabs>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式中：S</w:t>
      </w:r>
      <w:r>
        <w:rPr>
          <w:rFonts w:ascii="Times New Roman" w:hAnsi="Times New Roman"/>
          <w:color w:val="auto"/>
          <w:sz w:val="24"/>
          <w:highlight w:val="none"/>
          <w:vertAlign w:val="subscript"/>
        </w:rPr>
        <w:t>i，j</w:t>
      </w:r>
      <w:r>
        <w:rPr>
          <w:rFonts w:ascii="Times New Roman" w:hAnsi="Times New Roman"/>
          <w:color w:val="auto"/>
          <w:sz w:val="24"/>
          <w:highlight w:val="none"/>
        </w:rPr>
        <w:t>——单项水质评价因子i在j点的标准指数；</w:t>
      </w:r>
    </w:p>
    <w:p>
      <w:pPr>
        <w:tabs>
          <w:tab w:val="left" w:pos="2840"/>
        </w:tabs>
        <w:spacing w:line="360" w:lineRule="auto"/>
        <w:ind w:firstLine="1200" w:firstLineChars="500"/>
        <w:rPr>
          <w:rFonts w:ascii="Times New Roman" w:hAnsi="Times New Roman"/>
          <w:color w:val="auto"/>
          <w:sz w:val="24"/>
          <w:highlight w:val="none"/>
        </w:rPr>
      </w:pPr>
      <w:r>
        <w:rPr>
          <w:rFonts w:ascii="Times New Roman" w:hAnsi="Times New Roman"/>
          <w:color w:val="auto"/>
          <w:sz w:val="24"/>
          <w:highlight w:val="none"/>
        </w:rPr>
        <w:t>Ci，j——单项水质评价因子i在j取样点的浓度，mg/L；</w:t>
      </w:r>
    </w:p>
    <w:p>
      <w:pPr>
        <w:tabs>
          <w:tab w:val="left" w:pos="2840"/>
        </w:tabs>
        <w:spacing w:line="360" w:lineRule="auto"/>
        <w:ind w:firstLine="1200" w:firstLineChars="500"/>
        <w:rPr>
          <w:rFonts w:ascii="Times New Roman" w:hAnsi="Times New Roman"/>
          <w:color w:val="auto"/>
          <w:sz w:val="24"/>
          <w:highlight w:val="none"/>
        </w:rPr>
      </w:pPr>
      <w:r>
        <w:rPr>
          <w:rFonts w:ascii="Times New Roman" w:hAnsi="Times New Roman"/>
          <w:color w:val="auto"/>
          <w:sz w:val="24"/>
          <w:highlight w:val="none"/>
        </w:rPr>
        <w:t>Cs，j——单项因子的评价标准，mg/L。</w:t>
      </w:r>
    </w:p>
    <w:p>
      <w:pPr>
        <w:tabs>
          <w:tab w:val="left" w:pos="2840"/>
        </w:tabs>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pH的标准指数为：</w:t>
      </w:r>
    </w:p>
    <w:p>
      <w:pPr>
        <w:tabs>
          <w:tab w:val="left" w:pos="2840"/>
        </w:tabs>
        <w:spacing w:line="360" w:lineRule="auto"/>
        <w:jc w:val="center"/>
        <w:rPr>
          <w:rFonts w:ascii="Times New Roman" w:hAnsi="Times New Roman"/>
          <w:color w:val="auto"/>
          <w:sz w:val="24"/>
          <w:highlight w:val="none"/>
        </w:rPr>
      </w:pPr>
      <w:r>
        <w:rPr>
          <w:rFonts w:ascii="Times New Roman" w:hAnsi="Times New Roman"/>
          <w:color w:val="auto"/>
          <w:sz w:val="24"/>
          <w:highlight w:val="none"/>
        </w:rPr>
        <w:drawing>
          <wp:inline distT="0" distB="0" distL="114300" distR="114300">
            <wp:extent cx="1934210" cy="457200"/>
            <wp:effectExtent l="0" t="0" r="0" b="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32"/>
                    <a:stretch>
                      <a:fillRect/>
                    </a:stretch>
                  </pic:blipFill>
                  <pic:spPr>
                    <a:xfrm>
                      <a:off x="0" y="0"/>
                      <a:ext cx="1934210" cy="457200"/>
                    </a:xfrm>
                    <a:prstGeom prst="rect">
                      <a:avLst/>
                    </a:prstGeom>
                    <a:noFill/>
                    <a:ln>
                      <a:noFill/>
                    </a:ln>
                  </pic:spPr>
                </pic:pic>
              </a:graphicData>
            </a:graphic>
          </wp:inline>
        </w:drawing>
      </w:r>
    </w:p>
    <w:p>
      <w:pPr>
        <w:tabs>
          <w:tab w:val="left" w:pos="2840"/>
        </w:tabs>
        <w:spacing w:line="360" w:lineRule="auto"/>
        <w:jc w:val="center"/>
        <w:rPr>
          <w:rFonts w:ascii="Times New Roman" w:hAnsi="Times New Roman"/>
          <w:color w:val="auto"/>
          <w:sz w:val="24"/>
          <w:highlight w:val="none"/>
        </w:rPr>
      </w:pPr>
      <w:r>
        <w:rPr>
          <w:rFonts w:ascii="Times New Roman" w:hAnsi="Times New Roman"/>
          <w:color w:val="auto"/>
          <w:sz w:val="24"/>
          <w:highlight w:val="none"/>
        </w:rPr>
        <w:drawing>
          <wp:inline distT="0" distB="0" distL="114300" distR="114300">
            <wp:extent cx="1934210" cy="457200"/>
            <wp:effectExtent l="0" t="0" r="0" b="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3"/>
                    <a:stretch>
                      <a:fillRect/>
                    </a:stretch>
                  </pic:blipFill>
                  <pic:spPr>
                    <a:xfrm>
                      <a:off x="0" y="0"/>
                      <a:ext cx="1934210" cy="457200"/>
                    </a:xfrm>
                    <a:prstGeom prst="rect">
                      <a:avLst/>
                    </a:prstGeom>
                    <a:noFill/>
                    <a:ln>
                      <a:noFill/>
                    </a:ln>
                  </pic:spPr>
                </pic:pic>
              </a:graphicData>
            </a:graphic>
          </wp:inline>
        </w:drawing>
      </w:r>
    </w:p>
    <w:p>
      <w:pPr>
        <w:tabs>
          <w:tab w:val="left" w:pos="2840"/>
        </w:tabs>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式中：SpH，j——pH的标准指数；</w:t>
      </w:r>
    </w:p>
    <w:p>
      <w:pPr>
        <w:tabs>
          <w:tab w:val="left" w:pos="2840"/>
        </w:tabs>
        <w:spacing w:line="360" w:lineRule="auto"/>
        <w:ind w:firstLine="1200" w:firstLineChars="500"/>
        <w:rPr>
          <w:rFonts w:ascii="Times New Roman" w:hAnsi="Times New Roman"/>
          <w:color w:val="auto"/>
          <w:sz w:val="24"/>
          <w:highlight w:val="none"/>
        </w:rPr>
      </w:pPr>
      <w:r>
        <w:rPr>
          <w:rFonts w:ascii="Times New Roman" w:hAnsi="Times New Roman"/>
          <w:color w:val="auto"/>
          <w:sz w:val="24"/>
          <w:highlight w:val="none"/>
        </w:rPr>
        <w:t>pHj——pH实测值；</w:t>
      </w:r>
    </w:p>
    <w:p>
      <w:pPr>
        <w:tabs>
          <w:tab w:val="left" w:pos="2840"/>
        </w:tabs>
        <w:spacing w:line="360" w:lineRule="auto"/>
        <w:ind w:firstLine="1200" w:firstLineChars="500"/>
        <w:rPr>
          <w:rFonts w:ascii="Times New Roman" w:hAnsi="Times New Roman"/>
          <w:color w:val="auto"/>
          <w:sz w:val="24"/>
          <w:highlight w:val="none"/>
        </w:rPr>
      </w:pPr>
      <w:r>
        <w:rPr>
          <w:rFonts w:ascii="Times New Roman" w:hAnsi="Times New Roman"/>
          <w:color w:val="auto"/>
          <w:sz w:val="24"/>
          <w:highlight w:val="none"/>
        </w:rPr>
        <w:t>pHsd——地表水质标准中规定的pH值下限；</w:t>
      </w:r>
    </w:p>
    <w:p>
      <w:pPr>
        <w:tabs>
          <w:tab w:val="left" w:pos="2840"/>
        </w:tabs>
        <w:spacing w:line="360" w:lineRule="auto"/>
        <w:ind w:firstLine="1200" w:firstLineChars="500"/>
        <w:rPr>
          <w:rFonts w:ascii="Times New Roman" w:hAnsi="Times New Roman"/>
          <w:color w:val="auto"/>
          <w:sz w:val="24"/>
          <w:highlight w:val="none"/>
        </w:rPr>
      </w:pPr>
      <w:r>
        <w:rPr>
          <w:rFonts w:ascii="Times New Roman" w:hAnsi="Times New Roman"/>
          <w:color w:val="auto"/>
          <w:sz w:val="24"/>
          <w:highlight w:val="none"/>
        </w:rPr>
        <w:t>pHsu——地表水质标准中规定的pH值上限。</w:t>
      </w:r>
    </w:p>
    <w:p>
      <w:pPr>
        <w:tabs>
          <w:tab w:val="left" w:pos="2840"/>
        </w:tabs>
        <w:spacing w:line="360" w:lineRule="auto"/>
        <w:ind w:firstLine="480" w:firstLineChars="200"/>
        <w:rPr>
          <w:color w:val="auto"/>
          <w:sz w:val="24"/>
          <w:szCs w:val="24"/>
        </w:rPr>
      </w:pPr>
      <w:r>
        <w:rPr>
          <w:rFonts w:ascii="Times New Roman" w:hAnsi="Times New Roman"/>
          <w:color w:val="auto"/>
          <w:sz w:val="24"/>
          <w:szCs w:val="24"/>
          <w:highlight w:val="none"/>
        </w:rPr>
        <w:t>本次评价水域</w:t>
      </w:r>
      <w:r>
        <w:rPr>
          <w:rFonts w:hint="eastAsia" w:ascii="Times New Roman" w:hAnsi="Times New Roman"/>
          <w:color w:val="auto"/>
          <w:sz w:val="24"/>
          <w:szCs w:val="24"/>
          <w:highlight w:val="none"/>
        </w:rPr>
        <w:t>一斗渠</w:t>
      </w:r>
      <w:r>
        <w:rPr>
          <w:rFonts w:ascii="Times New Roman" w:hAnsi="Times New Roman"/>
          <w:color w:val="auto"/>
          <w:sz w:val="24"/>
          <w:szCs w:val="24"/>
          <w:highlight w:val="none"/>
        </w:rPr>
        <w:t>执行《地表水环境质量标准》(GB3838-2002)III类标准。</w:t>
      </w:r>
    </w:p>
    <w:p>
      <w:pPr>
        <w:spacing w:line="440" w:lineRule="exact"/>
        <w:ind w:firstLine="482" w:firstLineChars="200"/>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2、评价结果</w:t>
      </w:r>
    </w:p>
    <w:p>
      <w:pPr>
        <w:tabs>
          <w:tab w:val="left" w:pos="2840"/>
        </w:tabs>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采用上述单项水质指数评价法，本项目地表水水质评价</w:t>
      </w:r>
      <w:r>
        <w:rPr>
          <w:rFonts w:ascii="Times New Roman" w:hAnsi="Times New Roman"/>
          <w:color w:val="auto"/>
          <w:sz w:val="24"/>
          <w:szCs w:val="24"/>
          <w:highlight w:val="none"/>
        </w:rPr>
        <w:t>结果</w:t>
      </w:r>
      <w:r>
        <w:rPr>
          <w:rFonts w:hint="eastAsia" w:ascii="Times New Roman" w:hAnsi="Times New Roman"/>
          <w:color w:val="auto"/>
          <w:sz w:val="24"/>
          <w:szCs w:val="24"/>
          <w:highlight w:val="none"/>
        </w:rPr>
        <w:t>见</w:t>
      </w:r>
      <w:r>
        <w:rPr>
          <w:rFonts w:ascii="Times New Roman" w:hAnsi="Times New Roman"/>
          <w:color w:val="auto"/>
          <w:sz w:val="24"/>
          <w:szCs w:val="24"/>
          <w:highlight w:val="none"/>
        </w:rPr>
        <w:t>表4.2-6。</w:t>
      </w:r>
    </w:p>
    <w:p>
      <w:pPr>
        <w:pStyle w:val="2503"/>
        <w:numPr>
          <w:ilvl w:val="0"/>
          <w:numId w:val="31"/>
        </w:numPr>
        <w:spacing w:before="120"/>
        <w:ind w:left="425" w:leftChars="0" w:hanging="425"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地表水水质评价结果统计表  单位：mg/L</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510"/>
        <w:gridCol w:w="1638"/>
        <w:gridCol w:w="1268"/>
        <w:gridCol w:w="1418"/>
        <w:gridCol w:w="1113"/>
        <w:gridCol w:w="1115"/>
        <w:gridCol w:w="671"/>
        <w:gridCol w:w="570"/>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325"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监测</w:t>
            </w:r>
          </w:p>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断面</w:t>
            </w:r>
          </w:p>
        </w:tc>
        <w:tc>
          <w:tcPr>
            <w:tcW w:w="859"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评价标准</w:t>
            </w:r>
          </w:p>
        </w:tc>
        <w:tc>
          <w:tcPr>
            <w:tcW w:w="781"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评价因子</w:t>
            </w:r>
          </w:p>
        </w:tc>
        <w:tc>
          <w:tcPr>
            <w:tcW w:w="871"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监测</w:t>
            </w:r>
            <w:r>
              <w:rPr>
                <w:rFonts w:hint="eastAsia"/>
                <w:b/>
                <w:color w:val="auto"/>
                <w:sz w:val="21"/>
                <w:szCs w:val="21"/>
              </w:rPr>
              <w:t>浓度范围</w:t>
            </w:r>
            <w:r>
              <w:rPr>
                <w:rFonts w:hint="default"/>
                <w:b/>
                <w:color w:val="auto"/>
                <w:sz w:val="21"/>
                <w:szCs w:val="21"/>
              </w:rPr>
              <w:t>（mg/L）</w:t>
            </w:r>
          </w:p>
        </w:tc>
        <w:tc>
          <w:tcPr>
            <w:tcW w:w="688" w:type="pct"/>
            <w:noWrap w:val="0"/>
            <w:vAlign w:val="center"/>
          </w:tcPr>
          <w:p>
            <w:pPr>
              <w:pStyle w:val="168"/>
              <w:keepNext w:val="0"/>
              <w:keepLines w:val="0"/>
              <w:suppressLineNumbers w:val="0"/>
              <w:spacing w:before="0" w:beforeAutospacing="0" w:after="0" w:afterAutospacing="0"/>
              <w:ind w:left="0" w:right="0"/>
              <w:rPr>
                <w:rFonts w:hint="eastAsia"/>
                <w:b/>
                <w:color w:val="auto"/>
                <w:sz w:val="21"/>
                <w:szCs w:val="21"/>
                <w:lang w:eastAsia="zh-CN"/>
              </w:rPr>
            </w:pPr>
            <w:r>
              <w:rPr>
                <w:rFonts w:hint="eastAsia"/>
                <w:b/>
                <w:color w:val="auto"/>
                <w:sz w:val="21"/>
                <w:szCs w:val="21"/>
                <w:lang w:eastAsia="zh-CN"/>
              </w:rPr>
              <w:t>标准值</w:t>
            </w:r>
          </w:p>
          <w:p>
            <w:pPr>
              <w:pStyle w:val="168"/>
              <w:keepNext w:val="0"/>
              <w:keepLines w:val="0"/>
              <w:suppressLineNumbers w:val="0"/>
              <w:spacing w:before="0" w:beforeAutospacing="0" w:after="0" w:afterAutospacing="0"/>
              <w:ind w:left="0" w:right="0"/>
              <w:rPr>
                <w:rFonts w:hint="eastAsia"/>
                <w:b/>
                <w:color w:val="auto"/>
                <w:sz w:val="21"/>
                <w:szCs w:val="21"/>
                <w:lang w:eastAsia="zh-CN"/>
              </w:rPr>
            </w:pPr>
            <w:r>
              <w:rPr>
                <w:rFonts w:hint="default"/>
                <w:b/>
                <w:color w:val="auto"/>
                <w:sz w:val="21"/>
                <w:szCs w:val="21"/>
              </w:rPr>
              <w:t>（mg/L）</w:t>
            </w:r>
          </w:p>
        </w:tc>
        <w:tc>
          <w:tcPr>
            <w:tcW w:w="689"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i/>
                <w:color w:val="auto"/>
                <w:sz w:val="21"/>
                <w:szCs w:val="21"/>
              </w:rPr>
              <w:t>Sj</w:t>
            </w:r>
            <w:r>
              <w:rPr>
                <w:rFonts w:hint="default"/>
                <w:b/>
                <w:color w:val="auto"/>
                <w:sz w:val="21"/>
                <w:szCs w:val="21"/>
              </w:rPr>
              <w:t>值</w:t>
            </w:r>
          </w:p>
        </w:tc>
        <w:tc>
          <w:tcPr>
            <w:tcW w:w="422"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最大超</w:t>
            </w:r>
          </w:p>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标倍数</w:t>
            </w:r>
          </w:p>
        </w:tc>
        <w:tc>
          <w:tcPr>
            <w:tcW w:w="361"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超标</w:t>
            </w:r>
          </w:p>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325" w:type="pct"/>
            <w:vMerge w:val="restar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1#</w:t>
            </w:r>
          </w:p>
        </w:tc>
        <w:tc>
          <w:tcPr>
            <w:tcW w:w="859" w:type="pct"/>
            <w:vMerge w:val="restar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《地表水环境质量标准》</w:t>
            </w:r>
          </w:p>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（GB3838-2002）Ⅲ类标准</w:t>
            </w:r>
          </w:p>
        </w:tc>
        <w:tc>
          <w:tcPr>
            <w:tcW w:w="781" w:type="pct"/>
            <w:noWrap w:val="0"/>
            <w:vAlign w:val="center"/>
          </w:tcPr>
          <w:p>
            <w:pPr>
              <w:pStyle w:val="168"/>
              <w:keepNext w:val="0"/>
              <w:keepLines w:val="0"/>
              <w:suppressLineNumbers w:val="0"/>
              <w:spacing w:before="0" w:beforeAutospacing="0" w:after="0" w:afterAutospacing="0"/>
              <w:ind w:left="0" w:right="0"/>
              <w:rPr>
                <w:rFonts w:hint="eastAsia" w:eastAsia="宋体"/>
                <w:color w:val="auto"/>
                <w:sz w:val="21"/>
                <w:szCs w:val="21"/>
                <w:lang w:eastAsia="zh-CN"/>
              </w:rPr>
            </w:pPr>
            <w:r>
              <w:rPr>
                <w:rFonts w:hint="default"/>
                <w:color w:val="auto"/>
                <w:sz w:val="21"/>
                <w:szCs w:val="21"/>
              </w:rPr>
              <w:t>pH</w:t>
            </w:r>
          </w:p>
        </w:tc>
        <w:tc>
          <w:tcPr>
            <w:tcW w:w="871" w:type="pct"/>
            <w:noWrap w:val="0"/>
            <w:vAlign w:val="center"/>
          </w:tcPr>
          <w:p>
            <w:pPr>
              <w:pStyle w:val="16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7.20</w:t>
            </w:r>
            <w:r>
              <w:rPr>
                <w:rFonts w:hint="eastAsia"/>
                <w:color w:val="auto"/>
                <w:sz w:val="21"/>
                <w:szCs w:val="21"/>
              </w:rPr>
              <w:t>~</w:t>
            </w:r>
            <w:r>
              <w:rPr>
                <w:rFonts w:hint="eastAsia"/>
                <w:color w:val="auto"/>
                <w:sz w:val="21"/>
                <w:szCs w:val="21"/>
                <w:lang w:val="en-US" w:eastAsia="zh-CN"/>
              </w:rPr>
              <w:t>7.30</w:t>
            </w:r>
          </w:p>
        </w:tc>
        <w:tc>
          <w:tcPr>
            <w:tcW w:w="688"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689" w:type="pct"/>
            <w:noWrap w:val="0"/>
            <w:vAlign w:val="center"/>
          </w:tcPr>
          <w:p>
            <w:pPr>
              <w:pStyle w:val="16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1</w:t>
            </w:r>
            <w:r>
              <w:rPr>
                <w:rFonts w:hint="eastAsia"/>
                <w:color w:val="auto"/>
                <w:sz w:val="21"/>
                <w:szCs w:val="21"/>
              </w:rPr>
              <w:t>~0.</w:t>
            </w:r>
            <w:r>
              <w:rPr>
                <w:rFonts w:hint="eastAsia"/>
                <w:color w:val="auto"/>
                <w:sz w:val="21"/>
                <w:szCs w:val="21"/>
                <w:lang w:val="en-US" w:eastAsia="zh-CN"/>
              </w:rPr>
              <w:t>15</w:t>
            </w:r>
          </w:p>
        </w:tc>
        <w:tc>
          <w:tcPr>
            <w:tcW w:w="422"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c>
          <w:tcPr>
            <w:tcW w:w="361"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325"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859"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781"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COD</w:t>
            </w:r>
          </w:p>
        </w:tc>
        <w:tc>
          <w:tcPr>
            <w:tcW w:w="871"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lang w:val="en-US" w:eastAsia="zh-CN"/>
              </w:rPr>
              <w:t>9</w:t>
            </w:r>
            <w:r>
              <w:rPr>
                <w:rFonts w:hint="eastAsia"/>
                <w:color w:val="auto"/>
                <w:sz w:val="21"/>
                <w:szCs w:val="21"/>
              </w:rPr>
              <w:t>~14</w:t>
            </w:r>
          </w:p>
        </w:tc>
        <w:tc>
          <w:tcPr>
            <w:tcW w:w="688"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20</w:t>
            </w:r>
          </w:p>
        </w:tc>
        <w:tc>
          <w:tcPr>
            <w:tcW w:w="689"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lang w:val="en-US" w:eastAsia="zh-CN"/>
              </w:rPr>
              <w:t>0.14</w:t>
            </w:r>
            <w:r>
              <w:rPr>
                <w:rFonts w:hint="eastAsia"/>
                <w:color w:val="auto"/>
                <w:sz w:val="21"/>
                <w:szCs w:val="21"/>
              </w:rPr>
              <w:t>~0.7</w:t>
            </w:r>
          </w:p>
        </w:tc>
        <w:tc>
          <w:tcPr>
            <w:tcW w:w="422"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c>
          <w:tcPr>
            <w:tcW w:w="361"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325"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859"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781"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BOD</w:t>
            </w:r>
            <w:r>
              <w:rPr>
                <w:rFonts w:hint="default"/>
                <w:color w:val="auto"/>
                <w:sz w:val="21"/>
                <w:szCs w:val="21"/>
                <w:vertAlign w:val="subscript"/>
              </w:rPr>
              <w:t>5</w:t>
            </w:r>
          </w:p>
        </w:tc>
        <w:tc>
          <w:tcPr>
            <w:tcW w:w="871" w:type="pct"/>
            <w:noWrap w:val="0"/>
            <w:vAlign w:val="center"/>
          </w:tcPr>
          <w:p>
            <w:pPr>
              <w:pStyle w:val="16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0.9</w:t>
            </w:r>
            <w:r>
              <w:rPr>
                <w:rFonts w:hint="eastAsia"/>
                <w:color w:val="auto"/>
                <w:sz w:val="21"/>
                <w:szCs w:val="21"/>
              </w:rPr>
              <w:t>~</w:t>
            </w:r>
            <w:r>
              <w:rPr>
                <w:rFonts w:hint="eastAsia"/>
                <w:color w:val="auto"/>
                <w:sz w:val="21"/>
                <w:szCs w:val="21"/>
                <w:lang w:val="en-US" w:eastAsia="zh-CN"/>
              </w:rPr>
              <w:t>1.5</w:t>
            </w:r>
          </w:p>
        </w:tc>
        <w:tc>
          <w:tcPr>
            <w:tcW w:w="688" w:type="pct"/>
            <w:noWrap w:val="0"/>
            <w:vAlign w:val="center"/>
          </w:tcPr>
          <w:p>
            <w:pPr>
              <w:pStyle w:val="168"/>
              <w:keepNext w:val="0"/>
              <w:keepLines w:val="0"/>
              <w:suppressLineNumbers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4</w:t>
            </w:r>
          </w:p>
        </w:tc>
        <w:tc>
          <w:tcPr>
            <w:tcW w:w="689" w:type="pct"/>
            <w:noWrap w:val="0"/>
            <w:vAlign w:val="center"/>
          </w:tcPr>
          <w:p>
            <w:pPr>
              <w:pStyle w:val="16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0.225</w:t>
            </w:r>
            <w:r>
              <w:rPr>
                <w:rFonts w:hint="eastAsia"/>
                <w:color w:val="auto"/>
                <w:sz w:val="21"/>
                <w:szCs w:val="21"/>
              </w:rPr>
              <w:t>~0.</w:t>
            </w:r>
            <w:r>
              <w:rPr>
                <w:rFonts w:hint="eastAsia"/>
                <w:color w:val="auto"/>
                <w:sz w:val="21"/>
                <w:szCs w:val="21"/>
                <w:lang w:val="en-US" w:eastAsia="zh-CN"/>
              </w:rPr>
              <w:t>375</w:t>
            </w:r>
          </w:p>
        </w:tc>
        <w:tc>
          <w:tcPr>
            <w:tcW w:w="422"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c>
          <w:tcPr>
            <w:tcW w:w="361"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325"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859"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781"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NH</w:t>
            </w:r>
            <w:r>
              <w:rPr>
                <w:rFonts w:hint="default"/>
                <w:color w:val="auto"/>
                <w:sz w:val="21"/>
                <w:szCs w:val="21"/>
                <w:vertAlign w:val="subscript"/>
              </w:rPr>
              <w:t>3</w:t>
            </w:r>
            <w:r>
              <w:rPr>
                <w:rFonts w:hint="default"/>
                <w:color w:val="auto"/>
                <w:sz w:val="21"/>
                <w:szCs w:val="21"/>
              </w:rPr>
              <w:t>-N</w:t>
            </w:r>
          </w:p>
        </w:tc>
        <w:tc>
          <w:tcPr>
            <w:tcW w:w="871" w:type="pct"/>
            <w:noWrap w:val="0"/>
            <w:vAlign w:val="center"/>
          </w:tcPr>
          <w:p>
            <w:pPr>
              <w:pStyle w:val="16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0.224</w:t>
            </w:r>
            <w:r>
              <w:rPr>
                <w:rFonts w:hint="eastAsia"/>
                <w:color w:val="auto"/>
                <w:sz w:val="21"/>
                <w:szCs w:val="21"/>
              </w:rPr>
              <w:t>~0.</w:t>
            </w:r>
            <w:r>
              <w:rPr>
                <w:rFonts w:hint="eastAsia"/>
                <w:color w:val="auto"/>
                <w:sz w:val="21"/>
                <w:szCs w:val="21"/>
                <w:lang w:val="en-US" w:eastAsia="zh-CN"/>
              </w:rPr>
              <w:t>372</w:t>
            </w:r>
          </w:p>
        </w:tc>
        <w:tc>
          <w:tcPr>
            <w:tcW w:w="688" w:type="pct"/>
            <w:noWrap w:val="0"/>
            <w:vAlign w:val="center"/>
          </w:tcPr>
          <w:p>
            <w:pPr>
              <w:pStyle w:val="168"/>
              <w:keepNext w:val="0"/>
              <w:keepLines w:val="0"/>
              <w:suppressLineNumbers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1</w:t>
            </w:r>
          </w:p>
        </w:tc>
        <w:tc>
          <w:tcPr>
            <w:tcW w:w="689"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eastAsia"/>
                <w:color w:val="auto"/>
                <w:sz w:val="21"/>
                <w:szCs w:val="21"/>
                <w:lang w:val="en-US" w:eastAsia="zh-CN"/>
              </w:rPr>
              <w:t>0.224</w:t>
            </w:r>
            <w:r>
              <w:rPr>
                <w:rFonts w:hint="eastAsia"/>
                <w:color w:val="auto"/>
                <w:sz w:val="21"/>
                <w:szCs w:val="21"/>
              </w:rPr>
              <w:t>~0.</w:t>
            </w:r>
            <w:r>
              <w:rPr>
                <w:rFonts w:hint="eastAsia"/>
                <w:color w:val="auto"/>
                <w:sz w:val="21"/>
                <w:szCs w:val="21"/>
                <w:lang w:val="en-US" w:eastAsia="zh-CN"/>
              </w:rPr>
              <w:t>372</w:t>
            </w:r>
          </w:p>
        </w:tc>
        <w:tc>
          <w:tcPr>
            <w:tcW w:w="422"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c>
          <w:tcPr>
            <w:tcW w:w="361"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325"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859"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781"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总磷</w:t>
            </w:r>
          </w:p>
        </w:tc>
        <w:tc>
          <w:tcPr>
            <w:tcW w:w="871"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lang w:val="en-US"/>
              </w:rPr>
            </w:pPr>
            <w:r>
              <w:rPr>
                <w:rFonts w:hint="eastAsia"/>
                <w:color w:val="auto"/>
                <w:sz w:val="21"/>
                <w:szCs w:val="21"/>
                <w:lang w:val="en-US" w:eastAsia="zh-CN"/>
              </w:rPr>
              <w:t>0.02</w:t>
            </w:r>
            <w:r>
              <w:rPr>
                <w:rFonts w:hint="eastAsia"/>
                <w:color w:val="auto"/>
                <w:sz w:val="21"/>
                <w:szCs w:val="21"/>
              </w:rPr>
              <w:t>~0.</w:t>
            </w:r>
            <w:r>
              <w:rPr>
                <w:rFonts w:hint="eastAsia"/>
                <w:color w:val="auto"/>
                <w:sz w:val="21"/>
                <w:szCs w:val="21"/>
                <w:lang w:val="en-US" w:eastAsia="zh-CN"/>
              </w:rPr>
              <w:t>05</w:t>
            </w:r>
          </w:p>
        </w:tc>
        <w:tc>
          <w:tcPr>
            <w:tcW w:w="688" w:type="pct"/>
            <w:noWrap w:val="0"/>
            <w:vAlign w:val="center"/>
          </w:tcPr>
          <w:p>
            <w:pPr>
              <w:pStyle w:val="16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0.2</w:t>
            </w:r>
          </w:p>
        </w:tc>
        <w:tc>
          <w:tcPr>
            <w:tcW w:w="689"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lang w:val="en-US"/>
              </w:rPr>
            </w:pPr>
            <w:r>
              <w:rPr>
                <w:rFonts w:hint="eastAsia"/>
                <w:color w:val="auto"/>
                <w:sz w:val="21"/>
                <w:szCs w:val="21"/>
                <w:lang w:val="en-US" w:eastAsia="zh-CN"/>
              </w:rPr>
              <w:t>0.1</w:t>
            </w:r>
            <w:r>
              <w:rPr>
                <w:rFonts w:hint="eastAsia"/>
                <w:color w:val="auto"/>
                <w:sz w:val="21"/>
                <w:szCs w:val="21"/>
              </w:rPr>
              <w:t>~0.</w:t>
            </w:r>
            <w:r>
              <w:rPr>
                <w:rFonts w:hint="eastAsia"/>
                <w:color w:val="auto"/>
                <w:sz w:val="21"/>
                <w:szCs w:val="21"/>
                <w:lang w:val="en-US" w:eastAsia="zh-CN"/>
              </w:rPr>
              <w:t>25</w:t>
            </w:r>
          </w:p>
        </w:tc>
        <w:tc>
          <w:tcPr>
            <w:tcW w:w="422"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c>
          <w:tcPr>
            <w:tcW w:w="361"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325"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859"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781"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总氮</w:t>
            </w:r>
          </w:p>
        </w:tc>
        <w:tc>
          <w:tcPr>
            <w:tcW w:w="871" w:type="pct"/>
            <w:noWrap w:val="0"/>
            <w:vAlign w:val="center"/>
          </w:tcPr>
          <w:p>
            <w:pPr>
              <w:pStyle w:val="16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36</w:t>
            </w:r>
            <w:r>
              <w:rPr>
                <w:rFonts w:hint="eastAsia"/>
                <w:color w:val="auto"/>
                <w:sz w:val="21"/>
                <w:szCs w:val="21"/>
              </w:rPr>
              <w:t>~0.</w:t>
            </w:r>
            <w:r>
              <w:rPr>
                <w:rFonts w:hint="eastAsia"/>
                <w:color w:val="auto"/>
                <w:sz w:val="21"/>
                <w:szCs w:val="21"/>
                <w:lang w:val="en-US" w:eastAsia="zh-CN"/>
              </w:rPr>
              <w:t>92</w:t>
            </w:r>
          </w:p>
        </w:tc>
        <w:tc>
          <w:tcPr>
            <w:tcW w:w="688" w:type="pct"/>
            <w:noWrap w:val="0"/>
            <w:vAlign w:val="center"/>
          </w:tcPr>
          <w:p>
            <w:pPr>
              <w:pStyle w:val="168"/>
              <w:keepNext w:val="0"/>
              <w:keepLines w:val="0"/>
              <w:suppressLineNumbers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1</w:t>
            </w:r>
          </w:p>
        </w:tc>
        <w:tc>
          <w:tcPr>
            <w:tcW w:w="689"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eastAsia"/>
                <w:color w:val="auto"/>
                <w:sz w:val="21"/>
                <w:szCs w:val="21"/>
              </w:rPr>
              <w:t>0.</w:t>
            </w:r>
            <w:r>
              <w:rPr>
                <w:rFonts w:hint="eastAsia"/>
                <w:color w:val="auto"/>
                <w:sz w:val="21"/>
                <w:szCs w:val="21"/>
                <w:lang w:val="en-US" w:eastAsia="zh-CN"/>
              </w:rPr>
              <w:t>36</w:t>
            </w:r>
            <w:r>
              <w:rPr>
                <w:rFonts w:hint="eastAsia"/>
                <w:color w:val="auto"/>
                <w:sz w:val="21"/>
                <w:szCs w:val="21"/>
              </w:rPr>
              <w:t>~0.</w:t>
            </w:r>
            <w:r>
              <w:rPr>
                <w:rFonts w:hint="eastAsia"/>
                <w:color w:val="auto"/>
                <w:sz w:val="21"/>
                <w:szCs w:val="21"/>
                <w:lang w:val="en-US" w:eastAsia="zh-CN"/>
              </w:rPr>
              <w:t>92</w:t>
            </w:r>
          </w:p>
        </w:tc>
        <w:tc>
          <w:tcPr>
            <w:tcW w:w="422"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c>
          <w:tcPr>
            <w:tcW w:w="361"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325"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859" w:type="pct"/>
            <w:vMerge w:val="continue"/>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p>
        </w:tc>
        <w:tc>
          <w:tcPr>
            <w:tcW w:w="781"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粪大肠菌群</w:t>
            </w:r>
          </w:p>
        </w:tc>
        <w:tc>
          <w:tcPr>
            <w:tcW w:w="871" w:type="pct"/>
            <w:noWrap w:val="0"/>
            <w:vAlign w:val="center"/>
          </w:tcPr>
          <w:p>
            <w:pPr>
              <w:pStyle w:val="168"/>
              <w:keepNext w:val="0"/>
              <w:keepLines w:val="0"/>
              <w:suppressLineNumbers w:val="0"/>
              <w:spacing w:before="0" w:beforeAutospacing="0" w:after="0" w:afterAutospacing="0"/>
              <w:ind w:left="0" w:right="0"/>
              <w:rPr>
                <w:rFonts w:hint="eastAsia" w:eastAsia="宋体"/>
                <w:color w:val="auto"/>
                <w:sz w:val="21"/>
                <w:szCs w:val="21"/>
                <w:lang w:eastAsia="zh-CN"/>
              </w:rPr>
            </w:pPr>
            <w:r>
              <w:rPr>
                <w:rFonts w:hint="eastAsia"/>
                <w:color w:val="auto"/>
                <w:sz w:val="21"/>
                <w:szCs w:val="21"/>
                <w:lang w:val="en-US" w:eastAsia="zh-CN"/>
              </w:rPr>
              <w:t>20</w:t>
            </w:r>
            <w:r>
              <w:rPr>
                <w:rFonts w:hint="eastAsia"/>
                <w:color w:val="auto"/>
                <w:sz w:val="21"/>
                <w:szCs w:val="21"/>
              </w:rPr>
              <w:t>~</w:t>
            </w:r>
            <w:r>
              <w:rPr>
                <w:rFonts w:hint="eastAsia"/>
                <w:color w:val="auto"/>
                <w:sz w:val="21"/>
                <w:szCs w:val="21"/>
                <w:lang w:val="en-US" w:eastAsia="zh-CN"/>
              </w:rPr>
              <w:t>3.3</w:t>
            </w:r>
            <w:r>
              <w:rPr>
                <w:rFonts w:hint="default"/>
                <w:color w:val="auto"/>
                <w:sz w:val="21"/>
                <w:szCs w:val="21"/>
              </w:rPr>
              <w:t>×10</w:t>
            </w:r>
            <w:r>
              <w:rPr>
                <w:rFonts w:hint="eastAsia"/>
                <w:color w:val="auto"/>
                <w:sz w:val="21"/>
                <w:szCs w:val="21"/>
                <w:vertAlign w:val="superscript"/>
                <w:lang w:val="en-US" w:eastAsia="zh-CN"/>
              </w:rPr>
              <w:t>2</w:t>
            </w:r>
          </w:p>
        </w:tc>
        <w:tc>
          <w:tcPr>
            <w:tcW w:w="688" w:type="pct"/>
            <w:noWrap w:val="0"/>
            <w:vAlign w:val="center"/>
          </w:tcPr>
          <w:p>
            <w:pPr>
              <w:pStyle w:val="16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10000</w:t>
            </w:r>
          </w:p>
        </w:tc>
        <w:tc>
          <w:tcPr>
            <w:tcW w:w="689" w:type="pct"/>
            <w:noWrap w:val="0"/>
            <w:vAlign w:val="center"/>
          </w:tcPr>
          <w:p>
            <w:pPr>
              <w:pStyle w:val="168"/>
              <w:keepNext w:val="0"/>
              <w:keepLines w:val="0"/>
              <w:suppressLineNumbers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0.002</w:t>
            </w:r>
            <w:r>
              <w:rPr>
                <w:rFonts w:hint="eastAsia"/>
                <w:color w:val="auto"/>
                <w:sz w:val="21"/>
                <w:szCs w:val="21"/>
              </w:rPr>
              <w:t>~0.</w:t>
            </w:r>
            <w:r>
              <w:rPr>
                <w:rFonts w:hint="eastAsia"/>
                <w:color w:val="auto"/>
                <w:sz w:val="21"/>
                <w:szCs w:val="21"/>
                <w:lang w:val="en-US" w:eastAsia="zh-CN"/>
              </w:rPr>
              <w:t>033</w:t>
            </w:r>
          </w:p>
        </w:tc>
        <w:tc>
          <w:tcPr>
            <w:tcW w:w="422"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c>
          <w:tcPr>
            <w:tcW w:w="361" w:type="pct"/>
            <w:noWrap w:val="0"/>
            <w:vAlign w:val="center"/>
          </w:tcPr>
          <w:p>
            <w:pPr>
              <w:pStyle w:val="168"/>
              <w:keepNext w:val="0"/>
              <w:keepLines w:val="0"/>
              <w:suppressLineNumbers w:val="0"/>
              <w:spacing w:before="0" w:beforeAutospacing="0" w:after="0" w:afterAutospacing="0"/>
              <w:ind w:left="0" w:right="0"/>
              <w:rPr>
                <w:rFonts w:hint="eastAsia"/>
                <w:color w:val="auto"/>
                <w:sz w:val="21"/>
                <w:szCs w:val="21"/>
              </w:rPr>
            </w:pPr>
            <w:r>
              <w:rPr>
                <w:rFonts w:hint="eastAsia"/>
                <w:color w:val="auto"/>
                <w:sz w:val="21"/>
                <w:szCs w:val="21"/>
              </w:rPr>
              <w:t>0</w:t>
            </w:r>
          </w:p>
        </w:tc>
      </w:tr>
    </w:tbl>
    <w:p>
      <w:pPr>
        <w:pStyle w:val="168"/>
        <w:jc w:val="both"/>
        <w:rPr>
          <w:color w:val="auto"/>
          <w:sz w:val="24"/>
          <w:szCs w:val="24"/>
        </w:rPr>
      </w:pPr>
      <w:r>
        <w:rPr>
          <w:rFonts w:hint="eastAsia"/>
          <w:color w:val="auto"/>
          <w:sz w:val="24"/>
          <w:szCs w:val="24"/>
        </w:rPr>
        <w:t>注：表中</w:t>
      </w:r>
      <w:r>
        <w:rPr>
          <w:color w:val="auto"/>
          <w:sz w:val="24"/>
          <w:szCs w:val="24"/>
        </w:rPr>
        <w:t>pH</w:t>
      </w:r>
      <w:r>
        <w:rPr>
          <w:rFonts w:hint="eastAsia"/>
          <w:color w:val="auto"/>
          <w:sz w:val="24"/>
          <w:szCs w:val="24"/>
        </w:rPr>
        <w:t>无量纲，粪大肠菌群单位为个</w:t>
      </w:r>
      <w:r>
        <w:rPr>
          <w:color w:val="auto"/>
          <w:sz w:val="24"/>
          <w:szCs w:val="24"/>
        </w:rPr>
        <w:t>/L</w:t>
      </w:r>
      <w:r>
        <w:rPr>
          <w:rFonts w:hint="eastAsia"/>
          <w:color w:val="auto"/>
          <w:sz w:val="24"/>
          <w:szCs w:val="24"/>
        </w:rPr>
        <w:t>。</w:t>
      </w:r>
    </w:p>
    <w:p>
      <w:pPr>
        <w:tabs>
          <w:tab w:val="left" w:pos="2840"/>
        </w:tabs>
        <w:spacing w:line="360" w:lineRule="auto"/>
        <w:ind w:firstLine="480" w:firstLineChars="200"/>
        <w:rPr>
          <w:rFonts w:hint="default" w:ascii="Times New Roman" w:hAnsi="Times New Roman" w:eastAsia="宋体" w:cs="Times New Roman"/>
          <w:color w:val="auto"/>
        </w:rPr>
      </w:pPr>
      <w:r>
        <w:rPr>
          <w:rFonts w:hint="eastAsia" w:ascii="Times New Roman" w:hAnsi="Times New Roman"/>
          <w:color w:val="auto"/>
          <w:sz w:val="24"/>
          <w:szCs w:val="24"/>
          <w:highlight w:val="none"/>
        </w:rPr>
        <w:t>监测结果表明：本项目</w:t>
      </w:r>
      <w:r>
        <w:rPr>
          <w:rFonts w:hint="eastAsia" w:ascii="Times New Roman" w:hAnsi="Times New Roman"/>
          <w:color w:val="auto"/>
          <w:sz w:val="24"/>
          <w:szCs w:val="24"/>
          <w:highlight w:val="none"/>
          <w:lang w:eastAsia="zh-CN"/>
        </w:rPr>
        <w:t>小河沟</w:t>
      </w:r>
      <w:r>
        <w:rPr>
          <w:rFonts w:hint="eastAsia" w:ascii="Times New Roman" w:hAnsi="Times New Roman"/>
          <w:color w:val="auto"/>
          <w:sz w:val="24"/>
          <w:szCs w:val="24"/>
          <w:highlight w:val="none"/>
        </w:rPr>
        <w:t>监测断面各项监测指标均能满足《地表水环境质量标准》（GB 3838-2002）中的Ⅲ类水域标准要求。</w:t>
      </w:r>
    </w:p>
    <w:p>
      <w:pPr>
        <w:pStyle w:val="7"/>
        <w:spacing w:before="0" w:after="0" w:line="360" w:lineRule="auto"/>
        <w:ind w:left="0" w:firstLine="0"/>
        <w:rPr>
          <w:rFonts w:ascii="Times New Roman" w:hAnsi="Times New Roman" w:cs="Times New Roman"/>
          <w:color w:val="auto"/>
          <w:lang w:val="en-US" w:eastAsia="zh-CN"/>
        </w:rPr>
      </w:pPr>
      <w:bookmarkStart w:id="209" w:name="_Toc12006"/>
      <w:r>
        <w:rPr>
          <w:rFonts w:ascii="Times New Roman" w:hAnsi="Times New Roman" w:cs="Times New Roman"/>
          <w:color w:val="auto"/>
          <w:lang w:val="en-US" w:eastAsia="zh-CN"/>
        </w:rPr>
        <w:t>地下水质量现状监测及评价</w:t>
      </w:r>
      <w:bookmarkEnd w:id="209"/>
    </w:p>
    <w:p>
      <w:pPr>
        <w:pStyle w:val="8"/>
        <w:numPr>
          <w:ilvl w:val="3"/>
          <w:numId w:val="30"/>
        </w:numPr>
        <w:spacing w:line="374"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地下水质量现状监测</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为了解本项目所在区域地下水水质情况，本次评价委托</w:t>
      </w:r>
      <w:r>
        <w:rPr>
          <w:rFonts w:hint="eastAsia" w:ascii="Times New Roman" w:hAnsi="Times New Roman" w:eastAsia="宋体" w:cs="Times New Roman"/>
          <w:color w:val="auto"/>
          <w:sz w:val="24"/>
          <w:szCs w:val="24"/>
          <w:lang w:eastAsia="zh-CN"/>
        </w:rPr>
        <w:t>四川洁承环境科技有限公司</w:t>
      </w:r>
      <w:r>
        <w:rPr>
          <w:rFonts w:hint="default" w:ascii="Times New Roman" w:hAnsi="Times New Roman" w:eastAsia="宋体" w:cs="Times New Roman"/>
          <w:color w:val="auto"/>
          <w:sz w:val="24"/>
          <w:szCs w:val="24"/>
        </w:rPr>
        <w:t>于20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日对项目周边地下水水质进行监测。</w:t>
      </w:r>
    </w:p>
    <w:p>
      <w:pPr>
        <w:ind w:firstLine="482"/>
        <w:rPr>
          <w:b/>
          <w:color w:val="auto"/>
          <w:sz w:val="24"/>
          <w:szCs w:val="24"/>
        </w:rPr>
      </w:pPr>
      <w:r>
        <w:rPr>
          <w:b/>
          <w:color w:val="auto"/>
          <w:sz w:val="24"/>
          <w:szCs w:val="24"/>
        </w:rPr>
        <w:t>1、监测断面</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本次评价共设置地下水监测点位3个，项目地下水监测点位设置见表4.2-</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p>
    <w:p>
      <w:pPr>
        <w:pStyle w:val="2503"/>
        <w:numPr>
          <w:ilvl w:val="0"/>
          <w:numId w:val="31"/>
        </w:numPr>
        <w:spacing w:before="120"/>
        <w:ind w:left="425" w:leftChars="0" w:hanging="425"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地下水现状监测点位</w:t>
      </w:r>
    </w:p>
    <w:tbl>
      <w:tblPr>
        <w:tblStyle w:val="88"/>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43"/>
        <w:gridCol w:w="5197"/>
        <w:gridCol w:w="156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29"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点位编号</w:t>
            </w:r>
          </w:p>
        </w:tc>
        <w:tc>
          <w:tcPr>
            <w:tcW w:w="3129"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取样点位置</w:t>
            </w:r>
          </w:p>
        </w:tc>
        <w:tc>
          <w:tcPr>
            <w:tcW w:w="941" w:type="pct"/>
            <w:noWrap w:val="0"/>
            <w:vAlign w:val="center"/>
          </w:tcPr>
          <w:p>
            <w:pPr>
              <w:pStyle w:val="168"/>
              <w:keepNext w:val="0"/>
              <w:keepLines w:val="0"/>
              <w:suppressLineNumbers w:val="0"/>
              <w:spacing w:before="0" w:beforeAutospacing="0" w:after="0" w:afterAutospacing="0"/>
              <w:ind w:left="0" w:right="0"/>
              <w:rPr>
                <w:rFonts w:hint="default"/>
                <w:b/>
                <w:color w:val="auto"/>
                <w:sz w:val="21"/>
                <w:szCs w:val="21"/>
              </w:rPr>
            </w:pPr>
            <w:r>
              <w:rPr>
                <w:rFonts w:hint="default"/>
                <w:b/>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29"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1#</w:t>
            </w:r>
          </w:p>
        </w:tc>
        <w:tc>
          <w:tcPr>
            <w:tcW w:w="3129" w:type="pct"/>
            <w:noWrap w:val="0"/>
            <w:vAlign w:val="center"/>
          </w:tcPr>
          <w:p>
            <w:pPr>
              <w:keepNext w:val="0"/>
              <w:keepLines w:val="0"/>
              <w:suppressLineNumbers w:val="0"/>
              <w:spacing w:before="0" w:beforeAutospacing="0" w:after="0" w:afterAutospacing="0" w:line="240" w:lineRule="auto"/>
              <w:ind w:left="0" w:right="0" w:firstLine="420" w:firstLineChars="0"/>
              <w:jc w:val="center"/>
              <w:rPr>
                <w:rFonts w:hint="default"/>
                <w:color w:val="auto"/>
                <w:sz w:val="21"/>
                <w:szCs w:val="21"/>
              </w:rPr>
            </w:pPr>
            <w:r>
              <w:rPr>
                <w:rFonts w:hint="eastAsia"/>
                <w:color w:val="auto"/>
                <w:sz w:val="21"/>
                <w:szCs w:val="21"/>
              </w:rPr>
              <w:t>项目</w:t>
            </w:r>
            <w:r>
              <w:rPr>
                <w:rFonts w:hint="eastAsia"/>
                <w:color w:val="auto"/>
                <w:sz w:val="21"/>
                <w:szCs w:val="21"/>
                <w:lang w:eastAsia="zh-CN"/>
              </w:rPr>
              <w:t>东</w:t>
            </w:r>
            <w:r>
              <w:rPr>
                <w:rFonts w:hint="eastAsia"/>
                <w:color w:val="auto"/>
                <w:sz w:val="21"/>
                <w:szCs w:val="21"/>
              </w:rPr>
              <w:t>北侧约</w:t>
            </w:r>
            <w:r>
              <w:rPr>
                <w:rFonts w:hint="eastAsia"/>
                <w:color w:val="auto"/>
                <w:sz w:val="21"/>
                <w:szCs w:val="21"/>
                <w:lang w:val="en-US" w:eastAsia="zh-CN"/>
              </w:rPr>
              <w:t>270</w:t>
            </w:r>
            <w:r>
              <w:rPr>
                <w:rFonts w:hint="eastAsia"/>
                <w:color w:val="auto"/>
                <w:sz w:val="21"/>
                <w:szCs w:val="21"/>
              </w:rPr>
              <w:t>米居民水井处</w:t>
            </w:r>
          </w:p>
        </w:tc>
        <w:tc>
          <w:tcPr>
            <w:tcW w:w="941"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井水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29"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2#</w:t>
            </w:r>
          </w:p>
        </w:tc>
        <w:tc>
          <w:tcPr>
            <w:tcW w:w="3129" w:type="pct"/>
            <w:noWrap w:val="0"/>
            <w:vAlign w:val="center"/>
          </w:tcPr>
          <w:p>
            <w:pPr>
              <w:keepNext w:val="0"/>
              <w:keepLines w:val="0"/>
              <w:suppressLineNumbers w:val="0"/>
              <w:spacing w:before="0" w:beforeAutospacing="0" w:after="0" w:afterAutospacing="0" w:line="240" w:lineRule="auto"/>
              <w:ind w:left="0" w:right="0" w:firstLine="420" w:firstLineChars="0"/>
              <w:jc w:val="center"/>
              <w:rPr>
                <w:rFonts w:hint="default"/>
                <w:color w:val="auto"/>
                <w:sz w:val="21"/>
                <w:szCs w:val="21"/>
              </w:rPr>
            </w:pPr>
            <w:r>
              <w:rPr>
                <w:rFonts w:hint="eastAsia"/>
                <w:color w:val="auto"/>
                <w:sz w:val="21"/>
                <w:szCs w:val="21"/>
                <w:lang w:eastAsia="zh-CN"/>
              </w:rPr>
              <w:t>本</w:t>
            </w:r>
            <w:r>
              <w:rPr>
                <w:rFonts w:hint="eastAsia"/>
                <w:color w:val="auto"/>
                <w:sz w:val="21"/>
                <w:szCs w:val="21"/>
              </w:rPr>
              <w:t>项目所在</w:t>
            </w:r>
            <w:r>
              <w:rPr>
                <w:rFonts w:hint="eastAsia"/>
                <w:color w:val="auto"/>
                <w:sz w:val="21"/>
                <w:szCs w:val="21"/>
                <w:lang w:eastAsia="zh-CN"/>
              </w:rPr>
              <w:t>地</w:t>
            </w:r>
          </w:p>
        </w:tc>
        <w:tc>
          <w:tcPr>
            <w:tcW w:w="941" w:type="pct"/>
            <w:noWrap w:val="0"/>
            <w:vAlign w:val="center"/>
          </w:tcPr>
          <w:p>
            <w:pPr>
              <w:pStyle w:val="168"/>
              <w:keepNext w:val="0"/>
              <w:keepLines w:val="0"/>
              <w:suppressLineNumbers w:val="0"/>
              <w:spacing w:before="0" w:beforeAutospacing="0" w:after="0" w:afterAutospacing="0"/>
              <w:ind w:left="0" w:right="0"/>
              <w:rPr>
                <w:rFonts w:hint="eastAsia" w:eastAsia="宋体"/>
                <w:color w:val="auto"/>
                <w:sz w:val="21"/>
                <w:szCs w:val="21"/>
                <w:lang w:eastAsia="zh-CN"/>
              </w:rPr>
            </w:pPr>
            <w:r>
              <w:rPr>
                <w:rFonts w:hint="eastAsia"/>
                <w:color w:val="auto"/>
                <w:sz w:val="21"/>
                <w:szCs w:val="21"/>
                <w:lang w:eastAsia="zh-CN"/>
              </w:rPr>
              <w:t>地下水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29"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3#</w:t>
            </w:r>
          </w:p>
        </w:tc>
        <w:tc>
          <w:tcPr>
            <w:tcW w:w="3129" w:type="pct"/>
            <w:noWrap w:val="0"/>
            <w:vAlign w:val="center"/>
          </w:tcPr>
          <w:p>
            <w:pPr>
              <w:keepNext w:val="0"/>
              <w:keepLines w:val="0"/>
              <w:suppressLineNumbers w:val="0"/>
              <w:spacing w:before="0" w:beforeAutospacing="0" w:after="0" w:afterAutospacing="0" w:line="240" w:lineRule="auto"/>
              <w:ind w:left="0" w:right="0" w:firstLine="420" w:firstLineChars="0"/>
              <w:jc w:val="center"/>
              <w:rPr>
                <w:rFonts w:hint="default"/>
                <w:color w:val="auto"/>
                <w:sz w:val="21"/>
                <w:szCs w:val="21"/>
              </w:rPr>
            </w:pPr>
            <w:r>
              <w:rPr>
                <w:rFonts w:hint="eastAsia"/>
                <w:color w:val="auto"/>
                <w:sz w:val="21"/>
                <w:szCs w:val="21"/>
              </w:rPr>
              <w:t>项目</w:t>
            </w:r>
            <w:r>
              <w:rPr>
                <w:rFonts w:hint="eastAsia"/>
                <w:color w:val="auto"/>
                <w:sz w:val="21"/>
                <w:szCs w:val="21"/>
                <w:lang w:eastAsia="zh-CN"/>
              </w:rPr>
              <w:t>西北侧</w:t>
            </w:r>
            <w:r>
              <w:rPr>
                <w:rFonts w:hint="eastAsia"/>
                <w:color w:val="auto"/>
                <w:sz w:val="21"/>
                <w:szCs w:val="21"/>
              </w:rPr>
              <w:t>约</w:t>
            </w:r>
            <w:r>
              <w:rPr>
                <w:rFonts w:hint="eastAsia"/>
                <w:color w:val="auto"/>
                <w:sz w:val="21"/>
                <w:szCs w:val="21"/>
                <w:lang w:val="en-US" w:eastAsia="zh-CN"/>
              </w:rPr>
              <w:t>700</w:t>
            </w:r>
            <w:r>
              <w:rPr>
                <w:rFonts w:hint="eastAsia"/>
                <w:color w:val="auto"/>
                <w:sz w:val="21"/>
                <w:szCs w:val="21"/>
              </w:rPr>
              <w:t>米居民水井处</w:t>
            </w:r>
          </w:p>
        </w:tc>
        <w:tc>
          <w:tcPr>
            <w:tcW w:w="941" w:type="pct"/>
            <w:noWrap w:val="0"/>
            <w:vAlign w:val="center"/>
          </w:tcPr>
          <w:p>
            <w:pPr>
              <w:pStyle w:val="168"/>
              <w:keepNext w:val="0"/>
              <w:keepLines w:val="0"/>
              <w:suppressLineNumbers w:val="0"/>
              <w:spacing w:before="0" w:beforeAutospacing="0" w:after="0" w:afterAutospacing="0"/>
              <w:ind w:left="0" w:right="0"/>
              <w:rPr>
                <w:rFonts w:hint="default"/>
                <w:color w:val="auto"/>
                <w:sz w:val="21"/>
                <w:szCs w:val="21"/>
              </w:rPr>
            </w:pPr>
            <w:r>
              <w:rPr>
                <w:rFonts w:hint="default"/>
                <w:color w:val="auto"/>
                <w:sz w:val="21"/>
                <w:szCs w:val="21"/>
              </w:rPr>
              <w:t>井水</w:t>
            </w:r>
          </w:p>
        </w:tc>
      </w:tr>
    </w:tbl>
    <w:p>
      <w:pPr>
        <w:ind w:firstLine="482"/>
        <w:rPr>
          <w:b/>
          <w:color w:val="auto"/>
          <w:sz w:val="24"/>
          <w:szCs w:val="24"/>
        </w:rPr>
      </w:pPr>
      <w:r>
        <w:rPr>
          <w:rFonts w:hint="eastAsia"/>
          <w:b/>
          <w:color w:val="auto"/>
          <w:sz w:val="24"/>
          <w:szCs w:val="24"/>
        </w:rPr>
        <w:t>2、</w:t>
      </w:r>
      <w:r>
        <w:rPr>
          <w:b/>
          <w:color w:val="auto"/>
          <w:sz w:val="24"/>
          <w:szCs w:val="24"/>
        </w:rPr>
        <w:t>监测项目</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钾、钠、钙、镁、碳酸根、重碳酸根、氯化物、硫酸盐、pH值、氨氮（以N计）、硝酸盐（以N计）、亚硝酸盐（以N计）、挥发性酚类（以苯酚计）、氰化物、总硬度（以CaCO3计）、氟化物、溶解性总固体、耗氧量（CODMn法，以O 2计）、总大肠菌群、菌落总数</w:t>
      </w:r>
      <w:r>
        <w:rPr>
          <w:rFonts w:hint="eastAsia" w:ascii="Times New Roman" w:hAnsi="Times New Roman" w:eastAsia="宋体" w:cs="Times New Roman"/>
          <w:color w:val="auto"/>
          <w:sz w:val="24"/>
          <w:szCs w:val="24"/>
          <w:lang w:eastAsia="zh-CN"/>
        </w:rPr>
        <w:t>。</w:t>
      </w:r>
    </w:p>
    <w:p>
      <w:pPr>
        <w:ind w:firstLine="482"/>
        <w:rPr>
          <w:rFonts w:hint="eastAsia"/>
          <w:b/>
          <w:color w:val="auto"/>
          <w:sz w:val="24"/>
          <w:szCs w:val="24"/>
        </w:rPr>
      </w:pPr>
      <w:r>
        <w:rPr>
          <w:rFonts w:hint="eastAsia"/>
          <w:b/>
          <w:color w:val="auto"/>
          <w:sz w:val="24"/>
          <w:szCs w:val="24"/>
        </w:rPr>
        <w:t>3、监测周期及频率</w:t>
      </w:r>
    </w:p>
    <w:p>
      <w:pPr>
        <w:ind w:firstLine="482"/>
        <w:rPr>
          <w:rFonts w:hint="eastAsia"/>
          <w:b w:val="0"/>
          <w:bCs/>
          <w:color w:val="auto"/>
          <w:sz w:val="24"/>
          <w:szCs w:val="24"/>
        </w:rPr>
      </w:pPr>
      <w:r>
        <w:rPr>
          <w:rFonts w:hint="eastAsia"/>
          <w:b w:val="0"/>
          <w:bCs/>
          <w:color w:val="auto"/>
          <w:sz w:val="24"/>
          <w:szCs w:val="24"/>
        </w:rPr>
        <w:t>监测时间为</w:t>
      </w:r>
      <w:r>
        <w:rPr>
          <w:rFonts w:hint="default"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日</w:t>
      </w:r>
      <w:r>
        <w:rPr>
          <w:rFonts w:hint="eastAsia"/>
          <w:b w:val="0"/>
          <w:bCs/>
          <w:color w:val="auto"/>
          <w:sz w:val="24"/>
          <w:szCs w:val="24"/>
        </w:rPr>
        <w:t>，监测</w:t>
      </w:r>
      <w:r>
        <w:rPr>
          <w:rFonts w:hint="eastAsia"/>
          <w:b w:val="0"/>
          <w:bCs/>
          <w:color w:val="auto"/>
          <w:sz w:val="24"/>
          <w:szCs w:val="24"/>
          <w:lang w:val="en-US" w:eastAsia="zh-CN"/>
        </w:rPr>
        <w:t>1</w:t>
      </w:r>
      <w:r>
        <w:rPr>
          <w:rFonts w:hint="eastAsia"/>
          <w:b w:val="0"/>
          <w:bCs/>
          <w:color w:val="auto"/>
          <w:sz w:val="24"/>
          <w:szCs w:val="24"/>
        </w:rPr>
        <w:t>天，采样1次。</w:t>
      </w:r>
    </w:p>
    <w:p>
      <w:pPr>
        <w:ind w:firstLine="482"/>
        <w:rPr>
          <w:rFonts w:hint="eastAsia"/>
          <w:b/>
          <w:color w:val="auto"/>
          <w:sz w:val="24"/>
          <w:szCs w:val="24"/>
        </w:rPr>
      </w:pPr>
      <w:r>
        <w:rPr>
          <w:rFonts w:hint="eastAsia"/>
          <w:b/>
          <w:color w:val="auto"/>
          <w:sz w:val="24"/>
          <w:szCs w:val="24"/>
        </w:rPr>
        <w:t>4、监测结果</w:t>
      </w:r>
    </w:p>
    <w:p>
      <w:pPr>
        <w:ind w:firstLine="482"/>
        <w:rPr>
          <w:rFonts w:hint="default" w:ascii="Times New Roman" w:hAnsi="Times New Roman" w:eastAsia="宋体" w:cs="Times New Roman"/>
          <w:color w:val="auto"/>
        </w:rPr>
      </w:pPr>
      <w:r>
        <w:rPr>
          <w:rFonts w:hint="eastAsia"/>
          <w:b w:val="0"/>
          <w:bCs/>
          <w:color w:val="auto"/>
          <w:sz w:val="24"/>
          <w:szCs w:val="24"/>
        </w:rPr>
        <w:t>地下水质量现状监测结果见表4.2-</w:t>
      </w:r>
      <w:r>
        <w:rPr>
          <w:rFonts w:hint="eastAsia"/>
          <w:b w:val="0"/>
          <w:bCs/>
          <w:color w:val="auto"/>
          <w:sz w:val="24"/>
          <w:szCs w:val="24"/>
          <w:lang w:val="en-US" w:eastAsia="zh-CN"/>
        </w:rPr>
        <w:t>9</w:t>
      </w:r>
      <w:r>
        <w:rPr>
          <w:rFonts w:hint="eastAsia"/>
          <w:b w:val="0"/>
          <w:bCs/>
          <w:color w:val="auto"/>
          <w:sz w:val="24"/>
          <w:szCs w:val="24"/>
        </w:rPr>
        <w:t>。</w:t>
      </w:r>
    </w:p>
    <w:p>
      <w:pPr>
        <w:pStyle w:val="2503"/>
        <w:numPr>
          <w:ilvl w:val="0"/>
          <w:numId w:val="31"/>
        </w:numPr>
        <w:spacing w:before="120"/>
        <w:ind w:left="425" w:leftChars="0" w:hanging="425"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地下水环境质量监测结果表</w:t>
      </w:r>
    </w:p>
    <w:tbl>
      <w:tblPr>
        <w:tblStyle w:val="89"/>
        <w:tblW w:w="4998" w:type="pct"/>
        <w:jc w:val="center"/>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161"/>
        <w:gridCol w:w="1313"/>
        <w:gridCol w:w="1699"/>
        <w:gridCol w:w="1383"/>
        <w:gridCol w:w="1622"/>
        <w:gridCol w:w="1341"/>
      </w:tblGrid>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监测日期</w:t>
            </w:r>
          </w:p>
        </w:tc>
        <w:tc>
          <w:tcPr>
            <w:tcW w:w="771"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监测项目</w:t>
            </w:r>
          </w:p>
        </w:tc>
        <w:tc>
          <w:tcPr>
            <w:tcW w:w="2761" w:type="pct"/>
            <w:gridSpan w:val="3"/>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监测点位及结果</w:t>
            </w:r>
          </w:p>
        </w:tc>
        <w:tc>
          <w:tcPr>
            <w:tcW w:w="785"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771"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97"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1#项目东北侧约270米居民水井处</w:t>
            </w:r>
          </w:p>
        </w:tc>
        <w:tc>
          <w:tcPr>
            <w:tcW w:w="812"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2#本项目所在地</w:t>
            </w:r>
          </w:p>
        </w:tc>
        <w:tc>
          <w:tcPr>
            <w:tcW w:w="951"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3#项目西北侧约700米居民水井处</w:t>
            </w:r>
          </w:p>
        </w:tc>
        <w:tc>
          <w:tcPr>
            <w:tcW w:w="785"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2020.07.27</w:t>
            </w:r>
          </w:p>
        </w:tc>
        <w:tc>
          <w:tcPr>
            <w:tcW w:w="771"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997"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7.28</w:t>
            </w:r>
          </w:p>
        </w:tc>
        <w:tc>
          <w:tcPr>
            <w:tcW w:w="812"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7.32</w:t>
            </w:r>
          </w:p>
        </w:tc>
        <w:tc>
          <w:tcPr>
            <w:tcW w:w="951"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7.36</w:t>
            </w:r>
          </w:p>
        </w:tc>
        <w:tc>
          <w:tcPr>
            <w:tcW w:w="785"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0.383</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0.181</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0.124</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硝酸盐</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0.838</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0.321</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0.201</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亚硝酸盐</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0.003L</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0.003L</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0.003L</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挥发性酚类</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0.0003L</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0.0003L</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0.0003L</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氰化物</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0.004L</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0.004L</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0.004L</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氟化物</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0.122</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0.094</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0.102</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总硬度</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85.7</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溶解性总固体</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耗氧量</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硫酸盐</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6.04</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6.74</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6.89</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氯化物</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0.665</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0.718</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总大肠菌群</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&lt;2</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MPN/100mL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细菌总数</w:t>
            </w:r>
          </w:p>
        </w:tc>
        <w:tc>
          <w:tcPr>
            <w:tcW w:w="997"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92</w:t>
            </w:r>
          </w:p>
        </w:tc>
        <w:tc>
          <w:tcPr>
            <w:tcW w:w="812"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951"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88</w:t>
            </w:r>
          </w:p>
        </w:tc>
        <w:tc>
          <w:tcPr>
            <w:tcW w:w="785"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CFU/mL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钾</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0.90</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钠</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4.87</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3.94</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4.06</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钙</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29.4</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34.0</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镁</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3.57</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3.04</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4.10</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碳酸根</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7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碳酸氢根</w:t>
            </w:r>
          </w:p>
        </w:tc>
        <w:tc>
          <w:tcPr>
            <w:tcW w:w="99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81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78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备注</w:t>
            </w:r>
          </w:p>
        </w:tc>
        <w:tc>
          <w:tcPr>
            <w:tcW w:w="4318" w:type="pct"/>
            <w:gridSpan w:val="5"/>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当测定结果低于分析方法检出限时，报所使用方法的检出限值，并在其后加标志位L。</w:t>
            </w:r>
          </w:p>
        </w:tc>
      </w:tr>
    </w:tbl>
    <w:p>
      <w:pPr>
        <w:pStyle w:val="2503"/>
        <w:numPr>
          <w:ilvl w:val="0"/>
          <w:numId w:val="31"/>
        </w:numPr>
        <w:spacing w:before="120"/>
        <w:ind w:left="425" w:leftChars="0" w:hanging="425"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地下水</w:t>
      </w:r>
      <w:r>
        <w:rPr>
          <w:rFonts w:hint="eastAsia" w:ascii="Times New Roman" w:hAnsi="Times New Roman" w:eastAsia="宋体" w:cs="Times New Roman"/>
          <w:color w:val="auto"/>
          <w:lang w:val="en-US" w:eastAsia="zh-CN"/>
        </w:rPr>
        <w:t>水面到地面的高度汇总</w:t>
      </w:r>
      <w:r>
        <w:rPr>
          <w:rFonts w:hint="default" w:ascii="Times New Roman" w:hAnsi="Times New Roman" w:eastAsia="宋体" w:cs="Times New Roman"/>
          <w:color w:val="auto"/>
          <w:lang w:val="en-US" w:eastAsia="zh-CN"/>
        </w:rPr>
        <w:t>表</w:t>
      </w:r>
    </w:p>
    <w:tbl>
      <w:tblPr>
        <w:tblStyle w:val="89"/>
        <w:tblW w:w="4998" w:type="pct"/>
        <w:jc w:val="center"/>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2076"/>
        <w:gridCol w:w="1842"/>
        <w:gridCol w:w="2386"/>
        <w:gridCol w:w="2215"/>
      </w:tblGrid>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218" w:type="pct"/>
            <w:vMerge w:val="restart"/>
            <w:tcBorders>
              <w:right w:val="single" w:color="000000" w:sz="4" w:space="0"/>
            </w:tcBorders>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监测点位及编号</w:t>
            </w:r>
          </w:p>
        </w:tc>
        <w:tc>
          <w:tcPr>
            <w:tcW w:w="1081" w:type="pct"/>
            <w:vMerge w:val="restart"/>
            <w:tcBorders>
              <w:left w:val="single" w:color="000000" w:sz="4" w:space="0"/>
              <w:right w:val="single" w:color="000000" w:sz="4" w:space="0"/>
            </w:tcBorders>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GPS</w:t>
            </w:r>
          </w:p>
        </w:tc>
        <w:tc>
          <w:tcPr>
            <w:tcW w:w="1400" w:type="pct"/>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val="0"/>
                <w:color w:val="auto"/>
                <w:sz w:val="21"/>
                <w:szCs w:val="21"/>
                <w:lang w:val="en-US" w:eastAsia="zh-CN"/>
              </w:rPr>
              <w:t>水面到地面的高度</w:t>
            </w:r>
          </w:p>
        </w:tc>
        <w:tc>
          <w:tcPr>
            <w:tcW w:w="1299" w:type="pct"/>
            <w:vMerge w:val="restart"/>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218" w:type="pct"/>
            <w:vMerge w:val="continue"/>
            <w:tcBorders>
              <w:bottom w:val="single" w:color="auto" w:sz="12"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p>
        </w:tc>
        <w:tc>
          <w:tcPr>
            <w:tcW w:w="1081" w:type="pct"/>
            <w:vMerge w:val="continue"/>
            <w:tcBorders>
              <w:left w:val="single" w:color="000000" w:sz="4" w:space="0"/>
              <w:bottom w:val="single" w:color="auto" w:sz="12"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p>
        </w:tc>
        <w:tc>
          <w:tcPr>
            <w:tcW w:w="1400"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2020.07.27</w:t>
            </w:r>
          </w:p>
        </w:tc>
        <w:tc>
          <w:tcPr>
            <w:tcW w:w="1299"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218" w:type="pct"/>
            <w:tcBorders>
              <w:top w:val="single" w:color="auto" w:sz="12"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1#项目东北侧约270米居民水井处</w:t>
            </w:r>
          </w:p>
        </w:tc>
        <w:tc>
          <w:tcPr>
            <w:tcW w:w="1081" w:type="pct"/>
            <w:tcBorders>
              <w:top w:val="single" w:color="auto" w:sz="12"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eastAsia="宋体" w:cs="Times New Roman"/>
                <w:bCs/>
                <w:color w:val="auto"/>
                <w:sz w:val="21"/>
                <w:szCs w:val="21"/>
                <w:shd w:val="clear" w:color="auto" w:fill="auto"/>
                <w:lang w:val="en-US" w:eastAsia="zh-CN"/>
              </w:rPr>
              <w:t>107°36'1"E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shd w:val="clear" w:color="auto" w:fill="auto"/>
                <w:lang w:val="en-US" w:eastAsia="zh-CN"/>
              </w:rPr>
              <w:t>32°0'52"N</w:t>
            </w:r>
          </w:p>
        </w:tc>
        <w:tc>
          <w:tcPr>
            <w:tcW w:w="1400"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3.5</w:t>
            </w:r>
          </w:p>
        </w:tc>
        <w:tc>
          <w:tcPr>
            <w:tcW w:w="1299" w:type="pct"/>
            <w:tcBorders>
              <w:top w:val="single" w:color="auto" w:sz="12"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99" w:hRule="atLeast"/>
          <w:jc w:val="center"/>
        </w:trPr>
        <w:tc>
          <w:tcPr>
            <w:tcW w:w="1218" w:type="pct"/>
            <w:tcBorders>
              <w:top w:val="single" w:color="auto"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2#本项目所在地</w:t>
            </w:r>
          </w:p>
        </w:tc>
        <w:tc>
          <w:tcPr>
            <w:tcW w:w="1081"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eastAsia="宋体" w:cs="Times New Roman"/>
                <w:bCs/>
                <w:color w:val="auto"/>
                <w:sz w:val="21"/>
                <w:szCs w:val="21"/>
                <w:shd w:val="clear" w:color="auto" w:fill="auto"/>
                <w:lang w:val="en-US" w:eastAsia="zh-CN"/>
              </w:rPr>
              <w:t>107°35'32"E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shd w:val="clear" w:color="auto" w:fill="auto"/>
                <w:lang w:val="en-US" w:eastAsia="zh-CN"/>
              </w:rPr>
              <w:t>32°0'38"N</w:t>
            </w:r>
          </w:p>
        </w:tc>
        <w:tc>
          <w:tcPr>
            <w:tcW w:w="1400" w:type="pct"/>
            <w:tcBorders>
              <w:top w:val="single" w:color="auto" w:sz="4" w:space="0"/>
              <w:bottom w:val="single" w:color="auto" w:sz="4" w:space="0"/>
            </w:tcBorders>
            <w:noWrap w:val="0"/>
            <w:vAlign w:val="center"/>
          </w:tcPr>
          <w:p>
            <w:pPr>
              <w:pStyle w:val="36"/>
              <w:keepNext w:val="0"/>
              <w:keepLines w:val="0"/>
              <w:suppressLineNumbers w:val="0"/>
              <w:spacing w:before="0" w:beforeAutospacing="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w:t>
            </w:r>
          </w:p>
        </w:tc>
        <w:tc>
          <w:tcPr>
            <w:tcW w:w="1299" w:type="pct"/>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218" w:type="pct"/>
            <w:tcBorders>
              <w:top w:val="single" w:color="auto" w:sz="4" w:space="0"/>
              <w:bottom w:val="single" w:color="auto" w:sz="12"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3#项目西北侧约700米居民水井处</w:t>
            </w:r>
          </w:p>
        </w:tc>
        <w:tc>
          <w:tcPr>
            <w:tcW w:w="1081" w:type="pct"/>
            <w:tcBorders>
              <w:top w:val="single" w:color="auto" w:sz="4" w:space="0"/>
              <w:left w:val="single" w:color="000000" w:sz="4" w:space="0"/>
              <w:bottom w:val="single" w:color="auto" w:sz="12"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eastAsia="宋体" w:cs="Times New Roman"/>
                <w:bCs/>
                <w:color w:val="auto"/>
                <w:sz w:val="21"/>
                <w:szCs w:val="21"/>
                <w:shd w:val="clear" w:color="auto" w:fill="auto"/>
                <w:lang w:val="en-US" w:eastAsia="zh-CN"/>
              </w:rPr>
              <w:t>107°34'52"E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shd w:val="clear" w:color="auto" w:fill="auto"/>
                <w:lang w:val="en-US" w:eastAsia="zh-CN"/>
              </w:rPr>
              <w:t>32°0'22"N</w:t>
            </w:r>
          </w:p>
        </w:tc>
        <w:tc>
          <w:tcPr>
            <w:tcW w:w="1400"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1299" w:type="pct"/>
            <w:tcBorders>
              <w:top w:val="single" w:color="auto" w:sz="4" w:space="0"/>
              <w:bottom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m</w:t>
            </w:r>
          </w:p>
        </w:tc>
      </w:tr>
    </w:tbl>
    <w:p>
      <w:pPr>
        <w:pStyle w:val="8"/>
        <w:numPr>
          <w:ilvl w:val="3"/>
          <w:numId w:val="30"/>
        </w:numPr>
        <w:spacing w:line="374" w:lineRule="auto"/>
        <w:rPr>
          <w:rFonts w:hint="default" w:ascii="Times New Roman" w:hAnsi="Times New Roman" w:eastAsia="宋体" w:cs="Times New Roman"/>
          <w:color w:val="auto"/>
        </w:rPr>
      </w:pPr>
      <w:r>
        <w:rPr>
          <w:rFonts w:hint="eastAsia" w:ascii="Times New Roman" w:hAnsi="Times New Roman" w:cs="Times New Roman"/>
          <w:color w:val="auto"/>
          <w:lang w:val="en-US" w:eastAsia="zh-CN"/>
        </w:rPr>
        <w:t>地下水质量现状评价</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1、评价标准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本次评价执行《地下水质量标准》（GB/T14848-2017）III类标准。</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2、评价因子</w:t>
      </w:r>
    </w:p>
    <w:p>
      <w:pPr>
        <w:ind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本次评价选取</w:t>
      </w:r>
      <w:r>
        <w:rPr>
          <w:rFonts w:hint="default"/>
          <w:b w:val="0"/>
          <w:bCs/>
          <w:color w:val="auto"/>
          <w:sz w:val="24"/>
          <w:szCs w:val="24"/>
        </w:rPr>
        <w:t>钾、钠、钙、镁、碳酸根、重碳酸根、氯化物、硫酸盐、pH值、氨氮（以N计）、硝酸盐（以N计）、亚硝酸盐（以N计）、挥发性酚类（以苯酚计）、氰化物、总硬度（以CaCO3计）、氟化物、溶解性总固体、耗氧量（CODMn法，以O 2计）、总大肠菌群、菌落总数</w:t>
      </w:r>
      <w:r>
        <w:rPr>
          <w:rFonts w:hint="eastAsia"/>
          <w:b w:val="0"/>
          <w:bCs/>
          <w:color w:val="auto"/>
          <w:sz w:val="24"/>
          <w:szCs w:val="24"/>
          <w:lang w:eastAsia="zh-CN"/>
        </w:rPr>
        <w:t>作为评价因子。</w:t>
      </w:r>
    </w:p>
    <w:p>
      <w:pPr>
        <w:spacing w:line="440" w:lineRule="exact"/>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3、评价方法</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采用单项</w:t>
      </w:r>
      <w:r>
        <w:rPr>
          <w:rFonts w:hint="eastAsia" w:ascii="Times New Roman" w:hAnsi="Times New Roman" w:eastAsia="宋体" w:cs="Times New Roman"/>
          <w:color w:val="auto"/>
          <w:sz w:val="24"/>
          <w:szCs w:val="24"/>
        </w:rPr>
        <w:t>水质</w:t>
      </w:r>
      <w:r>
        <w:rPr>
          <w:rFonts w:ascii="Times New Roman" w:hAnsi="Times New Roman" w:eastAsia="宋体" w:cs="Times New Roman"/>
          <w:color w:val="auto"/>
          <w:sz w:val="24"/>
          <w:szCs w:val="24"/>
        </w:rPr>
        <w:t>指数评价法，一般性水质因子（随着浓度增加而水质变差的水质因子）的指数计算</w:t>
      </w:r>
      <w:r>
        <w:rPr>
          <w:rFonts w:hint="eastAsia" w:ascii="Times New Roman" w:hAnsi="Times New Roman" w:eastAsia="宋体" w:cs="Times New Roman"/>
          <w:color w:val="auto"/>
          <w:sz w:val="24"/>
          <w:szCs w:val="24"/>
        </w:rPr>
        <w:t>公式</w:t>
      </w:r>
      <w:r>
        <w:rPr>
          <w:rFonts w:ascii="Times New Roman" w:hAnsi="Times New Roman" w:eastAsia="宋体" w:cs="Times New Roman"/>
          <w:color w:val="auto"/>
          <w:sz w:val="24"/>
          <w:szCs w:val="24"/>
        </w:rPr>
        <w:t>为：</w:t>
      </w:r>
    </w:p>
    <w:p>
      <w:pPr>
        <w:spacing w:line="240" w:lineRule="auto"/>
        <w:ind w:firstLine="0" w:firstLineChars="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drawing>
          <wp:inline distT="0" distB="0" distL="114300" distR="114300">
            <wp:extent cx="981075" cy="304800"/>
            <wp:effectExtent l="0" t="0" r="9525" b="0"/>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34"/>
                    <a:stretch>
                      <a:fillRect/>
                    </a:stretch>
                  </pic:blipFill>
                  <pic:spPr>
                    <a:xfrm>
                      <a:off x="0" y="0"/>
                      <a:ext cx="981075" cy="304800"/>
                    </a:xfrm>
                    <a:prstGeom prst="rect">
                      <a:avLst/>
                    </a:prstGeom>
                    <a:noFill/>
                    <a:ln>
                      <a:noFill/>
                    </a:ln>
                  </pic:spPr>
                </pic:pic>
              </a:graphicData>
            </a:graphic>
          </wp:inline>
        </w:drawing>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式中：</w:t>
      </w:r>
      <w:r>
        <w:rPr>
          <w:rFonts w:ascii="Times New Roman" w:hAnsi="Times New Roman" w:eastAsia="宋体" w:cs="Times New Roman"/>
          <w:i/>
          <w:color w:val="auto"/>
          <w:sz w:val="24"/>
          <w:szCs w:val="24"/>
        </w:rPr>
        <w:t>S</w:t>
      </w:r>
      <w:r>
        <w:rPr>
          <w:rFonts w:ascii="Times New Roman" w:hAnsi="Times New Roman" w:eastAsia="宋体" w:cs="Times New Roman"/>
          <w:i/>
          <w:color w:val="auto"/>
          <w:sz w:val="24"/>
          <w:szCs w:val="24"/>
          <w:vertAlign w:val="subscript"/>
        </w:rPr>
        <w:t>i</w:t>
      </w:r>
      <w:r>
        <w:rPr>
          <w:rFonts w:hint="eastAsia" w:ascii="Times New Roman" w:hAnsi="Times New Roman" w:eastAsia="宋体" w:cs="Times New Roman"/>
          <w:i/>
          <w:color w:val="auto"/>
          <w:sz w:val="24"/>
          <w:szCs w:val="24"/>
          <w:vertAlign w:val="subscript"/>
        </w:rPr>
        <w:t>，</w:t>
      </w:r>
      <w:r>
        <w:rPr>
          <w:rFonts w:ascii="Times New Roman" w:hAnsi="Times New Roman" w:eastAsia="宋体" w:cs="Times New Roman"/>
          <w:i/>
          <w:color w:val="auto"/>
          <w:sz w:val="24"/>
          <w:szCs w:val="24"/>
          <w:vertAlign w:val="subscript"/>
        </w:rPr>
        <w:t>j</w:t>
      </w:r>
      <w:r>
        <w:rPr>
          <w:rFonts w:ascii="Times New Roman" w:hAnsi="Times New Roman" w:eastAsia="宋体" w:cs="Times New Roman"/>
          <w:color w:val="auto"/>
          <w:sz w:val="24"/>
          <w:szCs w:val="24"/>
        </w:rPr>
        <w:t>——评价因子</w:t>
      </w:r>
      <w:r>
        <w:rPr>
          <w:rFonts w:ascii="Times New Roman" w:hAnsi="Times New Roman" w:eastAsia="宋体" w:cs="Times New Roman"/>
          <w:i/>
          <w:color w:val="auto"/>
          <w:sz w:val="24"/>
          <w:szCs w:val="24"/>
        </w:rPr>
        <w:t>i</w:t>
      </w:r>
      <w:r>
        <w:rPr>
          <w:rFonts w:ascii="Times New Roman" w:hAnsi="Times New Roman" w:eastAsia="宋体" w:cs="Times New Roman"/>
          <w:color w:val="auto"/>
          <w:sz w:val="24"/>
          <w:szCs w:val="24"/>
        </w:rPr>
        <w:t>的水质指数，大于</w:t>
      </w:r>
      <w:r>
        <w:rPr>
          <w:rFonts w:hint="eastAsia" w:ascii="Times New Roman" w:hAnsi="Times New Roman" w:eastAsia="宋体" w:cs="Times New Roman"/>
          <w:color w:val="auto"/>
          <w:sz w:val="24"/>
          <w:szCs w:val="24"/>
        </w:rPr>
        <w:t>1表明该</w:t>
      </w:r>
      <w:r>
        <w:rPr>
          <w:rFonts w:ascii="Times New Roman" w:hAnsi="Times New Roman" w:eastAsia="宋体" w:cs="Times New Roman"/>
          <w:color w:val="auto"/>
          <w:sz w:val="24"/>
          <w:szCs w:val="24"/>
        </w:rPr>
        <w:t>水质因子超标；</w:t>
      </w:r>
    </w:p>
    <w:p>
      <w:pPr>
        <w:spacing w:line="440" w:lineRule="exact"/>
        <w:ind w:firstLine="1200" w:firstLineChars="500"/>
        <w:rPr>
          <w:rFonts w:ascii="Times New Roman" w:hAnsi="Times New Roman" w:eastAsia="宋体" w:cs="Times New Roman"/>
          <w:color w:val="auto"/>
          <w:sz w:val="24"/>
          <w:szCs w:val="24"/>
        </w:rPr>
      </w:pPr>
      <w:r>
        <w:rPr>
          <w:rFonts w:ascii="Times New Roman" w:hAnsi="Times New Roman" w:eastAsia="宋体" w:cs="Times New Roman"/>
          <w:i/>
          <w:color w:val="auto"/>
          <w:sz w:val="24"/>
          <w:szCs w:val="24"/>
        </w:rPr>
        <w:t>C</w:t>
      </w:r>
      <w:r>
        <w:rPr>
          <w:rFonts w:ascii="Times New Roman" w:hAnsi="Times New Roman" w:eastAsia="宋体" w:cs="Times New Roman"/>
          <w:i/>
          <w:color w:val="auto"/>
          <w:sz w:val="24"/>
          <w:szCs w:val="24"/>
          <w:vertAlign w:val="subscript"/>
        </w:rPr>
        <w:t>i，j</w:t>
      </w:r>
      <w:r>
        <w:rPr>
          <w:rFonts w:ascii="Times New Roman" w:hAnsi="Times New Roman" w:eastAsia="宋体" w:cs="Times New Roman"/>
          <w:color w:val="auto"/>
          <w:sz w:val="24"/>
          <w:szCs w:val="24"/>
        </w:rPr>
        <w:t>——评价因子</w:t>
      </w:r>
      <w:r>
        <w:rPr>
          <w:rFonts w:ascii="Times New Roman" w:hAnsi="Times New Roman" w:eastAsia="宋体" w:cs="Times New Roman"/>
          <w:i/>
          <w:color w:val="auto"/>
          <w:sz w:val="24"/>
          <w:szCs w:val="24"/>
        </w:rPr>
        <w:t>i</w:t>
      </w:r>
      <w:r>
        <w:rPr>
          <w:rFonts w:ascii="Times New Roman" w:hAnsi="Times New Roman" w:eastAsia="宋体" w:cs="Times New Roman"/>
          <w:color w:val="auto"/>
          <w:sz w:val="24"/>
          <w:szCs w:val="24"/>
        </w:rPr>
        <w:t>在</w:t>
      </w:r>
      <w:r>
        <w:rPr>
          <w:rFonts w:ascii="Times New Roman" w:hAnsi="Times New Roman" w:eastAsia="宋体" w:cs="Times New Roman"/>
          <w:i/>
          <w:color w:val="auto"/>
          <w:sz w:val="24"/>
          <w:szCs w:val="24"/>
        </w:rPr>
        <w:t>j</w:t>
      </w:r>
      <w:r>
        <w:rPr>
          <w:rFonts w:ascii="Times New Roman" w:hAnsi="Times New Roman" w:eastAsia="宋体" w:cs="Times New Roman"/>
          <w:color w:val="auto"/>
          <w:sz w:val="24"/>
          <w:szCs w:val="24"/>
        </w:rPr>
        <w:t>点的实测统计代表值</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mg/L；</w:t>
      </w:r>
    </w:p>
    <w:p>
      <w:pPr>
        <w:spacing w:line="440" w:lineRule="exact"/>
        <w:ind w:firstLine="1200" w:firstLineChars="500"/>
        <w:rPr>
          <w:rFonts w:ascii="Times New Roman" w:hAnsi="Times New Roman" w:eastAsia="宋体" w:cs="Times New Roman"/>
          <w:color w:val="auto"/>
          <w:sz w:val="24"/>
          <w:szCs w:val="24"/>
        </w:rPr>
      </w:pPr>
      <w:r>
        <w:rPr>
          <w:rFonts w:ascii="Times New Roman" w:hAnsi="Times New Roman" w:eastAsia="宋体" w:cs="Times New Roman"/>
          <w:i/>
          <w:color w:val="auto"/>
          <w:sz w:val="24"/>
          <w:szCs w:val="24"/>
        </w:rPr>
        <w:t>C</w:t>
      </w:r>
      <w:r>
        <w:rPr>
          <w:rFonts w:ascii="Times New Roman" w:hAnsi="Times New Roman" w:eastAsia="宋体" w:cs="Times New Roman"/>
          <w:i/>
          <w:color w:val="auto"/>
          <w:sz w:val="24"/>
          <w:szCs w:val="24"/>
          <w:vertAlign w:val="subscript"/>
        </w:rPr>
        <w:t>s，i</w:t>
      </w:r>
      <w:r>
        <w:rPr>
          <w:rFonts w:ascii="Times New Roman" w:hAnsi="Times New Roman" w:eastAsia="宋体" w:cs="Times New Roman"/>
          <w:color w:val="auto"/>
          <w:sz w:val="24"/>
          <w:szCs w:val="24"/>
        </w:rPr>
        <w:t>——评价因子</w:t>
      </w:r>
      <w:r>
        <w:rPr>
          <w:rFonts w:ascii="Times New Roman" w:hAnsi="Times New Roman" w:eastAsia="宋体" w:cs="Times New Roman"/>
          <w:i/>
          <w:color w:val="auto"/>
          <w:sz w:val="24"/>
          <w:szCs w:val="24"/>
        </w:rPr>
        <w:t>i</w:t>
      </w:r>
      <w:r>
        <w:rPr>
          <w:rFonts w:ascii="Times New Roman" w:hAnsi="Times New Roman" w:eastAsia="宋体" w:cs="Times New Roman"/>
          <w:color w:val="auto"/>
          <w:sz w:val="24"/>
          <w:szCs w:val="24"/>
        </w:rPr>
        <w:t>的水</w:t>
      </w:r>
      <w:r>
        <w:rPr>
          <w:rFonts w:hint="eastAsia" w:ascii="Times New Roman" w:hAnsi="Times New Roman" w:eastAsia="宋体" w:cs="Times New Roman"/>
          <w:color w:val="auto"/>
          <w:sz w:val="24"/>
          <w:szCs w:val="24"/>
        </w:rPr>
        <w:t>质</w:t>
      </w:r>
      <w:r>
        <w:rPr>
          <w:rFonts w:ascii="Times New Roman" w:hAnsi="Times New Roman" w:eastAsia="宋体" w:cs="Times New Roman"/>
          <w:color w:val="auto"/>
          <w:sz w:val="24"/>
          <w:szCs w:val="24"/>
        </w:rPr>
        <w:t>评价标准限值</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mg/L。</w:t>
      </w:r>
    </w:p>
    <w:p>
      <w:pPr>
        <w:widowControl w:val="0"/>
        <w:spacing w:line="440" w:lineRule="exact"/>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pH值的指数计算公式为：</w:t>
      </w:r>
    </w:p>
    <w:p>
      <w:pPr>
        <w:spacing w:line="240" w:lineRule="auto"/>
        <w:ind w:firstLine="0" w:firstLineChars="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INCLUDEPICTURE "C:\\Users\\lenovo\\AppData\\Roaming\\Microsoft\\ADMINI~1\\AppData\\Local\\Temp\\ksohtml\\wpsE994.tmp.png" \* MERGEFORMAT </w:instrText>
      </w:r>
      <w:r>
        <w:rPr>
          <w:rFonts w:ascii="Times New Roman" w:hAnsi="Times New Roman" w:eastAsia="宋体" w:cs="Times New Roman"/>
          <w:color w:val="auto"/>
          <w:sz w:val="24"/>
          <w:szCs w:val="24"/>
        </w:rPr>
        <w:fldChar w:fldCharType="separate"/>
      </w:r>
      <w:r>
        <w:rPr>
          <w:rFonts w:ascii="Times New Roman" w:hAnsi="Times New Roman" w:eastAsia="宋体" w:cs="Times New Roman"/>
          <w:color w:val="auto"/>
          <w:sz w:val="24"/>
          <w:szCs w:val="24"/>
        </w:rPr>
        <w:drawing>
          <wp:inline distT="0" distB="0" distL="114300" distR="114300">
            <wp:extent cx="1267460" cy="466090"/>
            <wp:effectExtent l="0" t="0" r="8890" b="10795"/>
            <wp:docPr id="56" name="图片 22" descr="wpsE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descr="wpsE994"/>
                    <pic:cNvPicPr>
                      <a:picLocks noChangeAspect="1"/>
                    </pic:cNvPicPr>
                  </pic:nvPicPr>
                  <pic:blipFill>
                    <a:blip r:embed="rId35"/>
                    <a:stretch>
                      <a:fillRect/>
                    </a:stretch>
                  </pic:blipFill>
                  <pic:spPr>
                    <a:xfrm>
                      <a:off x="0" y="0"/>
                      <a:ext cx="1267460" cy="466090"/>
                    </a:xfrm>
                    <a:prstGeom prst="rect">
                      <a:avLst/>
                    </a:prstGeom>
                    <a:noFill/>
                    <a:ln>
                      <a:noFill/>
                    </a:ln>
                  </pic:spPr>
                </pic:pic>
              </a:graphicData>
            </a:graphic>
          </wp:inline>
        </w:drawing>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drawing>
          <wp:inline distT="0" distB="0" distL="114300" distR="114300">
            <wp:extent cx="571500" cy="285750"/>
            <wp:effectExtent l="0" t="0" r="0" b="0"/>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36"/>
                    <a:stretch>
                      <a:fillRect/>
                    </a:stretch>
                  </pic:blipFill>
                  <pic:spPr>
                    <a:xfrm>
                      <a:off x="0" y="0"/>
                      <a:ext cx="571500" cy="285750"/>
                    </a:xfrm>
                    <a:prstGeom prst="rect">
                      <a:avLst/>
                    </a:prstGeom>
                    <a:noFill/>
                    <a:ln>
                      <a:noFill/>
                    </a:ln>
                  </pic:spPr>
                </pic:pic>
              </a:graphicData>
            </a:graphic>
          </wp:inline>
        </w:drawing>
      </w:r>
    </w:p>
    <w:p>
      <w:pPr>
        <w:spacing w:line="240" w:lineRule="auto"/>
        <w:ind w:firstLine="0" w:firstLineChars="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INCLUDEPICTURE "C:\\Users\\lenovo\\AppData\\Roaming\\Microsoft\\ADMINI~1\\AppData\\Local\\Temp\\ksohtml\\wpsE9A6.tmp.png" \* MERGEFORMAT </w:instrText>
      </w:r>
      <w:r>
        <w:rPr>
          <w:rFonts w:ascii="Times New Roman" w:hAnsi="Times New Roman" w:eastAsia="宋体" w:cs="Times New Roman"/>
          <w:color w:val="auto"/>
          <w:sz w:val="24"/>
          <w:szCs w:val="24"/>
        </w:rPr>
        <w:fldChar w:fldCharType="separate"/>
      </w:r>
      <w:r>
        <w:rPr>
          <w:rFonts w:ascii="Times New Roman" w:hAnsi="Times New Roman" w:eastAsia="宋体" w:cs="Times New Roman"/>
          <w:color w:val="auto"/>
          <w:sz w:val="24"/>
          <w:szCs w:val="24"/>
        </w:rPr>
        <w:drawing>
          <wp:inline distT="0" distB="0" distL="114300" distR="114300">
            <wp:extent cx="1190625" cy="466090"/>
            <wp:effectExtent l="0" t="0" r="9525" b="10795"/>
            <wp:docPr id="57" name="图片 24" descr="wpsE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descr="wpsE9A6"/>
                    <pic:cNvPicPr>
                      <a:picLocks noChangeAspect="1"/>
                    </pic:cNvPicPr>
                  </pic:nvPicPr>
                  <pic:blipFill>
                    <a:blip r:embed="rId37"/>
                    <a:stretch>
                      <a:fillRect/>
                    </a:stretch>
                  </pic:blipFill>
                  <pic:spPr>
                    <a:xfrm>
                      <a:off x="0" y="0"/>
                      <a:ext cx="1190625" cy="466090"/>
                    </a:xfrm>
                    <a:prstGeom prst="rect">
                      <a:avLst/>
                    </a:prstGeom>
                    <a:noFill/>
                    <a:ln>
                      <a:noFill/>
                    </a:ln>
                  </pic:spPr>
                </pic:pic>
              </a:graphicData>
            </a:graphic>
          </wp:inline>
        </w:drawing>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drawing>
          <wp:inline distT="0" distB="0" distL="114300" distR="114300">
            <wp:extent cx="733425" cy="295275"/>
            <wp:effectExtent l="0" t="0" r="9525" b="952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38"/>
                    <a:stretch>
                      <a:fillRect/>
                    </a:stretch>
                  </pic:blipFill>
                  <pic:spPr>
                    <a:xfrm>
                      <a:off x="0" y="0"/>
                      <a:ext cx="733425" cy="295275"/>
                    </a:xfrm>
                    <a:prstGeom prst="rect">
                      <a:avLst/>
                    </a:prstGeom>
                    <a:noFill/>
                    <a:ln>
                      <a:noFill/>
                    </a:ln>
                  </pic:spPr>
                </pic:pic>
              </a:graphicData>
            </a:graphic>
          </wp:inline>
        </w:drawing>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式中：</w:t>
      </w:r>
      <w:r>
        <w:rPr>
          <w:rFonts w:hint="eastAsia" w:ascii="Times New Roman" w:hAnsi="Times New Roman" w:eastAsia="宋体" w:cs="Times New Roman"/>
          <w:i/>
          <w:color w:val="auto"/>
          <w:sz w:val="24"/>
          <w:szCs w:val="24"/>
        </w:rPr>
        <w:t>S</w:t>
      </w:r>
      <w:r>
        <w:rPr>
          <w:rFonts w:ascii="Times New Roman" w:hAnsi="Times New Roman" w:eastAsia="宋体" w:cs="Times New Roman"/>
          <w:i/>
          <w:color w:val="auto"/>
          <w:sz w:val="24"/>
          <w:szCs w:val="24"/>
          <w:vertAlign w:val="subscript"/>
        </w:rPr>
        <w:t>pH，j</w:t>
      </w:r>
      <w:r>
        <w:rPr>
          <w:rFonts w:ascii="Times New Roman" w:hAnsi="Times New Roman" w:eastAsia="宋体" w:cs="Times New Roman"/>
          <w:color w:val="auto"/>
          <w:sz w:val="24"/>
          <w:szCs w:val="24"/>
        </w:rPr>
        <w:t>——pH值的指数，大于</w:t>
      </w:r>
      <w:r>
        <w:rPr>
          <w:rFonts w:hint="eastAsia" w:ascii="Times New Roman" w:hAnsi="Times New Roman" w:eastAsia="宋体" w:cs="Times New Roman"/>
          <w:color w:val="auto"/>
          <w:sz w:val="24"/>
          <w:szCs w:val="24"/>
        </w:rPr>
        <w:t>1表明该水质因子超标</w:t>
      </w:r>
      <w:r>
        <w:rPr>
          <w:rFonts w:ascii="Times New Roman" w:hAnsi="Times New Roman" w:eastAsia="宋体" w:cs="Times New Roman"/>
          <w:color w:val="auto"/>
          <w:sz w:val="24"/>
          <w:szCs w:val="24"/>
        </w:rPr>
        <w:t>；</w:t>
      </w:r>
    </w:p>
    <w:p>
      <w:pPr>
        <w:spacing w:line="440" w:lineRule="exact"/>
        <w:ind w:firstLine="1200" w:firstLineChars="5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pH</w:t>
      </w:r>
      <w:r>
        <w:rPr>
          <w:rFonts w:ascii="Times New Roman" w:hAnsi="Times New Roman" w:eastAsia="宋体" w:cs="Times New Roman"/>
          <w:i/>
          <w:color w:val="auto"/>
          <w:sz w:val="24"/>
          <w:szCs w:val="24"/>
          <w:vertAlign w:val="subscript"/>
        </w:rPr>
        <w:t>j</w:t>
      </w:r>
      <w:r>
        <w:rPr>
          <w:rFonts w:ascii="Times New Roman" w:hAnsi="Times New Roman" w:eastAsia="宋体" w:cs="Times New Roman"/>
          <w:color w:val="auto"/>
          <w:sz w:val="24"/>
          <w:szCs w:val="24"/>
        </w:rPr>
        <w:t>——pH</w:t>
      </w:r>
      <w:r>
        <w:rPr>
          <w:rFonts w:hint="eastAsia" w:ascii="Times New Roman" w:hAnsi="Times New Roman" w:eastAsia="宋体" w:cs="Times New Roman"/>
          <w:color w:val="auto"/>
          <w:sz w:val="24"/>
          <w:szCs w:val="24"/>
        </w:rPr>
        <w:t>值</w:t>
      </w:r>
      <w:r>
        <w:rPr>
          <w:rFonts w:ascii="Times New Roman" w:hAnsi="Times New Roman" w:eastAsia="宋体" w:cs="Times New Roman"/>
          <w:color w:val="auto"/>
          <w:sz w:val="24"/>
          <w:szCs w:val="24"/>
        </w:rPr>
        <w:t>实测统计代表值；</w:t>
      </w:r>
    </w:p>
    <w:p>
      <w:pPr>
        <w:spacing w:line="440" w:lineRule="exact"/>
        <w:ind w:firstLine="1200" w:firstLineChars="5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pH</w:t>
      </w:r>
      <w:r>
        <w:rPr>
          <w:rFonts w:ascii="Times New Roman" w:hAnsi="Times New Roman" w:eastAsia="宋体" w:cs="Times New Roman"/>
          <w:i/>
          <w:color w:val="auto"/>
          <w:sz w:val="24"/>
          <w:szCs w:val="24"/>
          <w:vertAlign w:val="subscript"/>
        </w:rPr>
        <w:t>sd</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评价</w:t>
      </w:r>
      <w:r>
        <w:rPr>
          <w:rFonts w:ascii="Times New Roman" w:hAnsi="Times New Roman" w:eastAsia="宋体" w:cs="Times New Roman"/>
          <w:color w:val="auto"/>
          <w:sz w:val="24"/>
          <w:szCs w:val="24"/>
        </w:rPr>
        <w:t>标准中pH值的下限值；</w:t>
      </w:r>
    </w:p>
    <w:p>
      <w:pPr>
        <w:spacing w:line="440" w:lineRule="exact"/>
        <w:ind w:firstLine="1200" w:firstLineChars="5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pH</w:t>
      </w:r>
      <w:r>
        <w:rPr>
          <w:rFonts w:ascii="Times New Roman" w:hAnsi="Times New Roman" w:eastAsia="宋体" w:cs="Times New Roman"/>
          <w:i/>
          <w:color w:val="auto"/>
          <w:sz w:val="24"/>
          <w:szCs w:val="24"/>
          <w:vertAlign w:val="subscript"/>
        </w:rPr>
        <w:t>su</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评价</w:t>
      </w:r>
      <w:r>
        <w:rPr>
          <w:rFonts w:ascii="Times New Roman" w:hAnsi="Times New Roman" w:eastAsia="宋体" w:cs="Times New Roman"/>
          <w:color w:val="auto"/>
          <w:sz w:val="24"/>
          <w:szCs w:val="24"/>
        </w:rPr>
        <w:t>标准中pH值的上限值。</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4、</w:t>
      </w:r>
      <w:r>
        <w:rPr>
          <w:rFonts w:hint="eastAsia" w:ascii="Times New Roman" w:hAnsi="Times New Roman" w:eastAsia="宋体" w:cs="Times New Roman"/>
          <w:b/>
          <w:color w:val="auto"/>
          <w:sz w:val="24"/>
          <w:szCs w:val="24"/>
        </w:rPr>
        <w:t>评价</w:t>
      </w:r>
      <w:r>
        <w:rPr>
          <w:rFonts w:ascii="Times New Roman" w:hAnsi="Times New Roman" w:eastAsia="宋体" w:cs="Times New Roman"/>
          <w:b/>
          <w:color w:val="auto"/>
          <w:sz w:val="24"/>
          <w:szCs w:val="24"/>
        </w:rPr>
        <w:t>结果</w:t>
      </w:r>
    </w:p>
    <w:p>
      <w:pPr>
        <w:spacing w:line="440" w:lineRule="exact"/>
        <w:ind w:firstLine="480" w:firstLineChars="200"/>
        <w:rPr>
          <w:color w:val="auto"/>
        </w:rPr>
      </w:pPr>
      <w:r>
        <w:rPr>
          <w:rFonts w:hint="eastAsia" w:ascii="Times New Roman" w:hAnsi="Times New Roman" w:eastAsia="宋体" w:cs="Times New Roman"/>
          <w:color w:val="auto"/>
          <w:sz w:val="24"/>
          <w:szCs w:val="24"/>
        </w:rPr>
        <w:t>采用上述单项水质指数评价法，本项目地下水水质评价</w:t>
      </w:r>
      <w:r>
        <w:rPr>
          <w:rFonts w:ascii="Times New Roman" w:hAnsi="Times New Roman" w:eastAsia="宋体" w:cs="Times New Roman"/>
          <w:color w:val="auto"/>
          <w:sz w:val="24"/>
          <w:szCs w:val="24"/>
        </w:rPr>
        <w:t>结果</w:t>
      </w:r>
      <w:r>
        <w:rPr>
          <w:rFonts w:hint="eastAsia" w:ascii="Times New Roman" w:hAnsi="Times New Roman" w:eastAsia="宋体" w:cs="Times New Roman"/>
          <w:color w:val="auto"/>
          <w:sz w:val="24"/>
          <w:szCs w:val="24"/>
        </w:rPr>
        <w:t>见</w:t>
      </w:r>
      <w:r>
        <w:rPr>
          <w:rFonts w:ascii="Times New Roman" w:hAnsi="Times New Roman" w:eastAsia="宋体" w:cs="Times New Roman"/>
          <w:color w:val="auto"/>
          <w:sz w:val="24"/>
          <w:szCs w:val="24"/>
        </w:rPr>
        <w:t>表4.2-</w:t>
      </w:r>
      <w:r>
        <w:rPr>
          <w:rFonts w:hint="eastAsia" w:ascii="Times New Roman" w:hAnsi="Times New Roman" w:eastAsia="宋体" w:cs="Times New Roman"/>
          <w:color w:val="auto"/>
          <w:sz w:val="24"/>
          <w:szCs w:val="24"/>
          <w:lang w:val="en-US" w:eastAsia="zh-CN"/>
        </w:rPr>
        <w:t>11</w:t>
      </w:r>
      <w:r>
        <w:rPr>
          <w:rFonts w:ascii="Times New Roman" w:hAnsi="Times New Roman" w:eastAsia="宋体" w:cs="Times New Roman"/>
          <w:color w:val="auto"/>
          <w:sz w:val="24"/>
          <w:szCs w:val="24"/>
        </w:rPr>
        <w:t>。</w:t>
      </w:r>
    </w:p>
    <w:p>
      <w:pPr>
        <w:pStyle w:val="2503"/>
        <w:numPr>
          <w:ilvl w:val="0"/>
          <w:numId w:val="31"/>
        </w:numPr>
        <w:spacing w:before="120"/>
        <w:ind w:left="425" w:leftChars="0" w:hanging="425"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地下水</w:t>
      </w:r>
      <w:r>
        <w:rPr>
          <w:rFonts w:hint="eastAsia" w:ascii="Times New Roman" w:hAnsi="Times New Roman" w:eastAsia="宋体" w:cs="Times New Roman"/>
          <w:color w:val="auto"/>
          <w:lang w:val="en-US" w:eastAsia="zh-CN"/>
        </w:rPr>
        <w:t>评价结果</w:t>
      </w:r>
    </w:p>
    <w:tbl>
      <w:tblPr>
        <w:tblStyle w:val="89"/>
        <w:tblW w:w="4998" w:type="pct"/>
        <w:jc w:val="center"/>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161"/>
        <w:gridCol w:w="1757"/>
        <w:gridCol w:w="922"/>
        <w:gridCol w:w="922"/>
        <w:gridCol w:w="922"/>
        <w:gridCol w:w="855"/>
        <w:gridCol w:w="794"/>
        <w:gridCol w:w="426"/>
        <w:gridCol w:w="761"/>
      </w:tblGrid>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监测日期</w:t>
            </w:r>
          </w:p>
        </w:tc>
        <w:tc>
          <w:tcPr>
            <w:tcW w:w="852"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监测项目</w:t>
            </w:r>
          </w:p>
        </w:tc>
        <w:tc>
          <w:tcPr>
            <w:tcW w:w="1705" w:type="pct"/>
            <w:gridSpan w:val="3"/>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监测点位及结果（mg/l）</w:t>
            </w:r>
          </w:p>
        </w:tc>
        <w:tc>
          <w:tcPr>
            <w:tcW w:w="57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评价标准</w:t>
            </w:r>
          </w:p>
        </w:tc>
        <w:tc>
          <w:tcPr>
            <w:tcW w:w="44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Sj值</w:t>
            </w:r>
          </w:p>
        </w:tc>
        <w:tc>
          <w:tcPr>
            <w:tcW w:w="44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超标率</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8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最大超标倍数</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852"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574"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1#点位</w:t>
            </w:r>
          </w:p>
        </w:tc>
        <w:tc>
          <w:tcPr>
            <w:tcW w:w="620"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2#点位</w:t>
            </w:r>
          </w:p>
        </w:tc>
        <w:tc>
          <w:tcPr>
            <w:tcW w:w="509"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3#点位</w:t>
            </w:r>
          </w:p>
        </w:tc>
        <w:tc>
          <w:tcPr>
            <w:tcW w:w="579"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444"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444"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581"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restar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2020.07.27</w:t>
            </w:r>
          </w:p>
        </w:tc>
        <w:tc>
          <w:tcPr>
            <w:tcW w:w="852"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574"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7.28</w:t>
            </w:r>
          </w:p>
        </w:tc>
        <w:tc>
          <w:tcPr>
            <w:tcW w:w="620"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7.32</w:t>
            </w:r>
          </w:p>
        </w:tc>
        <w:tc>
          <w:tcPr>
            <w:tcW w:w="509"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7.36</w:t>
            </w:r>
          </w:p>
        </w:tc>
        <w:tc>
          <w:tcPr>
            <w:tcW w:w="579"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6.5~8.5</w:t>
            </w:r>
          </w:p>
        </w:tc>
        <w:tc>
          <w:tcPr>
            <w:tcW w:w="444"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w:t>
            </w:r>
          </w:p>
        </w:tc>
        <w:tc>
          <w:tcPr>
            <w:tcW w:w="444"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0.383</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0.181</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0.124</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0.766</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硝酸盐</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0.838</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0.321</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0.201</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0.0419</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亚硝酸盐</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0.003L</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0.003L</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0.003L</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挥发性酚类</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0.0003L</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0.0003L</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0.0003L</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氰化物</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0.004L</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0.004L</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0.004L</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氟化物</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0.122</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0.094</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0.102</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0.122</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总硬度</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85.7</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溶解性总固体</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0.122</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耗氧量</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硫酸盐</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6.04</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6.74</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6.89</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0.3445</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氯化物</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0.665</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0.718</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0.0104</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总大肠菌群（MPN/100mL）</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&lt;2</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0.67</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细菌总数(CFU/mL)</w:t>
            </w:r>
          </w:p>
        </w:tc>
        <w:tc>
          <w:tcPr>
            <w:tcW w:w="574"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92</w:t>
            </w:r>
          </w:p>
        </w:tc>
        <w:tc>
          <w:tcPr>
            <w:tcW w:w="620"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509"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88</w:t>
            </w:r>
          </w:p>
        </w:tc>
        <w:tc>
          <w:tcPr>
            <w:tcW w:w="579"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444"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0.95</w:t>
            </w:r>
          </w:p>
        </w:tc>
        <w:tc>
          <w:tcPr>
            <w:tcW w:w="444"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钾</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0.90</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钠</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4.87</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3.94</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4.06</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0.024</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钙</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29.4</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34.0</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镁</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3.57</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3.04</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4.10</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碳酸根</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85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碳酸氢根</w:t>
            </w:r>
          </w:p>
        </w:tc>
        <w:tc>
          <w:tcPr>
            <w:tcW w:w="57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62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w:t>
            </w:r>
          </w:p>
        </w:tc>
        <w:tc>
          <w:tcPr>
            <w:tcW w:w="50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57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4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8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392"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备注</w:t>
            </w:r>
          </w:p>
        </w:tc>
        <w:tc>
          <w:tcPr>
            <w:tcW w:w="4607" w:type="pct"/>
            <w:gridSpan w:val="8"/>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当测定结果低于分析方法检出限时，报所使用方法的检出限值，并在其后加标志位L。</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地下水质量标准GB/T 14848-2017“表1”Ⅲ类标准</w:t>
            </w:r>
          </w:p>
        </w:tc>
      </w:tr>
    </w:tbl>
    <w:p>
      <w:pPr>
        <w:spacing w:line="440" w:lineRule="exact"/>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监测结果表明：本项目地下水监测点中各项指标的标准指数均小于1，未出现超标现象，均能满足《地下水质量标准》（GB/T 14848-2017）中的Ⅲ类标准要求</w:t>
      </w:r>
      <w:r>
        <w:rPr>
          <w:rFonts w:hint="eastAsia" w:ascii="Times New Roman" w:hAnsi="Times New Roman" w:eastAsia="宋体" w:cs="Times New Roman"/>
          <w:color w:val="auto"/>
          <w:sz w:val="24"/>
          <w:szCs w:val="24"/>
          <w:lang w:eastAsia="zh-CN"/>
        </w:rPr>
        <w:t>。</w:t>
      </w:r>
    </w:p>
    <w:p>
      <w:pPr>
        <w:pStyle w:val="7"/>
        <w:spacing w:before="0" w:after="0" w:line="360" w:lineRule="auto"/>
        <w:ind w:left="0" w:firstLine="0"/>
        <w:rPr>
          <w:rFonts w:ascii="Times New Roman" w:hAnsi="Times New Roman" w:cs="Times New Roman"/>
          <w:color w:val="auto"/>
          <w:lang w:val="en-US" w:eastAsia="zh-CN"/>
        </w:rPr>
      </w:pPr>
      <w:bookmarkStart w:id="210" w:name="_Toc404692126"/>
      <w:bookmarkStart w:id="211" w:name="_Toc5969"/>
      <w:r>
        <w:rPr>
          <w:rFonts w:ascii="Times New Roman" w:hAnsi="Times New Roman" w:cs="Times New Roman"/>
          <w:color w:val="auto"/>
          <w:lang w:val="en-US" w:eastAsia="zh-CN"/>
        </w:rPr>
        <w:t>声环境质量现状监测与评价</w:t>
      </w:r>
      <w:bookmarkEnd w:id="210"/>
      <w:bookmarkEnd w:id="211"/>
    </w:p>
    <w:p>
      <w:pPr>
        <w:pStyle w:val="8"/>
        <w:numPr>
          <w:ilvl w:val="3"/>
          <w:numId w:val="30"/>
        </w:numPr>
        <w:spacing w:line="374" w:lineRule="auto"/>
        <w:rPr>
          <w:rFonts w:hint="eastAsia" w:ascii="Times New Roman" w:hAnsi="Times New Roman" w:cs="Times New Roman"/>
          <w:color w:val="auto"/>
          <w:lang w:val="en-US" w:eastAsia="zh-CN"/>
        </w:rPr>
      </w:pPr>
      <w:bookmarkStart w:id="212" w:name="_Toc347412490"/>
      <w:bookmarkEnd w:id="212"/>
      <w:bookmarkStart w:id="213" w:name="_Toc232995151"/>
      <w:r>
        <w:rPr>
          <w:rFonts w:hint="eastAsia" w:ascii="Times New Roman" w:hAnsi="Times New Roman" w:cs="Times New Roman"/>
          <w:color w:val="auto"/>
          <w:lang w:val="en-US" w:eastAsia="zh-CN"/>
        </w:rPr>
        <w:t>声环境质量现状监测</w:t>
      </w:r>
      <w:bookmarkEnd w:id="213"/>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为了解本项目所在</w:t>
      </w:r>
      <w:r>
        <w:rPr>
          <w:rFonts w:hint="eastAsia" w:ascii="Times New Roman" w:hAnsi="Times New Roman" w:eastAsia="宋体" w:cs="Times New Roman"/>
          <w:color w:val="auto"/>
          <w:sz w:val="24"/>
          <w:szCs w:val="24"/>
        </w:rPr>
        <w:t>区域声环境质量现状</w:t>
      </w:r>
      <w:r>
        <w:rPr>
          <w:rFonts w:ascii="Times New Roman" w:hAnsi="Times New Roman" w:eastAsia="宋体" w:cs="Times New Roman"/>
          <w:color w:val="auto"/>
          <w:sz w:val="24"/>
          <w:szCs w:val="24"/>
        </w:rPr>
        <w:t>，本次评价委托</w:t>
      </w:r>
      <w:r>
        <w:rPr>
          <w:rFonts w:hint="eastAsia" w:ascii="Times New Roman" w:hAnsi="Times New Roman" w:eastAsia="宋体" w:cs="Times New Roman"/>
          <w:color w:val="auto"/>
          <w:sz w:val="24"/>
          <w:szCs w:val="24"/>
          <w:lang w:eastAsia="zh-CN"/>
        </w:rPr>
        <w:t>四川洁承环境科技有限公司</w:t>
      </w:r>
      <w:r>
        <w:rPr>
          <w:rFonts w:ascii="Times New Roman" w:hAnsi="Times New Roman" w:eastAsia="宋体" w:cs="Times New Roman"/>
          <w:color w:val="auto"/>
          <w:sz w:val="24"/>
          <w:szCs w:val="24"/>
        </w:rPr>
        <w:t>于20</w:t>
      </w:r>
      <w:r>
        <w:rPr>
          <w:rFonts w:hint="eastAsia" w:ascii="Times New Roman" w:hAnsi="Times New Roman" w:eastAsia="宋体" w:cs="Times New Roman"/>
          <w:color w:val="auto"/>
          <w:sz w:val="24"/>
          <w:szCs w:val="24"/>
          <w:lang w:val="en-US" w:eastAsia="zh-CN"/>
        </w:rPr>
        <w:t>20</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25</w:t>
      </w:r>
      <w:r>
        <w:rPr>
          <w:rFonts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26</w:t>
      </w:r>
      <w:r>
        <w:rPr>
          <w:rFonts w:ascii="Times New Roman" w:hAnsi="Times New Roman" w:eastAsia="宋体" w:cs="Times New Roman"/>
          <w:color w:val="auto"/>
          <w:sz w:val="24"/>
          <w:szCs w:val="24"/>
        </w:rPr>
        <w:t>日对项目</w:t>
      </w:r>
      <w:r>
        <w:rPr>
          <w:rFonts w:hint="eastAsia" w:ascii="Times New Roman" w:hAnsi="Times New Roman" w:eastAsia="宋体" w:cs="Times New Roman"/>
          <w:color w:val="auto"/>
          <w:sz w:val="24"/>
          <w:szCs w:val="24"/>
        </w:rPr>
        <w:t>周</w:t>
      </w:r>
      <w:r>
        <w:rPr>
          <w:rFonts w:ascii="Times New Roman" w:hAnsi="Times New Roman" w:eastAsia="宋体" w:cs="Times New Roman"/>
          <w:color w:val="auto"/>
          <w:sz w:val="24"/>
          <w:szCs w:val="24"/>
        </w:rPr>
        <w:t>边</w:t>
      </w:r>
      <w:r>
        <w:rPr>
          <w:rFonts w:hint="eastAsia" w:ascii="Times New Roman" w:hAnsi="Times New Roman" w:eastAsia="宋体" w:cs="Times New Roman"/>
          <w:color w:val="auto"/>
          <w:sz w:val="24"/>
          <w:szCs w:val="24"/>
        </w:rPr>
        <w:t>声</w:t>
      </w:r>
      <w:r>
        <w:rPr>
          <w:rFonts w:ascii="Times New Roman" w:hAnsi="Times New Roman" w:eastAsia="宋体" w:cs="Times New Roman"/>
          <w:color w:val="auto"/>
          <w:sz w:val="24"/>
          <w:szCs w:val="24"/>
        </w:rPr>
        <w:t>环境质量现状进行监测。</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1、监测点位</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本次评价共布设</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个噪声监测点进行现状监测，监测点位布设情况见表</w:t>
      </w:r>
      <w:r>
        <w:rPr>
          <w:rFonts w:ascii="Times New Roman" w:hAnsi="Times New Roman" w:eastAsia="宋体" w:cs="Times New Roman"/>
          <w:color w:val="auto"/>
          <w:sz w:val="24"/>
          <w:szCs w:val="24"/>
        </w:rPr>
        <w:t>4.2</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w:t>
      </w:r>
    </w:p>
    <w:p>
      <w:pPr>
        <w:pStyle w:val="2503"/>
        <w:numPr>
          <w:ilvl w:val="0"/>
          <w:numId w:val="31"/>
        </w:numPr>
        <w:spacing w:before="120"/>
        <w:ind w:left="425" w:leftChars="0" w:hanging="425"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噪声监测点位布设情况</w:t>
      </w:r>
    </w:p>
    <w:tbl>
      <w:tblPr>
        <w:tblStyle w:val="88"/>
        <w:tblW w:w="4999"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41"/>
        <w:gridCol w:w="4154"/>
        <w:gridCol w:w="240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监测点编号</w:t>
            </w:r>
          </w:p>
        </w:tc>
        <w:tc>
          <w:tcPr>
            <w:tcW w:w="250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监测点位</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500"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厂界</w:t>
            </w:r>
            <w:r>
              <w:rPr>
                <w:rFonts w:hint="eastAsia" w:ascii="Times New Roman" w:hAnsi="Times New Roman" w:eastAsia="宋体" w:cs="Times New Roman"/>
                <w:color w:val="auto"/>
                <w:sz w:val="21"/>
                <w:szCs w:val="21"/>
                <w:lang w:eastAsia="zh-CN"/>
              </w:rPr>
              <w:t>东</w:t>
            </w:r>
            <w:r>
              <w:rPr>
                <w:rFonts w:hint="default" w:ascii="Times New Roman" w:hAnsi="Times New Roman" w:eastAsia="宋体" w:cs="Times New Roman"/>
                <w:color w:val="auto"/>
                <w:sz w:val="21"/>
                <w:szCs w:val="21"/>
                <w:lang w:eastAsia="zh-CN"/>
              </w:rPr>
              <w:t>面</w:t>
            </w:r>
            <w:r>
              <w:rPr>
                <w:rFonts w:hint="eastAsia" w:ascii="Times New Roman" w:hAnsi="Times New Roman" w:eastAsia="宋体" w:cs="Times New Roman"/>
                <w:color w:val="auto"/>
                <w:sz w:val="21"/>
                <w:szCs w:val="21"/>
                <w:lang w:eastAsia="zh-CN"/>
              </w:rPr>
              <w:t>外</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米</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噪声本底值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500"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厂界</w:t>
            </w:r>
            <w:r>
              <w:rPr>
                <w:rFonts w:hint="eastAsia" w:ascii="Times New Roman" w:hAnsi="Times New Roman" w:eastAsia="宋体" w:cs="Times New Roman"/>
                <w:color w:val="auto"/>
                <w:sz w:val="21"/>
                <w:szCs w:val="21"/>
                <w:lang w:eastAsia="zh-CN"/>
              </w:rPr>
              <w:t>南</w:t>
            </w:r>
            <w:r>
              <w:rPr>
                <w:rFonts w:hint="default" w:ascii="Times New Roman" w:hAnsi="Times New Roman" w:eastAsia="宋体" w:cs="Times New Roman"/>
                <w:color w:val="auto"/>
                <w:sz w:val="21"/>
                <w:szCs w:val="21"/>
              </w:rPr>
              <w:t>面</w:t>
            </w:r>
            <w:r>
              <w:rPr>
                <w:rFonts w:hint="eastAsia" w:ascii="Times New Roman" w:hAnsi="Times New Roman" w:eastAsia="宋体" w:cs="Times New Roman"/>
                <w:color w:val="auto"/>
                <w:sz w:val="21"/>
                <w:szCs w:val="21"/>
                <w:lang w:eastAsia="zh-CN"/>
              </w:rPr>
              <w:t>外</w:t>
            </w:r>
            <w:r>
              <w:rPr>
                <w:rFonts w:hint="default" w:ascii="Times New Roman" w:hAnsi="Times New Roman" w:eastAsia="宋体" w:cs="Times New Roman"/>
                <w:color w:val="auto"/>
                <w:sz w:val="21"/>
                <w:szCs w:val="21"/>
              </w:rPr>
              <w:t>1米</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噪声本底值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500"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厂界</w:t>
            </w:r>
            <w:r>
              <w:rPr>
                <w:rFonts w:hint="eastAsia" w:ascii="Times New Roman" w:hAnsi="Times New Roman" w:eastAsia="宋体" w:cs="Times New Roman"/>
                <w:color w:val="auto"/>
                <w:sz w:val="21"/>
                <w:szCs w:val="21"/>
                <w:lang w:eastAsia="zh-CN"/>
              </w:rPr>
              <w:t>西</w:t>
            </w:r>
            <w:r>
              <w:rPr>
                <w:rFonts w:hint="default" w:ascii="Times New Roman" w:hAnsi="Times New Roman" w:eastAsia="宋体" w:cs="Times New Roman"/>
                <w:color w:val="auto"/>
                <w:sz w:val="21"/>
                <w:szCs w:val="21"/>
              </w:rPr>
              <w:t>面外1米</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噪声本底值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2500" w:type="pct"/>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厂界</w:t>
            </w:r>
            <w:r>
              <w:rPr>
                <w:rFonts w:hint="eastAsia" w:ascii="Times New Roman" w:hAnsi="Times New Roman" w:eastAsia="宋体" w:cs="Times New Roman"/>
                <w:color w:val="auto"/>
                <w:sz w:val="21"/>
                <w:szCs w:val="21"/>
                <w:lang w:eastAsia="zh-CN"/>
              </w:rPr>
              <w:t>北</w:t>
            </w:r>
            <w:r>
              <w:rPr>
                <w:rFonts w:hint="default" w:ascii="Times New Roman" w:hAnsi="Times New Roman" w:eastAsia="宋体" w:cs="Times New Roman"/>
                <w:color w:val="auto"/>
                <w:sz w:val="21"/>
                <w:szCs w:val="21"/>
              </w:rPr>
              <w:t>面外1米</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噪声本底值</w:t>
            </w:r>
          </w:p>
        </w:tc>
      </w:tr>
    </w:tbl>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2、监测项目</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测量</w:t>
      </w:r>
      <w:r>
        <w:rPr>
          <w:rFonts w:hint="eastAsia" w:ascii="Times New Roman" w:hAnsi="Times New Roman" w:eastAsia="宋体" w:cs="Times New Roman"/>
          <w:color w:val="auto"/>
          <w:sz w:val="24"/>
          <w:szCs w:val="24"/>
        </w:rPr>
        <w:t>各监测点</w:t>
      </w:r>
      <w:r>
        <w:rPr>
          <w:rFonts w:ascii="Times New Roman" w:hAnsi="Times New Roman" w:eastAsia="宋体" w:cs="Times New Roman"/>
          <w:color w:val="auto"/>
          <w:sz w:val="24"/>
          <w:szCs w:val="24"/>
        </w:rPr>
        <w:t>昼间及夜间的等效连续A声级</w:t>
      </w:r>
      <w:r>
        <w:rPr>
          <w:rFonts w:hint="eastAsia" w:ascii="Times New Roman" w:hAnsi="Times New Roman" w:eastAsia="宋体" w:cs="Times New Roman"/>
          <w:color w:val="auto"/>
          <w:sz w:val="24"/>
          <w:szCs w:val="24"/>
        </w:rPr>
        <w:t>LAeq</w:t>
      </w:r>
      <w:r>
        <w:rPr>
          <w:rFonts w:ascii="Times New Roman" w:hAnsi="Times New Roman" w:eastAsia="宋体" w:cs="Times New Roman"/>
          <w:color w:val="auto"/>
          <w:sz w:val="24"/>
          <w:szCs w:val="24"/>
        </w:rPr>
        <w:t>。</w:t>
      </w:r>
    </w:p>
    <w:p>
      <w:pPr>
        <w:spacing w:line="440" w:lineRule="exact"/>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3、监测周期及频率</w:t>
      </w:r>
    </w:p>
    <w:p>
      <w:pPr>
        <w:spacing w:line="440" w:lineRule="exact"/>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20</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25</w:t>
      </w:r>
      <w:r>
        <w:rPr>
          <w:rFonts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26</w:t>
      </w:r>
      <w:r>
        <w:rPr>
          <w:rFonts w:ascii="Times New Roman" w:hAnsi="Times New Roman" w:eastAsia="宋体" w:cs="Times New Roman"/>
          <w:color w:val="auto"/>
          <w:sz w:val="24"/>
          <w:szCs w:val="24"/>
        </w:rPr>
        <w:t>日</w:t>
      </w:r>
      <w:r>
        <w:rPr>
          <w:rFonts w:hint="eastAsia" w:ascii="Times New Roman" w:hAnsi="Times New Roman" w:eastAsia="宋体" w:cs="Times New Roman"/>
          <w:color w:val="auto"/>
          <w:sz w:val="24"/>
          <w:szCs w:val="24"/>
        </w:rPr>
        <w:t>，连续检测2天，每天昼间、夜间各检测1次。</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4、监测分析方法</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按《声环境质量标准》（GB3096-2008）</w:t>
      </w:r>
      <w:r>
        <w:rPr>
          <w:rFonts w:hint="eastAsia" w:ascii="Times New Roman" w:hAnsi="Times New Roman" w:eastAsia="宋体" w:cs="Times New Roman"/>
          <w:color w:val="auto"/>
          <w:sz w:val="24"/>
          <w:szCs w:val="24"/>
        </w:rPr>
        <w:t>中规定的监测分析方法执行</w:t>
      </w:r>
      <w:r>
        <w:rPr>
          <w:rFonts w:ascii="Times New Roman" w:hAnsi="Times New Roman" w:eastAsia="宋体" w:cs="Times New Roman"/>
          <w:color w:val="auto"/>
          <w:sz w:val="24"/>
          <w:szCs w:val="24"/>
        </w:rPr>
        <w:t>。</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5、监测</w:t>
      </w:r>
      <w:r>
        <w:rPr>
          <w:rFonts w:hint="eastAsia" w:ascii="Times New Roman" w:hAnsi="Times New Roman" w:eastAsia="宋体" w:cs="Times New Roman"/>
          <w:b/>
          <w:color w:val="auto"/>
          <w:sz w:val="24"/>
          <w:szCs w:val="24"/>
        </w:rPr>
        <w:t>结果</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声环境质量现状监测结果见表</w:t>
      </w:r>
      <w:r>
        <w:rPr>
          <w:rFonts w:ascii="Times New Roman" w:hAnsi="Times New Roman" w:eastAsia="宋体" w:cs="Times New Roman"/>
          <w:color w:val="auto"/>
          <w:sz w:val="24"/>
          <w:szCs w:val="24"/>
        </w:rPr>
        <w:t>4.2-1</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w:t>
      </w:r>
    </w:p>
    <w:p>
      <w:pPr>
        <w:pStyle w:val="2503"/>
        <w:numPr>
          <w:ilvl w:val="0"/>
          <w:numId w:val="31"/>
        </w:numPr>
        <w:spacing w:before="120"/>
        <w:ind w:left="425" w:leftChars="0" w:hanging="425"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声环境质量现状监测结果</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108" w:type="dxa"/>
          <w:bottom w:w="0" w:type="dxa"/>
          <w:right w:w="108" w:type="dxa"/>
        </w:tblCellMar>
      </w:tblPr>
      <w:tblGrid>
        <w:gridCol w:w="1311"/>
        <w:gridCol w:w="2634"/>
        <w:gridCol w:w="1342"/>
        <w:gridCol w:w="1735"/>
        <w:gridCol w:w="1497"/>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4"/>
                <w:lang w:eastAsia="zh-CN"/>
              </w:rPr>
            </w:pPr>
            <w:r>
              <w:rPr>
                <w:rFonts w:hint="default" w:ascii="Times New Roman" w:hAnsi="Times New Roman" w:cs="Times New Roman"/>
                <w:b/>
                <w:color w:val="auto"/>
                <w:szCs w:val="24"/>
              </w:rPr>
              <w:t>监测</w:t>
            </w:r>
            <w:r>
              <w:rPr>
                <w:rFonts w:hint="eastAsia" w:ascii="Times New Roman" w:hAnsi="Times New Roman" w:cs="Times New Roman"/>
                <w:b/>
                <w:color w:val="auto"/>
                <w:szCs w:val="24"/>
                <w:lang w:eastAsia="zh-CN"/>
              </w:rPr>
              <w:t>日期</w:t>
            </w:r>
          </w:p>
        </w:tc>
        <w:tc>
          <w:tcPr>
            <w:tcW w:w="15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4"/>
              </w:rPr>
            </w:pPr>
            <w:r>
              <w:rPr>
                <w:rFonts w:hint="default" w:ascii="Times New Roman" w:hAnsi="Times New Roman" w:cs="Times New Roman"/>
                <w:b/>
                <w:color w:val="auto"/>
                <w:szCs w:val="24"/>
              </w:rPr>
              <w:t>监测点位</w:t>
            </w:r>
            <w:r>
              <w:rPr>
                <w:rFonts w:hint="default" w:ascii="Times New Roman" w:hAnsi="Times New Roman" w:cs="Times New Roman"/>
                <w:b/>
                <w:bCs/>
                <w:color w:val="auto"/>
                <w:lang w:val="en-US" w:eastAsia="zh-CN"/>
              </w:rPr>
              <w:t>及编号</w:t>
            </w:r>
          </w:p>
        </w:tc>
        <w:tc>
          <w:tcPr>
            <w:tcW w:w="7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4"/>
                <w:lang w:eastAsia="zh-CN"/>
              </w:rPr>
            </w:pPr>
            <w:r>
              <w:rPr>
                <w:rFonts w:hint="eastAsia" w:ascii="Times New Roman" w:hAnsi="Times New Roman" w:cs="Times New Roman"/>
                <w:b/>
                <w:color w:val="auto"/>
                <w:szCs w:val="24"/>
                <w:lang w:eastAsia="zh-CN"/>
              </w:rPr>
              <w:t>监测项目</w:t>
            </w:r>
          </w:p>
        </w:tc>
        <w:tc>
          <w:tcPr>
            <w:tcW w:w="101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4"/>
                <w:lang w:eastAsia="zh-CN"/>
              </w:rPr>
            </w:pPr>
            <w:r>
              <w:rPr>
                <w:rFonts w:hint="default" w:ascii="Times New Roman" w:hAnsi="Times New Roman" w:cs="Times New Roman"/>
                <w:b/>
                <w:color w:val="auto"/>
                <w:szCs w:val="24"/>
                <w:lang w:eastAsia="zh-CN"/>
              </w:rPr>
              <w:t>监测</w:t>
            </w:r>
            <w:r>
              <w:rPr>
                <w:rFonts w:hint="default" w:ascii="Times New Roman" w:hAnsi="Times New Roman" w:cs="Times New Roman"/>
                <w:b/>
                <w:color w:val="auto"/>
                <w:szCs w:val="24"/>
              </w:rPr>
              <w:t>时</w:t>
            </w:r>
            <w:r>
              <w:rPr>
                <w:rFonts w:hint="default" w:ascii="Times New Roman" w:hAnsi="Times New Roman" w:cs="Times New Roman"/>
                <w:b/>
                <w:color w:val="auto"/>
                <w:szCs w:val="24"/>
                <w:lang w:eastAsia="zh-CN"/>
              </w:rPr>
              <w:t>段</w:t>
            </w:r>
          </w:p>
        </w:tc>
        <w:tc>
          <w:tcPr>
            <w:tcW w:w="87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4"/>
              </w:rPr>
            </w:pPr>
            <w:r>
              <w:rPr>
                <w:rFonts w:hint="default" w:ascii="Times New Roman" w:hAnsi="Times New Roman" w:cs="Times New Roman"/>
                <w:b/>
                <w:color w:val="auto"/>
                <w:szCs w:val="24"/>
                <w:lang w:eastAsia="zh-CN"/>
              </w:rPr>
              <w:t>监测</w:t>
            </w:r>
            <w:r>
              <w:rPr>
                <w:rFonts w:hint="default" w:ascii="Times New Roman" w:hAnsi="Times New Roman" w:cs="Times New Roman"/>
                <w:b/>
                <w:color w:val="auto"/>
                <w:szCs w:val="24"/>
              </w:rPr>
              <w:t>结果</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shd w:val="clear" w:color="FFFFFF" w:fill="D9D9D9"/>
                <w:lang w:val="en-US" w:eastAsia="zh-CN"/>
              </w:rPr>
            </w:pPr>
            <w:r>
              <w:rPr>
                <w:rFonts w:hint="default" w:ascii="Times New Roman" w:hAnsi="Times New Roman" w:eastAsia="宋体" w:cs="Times New Roman"/>
                <w:color w:val="auto"/>
                <w:szCs w:val="24"/>
                <w:shd w:val="clear" w:color="auto" w:fill="auto"/>
                <w:lang w:val="en-US" w:eastAsia="zh-CN"/>
              </w:rPr>
              <w:t>20</w:t>
            </w:r>
            <w:r>
              <w:rPr>
                <w:rFonts w:hint="eastAsia" w:ascii="Times New Roman" w:hAnsi="Times New Roman" w:eastAsia="宋体" w:cs="Times New Roman"/>
                <w:color w:val="auto"/>
                <w:szCs w:val="24"/>
                <w:shd w:val="clear" w:color="auto" w:fill="auto"/>
                <w:lang w:val="en-US" w:eastAsia="zh-CN"/>
              </w:rPr>
              <w:t>20.07.25</w:t>
            </w:r>
          </w:p>
        </w:tc>
        <w:tc>
          <w:tcPr>
            <w:tcW w:w="1545"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rPr>
            </w:pPr>
            <w:r>
              <w:rPr>
                <w:rFonts w:hint="eastAsia" w:ascii="Times New Roman" w:hAnsi="Times New Roman" w:eastAsia="宋体" w:cs="Times New Roman"/>
                <w:color w:val="auto"/>
                <w:sz w:val="21"/>
                <w:szCs w:val="21"/>
                <w:lang w:val="en-US" w:eastAsia="zh-CN"/>
              </w:rPr>
              <w:t>1#本项目厂界东面外1m</w:t>
            </w:r>
          </w:p>
        </w:tc>
        <w:tc>
          <w:tcPr>
            <w:tcW w:w="787"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环境噪声</w:t>
            </w:r>
          </w:p>
        </w:tc>
        <w:tc>
          <w:tcPr>
            <w:tcW w:w="1018" w:type="pc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16:13~16:23</w:t>
            </w:r>
          </w:p>
        </w:tc>
        <w:tc>
          <w:tcPr>
            <w:tcW w:w="878" w:type="pc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49</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shd w:val="clear" w:color="auto" w:fill="auto"/>
                <w:lang w:val="en-US" w:eastAsia="zh-CN"/>
              </w:rPr>
            </w:pPr>
          </w:p>
        </w:tc>
        <w:tc>
          <w:tcPr>
            <w:tcW w:w="154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87"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22:24~22:34</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41</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rPr>
            </w:pPr>
          </w:p>
        </w:tc>
        <w:tc>
          <w:tcPr>
            <w:tcW w:w="1545"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rPr>
            </w:pPr>
            <w:r>
              <w:rPr>
                <w:rFonts w:hint="eastAsia" w:ascii="Times New Roman" w:hAnsi="Times New Roman" w:eastAsia="宋体" w:cs="Times New Roman"/>
                <w:color w:val="auto"/>
                <w:sz w:val="21"/>
                <w:szCs w:val="21"/>
                <w:lang w:val="en-US" w:eastAsia="zh-CN"/>
              </w:rPr>
              <w:t>2#本项目厂界南面外1m</w:t>
            </w:r>
          </w:p>
        </w:tc>
        <w:tc>
          <w:tcPr>
            <w:tcW w:w="787"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16:42~16:52</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52</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rPr>
            </w:pPr>
          </w:p>
        </w:tc>
        <w:tc>
          <w:tcPr>
            <w:tcW w:w="154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87"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22:52~23:02</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1545"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color w:val="auto"/>
                <w:lang w:val="en-US" w:eastAsia="zh-CN"/>
              </w:rPr>
              <w:t>3#本项目厂界西面外1m</w:t>
            </w:r>
          </w:p>
        </w:tc>
        <w:tc>
          <w:tcPr>
            <w:tcW w:w="787"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17:29~17:39</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48</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154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87"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23:15~23:25</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545"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4#本项目厂界北面外1m</w:t>
            </w:r>
          </w:p>
        </w:tc>
        <w:tc>
          <w:tcPr>
            <w:tcW w:w="787"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17:59~18:09</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48</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9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54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87"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23:39~23:49</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43</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shd w:val="clear" w:color="FFFFFF" w:fill="D9D9D9"/>
                <w:lang w:val="en-US" w:eastAsia="zh-CN"/>
              </w:rPr>
            </w:pPr>
            <w:r>
              <w:rPr>
                <w:rFonts w:hint="default" w:ascii="Times New Roman" w:hAnsi="Times New Roman" w:eastAsia="宋体" w:cs="Times New Roman"/>
                <w:color w:val="auto"/>
                <w:szCs w:val="24"/>
                <w:shd w:val="clear" w:color="auto" w:fill="auto"/>
                <w:lang w:val="en-US" w:eastAsia="zh-CN"/>
              </w:rPr>
              <w:t>20</w:t>
            </w:r>
            <w:r>
              <w:rPr>
                <w:rFonts w:hint="eastAsia" w:ascii="Times New Roman" w:hAnsi="Times New Roman" w:eastAsia="宋体" w:cs="Times New Roman"/>
                <w:color w:val="auto"/>
                <w:szCs w:val="24"/>
                <w:shd w:val="clear" w:color="auto" w:fill="auto"/>
                <w:lang w:val="en-US" w:eastAsia="zh-CN"/>
              </w:rPr>
              <w:t>20.07.26</w:t>
            </w:r>
          </w:p>
        </w:tc>
        <w:tc>
          <w:tcPr>
            <w:tcW w:w="1545"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rPr>
            </w:pPr>
            <w:r>
              <w:rPr>
                <w:rFonts w:hint="eastAsia" w:ascii="Times New Roman" w:hAnsi="Times New Roman" w:eastAsia="宋体" w:cs="Times New Roman"/>
                <w:color w:val="auto"/>
                <w:sz w:val="21"/>
                <w:szCs w:val="21"/>
                <w:lang w:val="en-US" w:eastAsia="zh-CN"/>
              </w:rPr>
              <w:t>1#本项目厂界东面外1m</w:t>
            </w:r>
          </w:p>
        </w:tc>
        <w:tc>
          <w:tcPr>
            <w:tcW w:w="787"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环境噪声</w:t>
            </w: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15:24~15:34</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49</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shd w:val="clear" w:color="auto" w:fill="auto"/>
                <w:lang w:val="en-US" w:eastAsia="zh-CN"/>
              </w:rPr>
            </w:pPr>
          </w:p>
        </w:tc>
        <w:tc>
          <w:tcPr>
            <w:tcW w:w="154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87"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22:15~22:25</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42</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rPr>
            </w:pPr>
          </w:p>
        </w:tc>
        <w:tc>
          <w:tcPr>
            <w:tcW w:w="1545"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rPr>
            </w:pPr>
            <w:r>
              <w:rPr>
                <w:rFonts w:hint="eastAsia" w:ascii="Times New Roman" w:hAnsi="Times New Roman" w:eastAsia="宋体" w:cs="Times New Roman"/>
                <w:color w:val="auto"/>
                <w:sz w:val="21"/>
                <w:szCs w:val="21"/>
                <w:lang w:val="en-US" w:eastAsia="zh-CN"/>
              </w:rPr>
              <w:t>2#本项目厂界南面外1m</w:t>
            </w:r>
          </w:p>
        </w:tc>
        <w:tc>
          <w:tcPr>
            <w:tcW w:w="787" w:type="pct"/>
            <w:vMerge w:val="continue"/>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15:55~16:05</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4"/>
              </w:rPr>
            </w:pPr>
          </w:p>
        </w:tc>
        <w:tc>
          <w:tcPr>
            <w:tcW w:w="154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22:42~22:52</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1545"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color w:val="auto"/>
                <w:lang w:val="en-US" w:eastAsia="zh-CN"/>
              </w:rPr>
              <w:t>3#本项目厂界西面外1m</w:t>
            </w:r>
          </w:p>
        </w:tc>
        <w:tc>
          <w:tcPr>
            <w:tcW w:w="7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16:35~16:45</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49</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1545"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23:19~23:29</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42</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545" w:type="pct"/>
            <w:vMerge w:val="restar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4#本项目厂界北面外1m</w:t>
            </w:r>
          </w:p>
        </w:tc>
        <w:tc>
          <w:tcPr>
            <w:tcW w:w="7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17:03~17:13</w:t>
            </w:r>
          </w:p>
        </w:tc>
        <w:tc>
          <w:tcPr>
            <w:tcW w:w="878"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48</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769"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p>
        </w:tc>
        <w:tc>
          <w:tcPr>
            <w:tcW w:w="1545"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787"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p>
        </w:tc>
        <w:tc>
          <w:tcPr>
            <w:tcW w:w="1018"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23:50~00:00</w:t>
            </w:r>
          </w:p>
        </w:tc>
        <w:tc>
          <w:tcPr>
            <w:tcW w:w="878"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44</w:t>
            </w:r>
          </w:p>
        </w:tc>
      </w:tr>
    </w:tbl>
    <w:p>
      <w:pPr>
        <w:pStyle w:val="8"/>
        <w:numPr>
          <w:ilvl w:val="3"/>
          <w:numId w:val="30"/>
        </w:numPr>
        <w:spacing w:line="374" w:lineRule="auto"/>
        <w:rPr>
          <w:rFonts w:hint="eastAsia" w:ascii="Times New Roman" w:hAnsi="Times New Roman" w:cs="Times New Roman"/>
          <w:color w:val="auto"/>
          <w:lang w:val="en-US" w:eastAsia="zh-CN"/>
        </w:rPr>
      </w:pPr>
      <w:bookmarkStart w:id="214" w:name="_Toc232995152"/>
      <w:r>
        <w:rPr>
          <w:rFonts w:hint="eastAsia" w:ascii="Times New Roman" w:hAnsi="Times New Roman" w:cs="Times New Roman"/>
          <w:color w:val="auto"/>
          <w:lang w:val="en-US" w:eastAsia="zh-CN"/>
        </w:rPr>
        <w:t>声环境质量现状评价</w:t>
      </w:r>
      <w:bookmarkEnd w:id="214"/>
    </w:p>
    <w:p>
      <w:pPr>
        <w:spacing w:line="440" w:lineRule="exact"/>
        <w:ind w:firstLine="482" w:firstLineChars="200"/>
        <w:rPr>
          <w:rFonts w:ascii="Times New Roman" w:hAnsi="Times New Roman" w:eastAsia="宋体" w:cs="Times New Roman"/>
          <w:b/>
          <w:color w:val="auto"/>
          <w:sz w:val="24"/>
          <w:szCs w:val="24"/>
        </w:rPr>
      </w:pPr>
      <w:bookmarkStart w:id="215" w:name="_Toc211050370"/>
      <w:bookmarkEnd w:id="215"/>
      <w:bookmarkStart w:id="216" w:name="_Toc209336143"/>
      <w:bookmarkEnd w:id="216"/>
      <w:bookmarkStart w:id="217" w:name="_Toc347412491"/>
      <w:bookmarkEnd w:id="217"/>
      <w:r>
        <w:rPr>
          <w:rFonts w:ascii="Times New Roman" w:hAnsi="Times New Roman" w:eastAsia="宋体" w:cs="Times New Roman"/>
          <w:b/>
          <w:color w:val="auto"/>
          <w:sz w:val="24"/>
          <w:szCs w:val="24"/>
        </w:rPr>
        <w:t>1、评价标准</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本次评价</w:t>
      </w:r>
      <w:r>
        <w:rPr>
          <w:rFonts w:ascii="Times New Roman" w:hAnsi="Times New Roman" w:eastAsia="宋体" w:cs="Times New Roman"/>
          <w:color w:val="auto"/>
          <w:sz w:val="24"/>
          <w:szCs w:val="24"/>
        </w:rPr>
        <w:t>执行《声环境质量标准》（GB3096-2008）2类标准，标准限值为昼间LAeq≤60dB，夜间LAeq≤50dB。</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2、评价结果</w:t>
      </w:r>
    </w:p>
    <w:p>
      <w:pPr>
        <w:spacing w:line="440" w:lineRule="exact"/>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声环境质量现状评价结果统计见表4.2-1</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w:t>
      </w:r>
    </w:p>
    <w:p>
      <w:pPr>
        <w:pStyle w:val="2503"/>
        <w:numPr>
          <w:ilvl w:val="0"/>
          <w:numId w:val="31"/>
        </w:numPr>
        <w:spacing w:before="120"/>
        <w:ind w:left="425" w:leftChars="0" w:hanging="425"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声环境质量现状评价结果</w:t>
      </w:r>
    </w:p>
    <w:tbl>
      <w:tblPr>
        <w:tblStyle w:val="88"/>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66"/>
        <w:gridCol w:w="1040"/>
        <w:gridCol w:w="1104"/>
        <w:gridCol w:w="1000"/>
        <w:gridCol w:w="912"/>
        <w:gridCol w:w="928"/>
        <w:gridCol w:w="195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监测时间</w:t>
            </w:r>
          </w:p>
        </w:tc>
        <w:tc>
          <w:tcPr>
            <w:tcW w:w="626"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监测点位</w:t>
            </w:r>
          </w:p>
        </w:tc>
        <w:tc>
          <w:tcPr>
            <w:tcW w:w="2375" w:type="pct"/>
            <w:gridSpan w:val="4"/>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评价结果【dB（A）】</w:t>
            </w:r>
          </w:p>
        </w:tc>
        <w:tc>
          <w:tcPr>
            <w:tcW w:w="1174" w:type="pct"/>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评价标准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26"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昼间</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结果</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夜间</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结果</w:t>
            </w:r>
          </w:p>
        </w:tc>
        <w:tc>
          <w:tcPr>
            <w:tcW w:w="1174"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4"/>
                <w:shd w:val="clear" w:color="auto" w:fill="auto"/>
                <w:lang w:val="en-US" w:eastAsia="zh-CN"/>
              </w:rPr>
              <w:t>20</w:t>
            </w:r>
            <w:r>
              <w:rPr>
                <w:rFonts w:hint="eastAsia" w:ascii="Times New Roman" w:hAnsi="Times New Roman" w:eastAsia="宋体" w:cs="Times New Roman"/>
                <w:color w:val="auto"/>
                <w:szCs w:val="24"/>
                <w:shd w:val="clear" w:color="auto" w:fill="auto"/>
                <w:lang w:val="en-US" w:eastAsia="zh-CN"/>
              </w:rPr>
              <w:t>20.07.25</w:t>
            </w: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1174"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《声环境质量标准》（GB3096-2008）2类</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52</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14"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9" w:beforeAutospacing="0" w:after="0" w:afterAutospacing="0" w:line="240" w:lineRule="auto"/>
              <w:ind w:left="0" w:right="0" w:firstLine="42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43</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9" w:beforeAutospacing="0" w:after="0" w:afterAutospacing="0" w:line="240" w:lineRule="auto"/>
              <w:ind w:left="0" w:right="0" w:firstLine="420" w:firstLineChars="0"/>
              <w:jc w:val="center"/>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4"/>
                <w:shd w:val="clear" w:color="auto" w:fill="auto"/>
                <w:lang w:val="en-US" w:eastAsia="zh-CN"/>
              </w:rPr>
              <w:t>20</w:t>
            </w:r>
            <w:r>
              <w:rPr>
                <w:rFonts w:hint="eastAsia" w:ascii="Times New Roman" w:hAnsi="Times New Roman" w:eastAsia="宋体" w:cs="Times New Roman"/>
                <w:color w:val="auto"/>
                <w:szCs w:val="24"/>
                <w:shd w:val="clear" w:color="auto" w:fill="auto"/>
                <w:lang w:val="en-US" w:eastAsia="zh-CN"/>
              </w:rPr>
              <w:t>20.07.26</w:t>
            </w:r>
          </w:p>
        </w:tc>
        <w:tc>
          <w:tcPr>
            <w:tcW w:w="626"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28"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27"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49</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28"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28"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000" w:type="pct"/>
            <w:gridSpan w:val="7"/>
            <w:noWrap w:val="0"/>
            <w:vAlign w:val="center"/>
          </w:tcPr>
          <w:p>
            <w:pPr>
              <w:keepNext w:val="0"/>
              <w:keepLines w:val="0"/>
              <w:widowControl w:val="0"/>
              <w:suppressLineNumbers w:val="0"/>
              <w:kinsoku w:val="0"/>
              <w:overflowPunct w:val="0"/>
              <w:autoSpaceDE w:val="0"/>
              <w:autoSpaceDN w:val="0"/>
              <w:adjustRightInd w:val="0"/>
              <w:spacing w:before="28" w:beforeAutospacing="0" w:after="0" w:afterAutospacing="0" w:line="240" w:lineRule="auto"/>
              <w:ind w:left="0" w:right="0"/>
              <w:jc w:val="both"/>
              <w:rPr>
                <w:rFonts w:hint="default" w:ascii="Times New Roman" w:hAnsi="Times New Roman" w:eastAsia="宋体" w:cs="Times New Roman"/>
                <w:color w:val="auto"/>
                <w:kern w:val="0"/>
                <w:sz w:val="24"/>
                <w:szCs w:val="24"/>
                <w:lang w:val="en-US" w:eastAsia="zh-CN" w:bidi="ar-SA"/>
              </w:rPr>
            </w:pPr>
            <w:r>
              <w:rPr>
                <w:rFonts w:hint="default"/>
                <w:color w:val="auto"/>
                <w:szCs w:val="21"/>
              </w:rPr>
              <w:t>GB3096-2008中2类标准限值：昼间</w:t>
            </w:r>
            <w:r>
              <w:rPr>
                <w:rFonts w:hint="eastAsia" w:ascii="宋体" w:hAnsi="宋体" w:cs="宋体"/>
                <w:color w:val="auto"/>
                <w:szCs w:val="21"/>
              </w:rPr>
              <w:t>≦</w:t>
            </w:r>
            <w:r>
              <w:rPr>
                <w:rFonts w:hint="default"/>
                <w:color w:val="auto"/>
                <w:szCs w:val="21"/>
              </w:rPr>
              <w:t>60dB（A），夜间</w:t>
            </w:r>
            <w:r>
              <w:rPr>
                <w:rFonts w:hint="eastAsia" w:ascii="宋体" w:hAnsi="宋体" w:cs="宋体"/>
                <w:color w:val="auto"/>
                <w:szCs w:val="21"/>
              </w:rPr>
              <w:t>≦</w:t>
            </w:r>
            <w:r>
              <w:rPr>
                <w:rFonts w:hint="default"/>
                <w:color w:val="auto"/>
                <w:szCs w:val="21"/>
              </w:rPr>
              <w:t>50dB（A）</w:t>
            </w:r>
          </w:p>
        </w:tc>
      </w:tr>
    </w:tbl>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监测结果表明：</w:t>
      </w:r>
      <w:r>
        <w:rPr>
          <w:rFonts w:ascii="Times New Roman" w:hAnsi="Times New Roman" w:eastAsia="宋体" w:cs="Times New Roman"/>
          <w:color w:val="auto"/>
          <w:sz w:val="24"/>
          <w:szCs w:val="24"/>
        </w:rPr>
        <w:t>监测点</w:t>
      </w:r>
      <w:r>
        <w:rPr>
          <w:rFonts w:hint="eastAsia" w:ascii="Times New Roman" w:hAnsi="Times New Roman" w:eastAsia="宋体" w:cs="Times New Roman"/>
          <w:color w:val="auto"/>
          <w:sz w:val="24"/>
          <w:szCs w:val="24"/>
        </w:rPr>
        <w:t>昼、夜间噪声测定值均能满足《声环境质量标准》（GB3096-2008）中2类标准要求。</w:t>
      </w:r>
    </w:p>
    <w:p>
      <w:pPr>
        <w:pStyle w:val="7"/>
        <w:spacing w:before="0" w:after="0" w:line="360" w:lineRule="auto"/>
        <w:ind w:left="0" w:firstLine="0"/>
        <w:rPr>
          <w:rFonts w:ascii="Times New Roman" w:hAnsi="Times New Roman" w:cs="Times New Roman"/>
          <w:color w:val="auto"/>
          <w:lang w:val="en-US" w:eastAsia="zh-CN"/>
        </w:rPr>
      </w:pPr>
      <w:bookmarkStart w:id="218" w:name="_Toc23196"/>
      <w:r>
        <w:rPr>
          <w:rFonts w:hint="eastAsia" w:ascii="Times New Roman" w:hAnsi="Times New Roman" w:cs="Times New Roman"/>
          <w:color w:val="auto"/>
          <w:lang w:val="en-US" w:eastAsia="zh-CN"/>
        </w:rPr>
        <w:t>土壤</w:t>
      </w:r>
      <w:r>
        <w:rPr>
          <w:rFonts w:ascii="Times New Roman" w:hAnsi="Times New Roman" w:cs="Times New Roman"/>
          <w:color w:val="auto"/>
          <w:lang w:val="en-US" w:eastAsia="zh-CN"/>
        </w:rPr>
        <w:t>环境质量现状监测与评价</w:t>
      </w:r>
      <w:bookmarkEnd w:id="218"/>
    </w:p>
    <w:p>
      <w:pPr>
        <w:spacing w:line="44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本项目用地</w:t>
      </w:r>
      <w:r>
        <w:rPr>
          <w:rFonts w:hint="eastAsia" w:ascii="Times New Roman" w:hAnsi="Times New Roman" w:eastAsia="宋体" w:cs="Times New Roman"/>
          <w:color w:val="auto"/>
          <w:sz w:val="24"/>
          <w:szCs w:val="24"/>
          <w:lang w:bidi="ar"/>
        </w:rPr>
        <w:t>用地性质属农业用地，本次评价委托</w:t>
      </w:r>
      <w:r>
        <w:rPr>
          <w:rFonts w:hint="eastAsia" w:ascii="Times New Roman" w:hAnsi="Times New Roman" w:eastAsia="宋体" w:cs="Times New Roman"/>
          <w:color w:val="auto"/>
          <w:sz w:val="24"/>
          <w:szCs w:val="24"/>
          <w:lang w:eastAsia="zh-CN" w:bidi="ar"/>
        </w:rPr>
        <w:t>四川洁承环境科技有限公司</w:t>
      </w:r>
      <w:r>
        <w:rPr>
          <w:rFonts w:hint="eastAsia" w:ascii="Times New Roman" w:hAnsi="Times New Roman" w:eastAsia="宋体" w:cs="Times New Roman"/>
          <w:color w:val="auto"/>
          <w:sz w:val="24"/>
          <w:szCs w:val="24"/>
          <w:lang w:bidi="ar"/>
        </w:rPr>
        <w:t>于20</w:t>
      </w:r>
      <w:r>
        <w:rPr>
          <w:rFonts w:hint="eastAsia" w:ascii="Times New Roman" w:hAnsi="Times New Roman" w:eastAsia="宋体" w:cs="Times New Roman"/>
          <w:color w:val="auto"/>
          <w:sz w:val="24"/>
          <w:szCs w:val="24"/>
          <w:lang w:val="en-US" w:eastAsia="zh-CN" w:bidi="ar"/>
        </w:rPr>
        <w:t>20</w:t>
      </w:r>
      <w:r>
        <w:rPr>
          <w:rFonts w:hint="eastAsia" w:ascii="Times New Roman" w:hAnsi="Times New Roman" w:eastAsia="宋体" w:cs="Times New Roman"/>
          <w:color w:val="auto"/>
          <w:sz w:val="24"/>
          <w:szCs w:val="24"/>
          <w:lang w:bidi="ar"/>
        </w:rPr>
        <w:t>年</w:t>
      </w:r>
      <w:r>
        <w:rPr>
          <w:rFonts w:hint="eastAsia" w:ascii="Times New Roman" w:hAnsi="Times New Roman" w:eastAsia="宋体" w:cs="Times New Roman"/>
          <w:color w:val="auto"/>
          <w:sz w:val="24"/>
          <w:szCs w:val="24"/>
          <w:lang w:val="en-US" w:eastAsia="zh-CN" w:bidi="ar"/>
        </w:rPr>
        <w:t>7</w:t>
      </w:r>
      <w:r>
        <w:rPr>
          <w:rFonts w:hint="eastAsia" w:ascii="Times New Roman" w:hAnsi="Times New Roman" w:eastAsia="宋体" w:cs="Times New Roman"/>
          <w:color w:val="auto"/>
          <w:sz w:val="24"/>
          <w:szCs w:val="24"/>
          <w:lang w:bidi="ar"/>
        </w:rPr>
        <w:t>月</w:t>
      </w:r>
      <w:r>
        <w:rPr>
          <w:rFonts w:hint="eastAsia" w:ascii="Times New Roman" w:hAnsi="Times New Roman" w:eastAsia="宋体" w:cs="Times New Roman"/>
          <w:color w:val="auto"/>
          <w:sz w:val="24"/>
          <w:szCs w:val="24"/>
          <w:lang w:val="en-US" w:eastAsia="zh-CN" w:bidi="ar"/>
        </w:rPr>
        <w:t>26</w:t>
      </w:r>
      <w:r>
        <w:rPr>
          <w:rFonts w:hint="eastAsia" w:ascii="Times New Roman" w:hAnsi="Times New Roman" w:eastAsia="宋体" w:cs="Times New Roman"/>
          <w:color w:val="auto"/>
          <w:sz w:val="24"/>
          <w:szCs w:val="24"/>
          <w:lang w:bidi="ar"/>
        </w:rPr>
        <w:t>日对项目所在地土</w:t>
      </w:r>
      <w:r>
        <w:rPr>
          <w:rFonts w:ascii="Times New Roman" w:hAnsi="Times New Roman" w:eastAsia="宋体" w:cs="Times New Roman"/>
          <w:color w:val="auto"/>
          <w:sz w:val="24"/>
          <w:szCs w:val="24"/>
          <w:lang w:bidi="ar"/>
        </w:rPr>
        <w:t>壤环境质量进行了现状监测</w:t>
      </w:r>
      <w:r>
        <w:rPr>
          <w:rFonts w:hint="eastAsia" w:ascii="Times New Roman" w:hAnsi="Times New Roman" w:eastAsia="宋体" w:cs="Times New Roman"/>
          <w:color w:val="auto"/>
          <w:sz w:val="24"/>
          <w:szCs w:val="24"/>
          <w:lang w:bidi="ar"/>
        </w:rPr>
        <w:t>。</w:t>
      </w:r>
    </w:p>
    <w:p>
      <w:pPr>
        <w:spacing w:line="440" w:lineRule="exact"/>
        <w:ind w:firstLine="482" w:firstLineChars="200"/>
        <w:rPr>
          <w:rFonts w:ascii="Times New Roman" w:hAnsi="Times New Roman" w:eastAsia="宋体" w:cs="Times New Roman"/>
          <w:color w:val="auto"/>
          <w:sz w:val="24"/>
          <w:szCs w:val="24"/>
          <w:lang w:bidi="ar"/>
        </w:rPr>
      </w:pPr>
      <w:r>
        <w:rPr>
          <w:rFonts w:ascii="Times New Roman" w:hAnsi="Times New Roman" w:eastAsia="宋体" w:cs="Times New Roman"/>
          <w:b/>
          <w:bCs/>
          <w:color w:val="auto"/>
          <w:sz w:val="24"/>
          <w:szCs w:val="24"/>
          <w:lang w:bidi="ar"/>
        </w:rPr>
        <w:t>1、监测点位设置</w:t>
      </w:r>
    </w:p>
    <w:p>
      <w:pPr>
        <w:spacing w:line="440" w:lineRule="exact"/>
        <w:ind w:firstLine="480" w:firstLineChars="200"/>
        <w:rPr>
          <w:rFonts w:ascii="Times New Roman" w:hAnsi="Times New Roman" w:eastAsia="宋体" w:cs="Times New Roman"/>
          <w:bCs/>
          <w:color w:val="auto"/>
          <w:sz w:val="24"/>
          <w:szCs w:val="24"/>
          <w:lang w:bidi="ar"/>
        </w:rPr>
      </w:pPr>
      <w:r>
        <w:rPr>
          <w:rFonts w:hint="eastAsia" w:ascii="Times New Roman" w:hAnsi="Times New Roman" w:eastAsia="宋体" w:cs="Times New Roman"/>
          <w:bCs/>
          <w:color w:val="auto"/>
          <w:sz w:val="24"/>
          <w:szCs w:val="24"/>
          <w:lang w:bidi="ar"/>
        </w:rPr>
        <w:t>根据</w:t>
      </w:r>
      <w:r>
        <w:rPr>
          <w:rFonts w:ascii="Times New Roman" w:hAnsi="Times New Roman" w:eastAsia="宋体" w:cs="Times New Roman"/>
          <w:bCs/>
          <w:color w:val="auto"/>
          <w:sz w:val="24"/>
          <w:szCs w:val="24"/>
          <w:lang w:bidi="ar"/>
        </w:rPr>
        <w:t>《环境影响评价技术导则  土壤环境》（HJ 964</w:t>
      </w:r>
      <w:r>
        <w:rPr>
          <w:rFonts w:hint="eastAsia" w:ascii="Times New Roman" w:hAnsi="Times New Roman" w:eastAsia="宋体" w:cs="Times New Roman"/>
          <w:bCs/>
          <w:color w:val="auto"/>
          <w:sz w:val="24"/>
          <w:szCs w:val="24"/>
          <w:lang w:bidi="ar"/>
        </w:rPr>
        <w:t>-</w:t>
      </w:r>
      <w:r>
        <w:rPr>
          <w:rFonts w:ascii="Times New Roman" w:hAnsi="Times New Roman" w:eastAsia="宋体" w:cs="Times New Roman"/>
          <w:bCs/>
          <w:color w:val="auto"/>
          <w:sz w:val="24"/>
          <w:szCs w:val="24"/>
          <w:lang w:bidi="ar"/>
        </w:rPr>
        <w:t>2018）</w:t>
      </w:r>
      <w:r>
        <w:rPr>
          <w:rFonts w:hint="eastAsia" w:ascii="Times New Roman" w:hAnsi="Times New Roman" w:eastAsia="宋体" w:cs="Times New Roman"/>
          <w:bCs/>
          <w:color w:val="auto"/>
          <w:sz w:val="24"/>
          <w:szCs w:val="24"/>
          <w:lang w:bidi="ar"/>
        </w:rPr>
        <w:t>，</w:t>
      </w:r>
      <w:r>
        <w:rPr>
          <w:rFonts w:ascii="Times New Roman" w:hAnsi="Times New Roman" w:eastAsia="宋体" w:cs="Times New Roman"/>
          <w:bCs/>
          <w:color w:val="auto"/>
          <w:sz w:val="24"/>
          <w:szCs w:val="24"/>
          <w:lang w:bidi="ar"/>
        </w:rPr>
        <w:t>本次评价在厂区内共布设3个表层样点</w:t>
      </w:r>
      <w:r>
        <w:rPr>
          <w:rFonts w:hint="eastAsia" w:ascii="Times New Roman" w:hAnsi="Times New Roman" w:eastAsia="宋体" w:cs="Times New Roman"/>
          <w:bCs/>
          <w:color w:val="auto"/>
          <w:sz w:val="24"/>
          <w:szCs w:val="24"/>
          <w:lang w:bidi="ar"/>
        </w:rPr>
        <w:t>采集</w:t>
      </w:r>
      <w:r>
        <w:rPr>
          <w:rFonts w:ascii="Times New Roman" w:hAnsi="Times New Roman" w:eastAsia="宋体" w:cs="Times New Roman"/>
          <w:bCs/>
          <w:color w:val="auto"/>
          <w:sz w:val="24"/>
          <w:szCs w:val="24"/>
          <w:lang w:bidi="ar"/>
        </w:rPr>
        <w:t>土壤样品，监测点位布设情况见表4.2-1</w:t>
      </w:r>
      <w:r>
        <w:rPr>
          <w:rFonts w:hint="eastAsia" w:ascii="Times New Roman" w:hAnsi="Times New Roman" w:eastAsia="宋体" w:cs="Times New Roman"/>
          <w:bCs/>
          <w:color w:val="auto"/>
          <w:sz w:val="24"/>
          <w:szCs w:val="24"/>
          <w:lang w:val="en-US" w:eastAsia="zh-CN" w:bidi="ar"/>
        </w:rPr>
        <w:t>5</w:t>
      </w:r>
      <w:r>
        <w:rPr>
          <w:rFonts w:ascii="Times New Roman" w:hAnsi="Times New Roman" w:eastAsia="宋体" w:cs="Times New Roman"/>
          <w:bCs/>
          <w:color w:val="auto"/>
          <w:sz w:val="24"/>
          <w:szCs w:val="24"/>
          <w:lang w:bidi="ar"/>
        </w:rPr>
        <w:t>。</w:t>
      </w:r>
    </w:p>
    <w:p>
      <w:pPr>
        <w:pStyle w:val="2503"/>
        <w:numPr>
          <w:ilvl w:val="0"/>
          <w:numId w:val="31"/>
        </w:numPr>
        <w:spacing w:before="120"/>
        <w:ind w:left="425" w:leftChars="0" w:hanging="425"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土壤现状监测布点情况</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692"/>
        <w:gridCol w:w="2429"/>
        <w:gridCol w:w="1378"/>
        <w:gridCol w:w="1238"/>
        <w:gridCol w:w="21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40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14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80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取样深度</w:t>
            </w:r>
          </w:p>
        </w:tc>
        <w:tc>
          <w:tcPr>
            <w:tcW w:w="72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取样方式</w:t>
            </w:r>
          </w:p>
        </w:tc>
        <w:tc>
          <w:tcPr>
            <w:tcW w:w="123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9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06" w:type="pct"/>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厂区占地范围内</w:t>
            </w:r>
          </w:p>
        </w:tc>
        <w:tc>
          <w:tcPr>
            <w:tcW w:w="14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color w:val="auto"/>
                <w:szCs w:val="21"/>
              </w:rPr>
              <w:t>场地东侧</w:t>
            </w:r>
          </w:p>
        </w:tc>
        <w:tc>
          <w:tcPr>
            <w:tcW w:w="80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0~0.2m</w:t>
            </w:r>
          </w:p>
        </w:tc>
        <w:tc>
          <w:tcPr>
            <w:tcW w:w="72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表层样</w:t>
            </w:r>
          </w:p>
        </w:tc>
        <w:tc>
          <w:tcPr>
            <w:tcW w:w="123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表1中8项基本项目+</w:t>
            </w:r>
            <w:r>
              <w:rPr>
                <w:rFonts w:hint="eastAsia" w:ascii="Times New Roman" w:hAnsi="Times New Roman" w:eastAsia="宋体" w:cs="Times New Roman"/>
                <w:color w:val="auto"/>
                <w:sz w:val="21"/>
                <w:szCs w:val="21"/>
              </w:rPr>
              <w:t>p</w:t>
            </w:r>
            <w:r>
              <w:rPr>
                <w:rFonts w:hint="default" w:ascii="Times New Roman" w:hAnsi="Times New Roman" w:eastAsia="宋体" w:cs="Times New Roman"/>
                <w:color w:val="auto"/>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9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06"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14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color w:val="auto"/>
                <w:szCs w:val="21"/>
              </w:rPr>
              <w:t>场地中部</w:t>
            </w:r>
          </w:p>
        </w:tc>
        <w:tc>
          <w:tcPr>
            <w:tcW w:w="80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0~0.2m</w:t>
            </w:r>
          </w:p>
        </w:tc>
        <w:tc>
          <w:tcPr>
            <w:tcW w:w="72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表层样</w:t>
            </w:r>
          </w:p>
        </w:tc>
        <w:tc>
          <w:tcPr>
            <w:tcW w:w="123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表1中8项基本项目+</w:t>
            </w:r>
            <w:r>
              <w:rPr>
                <w:rFonts w:hint="eastAsia" w:ascii="Times New Roman" w:hAnsi="Times New Roman" w:eastAsia="宋体" w:cs="Times New Roman"/>
                <w:color w:val="auto"/>
                <w:sz w:val="21"/>
                <w:szCs w:val="21"/>
              </w:rPr>
              <w:t>p</w:t>
            </w:r>
            <w:r>
              <w:rPr>
                <w:rFonts w:hint="default" w:ascii="Times New Roman" w:hAnsi="Times New Roman" w:eastAsia="宋体" w:cs="Times New Roman"/>
                <w:color w:val="auto"/>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9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06"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14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color w:val="auto"/>
                <w:szCs w:val="21"/>
              </w:rPr>
              <w:t>场地西侧</w:t>
            </w:r>
          </w:p>
        </w:tc>
        <w:tc>
          <w:tcPr>
            <w:tcW w:w="80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0~0.2m</w:t>
            </w:r>
          </w:p>
        </w:tc>
        <w:tc>
          <w:tcPr>
            <w:tcW w:w="72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表层样</w:t>
            </w:r>
          </w:p>
        </w:tc>
        <w:tc>
          <w:tcPr>
            <w:tcW w:w="123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表1中8项基本项目+</w:t>
            </w:r>
            <w:r>
              <w:rPr>
                <w:rFonts w:hint="eastAsia" w:ascii="Times New Roman" w:hAnsi="Times New Roman" w:eastAsia="宋体" w:cs="Times New Roman"/>
                <w:color w:val="auto"/>
                <w:sz w:val="21"/>
                <w:szCs w:val="21"/>
              </w:rPr>
              <w:t>p</w:t>
            </w:r>
            <w:r>
              <w:rPr>
                <w:rFonts w:hint="default" w:ascii="Times New Roman" w:hAnsi="Times New Roman" w:eastAsia="宋体" w:cs="Times New Roman"/>
                <w:color w:val="auto"/>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000" w:type="pct"/>
            <w:gridSpan w:val="6"/>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18"/>
                <w:szCs w:val="18"/>
              </w:rPr>
              <w:t>*注：表1中8项基本项目是指《土壤环境质量 农用地土壤污染风险管控标准（试行）》（GB15618-2018）中“表1 农用地土壤污染风险筛选值（基本项目）”中的：镉、汞、砷、铅、铬、铜、镍、锌。</w:t>
            </w:r>
          </w:p>
        </w:tc>
      </w:tr>
    </w:tbl>
    <w:p>
      <w:pPr>
        <w:wordWrap w:val="0"/>
        <w:spacing w:line="440" w:lineRule="exact"/>
        <w:ind w:firstLine="482" w:firstLineChars="200"/>
        <w:rPr>
          <w:rFonts w:ascii="Times New Roman" w:hAnsi="Times New Roman" w:eastAsia="宋体" w:cs="Times New Roman"/>
          <w:b/>
          <w:color w:val="auto"/>
          <w:sz w:val="24"/>
          <w:szCs w:val="24"/>
          <w:lang w:bidi="ar"/>
        </w:rPr>
      </w:pPr>
      <w:r>
        <w:rPr>
          <w:rFonts w:hint="eastAsia" w:ascii="Times New Roman" w:hAnsi="Times New Roman" w:eastAsia="宋体" w:cs="Times New Roman"/>
          <w:b/>
          <w:color w:val="auto"/>
          <w:sz w:val="24"/>
          <w:szCs w:val="24"/>
          <w:lang w:bidi="ar"/>
        </w:rPr>
        <w:t>2、</w:t>
      </w:r>
      <w:r>
        <w:rPr>
          <w:rFonts w:ascii="Times New Roman" w:hAnsi="Times New Roman" w:eastAsia="宋体" w:cs="Times New Roman"/>
          <w:b/>
          <w:color w:val="auto"/>
          <w:sz w:val="24"/>
          <w:szCs w:val="24"/>
          <w:lang w:bidi="ar"/>
        </w:rPr>
        <w:t>监测项目</w:t>
      </w:r>
    </w:p>
    <w:p>
      <w:pPr>
        <w:spacing w:line="440" w:lineRule="exact"/>
        <w:ind w:firstLine="480" w:firstLineChars="200"/>
        <w:rPr>
          <w:rFonts w:ascii="Times New Roman" w:hAnsi="Times New Roman" w:eastAsia="宋体" w:cs="Times New Roman"/>
          <w:color w:val="auto"/>
          <w:sz w:val="24"/>
          <w:szCs w:val="24"/>
          <w:lang w:bidi="ar"/>
        </w:rPr>
      </w:pPr>
      <w:r>
        <w:rPr>
          <w:rFonts w:hint="eastAsia" w:ascii="Times New Roman" w:hAnsi="Times New Roman" w:eastAsia="宋体" w:cs="Times New Roman"/>
          <w:color w:val="auto"/>
          <w:sz w:val="24"/>
          <w:szCs w:val="24"/>
          <w:lang w:bidi="ar"/>
        </w:rPr>
        <w:t>pH、镉、汞、砷、铅、铬、铜、镍、锌，共9项。</w:t>
      </w:r>
    </w:p>
    <w:p>
      <w:pPr>
        <w:spacing w:line="440" w:lineRule="exact"/>
        <w:ind w:firstLine="482" w:firstLineChars="200"/>
        <w:rPr>
          <w:rFonts w:ascii="Times New Roman" w:hAnsi="Times New Roman" w:eastAsia="宋体" w:cs="Times New Roman"/>
          <w:b/>
          <w:bCs/>
          <w:color w:val="auto"/>
          <w:sz w:val="24"/>
          <w:szCs w:val="24"/>
          <w:lang w:bidi="ar"/>
        </w:rPr>
      </w:pPr>
      <w:r>
        <w:rPr>
          <w:rFonts w:ascii="Times New Roman" w:hAnsi="Times New Roman" w:eastAsia="宋体" w:cs="Times New Roman"/>
          <w:b/>
          <w:bCs/>
          <w:color w:val="auto"/>
          <w:sz w:val="24"/>
          <w:szCs w:val="24"/>
          <w:lang w:bidi="ar"/>
        </w:rPr>
        <w:t>3、监测时间</w:t>
      </w:r>
    </w:p>
    <w:p>
      <w:pPr>
        <w:spacing w:line="440" w:lineRule="exact"/>
        <w:ind w:firstLine="480" w:firstLineChars="200"/>
        <w:rPr>
          <w:rFonts w:ascii="Times New Roman" w:hAnsi="Times New Roman" w:eastAsia="宋体" w:cs="Times New Roman"/>
          <w:bCs/>
          <w:color w:val="auto"/>
          <w:sz w:val="24"/>
          <w:szCs w:val="24"/>
          <w:lang w:bidi="ar"/>
        </w:rPr>
      </w:pPr>
      <w:r>
        <w:rPr>
          <w:rFonts w:hint="eastAsia" w:ascii="Times New Roman" w:hAnsi="Times New Roman" w:eastAsia="宋体" w:cs="Times New Roman"/>
          <w:color w:val="auto"/>
          <w:sz w:val="24"/>
          <w:szCs w:val="24"/>
          <w:lang w:bidi="ar"/>
        </w:rPr>
        <w:t>20</w:t>
      </w:r>
      <w:r>
        <w:rPr>
          <w:rFonts w:hint="eastAsia" w:ascii="Times New Roman" w:hAnsi="Times New Roman" w:eastAsia="宋体" w:cs="Times New Roman"/>
          <w:color w:val="auto"/>
          <w:sz w:val="24"/>
          <w:szCs w:val="24"/>
          <w:lang w:val="en-US" w:eastAsia="zh-CN" w:bidi="ar"/>
        </w:rPr>
        <w:t>20</w:t>
      </w:r>
      <w:r>
        <w:rPr>
          <w:rFonts w:hint="eastAsia" w:ascii="Times New Roman" w:hAnsi="Times New Roman" w:eastAsia="宋体" w:cs="Times New Roman"/>
          <w:color w:val="auto"/>
          <w:sz w:val="24"/>
          <w:szCs w:val="24"/>
          <w:lang w:bidi="ar"/>
        </w:rPr>
        <w:t>年</w:t>
      </w:r>
      <w:r>
        <w:rPr>
          <w:rFonts w:hint="eastAsia" w:ascii="Times New Roman" w:hAnsi="Times New Roman" w:eastAsia="宋体" w:cs="Times New Roman"/>
          <w:color w:val="auto"/>
          <w:sz w:val="24"/>
          <w:szCs w:val="24"/>
          <w:lang w:val="en-US" w:eastAsia="zh-CN" w:bidi="ar"/>
        </w:rPr>
        <w:t>7</w:t>
      </w:r>
      <w:r>
        <w:rPr>
          <w:rFonts w:hint="eastAsia" w:ascii="Times New Roman" w:hAnsi="Times New Roman" w:eastAsia="宋体" w:cs="Times New Roman"/>
          <w:color w:val="auto"/>
          <w:sz w:val="24"/>
          <w:szCs w:val="24"/>
          <w:lang w:bidi="ar"/>
        </w:rPr>
        <w:t>月</w:t>
      </w:r>
      <w:r>
        <w:rPr>
          <w:rFonts w:hint="eastAsia" w:ascii="Times New Roman" w:hAnsi="Times New Roman" w:eastAsia="宋体" w:cs="Times New Roman"/>
          <w:color w:val="auto"/>
          <w:sz w:val="24"/>
          <w:szCs w:val="24"/>
          <w:lang w:val="en-US" w:eastAsia="zh-CN" w:bidi="ar"/>
        </w:rPr>
        <w:t>26</w:t>
      </w:r>
      <w:r>
        <w:rPr>
          <w:rFonts w:hint="eastAsia" w:ascii="Times New Roman" w:hAnsi="Times New Roman" w:eastAsia="宋体" w:cs="Times New Roman"/>
          <w:color w:val="auto"/>
          <w:sz w:val="24"/>
          <w:szCs w:val="24"/>
          <w:lang w:bidi="ar"/>
        </w:rPr>
        <w:t>日</w:t>
      </w:r>
      <w:r>
        <w:rPr>
          <w:rFonts w:ascii="Times New Roman" w:hAnsi="Times New Roman" w:eastAsia="宋体" w:cs="Times New Roman"/>
          <w:bCs/>
          <w:color w:val="auto"/>
          <w:sz w:val="24"/>
          <w:szCs w:val="24"/>
          <w:lang w:bidi="ar"/>
        </w:rPr>
        <w:t>，</w:t>
      </w:r>
      <w:r>
        <w:rPr>
          <w:rFonts w:hint="eastAsia" w:ascii="Times New Roman" w:hAnsi="Times New Roman" w:eastAsia="宋体" w:cs="Times New Roman"/>
          <w:bCs/>
          <w:color w:val="auto"/>
          <w:sz w:val="24"/>
          <w:szCs w:val="24"/>
          <w:lang w:bidi="ar"/>
        </w:rPr>
        <w:t>连续</w:t>
      </w:r>
      <w:r>
        <w:rPr>
          <w:rFonts w:ascii="Times New Roman" w:hAnsi="Times New Roman" w:eastAsia="宋体" w:cs="Times New Roman"/>
          <w:bCs/>
          <w:color w:val="auto"/>
          <w:sz w:val="24"/>
          <w:szCs w:val="24"/>
          <w:lang w:bidi="ar"/>
        </w:rPr>
        <w:t>监测</w:t>
      </w:r>
      <w:r>
        <w:rPr>
          <w:rFonts w:hint="eastAsia" w:ascii="Times New Roman" w:hAnsi="Times New Roman" w:eastAsia="宋体" w:cs="Times New Roman"/>
          <w:bCs/>
          <w:color w:val="auto"/>
          <w:sz w:val="24"/>
          <w:szCs w:val="24"/>
          <w:lang w:bidi="ar"/>
        </w:rPr>
        <w:t>1天</w:t>
      </w:r>
      <w:r>
        <w:rPr>
          <w:rFonts w:ascii="Times New Roman" w:hAnsi="Times New Roman" w:eastAsia="宋体" w:cs="Times New Roman"/>
          <w:bCs/>
          <w:color w:val="auto"/>
          <w:sz w:val="24"/>
          <w:szCs w:val="24"/>
          <w:lang w:bidi="ar"/>
        </w:rPr>
        <w:t>，每天采样</w:t>
      </w:r>
      <w:r>
        <w:rPr>
          <w:rFonts w:hint="eastAsia" w:ascii="Times New Roman" w:hAnsi="Times New Roman" w:eastAsia="宋体" w:cs="Times New Roman"/>
          <w:bCs/>
          <w:color w:val="auto"/>
          <w:sz w:val="24"/>
          <w:szCs w:val="24"/>
          <w:lang w:bidi="ar"/>
        </w:rPr>
        <w:t>1次</w:t>
      </w:r>
      <w:r>
        <w:rPr>
          <w:rFonts w:ascii="Times New Roman" w:hAnsi="Times New Roman" w:eastAsia="宋体" w:cs="Times New Roman"/>
          <w:bCs/>
          <w:color w:val="auto"/>
          <w:sz w:val="24"/>
          <w:szCs w:val="24"/>
          <w:lang w:bidi="ar"/>
        </w:rPr>
        <w:t>。</w:t>
      </w:r>
    </w:p>
    <w:p>
      <w:pPr>
        <w:spacing w:line="440" w:lineRule="exact"/>
        <w:ind w:firstLine="482" w:firstLineChars="200"/>
        <w:rPr>
          <w:rFonts w:ascii="Times New Roman" w:hAnsi="Times New Roman" w:eastAsia="宋体" w:cs="Times New Roman"/>
          <w:b/>
          <w:bCs/>
          <w:color w:val="auto"/>
          <w:sz w:val="24"/>
          <w:szCs w:val="24"/>
          <w:lang w:bidi="ar"/>
        </w:rPr>
      </w:pPr>
      <w:r>
        <w:rPr>
          <w:rFonts w:hint="eastAsia" w:ascii="Times New Roman" w:hAnsi="Times New Roman" w:eastAsia="宋体" w:cs="Times New Roman"/>
          <w:b/>
          <w:bCs/>
          <w:color w:val="auto"/>
          <w:sz w:val="24"/>
          <w:szCs w:val="24"/>
          <w:lang w:bidi="ar"/>
        </w:rPr>
        <w:t>4、评价标准</w:t>
      </w:r>
    </w:p>
    <w:p>
      <w:pPr>
        <w:spacing w:line="440" w:lineRule="exact"/>
        <w:ind w:firstLine="480" w:firstLineChars="200"/>
        <w:rPr>
          <w:rFonts w:ascii="Times New Roman" w:hAnsi="Times New Roman" w:eastAsia="宋体" w:cs="Times New Roman"/>
          <w:bCs/>
          <w:color w:val="auto"/>
          <w:sz w:val="24"/>
          <w:szCs w:val="24"/>
          <w:lang w:bidi="ar"/>
        </w:rPr>
      </w:pPr>
      <w:r>
        <w:rPr>
          <w:rFonts w:ascii="Times New Roman" w:hAnsi="Times New Roman" w:eastAsia="宋体" w:cs="Times New Roman"/>
          <w:bCs/>
          <w:color w:val="auto"/>
          <w:sz w:val="24"/>
          <w:szCs w:val="24"/>
          <w:lang w:bidi="ar"/>
        </w:rPr>
        <w:t>执行</w:t>
      </w:r>
      <w:r>
        <w:rPr>
          <w:rFonts w:hint="eastAsia" w:ascii="Times New Roman" w:hAnsi="Times New Roman" w:eastAsia="宋体" w:cs="Times New Roman"/>
          <w:color w:val="auto"/>
          <w:sz w:val="24"/>
          <w:szCs w:val="24"/>
          <w:lang w:bidi="ar"/>
        </w:rPr>
        <w:t>《土壤环境质量 农用地土壤污染风险管控标准（试行）》（GB</w:t>
      </w:r>
      <w:r>
        <w:rPr>
          <w:rFonts w:ascii="Times New Roman" w:hAnsi="Times New Roman" w:eastAsia="宋体" w:cs="Times New Roman"/>
          <w:color w:val="auto"/>
          <w:sz w:val="24"/>
          <w:szCs w:val="24"/>
          <w:lang w:bidi="ar"/>
        </w:rPr>
        <w:t>15618</w:t>
      </w:r>
      <w:r>
        <w:rPr>
          <w:rFonts w:hint="eastAsia" w:ascii="Times New Roman" w:hAnsi="Times New Roman" w:eastAsia="宋体" w:cs="Times New Roman"/>
          <w:color w:val="auto"/>
          <w:sz w:val="24"/>
          <w:szCs w:val="24"/>
          <w:lang w:bidi="ar"/>
        </w:rPr>
        <w:t>-2018）</w:t>
      </w:r>
      <w:r>
        <w:rPr>
          <w:rFonts w:hint="eastAsia" w:ascii="Times New Roman" w:hAnsi="Times New Roman" w:eastAsia="宋体" w:cs="Times New Roman"/>
          <w:bCs/>
          <w:color w:val="auto"/>
          <w:sz w:val="24"/>
          <w:szCs w:val="24"/>
          <w:lang w:bidi="ar"/>
        </w:rPr>
        <w:t>中相关标准。</w:t>
      </w:r>
    </w:p>
    <w:p>
      <w:pPr>
        <w:spacing w:line="440" w:lineRule="exact"/>
        <w:ind w:firstLine="482" w:firstLineChars="200"/>
        <w:rPr>
          <w:rFonts w:ascii="Times New Roman" w:hAnsi="Times New Roman" w:eastAsia="宋体" w:cs="Times New Roman"/>
          <w:b/>
          <w:bCs/>
          <w:color w:val="auto"/>
          <w:sz w:val="24"/>
          <w:szCs w:val="24"/>
          <w:lang w:bidi="ar"/>
        </w:rPr>
      </w:pPr>
      <w:r>
        <w:rPr>
          <w:rFonts w:hint="eastAsia" w:ascii="Times New Roman" w:hAnsi="Times New Roman" w:eastAsia="宋体" w:cs="Times New Roman"/>
          <w:b/>
          <w:bCs/>
          <w:color w:val="auto"/>
          <w:sz w:val="24"/>
          <w:szCs w:val="24"/>
          <w:lang w:bidi="ar"/>
        </w:rPr>
        <w:t>5</w:t>
      </w:r>
      <w:r>
        <w:rPr>
          <w:rFonts w:ascii="Times New Roman" w:hAnsi="Times New Roman" w:eastAsia="宋体" w:cs="Times New Roman"/>
          <w:b/>
          <w:bCs/>
          <w:color w:val="auto"/>
          <w:sz w:val="24"/>
          <w:szCs w:val="24"/>
          <w:lang w:bidi="ar"/>
        </w:rPr>
        <w:t>、监测及评价结果</w:t>
      </w:r>
    </w:p>
    <w:p>
      <w:pPr>
        <w:spacing w:line="440" w:lineRule="exact"/>
        <w:ind w:firstLine="480" w:firstLineChars="200"/>
        <w:rPr>
          <w:rFonts w:ascii="Times New Roman" w:hAnsi="Times New Roman" w:eastAsia="宋体" w:cs="Times New Roman"/>
          <w:bCs/>
          <w:color w:val="auto"/>
          <w:sz w:val="24"/>
          <w:szCs w:val="24"/>
          <w:lang w:bidi="ar"/>
        </w:rPr>
      </w:pPr>
      <w:r>
        <w:rPr>
          <w:rFonts w:hint="eastAsia" w:ascii="Times New Roman" w:hAnsi="Times New Roman" w:eastAsia="宋体" w:cs="Times New Roman"/>
          <w:bCs/>
          <w:color w:val="auto"/>
          <w:sz w:val="24"/>
          <w:szCs w:val="24"/>
          <w:lang w:bidi="ar"/>
        </w:rPr>
        <w:t>土壤环境质量</w:t>
      </w:r>
      <w:r>
        <w:rPr>
          <w:rFonts w:ascii="Times New Roman" w:hAnsi="Times New Roman" w:eastAsia="宋体" w:cs="Times New Roman"/>
          <w:bCs/>
          <w:color w:val="auto"/>
          <w:sz w:val="24"/>
          <w:szCs w:val="24"/>
          <w:lang w:bidi="ar"/>
        </w:rPr>
        <w:t>现状监测统计及评价结果见表4.2-14。</w:t>
      </w:r>
    </w:p>
    <w:p>
      <w:pPr>
        <w:widowControl w:val="0"/>
        <w:spacing w:before="120" w:beforeLines="50" w:line="240" w:lineRule="exact"/>
        <w:ind w:firstLine="0" w:firstLineChars="0"/>
        <w:jc w:val="center"/>
        <w:rPr>
          <w:rFonts w:hint="eastAsia" w:ascii="Times New Roman" w:hAnsi="Times New Roman" w:eastAsia="宋体" w:cs="Times New Roman"/>
          <w:b/>
          <w:color w:val="auto"/>
          <w:kern w:val="2"/>
          <w:sz w:val="21"/>
          <w:szCs w:val="24"/>
          <w:lang w:val="en-US" w:eastAsia="zh-CN" w:bidi="ar-SA"/>
        </w:rPr>
      </w:pPr>
      <w:r>
        <w:rPr>
          <w:rFonts w:ascii="Times New Roman" w:hAnsi="Times New Roman" w:eastAsia="宋体" w:cs="Times New Roman"/>
          <w:b/>
          <w:color w:val="auto"/>
          <w:kern w:val="2"/>
          <w:sz w:val="21"/>
          <w:szCs w:val="24"/>
          <w:lang w:val="en-US" w:eastAsia="zh-CN" w:bidi="ar-SA"/>
        </w:rPr>
        <w:t xml:space="preserve">表4.2-14 </w:t>
      </w:r>
      <w:r>
        <w:rPr>
          <w:rFonts w:hint="eastAsia" w:ascii="Times New Roman" w:hAnsi="Times New Roman" w:eastAsia="宋体" w:cs="Times New Roman"/>
          <w:b/>
          <w:color w:val="auto"/>
          <w:kern w:val="2"/>
          <w:sz w:val="21"/>
          <w:szCs w:val="24"/>
          <w:lang w:val="en-US" w:eastAsia="zh-CN" w:bidi="ar-SA"/>
        </w:rPr>
        <w:t xml:space="preserve">  </w:t>
      </w:r>
      <w:r>
        <w:rPr>
          <w:rFonts w:ascii="Times New Roman" w:hAnsi="Times New Roman" w:eastAsia="宋体" w:cs="Times New Roman"/>
          <w:b/>
          <w:color w:val="auto"/>
          <w:kern w:val="2"/>
          <w:sz w:val="21"/>
          <w:szCs w:val="24"/>
          <w:lang w:val="en-US" w:eastAsia="zh-CN" w:bidi="ar-SA"/>
        </w:rPr>
        <w:t xml:space="preserve"> </w:t>
      </w:r>
      <w:r>
        <w:rPr>
          <w:rFonts w:hint="eastAsia" w:ascii="Times New Roman" w:hAnsi="Times New Roman" w:eastAsia="宋体" w:cs="Times New Roman"/>
          <w:b/>
          <w:color w:val="auto"/>
          <w:kern w:val="2"/>
          <w:sz w:val="21"/>
          <w:szCs w:val="24"/>
          <w:lang w:val="en-US" w:eastAsia="zh-CN" w:bidi="ar-SA"/>
        </w:rPr>
        <w:t>土壤环境质量现状</w:t>
      </w:r>
      <w:r>
        <w:rPr>
          <w:rFonts w:ascii="Times New Roman" w:hAnsi="Times New Roman" w:eastAsia="宋体" w:cs="Times New Roman"/>
          <w:b/>
          <w:color w:val="auto"/>
          <w:kern w:val="2"/>
          <w:sz w:val="21"/>
          <w:szCs w:val="24"/>
          <w:lang w:val="en-US" w:eastAsia="zh-CN" w:bidi="ar-SA"/>
        </w:rPr>
        <w:t>监测及评价结果</w:t>
      </w:r>
      <w:r>
        <w:rPr>
          <w:rFonts w:hint="eastAsia" w:ascii="Times New Roman" w:hAnsi="Times New Roman" w:eastAsia="宋体" w:cs="Times New Roman"/>
          <w:b/>
          <w:color w:val="auto"/>
          <w:kern w:val="2"/>
          <w:sz w:val="21"/>
          <w:szCs w:val="24"/>
          <w:lang w:val="en-US" w:eastAsia="zh-CN" w:bidi="ar-SA"/>
        </w:rPr>
        <w:t xml:space="preserve">    </w:t>
      </w:r>
      <w:r>
        <w:rPr>
          <w:rFonts w:ascii="Times New Roman" w:hAnsi="Times New Roman" w:eastAsia="宋体" w:cs="Times New Roman"/>
          <w:b/>
          <w:color w:val="auto"/>
          <w:kern w:val="2"/>
          <w:sz w:val="21"/>
          <w:szCs w:val="24"/>
          <w:lang w:val="en-US" w:eastAsia="zh-CN" w:bidi="ar-SA"/>
        </w:rPr>
        <w:t>单位：mg/kg</w:t>
      </w:r>
    </w:p>
    <w:tbl>
      <w:tblPr>
        <w:tblStyle w:val="8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1096"/>
        <w:gridCol w:w="673"/>
        <w:gridCol w:w="673"/>
        <w:gridCol w:w="673"/>
        <w:gridCol w:w="673"/>
        <w:gridCol w:w="673"/>
        <w:gridCol w:w="673"/>
        <w:gridCol w:w="674"/>
        <w:gridCol w:w="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205" w:type="pct"/>
            <w:vMerge w:val="restar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监测点位</w:t>
            </w:r>
          </w:p>
        </w:tc>
        <w:tc>
          <w:tcPr>
            <w:tcW w:w="3794" w:type="pct"/>
            <w:gridSpan w:val="9"/>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pH</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镉</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汞</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砷</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铅</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铬</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铜</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镍</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r>
              <w:rPr>
                <w:rFonts w:hint="eastAsia"/>
                <w:color w:val="auto"/>
                <w:szCs w:val="21"/>
              </w:rPr>
              <w:t>场地东侧</w:t>
            </w: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7.82</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0.29</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0.056</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4.2</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17</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34</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17</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r>
              <w:rPr>
                <w:rFonts w:hint="eastAsia"/>
                <w:color w:val="auto"/>
                <w:szCs w:val="21"/>
              </w:rPr>
              <w:t>场地中部</w:t>
            </w: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7.49</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0.21</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0.067</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8.1</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16.1</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26</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r>
              <w:rPr>
                <w:rFonts w:hint="eastAsia"/>
                <w:color w:val="auto"/>
                <w:szCs w:val="21"/>
              </w:rPr>
              <w:t>场地西侧</w:t>
            </w: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7.72</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0.22</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0.040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9.6</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56</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17.5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29</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restar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《土壤环境质量  农用地土壤污染风险管控标准（试行）》表1风险筛选值</w:t>
            </w: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5.5&lt;pH≤6.5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.8</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r>
              <w:rPr>
                <w:rFonts w:hint="eastAsia" w:ascii="Times New Roman" w:hAnsi="Times New Roman" w:eastAsia="宋体" w:cs="Times New Roman"/>
                <w:color w:val="auto"/>
                <w:kern w:val="0"/>
                <w:sz w:val="21"/>
                <w:szCs w:val="21"/>
              </w:rPr>
              <w:t>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9</w:t>
            </w:r>
            <w:r>
              <w:rPr>
                <w:rFonts w:hint="default" w:ascii="Times New Roman" w:hAnsi="Times New Roman" w:eastAsia="宋体" w:cs="Times New Roman"/>
                <w:color w:val="auto"/>
                <w:kern w:val="0"/>
                <w:sz w:val="21"/>
                <w:szCs w:val="21"/>
              </w:rPr>
              <w:t>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50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w:t>
            </w:r>
            <w:r>
              <w:rPr>
                <w:rFonts w:hint="default" w:ascii="Times New Roman" w:hAnsi="Times New Roman" w:eastAsia="宋体" w:cs="Times New Roman"/>
                <w:color w:val="auto"/>
                <w:kern w:val="0"/>
                <w:sz w:val="21"/>
                <w:szCs w:val="21"/>
              </w:rPr>
              <w:t>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6.5&lt;pH≤7.5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rPr>
              <w:t>.4</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w:t>
            </w:r>
            <w:r>
              <w:rPr>
                <w:rFonts w:hint="default" w:ascii="Times New Roman" w:hAnsi="Times New Roman" w:eastAsia="宋体" w:cs="Times New Roman"/>
                <w:color w:val="auto"/>
                <w:kern w:val="0"/>
                <w:sz w:val="21"/>
                <w:szCs w:val="21"/>
              </w:rPr>
              <w:t>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20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rPr>
              <w:t>00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00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00</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pH＞7.5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0.6</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w:t>
            </w:r>
            <w:r>
              <w:rPr>
                <w:rFonts w:hint="default" w:ascii="Times New Roman" w:hAnsi="Times New Roman" w:eastAsia="宋体" w:cs="Times New Roman"/>
                <w:color w:val="auto"/>
                <w:kern w:val="0"/>
                <w:sz w:val="21"/>
                <w:szCs w:val="21"/>
              </w:rPr>
              <w:t>.4</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rPr>
              <w:t>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70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rPr>
              <w:t>50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00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90</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w:t>
            </w:r>
            <w:r>
              <w:rPr>
                <w:rFonts w:hint="default" w:ascii="Times New Roman" w:hAnsi="Times New Roman" w:eastAsia="宋体" w:cs="Times New Roman"/>
                <w:color w:val="auto"/>
                <w:kern w:val="0"/>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restar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《土壤环境质量  农用地土壤污染风险管控标准（试行）》表3风险管制值</w:t>
            </w: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5.5&lt;pH≤6.5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w:t>
            </w:r>
            <w:r>
              <w:rPr>
                <w:rFonts w:hint="default" w:ascii="Times New Roman" w:hAnsi="Times New Roman" w:eastAsia="宋体" w:cs="Times New Roman"/>
                <w:color w:val="auto"/>
                <w:kern w:val="0"/>
                <w:sz w:val="21"/>
                <w:szCs w:val="21"/>
              </w:rPr>
              <w:t>.5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50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w:t>
            </w:r>
            <w:r>
              <w:rPr>
                <w:rFonts w:hint="default" w:ascii="Times New Roman" w:hAnsi="Times New Roman" w:eastAsia="宋体" w:cs="Times New Roman"/>
                <w:color w:val="auto"/>
                <w:kern w:val="0"/>
                <w:sz w:val="21"/>
                <w:szCs w:val="21"/>
              </w:rPr>
              <w:t>00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8</w:t>
            </w:r>
            <w:r>
              <w:rPr>
                <w:rFonts w:hint="default" w:ascii="Times New Roman" w:hAnsi="Times New Roman" w:eastAsia="宋体" w:cs="Times New Roman"/>
                <w:color w:val="auto"/>
                <w:kern w:val="0"/>
                <w:sz w:val="21"/>
                <w:szCs w:val="21"/>
              </w:rPr>
              <w:t>50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6.5&lt;pH≤7.5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w:t>
            </w:r>
            <w:r>
              <w:rPr>
                <w:rFonts w:hint="default" w:ascii="Times New Roman" w:hAnsi="Times New Roman" w:eastAsia="宋体" w:cs="Times New Roman"/>
                <w:color w:val="auto"/>
                <w:kern w:val="0"/>
                <w:sz w:val="21"/>
                <w:szCs w:val="21"/>
              </w:rPr>
              <w:t>.0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20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w:t>
            </w:r>
            <w:r>
              <w:rPr>
                <w:rFonts w:hint="default" w:ascii="Times New Roman" w:hAnsi="Times New Roman" w:eastAsia="宋体" w:cs="Times New Roman"/>
                <w:color w:val="auto"/>
                <w:kern w:val="0"/>
                <w:sz w:val="21"/>
                <w:szCs w:val="21"/>
              </w:rPr>
              <w:t>00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000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p>
        </w:tc>
        <w:tc>
          <w:tcPr>
            <w:tcW w:w="508"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pH＞7.5</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w:t>
            </w:r>
            <w:r>
              <w:rPr>
                <w:rFonts w:hint="default" w:ascii="Times New Roman" w:hAnsi="Times New Roman" w:eastAsia="宋体" w:cs="Times New Roman"/>
                <w:color w:val="auto"/>
                <w:kern w:val="0"/>
                <w:sz w:val="21"/>
                <w:szCs w:val="21"/>
              </w:rPr>
              <w:t>.0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00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000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rPr>
              <w:t>300</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410"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c>
          <w:tcPr>
            <w:tcW w:w="414" w:type="pct"/>
            <w:noWrap w:val="0"/>
            <w:vAlign w:val="center"/>
          </w:tcPr>
          <w:p>
            <w:pPr>
              <w:keepNext w:val="0"/>
              <w:keepLines w:val="0"/>
              <w:widowControl/>
              <w:suppressLineNumbers w:val="0"/>
              <w:adjustRightInd w:val="0"/>
              <w:snapToGrid w:val="0"/>
              <w:spacing w:before="0" w:beforeAutospacing="0" w:after="0" w:afterAutospacing="0" w:line="240" w:lineRule="auto"/>
              <w:ind w:left="-71" w:leftChars="-34" w:right="-65" w:rightChars="-31"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t>
            </w:r>
          </w:p>
        </w:tc>
      </w:tr>
    </w:tbl>
    <w:p>
      <w:pPr>
        <w:spacing w:line="440" w:lineRule="exact"/>
        <w:ind w:firstLine="480" w:firstLineChars="200"/>
        <w:rPr>
          <w:rFonts w:hint="eastAsia"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监测结果表明</w:t>
      </w:r>
      <w:r>
        <w:rPr>
          <w:rFonts w:hint="eastAsia" w:ascii="Times New Roman" w:hAnsi="Times New Roman" w:eastAsia="宋体" w:cs="Times New Roman"/>
          <w:color w:val="auto"/>
          <w:sz w:val="24"/>
          <w:szCs w:val="24"/>
          <w:lang w:bidi="ar"/>
        </w:rPr>
        <w:t xml:space="preserve">：土壤样品中检出的监测因子污染物含量均低于《土壤环境质量 </w:t>
      </w:r>
      <w:r>
        <w:rPr>
          <w:rFonts w:ascii="Times New Roman" w:hAnsi="Times New Roman" w:eastAsia="宋体" w:cs="Times New Roman"/>
          <w:color w:val="auto"/>
          <w:sz w:val="24"/>
          <w:szCs w:val="24"/>
          <w:lang w:bidi="ar"/>
        </w:rPr>
        <w:t xml:space="preserve"> </w:t>
      </w:r>
      <w:r>
        <w:rPr>
          <w:rFonts w:hint="eastAsia" w:ascii="Times New Roman" w:hAnsi="Times New Roman" w:eastAsia="宋体" w:cs="Times New Roman"/>
          <w:color w:val="auto"/>
          <w:sz w:val="24"/>
          <w:szCs w:val="24"/>
          <w:lang w:bidi="ar"/>
        </w:rPr>
        <w:t>农用地土壤污染风险管控标准（试行）》</w:t>
      </w:r>
      <w:r>
        <w:rPr>
          <w:rFonts w:hint="eastAsia" w:ascii="Times New Roman" w:hAnsi="Times New Roman" w:eastAsia="宋体" w:cs="Times New Roman"/>
          <w:bCs/>
          <w:color w:val="auto"/>
          <w:sz w:val="24"/>
          <w:szCs w:val="24"/>
          <w:lang w:bidi="ar"/>
        </w:rPr>
        <w:t>（GB</w:t>
      </w:r>
      <w:r>
        <w:rPr>
          <w:rFonts w:ascii="Times New Roman" w:hAnsi="Times New Roman" w:eastAsia="宋体" w:cs="Times New Roman"/>
          <w:bCs/>
          <w:color w:val="auto"/>
          <w:sz w:val="24"/>
          <w:szCs w:val="24"/>
          <w:lang w:bidi="ar"/>
        </w:rPr>
        <w:t>15618</w:t>
      </w:r>
      <w:r>
        <w:rPr>
          <w:rFonts w:hint="eastAsia" w:ascii="Times New Roman" w:hAnsi="Times New Roman" w:eastAsia="宋体" w:cs="Times New Roman"/>
          <w:bCs/>
          <w:color w:val="auto"/>
          <w:sz w:val="24"/>
          <w:szCs w:val="24"/>
          <w:lang w:bidi="ar"/>
        </w:rPr>
        <w:t>-2018）</w:t>
      </w:r>
      <w:r>
        <w:rPr>
          <w:rFonts w:hint="eastAsia" w:ascii="Times New Roman" w:hAnsi="Times New Roman" w:eastAsia="宋体" w:cs="Times New Roman"/>
          <w:color w:val="auto"/>
          <w:sz w:val="24"/>
          <w:szCs w:val="24"/>
          <w:lang w:bidi="ar"/>
        </w:rPr>
        <w:t>表1中农用地土壤污染风险筛选值，对农产品质量安全、农作物生长或土壤生态环境的风险低，一般情况下可以忽略；土壤样品中检出的监测因子浓度均低于《土壤环境质量  农用地土壤污染风险管控标准（试行）》</w:t>
      </w:r>
      <w:r>
        <w:rPr>
          <w:rFonts w:hint="eastAsia" w:ascii="Times New Roman" w:hAnsi="Times New Roman" w:eastAsia="宋体" w:cs="Times New Roman"/>
          <w:bCs/>
          <w:color w:val="auto"/>
          <w:sz w:val="24"/>
          <w:szCs w:val="24"/>
          <w:lang w:bidi="ar"/>
        </w:rPr>
        <w:t>（GB</w:t>
      </w:r>
      <w:r>
        <w:rPr>
          <w:rFonts w:ascii="Times New Roman" w:hAnsi="Times New Roman" w:eastAsia="宋体" w:cs="Times New Roman"/>
          <w:bCs/>
          <w:color w:val="auto"/>
          <w:sz w:val="24"/>
          <w:szCs w:val="24"/>
          <w:lang w:bidi="ar"/>
        </w:rPr>
        <w:t>15618</w:t>
      </w:r>
      <w:r>
        <w:rPr>
          <w:rFonts w:hint="eastAsia" w:ascii="Times New Roman" w:hAnsi="Times New Roman" w:eastAsia="宋体" w:cs="Times New Roman"/>
          <w:bCs/>
          <w:color w:val="auto"/>
          <w:sz w:val="24"/>
          <w:szCs w:val="24"/>
          <w:lang w:bidi="ar"/>
        </w:rPr>
        <w:t>-2018）</w:t>
      </w:r>
      <w:r>
        <w:rPr>
          <w:rFonts w:hint="eastAsia" w:ascii="Times New Roman" w:hAnsi="Times New Roman" w:eastAsia="宋体" w:cs="Times New Roman"/>
          <w:color w:val="auto"/>
          <w:sz w:val="24"/>
          <w:szCs w:val="24"/>
          <w:lang w:bidi="ar"/>
        </w:rPr>
        <w:t>表3中农用地土壤污染风险管制值，则农用地土壤污染风险低，一般情况下可以忽略。</w:t>
      </w:r>
    </w:p>
    <w:p>
      <w:pPr>
        <w:rPr>
          <w:color w:val="auto"/>
        </w:rPr>
      </w:pPr>
      <w:r>
        <w:rPr>
          <w:color w:val="auto"/>
        </w:rPr>
        <w:br w:type="page"/>
      </w:r>
    </w:p>
    <w:p>
      <w:pPr>
        <w:pStyle w:val="5"/>
        <w:rPr>
          <w:rFonts w:cs="Times New Roman"/>
          <w:color w:val="auto"/>
        </w:rPr>
      </w:pPr>
      <w:bookmarkStart w:id="219" w:name="_Toc3845"/>
      <w:r>
        <w:rPr>
          <w:rFonts w:cs="Times New Roman"/>
          <w:color w:val="auto"/>
        </w:rPr>
        <w:t>环境影响预测与评价</w:t>
      </w:r>
      <w:bookmarkEnd w:id="219"/>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rPr>
      </w:pPr>
      <w:bookmarkStart w:id="220" w:name="_Toc23322"/>
      <w:r>
        <w:rPr>
          <w:rFonts w:hint="default" w:ascii="Times New Roman" w:hAnsi="Times New Roman" w:eastAsia="宋体" w:cs="Times New Roman"/>
          <w:color w:val="auto"/>
        </w:rPr>
        <w:t>施工期环境影响评价</w:t>
      </w:r>
      <w:bookmarkEnd w:id="220"/>
    </w:p>
    <w:p>
      <w:pPr>
        <w:ind w:firstLine="470" w:firstLineChars="196"/>
        <w:rPr>
          <w:rFonts w:hint="eastAsia" w:ascii="Times New Roman" w:hAnsi="Times New Roman" w:cs="Times New Roman"/>
          <w:color w:val="auto"/>
          <w:sz w:val="24"/>
        </w:rPr>
      </w:pPr>
      <w:r>
        <w:rPr>
          <w:rFonts w:hint="eastAsia" w:ascii="Times New Roman" w:hAnsi="Times New Roman" w:cs="Times New Roman"/>
          <w:color w:val="auto"/>
          <w:sz w:val="24"/>
        </w:rPr>
        <w:t>本项目施工期主要包括基础工程、主体工程、装饰工程、设备安装等工程建设。在工程建设期，尤其是土建工程阶段，地面施工活动、建筑材料的装运等将对项目所在地周围环境造成一定的破坏和影响，主要包括废气、废水、噪声、固体废物等污染因素对周围环境的影响。在施工过程中，由于土方的挖掘、运输、堆积等，原材料运输等都带来扬尘、噪声等环境污染。挖方过程中产生的弃土在不利气象条件下易造成水土流失。施工期的环境影响主要表现在以下几个方面：</w:t>
      </w:r>
    </w:p>
    <w:p>
      <w:pPr>
        <w:ind w:firstLine="470" w:firstLineChars="196"/>
        <w:rPr>
          <w:rFonts w:hint="eastAsia" w:ascii="Times New Roman" w:hAnsi="Times New Roman" w:cs="Times New Roman"/>
          <w:color w:val="auto"/>
          <w:sz w:val="24"/>
        </w:rPr>
      </w:pPr>
      <w:r>
        <w:rPr>
          <w:rFonts w:hint="eastAsia" w:ascii="Times New Roman" w:hAnsi="Times New Roman" w:cs="Times New Roman"/>
          <w:color w:val="auto"/>
          <w:sz w:val="24"/>
        </w:rPr>
        <w:t>1、施工扬尘、运输车辆产生的扬尘、汽车尾气对周围大气环境的影响；</w:t>
      </w:r>
    </w:p>
    <w:p>
      <w:pPr>
        <w:ind w:firstLine="470" w:firstLineChars="196"/>
        <w:rPr>
          <w:rFonts w:hint="eastAsia" w:ascii="Times New Roman" w:hAnsi="Times New Roman" w:cs="Times New Roman"/>
          <w:color w:val="auto"/>
          <w:sz w:val="24"/>
        </w:rPr>
      </w:pPr>
      <w:r>
        <w:rPr>
          <w:rFonts w:hint="eastAsia" w:ascii="Times New Roman" w:hAnsi="Times New Roman" w:cs="Times New Roman"/>
          <w:color w:val="auto"/>
          <w:sz w:val="24"/>
        </w:rPr>
        <w:t>2、施工人员产生的生活污水、施工废水对环境的影响；</w:t>
      </w:r>
    </w:p>
    <w:p>
      <w:pPr>
        <w:ind w:firstLine="470" w:firstLineChars="196"/>
        <w:rPr>
          <w:rFonts w:hint="eastAsia" w:ascii="Times New Roman" w:hAnsi="Times New Roman" w:cs="Times New Roman"/>
          <w:color w:val="auto"/>
          <w:sz w:val="24"/>
        </w:rPr>
      </w:pPr>
      <w:r>
        <w:rPr>
          <w:rFonts w:hint="eastAsia" w:ascii="Times New Roman" w:hAnsi="Times New Roman" w:cs="Times New Roman"/>
          <w:color w:val="auto"/>
          <w:sz w:val="24"/>
        </w:rPr>
        <w:t>3、施工机械和运输车辆对周围声学环境的影响；</w:t>
      </w:r>
    </w:p>
    <w:p>
      <w:pPr>
        <w:ind w:firstLine="470" w:firstLineChars="196"/>
        <w:rPr>
          <w:rFonts w:hint="eastAsia" w:ascii="Times New Roman" w:hAnsi="Times New Roman" w:cs="Times New Roman"/>
          <w:color w:val="auto"/>
          <w:sz w:val="24"/>
        </w:rPr>
      </w:pPr>
      <w:r>
        <w:rPr>
          <w:rFonts w:hint="eastAsia" w:ascii="Times New Roman" w:hAnsi="Times New Roman" w:cs="Times New Roman"/>
          <w:color w:val="auto"/>
          <w:sz w:val="24"/>
        </w:rPr>
        <w:t>4、施工期建筑垃圾、施工人员的生活垃圾对环境的影响；</w:t>
      </w:r>
    </w:p>
    <w:p>
      <w:pPr>
        <w:ind w:firstLine="470" w:firstLineChars="196"/>
        <w:rPr>
          <w:rFonts w:hint="eastAsia" w:ascii="Times New Roman" w:hAnsi="Times New Roman" w:cs="Times New Roman"/>
          <w:color w:val="auto"/>
          <w:sz w:val="24"/>
        </w:rPr>
      </w:pPr>
      <w:r>
        <w:rPr>
          <w:rFonts w:hint="eastAsia" w:ascii="Times New Roman" w:hAnsi="Times New Roman" w:cs="Times New Roman"/>
          <w:color w:val="auto"/>
          <w:sz w:val="24"/>
        </w:rPr>
        <w:t>5、施工期土方开挖及占用土地，局部水土流失对生态环境影响。</w:t>
      </w:r>
    </w:p>
    <w:p>
      <w:pPr>
        <w:pStyle w:val="7"/>
        <w:spacing w:before="0" w:after="0" w:line="360" w:lineRule="auto"/>
        <w:ind w:left="0" w:firstLine="0"/>
        <w:rPr>
          <w:color w:val="auto"/>
        </w:rPr>
      </w:pPr>
      <w:bookmarkStart w:id="221" w:name="_Toc20065"/>
      <w:r>
        <w:rPr>
          <w:rFonts w:cs="Times New Roman"/>
          <w:color w:val="auto"/>
        </w:rPr>
        <w:t>施工期大气环境影响分析</w:t>
      </w:r>
      <w:bookmarkEnd w:id="221"/>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本项目施工期大气污染物的主要来源为施工扬尘、施工机械运行产生的无组织排放废气以及装修阶段的油漆废气，其中以施工扬尘对空气环境质量的影响最大。在施工过程中，其大气环境影响主要表现在：</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（1）基础施工中由于挖方、填方、推土、搬运泥土和水泥、石灰、沙石等材料的装卸、运输过程中有大量扬尘散逸到周围环境空气中；</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（2）施工期间，物料堆场由于吹风等原因会引起扬尘污染，尤其是在风速较大或装卸、汽车行驶速度较快的情况下，扬尘的污染尤为严重；</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（3）运输施工材料、设施的车辆以及内燃机、打桩机等施工机械在运行时排出的气体污染物将对空气造成危害。</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r>
        <w:rPr>
          <w:rFonts w:ascii="Times New Roman" w:hAnsi="Times New Roman" w:eastAsia="Arial Unicode MS" w:cs="Times New Roman"/>
          <w:color w:val="auto"/>
          <w:sz w:val="24"/>
          <w:szCs w:val="24"/>
        </w:rPr>
        <w:t>4</w:t>
      </w:r>
      <w:r>
        <w:rPr>
          <w:rFonts w:ascii="Times New Roman" w:hAnsi="Times New Roman" w:eastAsia="宋体" w:cs="Times New Roman"/>
          <w:color w:val="auto"/>
          <w:sz w:val="24"/>
          <w:szCs w:val="24"/>
        </w:rPr>
        <w:t>）项目在对建筑物的室内外进行装修时（如表面粉刷、油漆、喷涂、裱糊、镶贴装饰等工序）会产生废气。</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经综合对比，项目施工过程中的施工扬尘将是大气污染因子中对周边大气环境影响最大的一项，其产生量大、污染面广。</w:t>
      </w:r>
    </w:p>
    <w:p>
      <w:pPr>
        <w:ind w:firstLine="470" w:firstLineChars="196"/>
        <w:rPr>
          <w:rFonts w:hint="eastAsia" w:ascii="Times New Roman" w:hAnsi="Times New Roman" w:cs="Times New Roman"/>
          <w:color w:val="auto"/>
          <w:sz w:val="24"/>
        </w:rPr>
      </w:pP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1、施工扬尘影响分析</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工程施工时，在运输车辆行驶、施工垃圾的清理及堆放、人来车往、堆料场装卸材料等均可能产生扬尘。一般情况下，其产生量在有风旱季晴天多于无风和雨季，动态施工多于静态作业。</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扬尘污染造成大气中TSP值增高，施工扬尘的起尘量与许多因素有关。影响起尘量的因素包括：施工场地起尘量、进出车辆夹带泥砂量、水泥搬运量以及起尘高度、采取的防护措施、空气湿度、风速等因素有关。据有关调查显示，施工工地的扬尘主要是由运输车辆的行驶产生，约占扬尘总量的60%。由于道路扬尘量与车辆的行驶速度有关，速度越快，扬尘量越大，因此在施工场地对施工车辆必须实施限速行驶，同时施工现场主要运输道路尽量采用硬化路面并定时进行洒水抑尘。</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中华人民共和国大气污染防治法》、国务院印发的《大气污染防治行动计划》（国发【2013】37号）和《四川省人民政府办公厅关于加强灰霾污染防治的通知》（川办发【2013】32号）精神，施工单位应认真执行</w:t>
      </w:r>
      <w:r>
        <w:rPr>
          <w:rFonts w:hint="eastAsia" w:ascii="Times New Roman" w:hAnsi="Times New Roman" w:eastAsia="宋体" w:cs="Times New Roman"/>
          <w:color w:val="auto"/>
          <w:sz w:val="24"/>
          <w:szCs w:val="24"/>
        </w:rPr>
        <w:t>《四川省&lt;中华人民共和国大气污染防治法&gt;实施办法》（2018修订）</w:t>
      </w:r>
      <w:r>
        <w:rPr>
          <w:rFonts w:ascii="Times New Roman" w:hAnsi="Times New Roman" w:eastAsia="宋体" w:cs="Times New Roman"/>
          <w:color w:val="auto"/>
          <w:sz w:val="24"/>
          <w:szCs w:val="24"/>
        </w:rPr>
        <w:t>中的相关规定。严格落实建设施工工地扬尘整治管理制度。做到“六必须”（必须围档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因此，本项目施工时要求施工现场定期对地面洒水、对撒落在路面的渣土及时清除、施工现场主要运输道路尽量采用硬化路面、自卸车、建筑垃圾运输车等运输车辆不允许超载，出场前一律清洗轮胎，用毡布覆盖，并且在施工区出口设置防尘飞扬垫等一系列措施，大大减少了施工扬尘对环境空气的影响。项目在施工过程中必须强化扬尘的控制措施，制定必要的防治措施，以减少施工扬尘对周围环境的影响。</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在施工过程中，施工单位必须严格落实本环评提出的扬尘控制措施，有效控制扬尘，使其对周围敏感保护目标的影响降至最低。项目在做到以上扬尘控制措施后，不会对项目周边的大气环境造成明显不利影响。</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2、施工机械废气影响分析</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施工期间，使用机动车运送原材料、设备和机械设备的运转，均会排放一定量的 CO、SO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NOx以及未完全燃烧的THC等，其特点是排放量小、流动性强，且属间断性无组织排放，由于施工场地开阔，扩散条件良好，经自由扩散稀释后能够满足相应的排放标准。在施工期内应多加注意施工设备的维护，使其能够正常的运行，提高设备原料的利用率，不会对项目周边的大气环境造成明显不利影响。</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3、装修废气影响分析</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需对构筑物室内进行装修，装饰工程用油漆、涂料等会产生挥发性气体，其主要污染因子为甲苯、二甲苯和甲醛等，属无组织排放。本项目拟采用环保装饰材料，以减少有害废气的排放。在装修期间，应加强室内的通风换气，油漆喷涂结束完成以后，也应每天进行通风换气一至二个月后才能使用，项目运营后也要注意室内空气的流畅。在进行以上防治措施后，再加上项目所在场地扩散条件较好，因此本项目装修施工产生的废气可达标排放。</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项目施工期将会对项目所在地的环境空气质量造成一定影响，但只要施工单位按照上述要求做好大气污染防治措施，即可以有效降低上述不良影响。此外，上述不良影响随着施工期的结束也会结束，因此，项目施工期结束后，不会对项目所在地环境空气质量造成明显不利影响。</w:t>
      </w:r>
    </w:p>
    <w:p>
      <w:pPr>
        <w:pStyle w:val="7"/>
        <w:spacing w:before="0" w:after="0" w:line="360" w:lineRule="auto"/>
        <w:ind w:left="0" w:firstLine="0"/>
        <w:rPr>
          <w:rFonts w:cs="Times New Roman"/>
          <w:color w:val="auto"/>
          <w:lang w:val="en-US" w:eastAsia="zh-CN"/>
        </w:rPr>
      </w:pPr>
      <w:bookmarkStart w:id="222" w:name="_Toc393093540"/>
      <w:bookmarkStart w:id="223" w:name="_Toc29611"/>
      <w:r>
        <w:rPr>
          <w:rFonts w:cs="Times New Roman"/>
          <w:color w:val="auto"/>
          <w:lang w:val="en-US" w:eastAsia="zh-CN"/>
        </w:rPr>
        <w:t>施工期水环境影响分析</w:t>
      </w:r>
      <w:bookmarkEnd w:id="222"/>
      <w:bookmarkEnd w:id="223"/>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施工期产生的废水包括施工人员生活污水、施工作业废水和暴雨径流初期雨水。</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1、生活污水</w:t>
      </w:r>
    </w:p>
    <w:p>
      <w:pPr>
        <w:spacing w:line="440" w:lineRule="exact"/>
        <w:ind w:firstLine="480" w:firstLineChars="200"/>
        <w:rPr>
          <w:rFonts w:ascii="Times New Roman" w:hAnsi="Times New Roman" w:eastAsia="宋体" w:cs="Times New Roman"/>
          <w:color w:val="auto"/>
          <w:spacing w:val="-2"/>
          <w:sz w:val="24"/>
          <w:szCs w:val="24"/>
        </w:rPr>
      </w:pPr>
      <w:r>
        <w:rPr>
          <w:rFonts w:ascii="Times New Roman" w:hAnsi="Times New Roman" w:eastAsia="宋体" w:cs="Times New Roman"/>
          <w:color w:val="auto"/>
          <w:sz w:val="24"/>
          <w:szCs w:val="24"/>
        </w:rPr>
        <w:t>本项目施工期生活污水主要是施工人员产生的生活污水。根据建设单位提供的数据资料，施工高峰期施工人员约100人，施工人员生活用水以50L/（人·d）计，用水量为5.0m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/d，污水产生量约占用水量的80%，即4.0m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/d。本项目施工期不在场地内设施工营地，施工人员依托周边居民房屋食宿，仅在施工场地设1座临时简易化粪池（10m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）收集处理施工期间施工人员产生的生活污水，经收集处理后定期清掏用于周边耕地施肥，不外排。</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2、施工作业废水</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施工阶段产生的施工作业包括施工现场车辆及机械设备清洗、混凝土养护等，废水中含有一定量的油污和泥沙，其中SS浓度可达3000～5000mg/L，石油类可达5～10mg/L；施工废水产生量约为3m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/d，施工场地设1个临时隔油池（1m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）、1 个临时沉淀池（5m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含SS、石油类的施工废水排入隔油池、沉淀池进行处理后回用于场地洒水降尘，不外排。本项目施工场区面积相对较大，施工场地洒水抑尘、养护需要消耗大量的水，能够完全消纳每天产生的施工作业废水，不外排。</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3、暴雨径流初期雨水</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雨季作业场面的地面径流水，含有一定量的泥土和高浓度的悬浮物，在施工场地周边设置截水沟和1个20m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的沉砂池，收集的初期雨水回用于项目洒水抑尘；开挖土方将作为回填土，回填土临时堆场周边设置截水沟，施工材料的临时堆场设置遮雨棚，下雨时不会受到雨水冲击而流失，不会影响周围地表水环境。</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综上所述，项目施工期产生的废水不会对项目所在区域的水环境造成明显不利影响。</w:t>
      </w:r>
    </w:p>
    <w:p>
      <w:pPr>
        <w:pStyle w:val="7"/>
        <w:spacing w:before="0" w:after="0" w:line="360" w:lineRule="auto"/>
        <w:ind w:left="0" w:firstLine="0"/>
        <w:rPr>
          <w:rFonts w:cs="Times New Roman"/>
          <w:color w:val="auto"/>
          <w:lang w:val="en-US" w:eastAsia="zh-CN"/>
        </w:rPr>
      </w:pPr>
      <w:bookmarkStart w:id="224" w:name="_Toc393093543"/>
      <w:bookmarkStart w:id="225" w:name="_Toc13663"/>
      <w:r>
        <w:rPr>
          <w:rFonts w:cs="Times New Roman"/>
          <w:color w:val="auto"/>
          <w:lang w:val="en-US" w:eastAsia="zh-CN"/>
        </w:rPr>
        <w:t>施工期声环境影响分析</w:t>
      </w:r>
      <w:bookmarkEnd w:id="224"/>
      <w:bookmarkEnd w:id="225"/>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期噪声源主要包括：地基开挖、构筑物砌筑、场地清理和使用施工机械的固定声源噪声以及施工运输车辆的流动噪声声源。经建筑工程施工工地噪声源强类比调查分析，确定拟建项目的噪声影响主要来源于施工现场（场址区内）的声源噪声，这些噪声将对作业人员和场址周围环境造成一定影响。因此现针对施工噪声进行声学环境影响预测分析。</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w:t>
      </w:r>
      <w:bookmarkStart w:id="226" w:name="_Toc393093544"/>
      <w:r>
        <w:rPr>
          <w:rFonts w:ascii="Times New Roman" w:hAnsi="Times New Roman" w:eastAsia="宋体" w:cs="Times New Roman"/>
          <w:b/>
          <w:color w:val="auto"/>
          <w:sz w:val="24"/>
          <w:szCs w:val="24"/>
        </w:rPr>
        <w:t>、噪声源强</w:t>
      </w:r>
      <w:bookmarkEnd w:id="226"/>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施工期的噪声主要来自于各种施工机械和车辆运输产生的作业噪声，声源强度70~100dB(A)。施工过程中，不同的阶段会使用不同的机械设备，使施工现场产生的噪声具有强度较高、无规则、不连续等特点。其强度与施工机械的功率、工作状态等因素有关。</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根据工程施工特点，可以把地面工程的施工期划分为：</w:t>
      </w: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土石方开挖阶段；</w:t>
      </w: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基础施工阶段；</w:t>
      </w: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t>主体结构施工阶段；各阶段具有独立的特性。第一阶段，主要是推土机、装载机以及各种车辆，大部分为移动声源，一般声功率级为82~95dB（A），没有明显的指向性；第二阶段，噪声源主要是各种打桩机，基本属于固定声源，打桩机系脉冲噪声，一般声功率级为70~105dB（A）左右；第三阶段，主要噪声源为混凝土搅拌机、振捣棒、电锯、电焊机等，其中包含一些敲打声，声功率级一般为80~95dB（A）。施工机械设备噪声源强见表3.4-4。</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w:t>
      </w:r>
      <w:bookmarkStart w:id="227" w:name="_Toc393093545"/>
      <w:r>
        <w:rPr>
          <w:rFonts w:ascii="Times New Roman" w:hAnsi="Times New Roman" w:eastAsia="宋体" w:cs="Times New Roman"/>
          <w:b/>
          <w:color w:val="auto"/>
          <w:sz w:val="24"/>
          <w:szCs w:val="24"/>
        </w:rPr>
        <w:t>、噪声预测</w:t>
      </w:r>
      <w:bookmarkEnd w:id="227"/>
      <w:r>
        <w:rPr>
          <w:rFonts w:ascii="Times New Roman" w:hAnsi="Times New Roman" w:eastAsia="宋体" w:cs="Times New Roman"/>
          <w:b/>
          <w:color w:val="auto"/>
          <w:sz w:val="24"/>
          <w:szCs w:val="24"/>
        </w:rPr>
        <w:t>评价</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项目施工机械噪声主要是低频噪声，仅考虑距离衰减值、场界围墙屏障等因素。本次预测采用点声源衰减模式，其预测模式如下：</w:t>
      </w:r>
    </w:p>
    <w:p>
      <w:pPr>
        <w:spacing w:line="240" w:lineRule="auto"/>
        <w:ind w:firstLine="0" w:firstLineChars="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drawing>
          <wp:inline distT="0" distB="0" distL="114300" distR="114300">
            <wp:extent cx="1866900" cy="438150"/>
            <wp:effectExtent l="0" t="0" r="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39"/>
                    <a:stretch>
                      <a:fillRect/>
                    </a:stretch>
                  </pic:blipFill>
                  <pic:spPr>
                    <a:xfrm>
                      <a:off x="0" y="0"/>
                      <a:ext cx="1866900" cy="438150"/>
                    </a:xfrm>
                    <a:prstGeom prst="rect">
                      <a:avLst/>
                    </a:prstGeom>
                    <a:noFill/>
                    <a:ln>
                      <a:noFill/>
                    </a:ln>
                  </pic:spPr>
                </pic:pic>
              </a:graphicData>
            </a:graphic>
          </wp:inline>
        </w:drawing>
      </w:r>
    </w:p>
    <w:p>
      <w:pPr>
        <w:spacing w:line="440" w:lineRule="exact"/>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式中：</w:t>
      </w:r>
      <w:r>
        <w:rPr>
          <w:rFonts w:ascii="Times New Roman" w:hAnsi="Times New Roman" w:eastAsia="宋体" w:cs="Times New Roman"/>
          <w:i/>
          <w:color w:val="auto"/>
          <w:sz w:val="24"/>
          <w:szCs w:val="24"/>
        </w:rPr>
        <w:t>LA (r)</w:t>
      </w:r>
      <w:r>
        <w:rPr>
          <w:rFonts w:ascii="Times New Roman" w:hAnsi="Times New Roman" w:eastAsia="宋体" w:cs="Times New Roman"/>
          <w:color w:val="auto"/>
          <w:sz w:val="24"/>
          <w:szCs w:val="24"/>
        </w:rPr>
        <w:t>——距离声源</w:t>
      </w:r>
      <w:r>
        <w:rPr>
          <w:rFonts w:ascii="Times New Roman" w:hAnsi="Times New Roman" w:eastAsia="宋体" w:cs="Times New Roman"/>
          <w:i/>
          <w:color w:val="auto"/>
          <w:sz w:val="24"/>
          <w:szCs w:val="24"/>
        </w:rPr>
        <w:t>r</w:t>
      </w:r>
      <w:r>
        <w:rPr>
          <w:rFonts w:ascii="Times New Roman" w:hAnsi="Times New Roman" w:eastAsia="宋体" w:cs="Times New Roman"/>
          <w:color w:val="auto"/>
          <w:sz w:val="24"/>
          <w:szCs w:val="24"/>
        </w:rPr>
        <w:t>处的A声级，dB(A)；</w:t>
      </w:r>
    </w:p>
    <w:p>
      <w:pPr>
        <w:spacing w:line="440" w:lineRule="exact"/>
        <w:ind w:firstLine="1200" w:firstLineChars="500"/>
        <w:jc w:val="left"/>
        <w:rPr>
          <w:rFonts w:ascii="Times New Roman" w:hAnsi="Times New Roman" w:eastAsia="宋体" w:cs="Times New Roman"/>
          <w:color w:val="auto"/>
          <w:sz w:val="24"/>
          <w:szCs w:val="24"/>
        </w:rPr>
      </w:pPr>
      <w:r>
        <w:rPr>
          <w:rFonts w:ascii="Times New Roman" w:hAnsi="Times New Roman" w:eastAsia="宋体" w:cs="Times New Roman"/>
          <w:i/>
          <w:color w:val="auto"/>
          <w:sz w:val="24"/>
          <w:szCs w:val="24"/>
        </w:rPr>
        <w:t>LA (r</w:t>
      </w:r>
      <w:r>
        <w:rPr>
          <w:rFonts w:ascii="Times New Roman" w:hAnsi="Times New Roman" w:eastAsia="宋体" w:cs="Times New Roman"/>
          <w:i/>
          <w:color w:val="auto"/>
          <w:sz w:val="24"/>
          <w:szCs w:val="24"/>
          <w:vertAlign w:val="subscript"/>
        </w:rPr>
        <w:t>0</w:t>
      </w:r>
      <w:r>
        <w:rPr>
          <w:rFonts w:ascii="Times New Roman" w:hAnsi="Times New Roman" w:eastAsia="宋体" w:cs="Times New Roman"/>
          <w:i/>
          <w:color w:val="auto"/>
          <w:sz w:val="24"/>
          <w:szCs w:val="24"/>
        </w:rPr>
        <w:t>)</w:t>
      </w:r>
      <w:r>
        <w:rPr>
          <w:rFonts w:ascii="Times New Roman" w:hAnsi="Times New Roman" w:eastAsia="宋体" w:cs="Times New Roman"/>
          <w:color w:val="auto"/>
          <w:sz w:val="24"/>
          <w:szCs w:val="24"/>
        </w:rPr>
        <w:t>——距声源</w:t>
      </w:r>
      <w:r>
        <w:rPr>
          <w:rFonts w:ascii="Times New Roman" w:hAnsi="Times New Roman" w:eastAsia="宋体" w:cs="Times New Roman"/>
          <w:i/>
          <w:color w:val="auto"/>
          <w:sz w:val="24"/>
          <w:szCs w:val="24"/>
        </w:rPr>
        <w:t>r</w:t>
      </w:r>
      <w:r>
        <w:rPr>
          <w:rFonts w:ascii="Times New Roman" w:hAnsi="Times New Roman" w:eastAsia="宋体" w:cs="Times New Roman"/>
          <w:i/>
          <w:color w:val="auto"/>
          <w:sz w:val="24"/>
          <w:szCs w:val="24"/>
          <w:vertAlign w:val="subscript"/>
        </w:rPr>
        <w:t>0</w:t>
      </w:r>
      <w:r>
        <w:rPr>
          <w:rFonts w:ascii="Times New Roman" w:hAnsi="Times New Roman" w:eastAsia="宋体" w:cs="Times New Roman"/>
          <w:color w:val="auto"/>
          <w:sz w:val="24"/>
          <w:szCs w:val="24"/>
        </w:rPr>
        <w:t xml:space="preserve">处的A声级，dB(A)； </w:t>
      </w:r>
    </w:p>
    <w:p>
      <w:pPr>
        <w:spacing w:line="440" w:lineRule="exact"/>
        <w:ind w:firstLine="1200" w:firstLineChars="500"/>
        <w:jc w:val="left"/>
        <w:rPr>
          <w:rFonts w:ascii="Times New Roman" w:hAnsi="Times New Roman" w:eastAsia="宋体" w:cs="Times New Roman"/>
          <w:color w:val="auto"/>
          <w:sz w:val="24"/>
          <w:szCs w:val="24"/>
        </w:rPr>
      </w:pPr>
      <w:r>
        <w:rPr>
          <w:rFonts w:ascii="Times New Roman" w:hAnsi="Times New Roman" w:eastAsia="宋体" w:cs="Times New Roman"/>
          <w:i/>
          <w:color w:val="auto"/>
          <w:sz w:val="24"/>
          <w:szCs w:val="24"/>
        </w:rPr>
        <w:t>r</w:t>
      </w:r>
      <w:r>
        <w:rPr>
          <w:rFonts w:ascii="Times New Roman" w:hAnsi="Times New Roman" w:eastAsia="宋体" w:cs="Times New Roman"/>
          <w:i/>
          <w:color w:val="auto"/>
          <w:sz w:val="24"/>
          <w:szCs w:val="24"/>
          <w:vertAlign w:val="subscript"/>
        </w:rPr>
        <w:t>0</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r</w:t>
      </w:r>
      <w:r>
        <w:rPr>
          <w:rFonts w:ascii="Times New Roman" w:hAnsi="Times New Roman" w:eastAsia="宋体" w:cs="Times New Roman"/>
          <w:color w:val="auto"/>
          <w:sz w:val="24"/>
          <w:szCs w:val="24"/>
        </w:rPr>
        <w:t>——距声源的距离，m；</w:t>
      </w:r>
    </w:p>
    <w:p>
      <w:pPr>
        <w:spacing w:line="440" w:lineRule="exact"/>
        <w:ind w:firstLine="1200" w:firstLineChars="500"/>
        <w:jc w:val="left"/>
        <w:rPr>
          <w:rFonts w:ascii="Times New Roman" w:hAnsi="Times New Roman" w:eastAsia="宋体" w:cs="Times New Roman"/>
          <w:color w:val="auto"/>
          <w:sz w:val="24"/>
          <w:szCs w:val="24"/>
        </w:rPr>
      </w:pPr>
      <w:r>
        <w:rPr>
          <w:rFonts w:ascii="Times New Roman" w:hAnsi="Times New Roman" w:eastAsia="宋体" w:cs="Times New Roman"/>
          <w:i/>
          <w:color w:val="auto"/>
          <w:sz w:val="24"/>
          <w:szCs w:val="24"/>
        </w:rPr>
        <w:t>ΔL</w:t>
      </w:r>
      <w:r>
        <w:rPr>
          <w:rFonts w:ascii="Times New Roman" w:hAnsi="Times New Roman" w:eastAsia="宋体" w:cs="Times New Roman"/>
          <w:color w:val="auto"/>
          <w:sz w:val="24"/>
          <w:szCs w:val="24"/>
        </w:rPr>
        <w:t>——其他因素引起的噪声衰减量，一般取0~15dB(A)。</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由上式预测单个噪声源在评价点的贡献值，再将不同声源在该点的贡献值用对数法叠加，得出多个噪声源对该点噪声的贡献值，采用的模式如下：</w:t>
      </w:r>
    </w:p>
    <w:p>
      <w:pPr>
        <w:spacing w:line="240" w:lineRule="auto"/>
        <w:ind w:firstLine="0" w:firstLineChars="0"/>
        <w:jc w:val="center"/>
        <w:rPr>
          <w:rFonts w:ascii="Times New Roman" w:hAnsi="Times New Roman" w:eastAsia="宋体" w:cs="Times New Roman"/>
          <w:color w:val="auto"/>
          <w:sz w:val="24"/>
          <w:szCs w:val="24"/>
        </w:rPr>
      </w:pPr>
      <w:r>
        <w:rPr>
          <w:rFonts w:ascii="Times New Roman" w:hAnsi="Times New Roman" w:eastAsia="宋体" w:cs="Times New Roman"/>
          <w:color w:val="auto"/>
          <w:position w:val="-28"/>
          <w:sz w:val="24"/>
          <w:szCs w:val="24"/>
        </w:rPr>
        <w:drawing>
          <wp:inline distT="0" distB="0" distL="114300" distR="114300">
            <wp:extent cx="1388745" cy="485775"/>
            <wp:effectExtent l="0" t="0" r="0" b="8255"/>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40"/>
                    <a:stretch>
                      <a:fillRect/>
                    </a:stretch>
                  </pic:blipFill>
                  <pic:spPr>
                    <a:xfrm>
                      <a:off x="0" y="0"/>
                      <a:ext cx="1388745" cy="485775"/>
                    </a:xfrm>
                    <a:prstGeom prst="rect">
                      <a:avLst/>
                    </a:prstGeom>
                    <a:noFill/>
                    <a:ln>
                      <a:noFill/>
                    </a:ln>
                  </pic:spPr>
                </pic:pic>
              </a:graphicData>
            </a:graphic>
          </wp:inline>
        </w:drawing>
      </w:r>
    </w:p>
    <w:p>
      <w:pPr>
        <w:spacing w:line="440" w:lineRule="exact"/>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式中：</w:t>
      </w:r>
      <w:r>
        <w:rPr>
          <w:rFonts w:ascii="Times New Roman" w:hAnsi="Times New Roman" w:eastAsia="宋体" w:cs="Times New Roman"/>
          <w:i/>
          <w:color w:val="auto"/>
          <w:sz w:val="24"/>
          <w:szCs w:val="24"/>
        </w:rPr>
        <w:t>L</w:t>
      </w:r>
      <w:r>
        <w:rPr>
          <w:rFonts w:ascii="Times New Roman" w:hAnsi="Times New Roman" w:eastAsia="宋体" w:cs="Times New Roman"/>
          <w:color w:val="auto"/>
          <w:sz w:val="24"/>
          <w:szCs w:val="24"/>
        </w:rPr>
        <w:t>——叠加后总声压级，dB(A)；</w:t>
      </w:r>
    </w:p>
    <w:p>
      <w:pPr>
        <w:spacing w:line="440" w:lineRule="exact"/>
        <w:ind w:firstLine="1200" w:firstLineChars="500"/>
        <w:jc w:val="left"/>
        <w:rPr>
          <w:rFonts w:ascii="Times New Roman" w:hAnsi="Times New Roman" w:eastAsia="宋体" w:cs="Times New Roman"/>
          <w:color w:val="auto"/>
          <w:sz w:val="24"/>
          <w:szCs w:val="24"/>
        </w:rPr>
      </w:pPr>
      <w:r>
        <w:rPr>
          <w:rFonts w:ascii="Times New Roman" w:hAnsi="Times New Roman" w:eastAsia="宋体" w:cs="Times New Roman"/>
          <w:i/>
          <w:color w:val="auto"/>
          <w:sz w:val="24"/>
          <w:szCs w:val="24"/>
        </w:rPr>
        <w:t>L</w:t>
      </w:r>
      <w:r>
        <w:rPr>
          <w:rFonts w:ascii="Times New Roman" w:hAnsi="Times New Roman" w:eastAsia="宋体" w:cs="Times New Roman"/>
          <w:i/>
          <w:color w:val="auto"/>
          <w:sz w:val="24"/>
          <w:szCs w:val="24"/>
          <w:vertAlign w:val="subscript"/>
        </w:rPr>
        <w:t>i</w:t>
      </w:r>
      <w:r>
        <w:rPr>
          <w:rFonts w:ascii="Times New Roman" w:hAnsi="Times New Roman" w:eastAsia="宋体" w:cs="Times New Roman"/>
          <w:color w:val="auto"/>
          <w:sz w:val="24"/>
          <w:szCs w:val="24"/>
        </w:rPr>
        <w:t>——各声源的噪声值，dB(A)；</w:t>
      </w:r>
    </w:p>
    <w:p>
      <w:pPr>
        <w:spacing w:line="440" w:lineRule="exact"/>
        <w:ind w:firstLine="1200" w:firstLineChars="500"/>
        <w:jc w:val="left"/>
        <w:rPr>
          <w:rFonts w:ascii="Times New Roman" w:hAnsi="Times New Roman" w:eastAsia="宋体" w:cs="Times New Roman"/>
          <w:color w:val="auto"/>
          <w:sz w:val="24"/>
          <w:szCs w:val="24"/>
        </w:rPr>
      </w:pPr>
      <w:r>
        <w:rPr>
          <w:rFonts w:ascii="Times New Roman" w:hAnsi="Times New Roman" w:eastAsia="宋体" w:cs="Times New Roman"/>
          <w:i/>
          <w:color w:val="auto"/>
          <w:sz w:val="24"/>
          <w:szCs w:val="24"/>
        </w:rPr>
        <w:t>n</w:t>
      </w:r>
      <w:r>
        <w:rPr>
          <w:rFonts w:ascii="Times New Roman" w:hAnsi="Times New Roman" w:eastAsia="宋体" w:cs="Times New Roman"/>
          <w:color w:val="auto"/>
          <w:sz w:val="24"/>
          <w:szCs w:val="24"/>
        </w:rPr>
        <w:t>——声源个数。</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根据上述公式及项目与周围主要敏感点的距离，可计算出建设项目在施工过程中各种主要噪声源对环境的影响程度，计算单台设备噪声随距离的衰减情况见表5.1-1。</w:t>
      </w:r>
    </w:p>
    <w:p>
      <w:pPr>
        <w:widowControl w:val="0"/>
        <w:spacing w:before="120" w:beforeLines="50" w:line="240" w:lineRule="exact"/>
        <w:ind w:firstLine="0" w:firstLineChars="0"/>
        <w:jc w:val="center"/>
        <w:rPr>
          <w:rFonts w:ascii="Times New Roman" w:hAnsi="Times New Roman" w:eastAsia="宋体" w:cs="Times New Roman"/>
          <w:b/>
          <w:color w:val="auto"/>
          <w:kern w:val="2"/>
          <w:sz w:val="21"/>
          <w:szCs w:val="24"/>
          <w:lang w:val="en-US" w:eastAsia="zh-CN" w:bidi="ar-SA"/>
        </w:rPr>
      </w:pPr>
      <w:r>
        <w:rPr>
          <w:rFonts w:ascii="Times New Roman" w:hAnsi="Times New Roman" w:eastAsia="宋体" w:cs="Times New Roman"/>
          <w:b/>
          <w:color w:val="auto"/>
          <w:kern w:val="2"/>
          <w:sz w:val="21"/>
          <w:szCs w:val="24"/>
          <w:lang w:val="en-US" w:eastAsia="zh-CN" w:bidi="ar-SA"/>
        </w:rPr>
        <w:t>表5.1-1</w:t>
      </w:r>
      <w:r>
        <w:rPr>
          <w:rFonts w:ascii="Times New Roman" w:hAnsi="Times New Roman" w:eastAsia="宋体" w:cs="Times New Roman"/>
          <w:b/>
          <w:color w:val="auto"/>
          <w:kern w:val="2"/>
          <w:sz w:val="21"/>
          <w:szCs w:val="24"/>
          <w:lang w:val="en-US" w:eastAsia="zh-CN" w:bidi="ar-SA"/>
        </w:rPr>
        <w:tab/>
      </w:r>
      <w:r>
        <w:rPr>
          <w:rFonts w:ascii="Times New Roman" w:hAnsi="Times New Roman" w:eastAsia="宋体" w:cs="Times New Roman"/>
          <w:b/>
          <w:color w:val="auto"/>
          <w:kern w:val="2"/>
          <w:sz w:val="21"/>
          <w:szCs w:val="24"/>
          <w:lang w:val="en-US" w:eastAsia="zh-CN" w:bidi="ar-SA"/>
        </w:rPr>
        <w:t xml:space="preserve">   单台设备运转噪声辐射值计算表  单位：dB（A）</w:t>
      </w:r>
    </w:p>
    <w:tbl>
      <w:tblPr>
        <w:tblStyle w:val="88"/>
        <w:tblW w:w="4999" w:type="pct"/>
        <w:tblInd w:w="0" w:type="dxa"/>
        <w:tblLayout w:type="autofit"/>
        <w:tblCellMar>
          <w:top w:w="0" w:type="dxa"/>
          <w:left w:w="0" w:type="dxa"/>
          <w:bottom w:w="0" w:type="dxa"/>
          <w:right w:w="0" w:type="dxa"/>
        </w:tblCellMar>
      </w:tblPr>
      <w:tblGrid>
        <w:gridCol w:w="1408"/>
        <w:gridCol w:w="1114"/>
        <w:gridCol w:w="824"/>
        <w:gridCol w:w="826"/>
        <w:gridCol w:w="824"/>
        <w:gridCol w:w="826"/>
        <w:gridCol w:w="824"/>
        <w:gridCol w:w="826"/>
        <w:gridCol w:w="832"/>
      </w:tblGrid>
      <w:tr>
        <w:tblPrEx>
          <w:tblCellMar>
            <w:top w:w="0" w:type="dxa"/>
            <w:left w:w="0" w:type="dxa"/>
            <w:bottom w:w="0" w:type="dxa"/>
            <w:right w:w="0" w:type="dxa"/>
          </w:tblCellMar>
        </w:tblPrEx>
        <w:tc>
          <w:tcPr>
            <w:tcW w:w="848" w:type="pct"/>
            <w:vMerge w:val="restart"/>
            <w:tcBorders>
              <w:top w:val="single" w:color="auto" w:sz="12"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设备名称</w:t>
            </w:r>
          </w:p>
        </w:tc>
        <w:tc>
          <w:tcPr>
            <w:tcW w:w="671" w:type="pct"/>
            <w:vMerge w:val="restart"/>
            <w:tcBorders>
              <w:top w:val="single" w:color="auto" w:sz="12"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声级测值距离声源</w:t>
            </w:r>
          </w:p>
        </w:tc>
        <w:tc>
          <w:tcPr>
            <w:tcW w:w="3480" w:type="pct"/>
            <w:gridSpan w:val="7"/>
            <w:tcBorders>
              <w:top w:val="single" w:color="auto" w:sz="12"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距离（m）</w:t>
            </w:r>
          </w:p>
        </w:tc>
      </w:tr>
      <w:tr>
        <w:tblPrEx>
          <w:tblCellMar>
            <w:top w:w="0" w:type="dxa"/>
            <w:left w:w="0" w:type="dxa"/>
            <w:bottom w:w="0" w:type="dxa"/>
            <w:right w:w="0" w:type="dxa"/>
          </w:tblCellMar>
        </w:tblPrEx>
        <w:tc>
          <w:tcPr>
            <w:tcW w:w="848" w:type="pct"/>
            <w:vMerge w:val="continue"/>
            <w:tcBorders>
              <w:top w:val="single" w:color="000000" w:sz="10"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p>
        </w:tc>
        <w:tc>
          <w:tcPr>
            <w:tcW w:w="671" w:type="pct"/>
            <w:vMerge w:val="continue"/>
            <w:tcBorders>
              <w:top w:val="single" w:color="000000" w:sz="10"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10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40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50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60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100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液压挖掘机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44.0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挖掘机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86</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66</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53.9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52.0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46</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40.0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轮式装载机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95</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68.9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63.9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61.0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59.4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55</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49.0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推土机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88</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68</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61.9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55.9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52.4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48</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41.9</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各类压路机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44.0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重型运输车</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44.0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木工电锯</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72.9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66.9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63.4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59</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52.9</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电锤</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73.9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53.9</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振动夯锤</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73.9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53.9</w:t>
            </w:r>
          </w:p>
        </w:tc>
      </w:tr>
      <w:tr>
        <w:tblPrEx>
          <w:tblCellMar>
            <w:top w:w="0" w:type="dxa"/>
            <w:left w:w="0" w:type="dxa"/>
            <w:bottom w:w="0" w:type="dxa"/>
            <w:right w:w="0" w:type="dxa"/>
          </w:tblCellMar>
        </w:tblPrEx>
        <w:tc>
          <w:tcPr>
            <w:tcW w:w="848" w:type="pct"/>
            <w:tcBorders>
              <w:top w:val="single" w:color="000000" w:sz="4" w:space="0"/>
              <w:left w:val="nil"/>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混凝土输送泵</w:t>
            </w:r>
          </w:p>
        </w:tc>
        <w:tc>
          <w:tcPr>
            <w:tcW w:w="671"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95</w:t>
            </w:r>
          </w:p>
        </w:tc>
        <w:tc>
          <w:tcPr>
            <w:tcW w:w="496"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w:t>
            </w:r>
          </w:p>
        </w:tc>
        <w:tc>
          <w:tcPr>
            <w:tcW w:w="497"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68.9</w:t>
            </w:r>
          </w:p>
        </w:tc>
        <w:tc>
          <w:tcPr>
            <w:tcW w:w="496"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63.9</w:t>
            </w:r>
          </w:p>
        </w:tc>
        <w:tc>
          <w:tcPr>
            <w:tcW w:w="497"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61.0</w:t>
            </w:r>
          </w:p>
        </w:tc>
        <w:tc>
          <w:tcPr>
            <w:tcW w:w="496"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59.4</w:t>
            </w:r>
          </w:p>
        </w:tc>
        <w:tc>
          <w:tcPr>
            <w:tcW w:w="497"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55</w:t>
            </w:r>
          </w:p>
        </w:tc>
        <w:tc>
          <w:tcPr>
            <w:tcW w:w="496" w:type="pct"/>
            <w:tcBorders>
              <w:top w:val="single" w:color="000000" w:sz="4" w:space="0"/>
              <w:left w:val="single" w:color="000000" w:sz="4" w:space="0"/>
              <w:bottom w:val="single" w:color="000000" w:sz="10"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49.0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商砼运输车</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90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70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64.0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44.0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混凝土振捣器</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88</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68</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61.9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55.9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52.4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48</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41.9</w:t>
            </w:r>
          </w:p>
        </w:tc>
      </w:tr>
      <w:tr>
        <w:tblPrEx>
          <w:tblCellMar>
            <w:top w:w="0" w:type="dxa"/>
            <w:left w:w="0" w:type="dxa"/>
            <w:bottom w:w="0" w:type="dxa"/>
            <w:right w:w="0" w:type="dxa"/>
          </w:tblCellMar>
        </w:tblPrEx>
        <w:tc>
          <w:tcPr>
            <w:tcW w:w="848" w:type="pct"/>
            <w:tcBorders>
              <w:top w:val="single" w:color="000000" w:sz="4" w:space="0"/>
              <w:left w:val="nil"/>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空压机</w:t>
            </w:r>
          </w:p>
        </w:tc>
        <w:tc>
          <w:tcPr>
            <w:tcW w:w="671"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92</w:t>
            </w:r>
          </w:p>
        </w:tc>
        <w:tc>
          <w:tcPr>
            <w:tcW w:w="496"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72</w:t>
            </w:r>
          </w:p>
        </w:tc>
        <w:tc>
          <w:tcPr>
            <w:tcW w:w="497"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65.9</w:t>
            </w:r>
          </w:p>
        </w:tc>
        <w:tc>
          <w:tcPr>
            <w:tcW w:w="496"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59.9</w:t>
            </w:r>
          </w:p>
        </w:tc>
        <w:tc>
          <w:tcPr>
            <w:tcW w:w="497"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58.0</w:t>
            </w:r>
          </w:p>
        </w:tc>
        <w:tc>
          <w:tcPr>
            <w:tcW w:w="496"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56.4</w:t>
            </w:r>
          </w:p>
        </w:tc>
        <w:tc>
          <w:tcPr>
            <w:tcW w:w="497"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52</w:t>
            </w:r>
          </w:p>
        </w:tc>
        <w:tc>
          <w:tcPr>
            <w:tcW w:w="496" w:type="pct"/>
            <w:tcBorders>
              <w:top w:val="single" w:color="000000" w:sz="4" w:space="0"/>
              <w:left w:val="single" w:color="000000" w:sz="4" w:space="0"/>
              <w:bottom w:val="single" w:color="auto" w:sz="12"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45.9</w:t>
            </w:r>
          </w:p>
        </w:tc>
      </w:tr>
    </w:tbl>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从表5.1-1可知，单台施工机械噪声昼间在距施工场地约40m处满足《建筑施工场界环境噪声排放标准》（GB12523-2011）规定的标准要求。由于高噪声机械设备施工只在昼间进行，且施工期是暂时的，噪声属不连续排放。因此施工期间噪声值可满足《建筑施工场界环境噪声排放标准》（GB12523-2011）标准的要求，施工噪声可实现达标排放。本项目猪舍等建筑物周边200m范围内无居民等敏感点，因此施工期噪声对周围居民影响不大。</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为了进一步减小施工期噪声的影响，环评要求合理布设固定源机械（如空压机），尽量布置于远离居民点，在场地四周设置施工围挡（1.8m高），加强施工期环境管理，在此条件下施工噪声不会对周围声环境敏感点带来不利影响，不会改变施工场地周边声功能区划。材料运输安排在白天进行，在经过村庄时采取限速、禁鸣等措施，在此前提下，运输车辆产生的噪声不会改变沿线声功能区划。在采取相关噪声治理措施后，施工期产生的噪声贡献值较小，不会对周围敏感点产生明显影响。</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施工单位和建设单位应严格执行《建筑施工场界环境噪声排放标准》（GB12523-2011）标准，加强施工过程的管理，制定合理的施工作业计划，合理布局施工以及安排施工作业时间，将噪声级大的施工作业尽可能安排在白天进行，并从管理上采取措施；将有固定工作地点的施工机械设置在距敏感点较远的位置上，以降低施工噪声对环境的影响。</w:t>
      </w:r>
    </w:p>
    <w:p>
      <w:pPr>
        <w:pStyle w:val="7"/>
        <w:spacing w:before="0" w:after="0" w:line="360" w:lineRule="auto"/>
        <w:ind w:left="0" w:firstLine="0"/>
        <w:rPr>
          <w:rFonts w:cs="Times New Roman"/>
          <w:color w:val="auto"/>
          <w:lang w:val="en-US" w:eastAsia="zh-CN"/>
        </w:rPr>
      </w:pPr>
      <w:bookmarkStart w:id="228" w:name="_Toc393093548"/>
      <w:bookmarkStart w:id="229" w:name="_Toc3770"/>
      <w:r>
        <w:rPr>
          <w:rFonts w:cs="Times New Roman"/>
          <w:color w:val="auto"/>
          <w:lang w:val="en-US" w:eastAsia="zh-CN"/>
        </w:rPr>
        <w:t>施工期固废环境影响分析</w:t>
      </w:r>
      <w:bookmarkEnd w:id="228"/>
      <w:bookmarkEnd w:id="229"/>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本项目施工期产生的固体废弃物主要为施工人员产生的生活垃圾和各种建筑垃圾等。</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w:t>
      </w:r>
      <w:bookmarkStart w:id="230" w:name="_Toc393093549"/>
      <w:r>
        <w:rPr>
          <w:rFonts w:ascii="Times New Roman" w:hAnsi="Times New Roman" w:eastAsia="宋体" w:cs="Times New Roman"/>
          <w:b/>
          <w:color w:val="auto"/>
          <w:sz w:val="24"/>
          <w:szCs w:val="24"/>
        </w:rPr>
        <w:t>、生活垃圾</w:t>
      </w:r>
      <w:bookmarkEnd w:id="230"/>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本项目施工高峰期施工人员约100人，生活垃圾按0.5kg/d·人计，产生量为 50kg/d。施工人员每日产生的生活垃圾应经过袋装收集后，交由当地环卫部门统一清运处置，不会对区域环境质量构成潜在的影响因素。</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w:t>
      </w:r>
      <w:bookmarkStart w:id="231" w:name="_Toc393093550"/>
      <w:r>
        <w:rPr>
          <w:rFonts w:ascii="Times New Roman" w:hAnsi="Times New Roman" w:eastAsia="宋体" w:cs="Times New Roman"/>
          <w:b/>
          <w:color w:val="auto"/>
          <w:sz w:val="24"/>
          <w:szCs w:val="24"/>
        </w:rPr>
        <w:t>、建筑</w:t>
      </w:r>
      <w:bookmarkEnd w:id="231"/>
      <w:r>
        <w:rPr>
          <w:rFonts w:ascii="Times New Roman" w:hAnsi="Times New Roman" w:eastAsia="宋体" w:cs="Times New Roman"/>
          <w:b/>
          <w:color w:val="auto"/>
          <w:sz w:val="24"/>
          <w:szCs w:val="24"/>
        </w:rPr>
        <w:t>垃圾</w:t>
      </w:r>
    </w:p>
    <w:p>
      <w:pPr>
        <w:spacing w:line="440" w:lineRule="exact"/>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sz w:val="24"/>
          <w:szCs w:val="24"/>
        </w:rPr>
        <w:t>施工过程中产生的砂土、石块、水泥、碎木料、锯木屑、废金属、钢筋、铁丝、土石方等建筑垃圾约420.97t，施工单位必须加强管理，集中收集。建筑垃圾中废金属、废钢筋、废铁丝、废砖块、废木料等应尽量回收利用，其他不能回收利用的建筑垃圾清运至当地管理部门指定的受纳场地堆放，严禁乱倾乱倒。建筑施工单位在建设项目竣工后，应随即清理、清运完建筑垃圾。</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3、弃土弃渣</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根据主体工程设计资料，项目挖方量（主要包括猪舍基础开挖、环保处理设施基坑开挖、田间池基坑开挖等）约为18.6万m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，填方量（场地低处平整、厂区硬化区土地压实、绿化区需要的表土）约为15.5万m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，剩余土方量（主要为表土）约为3.1万m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，用作修建周边道路绿化覆土、本项目绿化工程的填方及绿化覆土及周边农田整治覆土。工程不产生弃土，不设置弃土场。</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综上所述，项目施工期在严格落实上述措施后，其施工期的固体废弃物可得到有效处理和处置，不会造成二次污染。施工结束后，即可基本消除，影响区域的各环境要素基本得以恢复。</w:t>
      </w:r>
    </w:p>
    <w:p>
      <w:pPr>
        <w:pStyle w:val="7"/>
        <w:spacing w:before="0" w:after="0" w:line="360" w:lineRule="auto"/>
        <w:ind w:left="0" w:firstLine="0"/>
        <w:rPr>
          <w:rFonts w:cs="Times New Roman"/>
          <w:color w:val="auto"/>
          <w:lang w:val="en-US" w:eastAsia="zh-CN"/>
        </w:rPr>
      </w:pPr>
      <w:bookmarkStart w:id="232" w:name="_Toc19893"/>
      <w:r>
        <w:rPr>
          <w:rFonts w:cs="Times New Roman"/>
          <w:color w:val="auto"/>
          <w:lang w:val="en-US" w:eastAsia="zh-CN"/>
        </w:rPr>
        <w:t>施工期生态环境影响分析</w:t>
      </w:r>
      <w:bookmarkEnd w:id="232"/>
    </w:p>
    <w:p>
      <w:pPr>
        <w:spacing w:line="440" w:lineRule="exact"/>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w:t>
      </w:r>
      <w:r>
        <w:rPr>
          <w:rFonts w:ascii="Times New Roman" w:hAnsi="Times New Roman" w:eastAsia="宋体" w:cs="Times New Roman"/>
          <w:color w:val="auto"/>
          <w:sz w:val="24"/>
          <w:szCs w:val="24"/>
        </w:rPr>
        <w:t>用地现状为耕地和林地，用地面积为</w:t>
      </w:r>
      <w:r>
        <w:rPr>
          <w:rFonts w:hint="eastAsia" w:ascii="Times New Roman" w:hAnsi="Times New Roman" w:eastAsia="宋体" w:cs="Times New Roman"/>
          <w:color w:val="auto"/>
          <w:sz w:val="24"/>
          <w:szCs w:val="24"/>
          <w:lang w:val="en-US" w:eastAsia="zh-CN"/>
        </w:rPr>
        <w:t>160亩</w:t>
      </w:r>
      <w:r>
        <w:rPr>
          <w:rFonts w:ascii="Times New Roman" w:hAnsi="Times New Roman" w:eastAsia="宋体" w:cs="Times New Roman"/>
          <w:color w:val="auto"/>
          <w:sz w:val="24"/>
          <w:szCs w:val="24"/>
        </w:rPr>
        <w:t>，</w:t>
      </w:r>
      <w:r>
        <w:rPr>
          <w:rFonts w:ascii="Times New Roman" w:hAnsi="Times New Roman" w:eastAsia="宋体" w:cs="Times New Roman"/>
          <w:color w:val="auto"/>
          <w:kern w:val="0"/>
          <w:sz w:val="24"/>
          <w:szCs w:val="24"/>
        </w:rPr>
        <w:t>项目建设过程中将影响项目区内动植物生存环境、农村生态环境，改变区域土地利用现状，引发水土流失等。</w:t>
      </w:r>
    </w:p>
    <w:p>
      <w:pPr>
        <w:spacing w:line="440" w:lineRule="exact"/>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1、水土流失</w:t>
      </w:r>
    </w:p>
    <w:p>
      <w:pPr>
        <w:spacing w:line="440" w:lineRule="exact"/>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工程的建设将会损坏原有的地形、地貌和植被，建设过程中的施工活动扰动了原有的土地结构，致使土体抗侵蚀能力降低，同时由于开挖量大，增大了风蚀和水蚀的强度。此外，由于项目地形、地貌和施工条件，有可能产生施工临时堆土，临时堆土场堆土若高度大、坡度陡，遇暴雨有可能产生比较严重的水土流失。</w:t>
      </w:r>
    </w:p>
    <w:p>
      <w:pPr>
        <w:spacing w:line="440" w:lineRule="exact"/>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禁止将建筑垃圾、石块、弃土等随意堆放、丢弃在建筑红线以外，尽量将挖土方就地填埋自行消化，地面上设计为绿化带，进行植被恢复，将其对地表的影响降至最低；本工程项目面积较大，施工中无需征用临时占地；合理安排各工段施工顺序、合理布置施工现场、做好施工进度计划表、缩短工期；使停车场、环卫设施及绿化工程等基础设施尽量同时完工，这样有利于减少水土流失对环境的影响。</w:t>
      </w:r>
    </w:p>
    <w:p>
      <w:pPr>
        <w:spacing w:line="440" w:lineRule="exact"/>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2、植被影响分析</w:t>
      </w:r>
    </w:p>
    <w:p>
      <w:pPr>
        <w:spacing w:line="440" w:lineRule="exact"/>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工程占地对植被的影响，主要影响因素包括项目建构筑物、设备的修建、绿化工程占地及施工人员、施工机械对地表的践踏等。</w:t>
      </w:r>
    </w:p>
    <w:p>
      <w:pPr>
        <w:spacing w:line="440" w:lineRule="exact"/>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w:t>
      </w:r>
      <w:r>
        <w:rPr>
          <w:rFonts w:ascii="Times New Roman" w:hAnsi="Times New Roman" w:eastAsia="宋体" w:cs="Times New Roman"/>
          <w:color w:val="auto"/>
          <w:sz w:val="24"/>
          <w:szCs w:val="24"/>
        </w:rPr>
        <w:t>用地面积为27.93hm</w:t>
      </w:r>
      <w:r>
        <w:rPr>
          <w:rFonts w:ascii="Times New Roman" w:hAnsi="Times New Roman" w:eastAsia="宋体" w:cs="Times New Roman"/>
          <w:color w:val="auto"/>
          <w:sz w:val="24"/>
          <w:szCs w:val="24"/>
          <w:vertAlign w:val="superscript"/>
        </w:rPr>
        <w:t>2</w:t>
      </w:r>
      <w:r>
        <w:rPr>
          <w:rFonts w:ascii="Times New Roman" w:hAnsi="Times New Roman" w:eastAsia="宋体" w:cs="Times New Roman"/>
          <w:color w:val="auto"/>
          <w:sz w:val="24"/>
          <w:szCs w:val="24"/>
        </w:rPr>
        <w:t>，</w:t>
      </w:r>
      <w:r>
        <w:rPr>
          <w:rFonts w:ascii="Times New Roman" w:hAnsi="Times New Roman" w:eastAsia="宋体" w:cs="Times New Roman"/>
          <w:color w:val="auto"/>
          <w:kern w:val="0"/>
          <w:sz w:val="24"/>
          <w:szCs w:val="24"/>
        </w:rPr>
        <w:t>主要为耕地及少量林地，土地占用主要为农作物的减少。根据调查，项目施工区域无珍稀名贵植物。除工程建筑和道路不同程度的占地外，其余地表基本绿化。项目占地面积相对于所在区域比例较小，区域雨水丰富，气候适宜，破坏植被通过补偿措施容易恢复；项目建设开发强度不大，施工人员、施工机械对地表的践踏程度较轻，在1~2年后即可恢复。因此，本项目施工期对植被不会产生大的影响。</w:t>
      </w:r>
    </w:p>
    <w:p>
      <w:pPr>
        <w:spacing w:line="440" w:lineRule="exact"/>
        <w:ind w:firstLine="482" w:firstLineChars="200"/>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3、野生动物影响分析</w:t>
      </w:r>
    </w:p>
    <w:p>
      <w:pPr>
        <w:spacing w:line="440" w:lineRule="exact"/>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施工期对野生动物的主要影响因素为车辆运输、工程建设等施工行为可能影响野生动物的栖息环境。施工期间，施工队伍生活污水收集处理、生活垃圾等定点收集清运，不会对周围环境及野生动物产生明显不利影响。</w:t>
      </w:r>
    </w:p>
    <w:p>
      <w:pPr>
        <w:spacing w:line="440" w:lineRule="exact"/>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根据现状调查，评价区为农业生态系统，人类扰动较大，无珍稀濒危野生保护动物分布，区域内仅有鼠类、蛇类等广布种动物，不具有较大保护价值。因此，只要加强对施工人员的监督和环保意识的宣传，工程对区域内野生动物不会产生较大影响。</w:t>
      </w:r>
    </w:p>
    <w:p>
      <w:pPr>
        <w:spacing w:line="440" w:lineRule="exact"/>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综上所述，通过采取上述措施后，大大减少了因施工造成的水土流失，对生态环境的影响也降低到了最低。因此，本工程施工期不会对所在区域生态环境造成明显不利影响。</w:t>
      </w:r>
    </w:p>
    <w:p>
      <w:pPr>
        <w:spacing w:line="440" w:lineRule="exact"/>
        <w:ind w:firstLine="482" w:firstLineChars="200"/>
        <w:rPr>
          <w:color w:val="auto"/>
        </w:rPr>
      </w:pPr>
      <w:r>
        <w:rPr>
          <w:rFonts w:ascii="Times New Roman" w:hAnsi="Times New Roman" w:eastAsia="宋体" w:cs="Times New Roman"/>
          <w:b/>
          <w:color w:val="auto"/>
          <w:sz w:val="24"/>
          <w:szCs w:val="24"/>
        </w:rPr>
        <w:t>综上，项目施工期的影响是暂时的，在施工结束后影响区域的各环境要素基本都可以得到恢复。需认真制定和落实施工期应采取的环保措施，只要施工单位做到文明施工并加强施工人员的环境保护安全意识教育，工程施工的环境影响问题可得到有效控制或消除，可使其对环境的影响降至最小程度。</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rPr>
      </w:pPr>
      <w:bookmarkStart w:id="233" w:name="_Toc31824"/>
      <w:r>
        <w:rPr>
          <w:rFonts w:hint="default" w:ascii="Times New Roman" w:hAnsi="Times New Roman" w:eastAsia="宋体" w:cs="Times New Roman"/>
          <w:color w:val="auto"/>
        </w:rPr>
        <w:t>营运期环境影响评价</w:t>
      </w:r>
      <w:bookmarkEnd w:id="233"/>
    </w:p>
    <w:p>
      <w:pPr>
        <w:pStyle w:val="7"/>
        <w:spacing w:before="0" w:after="0" w:line="360" w:lineRule="auto"/>
        <w:ind w:left="0" w:firstLine="0"/>
        <w:rPr>
          <w:rFonts w:cs="Times New Roman"/>
          <w:color w:val="auto"/>
        </w:rPr>
      </w:pPr>
      <w:bookmarkStart w:id="234" w:name="_Toc1991"/>
      <w:r>
        <w:rPr>
          <w:rFonts w:cs="Times New Roman"/>
          <w:color w:val="auto"/>
        </w:rPr>
        <w:t>大气环境影响分析</w:t>
      </w:r>
      <w:bookmarkEnd w:id="234"/>
    </w:p>
    <w:p>
      <w:pPr>
        <w:spacing w:line="440" w:lineRule="exact"/>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根据工程分析，本项目排放的废气主要有猪舍、污水处理站、</w:t>
      </w:r>
      <w:r>
        <w:rPr>
          <w:rFonts w:hint="eastAsia" w:ascii="Times New Roman" w:hAnsi="Times New Roman" w:eastAsia="宋体" w:cs="Times New Roman"/>
          <w:color w:val="auto"/>
          <w:kern w:val="0"/>
          <w:sz w:val="24"/>
          <w:szCs w:val="24"/>
          <w:lang w:eastAsia="zh-CN"/>
        </w:rPr>
        <w:t>堆肥车间</w:t>
      </w:r>
      <w:r>
        <w:rPr>
          <w:rFonts w:hint="eastAsia" w:ascii="Times New Roman" w:hAnsi="Times New Roman" w:eastAsia="宋体" w:cs="Times New Roman"/>
          <w:color w:val="auto"/>
          <w:kern w:val="0"/>
          <w:sz w:val="24"/>
          <w:szCs w:val="24"/>
        </w:rPr>
        <w:t>及</w:t>
      </w:r>
      <w:r>
        <w:rPr>
          <w:rFonts w:hint="eastAsia" w:ascii="Times New Roman" w:hAnsi="Times New Roman" w:eastAsia="宋体" w:cs="Times New Roman"/>
          <w:color w:val="auto"/>
          <w:kern w:val="0"/>
          <w:sz w:val="24"/>
          <w:szCs w:val="24"/>
          <w:lang w:eastAsia="zh-CN"/>
        </w:rPr>
        <w:t>无害化降解处理机</w:t>
      </w:r>
      <w:r>
        <w:rPr>
          <w:rFonts w:hint="eastAsia" w:ascii="Times New Roman" w:hAnsi="Times New Roman" w:eastAsia="宋体" w:cs="Times New Roman"/>
          <w:color w:val="auto"/>
          <w:kern w:val="0"/>
          <w:sz w:val="24"/>
          <w:szCs w:val="24"/>
        </w:rPr>
        <w:t>产生的恶臭气体（主要为NH</w:t>
      </w:r>
      <w:r>
        <w:rPr>
          <w:rFonts w:hint="eastAsia" w:ascii="Times New Roman" w:hAnsi="Times New Roman" w:eastAsia="宋体" w:cs="Times New Roman"/>
          <w:color w:val="auto"/>
          <w:kern w:val="0"/>
          <w:sz w:val="24"/>
          <w:szCs w:val="24"/>
          <w:vertAlign w:val="subscript"/>
        </w:rPr>
        <w:t>3</w:t>
      </w:r>
      <w:r>
        <w:rPr>
          <w:rFonts w:hint="eastAsia" w:ascii="Times New Roman" w:hAnsi="Times New Roman" w:eastAsia="宋体" w:cs="Times New Roman"/>
          <w:color w:val="auto"/>
          <w:kern w:val="0"/>
          <w:sz w:val="24"/>
          <w:szCs w:val="24"/>
        </w:rPr>
        <w:t>和H</w:t>
      </w:r>
      <w:r>
        <w:rPr>
          <w:rFonts w:hint="eastAsia" w:ascii="Times New Roman" w:hAnsi="Times New Roman" w:eastAsia="宋体" w:cs="Times New Roman"/>
          <w:color w:val="auto"/>
          <w:kern w:val="0"/>
          <w:sz w:val="24"/>
          <w:szCs w:val="24"/>
          <w:vertAlign w:val="subscript"/>
        </w:rPr>
        <w:t>2</w:t>
      </w:r>
      <w:r>
        <w:rPr>
          <w:rFonts w:hint="eastAsia" w:ascii="Times New Roman" w:hAnsi="Times New Roman" w:eastAsia="宋体" w:cs="Times New Roman"/>
          <w:color w:val="auto"/>
          <w:kern w:val="0"/>
          <w:sz w:val="24"/>
          <w:szCs w:val="24"/>
        </w:rPr>
        <w:t>S）、食堂（采取清洁能源沼气作为能源）排放的餐饮油烟。但食堂油烟排放量小，经油烟净化器处理后引至屋顶排放，对周围环境影响较小；沼气为清洁能源，其主要成分为甲烷，其燃烧排放的烟气主要污染物为SO2、NOx；</w:t>
      </w:r>
      <w:r>
        <w:rPr>
          <w:rFonts w:hint="eastAsia" w:ascii="Times New Roman" w:hAnsi="Times New Roman" w:eastAsia="宋体" w:cs="Times New Roman"/>
          <w:color w:val="auto"/>
          <w:kern w:val="0"/>
          <w:sz w:val="24"/>
          <w:szCs w:val="24"/>
          <w:lang w:eastAsia="zh-CN"/>
        </w:rPr>
        <w:t>无害化降解处理机</w:t>
      </w:r>
      <w:r>
        <w:rPr>
          <w:rFonts w:hint="eastAsia" w:ascii="Times New Roman" w:hAnsi="Times New Roman" w:eastAsia="宋体" w:cs="Times New Roman"/>
          <w:color w:val="auto"/>
          <w:kern w:val="0"/>
          <w:sz w:val="24"/>
          <w:szCs w:val="24"/>
        </w:rPr>
        <w:t>为一套密闭设备，且间歇运行，类比其他项目检测报告，其对周围环境影响较小。因此，本次评价主要选取猪舍、污水处理站和</w:t>
      </w:r>
      <w:r>
        <w:rPr>
          <w:rFonts w:hint="eastAsia" w:ascii="Times New Roman" w:hAnsi="Times New Roman" w:eastAsia="宋体" w:cs="Times New Roman"/>
          <w:color w:val="auto"/>
          <w:kern w:val="0"/>
          <w:sz w:val="24"/>
          <w:szCs w:val="24"/>
          <w:lang w:eastAsia="zh-CN"/>
        </w:rPr>
        <w:t>堆肥车间</w:t>
      </w:r>
      <w:r>
        <w:rPr>
          <w:rFonts w:hint="eastAsia" w:ascii="Times New Roman" w:hAnsi="Times New Roman" w:eastAsia="宋体" w:cs="Times New Roman"/>
          <w:color w:val="auto"/>
          <w:kern w:val="0"/>
          <w:sz w:val="24"/>
          <w:szCs w:val="24"/>
        </w:rPr>
        <w:t>产生的恶臭气体（NH</w:t>
      </w:r>
      <w:r>
        <w:rPr>
          <w:rFonts w:hint="eastAsia" w:ascii="Times New Roman" w:hAnsi="Times New Roman" w:eastAsia="宋体" w:cs="Times New Roman"/>
          <w:color w:val="auto"/>
          <w:kern w:val="0"/>
          <w:sz w:val="24"/>
          <w:szCs w:val="24"/>
          <w:vertAlign w:val="subscript"/>
        </w:rPr>
        <w:t>3</w:t>
      </w:r>
      <w:r>
        <w:rPr>
          <w:rFonts w:hint="eastAsia" w:ascii="Times New Roman" w:hAnsi="Times New Roman" w:eastAsia="宋体" w:cs="Times New Roman"/>
          <w:color w:val="auto"/>
          <w:kern w:val="0"/>
          <w:sz w:val="24"/>
          <w:szCs w:val="24"/>
        </w:rPr>
        <w:t>和H</w:t>
      </w:r>
      <w:r>
        <w:rPr>
          <w:rFonts w:hint="eastAsia" w:ascii="Times New Roman" w:hAnsi="Times New Roman" w:eastAsia="宋体" w:cs="Times New Roman"/>
          <w:color w:val="auto"/>
          <w:kern w:val="0"/>
          <w:sz w:val="24"/>
          <w:szCs w:val="24"/>
          <w:vertAlign w:val="subscript"/>
        </w:rPr>
        <w:t>2</w:t>
      </w:r>
      <w:r>
        <w:rPr>
          <w:rFonts w:hint="eastAsia" w:ascii="Times New Roman" w:hAnsi="Times New Roman" w:eastAsia="宋体" w:cs="Times New Roman"/>
          <w:color w:val="auto"/>
          <w:kern w:val="0"/>
          <w:sz w:val="24"/>
          <w:szCs w:val="24"/>
        </w:rPr>
        <w:t>S）进行评价。</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大气环境影响评价等级判定</w:t>
      </w:r>
    </w:p>
    <w:p>
      <w:pPr>
        <w:spacing w:line="440" w:lineRule="exact"/>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1、评价等级判定依据</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根据《环境影响评价技术导则 大气环境》（HJ2.2-2018）中的规定，选择项目污染源正常排放的主要污染物及排放参数，采用附录A推荐模型中估算模型分别计算项目污染源的最大环境影响，然后按评价工作分级判据进行分级。</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根据项目污染源初步调查结果，分别计算项目排放主要污染物的最大地面空气质量浓度占标率</w:t>
      </w:r>
      <w:r>
        <w:rPr>
          <w:rFonts w:hint="eastAsia" w:ascii="Times New Roman" w:hAnsi="Times New Roman" w:eastAsia="宋体" w:cs="Times New Roman"/>
          <w:i/>
          <w:color w:val="auto"/>
          <w:sz w:val="24"/>
          <w:szCs w:val="24"/>
        </w:rPr>
        <w:t>Pi</w:t>
      </w:r>
      <w:r>
        <w:rPr>
          <w:rFonts w:hint="eastAsia" w:ascii="Times New Roman" w:hAnsi="Times New Roman" w:eastAsia="宋体" w:cs="Times New Roman"/>
          <w:color w:val="auto"/>
          <w:sz w:val="24"/>
          <w:szCs w:val="24"/>
        </w:rPr>
        <w:t>（第</w:t>
      </w:r>
      <w:r>
        <w:rPr>
          <w:rFonts w:hint="eastAsia" w:ascii="Times New Roman" w:hAnsi="Times New Roman" w:eastAsia="宋体" w:cs="Times New Roman"/>
          <w:i/>
          <w:color w:val="auto"/>
          <w:sz w:val="24"/>
          <w:szCs w:val="24"/>
        </w:rPr>
        <w:t>i</w:t>
      </w:r>
      <w:r>
        <w:rPr>
          <w:rFonts w:hint="eastAsia" w:ascii="Times New Roman" w:hAnsi="Times New Roman" w:eastAsia="宋体" w:cs="Times New Roman"/>
          <w:color w:val="auto"/>
          <w:sz w:val="24"/>
          <w:szCs w:val="24"/>
        </w:rPr>
        <w:t>个污染物，简称“最大浓度占标率”），及第</w:t>
      </w:r>
      <w:r>
        <w:rPr>
          <w:rFonts w:hint="eastAsia" w:ascii="Times New Roman" w:hAnsi="Times New Roman" w:eastAsia="宋体" w:cs="Times New Roman"/>
          <w:i/>
          <w:color w:val="auto"/>
          <w:sz w:val="24"/>
          <w:szCs w:val="24"/>
        </w:rPr>
        <w:t>i</w:t>
      </w:r>
      <w:r>
        <w:rPr>
          <w:rFonts w:hint="eastAsia" w:ascii="Times New Roman" w:hAnsi="Times New Roman" w:eastAsia="宋体" w:cs="Times New Roman"/>
          <w:color w:val="auto"/>
          <w:sz w:val="24"/>
          <w:szCs w:val="24"/>
        </w:rPr>
        <w:t>个污染物的地面空气质量浓度达到标准值的10%时所对应的最远距离D</w:t>
      </w:r>
      <w:r>
        <w:rPr>
          <w:rFonts w:hint="eastAsia" w:ascii="Times New Roman" w:hAnsi="Times New Roman" w:eastAsia="宋体" w:cs="Times New Roman"/>
          <w:color w:val="auto"/>
          <w:sz w:val="24"/>
          <w:szCs w:val="24"/>
          <w:vertAlign w:val="subscript"/>
        </w:rPr>
        <w:t>10%</w:t>
      </w:r>
      <w:r>
        <w:rPr>
          <w:rFonts w:hint="eastAsia" w:ascii="Times New Roman" w:hAnsi="Times New Roman" w:eastAsia="宋体" w:cs="Times New Roman"/>
          <w:color w:val="auto"/>
          <w:sz w:val="24"/>
          <w:szCs w:val="24"/>
        </w:rPr>
        <w:t>。其中</w:t>
      </w:r>
      <w:r>
        <w:rPr>
          <w:rFonts w:hint="eastAsia" w:ascii="Times New Roman" w:hAnsi="Times New Roman" w:eastAsia="宋体" w:cs="Times New Roman"/>
          <w:i/>
          <w:color w:val="auto"/>
          <w:sz w:val="24"/>
          <w:szCs w:val="24"/>
        </w:rPr>
        <w:t>Pi</w:t>
      </w:r>
      <w:r>
        <w:rPr>
          <w:rFonts w:hint="eastAsia" w:ascii="Times New Roman" w:hAnsi="Times New Roman" w:eastAsia="宋体" w:cs="Times New Roman"/>
          <w:color w:val="auto"/>
          <w:sz w:val="24"/>
          <w:szCs w:val="24"/>
        </w:rPr>
        <w:t>定义为：</w:t>
      </w:r>
    </w:p>
    <w:p>
      <w:pPr>
        <w:spacing w:line="360" w:lineRule="auto"/>
        <w:ind w:firstLine="0" w:firstLineChars="0"/>
        <w:jc w:val="center"/>
        <w:rPr>
          <w:rFonts w:ascii="Times New Roman" w:hAnsi="Times New Roman" w:eastAsia="宋体" w:cs="Times New Roman"/>
          <w:color w:val="auto"/>
          <w:sz w:val="24"/>
          <w:szCs w:val="24"/>
        </w:rPr>
      </w:pPr>
      <m:oMathPara>
        <m:oMath>
          <m:sSub>
            <m:sSubPr>
              <m:ctrlPr>
                <w:rPr>
                  <w:rFonts w:ascii="Cambria Math" w:hAnsi="Cambria Math"/>
                  <w:color w:val="auto"/>
                </w:rPr>
              </m:ctrlPr>
            </m:sSubPr>
            <m:e>
              <m:r>
                <w:rPr>
                  <w:rFonts w:ascii="Cambria Math" w:hAnsi="Cambria Math"/>
                  <w:color w:val="auto"/>
                </w:rPr>
                <m:t>P</m:t>
              </m:r>
              <m:ctrlPr>
                <w:rPr>
                  <w:rFonts w:ascii="Cambria Math" w:hAnsi="Cambria Math"/>
                  <w:color w:val="auto"/>
                </w:rPr>
              </m:ctrlPr>
            </m:e>
            <m:sub>
              <m:r>
                <w:rPr>
                  <w:rFonts w:ascii="Cambria Math" w:hAnsi="Cambria Math"/>
                  <w:color w:val="auto"/>
                </w:rPr>
                <m:t>i</m:t>
              </m:r>
              <m:ctrlPr>
                <w:rPr>
                  <w:rFonts w:ascii="Cambria Math" w:hAnsi="Cambria Math"/>
                  <w:color w:val="auto"/>
                </w:rPr>
              </m:ctrlP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i/>
                      <w:color w:val="auto"/>
                    </w:rPr>
                  </m:ctrlPr>
                </m:sSubPr>
                <m:e>
                  <m:r>
                    <w:rPr>
                      <w:rFonts w:ascii="Cambria Math" w:hAnsi="Cambria Math"/>
                      <w:color w:val="auto"/>
                    </w:rPr>
                    <m:t>C</m:t>
                  </m:r>
                  <m:ctrlPr>
                    <w:rPr>
                      <w:rFonts w:ascii="Cambria Math" w:hAnsi="Cambria Math"/>
                      <w:i/>
                      <w:color w:val="auto"/>
                    </w:rPr>
                  </m:ctrlPr>
                </m:e>
                <m:sub>
                  <m:r>
                    <w:rPr>
                      <w:rFonts w:ascii="Cambria Math" w:hAnsi="Cambria Math"/>
                      <w:color w:val="auto"/>
                    </w:rPr>
                    <m:t>i</m:t>
                  </m:r>
                  <m:ctrlPr>
                    <w:rPr>
                      <w:rFonts w:ascii="Cambria Math" w:hAnsi="Cambria Math"/>
                      <w:i/>
                      <w:color w:val="auto"/>
                    </w:rPr>
                  </m:ctrlPr>
                </m:sub>
              </m:sSub>
              <m:ctrlPr>
                <w:rPr>
                  <w:rFonts w:ascii="Cambria Math" w:hAnsi="Cambria Math"/>
                  <w:i/>
                  <w:color w:val="auto"/>
                </w:rPr>
              </m:ctrlPr>
            </m:num>
            <m:den>
              <m:sSub>
                <m:sSubPr>
                  <m:ctrlPr>
                    <w:rPr>
                      <w:rFonts w:ascii="Cambria Math" w:hAnsi="Cambria Math"/>
                      <w:i/>
                      <w:color w:val="auto"/>
                    </w:rPr>
                  </m:ctrlPr>
                </m:sSubPr>
                <m:e>
                  <m:r>
                    <w:rPr>
                      <w:rFonts w:ascii="Cambria Math" w:hAnsi="Cambria Math"/>
                      <w:color w:val="auto"/>
                    </w:rPr>
                    <m:t>C</m:t>
                  </m:r>
                  <m:ctrlPr>
                    <w:rPr>
                      <w:rFonts w:ascii="Cambria Math" w:hAnsi="Cambria Math"/>
                      <w:i/>
                      <w:color w:val="auto"/>
                    </w:rPr>
                  </m:ctrlPr>
                </m:e>
                <m:sub>
                  <m:r>
                    <w:rPr>
                      <w:rFonts w:ascii="Cambria Math" w:hAnsi="Cambria Math"/>
                      <w:color w:val="auto"/>
                    </w:rPr>
                    <m:t>0i</m:t>
                  </m:r>
                  <m:ctrlPr>
                    <w:rPr>
                      <w:rFonts w:ascii="Cambria Math" w:hAnsi="Cambria Math"/>
                      <w:i/>
                      <w:color w:val="auto"/>
                    </w:rPr>
                  </m:ctrlPr>
                </m:sub>
              </m:sSub>
              <m:ctrlPr>
                <w:rPr>
                  <w:rFonts w:ascii="Cambria Math" w:hAnsi="Cambria Math"/>
                  <w:i/>
                  <w:color w:val="auto"/>
                </w:rPr>
              </m:ctrlPr>
            </m:den>
          </m:f>
          <m:r>
            <w:rPr>
              <w:rFonts w:ascii="Cambria Math" w:hAnsi="Cambria Math"/>
              <w:color w:val="auto"/>
            </w:rPr>
            <m:t>×100%</m:t>
          </m:r>
        </m:oMath>
      </m:oMathPara>
    </w:p>
    <w:p>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式中：</w:t>
      </w:r>
      <w:r>
        <w:rPr>
          <w:rFonts w:hint="eastAsia" w:ascii="Times New Roman" w:hAnsi="Times New Roman" w:eastAsia="宋体" w:cs="Times New Roman"/>
          <w:bCs/>
          <w:color w:val="auto"/>
          <w:sz w:val="24"/>
          <w:szCs w:val="24"/>
        </w:rPr>
        <w:t>P</w:t>
      </w:r>
      <w:r>
        <w:rPr>
          <w:rFonts w:hint="eastAsia" w:ascii="Times New Roman" w:hAnsi="Times New Roman" w:eastAsia="宋体" w:cs="Times New Roman"/>
          <w:bCs/>
          <w:i/>
          <w:color w:val="auto"/>
          <w:sz w:val="24"/>
          <w:szCs w:val="24"/>
        </w:rPr>
        <w:t>i</w:t>
      </w:r>
      <w:r>
        <w:rPr>
          <w:rFonts w:ascii="Times New Roman" w:hAnsi="Times New Roman" w:eastAsia="宋体" w:cs="Times New Roman"/>
          <w:bCs/>
          <w:color w:val="auto"/>
          <w:sz w:val="24"/>
          <w:szCs w:val="24"/>
        </w:rPr>
        <w:t>—第</w:t>
      </w:r>
      <w:r>
        <w:rPr>
          <w:rFonts w:ascii="Times New Roman" w:hAnsi="Times New Roman" w:eastAsia="宋体" w:cs="Times New Roman"/>
          <w:bCs/>
          <w:i/>
          <w:color w:val="auto"/>
          <w:sz w:val="24"/>
          <w:szCs w:val="24"/>
        </w:rPr>
        <w:t>i</w:t>
      </w:r>
      <w:r>
        <w:rPr>
          <w:rFonts w:ascii="Times New Roman" w:hAnsi="Times New Roman" w:eastAsia="宋体" w:cs="Times New Roman"/>
          <w:bCs/>
          <w:color w:val="auto"/>
          <w:sz w:val="24"/>
          <w:szCs w:val="24"/>
        </w:rPr>
        <w:t>个污染物的最大地面空气质量浓度占标率，%；</w:t>
      </w:r>
    </w:p>
    <w:p>
      <w:pPr>
        <w:spacing w:line="360" w:lineRule="auto"/>
        <w:ind w:firstLine="1200" w:firstLineChars="5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C</w:t>
      </w:r>
      <w:r>
        <w:rPr>
          <w:rFonts w:ascii="Times New Roman" w:hAnsi="Times New Roman" w:eastAsia="宋体" w:cs="Times New Roman"/>
          <w:bCs/>
          <w:i/>
          <w:color w:val="auto"/>
          <w:sz w:val="24"/>
          <w:szCs w:val="24"/>
        </w:rPr>
        <w:t>i</w:t>
      </w:r>
      <w:r>
        <w:rPr>
          <w:rFonts w:ascii="Times New Roman" w:hAnsi="Times New Roman" w:eastAsia="宋体" w:cs="Times New Roman"/>
          <w:bCs/>
          <w:color w:val="auto"/>
          <w:sz w:val="24"/>
          <w:szCs w:val="24"/>
        </w:rPr>
        <w:t>—采用估算模型计算出的第</w:t>
      </w:r>
      <w:r>
        <w:rPr>
          <w:rFonts w:ascii="Times New Roman" w:hAnsi="Times New Roman" w:eastAsia="宋体" w:cs="Times New Roman"/>
          <w:bCs/>
          <w:i/>
          <w:color w:val="auto"/>
          <w:sz w:val="24"/>
          <w:szCs w:val="24"/>
        </w:rPr>
        <w:t>i</w:t>
      </w:r>
      <w:r>
        <w:rPr>
          <w:rFonts w:ascii="Times New Roman" w:hAnsi="Times New Roman" w:eastAsia="宋体" w:cs="Times New Roman"/>
          <w:bCs/>
          <w:color w:val="auto"/>
          <w:sz w:val="24"/>
          <w:szCs w:val="24"/>
        </w:rPr>
        <w:t>个污染物的最大1h地面空气质量浓度，μg/m</w:t>
      </w:r>
      <w:r>
        <w:rPr>
          <w:rFonts w:ascii="Times New Roman" w:hAnsi="Times New Roman" w:eastAsia="宋体" w:cs="Times New Roman"/>
          <w:bCs/>
          <w:color w:val="auto"/>
          <w:sz w:val="24"/>
          <w:szCs w:val="24"/>
          <w:vertAlign w:val="superscript"/>
        </w:rPr>
        <w:t>3</w:t>
      </w:r>
      <w:r>
        <w:rPr>
          <w:rFonts w:ascii="Times New Roman" w:hAnsi="Times New Roman" w:eastAsia="宋体" w:cs="Times New Roman"/>
          <w:bCs/>
          <w:color w:val="auto"/>
          <w:sz w:val="24"/>
          <w:szCs w:val="24"/>
        </w:rPr>
        <w:t>；</w:t>
      </w:r>
    </w:p>
    <w:p>
      <w:pPr>
        <w:spacing w:line="360" w:lineRule="auto"/>
        <w:ind w:firstLine="1200" w:firstLineChars="5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C</w:t>
      </w:r>
      <w:r>
        <w:rPr>
          <w:rFonts w:ascii="Times New Roman" w:hAnsi="Times New Roman" w:eastAsia="宋体" w:cs="Times New Roman"/>
          <w:bCs/>
          <w:i/>
          <w:color w:val="auto"/>
          <w:sz w:val="24"/>
          <w:szCs w:val="24"/>
          <w:vertAlign w:val="subscript"/>
        </w:rPr>
        <w:t>0</w:t>
      </w:r>
      <w:r>
        <w:rPr>
          <w:rFonts w:ascii="Times New Roman" w:hAnsi="Times New Roman" w:eastAsia="宋体" w:cs="Times New Roman"/>
          <w:bCs/>
          <w:i/>
          <w:color w:val="auto"/>
          <w:sz w:val="24"/>
          <w:szCs w:val="24"/>
        </w:rPr>
        <w:t>i</w:t>
      </w:r>
      <w:r>
        <w:rPr>
          <w:rFonts w:ascii="Times New Roman" w:hAnsi="Times New Roman" w:eastAsia="宋体" w:cs="Times New Roman"/>
          <w:bCs/>
          <w:color w:val="auto"/>
          <w:sz w:val="24"/>
          <w:szCs w:val="24"/>
        </w:rPr>
        <w:t>—第</w:t>
      </w:r>
      <w:r>
        <w:rPr>
          <w:rFonts w:ascii="Times New Roman" w:hAnsi="Times New Roman" w:eastAsia="宋体" w:cs="Times New Roman"/>
          <w:bCs/>
          <w:i/>
          <w:color w:val="auto"/>
          <w:sz w:val="24"/>
          <w:szCs w:val="24"/>
        </w:rPr>
        <w:t>i</w:t>
      </w:r>
      <w:r>
        <w:rPr>
          <w:rFonts w:ascii="Times New Roman" w:hAnsi="Times New Roman" w:eastAsia="宋体" w:cs="Times New Roman"/>
          <w:bCs/>
          <w:color w:val="auto"/>
          <w:sz w:val="24"/>
          <w:szCs w:val="24"/>
        </w:rPr>
        <w:t>个污染物的环境空气质量浓度标准，μg/m</w:t>
      </w:r>
      <w:r>
        <w:rPr>
          <w:rFonts w:ascii="Times New Roman" w:hAnsi="Times New Roman" w:eastAsia="宋体" w:cs="Times New Roman"/>
          <w:bCs/>
          <w:color w:val="auto"/>
          <w:sz w:val="24"/>
          <w:szCs w:val="24"/>
          <w:vertAlign w:val="superscript"/>
        </w:rPr>
        <w:t>3</w:t>
      </w:r>
      <w:r>
        <w:rPr>
          <w:rFonts w:ascii="Times New Roman" w:hAnsi="Times New Roman" w:eastAsia="宋体" w:cs="Times New Roman"/>
          <w:bCs/>
          <w:color w:val="auto"/>
          <w:sz w:val="24"/>
          <w:szCs w:val="24"/>
        </w:rPr>
        <w:t>。一般选取GB3095中1小时平均</w:t>
      </w:r>
      <w:r>
        <w:rPr>
          <w:rFonts w:hint="eastAsia" w:ascii="Times New Roman" w:hAnsi="Times New Roman" w:eastAsia="宋体" w:cs="Times New Roman"/>
          <w:bCs/>
          <w:color w:val="auto"/>
          <w:sz w:val="24"/>
          <w:szCs w:val="24"/>
        </w:rPr>
        <w:t>质量</w:t>
      </w:r>
      <w:r>
        <w:rPr>
          <w:rFonts w:ascii="Times New Roman" w:hAnsi="Times New Roman" w:eastAsia="宋体" w:cs="Times New Roman"/>
          <w:bCs/>
          <w:color w:val="auto"/>
          <w:sz w:val="24"/>
          <w:szCs w:val="24"/>
        </w:rPr>
        <w:t>浓度的二级浓度限值，如项目位于一类环境空气功能区，应选择相应的一级浓度限值；对该标准中未包含的污染物，使用《环境影响评价技术导则 大气环境》</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HJ2.2-2018</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5.2确定的各评价因子1h平均质量浓度限值。对仅有8h平均质量浓度限值、日平均质量浓度限值或年平均质量浓度限值的，可分别按2倍、3倍、6倍折算为1h平均质量浓度限值。</w:t>
      </w:r>
    </w:p>
    <w:p>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通过分析，NH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x为本项目最主要的污染物，作为本项目的大气评价因子。根据HJ2.2-2018规定，当同一项目有多个（含2个）污染源排放同一种污染物时，则按各污染源分别确定其评价等级，并取评价等级最高者作为项目的评价等级。</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w:t>
      </w:r>
      <w:r>
        <w:rPr>
          <w:rFonts w:hint="eastAsia" w:ascii="Times New Roman" w:hAnsi="Times New Roman" w:eastAsia="宋体" w:cs="Times New Roman"/>
          <w:b/>
          <w:color w:val="auto"/>
          <w:sz w:val="24"/>
          <w:szCs w:val="24"/>
        </w:rPr>
        <w:t>、评价因子及评价标准筛选</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 xml:space="preserve">根据《环境影响评价技术导则 </w:t>
      </w:r>
      <w:r>
        <w:rPr>
          <w:rFonts w:ascii="Times New Roman" w:hAnsi="Times New Roman" w:eastAsia="宋体" w:cs="Times New Roman"/>
          <w:color w:val="auto"/>
          <w:sz w:val="24"/>
          <w:szCs w:val="24"/>
        </w:rPr>
        <w:t xml:space="preserve"> 大气环境</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HJ2.2-2018</w:t>
      </w:r>
      <w:r>
        <w:rPr>
          <w:rFonts w:hint="eastAsia" w:ascii="Times New Roman" w:hAnsi="Times New Roman" w:eastAsia="宋体" w:cs="Times New Roman"/>
          <w:color w:val="auto"/>
          <w:sz w:val="24"/>
          <w:szCs w:val="24"/>
        </w:rPr>
        <w:t>）中推荐的大气评价工作等级划分原则，选择</w:t>
      </w:r>
      <w:r>
        <w:rPr>
          <w:rFonts w:ascii="Times New Roman" w:hAnsi="Times New Roman" w:eastAsia="宋体" w:cs="Times New Roman"/>
          <w:color w:val="auto"/>
          <w:sz w:val="24"/>
          <w:szCs w:val="24"/>
        </w:rPr>
        <w:t>1~3</w:t>
      </w:r>
      <w:r>
        <w:rPr>
          <w:rFonts w:hint="eastAsia" w:ascii="Times New Roman" w:hAnsi="Times New Roman" w:eastAsia="宋体" w:cs="Times New Roman"/>
          <w:color w:val="auto"/>
          <w:sz w:val="24"/>
          <w:szCs w:val="24"/>
        </w:rPr>
        <w:t>种主要污染物，分别计算每一种污染物的最大地面浓度占标率</w:t>
      </w:r>
      <w:r>
        <w:rPr>
          <w:rFonts w:ascii="Times New Roman" w:hAnsi="Times New Roman" w:eastAsia="宋体" w:cs="Times New Roman"/>
          <w:i/>
          <w:color w:val="auto"/>
          <w:sz w:val="24"/>
          <w:szCs w:val="24"/>
        </w:rPr>
        <w:t>Pi</w:t>
      </w:r>
      <w:r>
        <w:rPr>
          <w:rFonts w:hint="eastAsia" w:ascii="Times New Roman" w:hAnsi="Times New Roman" w:eastAsia="宋体" w:cs="Times New Roman"/>
          <w:color w:val="auto"/>
          <w:sz w:val="24"/>
          <w:szCs w:val="24"/>
        </w:rPr>
        <w:t>。通过分析，</w:t>
      </w:r>
      <w:r>
        <w:rPr>
          <w:rFonts w:ascii="Times New Roman" w:hAnsi="Times New Roman" w:eastAsia="宋体" w:cs="Times New Roman"/>
          <w:color w:val="auto"/>
          <w:sz w:val="24"/>
          <w:szCs w:val="24"/>
        </w:rPr>
        <w:t>NH</w:t>
      </w:r>
      <w:r>
        <w:rPr>
          <w:rFonts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w:t>
      </w:r>
      <w:r>
        <w:rPr>
          <w:rFonts w:hint="eastAsia" w:ascii="Times New Roman" w:hAnsi="Times New Roman" w:eastAsia="宋体" w:cs="Times New Roman"/>
          <w:color w:val="auto"/>
          <w:sz w:val="24"/>
          <w:szCs w:val="24"/>
        </w:rPr>
        <w:t>为本项目最主要的污染物，</w:t>
      </w:r>
      <w:r>
        <w:rPr>
          <w:rFonts w:ascii="Times New Roman" w:hAnsi="Times New Roman" w:eastAsia="宋体" w:cs="Times New Roman"/>
          <w:color w:val="auto"/>
          <w:sz w:val="24"/>
          <w:szCs w:val="24"/>
        </w:rPr>
        <w:t>NH</w:t>
      </w:r>
      <w:r>
        <w:rPr>
          <w:rFonts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w:t>
      </w:r>
      <w:r>
        <w:rPr>
          <w:rFonts w:hint="eastAsia" w:ascii="Times New Roman" w:hAnsi="Times New Roman" w:eastAsia="宋体" w:cs="Times New Roman"/>
          <w:color w:val="auto"/>
          <w:sz w:val="24"/>
          <w:szCs w:val="24"/>
        </w:rPr>
        <w:t>为本项目的大气评价因子。</w:t>
      </w:r>
    </w:p>
    <w:p>
      <w:pPr>
        <w:widowControl w:val="0"/>
        <w:numPr>
          <w:ilvl w:val="0"/>
          <w:numId w:val="33"/>
        </w:numPr>
        <w:spacing w:after="0" w:afterLines="0" w:line="360" w:lineRule="auto"/>
        <w:ind w:left="0" w:leftChars="0" w:firstLine="0" w:firstLineChars="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color w:val="auto"/>
          <w:kern w:val="2"/>
          <w:sz w:val="21"/>
          <w:szCs w:val="24"/>
          <w:lang w:val="en-US" w:eastAsia="zh-CN" w:bidi="ar-SA"/>
        </w:rPr>
        <w:t>评价因子和评价标准</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473"/>
        <w:gridCol w:w="1928"/>
        <w:gridCol w:w="3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评价因子</w:t>
            </w:r>
          </w:p>
        </w:tc>
        <w:tc>
          <w:tcPr>
            <w:tcW w:w="86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平均时段</w:t>
            </w:r>
          </w:p>
        </w:tc>
        <w:tc>
          <w:tcPr>
            <w:tcW w:w="113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标准值/（μg/m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22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86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rPr>
              <w:t>平均</w:t>
            </w:r>
          </w:p>
        </w:tc>
        <w:tc>
          <w:tcPr>
            <w:tcW w:w="113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22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86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1h</w:t>
            </w:r>
            <w:r>
              <w:rPr>
                <w:rFonts w:hint="eastAsia" w:ascii="Times New Roman" w:hAnsi="Times New Roman" w:eastAsia="宋体" w:cs="Times New Roman"/>
                <w:color w:val="auto"/>
                <w:sz w:val="21"/>
                <w:szCs w:val="21"/>
              </w:rPr>
              <w:t>平均</w:t>
            </w:r>
          </w:p>
        </w:tc>
        <w:tc>
          <w:tcPr>
            <w:tcW w:w="113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2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《环境影响评价技术导则 大气环境》（HJ2.2-2018）附录D</w:t>
            </w:r>
          </w:p>
        </w:tc>
      </w:tr>
    </w:tbl>
    <w:p>
      <w:pPr>
        <w:spacing w:line="360" w:lineRule="auto"/>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大气环境影响</w:t>
      </w:r>
      <w:r>
        <w:rPr>
          <w:rFonts w:hint="eastAsia" w:ascii="Times New Roman" w:hAnsi="Times New Roman" w:eastAsia="宋体" w:cs="Times New Roman"/>
          <w:color w:val="auto"/>
          <w:sz w:val="24"/>
          <w:szCs w:val="24"/>
        </w:rPr>
        <w:t>评价</w:t>
      </w:r>
      <w:r>
        <w:rPr>
          <w:rFonts w:ascii="Times New Roman" w:hAnsi="Times New Roman" w:eastAsia="宋体" w:cs="Times New Roman"/>
          <w:color w:val="auto"/>
          <w:sz w:val="24"/>
          <w:szCs w:val="24"/>
        </w:rPr>
        <w:t>因子为：NH</w:t>
      </w:r>
      <w:r>
        <w:rPr>
          <w:rFonts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S执行</w:t>
      </w:r>
      <w:r>
        <w:rPr>
          <w:rFonts w:hint="eastAsia" w:ascii="Times New Roman" w:hAnsi="Times New Roman" w:eastAsia="宋体" w:cs="Times New Roman"/>
          <w:color w:val="auto"/>
          <w:sz w:val="24"/>
          <w:szCs w:val="24"/>
        </w:rPr>
        <w:t>《环境影响评价技术导则 大气环境》（HJ2.2-2018）附录D中</w:t>
      </w:r>
      <w:r>
        <w:rPr>
          <w:rFonts w:ascii="Times New Roman" w:hAnsi="Times New Roman" w:eastAsia="宋体" w:cs="Times New Roman"/>
          <w:color w:val="auto"/>
          <w:sz w:val="24"/>
          <w:szCs w:val="24"/>
        </w:rPr>
        <w:t>NH</w:t>
      </w:r>
      <w:r>
        <w:rPr>
          <w:rFonts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w:t>
      </w:r>
      <w:r>
        <w:rPr>
          <w:rFonts w:hint="eastAsia" w:ascii="Times New Roman" w:hAnsi="Times New Roman" w:eastAsia="宋体" w:cs="Times New Roman"/>
          <w:color w:val="auto"/>
          <w:sz w:val="24"/>
          <w:szCs w:val="24"/>
        </w:rPr>
        <w:t>的1</w:t>
      </w:r>
      <w:r>
        <w:rPr>
          <w:rFonts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rPr>
        <w:t>平均值限值标准。</w:t>
      </w:r>
    </w:p>
    <w:p>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3</w:t>
      </w:r>
      <w:r>
        <w:rPr>
          <w:rFonts w:hint="eastAsia" w:ascii="Times New Roman" w:hAnsi="Times New Roman" w:eastAsia="宋体" w:cs="Times New Roman"/>
          <w:b/>
          <w:color w:val="auto"/>
          <w:sz w:val="24"/>
          <w:szCs w:val="24"/>
        </w:rPr>
        <w:t>、估算模型参数</w:t>
      </w:r>
    </w:p>
    <w:p>
      <w:pPr>
        <w:adjustRightInd w:val="0"/>
        <w:snapToGrid w:val="0"/>
        <w:spacing w:line="360" w:lineRule="auto"/>
        <w:ind w:firstLine="482" w:firstLineChars="200"/>
        <w:rPr>
          <w:b/>
          <w:bCs/>
          <w:color w:val="auto"/>
          <w:sz w:val="24"/>
          <w:szCs w:val="24"/>
          <w:highlight w:val="none"/>
        </w:rPr>
      </w:pPr>
      <w:r>
        <w:rPr>
          <w:rFonts w:hint="eastAsia"/>
          <w:b/>
          <w:bCs/>
          <w:color w:val="auto"/>
          <w:sz w:val="24"/>
          <w:szCs w:val="24"/>
          <w:highlight w:val="none"/>
          <w:lang w:eastAsia="zh-CN"/>
        </w:rPr>
        <w:t>①</w:t>
      </w:r>
      <w:r>
        <w:rPr>
          <w:b/>
          <w:bCs/>
          <w:color w:val="auto"/>
          <w:sz w:val="24"/>
          <w:szCs w:val="24"/>
          <w:highlight w:val="none"/>
        </w:rPr>
        <w:t>主要废气污染源排放参数</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本项目有组织废气污染源参数和无组织废气污染源参数分别见下表所示。</w:t>
      </w:r>
    </w:p>
    <w:p>
      <w:pPr>
        <w:widowControl w:val="0"/>
        <w:numPr>
          <w:ilvl w:val="0"/>
          <w:numId w:val="33"/>
        </w:numPr>
        <w:spacing w:after="0" w:afterLines="0" w:line="36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  主要废气污染源参数一览表(点源) </w:t>
      </w:r>
    </w:p>
    <w:tbl>
      <w:tblPr>
        <w:tblStyle w:val="88"/>
        <w:tblW w:w="836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5"/>
        <w:gridCol w:w="630"/>
        <w:gridCol w:w="684"/>
        <w:gridCol w:w="1248"/>
        <w:gridCol w:w="852"/>
        <w:gridCol w:w="624"/>
        <w:gridCol w:w="708"/>
        <w:gridCol w:w="600"/>
        <w:gridCol w:w="698"/>
        <w:gridCol w:w="886"/>
        <w:gridCol w:w="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污染源名称</w:t>
            </w:r>
          </w:p>
        </w:tc>
        <w:tc>
          <w:tcPr>
            <w:tcW w:w="1314"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排气筒底部中心坐标(</w:t>
            </w:r>
            <w:r>
              <w:rPr>
                <w:rFonts w:hint="default" w:ascii="Times New Roman" w:hAnsi="Times New Roman" w:eastAsia="宋体" w:cs="Times New Roman"/>
                <w:color w:val="auto"/>
                <w:sz w:val="21"/>
                <w:szCs w:val="21"/>
                <w:highlight w:val="none"/>
                <w:vertAlign w:val="superscript"/>
              </w:rPr>
              <w:t>o</w:t>
            </w:r>
            <w:r>
              <w:rPr>
                <w:rFonts w:hint="default" w:ascii="Times New Roman" w:hAnsi="Times New Roman" w:eastAsia="宋体" w:cs="Times New Roman"/>
                <w:color w:val="auto"/>
                <w:sz w:val="21"/>
                <w:szCs w:val="21"/>
                <w:highlight w:val="none"/>
              </w:rPr>
              <w:t>)</w:t>
            </w:r>
          </w:p>
        </w:tc>
        <w:tc>
          <w:tcPr>
            <w:tcW w:w="1248"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排气筒底部海拔高度(m)</w:t>
            </w:r>
          </w:p>
        </w:tc>
        <w:tc>
          <w:tcPr>
            <w:tcW w:w="2784" w:type="dxa"/>
            <w:gridSpan w:val="4"/>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排气筒参数</w:t>
            </w:r>
          </w:p>
        </w:tc>
        <w:tc>
          <w:tcPr>
            <w:tcW w:w="698"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886"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tc>
        <w:tc>
          <w:tcPr>
            <w:tcW w:w="643"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5"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30"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684"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1248"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5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高度</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624"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内径</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70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温度</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00" w:type="dxa"/>
            <w:tcBorders>
              <w:top w:val="single" w:color="000000"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流速</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(m/s)</w:t>
            </w:r>
          </w:p>
        </w:tc>
        <w:tc>
          <w:tcPr>
            <w:tcW w:w="698"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86"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43"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trPr>
        <w:tc>
          <w:tcPr>
            <w:tcW w:w="79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color w:val="auto"/>
                <w:sz w:val="21"/>
                <w:szCs w:val="21"/>
                <w:lang w:val="en-US" w:eastAsia="zh-CN"/>
              </w:rPr>
              <w:t>1#</w:t>
            </w:r>
            <w:r>
              <w:rPr>
                <w:rFonts w:hint="default" w:ascii="Times New Roman" w:hAnsi="Times New Roman" w:eastAsia="宋体" w:cs="Times New Roman"/>
                <w:b w:val="0"/>
                <w:color w:val="auto"/>
                <w:sz w:val="21"/>
                <w:szCs w:val="21"/>
              </w:rPr>
              <w:t>排气筒</w:t>
            </w:r>
          </w:p>
        </w:tc>
        <w:tc>
          <w:tcPr>
            <w:tcW w:w="63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rPr>
              <w:t>107.596642</w:t>
            </w:r>
          </w:p>
        </w:tc>
        <w:tc>
          <w:tcPr>
            <w:tcW w:w="68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rPr>
              <w:t>32.008349</w:t>
            </w:r>
          </w:p>
        </w:tc>
        <w:tc>
          <w:tcPr>
            <w:tcW w:w="124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rPr>
              <w:t>914.00</w:t>
            </w:r>
          </w:p>
        </w:tc>
        <w:tc>
          <w:tcPr>
            <w:tcW w:w="85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rPr>
              <w:t>15.00</w:t>
            </w:r>
          </w:p>
        </w:tc>
        <w:tc>
          <w:tcPr>
            <w:tcW w:w="62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rPr>
              <w:t>0.50</w:t>
            </w:r>
          </w:p>
        </w:tc>
        <w:tc>
          <w:tcPr>
            <w:tcW w:w="70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rPr>
              <w:t>20.00</w:t>
            </w:r>
          </w:p>
        </w:tc>
        <w:tc>
          <w:tcPr>
            <w:tcW w:w="60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rPr>
              <w:t>7.08</w:t>
            </w:r>
          </w:p>
        </w:tc>
        <w:tc>
          <w:tcPr>
            <w:tcW w:w="698" w:type="dxa"/>
            <w:tcBorders>
              <w:bottom w:val="single" w:color="000000"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886" w:type="dxa"/>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color w:val="auto"/>
                <w:sz w:val="21"/>
                <w:szCs w:val="21"/>
                <w:lang w:val="en-US" w:eastAsia="zh-CN"/>
              </w:rPr>
              <w:t>0.0012</w:t>
            </w:r>
          </w:p>
        </w:tc>
        <w:tc>
          <w:tcPr>
            <w:tcW w:w="64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7" w:hRule="atLeast"/>
        </w:trPr>
        <w:tc>
          <w:tcPr>
            <w:tcW w:w="79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3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8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4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85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2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0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698" w:type="dxa"/>
            <w:tcBorders>
              <w:top w:val="single" w:color="000000"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886" w:type="dxa"/>
            <w:tcBorders>
              <w:top w:val="single" w:color="000000" w:sz="8"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val="0"/>
                <w:color w:val="auto"/>
                <w:sz w:val="21"/>
                <w:szCs w:val="21"/>
              </w:rPr>
              <w:t>0.000</w:t>
            </w:r>
            <w:r>
              <w:rPr>
                <w:rFonts w:hint="eastAsia" w:ascii="Times New Roman" w:hAnsi="Times New Roman" w:eastAsia="宋体" w:cs="Times New Roman"/>
                <w:b w:val="0"/>
                <w:color w:val="auto"/>
                <w:sz w:val="21"/>
                <w:szCs w:val="21"/>
                <w:lang w:val="en-US" w:eastAsia="zh-CN"/>
              </w:rPr>
              <w:t>2</w:t>
            </w:r>
          </w:p>
        </w:tc>
        <w:tc>
          <w:tcPr>
            <w:tcW w:w="64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bl>
    <w:p>
      <w:pPr>
        <w:widowControl w:val="0"/>
        <w:numPr>
          <w:ilvl w:val="0"/>
          <w:numId w:val="33"/>
        </w:numPr>
        <w:spacing w:after="0" w:afterLines="0" w:line="36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主要废气污染源参数一览表(面源)</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183"/>
        <w:gridCol w:w="1034"/>
        <w:gridCol w:w="983"/>
        <w:gridCol w:w="867"/>
        <w:gridCol w:w="826"/>
        <w:gridCol w:w="793"/>
        <w:gridCol w:w="801"/>
        <w:gridCol w:w="1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污染源名称</w:t>
            </w:r>
          </w:p>
        </w:tc>
        <w:tc>
          <w:tcPr>
            <w:tcW w:w="1301" w:type="pct"/>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坐标</w:t>
            </w:r>
          </w:p>
        </w:tc>
        <w:tc>
          <w:tcPr>
            <w:tcW w:w="576"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海拔高度/m</w:t>
            </w:r>
          </w:p>
        </w:tc>
        <w:tc>
          <w:tcPr>
            <w:tcW w:w="1459" w:type="pct"/>
            <w:gridSpan w:val="3"/>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矩形面源</w:t>
            </w:r>
          </w:p>
        </w:tc>
        <w:tc>
          <w:tcPr>
            <w:tcW w:w="1065" w:type="pct"/>
            <w:gridSpan w:val="2"/>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排放速率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97"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94"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606"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7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08"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长度</w:t>
            </w:r>
          </w:p>
        </w:tc>
        <w:tc>
          <w:tcPr>
            <w:tcW w:w="484"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宽度</w:t>
            </w:r>
          </w:p>
        </w:tc>
        <w:tc>
          <w:tcPr>
            <w:tcW w:w="465"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有效高度</w:t>
            </w:r>
          </w:p>
        </w:tc>
        <w:tc>
          <w:tcPr>
            <w:tcW w:w="1065" w:type="pct"/>
            <w:gridSpan w:val="2"/>
            <w:vMerge w:val="continue"/>
            <w:tcBorders>
              <w:bottom w:val="single" w:color="000000"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97"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94"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0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08"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84"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5"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70" w:type="pct"/>
            <w:tcBorders>
              <w:top w:val="single" w:color="000000" w:sz="8" w:space="0"/>
              <w:right w:val="single" w:color="000000"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595" w:type="pct"/>
            <w:tcBorders>
              <w:top w:val="single" w:color="000000" w:sz="8" w:space="0"/>
              <w:left w:val="single" w:color="000000"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分娩舍1</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107.600408</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32.010706</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945.00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29.24</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143.50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配怀舍1</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107.600395</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32.009112</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944.00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48.00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131.00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后备舍1</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107.60096</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32.007928</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926.00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52.20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15.00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分娩舍2</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107.595979</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32.011044</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918.00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143.50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29.24</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配怀舍2</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107.596175</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32.010683</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923.00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131.00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48.00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后备舍2</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107.597558</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32.011098</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922.00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15.00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52.20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分娩舍3</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107.596566</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32.010158</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922.00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29.24</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143.50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配怀舍</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107.597017</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32.010289</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922.00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48.00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131.00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后备舍3</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107.597553</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32.009155</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925.00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52.20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15.00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分娩舍4</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107.597286</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32.008603</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925.00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29.24</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143.50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配怀舍4</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107.598219</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32.008776</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924.00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131.00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48.00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后备舍4</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107.598146</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32.008935</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924.00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15.00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52.50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配怀舍5</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107.59797</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32.006993</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897.00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131.00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48.00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分娩舍5</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107.598216</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32.006428</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853.00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29.00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72.00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分娩舍6</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107.598256</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32.005975</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781.00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29.00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72.00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后备舍5</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107.599372</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32.007427</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905.00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15.00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52.20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中转后备舍1</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107.598104</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32.009664</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930.00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40.00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131.00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中转后备舍2</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107.598658</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32.008458</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924.00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50.00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15.00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中转后备舍3</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107.59876</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32.008258</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927.00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36.00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58.00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中转后备舍4</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107.59968</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32.008992</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927.00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105.00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33.00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污水处理站</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107.596543</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32.008151</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914.00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23.10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35.00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0.0</w:t>
            </w:r>
            <w:r>
              <w:rPr>
                <w:rFonts w:hint="eastAsia" w:ascii="Times New Roman" w:hAnsi="Times New Roman" w:eastAsia="宋体" w:cs="Times New Roman"/>
                <w:b w:val="0"/>
                <w:color w:val="auto"/>
                <w:sz w:val="21"/>
                <w:szCs w:val="21"/>
                <w:lang w:val="en-US" w:eastAsia="zh-CN"/>
              </w:rPr>
              <w:t>0</w:t>
            </w:r>
            <w:r>
              <w:rPr>
                <w:rFonts w:hint="default" w:ascii="Times New Roman" w:hAnsi="Times New Roman" w:eastAsia="宋体" w:cs="Times New Roman"/>
                <w:b w:val="0"/>
                <w:color w:val="auto"/>
                <w:sz w:val="21"/>
                <w:szCs w:val="21"/>
                <w:lang w:val="en-US" w:eastAsia="zh-CN"/>
              </w:rPr>
              <w:t>13</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w:t>
            </w:r>
            <w:r>
              <w:rPr>
                <w:rFonts w:hint="eastAsia" w:ascii="Times New Roman" w:hAnsi="Times New Roman" w:eastAsia="宋体"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公猪舍</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107.592781</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32.008579</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916.00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17.36</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46.02</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0.0000</w:t>
            </w:r>
            <w:r>
              <w:rPr>
                <w:rFonts w:hint="default" w:ascii="Times New Roman" w:hAnsi="Times New Roman" w:eastAsia="宋体" w:cs="Times New Roman"/>
                <w:b w:val="0"/>
                <w:color w:val="auto"/>
                <w:sz w:val="21"/>
                <w:szCs w:val="21"/>
                <w:lang w:val="en-US" w:eastAsia="zh-CN"/>
              </w:rPr>
              <w:t>35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有机肥车间</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107.596499</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32.008327</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914.00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17.27</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8.00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w:t>
            </w:r>
            <w:r>
              <w:rPr>
                <w:rFonts w:hint="default" w:ascii="Times New Roman" w:hAnsi="Times New Roman" w:eastAsia="宋体" w:cs="Times New Roman"/>
                <w:b w:val="0"/>
                <w:color w:val="auto"/>
                <w:sz w:val="21"/>
                <w:szCs w:val="21"/>
                <w:lang w:val="en-US" w:eastAsia="zh-CN"/>
              </w:rPr>
              <w:t>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0.000</w:t>
            </w:r>
            <w:r>
              <w:rPr>
                <w:rFonts w:hint="default" w:ascii="Times New Roman" w:hAnsi="Times New Roman" w:eastAsia="宋体" w:cs="Times New Roman"/>
                <w:b w:val="0"/>
                <w:color w:val="auto"/>
                <w:sz w:val="21"/>
                <w:szCs w:val="21"/>
                <w:lang w:val="en-US" w:eastAsia="zh-CN"/>
              </w:rPr>
              <w:t>0</w:t>
            </w:r>
            <w:r>
              <w:rPr>
                <w:rFonts w:hint="default" w:ascii="Times New Roman" w:hAnsi="Times New Roman" w:eastAsia="宋体" w:cs="Times New Roman"/>
                <w:b w:val="0"/>
                <w:color w:val="auto"/>
                <w:sz w:val="21"/>
                <w:szCs w:val="21"/>
              </w:rPr>
              <w:t>5</w:t>
            </w:r>
          </w:p>
        </w:tc>
      </w:tr>
    </w:tbl>
    <w:p>
      <w:pPr>
        <w:pStyle w:val="2506"/>
        <w:numPr>
          <w:ilvl w:val="0"/>
          <w:numId w:val="0"/>
        </w:numPr>
        <w:adjustRightInd w:val="0"/>
        <w:snapToGrid w:val="0"/>
        <w:spacing w:before="120" w:beforeLines="50"/>
        <w:ind w:leftChars="200" w:right="0" w:rightChars="0"/>
        <w:rPr>
          <w:b/>
          <w:bCs/>
          <w:color w:val="auto"/>
          <w:highlight w:val="none"/>
        </w:rPr>
      </w:pPr>
      <w:r>
        <w:rPr>
          <w:rFonts w:hint="eastAsia"/>
          <w:b/>
          <w:bCs/>
          <w:color w:val="auto"/>
          <w:highlight w:val="none"/>
          <w:lang w:eastAsia="zh-CN"/>
        </w:rPr>
        <w:t>②</w:t>
      </w:r>
      <w:r>
        <w:rPr>
          <w:rFonts w:hint="eastAsia"/>
          <w:b/>
          <w:color w:val="auto"/>
        </w:rPr>
        <w:t>估算模型参数</w:t>
      </w:r>
    </w:p>
    <w:p>
      <w:pPr>
        <w:pStyle w:val="46"/>
        <w:adjustRightInd w:val="0"/>
        <w:snapToGrid w:val="0"/>
        <w:spacing w:line="360" w:lineRule="auto"/>
        <w:ind w:firstLine="480" w:firstLineChars="200"/>
        <w:rPr>
          <w:rFonts w:ascii="Times New Roman" w:hAnsi="Times New Roman"/>
          <w:snapToGrid w:val="0"/>
          <w:color w:val="auto"/>
          <w:sz w:val="24"/>
          <w:szCs w:val="24"/>
          <w:highlight w:val="none"/>
        </w:rPr>
      </w:pPr>
      <w:r>
        <w:rPr>
          <w:rFonts w:ascii="Times New Roman" w:hAnsi="Times New Roman"/>
          <w:snapToGrid w:val="0"/>
          <w:color w:val="auto"/>
          <w:sz w:val="24"/>
          <w:szCs w:val="24"/>
          <w:highlight w:val="none"/>
        </w:rPr>
        <w:t xml:space="preserve">本次预测选用参数见图 </w:t>
      </w:r>
      <w:r>
        <w:rPr>
          <w:rFonts w:hint="eastAsia" w:ascii="Times New Roman" w:hAnsi="Times New Roman"/>
          <w:snapToGrid w:val="0"/>
          <w:color w:val="auto"/>
          <w:sz w:val="24"/>
          <w:szCs w:val="24"/>
          <w:highlight w:val="none"/>
          <w:lang w:val="en-US" w:eastAsia="zh-CN"/>
        </w:rPr>
        <w:t>5</w:t>
      </w:r>
      <w:r>
        <w:rPr>
          <w:rFonts w:ascii="Times New Roman" w:hAnsi="Times New Roman"/>
          <w:snapToGrid w:val="0"/>
          <w:color w:val="auto"/>
          <w:sz w:val="24"/>
          <w:szCs w:val="24"/>
          <w:highlight w:val="none"/>
        </w:rPr>
        <w:t>-1。</w:t>
      </w:r>
      <w:r>
        <w:rPr>
          <w:color w:val="auto"/>
        </w:rPr>
        <w:drawing>
          <wp:anchor distT="0" distB="0" distL="114300" distR="114300" simplePos="0" relativeHeight="251702272" behindDoc="0" locked="0" layoutInCell="1" allowOverlap="1">
            <wp:simplePos x="0" y="0"/>
            <wp:positionH relativeFrom="column">
              <wp:posOffset>241935</wp:posOffset>
            </wp:positionH>
            <wp:positionV relativeFrom="page">
              <wp:posOffset>1684020</wp:posOffset>
            </wp:positionV>
            <wp:extent cx="5271770" cy="4465320"/>
            <wp:effectExtent l="0" t="0" r="5080" b="1143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41"/>
                    <a:stretch>
                      <a:fillRect/>
                    </a:stretch>
                  </pic:blipFill>
                  <pic:spPr>
                    <a:xfrm>
                      <a:off x="0" y="0"/>
                      <a:ext cx="5271770" cy="4465320"/>
                    </a:xfrm>
                    <a:prstGeom prst="rect">
                      <a:avLst/>
                    </a:prstGeom>
                    <a:noFill/>
                    <a:ln>
                      <a:noFill/>
                    </a:ln>
                  </pic:spPr>
                </pic:pic>
              </a:graphicData>
            </a:graphic>
          </wp:anchor>
        </w:drawing>
      </w:r>
    </w:p>
    <w:p>
      <w:pPr>
        <w:pStyle w:val="46"/>
        <w:numPr>
          <w:ilvl w:val="0"/>
          <w:numId w:val="34"/>
        </w:numPr>
        <w:adjustRightInd w:val="0"/>
        <w:snapToGrid w:val="0"/>
        <w:spacing w:line="360" w:lineRule="auto"/>
        <w:ind w:left="425" w:leftChars="0" w:hanging="425"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 xml:space="preserve">  估算模式参数表</w:t>
      </w:r>
    </w:p>
    <w:p>
      <w:pPr>
        <w:pStyle w:val="46"/>
        <w:adjustRightInd w:val="0"/>
        <w:snapToGrid w:val="0"/>
        <w:spacing w:line="360" w:lineRule="auto"/>
        <w:ind w:firstLine="452" w:firstLineChars="200"/>
        <w:rPr>
          <w:rFonts w:hint="eastAsia"/>
          <w:color w:val="auto"/>
          <w:spacing w:val="-7"/>
        </w:rPr>
      </w:pPr>
      <w:r>
        <w:rPr>
          <w:rFonts w:hint="eastAsia"/>
          <w:color w:val="auto"/>
          <w:spacing w:val="-7"/>
        </w:rPr>
        <w:t>本项目所在区域属于农村地区，周边土地利用类型为</w:t>
      </w:r>
      <w:r>
        <w:rPr>
          <w:rFonts w:hint="eastAsia"/>
          <w:color w:val="auto"/>
          <w:spacing w:val="-7"/>
          <w:lang w:eastAsia="zh-CN"/>
        </w:rPr>
        <w:t>林地</w:t>
      </w:r>
      <w:r>
        <w:rPr>
          <w:rFonts w:hint="eastAsia"/>
          <w:color w:val="auto"/>
          <w:spacing w:val="-7"/>
        </w:rPr>
        <w:t>。根据《中国干湿地区划分图》，</w:t>
      </w:r>
      <w:r>
        <w:rPr>
          <w:rFonts w:hint="eastAsia"/>
          <w:color w:val="auto"/>
          <w:spacing w:val="-7"/>
          <w:lang w:eastAsia="zh-CN"/>
        </w:rPr>
        <w:t>通江</w:t>
      </w:r>
      <w:r>
        <w:rPr>
          <w:rFonts w:hint="eastAsia"/>
          <w:color w:val="auto"/>
          <w:spacing w:val="-7"/>
        </w:rPr>
        <w:t>县属于潮湿地区。</w:t>
      </w:r>
    </w:p>
    <w:p>
      <w:pPr>
        <w:pStyle w:val="46"/>
        <w:adjustRightInd w:val="0"/>
        <w:snapToGrid w:val="0"/>
        <w:spacing w:line="360" w:lineRule="auto"/>
        <w:ind w:firstLine="454" w:firstLineChars="200"/>
        <w:rPr>
          <w:rFonts w:hint="eastAsia"/>
          <w:b/>
          <w:bCs/>
          <w:color w:val="auto"/>
          <w:spacing w:val="-7"/>
        </w:rPr>
      </w:pPr>
      <w:r>
        <w:rPr>
          <w:rFonts w:hint="eastAsia"/>
          <w:b/>
          <w:bCs/>
          <w:color w:val="auto"/>
          <w:spacing w:val="-7"/>
          <w:lang w:val="en-US" w:eastAsia="zh-CN"/>
        </w:rPr>
        <w:t>4</w:t>
      </w:r>
      <w:r>
        <w:rPr>
          <w:rFonts w:hint="eastAsia"/>
          <w:b/>
          <w:bCs/>
          <w:color w:val="auto"/>
          <w:spacing w:val="-7"/>
        </w:rPr>
        <w:t>、计算结果</w:t>
      </w:r>
    </w:p>
    <w:p>
      <w:pPr>
        <w:pStyle w:val="46"/>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本项目所在区域为地区，预测过程中不考虑地形因素影响，采用上述预测模式大气污染物预测运行截图见图</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-2所示。</w:t>
      </w:r>
    </w:p>
    <w:p>
      <w:pPr>
        <w:pStyle w:val="46"/>
        <w:adjustRightInd w:val="0"/>
        <w:snapToGrid w:val="0"/>
        <w:spacing w:line="360" w:lineRule="auto"/>
        <w:ind w:left="0" w:leftChars="0" w:firstLine="0" w:firstLineChars="0"/>
        <w:rPr>
          <w:rFonts w:ascii="Times New Roman" w:hAnsi="Times New Roman"/>
          <w:snapToGrid w:val="0"/>
          <w:color w:val="auto"/>
          <w:sz w:val="24"/>
          <w:szCs w:val="24"/>
          <w:highlight w:val="none"/>
        </w:rPr>
      </w:pPr>
      <w:r>
        <w:rPr>
          <w:color w:val="auto"/>
        </w:rPr>
        <w:drawing>
          <wp:inline distT="0" distB="0" distL="114300" distR="114300">
            <wp:extent cx="5271135" cy="3456305"/>
            <wp:effectExtent l="0" t="0" r="5715" b="1079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42"/>
                    <a:stretch>
                      <a:fillRect/>
                    </a:stretch>
                  </pic:blipFill>
                  <pic:spPr>
                    <a:xfrm>
                      <a:off x="0" y="0"/>
                      <a:ext cx="5271135" cy="3456305"/>
                    </a:xfrm>
                    <a:prstGeom prst="rect">
                      <a:avLst/>
                    </a:prstGeom>
                    <a:noFill/>
                    <a:ln>
                      <a:noFill/>
                    </a:ln>
                  </pic:spPr>
                </pic:pic>
              </a:graphicData>
            </a:graphic>
          </wp:inline>
        </w:drawing>
      </w:r>
    </w:p>
    <w:p>
      <w:pPr>
        <w:pStyle w:val="46"/>
        <w:numPr>
          <w:ilvl w:val="0"/>
          <w:numId w:val="34"/>
        </w:numPr>
        <w:adjustRightInd w:val="0"/>
        <w:snapToGrid w:val="0"/>
        <w:spacing w:line="360" w:lineRule="auto"/>
        <w:ind w:left="425" w:leftChars="0" w:hanging="425" w:firstLineChars="0"/>
        <w:jc w:val="center"/>
        <w:rPr>
          <w:rFonts w:hint="eastAsia" w:ascii="Times New Roman" w:hAnsi="Times New Roman"/>
          <w:b/>
          <w:bCs/>
          <w:color w:val="auto"/>
          <w:sz w:val="21"/>
          <w:szCs w:val="21"/>
          <w:highlight w:val="none"/>
        </w:rPr>
      </w:pPr>
      <w:r>
        <w:rPr>
          <w:rFonts w:ascii="Times New Roman" w:hAnsi="Times New Roman"/>
          <w:b/>
          <w:bCs/>
          <w:color w:val="auto"/>
          <w:sz w:val="21"/>
          <w:szCs w:val="21"/>
          <w:highlight w:val="none"/>
        </w:rPr>
        <w:t xml:space="preserve">  估算模式AERSCREEN运行截图</w:t>
      </w:r>
    </w:p>
    <w:p>
      <w:pPr>
        <w:pStyle w:val="2"/>
        <w:ind w:left="0" w:leftChars="0" w:firstLine="0" w:firstLineChars="0"/>
        <w:rPr>
          <w:rFonts w:hint="eastAsia"/>
          <w:color w:val="auto"/>
        </w:rPr>
      </w:pPr>
      <w:r>
        <w:rPr>
          <w:rFonts w:hint="eastAsia"/>
          <w:color w:val="auto"/>
        </w:rPr>
        <w:t>采用上述预测模式大气污染物预测结果见表</w:t>
      </w:r>
      <w:r>
        <w:rPr>
          <w:rFonts w:hint="eastAsia"/>
          <w:color w:val="auto"/>
          <w:lang w:val="en-US" w:eastAsia="zh-CN"/>
        </w:rPr>
        <w:t>5</w:t>
      </w:r>
      <w:r>
        <w:rPr>
          <w:rFonts w:hint="eastAsia"/>
          <w:color w:val="auto"/>
        </w:rPr>
        <w:t>-3</w:t>
      </w:r>
    </w:p>
    <w:p>
      <w:pPr>
        <w:jc w:val="both"/>
        <w:rPr>
          <w:rFonts w:hint="eastAsia"/>
          <w:color w:val="auto"/>
        </w:rPr>
      </w:pPr>
      <w:r>
        <w:rPr>
          <w:color w:val="auto"/>
        </w:rPr>
        <w:drawing>
          <wp:inline distT="0" distB="0" distL="114300" distR="114300">
            <wp:extent cx="5281930" cy="3715385"/>
            <wp:effectExtent l="0" t="0" r="13970" b="1841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43"/>
                    <a:stretch>
                      <a:fillRect/>
                    </a:stretch>
                  </pic:blipFill>
                  <pic:spPr>
                    <a:xfrm>
                      <a:off x="0" y="0"/>
                      <a:ext cx="5281930" cy="3715385"/>
                    </a:xfrm>
                    <a:prstGeom prst="rect">
                      <a:avLst/>
                    </a:prstGeom>
                    <a:noFill/>
                    <a:ln>
                      <a:noFill/>
                    </a:ln>
                  </pic:spPr>
                </pic:pic>
              </a:graphicData>
            </a:graphic>
          </wp:inline>
        </w:drawing>
      </w:r>
    </w:p>
    <w:p>
      <w:pPr>
        <w:pStyle w:val="46"/>
        <w:numPr>
          <w:ilvl w:val="0"/>
          <w:numId w:val="34"/>
        </w:numPr>
        <w:adjustRightInd w:val="0"/>
        <w:snapToGrid w:val="0"/>
        <w:spacing w:line="360" w:lineRule="auto"/>
        <w:ind w:left="425" w:leftChars="0" w:hanging="425"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 xml:space="preserve">  预测模式大气污染物预测结果截图</w:t>
      </w:r>
    </w:p>
    <w:p>
      <w:pPr>
        <w:pStyle w:val="46"/>
        <w:adjustRightInd w:val="0"/>
        <w:snapToGrid w:val="0"/>
        <w:spacing w:line="360" w:lineRule="auto"/>
        <w:ind w:firstLine="454" w:firstLineChars="200"/>
        <w:rPr>
          <w:rFonts w:hint="eastAsia"/>
          <w:b/>
          <w:bCs/>
          <w:color w:val="auto"/>
          <w:spacing w:val="-7"/>
        </w:rPr>
      </w:pPr>
      <w:r>
        <w:rPr>
          <w:rFonts w:hint="eastAsia"/>
          <w:b/>
          <w:bCs/>
          <w:color w:val="auto"/>
          <w:spacing w:val="-7"/>
          <w:lang w:val="en-US" w:eastAsia="zh-CN"/>
        </w:rPr>
        <w:t>5</w:t>
      </w:r>
      <w:r>
        <w:rPr>
          <w:rFonts w:hint="eastAsia"/>
          <w:b/>
          <w:bCs/>
          <w:color w:val="auto"/>
          <w:spacing w:val="-7"/>
        </w:rPr>
        <w:t>、</w:t>
      </w:r>
      <w:r>
        <w:rPr>
          <w:rFonts w:hint="eastAsia"/>
          <w:b/>
          <w:bCs/>
          <w:color w:val="auto"/>
          <w:spacing w:val="-7"/>
          <w:lang w:eastAsia="zh-CN"/>
        </w:rPr>
        <w:t>评价工作等级确定</w:t>
      </w:r>
    </w:p>
    <w:p>
      <w:pPr>
        <w:spacing w:line="480" w:lineRule="exact"/>
        <w:ind w:firstLine="4"/>
        <w:rPr>
          <w:rFonts w:hint="default" w:ascii="Times New Roman" w:hAnsi="Times New Roman" w:eastAsia="宋体" w:cs="Times New Roman"/>
          <w:b/>
          <w:bCs/>
          <w:color w:val="auto"/>
          <w:kern w:val="2"/>
          <w:sz w:val="21"/>
          <w:szCs w:val="21"/>
          <w:lang w:val="en-US" w:eastAsia="zh-CN" w:bidi="ar-SA"/>
        </w:rPr>
      </w:pPr>
      <w:r>
        <w:rPr>
          <w:rFonts w:ascii="宋体" w:hAnsi="宋体" w:eastAsia="宋体" w:cs="宋体"/>
          <w:b w:val="0"/>
          <w:color w:val="auto"/>
          <w:sz w:val="24"/>
        </w:rPr>
        <w:t xml:space="preserve"> 本项目所有污染源的正常排放的污染物的Pmax和D10%预测结果如下:</w:t>
      </w:r>
    </w:p>
    <w:p>
      <w:pPr>
        <w:widowControl w:val="0"/>
        <w:numPr>
          <w:ilvl w:val="0"/>
          <w:numId w:val="33"/>
        </w:numPr>
        <w:spacing w:after="0" w:afterLines="0" w:line="360" w:lineRule="auto"/>
        <w:ind w:left="0" w:leftChars="0" w:firstLine="0" w:firstLineChars="0"/>
        <w:jc w:val="center"/>
        <w:rPr>
          <w:b/>
          <w:bCs/>
          <w:color w:val="auto"/>
        </w:rPr>
      </w:pPr>
      <w:r>
        <w:rPr>
          <w:rFonts w:hint="default" w:ascii="Times New Roman" w:hAnsi="Times New Roman" w:eastAsia="宋体" w:cs="Times New Roman"/>
          <w:b/>
          <w:bCs/>
          <w:color w:val="auto"/>
          <w:kern w:val="2"/>
          <w:sz w:val="21"/>
          <w:szCs w:val="21"/>
          <w:lang w:val="en-US" w:eastAsia="zh-CN" w:bidi="ar-SA"/>
        </w:rPr>
        <w:t xml:space="preserve"> Pmax和D10%预测和计算结果一览表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641"/>
        <w:gridCol w:w="1175"/>
        <w:gridCol w:w="1891"/>
        <w:gridCol w:w="1514"/>
        <w:gridCol w:w="1123"/>
        <w:gridCol w:w="117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污染源名称</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评价因子</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评价标准(μg/m³)</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Cmax(μg/m³)</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Pmax(%)</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D10%(m)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配怀舍1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0.7844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0.3922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0.0183</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0.1830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配怀舍2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0.7844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0.3922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0.0183</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0.1830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配怀舍</w:t>
            </w:r>
            <w:r>
              <w:rPr>
                <w:rFonts w:hint="default" w:ascii="Times New Roman" w:hAnsi="Times New Roman" w:eastAsia="宋体" w:cs="Times New Roman"/>
                <w:b w:val="0"/>
                <w:color w:val="auto"/>
                <w:sz w:val="21"/>
                <w:szCs w:val="21"/>
                <w:lang w:val="en-US" w:eastAsia="zh-CN"/>
              </w:rPr>
              <w:t>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0.7844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0.3922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0.0183</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0.1830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配怀舍4</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0.7844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0.3922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0.0183</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0.1830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配怀舍5</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0.7844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0.3922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0.0183</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0.1830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分娩舍1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0.8740</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0.4370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0.0204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0.2039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分娩舍2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0.8740</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0.4370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0.0204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0.2039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color w:val="auto"/>
                <w:sz w:val="21"/>
                <w:szCs w:val="21"/>
              </w:rPr>
              <w:t>分娩舍3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0.8740</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0.4370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0.0204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0.2039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分娩舍4</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0.8740</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0.4370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0.0204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0.2039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分娩舍5</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1.1531</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0.5766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0.0269</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0.2691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分娩舍6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1.1530</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0.5765</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0.0269</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0.2690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后备舍1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1.6439</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0.8219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0.0384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0.3836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后备舍2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1.6439</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0.8219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0.0384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0.3836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后备舍3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1.6439</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0.8219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0.0384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0.3836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后备舍4</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1.6366</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0.8183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0.0382</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0.3819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后备舍5</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1.6439</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0.8219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0.0384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0.3836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中转后备舍1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0.8358</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0.4179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0.0195</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0.1950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中转后备舍2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1.6869</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0.8435</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0.0394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0.3936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中转后备舍3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w:t>
            </w:r>
            <w:r>
              <w:rPr>
                <w:rFonts w:hint="default" w:ascii="Times New Roman" w:hAnsi="Times New Roman" w:eastAsia="宋体" w:cs="Times New Roman"/>
                <w:b w:val="0"/>
                <w:color w:val="auto"/>
                <w:sz w:val="21"/>
                <w:szCs w:val="21"/>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1.1611</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0.5806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w:t>
            </w:r>
            <w:r>
              <w:rPr>
                <w:rFonts w:hint="default" w:ascii="Times New Roman" w:hAnsi="Times New Roman" w:eastAsia="宋体" w:cs="Times New Roman"/>
                <w:b w:val="0"/>
                <w:color w:val="auto"/>
                <w:sz w:val="21"/>
                <w:szCs w:val="21"/>
                <w:vertAlign w:val="subscript"/>
              </w:rPr>
              <w:t>2</w:t>
            </w:r>
            <w:r>
              <w:rPr>
                <w:rFonts w:hint="default" w:ascii="Times New Roman" w:hAnsi="Times New Roman" w:eastAsia="宋体" w:cs="Times New Roman"/>
                <w:b w:val="0"/>
                <w:color w:val="auto"/>
                <w:sz w:val="21"/>
                <w:szCs w:val="21"/>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0.0271</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0.2709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中转后备舍4</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0.9652</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0.4826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0.0225</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0.2252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公猪舍</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1.6876</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0.8438</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0.0394</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0.3938</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有机肥车间</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1.0431</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0.5215</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0.1043</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1.0431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污水处理站</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1.4118</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0.7059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0.0565</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0.5647</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 w:val="0"/>
                <w:color w:val="auto"/>
                <w:sz w:val="21"/>
                <w:szCs w:val="21"/>
                <w:lang w:val="en-US" w:eastAsia="zh-CN"/>
              </w:rPr>
              <w:t>1#</w:t>
            </w:r>
            <w:r>
              <w:rPr>
                <w:rFonts w:hint="default" w:ascii="Times New Roman" w:hAnsi="Times New Roman" w:eastAsia="宋体" w:cs="Times New Roman"/>
                <w:b w:val="0"/>
                <w:color w:val="auto"/>
                <w:sz w:val="21"/>
                <w:szCs w:val="21"/>
              </w:rPr>
              <w:t>排气筒</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NH3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2.4544</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1.2272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H2S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0.4091</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4.0907</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w:t>
            </w:r>
          </w:p>
        </w:tc>
      </w:tr>
    </w:tbl>
    <w:p>
      <w:pPr>
        <w:spacing w:line="440" w:lineRule="exact"/>
        <w:ind w:firstLine="480" w:firstLineChars="200"/>
        <w:rPr>
          <w:rFonts w:ascii="Times New Roman" w:hAnsi="Times New Roman" w:eastAsia="宋体" w:cs="Times New Roman"/>
          <w:b/>
          <w:color w:val="auto"/>
          <w:sz w:val="24"/>
          <w:szCs w:val="24"/>
        </w:rPr>
      </w:pPr>
      <w:r>
        <w:rPr>
          <w:rFonts w:hint="default" w:ascii="Times New Roman" w:hAnsi="Times New Roman" w:eastAsia="宋体" w:cs="Times New Roman"/>
          <w:b w:val="0"/>
          <w:color w:val="auto"/>
          <w:sz w:val="24"/>
        </w:rPr>
        <w:t>本项目Pmax最大值出现为</w:t>
      </w:r>
      <w:r>
        <w:rPr>
          <w:rFonts w:hint="default" w:ascii="Times New Roman" w:hAnsi="Times New Roman" w:eastAsia="宋体" w:cs="Times New Roman"/>
          <w:b w:val="0"/>
          <w:color w:val="auto"/>
          <w:sz w:val="24"/>
          <w:lang w:val="en-US" w:eastAsia="zh-CN"/>
        </w:rPr>
        <w:t>1#</w:t>
      </w:r>
      <w:r>
        <w:rPr>
          <w:rFonts w:hint="default" w:ascii="Times New Roman" w:hAnsi="Times New Roman" w:eastAsia="宋体" w:cs="Times New Roman"/>
          <w:b w:val="0"/>
          <w:color w:val="auto"/>
          <w:sz w:val="24"/>
        </w:rPr>
        <w:t>排气筒排放的H</w:t>
      </w:r>
      <w:r>
        <w:rPr>
          <w:rFonts w:hint="default" w:ascii="Times New Roman" w:hAnsi="Times New Roman" w:eastAsia="宋体" w:cs="Times New Roman"/>
          <w:b w:val="0"/>
          <w:color w:val="auto"/>
          <w:sz w:val="24"/>
          <w:vertAlign w:val="subscript"/>
        </w:rPr>
        <w:t>2</w:t>
      </w:r>
      <w:r>
        <w:rPr>
          <w:rFonts w:hint="default" w:ascii="Times New Roman" w:hAnsi="Times New Roman" w:eastAsia="宋体" w:cs="Times New Roman"/>
          <w:b w:val="0"/>
          <w:color w:val="auto"/>
          <w:sz w:val="24"/>
        </w:rPr>
        <w:t>SPmax值为4.0907%</w:t>
      </w:r>
      <w:r>
        <w:rPr>
          <w:rFonts w:hint="default" w:ascii="Times New Roman" w:hAnsi="Times New Roman" w:eastAsia="宋体" w:cs="Times New Roman"/>
          <w:b w:val="0"/>
          <w:color w:val="auto"/>
          <w:sz w:val="24"/>
          <w:lang w:eastAsia="zh-CN"/>
        </w:rPr>
        <w:t>，</w:t>
      </w:r>
      <w:r>
        <w:rPr>
          <w:rFonts w:hint="default" w:ascii="Times New Roman" w:hAnsi="Times New Roman" w:eastAsia="宋体" w:cs="Times New Roman"/>
          <w:b w:val="0"/>
          <w:color w:val="auto"/>
          <w:sz w:val="24"/>
        </w:rPr>
        <w:t>Cmax为0.4091μg/m³</w:t>
      </w:r>
      <w:r>
        <w:rPr>
          <w:rFonts w:hint="default" w:ascii="Times New Roman" w:hAnsi="Times New Roman" w:eastAsia="宋体" w:cs="Times New Roman"/>
          <w:b w:val="0"/>
          <w:color w:val="auto"/>
          <w:sz w:val="24"/>
          <w:lang w:eastAsia="zh-CN"/>
        </w:rPr>
        <w:t>，</w:t>
      </w:r>
      <w:r>
        <w:rPr>
          <w:rFonts w:hint="eastAsia" w:ascii="Times New Roman" w:hAnsi="Times New Roman" w:eastAsia="宋体" w:cs="Times New Roman"/>
          <w:color w:val="auto"/>
          <w:sz w:val="24"/>
          <w:szCs w:val="24"/>
          <w:lang w:eastAsia="zh-CN"/>
        </w:rPr>
        <w:t>根据</w:t>
      </w:r>
      <w:r>
        <w:rPr>
          <w:rFonts w:ascii="Times New Roman" w:hAnsi="Times New Roman" w:eastAsia="宋体" w:cs="Times New Roman"/>
          <w:color w:val="auto"/>
          <w:sz w:val="24"/>
          <w:szCs w:val="24"/>
        </w:rPr>
        <w:t>《环境影响评价技术导则  大气环境》（HJ2.2-2018）等级判定依据，1.0%≤</w:t>
      </w:r>
      <w:r>
        <w:rPr>
          <w:rFonts w:ascii="Times New Roman" w:hAnsi="Times New Roman" w:eastAsia="宋体" w:cs="Times New Roman"/>
          <w:i/>
          <w:color w:val="auto"/>
          <w:sz w:val="24"/>
          <w:szCs w:val="24"/>
        </w:rPr>
        <w:t>Pi</w:t>
      </w:r>
      <w:r>
        <w:rPr>
          <w:rFonts w:ascii="Times New Roman" w:hAnsi="Times New Roman" w:eastAsia="宋体" w:cs="Times New Roman"/>
          <w:color w:val="auto"/>
          <w:sz w:val="24"/>
          <w:szCs w:val="24"/>
          <w:vertAlign w:val="subscript"/>
        </w:rPr>
        <w:t>max</w:t>
      </w:r>
      <w:r>
        <w:rPr>
          <w:rFonts w:ascii="Times New Roman" w:hAnsi="Times New Roman" w:eastAsia="宋体" w:cs="Times New Roman"/>
          <w:color w:val="auto"/>
          <w:sz w:val="24"/>
          <w:szCs w:val="24"/>
        </w:rPr>
        <w:t>＜10%，确定本项目大气环境影响评价工作等级为二级。</w:t>
      </w:r>
      <w:r>
        <w:rPr>
          <w:rFonts w:ascii="Times New Roman" w:hAnsi="Times New Roman" w:eastAsia="宋体" w:cs="Times New Roman"/>
          <w:b/>
          <w:color w:val="auto"/>
          <w:sz w:val="24"/>
          <w:szCs w:val="24"/>
        </w:rPr>
        <w:t>根据《环境影响评价技术导则大气环境》（HJ2.2-2018），第 8.1.2 条规定：二级评价项目不进行进一步预测与评价，只对污染物排放量进行核算。</w:t>
      </w:r>
    </w:p>
    <w:p>
      <w:pPr>
        <w:pStyle w:val="46"/>
        <w:numPr>
          <w:ilvl w:val="0"/>
          <w:numId w:val="32"/>
        </w:numPr>
        <w:adjustRightInd w:val="0"/>
        <w:snapToGrid w:val="0"/>
        <w:spacing w:line="360" w:lineRule="auto"/>
        <w:ind w:left="0" w:leftChars="0" w:firstLine="454" w:firstLineChars="200"/>
        <w:rPr>
          <w:rFonts w:hint="eastAsia"/>
          <w:b/>
          <w:bCs/>
          <w:color w:val="auto"/>
          <w:spacing w:val="-7"/>
          <w:lang w:eastAsia="zh-CN"/>
        </w:rPr>
      </w:pPr>
      <w:r>
        <w:rPr>
          <w:rFonts w:hint="eastAsia"/>
          <w:b/>
          <w:bCs/>
          <w:color w:val="auto"/>
          <w:spacing w:val="-7"/>
          <w:lang w:eastAsia="zh-CN"/>
        </w:rPr>
        <w:t>评价范围确定</w:t>
      </w:r>
    </w:p>
    <w:p>
      <w:pPr>
        <w:pStyle w:val="4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color w:val="auto"/>
        </w:rPr>
      </w:pPr>
      <w:r>
        <w:rPr>
          <w:rFonts w:hint="default" w:ascii="Times New Roman" w:hAnsi="Times New Roman" w:eastAsia="宋体" w:cs="Times New Roman"/>
          <w:color w:val="auto"/>
          <w:kern w:val="2"/>
          <w:sz w:val="24"/>
          <w:szCs w:val="24"/>
          <w:lang w:val="en-US" w:eastAsia="zh-CN" w:bidi="ar-SA"/>
        </w:rPr>
        <w:t>根据《环境影响评价技术导则 大气环境》（HJ2.2-2018）分级判据，确定本项目大气环境影响评价工作等级为二级</w:t>
      </w:r>
      <w:r>
        <w:rPr>
          <w:rFonts w:hint="eastAsia" w:ascii="Times New Roman" w:hAnsi="Times New Roman" w:cs="Times New Roman"/>
          <w:color w:val="auto"/>
          <w:kern w:val="2"/>
          <w:sz w:val="24"/>
          <w:szCs w:val="24"/>
          <w:lang w:val="en-US" w:eastAsia="zh-CN" w:bidi="ar-SA"/>
        </w:rPr>
        <w:t>。</w:t>
      </w:r>
      <w:r>
        <w:rPr>
          <w:rFonts w:hint="eastAsia"/>
          <w:color w:val="auto"/>
          <w:szCs w:val="21"/>
          <w:lang w:eastAsia="zh-CN"/>
        </w:rPr>
        <w:t>二级</w:t>
      </w:r>
      <w:r>
        <w:rPr>
          <w:rFonts w:hint="eastAsia"/>
          <w:color w:val="auto"/>
          <w:szCs w:val="21"/>
        </w:rPr>
        <w:t>评价范围为以厂址为中心</w:t>
      </w:r>
      <w:r>
        <w:rPr>
          <w:rFonts w:hint="eastAsia"/>
          <w:color w:val="auto"/>
          <w:szCs w:val="21"/>
          <w:lang w:eastAsia="zh-CN"/>
        </w:rPr>
        <w:t>，</w:t>
      </w:r>
      <w:r>
        <w:rPr>
          <w:rFonts w:hint="default"/>
          <w:color w:val="auto"/>
          <w:szCs w:val="21"/>
        </w:rPr>
        <w:t>边长5km的矩形区域</w:t>
      </w:r>
    </w:p>
    <w:p>
      <w:pPr>
        <w:pStyle w:val="110"/>
        <w:ind w:left="0" w:leftChars="0" w:firstLine="0" w:firstLineChars="0"/>
        <w:rPr>
          <w:color w:val="auto"/>
        </w:rPr>
      </w:pPr>
      <w:r>
        <w:rPr>
          <w:color w:val="auto"/>
        </w:rPr>
        <w:drawing>
          <wp:inline distT="0" distB="0" distL="114300" distR="114300">
            <wp:extent cx="4947920" cy="4288790"/>
            <wp:effectExtent l="0" t="0" r="5080" b="1651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44"/>
                    <a:stretch>
                      <a:fillRect/>
                    </a:stretch>
                  </pic:blipFill>
                  <pic:spPr>
                    <a:xfrm>
                      <a:off x="0" y="0"/>
                      <a:ext cx="4947920" cy="4288790"/>
                    </a:xfrm>
                    <a:prstGeom prst="rect">
                      <a:avLst/>
                    </a:prstGeom>
                    <a:noFill/>
                    <a:ln>
                      <a:noFill/>
                    </a:ln>
                  </pic:spPr>
                </pic:pic>
              </a:graphicData>
            </a:graphic>
          </wp:inline>
        </w:drawing>
      </w:r>
    </w:p>
    <w:p>
      <w:pPr>
        <w:pStyle w:val="46"/>
        <w:numPr>
          <w:ilvl w:val="0"/>
          <w:numId w:val="34"/>
        </w:numPr>
        <w:adjustRightInd w:val="0"/>
        <w:snapToGrid w:val="0"/>
        <w:spacing w:line="360" w:lineRule="auto"/>
        <w:ind w:left="425" w:leftChars="0" w:hanging="425" w:firstLineChars="0"/>
        <w:jc w:val="center"/>
        <w:rPr>
          <w:rFonts w:ascii="Times New Roman" w:hAnsi="Times New Roman"/>
          <w:b/>
          <w:bCs/>
          <w:color w:val="auto"/>
          <w:sz w:val="21"/>
          <w:szCs w:val="21"/>
          <w:highlight w:val="none"/>
        </w:rPr>
      </w:pPr>
      <w:r>
        <w:rPr>
          <w:rFonts w:hint="default" w:ascii="Times New Roman" w:hAnsi="Times New Roman"/>
          <w:b/>
          <w:bCs/>
          <w:color w:val="auto"/>
          <w:sz w:val="21"/>
          <w:szCs w:val="21"/>
          <w:highlight w:val="none"/>
        </w:rPr>
        <w:t xml:space="preserve">   项目</w:t>
      </w:r>
      <w:r>
        <w:rPr>
          <w:rFonts w:hint="eastAsia" w:ascii="Times New Roman" w:hAnsi="Times New Roman"/>
          <w:b/>
          <w:bCs/>
          <w:color w:val="auto"/>
          <w:sz w:val="21"/>
          <w:szCs w:val="21"/>
          <w:highlight w:val="none"/>
          <w:lang w:eastAsia="zh-CN"/>
        </w:rPr>
        <w:t>大气</w:t>
      </w:r>
      <w:r>
        <w:rPr>
          <w:rFonts w:hint="default" w:ascii="Times New Roman" w:hAnsi="Times New Roman"/>
          <w:b/>
          <w:bCs/>
          <w:color w:val="auto"/>
          <w:sz w:val="21"/>
          <w:szCs w:val="21"/>
          <w:highlight w:val="none"/>
        </w:rPr>
        <w:t>评价范围图</w:t>
      </w:r>
    </w:p>
    <w:p>
      <w:pPr>
        <w:pStyle w:val="8"/>
        <w:bidi w:val="0"/>
        <w:spacing w:line="360" w:lineRule="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污染物排放量核算</w:t>
      </w:r>
    </w:p>
    <w:p>
      <w:pPr>
        <w:spacing w:line="440" w:lineRule="exact"/>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项目大气污染物有组织及无组织排放量核算</w:t>
      </w:r>
    </w:p>
    <w:p>
      <w:pPr>
        <w:widowControl w:val="0"/>
        <w:numPr>
          <w:ilvl w:val="0"/>
          <w:numId w:val="33"/>
        </w:numPr>
        <w:spacing w:after="0" w:afterLines="0" w:line="36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大气污染物</w:t>
      </w:r>
      <w:r>
        <w:rPr>
          <w:rFonts w:hint="eastAsia" w:ascii="Times New Roman" w:hAnsi="Times New Roman" w:eastAsia="宋体" w:cs="Times New Roman"/>
          <w:b/>
          <w:bCs/>
          <w:color w:val="auto"/>
          <w:kern w:val="2"/>
          <w:sz w:val="21"/>
          <w:szCs w:val="21"/>
          <w:lang w:val="en-US" w:eastAsia="zh-CN" w:bidi="ar-SA"/>
        </w:rPr>
        <w:t>有</w:t>
      </w:r>
      <w:r>
        <w:rPr>
          <w:rFonts w:hint="default" w:ascii="Times New Roman" w:hAnsi="Times New Roman" w:eastAsia="宋体" w:cs="Times New Roman"/>
          <w:b/>
          <w:bCs/>
          <w:color w:val="auto"/>
          <w:kern w:val="2"/>
          <w:sz w:val="21"/>
          <w:szCs w:val="21"/>
          <w:lang w:val="en-US" w:eastAsia="zh-CN" w:bidi="ar-SA"/>
        </w:rPr>
        <w:t>组织排放量核算表</w:t>
      </w:r>
    </w:p>
    <w:tbl>
      <w:tblPr>
        <w:tblStyle w:val="88"/>
        <w:tblW w:w="852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45"/>
        <w:gridCol w:w="931"/>
        <w:gridCol w:w="1529"/>
        <w:gridCol w:w="2388"/>
        <w:gridCol w:w="1492"/>
        <w:gridCol w:w="154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rPr>
              <w:t>序号</w:t>
            </w:r>
          </w:p>
        </w:tc>
        <w:tc>
          <w:tcPr>
            <w:tcW w:w="9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rPr>
              <w:t>排放口编号</w:t>
            </w:r>
          </w:p>
        </w:tc>
        <w:tc>
          <w:tcPr>
            <w:tcW w:w="152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rPr>
              <w:t>污染物</w:t>
            </w:r>
          </w:p>
        </w:tc>
        <w:tc>
          <w:tcPr>
            <w:tcW w:w="238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核算排放浓度</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b/>
                <w:bCs/>
                <w:color w:val="auto"/>
              </w:rPr>
              <w:t>（mg/m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p>
        </w:tc>
        <w:tc>
          <w:tcPr>
            <w:tcW w:w="14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b/>
                <w:bCs/>
                <w:color w:val="auto"/>
              </w:rPr>
              <w:t>核算排放速率（kg/h）</w:t>
            </w:r>
          </w:p>
        </w:tc>
        <w:tc>
          <w:tcPr>
            <w:tcW w:w="154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b/>
                <w:bCs/>
                <w:color w:val="auto"/>
              </w:rPr>
              <w:t>核算年排放量（t/a）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1" w:hRule="atLeast"/>
        </w:trPr>
        <w:tc>
          <w:tcPr>
            <w:tcW w:w="645"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color w:val="auto"/>
              </w:rPr>
              <w:t>1</w:t>
            </w:r>
          </w:p>
        </w:tc>
        <w:tc>
          <w:tcPr>
            <w:tcW w:w="931"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color w:val="auto"/>
              </w:rPr>
              <w:t>1#</w:t>
            </w: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lang w:val="en-US"/>
              </w:rPr>
            </w:pPr>
            <w:r>
              <w:rPr>
                <w:rFonts w:hint="eastAsia" w:ascii="Times New Roman" w:hAnsi="Times New Roman" w:eastAsia="宋体" w:cs="Times New Roman"/>
                <w:i w:val="0"/>
                <w:color w:val="auto"/>
                <w:kern w:val="0"/>
                <w:sz w:val="21"/>
                <w:szCs w:val="21"/>
                <w:u w:val="none"/>
                <w:lang w:val="en-US" w:eastAsia="zh-CN" w:bidi="ar"/>
              </w:rPr>
              <w:t>0.6604</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lang w:val="en-US" w:eastAsia="zh-CN"/>
              </w:rPr>
            </w:pPr>
            <w:r>
              <w:rPr>
                <w:rFonts w:hint="eastAsia" w:ascii="Times New Roman" w:hAnsi="Times New Roman" w:cs="Times New Roman"/>
                <w:color w:val="auto"/>
                <w:kern w:val="0"/>
                <w:lang w:val="en-US" w:eastAsia="zh-CN"/>
              </w:rPr>
              <w:t>0.0012</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lang w:val="en-US" w:eastAsia="zh-CN"/>
              </w:rPr>
            </w:pPr>
            <w:r>
              <w:rPr>
                <w:rFonts w:hint="eastAsia" w:ascii="Times New Roman" w:hAnsi="Times New Roman" w:cs="Times New Roman"/>
                <w:color w:val="auto"/>
                <w:kern w:val="0"/>
                <w:lang w:val="en-US" w:eastAsia="zh-CN"/>
              </w:rPr>
              <w:t>0.0288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62" w:hRule="atLeast"/>
        </w:trPr>
        <w:tc>
          <w:tcPr>
            <w:tcW w:w="64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93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lang w:val="en-US" w:bidi="ar"/>
              </w:rPr>
            </w:pPr>
            <w:r>
              <w:rPr>
                <w:rFonts w:hint="eastAsia" w:ascii="Times New Roman" w:hAnsi="Times New Roman" w:eastAsia="宋体" w:cs="Times New Roman"/>
                <w:i w:val="0"/>
                <w:color w:val="auto"/>
                <w:kern w:val="0"/>
                <w:sz w:val="21"/>
                <w:szCs w:val="21"/>
                <w:u w:val="none"/>
                <w:lang w:val="en-US" w:eastAsia="zh-CN" w:bidi="ar"/>
              </w:rPr>
              <w:t>0.0367</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lang w:val="en-US" w:eastAsia="zh-CN" w:bidi="ar"/>
              </w:rPr>
            </w:pPr>
            <w:r>
              <w:rPr>
                <w:rFonts w:hint="eastAsia" w:ascii="Times New Roman" w:hAnsi="Times New Roman" w:cs="Times New Roman"/>
                <w:color w:val="auto"/>
                <w:kern w:val="0"/>
                <w:lang w:val="en-US" w:eastAsia="zh-CN" w:bidi="ar"/>
              </w:rPr>
              <w:t>0.0002</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lang w:val="en-US" w:eastAsia="zh-CN" w:bidi="ar"/>
              </w:rPr>
            </w:pPr>
            <w:r>
              <w:rPr>
                <w:rFonts w:hint="eastAsia" w:ascii="Times New Roman" w:hAnsi="Times New Roman" w:cs="Times New Roman"/>
                <w:color w:val="auto"/>
                <w:kern w:val="0"/>
                <w:lang w:val="en-US" w:eastAsia="zh-CN" w:bidi="ar"/>
              </w:rPr>
              <w:t>0.0016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576" w:type="dxa"/>
            <w:gridSpan w:val="2"/>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有组织排放总计</w:t>
            </w: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rPr>
            </w:pPr>
            <w:r>
              <w:rPr>
                <w:rFonts w:hint="eastAsia" w:ascii="Times New Roman" w:hAnsi="Times New Roman" w:eastAsia="宋体" w:cs="Times New Roman"/>
                <w:i w:val="0"/>
                <w:color w:val="auto"/>
                <w:kern w:val="0"/>
                <w:sz w:val="21"/>
                <w:szCs w:val="21"/>
                <w:u w:val="none"/>
                <w:lang w:val="en-US" w:eastAsia="zh-CN" w:bidi="ar"/>
              </w:rPr>
              <w:t>0.6604</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rPr>
            </w:pPr>
            <w:r>
              <w:rPr>
                <w:rFonts w:hint="eastAsia" w:ascii="Times New Roman" w:hAnsi="Times New Roman" w:cs="Times New Roman"/>
                <w:color w:val="auto"/>
                <w:kern w:val="0"/>
                <w:lang w:val="en-US" w:eastAsia="zh-CN"/>
              </w:rPr>
              <w:t>0.0012</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rPr>
            </w:pPr>
            <w:r>
              <w:rPr>
                <w:rFonts w:hint="eastAsia" w:ascii="Times New Roman" w:hAnsi="Times New Roman" w:cs="Times New Roman"/>
                <w:color w:val="auto"/>
                <w:kern w:val="0"/>
                <w:lang w:val="en-US" w:eastAsia="zh-CN"/>
              </w:rPr>
              <w:t>0.0288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576" w:type="dxa"/>
            <w:gridSpan w:val="2"/>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rPr>
            </w:pP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rPr>
            </w:pPr>
            <w:r>
              <w:rPr>
                <w:rFonts w:hint="eastAsia" w:ascii="Times New Roman" w:hAnsi="Times New Roman" w:eastAsia="宋体" w:cs="Times New Roman"/>
                <w:i w:val="0"/>
                <w:color w:val="auto"/>
                <w:kern w:val="0"/>
                <w:sz w:val="21"/>
                <w:szCs w:val="21"/>
                <w:u w:val="none"/>
                <w:lang w:val="en-US" w:eastAsia="zh-CN" w:bidi="ar"/>
              </w:rPr>
              <w:t>0.0367</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rPr>
            </w:pPr>
            <w:r>
              <w:rPr>
                <w:rFonts w:hint="eastAsia" w:ascii="Times New Roman" w:hAnsi="Times New Roman" w:cs="Times New Roman"/>
                <w:color w:val="auto"/>
                <w:kern w:val="0"/>
                <w:lang w:val="en-US" w:eastAsia="zh-CN" w:bidi="ar"/>
              </w:rPr>
              <w:t>0.0002</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rPr>
            </w:pPr>
            <w:r>
              <w:rPr>
                <w:rFonts w:hint="eastAsia" w:ascii="Times New Roman" w:hAnsi="Times New Roman" w:cs="Times New Roman"/>
                <w:color w:val="auto"/>
                <w:kern w:val="0"/>
                <w:lang w:val="en-US" w:eastAsia="zh-CN" w:bidi="ar"/>
              </w:rPr>
              <w:t>0.0016</w:t>
            </w:r>
          </w:p>
        </w:tc>
      </w:tr>
    </w:tbl>
    <w:p>
      <w:pPr>
        <w:widowControl w:val="0"/>
        <w:numPr>
          <w:ilvl w:val="0"/>
          <w:numId w:val="33"/>
        </w:numPr>
        <w:spacing w:after="0" w:afterLines="0"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eastAsia="宋体" w:cs="Times New Roman"/>
          <w:b/>
          <w:bCs/>
          <w:color w:val="auto"/>
          <w:kern w:val="2"/>
          <w:sz w:val="21"/>
          <w:szCs w:val="21"/>
          <w:lang w:val="en-US" w:eastAsia="zh-CN" w:bidi="ar-SA"/>
        </w:rPr>
        <w:t>大气污染物无组织排放量核算表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70"/>
        <w:gridCol w:w="588"/>
        <w:gridCol w:w="2505"/>
        <w:gridCol w:w="1733"/>
        <w:gridCol w:w="1155"/>
        <w:gridCol w:w="146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8"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产污环节</w:t>
            </w:r>
          </w:p>
        </w:tc>
        <w:tc>
          <w:tcPr>
            <w:tcW w:w="345"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1470"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主要污染防治措施</w:t>
            </w:r>
          </w:p>
        </w:tc>
        <w:tc>
          <w:tcPr>
            <w:tcW w:w="1695"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国家或地方污染物排放标准</w:t>
            </w:r>
          </w:p>
        </w:tc>
        <w:tc>
          <w:tcPr>
            <w:tcW w:w="861"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年排放量（t/a）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8"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p>
        </w:tc>
        <w:tc>
          <w:tcPr>
            <w:tcW w:w="345"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p>
        </w:tc>
        <w:tc>
          <w:tcPr>
            <w:tcW w:w="147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p>
        </w:tc>
        <w:tc>
          <w:tcPr>
            <w:tcW w:w="101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标准名称</w:t>
            </w:r>
          </w:p>
        </w:tc>
        <w:tc>
          <w:tcPr>
            <w:tcW w:w="67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浓度限值（μm/m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861"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8"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SA"/>
              </w:rPr>
              <w:t>猪舍恶臭</w:t>
            </w:r>
          </w:p>
        </w:tc>
        <w:tc>
          <w:tcPr>
            <w:tcW w:w="345"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1470"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SA"/>
              </w:rPr>
              <w:t>除臭、绿化、加强通风、漏缝地板、饲料合理配置</w:t>
            </w:r>
          </w:p>
        </w:tc>
        <w:tc>
          <w:tcPr>
            <w:tcW w:w="1017"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color w:val="auto"/>
              </w:rPr>
              <w:t>《</w:t>
            </w:r>
            <w:r>
              <w:rPr>
                <w:rFonts w:hint="eastAsia" w:ascii="Times New Roman" w:hAnsi="Times New Roman" w:eastAsia="宋体" w:cs="Times New Roman"/>
                <w:color w:val="auto"/>
                <w:lang w:eastAsia="zh-CN"/>
              </w:rPr>
              <w:t>恶臭污染物</w:t>
            </w:r>
            <w:r>
              <w:rPr>
                <w:rFonts w:hint="default" w:ascii="Times New Roman" w:hAnsi="Times New Roman" w:eastAsia="宋体" w:cs="Times New Roman"/>
                <w:color w:val="auto"/>
              </w:rPr>
              <w:t>排放标准》（GB</w:t>
            </w:r>
            <w:r>
              <w:rPr>
                <w:rFonts w:hint="eastAsia" w:ascii="Times New Roman" w:hAnsi="Times New Roman" w:eastAsia="宋体" w:cs="Times New Roman"/>
                <w:color w:val="auto"/>
                <w:lang w:val="en-US" w:eastAsia="zh-CN"/>
              </w:rPr>
              <w:t>14554</w:t>
            </w:r>
            <w:r>
              <w:rPr>
                <w:rFonts w:hint="default" w:ascii="Times New Roman" w:hAnsi="Times New Roman" w:eastAsia="宋体" w:cs="Times New Roman"/>
                <w:color w:val="auto"/>
              </w:rPr>
              <w:t>-9</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tc>
        <w:tc>
          <w:tcPr>
            <w:tcW w:w="67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8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0.2626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8"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SA"/>
              </w:rPr>
              <w:t>污水处理站恶臭</w:t>
            </w:r>
          </w:p>
        </w:tc>
        <w:tc>
          <w:tcPr>
            <w:tcW w:w="345"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p>
        </w:tc>
        <w:tc>
          <w:tcPr>
            <w:tcW w:w="1470"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SA"/>
              </w:rPr>
              <w:t>喷洒除臭剂、绿化</w:t>
            </w:r>
          </w:p>
        </w:tc>
        <w:tc>
          <w:tcPr>
            <w:tcW w:w="101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p>
        </w:tc>
        <w:tc>
          <w:tcPr>
            <w:tcW w:w="67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8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8"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堆肥车间</w:t>
            </w:r>
          </w:p>
        </w:tc>
        <w:tc>
          <w:tcPr>
            <w:tcW w:w="345"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p>
        </w:tc>
        <w:tc>
          <w:tcPr>
            <w:tcW w:w="1470"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101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rPr>
            </w:pPr>
          </w:p>
        </w:tc>
        <w:tc>
          <w:tcPr>
            <w:tcW w:w="67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8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0.00418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8"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SA"/>
              </w:rPr>
              <w:t>猪舍恶臭</w:t>
            </w:r>
          </w:p>
        </w:tc>
        <w:tc>
          <w:tcPr>
            <w:tcW w:w="345"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1470"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除臭、绿化、加强通风、漏缝地板、饲料合理配置</w:t>
            </w:r>
          </w:p>
        </w:tc>
        <w:tc>
          <w:tcPr>
            <w:tcW w:w="101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rPr>
            </w:pPr>
          </w:p>
        </w:tc>
        <w:tc>
          <w:tcPr>
            <w:tcW w:w="67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w:t>
            </w:r>
          </w:p>
        </w:tc>
        <w:tc>
          <w:tcPr>
            <w:tcW w:w="8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0.0656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8"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eastAsia"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SA"/>
              </w:rPr>
              <w:t>污水处理站恶臭</w:t>
            </w:r>
          </w:p>
        </w:tc>
        <w:tc>
          <w:tcPr>
            <w:tcW w:w="345"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p>
        </w:tc>
        <w:tc>
          <w:tcPr>
            <w:tcW w:w="1470"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SA"/>
              </w:rPr>
              <w:t>喷洒除臭剂、绿化</w:t>
            </w:r>
          </w:p>
        </w:tc>
        <w:tc>
          <w:tcPr>
            <w:tcW w:w="101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rPr>
            </w:pPr>
          </w:p>
        </w:tc>
        <w:tc>
          <w:tcPr>
            <w:tcW w:w="67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w:t>
            </w:r>
          </w:p>
        </w:tc>
        <w:tc>
          <w:tcPr>
            <w:tcW w:w="8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0.000425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28"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kern w:val="0"/>
                <w:sz w:val="21"/>
                <w:szCs w:val="21"/>
                <w:lang w:val="en-US" w:eastAsia="zh-CN" w:bidi="ar-SA"/>
              </w:rPr>
              <w:t>堆肥车间</w:t>
            </w:r>
          </w:p>
        </w:tc>
        <w:tc>
          <w:tcPr>
            <w:tcW w:w="345"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p>
        </w:tc>
        <w:tc>
          <w:tcPr>
            <w:tcW w:w="1470"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rPr>
            </w:pPr>
          </w:p>
        </w:tc>
        <w:tc>
          <w:tcPr>
            <w:tcW w:w="1017"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rPr>
            </w:pPr>
          </w:p>
        </w:tc>
        <w:tc>
          <w:tcPr>
            <w:tcW w:w="67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w:t>
            </w:r>
          </w:p>
        </w:tc>
        <w:tc>
          <w:tcPr>
            <w:tcW w:w="86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0.00042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2443" w:type="pct"/>
            <w:gridSpan w:val="3"/>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无组织排放总计</w:t>
            </w:r>
          </w:p>
        </w:tc>
        <w:tc>
          <w:tcPr>
            <w:tcW w:w="1695"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position w:val="2"/>
                <w:sz w:val="21"/>
                <w:szCs w:val="21"/>
                <w:lang w:val="en-US" w:eastAsia="zh-CN" w:bidi="ar-SA"/>
              </w:rPr>
              <w:t>NH</w:t>
            </w:r>
            <w:r>
              <w:rPr>
                <w:rFonts w:hint="default" w:ascii="Times New Roman" w:hAnsi="Times New Roman" w:eastAsia="宋体" w:cs="Times New Roman"/>
                <w:color w:val="auto"/>
                <w:kern w:val="0"/>
                <w:position w:val="2"/>
                <w:sz w:val="21"/>
                <w:szCs w:val="21"/>
                <w:vertAlign w:val="subscript"/>
                <w:lang w:val="en-US" w:eastAsia="zh-CN" w:bidi="ar-SA"/>
              </w:rPr>
              <w:t>3</w:t>
            </w:r>
          </w:p>
        </w:tc>
        <w:tc>
          <w:tcPr>
            <w:tcW w:w="8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2"/>
                <w:sz w:val="22"/>
                <w:szCs w:val="22"/>
                <w:u w:val="none"/>
                <w:lang w:val="en-US" w:eastAsia="zh-CN" w:bidi="ar-SA"/>
              </w:rPr>
            </w:pPr>
            <w:r>
              <w:rPr>
                <w:rFonts w:hint="eastAsia" w:ascii="Times New Roman" w:hAnsi="Times New Roman" w:eastAsia="宋体" w:cs="Times New Roman"/>
                <w:b/>
                <w:i w:val="0"/>
                <w:color w:val="auto"/>
                <w:kern w:val="0"/>
                <w:sz w:val="21"/>
                <w:szCs w:val="21"/>
                <w:u w:val="none"/>
                <w:lang w:val="en-US" w:eastAsia="zh-CN" w:bidi="ar"/>
              </w:rPr>
              <w:t>0.27778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2443" w:type="pct"/>
            <w:gridSpan w:val="3"/>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rPr>
            </w:pPr>
          </w:p>
        </w:tc>
        <w:tc>
          <w:tcPr>
            <w:tcW w:w="1695"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position w:val="2"/>
                <w:sz w:val="21"/>
                <w:szCs w:val="21"/>
                <w:lang w:val="en-US" w:eastAsia="zh-CN" w:bidi="ar-SA"/>
              </w:rPr>
              <w:t>H</w:t>
            </w:r>
            <w:r>
              <w:rPr>
                <w:rFonts w:hint="default" w:ascii="Times New Roman" w:hAnsi="Times New Roman" w:eastAsia="宋体" w:cs="Times New Roman"/>
                <w:color w:val="auto"/>
                <w:kern w:val="0"/>
                <w:position w:val="2"/>
                <w:sz w:val="21"/>
                <w:szCs w:val="21"/>
                <w:vertAlign w:val="subscript"/>
                <w:lang w:val="en-US" w:eastAsia="zh-CN" w:bidi="ar-SA"/>
              </w:rPr>
              <w:t>2</w:t>
            </w:r>
            <w:r>
              <w:rPr>
                <w:rFonts w:hint="default" w:ascii="Times New Roman" w:hAnsi="Times New Roman" w:eastAsia="宋体" w:cs="Times New Roman"/>
                <w:color w:val="auto"/>
                <w:kern w:val="0"/>
                <w:position w:val="2"/>
                <w:sz w:val="21"/>
                <w:szCs w:val="21"/>
                <w:lang w:val="en-US" w:eastAsia="zh-CN" w:bidi="ar-SA"/>
              </w:rPr>
              <w:t>S</w:t>
            </w:r>
          </w:p>
        </w:tc>
        <w:tc>
          <w:tcPr>
            <w:tcW w:w="86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kern w:val="0"/>
                <w:lang w:val="en-US" w:eastAsia="zh-CN" w:bidi="ar"/>
              </w:rPr>
            </w:pPr>
            <w:r>
              <w:rPr>
                <w:rFonts w:hint="default" w:ascii="Times New Roman" w:hAnsi="Times New Roman" w:eastAsia="宋体" w:cs="Times New Roman"/>
                <w:b/>
                <w:i w:val="0"/>
                <w:color w:val="auto"/>
                <w:kern w:val="0"/>
                <w:sz w:val="21"/>
                <w:szCs w:val="21"/>
                <w:u w:val="none"/>
                <w:lang w:val="en-US" w:eastAsia="zh-CN" w:bidi="ar"/>
              </w:rPr>
              <w:t>0.0</w:t>
            </w:r>
            <w:r>
              <w:rPr>
                <w:rFonts w:hint="eastAsia" w:ascii="Times New Roman" w:hAnsi="Times New Roman" w:eastAsia="宋体" w:cs="Times New Roman"/>
                <w:b/>
                <w:i w:val="0"/>
                <w:color w:val="auto"/>
                <w:kern w:val="0"/>
                <w:sz w:val="21"/>
                <w:szCs w:val="21"/>
                <w:u w:val="none"/>
                <w:lang w:val="en-US" w:eastAsia="zh-CN" w:bidi="ar"/>
              </w:rPr>
              <w:t>6645</w:t>
            </w:r>
          </w:p>
        </w:tc>
      </w:tr>
    </w:tbl>
    <w:p>
      <w:pPr>
        <w:spacing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本项目大气污染物年排放量核算情况见表5.2-</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p>
    <w:p>
      <w:pPr>
        <w:widowControl w:val="0"/>
        <w:numPr>
          <w:ilvl w:val="0"/>
          <w:numId w:val="33"/>
        </w:numPr>
        <w:spacing w:after="0" w:afterLines="0"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大气污染物年排放量核算表</w:t>
      </w:r>
    </w:p>
    <w:tbl>
      <w:tblPr>
        <w:tblStyle w:val="88"/>
        <w:tblW w:w="8787" w:type="dxa"/>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986"/>
        <w:gridCol w:w="3320"/>
        <w:gridCol w:w="3481"/>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986" w:type="dxa"/>
            <w:noWrap w:val="0"/>
            <w:vAlign w:val="center"/>
          </w:tcPr>
          <w:p>
            <w:pPr>
              <w:pStyle w:val="163"/>
              <w:keepNext w:val="0"/>
              <w:keepLines w:val="0"/>
              <w:suppressLineNumbers w:val="0"/>
              <w:kinsoku w:val="0"/>
              <w:overflowPunct w:val="0"/>
              <w:spacing w:before="0" w:beforeAutospacing="0" w:after="0" w:afterAutospacing="0"/>
              <w:ind w:left="0" w:right="3"/>
              <w:jc w:val="center"/>
              <w:rPr>
                <w:rFonts w:hint="default"/>
                <w:b/>
                <w:color w:val="auto"/>
                <w:sz w:val="21"/>
                <w:szCs w:val="21"/>
              </w:rPr>
            </w:pPr>
            <w:r>
              <w:rPr>
                <w:rFonts w:hint="default"/>
                <w:b/>
                <w:color w:val="auto"/>
                <w:sz w:val="21"/>
                <w:szCs w:val="21"/>
              </w:rPr>
              <w:t>序号</w:t>
            </w:r>
          </w:p>
        </w:tc>
        <w:tc>
          <w:tcPr>
            <w:tcW w:w="3320" w:type="dxa"/>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b/>
                <w:color w:val="auto"/>
                <w:sz w:val="21"/>
                <w:szCs w:val="21"/>
              </w:rPr>
            </w:pPr>
            <w:r>
              <w:rPr>
                <w:rFonts w:hint="default"/>
                <w:b/>
                <w:color w:val="auto"/>
                <w:sz w:val="21"/>
                <w:szCs w:val="21"/>
              </w:rPr>
              <w:t>污染物</w:t>
            </w:r>
          </w:p>
        </w:tc>
        <w:tc>
          <w:tcPr>
            <w:tcW w:w="348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default"/>
                <w:b/>
                <w:color w:val="auto"/>
                <w:sz w:val="21"/>
                <w:szCs w:val="21"/>
              </w:rPr>
              <w:t>年排放量/（t/a）</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986"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eastAsia="宋体"/>
                <w:color w:val="auto"/>
                <w:w w:val="99"/>
                <w:sz w:val="21"/>
                <w:szCs w:val="21"/>
                <w:lang w:val="en-US" w:eastAsia="zh-CN"/>
              </w:rPr>
            </w:pPr>
            <w:r>
              <w:rPr>
                <w:rFonts w:hint="eastAsia"/>
                <w:color w:val="auto"/>
                <w:w w:val="99"/>
                <w:sz w:val="21"/>
                <w:szCs w:val="21"/>
                <w:lang w:val="en-US" w:eastAsia="zh-CN"/>
              </w:rPr>
              <w:t>1</w:t>
            </w:r>
          </w:p>
        </w:tc>
        <w:tc>
          <w:tcPr>
            <w:tcW w:w="332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position w:val="2"/>
                <w:sz w:val="21"/>
                <w:szCs w:val="21"/>
              </w:rPr>
            </w:pPr>
            <w:r>
              <w:rPr>
                <w:rFonts w:hint="default"/>
                <w:color w:val="auto"/>
                <w:position w:val="2"/>
                <w:sz w:val="21"/>
                <w:szCs w:val="21"/>
              </w:rPr>
              <w:t>NH</w:t>
            </w:r>
            <w:r>
              <w:rPr>
                <w:rFonts w:hint="default"/>
                <w:color w:val="auto"/>
                <w:position w:val="2"/>
                <w:sz w:val="21"/>
                <w:szCs w:val="21"/>
                <w:vertAlign w:val="subscript"/>
              </w:rPr>
              <w:t>3</w:t>
            </w:r>
          </w:p>
        </w:tc>
        <w:tc>
          <w:tcPr>
            <w:tcW w:w="348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eastAsia="宋体"/>
                <w:color w:val="auto"/>
                <w:w w:val="99"/>
                <w:sz w:val="21"/>
                <w:szCs w:val="21"/>
                <w:lang w:val="en-US" w:eastAsia="zh-CN"/>
              </w:rPr>
            </w:pPr>
            <w:r>
              <w:rPr>
                <w:rFonts w:hint="eastAsia"/>
                <w:color w:val="auto"/>
                <w:w w:val="99"/>
                <w:sz w:val="21"/>
                <w:szCs w:val="21"/>
                <w:lang w:val="en-US" w:eastAsia="zh-CN"/>
              </w:rPr>
              <w:t>0.3066</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986"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lang w:val="en-US" w:eastAsia="zh-CN"/>
              </w:rPr>
              <w:t>2</w:t>
            </w:r>
          </w:p>
        </w:tc>
        <w:tc>
          <w:tcPr>
            <w:tcW w:w="3320"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position w:val="2"/>
                <w:sz w:val="21"/>
                <w:szCs w:val="21"/>
              </w:rPr>
              <w:t>H</w:t>
            </w:r>
            <w:r>
              <w:rPr>
                <w:rFonts w:hint="default"/>
                <w:color w:val="auto"/>
                <w:position w:val="2"/>
                <w:sz w:val="21"/>
                <w:szCs w:val="21"/>
                <w:vertAlign w:val="subscript"/>
              </w:rPr>
              <w:t>2</w:t>
            </w:r>
            <w:r>
              <w:rPr>
                <w:rFonts w:hint="default"/>
                <w:color w:val="auto"/>
                <w:position w:val="2"/>
                <w:sz w:val="21"/>
                <w:szCs w:val="21"/>
              </w:rPr>
              <w:t>S</w:t>
            </w:r>
          </w:p>
        </w:tc>
        <w:tc>
          <w:tcPr>
            <w:tcW w:w="3481" w:type="dxa"/>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0.06805</w:t>
            </w:r>
          </w:p>
        </w:tc>
      </w:tr>
    </w:tbl>
    <w:p>
      <w:pPr>
        <w:pStyle w:val="8"/>
        <w:bidi w:val="0"/>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防护距离分析</w:t>
      </w:r>
    </w:p>
    <w:p>
      <w:pPr>
        <w:spacing w:line="440" w:lineRule="exact"/>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1、大气环境防护距离</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根据《环境影响评价技术导则  大气环境》（HJ2.2-2018）中8.7.5.1规定：对于项目厂界浓度满足大气污染物厂界浓度限值，但厂界外大气污染物短期浓度贡献值超过环境质量浓度限值的，可以自厂界向外设置一定范围的大气环境防护区域，以确保大气环境防护区域外的污染物贡献浓度满足环境质量标准。</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本项目排放的大气污染物主要来源于猪舍、污水处理站和</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产生的NH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S等恶臭物质。根据《环境影响评价技术导则  大气环境》（HJ2.2-2018）大气环境防护距离确定方法，本项目大气环境防护距离计算结果见表5.2-</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w:t>
      </w:r>
    </w:p>
    <w:p>
      <w:pPr>
        <w:widowControl w:val="0"/>
        <w:numPr>
          <w:ilvl w:val="0"/>
          <w:numId w:val="33"/>
        </w:numPr>
        <w:spacing w:after="0" w:afterLines="0" w:line="360" w:lineRule="auto"/>
        <w:ind w:left="0" w:leftChars="0" w:firstLine="0" w:firstLineChars="0"/>
        <w:jc w:val="center"/>
        <w:rPr>
          <w:rFonts w:ascii="Times New Roman" w:hAnsi="Times New Roman" w:eastAsia="宋体" w:cs="Times New Roman"/>
          <w:b/>
          <w:color w:val="auto"/>
          <w:kern w:val="2"/>
          <w:sz w:val="21"/>
          <w:szCs w:val="24"/>
          <w:lang w:val="en-US" w:eastAsia="zh-CN" w:bidi="ar-SA"/>
        </w:rPr>
      </w:pP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 xml:space="preserve"> </w:t>
      </w:r>
      <w:r>
        <w:rPr>
          <w:rFonts w:hint="eastAsia" w:ascii="Times New Roman" w:hAnsi="Times New Roman" w:eastAsia="宋体" w:cs="Times New Roman"/>
          <w:b/>
          <w:color w:val="auto"/>
          <w:kern w:val="2"/>
          <w:sz w:val="21"/>
          <w:szCs w:val="24"/>
          <w:lang w:val="en-US" w:eastAsia="zh-CN" w:bidi="ar-SA"/>
        </w:rPr>
        <w:t>大气环境防护距离计算结果一览表</w:t>
      </w:r>
    </w:p>
    <w:tbl>
      <w:tblPr>
        <w:tblStyle w:val="88"/>
        <w:tblW w:w="4998" w:type="pct"/>
        <w:tblInd w:w="0" w:type="dxa"/>
        <w:tblLayout w:type="autofit"/>
        <w:tblCellMar>
          <w:top w:w="0" w:type="dxa"/>
          <w:left w:w="0" w:type="dxa"/>
          <w:bottom w:w="0" w:type="dxa"/>
          <w:right w:w="0" w:type="dxa"/>
        </w:tblCellMar>
      </w:tblPr>
      <w:tblGrid>
        <w:gridCol w:w="1137"/>
        <w:gridCol w:w="1103"/>
        <w:gridCol w:w="2246"/>
        <w:gridCol w:w="1617"/>
        <w:gridCol w:w="2200"/>
      </w:tblGrid>
      <w:tr>
        <w:tblPrEx>
          <w:tblCellMar>
            <w:top w:w="0" w:type="dxa"/>
            <w:left w:w="0" w:type="dxa"/>
            <w:bottom w:w="0" w:type="dxa"/>
            <w:right w:w="0" w:type="dxa"/>
          </w:tblCellMar>
        </w:tblPrEx>
        <w:tc>
          <w:tcPr>
            <w:tcW w:w="684" w:type="pct"/>
            <w:tcBorders>
              <w:top w:val="single" w:color="auto" w:sz="12"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矩形面源</w:t>
            </w:r>
          </w:p>
        </w:tc>
        <w:tc>
          <w:tcPr>
            <w:tcW w:w="664" w:type="pct"/>
            <w:tcBorders>
              <w:top w:val="single" w:color="auto" w:sz="12" w:space="0"/>
              <w:left w:val="single" w:color="000000"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2" w:lineRule="exact"/>
              <w:ind w:left="0" w:right="0"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污染物</w:t>
            </w:r>
          </w:p>
        </w:tc>
        <w:tc>
          <w:tcPr>
            <w:tcW w:w="1352" w:type="pct"/>
            <w:tcBorders>
              <w:top w:val="single" w:color="auto" w:sz="12"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2" w:lineRule="exact"/>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最大落地浓度</w:t>
            </w:r>
            <w:r>
              <w:rPr>
                <w:rFonts w:hint="default" w:ascii="Times New Roman" w:hAnsi="Times New Roman" w:eastAsia="宋体" w:cs="Times New Roman"/>
                <w:b/>
                <w:bCs/>
                <w:color w:val="auto"/>
                <w:kern w:val="0"/>
                <w:sz w:val="21"/>
                <w:szCs w:val="21"/>
                <w:lang w:val="en-US" w:eastAsia="zh-CN" w:bidi="ar-SA"/>
              </w:rPr>
              <w:t>（μg/m</w:t>
            </w:r>
            <w:r>
              <w:rPr>
                <w:rFonts w:hint="default" w:ascii="Times New Roman" w:hAnsi="Times New Roman" w:eastAsia="宋体" w:cs="Times New Roman"/>
                <w:b/>
                <w:bCs/>
                <w:color w:val="auto"/>
                <w:kern w:val="0"/>
                <w:sz w:val="21"/>
                <w:szCs w:val="21"/>
                <w:vertAlign w:val="superscript"/>
                <w:lang w:val="en-US" w:eastAsia="zh-CN" w:bidi="ar-SA"/>
              </w:rPr>
              <w:t>3</w:t>
            </w:r>
            <w:r>
              <w:rPr>
                <w:rFonts w:hint="eastAsia" w:ascii="Times New Roman" w:hAnsi="Times New Roman" w:eastAsia="宋体" w:cs="Times New Roman"/>
                <w:b/>
                <w:bCs/>
                <w:color w:val="auto"/>
                <w:kern w:val="0"/>
                <w:sz w:val="21"/>
                <w:szCs w:val="21"/>
                <w:lang w:val="en-US" w:eastAsia="zh-CN" w:bidi="ar-SA"/>
              </w:rPr>
              <w:t>）</w:t>
            </w:r>
          </w:p>
        </w:tc>
        <w:tc>
          <w:tcPr>
            <w:tcW w:w="973" w:type="pct"/>
            <w:tcBorders>
              <w:top w:val="single" w:color="auto" w:sz="12"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2" w:lineRule="exact"/>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 xml:space="preserve">最大浓度占标率 </w:t>
            </w:r>
          </w:p>
        </w:tc>
        <w:tc>
          <w:tcPr>
            <w:tcW w:w="1324" w:type="pct"/>
            <w:tcBorders>
              <w:top w:val="single" w:color="auto" w:sz="12" w:space="0"/>
              <w:left w:val="single" w:color="auto" w:sz="4" w:space="0"/>
              <w:bottom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2" w:lineRule="exact"/>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 xml:space="preserve">大气环境防护距离（m） </w:t>
            </w:r>
          </w:p>
        </w:tc>
      </w:tr>
      <w:tr>
        <w:tblPrEx>
          <w:tblCellMar>
            <w:top w:w="0" w:type="dxa"/>
            <w:left w:w="0" w:type="dxa"/>
            <w:bottom w:w="0" w:type="dxa"/>
            <w:right w:w="0" w:type="dxa"/>
          </w:tblCellMar>
        </w:tblPrEx>
        <w:trPr>
          <w:trHeight w:val="278" w:hRule="atLeast"/>
        </w:trPr>
        <w:tc>
          <w:tcPr>
            <w:tcW w:w="684" w:type="pct"/>
            <w:vMerge w:val="restart"/>
            <w:tcBorders>
              <w:top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猪场厂区</w:t>
            </w:r>
          </w:p>
        </w:tc>
        <w:tc>
          <w:tcPr>
            <w:tcW w:w="664"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48"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NH</w:t>
            </w:r>
            <w:r>
              <w:rPr>
                <w:rFonts w:hint="eastAsia" w:ascii="Times New Roman" w:hAnsi="Times New Roman" w:eastAsia="宋体" w:cs="Times New Roman"/>
                <w:color w:val="auto"/>
                <w:kern w:val="0"/>
                <w:sz w:val="21"/>
                <w:szCs w:val="21"/>
                <w:vertAlign w:val="subscript"/>
                <w:lang w:val="en-US" w:eastAsia="zh-CN" w:bidi="ar-SA"/>
              </w:rPr>
              <w:t>3</w:t>
            </w:r>
          </w:p>
        </w:tc>
        <w:tc>
          <w:tcPr>
            <w:tcW w:w="1352"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48"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0.4091</w:t>
            </w:r>
          </w:p>
        </w:tc>
        <w:tc>
          <w:tcPr>
            <w:tcW w:w="97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4.09%</w:t>
            </w:r>
          </w:p>
        </w:tc>
        <w:tc>
          <w:tcPr>
            <w:tcW w:w="1324" w:type="pct"/>
            <w:tcBorders>
              <w:top w:val="single" w:color="000000" w:sz="4" w:space="0"/>
              <w:left w:val="single" w:color="auto" w:sz="4" w:space="0"/>
              <w:bottom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无超标点</w:t>
            </w:r>
          </w:p>
        </w:tc>
      </w:tr>
      <w:tr>
        <w:tblPrEx>
          <w:tblCellMar>
            <w:top w:w="0" w:type="dxa"/>
            <w:left w:w="0" w:type="dxa"/>
            <w:bottom w:w="0" w:type="dxa"/>
            <w:right w:w="0" w:type="dxa"/>
          </w:tblCellMar>
        </w:tblPrEx>
        <w:tc>
          <w:tcPr>
            <w:tcW w:w="684" w:type="pct"/>
            <w:vMerge w:val="continue"/>
            <w:tcBorders>
              <w:bottom w:val="single" w:color="auto" w:sz="12"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bidi="ar-SA"/>
              </w:rPr>
            </w:pPr>
          </w:p>
        </w:tc>
        <w:tc>
          <w:tcPr>
            <w:tcW w:w="664" w:type="pct"/>
            <w:tcBorders>
              <w:top w:val="single" w:color="000000" w:sz="4" w:space="0"/>
              <w:left w:val="single" w:color="auto"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H</w:t>
            </w:r>
            <w:r>
              <w:rPr>
                <w:rFonts w:hint="eastAsia" w:ascii="Times New Roman" w:hAnsi="Times New Roman" w:eastAsia="宋体" w:cs="Times New Roman"/>
                <w:color w:val="auto"/>
                <w:kern w:val="0"/>
                <w:sz w:val="21"/>
                <w:szCs w:val="21"/>
                <w:vertAlign w:val="subscript"/>
                <w:lang w:val="en-US" w:eastAsia="zh-CN" w:bidi="ar-SA"/>
              </w:rPr>
              <w:t>2</w:t>
            </w:r>
            <w:r>
              <w:rPr>
                <w:rFonts w:hint="eastAsia" w:ascii="Times New Roman" w:hAnsi="Times New Roman" w:eastAsia="宋体" w:cs="Times New Roman"/>
                <w:color w:val="auto"/>
                <w:kern w:val="0"/>
                <w:sz w:val="21"/>
                <w:szCs w:val="21"/>
                <w:lang w:val="en-US" w:eastAsia="zh-CN" w:bidi="ar-SA"/>
              </w:rPr>
              <w:t>S</w:t>
            </w:r>
          </w:p>
        </w:tc>
        <w:tc>
          <w:tcPr>
            <w:tcW w:w="1352" w:type="pct"/>
            <w:tcBorders>
              <w:top w:val="single" w:color="000000" w:sz="4" w:space="0"/>
              <w:left w:val="single" w:color="000000"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b w:val="0"/>
                <w:color w:val="auto"/>
                <w:sz w:val="21"/>
                <w:szCs w:val="21"/>
                <w:lang w:val="en-US" w:eastAsia="zh-CN"/>
              </w:rPr>
              <w:t>5.4544</w:t>
            </w:r>
          </w:p>
        </w:tc>
        <w:tc>
          <w:tcPr>
            <w:tcW w:w="973" w:type="pct"/>
            <w:tcBorders>
              <w:top w:val="single" w:color="000000"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b w:val="0"/>
                <w:color w:val="auto"/>
                <w:sz w:val="21"/>
                <w:szCs w:val="21"/>
                <w:lang w:val="en-US" w:eastAsia="zh-CN"/>
              </w:rPr>
              <w:t>1.23%</w:t>
            </w:r>
          </w:p>
        </w:tc>
        <w:tc>
          <w:tcPr>
            <w:tcW w:w="1324" w:type="pct"/>
            <w:tcBorders>
              <w:top w:val="single" w:color="000000" w:sz="4" w:space="0"/>
              <w:left w:val="single" w:color="auto" w:sz="4" w:space="0"/>
              <w:bottom w:val="single" w:color="auto" w:sz="12"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无超标点</w:t>
            </w:r>
          </w:p>
        </w:tc>
      </w:tr>
    </w:tbl>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根据上述计算结果可知，本项目无组织排放的NH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S短期浓度贡献值未超过环境质量浓度限值，下风向落地浓度无超标点，主要影响区域在厂区内，故项目不需设置大气环境防护距离。</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w:t>
      </w:r>
      <w:r>
        <w:rPr>
          <w:rFonts w:hint="eastAsia" w:ascii="Times New Roman" w:hAnsi="Times New Roman" w:eastAsia="宋体" w:cs="Times New Roman"/>
          <w:b/>
          <w:color w:val="auto"/>
          <w:sz w:val="24"/>
          <w:szCs w:val="24"/>
        </w:rPr>
        <w:t>、卫生防护距离</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根据《制定地方大气污染物排放标准的技术方法》（</w:t>
      </w:r>
      <w:r>
        <w:rPr>
          <w:rFonts w:ascii="Times New Roman" w:hAnsi="Times New Roman" w:eastAsia="宋体" w:cs="Times New Roman"/>
          <w:color w:val="auto"/>
          <w:sz w:val="24"/>
          <w:szCs w:val="24"/>
        </w:rPr>
        <w:t>GB/T13201-91</w:t>
      </w:r>
      <w:r>
        <w:rPr>
          <w:rFonts w:hint="eastAsia" w:ascii="Times New Roman" w:hAnsi="Times New Roman" w:eastAsia="宋体" w:cs="Times New Roman"/>
          <w:color w:val="auto"/>
          <w:sz w:val="24"/>
          <w:szCs w:val="24"/>
        </w:rPr>
        <w:t>）的有关规定，本工程所在生产单元与居住区之间应设置卫生防护距离。</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）计算模式</w:t>
      </w:r>
    </w:p>
    <w:p>
      <w:pPr>
        <w:spacing w:line="440" w:lineRule="exact"/>
        <w:ind w:firstLine="480" w:firstLineChars="200"/>
        <w:rPr>
          <w:rFonts w:hint="eastAsia"/>
          <w:color w:val="auto"/>
        </w:rPr>
      </w:pPr>
      <w:r>
        <w:rPr>
          <w:rFonts w:hint="eastAsia" w:ascii="Times New Roman" w:hAnsi="Times New Roman" w:eastAsia="宋体" w:cs="Times New Roman"/>
          <w:color w:val="auto"/>
          <w:sz w:val="24"/>
          <w:szCs w:val="24"/>
        </w:rPr>
        <w:t>卫生防护距离的计算方法采用国家环保局发布的《制定地方大气污染物排放标准的技术方法》（GB/T13201-91）中制定的各类工业、企业卫生防护距离的公式，公式如下：</w:t>
      </w:r>
    </w:p>
    <w:p>
      <w:pPr>
        <w:ind w:firstLine="480" w:firstLineChars="200"/>
        <w:rPr>
          <w:color w:val="auto"/>
          <w:sz w:val="24"/>
        </w:rPr>
      </w:pPr>
      <w:r>
        <w:rPr>
          <w:rFonts w:hint="eastAsia"/>
          <w:color w:val="auto"/>
          <w:sz w:val="24"/>
        </w:rPr>
        <w:t>计算公式为：</w:t>
      </w:r>
      <w:r>
        <w:rPr>
          <w:rFonts w:hint="eastAsia"/>
          <w:color w:val="auto"/>
          <w:position w:val="-30"/>
          <w:sz w:val="24"/>
        </w:rPr>
        <w:object>
          <v:shape id="_x0000_i1030" o:spt="75" type="#_x0000_t75" style="height:33.6pt;width:144pt;" o:ole="t" fillcolor="#ACA899" filled="f" o:preferrelative="t" stroked="f" coordsize="21600,21600">
            <v:path/>
            <v:fill on="f" focussize="0,0"/>
            <v:stroke on="f" joinstyle="miter"/>
            <v:imagedata r:id="rId46" o:title=""/>
            <o:lock v:ext="edit" aspectratio="t"/>
            <w10:wrap type="none"/>
            <w10:anchorlock/>
          </v:shape>
          <o:OLEObject Type="Embed" ProgID="Equation.3" ShapeID="_x0000_i1030" DrawAspect="Content" ObjectID="_1468075730" r:id="rId45">
            <o:LockedField>false</o:LockedField>
          </o:OLEObject>
        </w:object>
      </w:r>
    </w:p>
    <w:p>
      <w:pPr>
        <w:ind w:firstLine="480" w:firstLineChars="200"/>
        <w:rPr>
          <w:color w:val="auto"/>
          <w:sz w:val="24"/>
        </w:rPr>
      </w:pPr>
      <w:r>
        <w:rPr>
          <w:rFonts w:hint="eastAsia"/>
          <w:color w:val="auto"/>
          <w:sz w:val="24"/>
        </w:rPr>
        <w:t>式中：</w:t>
      </w:r>
      <w:r>
        <w:rPr>
          <w:color w:val="auto"/>
          <w:sz w:val="24"/>
        </w:rPr>
        <w:t>C</w:t>
      </w:r>
      <w:r>
        <w:rPr>
          <w:color w:val="auto"/>
          <w:sz w:val="24"/>
          <w:vertAlign w:val="subscript"/>
        </w:rPr>
        <w:t>m</w:t>
      </w:r>
      <w:r>
        <w:rPr>
          <w:color w:val="auto"/>
          <w:sz w:val="24"/>
        </w:rPr>
        <w:t>——</w:t>
      </w:r>
      <w:r>
        <w:rPr>
          <w:rFonts w:hint="eastAsia"/>
          <w:color w:val="auto"/>
          <w:sz w:val="24"/>
        </w:rPr>
        <w:t>标准浓度限值，</w:t>
      </w:r>
      <w:r>
        <w:rPr>
          <w:color w:val="auto"/>
          <w:sz w:val="24"/>
        </w:rPr>
        <w:t>mg/m</w:t>
      </w:r>
      <w:r>
        <w:rPr>
          <w:color w:val="auto"/>
          <w:sz w:val="24"/>
          <w:vertAlign w:val="superscript"/>
        </w:rPr>
        <w:t>3</w:t>
      </w:r>
      <w:r>
        <w:rPr>
          <w:rFonts w:hint="eastAsia"/>
          <w:color w:val="auto"/>
          <w:sz w:val="24"/>
        </w:rPr>
        <w:t>；</w:t>
      </w:r>
    </w:p>
    <w:p>
      <w:pPr>
        <w:ind w:firstLine="480" w:firstLineChars="200"/>
        <w:rPr>
          <w:color w:val="auto"/>
          <w:sz w:val="24"/>
        </w:rPr>
      </w:pPr>
      <w:r>
        <w:rPr>
          <w:color w:val="auto"/>
          <w:sz w:val="24"/>
        </w:rPr>
        <w:t>L——</w:t>
      </w:r>
      <w:r>
        <w:rPr>
          <w:rFonts w:hint="eastAsia"/>
          <w:color w:val="auto"/>
          <w:sz w:val="24"/>
        </w:rPr>
        <w:t>工业企业所需卫生防护距离，</w:t>
      </w:r>
      <w:r>
        <w:rPr>
          <w:color w:val="auto"/>
          <w:sz w:val="24"/>
        </w:rPr>
        <w:t>m</w:t>
      </w:r>
      <w:r>
        <w:rPr>
          <w:rFonts w:hint="eastAsia"/>
          <w:color w:val="auto"/>
          <w:sz w:val="24"/>
        </w:rPr>
        <w:t>；</w:t>
      </w:r>
    </w:p>
    <w:p>
      <w:pPr>
        <w:ind w:firstLine="480" w:firstLineChars="200"/>
        <w:rPr>
          <w:color w:val="auto"/>
          <w:sz w:val="24"/>
        </w:rPr>
      </w:pPr>
      <w:r>
        <w:rPr>
          <w:color w:val="auto"/>
          <w:sz w:val="24"/>
        </w:rPr>
        <w:t>R——</w:t>
      </w:r>
      <w:r>
        <w:rPr>
          <w:rFonts w:hint="eastAsia"/>
          <w:color w:val="auto"/>
          <w:sz w:val="24"/>
        </w:rPr>
        <w:t>有害气体无组织排放源所在生产单元的等效半径，</w:t>
      </w:r>
      <w:r>
        <w:rPr>
          <w:color w:val="auto"/>
          <w:sz w:val="24"/>
        </w:rPr>
        <w:t>m</w:t>
      </w:r>
      <w:r>
        <w:rPr>
          <w:rFonts w:hint="eastAsia"/>
          <w:color w:val="auto"/>
          <w:sz w:val="24"/>
        </w:rPr>
        <w:t>。根据该生产单元占地面积</w:t>
      </w:r>
      <w:r>
        <w:rPr>
          <w:color w:val="auto"/>
          <w:sz w:val="24"/>
        </w:rPr>
        <w:t>S</w:t>
      </w:r>
      <w:r>
        <w:rPr>
          <w:rFonts w:hint="eastAsia"/>
          <w:color w:val="auto"/>
          <w:sz w:val="24"/>
        </w:rPr>
        <w:t>（</w:t>
      </w:r>
      <w:r>
        <w:rPr>
          <w:color w:val="auto"/>
          <w:sz w:val="24"/>
        </w:rPr>
        <w:t>m</w:t>
      </w:r>
      <w:r>
        <w:rPr>
          <w:color w:val="auto"/>
          <w:sz w:val="24"/>
          <w:vertAlign w:val="superscript"/>
        </w:rPr>
        <w:t>2</w:t>
      </w:r>
      <w:r>
        <w:rPr>
          <w:rFonts w:hint="eastAsia"/>
          <w:color w:val="auto"/>
          <w:sz w:val="24"/>
        </w:rPr>
        <w:t>）计算，</w:t>
      </w:r>
      <w:r>
        <w:rPr>
          <w:color w:val="auto"/>
          <w:sz w:val="24"/>
        </w:rPr>
        <w:t>r=</w:t>
      </w:r>
      <w:r>
        <w:rPr>
          <w:rFonts w:hint="eastAsia"/>
          <w:color w:val="auto"/>
          <w:sz w:val="24"/>
        </w:rPr>
        <w:t>（</w:t>
      </w:r>
      <w:r>
        <w:rPr>
          <w:color w:val="auto"/>
          <w:sz w:val="24"/>
        </w:rPr>
        <w:t>S/π</w:t>
      </w:r>
      <w:r>
        <w:rPr>
          <w:rFonts w:hint="eastAsia"/>
          <w:color w:val="auto"/>
          <w:sz w:val="24"/>
        </w:rPr>
        <w:t>）</w:t>
      </w:r>
      <w:r>
        <w:rPr>
          <w:color w:val="auto"/>
          <w:sz w:val="24"/>
          <w:vertAlign w:val="superscript"/>
        </w:rPr>
        <w:t>0.5</w:t>
      </w:r>
      <w:r>
        <w:rPr>
          <w:rFonts w:hint="eastAsia"/>
          <w:color w:val="auto"/>
          <w:sz w:val="24"/>
        </w:rPr>
        <w:t>；</w:t>
      </w:r>
    </w:p>
    <w:p>
      <w:pPr>
        <w:ind w:firstLine="480" w:firstLineChars="200"/>
        <w:rPr>
          <w:color w:val="auto"/>
          <w:sz w:val="24"/>
        </w:rPr>
      </w:pPr>
      <w:r>
        <w:rPr>
          <w:color w:val="auto"/>
          <w:sz w:val="24"/>
        </w:rPr>
        <w:t>Q</w:t>
      </w:r>
      <w:r>
        <w:rPr>
          <w:color w:val="auto"/>
          <w:sz w:val="24"/>
          <w:vertAlign w:val="subscript"/>
        </w:rPr>
        <w:t>c</w:t>
      </w:r>
      <w:r>
        <w:rPr>
          <w:color w:val="auto"/>
          <w:sz w:val="24"/>
        </w:rPr>
        <w:t>——</w:t>
      </w:r>
      <w:r>
        <w:rPr>
          <w:rFonts w:hint="eastAsia"/>
          <w:color w:val="auto"/>
          <w:sz w:val="24"/>
        </w:rPr>
        <w:t>工业企业有害气体无组织排放量可以达到的控制水平，</w:t>
      </w:r>
      <w:r>
        <w:rPr>
          <w:color w:val="auto"/>
          <w:sz w:val="24"/>
        </w:rPr>
        <w:t>kg/h</w:t>
      </w:r>
      <w:r>
        <w:rPr>
          <w:rFonts w:hint="eastAsia"/>
          <w:color w:val="auto"/>
          <w:sz w:val="24"/>
        </w:rPr>
        <w:t>。</w:t>
      </w:r>
    </w:p>
    <w:p>
      <w:pPr>
        <w:numPr>
          <w:ilvl w:val="0"/>
          <w:numId w:val="35"/>
        </w:numPr>
        <w:ind w:firstLine="480" w:firstLineChars="200"/>
        <w:rPr>
          <w:rFonts w:hint="eastAsia"/>
          <w:color w:val="auto"/>
          <w:sz w:val="24"/>
        </w:rPr>
      </w:pPr>
      <w:r>
        <w:rPr>
          <w:color w:val="auto"/>
          <w:sz w:val="24"/>
        </w:rPr>
        <w:t>B</w:t>
      </w:r>
      <w:r>
        <w:rPr>
          <w:rFonts w:hint="eastAsia"/>
          <w:color w:val="auto"/>
          <w:sz w:val="24"/>
        </w:rPr>
        <w:t>、</w:t>
      </w:r>
      <w:r>
        <w:rPr>
          <w:color w:val="auto"/>
          <w:sz w:val="24"/>
        </w:rPr>
        <w:t>C</w:t>
      </w:r>
      <w:r>
        <w:rPr>
          <w:rFonts w:hint="eastAsia"/>
          <w:color w:val="auto"/>
          <w:sz w:val="24"/>
        </w:rPr>
        <w:t>、</w:t>
      </w:r>
      <w:r>
        <w:rPr>
          <w:color w:val="auto"/>
          <w:sz w:val="24"/>
        </w:rPr>
        <w:t>D—</w:t>
      </w:r>
      <w:r>
        <w:rPr>
          <w:rFonts w:hint="eastAsia"/>
          <w:color w:val="auto"/>
          <w:sz w:val="24"/>
        </w:rPr>
        <w:t>卫生防护距离计算系数，根据工业企业所在地区近五年平均风速及工业企业大气污染源构成类别从《制定地方大气污染排放标准的技术方法》（</w:t>
      </w:r>
      <w:r>
        <w:rPr>
          <w:color w:val="auto"/>
          <w:sz w:val="24"/>
        </w:rPr>
        <w:t>GB/T3840-91</w:t>
      </w:r>
      <w:r>
        <w:rPr>
          <w:rFonts w:hint="eastAsia"/>
          <w:color w:val="auto"/>
          <w:sz w:val="24"/>
        </w:rPr>
        <w:t>）查取，详见下表。</w:t>
      </w:r>
    </w:p>
    <w:p>
      <w:pPr>
        <w:widowControl w:val="0"/>
        <w:numPr>
          <w:ilvl w:val="0"/>
          <w:numId w:val="33"/>
        </w:numPr>
        <w:spacing w:after="0" w:afterLines="0" w:line="360" w:lineRule="auto"/>
        <w:ind w:left="0" w:leftChars="0"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卫生防护距离计算系数</w:t>
      </w:r>
    </w:p>
    <w:tbl>
      <w:tblPr>
        <w:tblStyle w:val="88"/>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91"/>
        <w:gridCol w:w="1524"/>
        <w:gridCol w:w="734"/>
        <w:gridCol w:w="734"/>
        <w:gridCol w:w="587"/>
        <w:gridCol w:w="881"/>
        <w:gridCol w:w="917"/>
        <w:gridCol w:w="736"/>
        <w:gridCol w:w="661"/>
        <w:gridCol w:w="588"/>
        <w:gridCol w:w="5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791" w:type="dxa"/>
            <w:vMerge w:val="restart"/>
            <w:noWrap w:val="0"/>
            <w:vAlign w:val="center"/>
          </w:tcPr>
          <w:p>
            <w:pPr>
              <w:pStyle w:val="163"/>
              <w:keepNext w:val="0"/>
              <w:keepLines w:val="0"/>
              <w:suppressLineNumbers w:val="0"/>
              <w:spacing w:before="0" w:beforeAutospacing="0" w:after="0" w:afterAutospacing="0"/>
              <w:ind w:left="0" w:right="162"/>
              <w:jc w:val="center"/>
              <w:rPr>
                <w:rFonts w:hint="default"/>
                <w:color w:val="auto"/>
                <w:sz w:val="21"/>
              </w:rPr>
            </w:pPr>
            <w:r>
              <w:rPr>
                <w:rFonts w:hint="default"/>
                <w:color w:val="auto"/>
                <w:sz w:val="21"/>
              </w:rPr>
              <w:t>计算系数</w:t>
            </w:r>
          </w:p>
        </w:tc>
        <w:tc>
          <w:tcPr>
            <w:tcW w:w="1524" w:type="dxa"/>
            <w:vMerge w:val="restart"/>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工业企业所在地区近五年平均风速m/s</w:t>
            </w:r>
          </w:p>
        </w:tc>
        <w:tc>
          <w:tcPr>
            <w:tcW w:w="6425" w:type="dxa"/>
            <w:gridSpan w:val="9"/>
            <w:noWrap w:val="0"/>
            <w:vAlign w:val="center"/>
          </w:tcPr>
          <w:p>
            <w:pPr>
              <w:pStyle w:val="163"/>
              <w:keepNext w:val="0"/>
              <w:keepLines w:val="0"/>
              <w:suppressLineNumbers w:val="0"/>
              <w:spacing w:before="0" w:beforeAutospacing="0" w:after="0" w:afterAutospacing="0"/>
              <w:ind w:left="0" w:right="-20"/>
              <w:jc w:val="center"/>
              <w:rPr>
                <w:rFonts w:hint="default"/>
                <w:color w:val="auto"/>
                <w:sz w:val="21"/>
              </w:rPr>
            </w:pPr>
            <w:r>
              <w:rPr>
                <w:rFonts w:hint="default"/>
                <w:color w:val="auto"/>
                <w:sz w:val="21"/>
              </w:rPr>
              <w:t>卫生防护距离 L，m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rPr>
            </w:pPr>
          </w:p>
        </w:tc>
        <w:tc>
          <w:tcPr>
            <w:tcW w:w="1524" w:type="dxa"/>
            <w:vMerge w:val="continue"/>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p>
        </w:tc>
        <w:tc>
          <w:tcPr>
            <w:tcW w:w="2055" w:type="dxa"/>
            <w:gridSpan w:val="3"/>
            <w:noWrap w:val="0"/>
            <w:vAlign w:val="center"/>
          </w:tcPr>
          <w:p>
            <w:pPr>
              <w:pStyle w:val="163"/>
              <w:keepNext w:val="0"/>
              <w:keepLines w:val="0"/>
              <w:suppressLineNumbers w:val="0"/>
              <w:tabs>
                <w:tab w:val="left" w:pos="1200"/>
              </w:tabs>
              <w:spacing w:before="0" w:beforeAutospacing="0" w:after="0" w:afterAutospacing="0"/>
              <w:ind w:left="0" w:right="-15"/>
              <w:jc w:val="center"/>
              <w:rPr>
                <w:rFonts w:hint="default"/>
                <w:color w:val="auto"/>
                <w:sz w:val="21"/>
              </w:rPr>
            </w:pPr>
            <w:r>
              <w:rPr>
                <w:rFonts w:hint="default"/>
                <w:color w:val="auto"/>
                <w:sz w:val="21"/>
              </w:rPr>
              <w:t>L&lt;200</w:t>
            </w:r>
          </w:p>
        </w:tc>
        <w:tc>
          <w:tcPr>
            <w:tcW w:w="2534" w:type="dxa"/>
            <w:gridSpan w:val="3"/>
            <w:noWrap w:val="0"/>
            <w:vAlign w:val="center"/>
          </w:tcPr>
          <w:p>
            <w:pPr>
              <w:pStyle w:val="163"/>
              <w:keepNext w:val="0"/>
              <w:keepLines w:val="0"/>
              <w:suppressLineNumbers w:val="0"/>
              <w:spacing w:before="0" w:beforeAutospacing="0" w:after="0" w:afterAutospacing="0"/>
              <w:ind w:left="0" w:right="0"/>
              <w:jc w:val="center"/>
              <w:rPr>
                <w:rFonts w:hint="default"/>
                <w:color w:val="auto"/>
                <w:sz w:val="21"/>
              </w:rPr>
            </w:pPr>
            <w:r>
              <w:rPr>
                <w:rFonts w:hint="default"/>
                <w:color w:val="auto"/>
                <w:sz w:val="21"/>
              </w:rPr>
              <w:t>200&lt;L&lt;2000</w:t>
            </w:r>
          </w:p>
        </w:tc>
        <w:tc>
          <w:tcPr>
            <w:tcW w:w="1836" w:type="dxa"/>
            <w:gridSpan w:val="3"/>
            <w:noWrap w:val="0"/>
            <w:vAlign w:val="center"/>
          </w:tcPr>
          <w:p>
            <w:pPr>
              <w:pStyle w:val="163"/>
              <w:keepNext w:val="0"/>
              <w:keepLines w:val="0"/>
              <w:suppressLineNumbers w:val="0"/>
              <w:spacing w:before="0" w:beforeAutospacing="0" w:after="0" w:afterAutospacing="0"/>
              <w:ind w:left="0" w:right="0"/>
              <w:jc w:val="center"/>
              <w:rPr>
                <w:rFonts w:hint="default"/>
                <w:color w:val="auto"/>
                <w:sz w:val="21"/>
              </w:rPr>
            </w:pPr>
            <w:r>
              <w:rPr>
                <w:rFonts w:hint="default"/>
                <w:color w:val="auto"/>
                <w:sz w:val="21"/>
              </w:rPr>
              <w:t>L&gt;2000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rPr>
            </w:pPr>
          </w:p>
        </w:tc>
        <w:tc>
          <w:tcPr>
            <w:tcW w:w="1524" w:type="dxa"/>
            <w:vMerge w:val="continue"/>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p>
        </w:tc>
        <w:tc>
          <w:tcPr>
            <w:tcW w:w="6425" w:type="dxa"/>
            <w:gridSpan w:val="9"/>
            <w:noWrap w:val="0"/>
            <w:vAlign w:val="center"/>
          </w:tcPr>
          <w:p>
            <w:pPr>
              <w:pStyle w:val="163"/>
              <w:keepNext w:val="0"/>
              <w:keepLines w:val="0"/>
              <w:suppressLineNumbers w:val="0"/>
              <w:spacing w:before="0" w:beforeAutospacing="0" w:after="0" w:afterAutospacing="0"/>
              <w:ind w:left="0" w:right="0"/>
              <w:jc w:val="center"/>
              <w:rPr>
                <w:rFonts w:hint="default"/>
                <w:color w:val="auto"/>
                <w:sz w:val="21"/>
              </w:rPr>
            </w:pPr>
            <w:r>
              <w:rPr>
                <w:rFonts w:hint="default"/>
                <w:color w:val="auto"/>
                <w:sz w:val="21"/>
              </w:rPr>
              <w:t>工业企业大气污染源构成类别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rPr>
            </w:pPr>
          </w:p>
        </w:tc>
        <w:tc>
          <w:tcPr>
            <w:tcW w:w="1524" w:type="dxa"/>
            <w:vMerge w:val="continue"/>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p>
        </w:tc>
        <w:tc>
          <w:tcPr>
            <w:tcW w:w="734" w:type="dxa"/>
            <w:noWrap w:val="0"/>
            <w:vAlign w:val="center"/>
          </w:tcPr>
          <w:p>
            <w:pPr>
              <w:pStyle w:val="163"/>
              <w:keepNext w:val="0"/>
              <w:keepLines w:val="0"/>
              <w:suppressLineNumbers w:val="0"/>
              <w:spacing w:before="0" w:beforeAutospacing="0" w:after="0" w:afterAutospacing="0"/>
              <w:ind w:left="18" w:right="-13" w:rightChars="-6"/>
              <w:jc w:val="center"/>
              <w:rPr>
                <w:rFonts w:hint="default"/>
                <w:color w:val="auto"/>
                <w:sz w:val="21"/>
              </w:rPr>
            </w:pPr>
            <w:r>
              <w:rPr>
                <w:rFonts w:hint="default"/>
                <w:color w:val="auto"/>
                <w:kern w:val="2"/>
                <w:sz w:val="21"/>
                <w:szCs w:val="21"/>
              </w:rPr>
              <w:t>Ⅰ</w:t>
            </w:r>
          </w:p>
        </w:tc>
        <w:tc>
          <w:tcPr>
            <w:tcW w:w="73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kern w:val="2"/>
                <w:sz w:val="21"/>
                <w:szCs w:val="21"/>
              </w:rPr>
              <w:t>Ⅱ</w:t>
            </w:r>
          </w:p>
        </w:tc>
        <w:tc>
          <w:tcPr>
            <w:tcW w:w="58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Ⅲ</w:t>
            </w:r>
          </w:p>
        </w:tc>
        <w:tc>
          <w:tcPr>
            <w:tcW w:w="881"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Ⅰ</w:t>
            </w:r>
          </w:p>
        </w:tc>
        <w:tc>
          <w:tcPr>
            <w:tcW w:w="91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Ⅱ</w:t>
            </w:r>
          </w:p>
        </w:tc>
        <w:tc>
          <w:tcPr>
            <w:tcW w:w="736"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Ⅲ</w:t>
            </w:r>
          </w:p>
        </w:tc>
        <w:tc>
          <w:tcPr>
            <w:tcW w:w="661"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Ⅰ</w:t>
            </w:r>
          </w:p>
        </w:tc>
        <w:tc>
          <w:tcPr>
            <w:tcW w:w="588"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Ⅱ</w:t>
            </w:r>
          </w:p>
        </w:tc>
        <w:tc>
          <w:tcPr>
            <w:tcW w:w="58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restart"/>
            <w:noWrap w:val="0"/>
            <w:vAlign w:val="center"/>
          </w:tcPr>
          <w:p>
            <w:pPr>
              <w:pStyle w:val="163"/>
              <w:keepNext w:val="0"/>
              <w:keepLines w:val="0"/>
              <w:suppressLineNumbers w:val="0"/>
              <w:spacing w:before="0" w:beforeAutospacing="0" w:after="0" w:afterAutospacing="0"/>
              <w:ind w:left="21" w:right="0"/>
              <w:jc w:val="center"/>
              <w:rPr>
                <w:rFonts w:hint="default"/>
                <w:color w:val="auto"/>
                <w:sz w:val="21"/>
              </w:rPr>
            </w:pPr>
            <w:r>
              <w:rPr>
                <w:rFonts w:hint="default"/>
                <w:color w:val="auto"/>
                <w:w w:val="99"/>
                <w:sz w:val="21"/>
              </w:rPr>
              <w:t>A</w:t>
            </w:r>
          </w:p>
        </w:tc>
        <w:tc>
          <w:tcPr>
            <w:tcW w:w="152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&lt;2</w:t>
            </w:r>
          </w:p>
        </w:tc>
        <w:tc>
          <w:tcPr>
            <w:tcW w:w="73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400</w:t>
            </w:r>
          </w:p>
        </w:tc>
        <w:tc>
          <w:tcPr>
            <w:tcW w:w="73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400</w:t>
            </w:r>
          </w:p>
        </w:tc>
        <w:tc>
          <w:tcPr>
            <w:tcW w:w="58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400</w:t>
            </w:r>
          </w:p>
        </w:tc>
        <w:tc>
          <w:tcPr>
            <w:tcW w:w="881"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400</w:t>
            </w:r>
          </w:p>
        </w:tc>
        <w:tc>
          <w:tcPr>
            <w:tcW w:w="91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400</w:t>
            </w:r>
          </w:p>
        </w:tc>
        <w:tc>
          <w:tcPr>
            <w:tcW w:w="736"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400</w:t>
            </w:r>
          </w:p>
        </w:tc>
        <w:tc>
          <w:tcPr>
            <w:tcW w:w="661"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80</w:t>
            </w:r>
          </w:p>
        </w:tc>
        <w:tc>
          <w:tcPr>
            <w:tcW w:w="588"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80</w:t>
            </w:r>
          </w:p>
        </w:tc>
        <w:tc>
          <w:tcPr>
            <w:tcW w:w="58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rPr>
            </w:pPr>
          </w:p>
        </w:tc>
        <w:tc>
          <w:tcPr>
            <w:tcW w:w="152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2~4</w:t>
            </w:r>
          </w:p>
        </w:tc>
        <w:tc>
          <w:tcPr>
            <w:tcW w:w="73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700</w:t>
            </w:r>
          </w:p>
        </w:tc>
        <w:tc>
          <w:tcPr>
            <w:tcW w:w="73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470</w:t>
            </w:r>
          </w:p>
        </w:tc>
        <w:tc>
          <w:tcPr>
            <w:tcW w:w="58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350</w:t>
            </w:r>
          </w:p>
        </w:tc>
        <w:tc>
          <w:tcPr>
            <w:tcW w:w="881"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700</w:t>
            </w:r>
          </w:p>
        </w:tc>
        <w:tc>
          <w:tcPr>
            <w:tcW w:w="91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470</w:t>
            </w:r>
          </w:p>
        </w:tc>
        <w:tc>
          <w:tcPr>
            <w:tcW w:w="736"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350</w:t>
            </w:r>
          </w:p>
        </w:tc>
        <w:tc>
          <w:tcPr>
            <w:tcW w:w="661"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380</w:t>
            </w:r>
          </w:p>
        </w:tc>
        <w:tc>
          <w:tcPr>
            <w:tcW w:w="588"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250</w:t>
            </w:r>
          </w:p>
        </w:tc>
        <w:tc>
          <w:tcPr>
            <w:tcW w:w="58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190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rPr>
            </w:pPr>
          </w:p>
        </w:tc>
        <w:tc>
          <w:tcPr>
            <w:tcW w:w="152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&gt;4</w:t>
            </w:r>
          </w:p>
        </w:tc>
        <w:tc>
          <w:tcPr>
            <w:tcW w:w="73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530</w:t>
            </w:r>
          </w:p>
        </w:tc>
        <w:tc>
          <w:tcPr>
            <w:tcW w:w="73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350</w:t>
            </w:r>
          </w:p>
        </w:tc>
        <w:tc>
          <w:tcPr>
            <w:tcW w:w="58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260</w:t>
            </w:r>
          </w:p>
        </w:tc>
        <w:tc>
          <w:tcPr>
            <w:tcW w:w="881"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530</w:t>
            </w:r>
          </w:p>
        </w:tc>
        <w:tc>
          <w:tcPr>
            <w:tcW w:w="91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350</w:t>
            </w:r>
          </w:p>
        </w:tc>
        <w:tc>
          <w:tcPr>
            <w:tcW w:w="736"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260</w:t>
            </w:r>
          </w:p>
        </w:tc>
        <w:tc>
          <w:tcPr>
            <w:tcW w:w="661"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290</w:t>
            </w:r>
          </w:p>
        </w:tc>
        <w:tc>
          <w:tcPr>
            <w:tcW w:w="588"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190</w:t>
            </w:r>
          </w:p>
        </w:tc>
        <w:tc>
          <w:tcPr>
            <w:tcW w:w="587"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791" w:type="dxa"/>
            <w:vMerge w:val="restart"/>
            <w:noWrap w:val="0"/>
            <w:vAlign w:val="center"/>
          </w:tcPr>
          <w:p>
            <w:pPr>
              <w:pStyle w:val="163"/>
              <w:keepNext w:val="0"/>
              <w:keepLines w:val="0"/>
              <w:suppressLineNumbers w:val="0"/>
              <w:spacing w:before="0" w:beforeAutospacing="0" w:after="0" w:afterAutospacing="0"/>
              <w:ind w:left="24" w:right="0"/>
              <w:jc w:val="center"/>
              <w:rPr>
                <w:rFonts w:hint="default"/>
                <w:color w:val="auto"/>
                <w:sz w:val="21"/>
              </w:rPr>
            </w:pPr>
            <w:r>
              <w:rPr>
                <w:rFonts w:hint="default"/>
                <w:color w:val="auto"/>
                <w:w w:val="99"/>
                <w:sz w:val="21"/>
              </w:rPr>
              <w:t>B</w:t>
            </w:r>
          </w:p>
        </w:tc>
        <w:tc>
          <w:tcPr>
            <w:tcW w:w="152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&lt;2</w:t>
            </w:r>
          </w:p>
        </w:tc>
        <w:tc>
          <w:tcPr>
            <w:tcW w:w="2055" w:type="dxa"/>
            <w:gridSpan w:val="3"/>
            <w:noWrap w:val="0"/>
            <w:vAlign w:val="center"/>
          </w:tcPr>
          <w:p>
            <w:pPr>
              <w:pStyle w:val="163"/>
              <w:keepNext w:val="0"/>
              <w:keepLines w:val="0"/>
              <w:suppressLineNumbers w:val="0"/>
              <w:spacing w:before="0" w:beforeAutospacing="0" w:after="0" w:afterAutospacing="0"/>
              <w:ind w:left="0" w:right="-21" w:rightChars="-10"/>
              <w:jc w:val="center"/>
              <w:rPr>
                <w:rFonts w:hint="default"/>
                <w:color w:val="auto"/>
                <w:sz w:val="21"/>
              </w:rPr>
            </w:pPr>
            <w:r>
              <w:rPr>
                <w:rFonts w:hint="default"/>
                <w:color w:val="auto"/>
                <w:sz w:val="21"/>
              </w:rPr>
              <w:t>0.01</w:t>
            </w:r>
          </w:p>
        </w:tc>
        <w:tc>
          <w:tcPr>
            <w:tcW w:w="2534" w:type="dxa"/>
            <w:gridSpan w:val="3"/>
            <w:noWrap w:val="0"/>
            <w:vAlign w:val="center"/>
          </w:tcPr>
          <w:p>
            <w:pPr>
              <w:pStyle w:val="163"/>
              <w:keepNext w:val="0"/>
              <w:keepLines w:val="0"/>
              <w:suppressLineNumbers w:val="0"/>
              <w:spacing w:before="0" w:beforeAutospacing="0" w:after="0" w:afterAutospacing="0"/>
              <w:ind w:left="0" w:right="55" w:rightChars="26"/>
              <w:jc w:val="center"/>
              <w:rPr>
                <w:rFonts w:hint="default"/>
                <w:color w:val="auto"/>
                <w:sz w:val="21"/>
              </w:rPr>
            </w:pPr>
            <w:r>
              <w:rPr>
                <w:rFonts w:hint="default"/>
                <w:color w:val="auto"/>
                <w:sz w:val="21"/>
              </w:rPr>
              <w:t>0.015</w:t>
            </w:r>
          </w:p>
        </w:tc>
        <w:tc>
          <w:tcPr>
            <w:tcW w:w="1836" w:type="dxa"/>
            <w:gridSpan w:val="3"/>
            <w:noWrap w:val="0"/>
            <w:vAlign w:val="center"/>
          </w:tcPr>
          <w:p>
            <w:pPr>
              <w:pStyle w:val="163"/>
              <w:keepNext w:val="0"/>
              <w:keepLines w:val="0"/>
              <w:suppressLineNumbers w:val="0"/>
              <w:spacing w:before="0" w:beforeAutospacing="0" w:after="0" w:afterAutospacing="0"/>
              <w:ind w:left="0" w:right="6"/>
              <w:jc w:val="center"/>
              <w:rPr>
                <w:rFonts w:hint="default"/>
                <w:color w:val="auto"/>
                <w:sz w:val="21"/>
              </w:rPr>
            </w:pPr>
            <w:r>
              <w:rPr>
                <w:rFonts w:hint="default"/>
                <w:color w:val="auto"/>
                <w:sz w:val="21"/>
              </w:rPr>
              <w:t>0.015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rPr>
            </w:pPr>
          </w:p>
        </w:tc>
        <w:tc>
          <w:tcPr>
            <w:tcW w:w="152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&gt;2</w:t>
            </w:r>
          </w:p>
        </w:tc>
        <w:tc>
          <w:tcPr>
            <w:tcW w:w="2055" w:type="dxa"/>
            <w:gridSpan w:val="3"/>
            <w:noWrap w:val="0"/>
            <w:vAlign w:val="center"/>
          </w:tcPr>
          <w:p>
            <w:pPr>
              <w:pStyle w:val="163"/>
              <w:keepNext w:val="0"/>
              <w:keepLines w:val="0"/>
              <w:suppressLineNumbers w:val="0"/>
              <w:spacing w:before="0" w:beforeAutospacing="0" w:after="0" w:afterAutospacing="0"/>
              <w:ind w:left="0" w:right="-21" w:rightChars="-10"/>
              <w:jc w:val="center"/>
              <w:rPr>
                <w:rFonts w:hint="default"/>
                <w:color w:val="auto"/>
                <w:sz w:val="21"/>
              </w:rPr>
            </w:pPr>
            <w:r>
              <w:rPr>
                <w:rFonts w:hint="default"/>
                <w:color w:val="auto"/>
                <w:sz w:val="21"/>
              </w:rPr>
              <w:t>0.021</w:t>
            </w:r>
          </w:p>
        </w:tc>
        <w:tc>
          <w:tcPr>
            <w:tcW w:w="2534" w:type="dxa"/>
            <w:gridSpan w:val="3"/>
            <w:noWrap w:val="0"/>
            <w:vAlign w:val="center"/>
          </w:tcPr>
          <w:p>
            <w:pPr>
              <w:pStyle w:val="163"/>
              <w:keepNext w:val="0"/>
              <w:keepLines w:val="0"/>
              <w:suppressLineNumbers w:val="0"/>
              <w:spacing w:before="0" w:beforeAutospacing="0" w:after="0" w:afterAutospacing="0"/>
              <w:ind w:left="0" w:right="55" w:rightChars="26"/>
              <w:jc w:val="center"/>
              <w:rPr>
                <w:rFonts w:hint="default"/>
                <w:color w:val="auto"/>
                <w:sz w:val="21"/>
              </w:rPr>
            </w:pPr>
            <w:r>
              <w:rPr>
                <w:rFonts w:hint="default"/>
                <w:color w:val="auto"/>
                <w:sz w:val="21"/>
              </w:rPr>
              <w:t>0.036</w:t>
            </w:r>
          </w:p>
        </w:tc>
        <w:tc>
          <w:tcPr>
            <w:tcW w:w="1836" w:type="dxa"/>
            <w:gridSpan w:val="3"/>
            <w:noWrap w:val="0"/>
            <w:vAlign w:val="center"/>
          </w:tcPr>
          <w:p>
            <w:pPr>
              <w:pStyle w:val="163"/>
              <w:keepNext w:val="0"/>
              <w:keepLines w:val="0"/>
              <w:suppressLineNumbers w:val="0"/>
              <w:spacing w:before="0" w:beforeAutospacing="0" w:after="0" w:afterAutospacing="0"/>
              <w:ind w:left="0" w:right="6"/>
              <w:jc w:val="center"/>
              <w:rPr>
                <w:rFonts w:hint="default"/>
                <w:color w:val="auto"/>
                <w:sz w:val="21"/>
              </w:rPr>
            </w:pPr>
            <w:r>
              <w:rPr>
                <w:rFonts w:hint="default"/>
                <w:color w:val="auto"/>
                <w:sz w:val="21"/>
              </w:rPr>
              <w:t>0.036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restart"/>
            <w:noWrap w:val="0"/>
            <w:vAlign w:val="center"/>
          </w:tcPr>
          <w:p>
            <w:pPr>
              <w:pStyle w:val="163"/>
              <w:keepNext w:val="0"/>
              <w:keepLines w:val="0"/>
              <w:suppressLineNumbers w:val="0"/>
              <w:spacing w:before="0" w:beforeAutospacing="0" w:after="0" w:afterAutospacing="0"/>
              <w:ind w:left="24" w:right="0"/>
              <w:jc w:val="center"/>
              <w:rPr>
                <w:rFonts w:hint="default"/>
                <w:color w:val="auto"/>
                <w:sz w:val="21"/>
              </w:rPr>
            </w:pPr>
            <w:r>
              <w:rPr>
                <w:rFonts w:hint="default"/>
                <w:color w:val="auto"/>
                <w:w w:val="99"/>
                <w:sz w:val="21"/>
              </w:rPr>
              <w:t>C</w:t>
            </w:r>
          </w:p>
        </w:tc>
        <w:tc>
          <w:tcPr>
            <w:tcW w:w="152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&lt;2</w:t>
            </w:r>
          </w:p>
        </w:tc>
        <w:tc>
          <w:tcPr>
            <w:tcW w:w="2055" w:type="dxa"/>
            <w:gridSpan w:val="3"/>
            <w:noWrap w:val="0"/>
            <w:vAlign w:val="center"/>
          </w:tcPr>
          <w:p>
            <w:pPr>
              <w:pStyle w:val="163"/>
              <w:keepNext w:val="0"/>
              <w:keepLines w:val="0"/>
              <w:suppressLineNumbers w:val="0"/>
              <w:spacing w:before="0" w:beforeAutospacing="0" w:after="0" w:afterAutospacing="0"/>
              <w:ind w:left="0" w:right="-21" w:rightChars="-10"/>
              <w:jc w:val="center"/>
              <w:rPr>
                <w:rFonts w:hint="default"/>
                <w:color w:val="auto"/>
                <w:sz w:val="21"/>
              </w:rPr>
            </w:pPr>
            <w:r>
              <w:rPr>
                <w:rFonts w:hint="default"/>
                <w:color w:val="auto"/>
                <w:sz w:val="21"/>
              </w:rPr>
              <w:t>1.85</w:t>
            </w:r>
          </w:p>
        </w:tc>
        <w:tc>
          <w:tcPr>
            <w:tcW w:w="2534" w:type="dxa"/>
            <w:gridSpan w:val="3"/>
            <w:noWrap w:val="0"/>
            <w:vAlign w:val="center"/>
          </w:tcPr>
          <w:p>
            <w:pPr>
              <w:pStyle w:val="163"/>
              <w:keepNext w:val="0"/>
              <w:keepLines w:val="0"/>
              <w:suppressLineNumbers w:val="0"/>
              <w:spacing w:before="0" w:beforeAutospacing="0" w:after="0" w:afterAutospacing="0"/>
              <w:ind w:left="0" w:right="55" w:rightChars="26"/>
              <w:jc w:val="center"/>
              <w:rPr>
                <w:rFonts w:hint="default"/>
                <w:color w:val="auto"/>
                <w:sz w:val="21"/>
              </w:rPr>
            </w:pPr>
            <w:r>
              <w:rPr>
                <w:rFonts w:hint="default"/>
                <w:color w:val="auto"/>
                <w:sz w:val="21"/>
              </w:rPr>
              <w:t>1.79</w:t>
            </w:r>
          </w:p>
        </w:tc>
        <w:tc>
          <w:tcPr>
            <w:tcW w:w="1836" w:type="dxa"/>
            <w:gridSpan w:val="3"/>
            <w:noWrap w:val="0"/>
            <w:vAlign w:val="center"/>
          </w:tcPr>
          <w:p>
            <w:pPr>
              <w:pStyle w:val="163"/>
              <w:keepNext w:val="0"/>
              <w:keepLines w:val="0"/>
              <w:suppressLineNumbers w:val="0"/>
              <w:spacing w:before="0" w:beforeAutospacing="0" w:after="0" w:afterAutospacing="0"/>
              <w:ind w:left="0" w:right="6"/>
              <w:jc w:val="center"/>
              <w:rPr>
                <w:rFonts w:hint="default"/>
                <w:color w:val="auto"/>
                <w:sz w:val="21"/>
              </w:rPr>
            </w:pPr>
            <w:r>
              <w:rPr>
                <w:rFonts w:hint="default"/>
                <w:color w:val="auto"/>
                <w:sz w:val="21"/>
              </w:rPr>
              <w:t>1.79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rPr>
            </w:pPr>
          </w:p>
        </w:tc>
        <w:tc>
          <w:tcPr>
            <w:tcW w:w="152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&gt;2</w:t>
            </w:r>
          </w:p>
        </w:tc>
        <w:tc>
          <w:tcPr>
            <w:tcW w:w="2055" w:type="dxa"/>
            <w:gridSpan w:val="3"/>
            <w:noWrap w:val="0"/>
            <w:vAlign w:val="center"/>
          </w:tcPr>
          <w:p>
            <w:pPr>
              <w:pStyle w:val="163"/>
              <w:keepNext w:val="0"/>
              <w:keepLines w:val="0"/>
              <w:suppressLineNumbers w:val="0"/>
              <w:spacing w:before="0" w:beforeAutospacing="0" w:after="0" w:afterAutospacing="0"/>
              <w:ind w:left="0" w:right="-21" w:rightChars="-10"/>
              <w:jc w:val="center"/>
              <w:rPr>
                <w:rFonts w:hint="default"/>
                <w:color w:val="auto"/>
                <w:sz w:val="21"/>
              </w:rPr>
            </w:pPr>
            <w:r>
              <w:rPr>
                <w:rFonts w:hint="default"/>
                <w:color w:val="auto"/>
                <w:sz w:val="21"/>
              </w:rPr>
              <w:t>1.85</w:t>
            </w:r>
          </w:p>
        </w:tc>
        <w:tc>
          <w:tcPr>
            <w:tcW w:w="2534" w:type="dxa"/>
            <w:gridSpan w:val="3"/>
            <w:noWrap w:val="0"/>
            <w:vAlign w:val="center"/>
          </w:tcPr>
          <w:p>
            <w:pPr>
              <w:pStyle w:val="163"/>
              <w:keepNext w:val="0"/>
              <w:keepLines w:val="0"/>
              <w:suppressLineNumbers w:val="0"/>
              <w:spacing w:before="0" w:beforeAutospacing="0" w:after="0" w:afterAutospacing="0"/>
              <w:ind w:left="0" w:right="55" w:rightChars="26"/>
              <w:jc w:val="center"/>
              <w:rPr>
                <w:rFonts w:hint="default"/>
                <w:color w:val="auto"/>
                <w:sz w:val="21"/>
              </w:rPr>
            </w:pPr>
            <w:r>
              <w:rPr>
                <w:rFonts w:hint="default"/>
                <w:color w:val="auto"/>
                <w:sz w:val="21"/>
              </w:rPr>
              <w:t>1.77</w:t>
            </w:r>
          </w:p>
        </w:tc>
        <w:tc>
          <w:tcPr>
            <w:tcW w:w="1836" w:type="dxa"/>
            <w:gridSpan w:val="3"/>
            <w:noWrap w:val="0"/>
            <w:vAlign w:val="center"/>
          </w:tcPr>
          <w:p>
            <w:pPr>
              <w:pStyle w:val="163"/>
              <w:keepNext w:val="0"/>
              <w:keepLines w:val="0"/>
              <w:suppressLineNumbers w:val="0"/>
              <w:spacing w:before="0" w:beforeAutospacing="0" w:after="0" w:afterAutospacing="0"/>
              <w:ind w:left="0" w:right="6"/>
              <w:jc w:val="center"/>
              <w:rPr>
                <w:rFonts w:hint="default"/>
                <w:color w:val="auto"/>
                <w:sz w:val="21"/>
              </w:rPr>
            </w:pPr>
            <w:r>
              <w:rPr>
                <w:rFonts w:hint="default"/>
                <w:color w:val="auto"/>
                <w:sz w:val="21"/>
              </w:rPr>
              <w:t>1.77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restart"/>
            <w:noWrap w:val="0"/>
            <w:vAlign w:val="center"/>
          </w:tcPr>
          <w:p>
            <w:pPr>
              <w:pStyle w:val="163"/>
              <w:keepNext w:val="0"/>
              <w:keepLines w:val="0"/>
              <w:suppressLineNumbers w:val="0"/>
              <w:spacing w:before="0" w:beforeAutospacing="0" w:after="0" w:afterAutospacing="0"/>
              <w:ind w:left="21" w:right="0"/>
              <w:jc w:val="center"/>
              <w:rPr>
                <w:rFonts w:hint="default"/>
                <w:color w:val="auto"/>
                <w:sz w:val="21"/>
              </w:rPr>
            </w:pPr>
            <w:r>
              <w:rPr>
                <w:rFonts w:hint="default"/>
                <w:color w:val="auto"/>
                <w:w w:val="99"/>
                <w:sz w:val="21"/>
              </w:rPr>
              <w:t>D</w:t>
            </w:r>
          </w:p>
        </w:tc>
        <w:tc>
          <w:tcPr>
            <w:tcW w:w="152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&lt;2</w:t>
            </w:r>
          </w:p>
        </w:tc>
        <w:tc>
          <w:tcPr>
            <w:tcW w:w="2055" w:type="dxa"/>
            <w:gridSpan w:val="3"/>
            <w:noWrap w:val="0"/>
            <w:vAlign w:val="center"/>
          </w:tcPr>
          <w:p>
            <w:pPr>
              <w:pStyle w:val="163"/>
              <w:keepNext w:val="0"/>
              <w:keepLines w:val="0"/>
              <w:suppressLineNumbers w:val="0"/>
              <w:spacing w:before="0" w:beforeAutospacing="0" w:after="0" w:afterAutospacing="0"/>
              <w:ind w:left="0" w:right="-21" w:rightChars="-10"/>
              <w:jc w:val="center"/>
              <w:rPr>
                <w:rFonts w:hint="default"/>
                <w:color w:val="auto"/>
                <w:sz w:val="21"/>
              </w:rPr>
            </w:pPr>
            <w:r>
              <w:rPr>
                <w:rFonts w:hint="default"/>
                <w:color w:val="auto"/>
                <w:sz w:val="21"/>
              </w:rPr>
              <w:t>0.78</w:t>
            </w:r>
          </w:p>
        </w:tc>
        <w:tc>
          <w:tcPr>
            <w:tcW w:w="2534" w:type="dxa"/>
            <w:gridSpan w:val="3"/>
            <w:noWrap w:val="0"/>
            <w:vAlign w:val="center"/>
          </w:tcPr>
          <w:p>
            <w:pPr>
              <w:pStyle w:val="163"/>
              <w:keepNext w:val="0"/>
              <w:keepLines w:val="0"/>
              <w:suppressLineNumbers w:val="0"/>
              <w:spacing w:before="0" w:beforeAutospacing="0" w:after="0" w:afterAutospacing="0"/>
              <w:ind w:left="0" w:right="55" w:rightChars="26"/>
              <w:jc w:val="center"/>
              <w:rPr>
                <w:rFonts w:hint="default"/>
                <w:color w:val="auto"/>
                <w:sz w:val="21"/>
              </w:rPr>
            </w:pPr>
            <w:r>
              <w:rPr>
                <w:rFonts w:hint="default"/>
                <w:color w:val="auto"/>
                <w:sz w:val="21"/>
              </w:rPr>
              <w:t>0.78</w:t>
            </w:r>
          </w:p>
        </w:tc>
        <w:tc>
          <w:tcPr>
            <w:tcW w:w="1836" w:type="dxa"/>
            <w:gridSpan w:val="3"/>
            <w:noWrap w:val="0"/>
            <w:vAlign w:val="center"/>
          </w:tcPr>
          <w:p>
            <w:pPr>
              <w:pStyle w:val="163"/>
              <w:keepNext w:val="0"/>
              <w:keepLines w:val="0"/>
              <w:suppressLineNumbers w:val="0"/>
              <w:spacing w:before="0" w:beforeAutospacing="0" w:after="0" w:afterAutospacing="0"/>
              <w:ind w:left="0" w:right="6"/>
              <w:jc w:val="center"/>
              <w:rPr>
                <w:rFonts w:hint="default"/>
                <w:color w:val="auto"/>
                <w:sz w:val="21"/>
              </w:rPr>
            </w:pPr>
            <w:r>
              <w:rPr>
                <w:rFonts w:hint="default"/>
                <w:color w:val="auto"/>
                <w:sz w:val="21"/>
              </w:rPr>
              <w:t>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rPr>
            </w:pPr>
          </w:p>
        </w:tc>
        <w:tc>
          <w:tcPr>
            <w:tcW w:w="1524" w:type="dxa"/>
            <w:noWrap w:val="0"/>
            <w:vAlign w:val="center"/>
          </w:tcPr>
          <w:p>
            <w:pPr>
              <w:pStyle w:val="163"/>
              <w:keepNext w:val="0"/>
              <w:keepLines w:val="0"/>
              <w:suppressLineNumbers w:val="0"/>
              <w:spacing w:before="0" w:beforeAutospacing="0" w:after="0" w:afterAutospacing="0"/>
              <w:ind w:left="0" w:right="-16"/>
              <w:jc w:val="center"/>
              <w:rPr>
                <w:rFonts w:hint="default"/>
                <w:color w:val="auto"/>
                <w:sz w:val="21"/>
              </w:rPr>
            </w:pPr>
            <w:r>
              <w:rPr>
                <w:rFonts w:hint="default"/>
                <w:color w:val="auto"/>
                <w:sz w:val="21"/>
              </w:rPr>
              <w:t>&gt;2</w:t>
            </w:r>
          </w:p>
        </w:tc>
        <w:tc>
          <w:tcPr>
            <w:tcW w:w="2055" w:type="dxa"/>
            <w:gridSpan w:val="3"/>
            <w:noWrap w:val="0"/>
            <w:vAlign w:val="center"/>
          </w:tcPr>
          <w:p>
            <w:pPr>
              <w:pStyle w:val="163"/>
              <w:keepNext w:val="0"/>
              <w:keepLines w:val="0"/>
              <w:suppressLineNumbers w:val="0"/>
              <w:spacing w:before="0" w:beforeAutospacing="0" w:after="0" w:afterAutospacing="0"/>
              <w:ind w:left="0" w:right="-21" w:rightChars="-10"/>
              <w:jc w:val="center"/>
              <w:rPr>
                <w:rFonts w:hint="default"/>
                <w:color w:val="auto"/>
                <w:sz w:val="21"/>
              </w:rPr>
            </w:pPr>
            <w:r>
              <w:rPr>
                <w:rFonts w:hint="default"/>
                <w:color w:val="auto"/>
                <w:sz w:val="21"/>
              </w:rPr>
              <w:t>0.84</w:t>
            </w:r>
          </w:p>
        </w:tc>
        <w:tc>
          <w:tcPr>
            <w:tcW w:w="2534" w:type="dxa"/>
            <w:gridSpan w:val="3"/>
            <w:noWrap w:val="0"/>
            <w:vAlign w:val="center"/>
          </w:tcPr>
          <w:p>
            <w:pPr>
              <w:pStyle w:val="163"/>
              <w:keepNext w:val="0"/>
              <w:keepLines w:val="0"/>
              <w:suppressLineNumbers w:val="0"/>
              <w:spacing w:before="0" w:beforeAutospacing="0" w:after="0" w:afterAutospacing="0"/>
              <w:ind w:left="0" w:right="55" w:rightChars="26"/>
              <w:jc w:val="center"/>
              <w:rPr>
                <w:rFonts w:hint="default"/>
                <w:color w:val="auto"/>
                <w:sz w:val="21"/>
              </w:rPr>
            </w:pPr>
            <w:r>
              <w:rPr>
                <w:rFonts w:hint="default"/>
                <w:color w:val="auto"/>
                <w:sz w:val="21"/>
              </w:rPr>
              <w:t>0.84</w:t>
            </w:r>
          </w:p>
        </w:tc>
        <w:tc>
          <w:tcPr>
            <w:tcW w:w="1836" w:type="dxa"/>
            <w:gridSpan w:val="3"/>
            <w:noWrap w:val="0"/>
            <w:vAlign w:val="center"/>
          </w:tcPr>
          <w:p>
            <w:pPr>
              <w:pStyle w:val="163"/>
              <w:keepNext w:val="0"/>
              <w:keepLines w:val="0"/>
              <w:suppressLineNumbers w:val="0"/>
              <w:spacing w:before="0" w:beforeAutospacing="0" w:after="0" w:afterAutospacing="0"/>
              <w:ind w:left="0" w:right="6"/>
              <w:jc w:val="center"/>
              <w:rPr>
                <w:rFonts w:hint="default"/>
                <w:color w:val="auto"/>
                <w:sz w:val="21"/>
              </w:rPr>
            </w:pPr>
            <w:r>
              <w:rPr>
                <w:rFonts w:hint="default"/>
                <w:color w:val="auto"/>
                <w:sz w:val="21"/>
              </w:rPr>
              <w:t>0.76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33" w:hRule="atLeast"/>
          <w:jc w:val="center"/>
        </w:trPr>
        <w:tc>
          <w:tcPr>
            <w:tcW w:w="8740" w:type="dxa"/>
            <w:gridSpan w:val="11"/>
            <w:noWrap w:val="0"/>
            <w:vAlign w:val="top"/>
          </w:tcPr>
          <w:p>
            <w:pPr>
              <w:keepNext w:val="0"/>
              <w:keepLines w:val="0"/>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注:1）工业企业大气污染源构成分为三类</w:t>
            </w:r>
            <w:r>
              <w:rPr>
                <w:rFonts w:hint="eastAsia"/>
                <w:color w:val="auto"/>
                <w:sz w:val="21"/>
                <w:szCs w:val="21"/>
              </w:rPr>
              <w:t>：</w:t>
            </w:r>
          </w:p>
          <w:p>
            <w:pPr>
              <w:keepNext w:val="0"/>
              <w:keepLines w:val="0"/>
              <w:suppressLineNumbers w:val="0"/>
              <w:spacing w:before="0" w:beforeAutospacing="0" w:after="0" w:afterAutospacing="0" w:line="240" w:lineRule="auto"/>
              <w:ind w:left="0" w:right="0" w:firstLine="0" w:firstLineChars="0"/>
              <w:rPr>
                <w:rFonts w:hint="eastAsia"/>
                <w:color w:val="auto"/>
                <w:sz w:val="21"/>
                <w:szCs w:val="21"/>
              </w:rPr>
            </w:pPr>
            <w:r>
              <w:rPr>
                <w:rFonts w:hint="default"/>
                <w:color w:val="auto"/>
                <w:sz w:val="21"/>
                <w:szCs w:val="21"/>
              </w:rPr>
              <w:t>Ⅰ类：与无组织排放源共存的排放同种有害气体的排气筒的排放量，大于标准</w:t>
            </w:r>
            <w:r>
              <w:rPr>
                <w:rFonts w:hint="eastAsia"/>
                <w:color w:val="auto"/>
                <w:sz w:val="21"/>
                <w:szCs w:val="21"/>
              </w:rPr>
              <w:t>规</w:t>
            </w:r>
            <w:r>
              <w:rPr>
                <w:rFonts w:hint="default"/>
                <w:color w:val="auto"/>
                <w:sz w:val="21"/>
                <w:szCs w:val="21"/>
              </w:rPr>
              <w:t>定的允许排</w:t>
            </w:r>
            <w:r>
              <w:rPr>
                <w:rFonts w:hint="eastAsia"/>
                <w:color w:val="auto"/>
                <w:sz w:val="21"/>
                <w:szCs w:val="21"/>
              </w:rPr>
              <w:t>放量的三分之一者。</w:t>
            </w:r>
          </w:p>
          <w:p>
            <w:pPr>
              <w:keepNext w:val="0"/>
              <w:keepLines w:val="0"/>
              <w:suppressLineNumbers w:val="0"/>
              <w:spacing w:before="0" w:beforeAutospacing="0" w:after="0" w:afterAutospacing="0" w:line="240" w:lineRule="auto"/>
              <w:ind w:left="0" w:right="0" w:firstLine="0" w:firstLineChars="0"/>
              <w:rPr>
                <w:rFonts w:hint="eastAsia"/>
                <w:color w:val="auto"/>
                <w:sz w:val="21"/>
                <w:szCs w:val="21"/>
              </w:rPr>
            </w:pPr>
            <w:r>
              <w:rPr>
                <w:rFonts w:hint="default"/>
                <w:color w:val="auto"/>
                <w:sz w:val="21"/>
                <w:szCs w:val="21"/>
              </w:rPr>
              <w:t>Ⅱ</w:t>
            </w:r>
            <w:r>
              <w:rPr>
                <w:rFonts w:hint="eastAsia"/>
                <w:color w:val="auto"/>
                <w:sz w:val="21"/>
                <w:szCs w:val="21"/>
              </w:rPr>
              <w:t>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pPr>
              <w:keepNext w:val="0"/>
              <w:keepLines w:val="0"/>
              <w:suppressLineNumbers w:val="0"/>
              <w:spacing w:before="0" w:beforeAutospacing="0" w:after="0" w:afterAutospacing="0" w:line="240" w:lineRule="auto"/>
              <w:ind w:left="0" w:right="0" w:firstLine="0" w:firstLineChars="0"/>
              <w:rPr>
                <w:rFonts w:hint="eastAsia"/>
                <w:color w:val="auto"/>
                <w:szCs w:val="21"/>
              </w:rPr>
            </w:pPr>
            <w:r>
              <w:rPr>
                <w:rFonts w:hint="default"/>
                <w:color w:val="auto"/>
                <w:sz w:val="21"/>
                <w:szCs w:val="21"/>
              </w:rPr>
              <w:t>Ⅲ</w:t>
            </w:r>
            <w:r>
              <w:rPr>
                <w:rFonts w:hint="eastAsia"/>
                <w:color w:val="auto"/>
                <w:sz w:val="21"/>
                <w:szCs w:val="21"/>
              </w:rPr>
              <w:t>类：无排放同种有害物质的排气筒与无组织排放源共存，且无组织排放的有害物质的容许浓度是按慢性反应指标确定者。</w:t>
            </w:r>
          </w:p>
        </w:tc>
      </w:tr>
    </w:tbl>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（2）计算结果</w:t>
      </w:r>
    </w:p>
    <w:p>
      <w:pPr>
        <w:wordWrap w:val="0"/>
        <w:spacing w:line="440" w:lineRule="exact"/>
        <w:ind w:firstLine="480" w:firstLineChars="200"/>
        <w:rPr>
          <w:rFonts w:hint="default" w:ascii="Times New Roman" w:hAnsi="Times New Roman" w:eastAsia="宋体" w:cs="Times New Roman"/>
          <w:b/>
          <w:bCs/>
          <w:color w:val="auto"/>
        </w:rPr>
      </w:pPr>
      <w:r>
        <w:rPr>
          <w:rFonts w:hint="eastAsia" w:ascii="Times New Roman" w:hAnsi="Times New Roman" w:eastAsia="宋体" w:cs="Times New Roman"/>
          <w:color w:val="auto"/>
          <w:sz w:val="24"/>
          <w:szCs w:val="24"/>
        </w:rPr>
        <w:t>本项目在生产过程中的无组织排放废气主要是各生产单元无组织排放的恶臭，其污染因子主要是NH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S，评价标准执行《环境影响评价技术导则  大气环境》（HJ 2.2-2018）附录D表D.1其他污染物空气质量浓度参考限值。根据上述公式计算，可得出无组织排放恶臭的卫生防护距离，计算结果见表</w:t>
      </w:r>
      <w:r>
        <w:rPr>
          <w:rFonts w:ascii="Times New Roman" w:hAnsi="Times New Roman" w:eastAsia="宋体" w:cs="Times New Roman"/>
          <w:color w:val="auto"/>
          <w:sz w:val="24"/>
          <w:szCs w:val="24"/>
        </w:rPr>
        <w:t>5.2-</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w:t>
      </w:r>
    </w:p>
    <w:p>
      <w:pPr>
        <w:widowControl w:val="0"/>
        <w:numPr>
          <w:ilvl w:val="0"/>
          <w:numId w:val="33"/>
        </w:numPr>
        <w:spacing w:after="0" w:afterLines="0" w:line="360" w:lineRule="auto"/>
        <w:ind w:left="0" w:leftChars="0" w:firstLine="0" w:firstLineChars="0"/>
        <w:jc w:val="center"/>
        <w:rPr>
          <w:rFonts w:hint="eastAsia"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color w:val="auto"/>
          <w:kern w:val="2"/>
          <w:sz w:val="21"/>
          <w:szCs w:val="24"/>
          <w:lang w:val="en-US" w:eastAsia="zh-CN" w:bidi="ar-SA"/>
        </w:rPr>
        <w:t>项目卫生防护距离计算结果</w:t>
      </w:r>
    </w:p>
    <w:tbl>
      <w:tblPr>
        <w:tblStyle w:val="88"/>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Layout w:type="autofit"/>
        <w:tblCellMar>
          <w:top w:w="0" w:type="dxa"/>
          <w:left w:w="0" w:type="dxa"/>
          <w:bottom w:w="0" w:type="dxa"/>
          <w:right w:w="0" w:type="dxa"/>
        </w:tblCellMar>
      </w:tblPr>
      <w:tblGrid>
        <w:gridCol w:w="733"/>
        <w:gridCol w:w="579"/>
        <w:gridCol w:w="456"/>
        <w:gridCol w:w="457"/>
        <w:gridCol w:w="492"/>
        <w:gridCol w:w="495"/>
        <w:gridCol w:w="673"/>
        <w:gridCol w:w="1132"/>
        <w:gridCol w:w="1134"/>
        <w:gridCol w:w="728"/>
        <w:gridCol w:w="746"/>
        <w:gridCol w:w="67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65" w:hRule="atLeast"/>
          <w:jc w:val="center"/>
        </w:trPr>
        <w:tc>
          <w:tcPr>
            <w:tcW w:w="442"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污染源</w:t>
            </w:r>
          </w:p>
        </w:tc>
        <w:tc>
          <w:tcPr>
            <w:tcW w:w="349"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污染物</w:t>
            </w:r>
          </w:p>
        </w:tc>
        <w:tc>
          <w:tcPr>
            <w:tcW w:w="1144" w:type="pct"/>
            <w:gridSpan w:val="4"/>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计算系数</w:t>
            </w:r>
          </w:p>
        </w:tc>
        <w:tc>
          <w:tcPr>
            <w:tcW w:w="405"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五年平均风速m/s</w:t>
            </w:r>
          </w:p>
        </w:tc>
        <w:tc>
          <w:tcPr>
            <w:tcW w:w="681"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排放速率（kg/h）</w:t>
            </w:r>
          </w:p>
        </w:tc>
        <w:tc>
          <w:tcPr>
            <w:tcW w:w="681"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标准浓度Cm（mg/Nm</w:t>
            </w:r>
            <w:r>
              <w:rPr>
                <w:rFonts w:hint="default" w:ascii="Times New Roman" w:hAnsi="Times New Roman" w:eastAsia="宋体" w:cs="Times New Roman"/>
                <w:color w:val="auto"/>
                <w:kern w:val="0"/>
                <w:sz w:val="21"/>
                <w:szCs w:val="24"/>
                <w:vertAlign w:val="superscript"/>
                <w:lang w:val="en-US" w:eastAsia="zh-CN" w:bidi="ar-SA"/>
              </w:rPr>
              <w:t>3</w:t>
            </w:r>
            <w:r>
              <w:rPr>
                <w:rFonts w:hint="default" w:ascii="Times New Roman" w:hAnsi="Times New Roman" w:eastAsia="宋体" w:cs="Times New Roman"/>
                <w:color w:val="auto"/>
                <w:kern w:val="0"/>
                <w:sz w:val="21"/>
                <w:szCs w:val="24"/>
                <w:lang w:val="en-US" w:eastAsia="zh-CN" w:bidi="ar-SA"/>
              </w:rPr>
              <w:t>）</w:t>
            </w:r>
          </w:p>
        </w:tc>
        <w:tc>
          <w:tcPr>
            <w:tcW w:w="438"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生产单元面积(m</w:t>
            </w:r>
            <w:r>
              <w:rPr>
                <w:rFonts w:hint="default" w:ascii="Times New Roman" w:hAnsi="Times New Roman" w:eastAsia="宋体" w:cs="Times New Roman"/>
                <w:color w:val="auto"/>
                <w:kern w:val="0"/>
                <w:sz w:val="21"/>
                <w:szCs w:val="24"/>
                <w:vertAlign w:val="superscript"/>
                <w:lang w:val="en-US" w:eastAsia="zh-CN" w:bidi="ar-SA"/>
              </w:rPr>
              <w:t>2</w:t>
            </w:r>
            <w:r>
              <w:rPr>
                <w:rFonts w:hint="default" w:ascii="Times New Roman" w:hAnsi="Times New Roman" w:eastAsia="宋体" w:cs="Times New Roman"/>
                <w:color w:val="auto"/>
                <w:kern w:val="0"/>
                <w:sz w:val="21"/>
                <w:szCs w:val="24"/>
                <w:lang w:val="en-US" w:eastAsia="zh-CN" w:bidi="ar-SA"/>
              </w:rPr>
              <w:t>）</w:t>
            </w:r>
          </w:p>
        </w:tc>
        <w:tc>
          <w:tcPr>
            <w:tcW w:w="449"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卫生防护距离L（m）</w:t>
            </w:r>
          </w:p>
        </w:tc>
        <w:tc>
          <w:tcPr>
            <w:tcW w:w="407"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2"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卫生防护距离(m）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634" w:hRule="atLeast"/>
          <w:jc w:val="center"/>
        </w:trPr>
        <w:tc>
          <w:tcPr>
            <w:tcW w:w="442"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349"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A</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B</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C</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D</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681"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681"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43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449"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407"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442"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猪舍</w:t>
            </w: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NH</w:t>
            </w:r>
            <w:r>
              <w:rPr>
                <w:rFonts w:hint="default" w:ascii="Times New Roman" w:hAnsi="Times New Roman" w:eastAsia="宋体" w:cs="Times New Roman"/>
                <w:color w:val="auto"/>
                <w:kern w:val="0"/>
                <w:sz w:val="21"/>
                <w:szCs w:val="24"/>
                <w:vertAlign w:val="subscript"/>
                <w:lang w:val="en-US" w:eastAsia="zh-CN" w:bidi="ar-SA"/>
              </w:rPr>
              <w:t>3</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0.78</w:t>
            </w:r>
          </w:p>
        </w:tc>
        <w:tc>
          <w:tcPr>
            <w:tcW w:w="405"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1.6</w:t>
            </w: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0.03</w:t>
            </w: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0.2</w:t>
            </w:r>
          </w:p>
        </w:tc>
        <w:tc>
          <w:tcPr>
            <w:tcW w:w="438"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68577</w:t>
            </w: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0.766</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lang w:val="en-US" w:eastAsia="zh-CN" w:bidi="ar-SA"/>
              </w:rPr>
            </w:pPr>
            <w:r>
              <w:rPr>
                <w:rFonts w:hint="default" w:ascii="Times New Roman" w:hAnsi="Times New Roman" w:eastAsia="宋体" w:cs="Times New Roman"/>
                <w:b/>
                <w:bCs/>
                <w:color w:val="auto"/>
                <w:kern w:val="0"/>
                <w:sz w:val="21"/>
                <w:szCs w:val="24"/>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442"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H</w:t>
            </w:r>
            <w:r>
              <w:rPr>
                <w:rFonts w:hint="default" w:ascii="Times New Roman" w:hAnsi="Times New Roman" w:eastAsia="宋体" w:cs="Times New Roman"/>
                <w:color w:val="auto"/>
                <w:kern w:val="0"/>
                <w:sz w:val="21"/>
                <w:szCs w:val="24"/>
                <w:vertAlign w:val="subscript"/>
                <w:lang w:val="en-US" w:eastAsia="zh-CN" w:bidi="ar-SA"/>
              </w:rPr>
              <w:t>2</w:t>
            </w:r>
            <w:r>
              <w:rPr>
                <w:rFonts w:hint="default" w:ascii="Times New Roman" w:hAnsi="Times New Roman" w:eastAsia="宋体" w:cs="Times New Roman"/>
                <w:color w:val="auto"/>
                <w:kern w:val="0"/>
                <w:sz w:val="21"/>
                <w:szCs w:val="24"/>
                <w:lang w:val="en-US" w:eastAsia="zh-CN" w:bidi="ar-SA"/>
              </w:rPr>
              <w:t>S</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0.0007</w:t>
            </w: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0.01</w:t>
            </w:r>
          </w:p>
        </w:tc>
        <w:tc>
          <w:tcPr>
            <w:tcW w:w="43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0.288</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lang w:val="en-US" w:eastAsia="zh-CN" w:bidi="ar-SA"/>
              </w:rPr>
            </w:pPr>
            <w:r>
              <w:rPr>
                <w:rFonts w:hint="default" w:ascii="Times New Roman" w:hAnsi="Times New Roman" w:eastAsia="宋体" w:cs="Times New Roman"/>
                <w:b/>
                <w:bCs/>
                <w:color w:val="auto"/>
                <w:kern w:val="0"/>
                <w:sz w:val="21"/>
                <w:szCs w:val="24"/>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442"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污水处理站</w:t>
            </w: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NH</w:t>
            </w:r>
            <w:r>
              <w:rPr>
                <w:rFonts w:hint="default" w:ascii="Times New Roman" w:hAnsi="Times New Roman" w:eastAsia="宋体" w:cs="Times New Roman"/>
                <w:color w:val="auto"/>
                <w:kern w:val="0"/>
                <w:sz w:val="21"/>
                <w:szCs w:val="24"/>
                <w:vertAlign w:val="subscript"/>
                <w:lang w:val="en-US" w:eastAsia="zh-CN" w:bidi="ar-SA"/>
              </w:rPr>
              <w:t>3</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0.0013</w:t>
            </w: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0.2</w:t>
            </w:r>
          </w:p>
        </w:tc>
        <w:tc>
          <w:tcPr>
            <w:tcW w:w="438"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808.5</w:t>
            </w: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0.4509</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lang w:val="en-US" w:eastAsia="zh-CN" w:bidi="ar-SA"/>
              </w:rPr>
            </w:pPr>
            <w:r>
              <w:rPr>
                <w:rFonts w:hint="default" w:ascii="Times New Roman" w:hAnsi="Times New Roman" w:eastAsia="宋体" w:cs="Times New Roman"/>
                <w:b/>
                <w:bCs/>
                <w:color w:val="auto"/>
                <w:kern w:val="0"/>
                <w:sz w:val="21"/>
                <w:szCs w:val="24"/>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442"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H</w:t>
            </w:r>
            <w:r>
              <w:rPr>
                <w:rFonts w:hint="default" w:ascii="Times New Roman" w:hAnsi="Times New Roman" w:eastAsia="宋体" w:cs="Times New Roman"/>
                <w:color w:val="auto"/>
                <w:kern w:val="0"/>
                <w:sz w:val="21"/>
                <w:szCs w:val="24"/>
                <w:vertAlign w:val="subscript"/>
                <w:lang w:val="en-US" w:eastAsia="zh-CN" w:bidi="ar-SA"/>
              </w:rPr>
              <w:t>2</w:t>
            </w:r>
            <w:r>
              <w:rPr>
                <w:rFonts w:hint="default" w:ascii="Times New Roman" w:hAnsi="Times New Roman" w:eastAsia="宋体" w:cs="Times New Roman"/>
                <w:color w:val="auto"/>
                <w:kern w:val="0"/>
                <w:sz w:val="21"/>
                <w:szCs w:val="24"/>
                <w:lang w:val="en-US" w:eastAsia="zh-CN" w:bidi="ar-SA"/>
              </w:rPr>
              <w:t>S</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0.000035</w:t>
            </w: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0.01</w:t>
            </w:r>
          </w:p>
        </w:tc>
        <w:tc>
          <w:tcPr>
            <w:tcW w:w="43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0.3141</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lang w:val="en-US" w:eastAsia="zh-CN" w:bidi="ar-SA"/>
              </w:rPr>
            </w:pPr>
            <w:r>
              <w:rPr>
                <w:rFonts w:hint="default" w:ascii="Times New Roman" w:hAnsi="Times New Roman" w:eastAsia="宋体" w:cs="Times New Roman"/>
                <w:b/>
                <w:bCs/>
                <w:color w:val="auto"/>
                <w:kern w:val="0"/>
                <w:sz w:val="21"/>
                <w:szCs w:val="24"/>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442"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堆肥车间</w:t>
            </w: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NH</w:t>
            </w:r>
            <w:r>
              <w:rPr>
                <w:rFonts w:hint="default" w:ascii="Times New Roman" w:hAnsi="Times New Roman" w:eastAsia="宋体" w:cs="Times New Roman"/>
                <w:color w:val="auto"/>
                <w:kern w:val="0"/>
                <w:sz w:val="21"/>
                <w:szCs w:val="24"/>
                <w:vertAlign w:val="subscript"/>
                <w:lang w:val="en-US" w:eastAsia="zh-CN" w:bidi="ar-SA"/>
              </w:rPr>
              <w:t>3</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0.00048</w:t>
            </w: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0.2</w:t>
            </w:r>
          </w:p>
        </w:tc>
        <w:tc>
          <w:tcPr>
            <w:tcW w:w="438"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138</w:t>
            </w: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0.204</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lang w:val="en-US" w:eastAsia="zh-CN" w:bidi="ar-SA"/>
              </w:rPr>
            </w:pPr>
            <w:r>
              <w:rPr>
                <w:rFonts w:hint="default" w:ascii="Times New Roman" w:hAnsi="Times New Roman" w:eastAsia="宋体" w:cs="Times New Roman"/>
                <w:b/>
                <w:bCs/>
                <w:color w:val="auto"/>
                <w:kern w:val="0"/>
                <w:sz w:val="21"/>
                <w:szCs w:val="24"/>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70" w:hRule="atLeast"/>
          <w:jc w:val="center"/>
        </w:trPr>
        <w:tc>
          <w:tcPr>
            <w:tcW w:w="442"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H</w:t>
            </w:r>
            <w:r>
              <w:rPr>
                <w:rFonts w:hint="default" w:ascii="Times New Roman" w:hAnsi="Times New Roman" w:eastAsia="宋体" w:cs="Times New Roman"/>
                <w:color w:val="auto"/>
                <w:kern w:val="0"/>
                <w:sz w:val="21"/>
                <w:szCs w:val="24"/>
                <w:vertAlign w:val="subscript"/>
                <w:lang w:val="en-US" w:eastAsia="zh-CN" w:bidi="ar-SA"/>
              </w:rPr>
              <w:t>2</w:t>
            </w:r>
            <w:r>
              <w:rPr>
                <w:rFonts w:hint="default" w:ascii="Times New Roman" w:hAnsi="Times New Roman" w:eastAsia="宋体" w:cs="Times New Roman"/>
                <w:color w:val="auto"/>
                <w:kern w:val="0"/>
                <w:sz w:val="21"/>
                <w:szCs w:val="24"/>
                <w:lang w:val="en-US" w:eastAsia="zh-CN" w:bidi="ar-SA"/>
              </w:rPr>
              <w:t>S</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0.000048</w:t>
            </w:r>
          </w:p>
        </w:tc>
        <w:tc>
          <w:tcPr>
            <w:tcW w:w="681"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0.01</w:t>
            </w:r>
          </w:p>
        </w:tc>
        <w:tc>
          <w:tcPr>
            <w:tcW w:w="43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1.272</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lang w:val="en-US" w:eastAsia="zh-CN" w:bidi="ar-SA"/>
              </w:rPr>
            </w:pPr>
            <w:r>
              <w:rPr>
                <w:rFonts w:hint="default" w:ascii="Times New Roman" w:hAnsi="Times New Roman" w:eastAsia="宋体" w:cs="Times New Roman"/>
                <w:b/>
                <w:bCs/>
                <w:color w:val="auto"/>
                <w:kern w:val="0"/>
                <w:sz w:val="21"/>
                <w:szCs w:val="24"/>
                <w:lang w:val="en-US" w:eastAsia="zh-CN" w:bidi="ar-SA"/>
              </w:rPr>
              <w:t>50</w:t>
            </w:r>
          </w:p>
        </w:tc>
      </w:tr>
    </w:tbl>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3）与本项目卫生防护距离相关的规定</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根据《制定地方大气污染物排放标准的技术方法》</w:t>
      </w:r>
      <w:r>
        <w:rPr>
          <w:rFonts w:ascii="Times New Roman" w:hAnsi="Times New Roman" w:eastAsia="宋体" w:cs="Times New Roman"/>
          <w:color w:val="auto"/>
          <w:sz w:val="24"/>
          <w:szCs w:val="24"/>
        </w:rPr>
        <w:t>(GB/T13201-91)</w:t>
      </w:r>
      <w:r>
        <w:rPr>
          <w:rFonts w:hint="eastAsia" w:ascii="Times New Roman" w:hAnsi="Times New Roman" w:eastAsia="宋体" w:cs="Times New Roman"/>
          <w:color w:val="auto"/>
          <w:sz w:val="24"/>
          <w:szCs w:val="24"/>
        </w:rPr>
        <w:t>的有关规定：无组织排放多种有害气体的工业企业，按</w:t>
      </w:r>
      <w:r>
        <w:rPr>
          <w:rFonts w:ascii="Times New Roman" w:hAnsi="Times New Roman" w:eastAsia="宋体" w:cs="Times New Roman"/>
          <w:i/>
          <w:color w:val="auto"/>
          <w:sz w:val="24"/>
          <w:szCs w:val="24"/>
        </w:rPr>
        <w:t>Qc</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Cm</w:t>
      </w:r>
      <w:r>
        <w:rPr>
          <w:rFonts w:hint="eastAsia" w:ascii="Times New Roman" w:hAnsi="Times New Roman" w:eastAsia="宋体" w:cs="Times New Roman"/>
          <w:color w:val="auto"/>
          <w:sz w:val="24"/>
          <w:szCs w:val="24"/>
        </w:rPr>
        <w:t>的最大值计算其所需卫生防护距离；但当按两种或两种以上的有害气体的</w:t>
      </w:r>
      <w:r>
        <w:rPr>
          <w:rFonts w:ascii="Times New Roman" w:hAnsi="Times New Roman" w:eastAsia="宋体" w:cs="Times New Roman"/>
          <w:i/>
          <w:color w:val="auto"/>
          <w:sz w:val="24"/>
          <w:szCs w:val="24"/>
        </w:rPr>
        <w:t>Qc</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Cm</w:t>
      </w:r>
      <w:r>
        <w:rPr>
          <w:rFonts w:hint="eastAsia" w:ascii="Times New Roman" w:hAnsi="Times New Roman" w:eastAsia="宋体" w:cs="Times New Roman"/>
          <w:color w:val="auto"/>
          <w:sz w:val="24"/>
          <w:szCs w:val="24"/>
        </w:rPr>
        <w:t>值计算的卫生防护距离在同一级别时，该类工业企业的卫生防护距离级别应该高一级。卫生防护距离在100m以内时，级差为50m，超过100m，但小于1000m时，级差为100m，超过1000m以上时，级差为200m。因此，本项目根据计算得出的卫生防护距离为100m。</w:t>
      </w:r>
    </w:p>
    <w:p>
      <w:pPr>
        <w:spacing w:line="360" w:lineRule="auto"/>
        <w:ind w:firstLine="480"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color w:val="auto"/>
          <w:sz w:val="24"/>
          <w:szCs w:val="24"/>
        </w:rPr>
        <w:t>同时参考《畜禽养殖业污染防治技术规范》（HJ/T81-2001）、《村镇规划卫生标准》（</w:t>
      </w:r>
      <w:r>
        <w:rPr>
          <w:rFonts w:ascii="Times New Roman" w:hAnsi="Times New Roman" w:eastAsia="宋体" w:cs="Times New Roman"/>
          <w:color w:val="auto"/>
          <w:sz w:val="24"/>
          <w:szCs w:val="24"/>
        </w:rPr>
        <w:t>GB18055-2012</w:t>
      </w:r>
      <w:r>
        <w:rPr>
          <w:rFonts w:hint="eastAsia" w:ascii="Times New Roman" w:hAnsi="Times New Roman" w:eastAsia="宋体" w:cs="Times New Roman"/>
          <w:color w:val="auto"/>
          <w:sz w:val="24"/>
          <w:szCs w:val="24"/>
        </w:rPr>
        <w:t>）中关于养殖场卫生防护距离的规定：养猪场年存栏</w:t>
      </w:r>
      <w:r>
        <w:rPr>
          <w:rFonts w:ascii="Times New Roman" w:hAnsi="Times New Roman" w:eastAsia="宋体" w:cs="Times New Roman"/>
          <w:color w:val="auto"/>
          <w:sz w:val="24"/>
          <w:szCs w:val="24"/>
        </w:rPr>
        <w:t xml:space="preserve">500~10000 </w:t>
      </w:r>
      <w:r>
        <w:rPr>
          <w:rFonts w:hint="eastAsia" w:ascii="Times New Roman" w:hAnsi="Times New Roman" w:eastAsia="宋体" w:cs="Times New Roman"/>
          <w:color w:val="auto"/>
          <w:sz w:val="24"/>
          <w:szCs w:val="24"/>
        </w:rPr>
        <w:t>头，卫生防护距离</w:t>
      </w:r>
      <w:r>
        <w:rPr>
          <w:rFonts w:ascii="Times New Roman" w:hAnsi="Times New Roman" w:eastAsia="宋体" w:cs="Times New Roman"/>
          <w:color w:val="auto"/>
          <w:sz w:val="24"/>
          <w:szCs w:val="24"/>
        </w:rPr>
        <w:t>200~800m</w:t>
      </w:r>
      <w:r>
        <w:rPr>
          <w:rFonts w:hint="eastAsia" w:ascii="Times New Roman" w:hAnsi="Times New Roman" w:eastAsia="宋体" w:cs="Times New Roman"/>
          <w:color w:val="auto"/>
          <w:sz w:val="24"/>
          <w:szCs w:val="24"/>
        </w:rPr>
        <w:t>，养猪场年存栏</w:t>
      </w:r>
      <w:r>
        <w:rPr>
          <w:rFonts w:ascii="Times New Roman" w:hAnsi="Times New Roman" w:eastAsia="宋体" w:cs="Times New Roman"/>
          <w:color w:val="auto"/>
          <w:sz w:val="24"/>
          <w:szCs w:val="24"/>
        </w:rPr>
        <w:t xml:space="preserve">10000~250000 </w:t>
      </w:r>
      <w:r>
        <w:rPr>
          <w:rFonts w:hint="eastAsia" w:ascii="Times New Roman" w:hAnsi="Times New Roman" w:eastAsia="宋体" w:cs="Times New Roman"/>
          <w:color w:val="auto"/>
          <w:sz w:val="24"/>
          <w:szCs w:val="24"/>
        </w:rPr>
        <w:t>头，卫生防护距离</w:t>
      </w:r>
      <w:r>
        <w:rPr>
          <w:rFonts w:ascii="Times New Roman" w:hAnsi="Times New Roman" w:eastAsia="宋体" w:cs="Times New Roman"/>
          <w:color w:val="auto"/>
          <w:sz w:val="24"/>
          <w:szCs w:val="24"/>
        </w:rPr>
        <w:t>800~1000m</w:t>
      </w:r>
      <w:r>
        <w:rPr>
          <w:rFonts w:hint="eastAsia" w:ascii="Times New Roman" w:hAnsi="Times New Roman" w:eastAsia="宋体" w:cs="Times New Roman"/>
          <w:color w:val="auto"/>
          <w:sz w:val="24"/>
          <w:szCs w:val="24"/>
        </w:rPr>
        <w:t>；</w:t>
      </w:r>
      <w:r>
        <w:rPr>
          <w:rFonts w:hint="eastAsia" w:ascii="Times New Roman" w:hAnsi="Times New Roman" w:eastAsia="宋体" w:cs="Times New Roman"/>
          <w:b/>
          <w:bCs/>
          <w:color w:val="auto"/>
          <w:sz w:val="24"/>
          <w:szCs w:val="24"/>
        </w:rPr>
        <w:t>复杂地形条件下的住宅区与产生有害因素场所之间卫生防护距离，应根据环境影响报告，由建设单位主管部门与项目所在省、市、自治区的卫生、环境卫生部门共同确定。根据建设单位提供资料，本项目所在区域</w:t>
      </w:r>
      <w:r>
        <w:rPr>
          <w:rFonts w:hint="eastAsia" w:ascii="Times New Roman" w:hAnsi="Times New Roman" w:eastAsia="宋体" w:cs="Times New Roman"/>
          <w:b/>
          <w:bCs/>
          <w:color w:val="auto"/>
          <w:sz w:val="24"/>
          <w:szCs w:val="24"/>
          <w:lang w:eastAsia="zh-CN"/>
        </w:rPr>
        <w:t>位于山顶，四周均为山坡，</w:t>
      </w:r>
      <w:r>
        <w:rPr>
          <w:rFonts w:hint="eastAsia" w:ascii="Times New Roman" w:hAnsi="Times New Roman" w:eastAsia="宋体" w:cs="Times New Roman"/>
          <w:b/>
          <w:bCs/>
          <w:color w:val="auto"/>
          <w:sz w:val="24"/>
          <w:szCs w:val="24"/>
        </w:rPr>
        <w:t>猪场厂区最高高程为</w:t>
      </w:r>
      <w:r>
        <w:rPr>
          <w:rFonts w:hint="eastAsia" w:ascii="Times New Roman" w:hAnsi="Times New Roman" w:eastAsia="宋体" w:cs="Times New Roman"/>
          <w:b/>
          <w:bCs/>
          <w:color w:val="auto"/>
          <w:sz w:val="24"/>
          <w:szCs w:val="24"/>
          <w:lang w:val="en-US" w:eastAsia="zh-CN"/>
        </w:rPr>
        <w:t>945</w:t>
      </w:r>
      <w:r>
        <w:rPr>
          <w:rFonts w:hint="eastAsia" w:ascii="Times New Roman" w:hAnsi="Times New Roman" w:eastAsia="宋体" w:cs="Times New Roman"/>
          <w:b/>
          <w:bCs/>
          <w:color w:val="auto"/>
          <w:sz w:val="24"/>
          <w:szCs w:val="24"/>
        </w:rPr>
        <w:t>m，最低高程</w:t>
      </w:r>
      <w:r>
        <w:rPr>
          <w:rFonts w:hint="eastAsia" w:ascii="Times New Roman" w:hAnsi="Times New Roman" w:eastAsia="宋体" w:cs="Times New Roman"/>
          <w:b/>
          <w:bCs/>
          <w:color w:val="auto"/>
          <w:sz w:val="24"/>
          <w:szCs w:val="24"/>
          <w:lang w:val="en-US" w:eastAsia="zh-CN"/>
        </w:rPr>
        <w:t>781</w:t>
      </w:r>
      <w:r>
        <w:rPr>
          <w:rFonts w:hint="eastAsia" w:ascii="Times New Roman" w:hAnsi="Times New Roman" w:eastAsia="宋体" w:cs="Times New Roman"/>
          <w:b/>
          <w:bCs/>
          <w:color w:val="auto"/>
          <w:sz w:val="24"/>
          <w:szCs w:val="24"/>
        </w:rPr>
        <w:t>m，</w:t>
      </w:r>
      <w:r>
        <w:rPr>
          <w:rFonts w:hint="eastAsia" w:ascii="Times New Roman" w:hAnsi="Times New Roman" w:eastAsia="宋体" w:cs="Times New Roman"/>
          <w:b/>
          <w:bCs/>
          <w:color w:val="auto"/>
          <w:sz w:val="24"/>
          <w:szCs w:val="24"/>
          <w:lang w:eastAsia="zh-CN"/>
        </w:rPr>
        <w:t>高差较大，且项目周边敏感点不在猪场所在的同一水平面上，敏感点均在山底下，</w:t>
      </w:r>
      <w:r>
        <w:rPr>
          <w:rFonts w:hint="eastAsia" w:ascii="Times New Roman" w:hAnsi="Times New Roman" w:eastAsia="宋体" w:cs="Times New Roman"/>
          <w:b/>
          <w:bCs/>
          <w:color w:val="auto"/>
          <w:sz w:val="24"/>
          <w:szCs w:val="24"/>
        </w:rPr>
        <w:t>属于复杂地形。因此结合当地地形、气象条件及本次计算结果，最终确定本项目的卫生防护距离为200m（以猪舍、污水处理站、</w:t>
      </w:r>
      <w:r>
        <w:rPr>
          <w:rFonts w:hint="eastAsia" w:ascii="Times New Roman" w:hAnsi="Times New Roman" w:eastAsia="宋体" w:cs="Times New Roman"/>
          <w:b/>
          <w:bCs/>
          <w:color w:val="auto"/>
          <w:sz w:val="24"/>
          <w:szCs w:val="24"/>
          <w:lang w:eastAsia="zh-CN"/>
        </w:rPr>
        <w:t>堆肥车间</w:t>
      </w:r>
      <w:r>
        <w:rPr>
          <w:rFonts w:hint="eastAsia" w:ascii="Times New Roman" w:hAnsi="Times New Roman" w:eastAsia="宋体" w:cs="Times New Roman"/>
          <w:b/>
          <w:bCs/>
          <w:color w:val="auto"/>
          <w:sz w:val="24"/>
          <w:szCs w:val="24"/>
        </w:rPr>
        <w:t>边界起外扩200m包络线）。</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根据公式计算结果，本次评价确定本项目最终设置的卫生防护距离为</w:t>
      </w:r>
      <w:r>
        <w:rPr>
          <w:rFonts w:ascii="Times New Roman" w:hAnsi="Times New Roman" w:eastAsia="宋体" w:cs="Times New Roman"/>
          <w:color w:val="auto"/>
          <w:sz w:val="24"/>
          <w:szCs w:val="24"/>
        </w:rPr>
        <w:t>200m</w:t>
      </w:r>
      <w:r>
        <w:rPr>
          <w:rFonts w:hint="eastAsia" w:ascii="Times New Roman" w:hAnsi="Times New Roman" w:eastAsia="宋体" w:cs="Times New Roman"/>
          <w:color w:val="auto"/>
          <w:sz w:val="24"/>
          <w:szCs w:val="24"/>
        </w:rPr>
        <w:t>，该距离以猪舍、污水处理站、</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边界为起点向外计算的包络线范围。同时本项目猪舍、污水处理站、</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有绿化带及围墙进行隔离，因此本项目以猪舍、污水处理站、</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边界为起点，在上风向、下风向以及侧风向均设置</w:t>
      </w:r>
      <w:r>
        <w:rPr>
          <w:rFonts w:ascii="Times New Roman" w:hAnsi="Times New Roman" w:eastAsia="宋体" w:cs="Times New Roman"/>
          <w:color w:val="auto"/>
          <w:sz w:val="24"/>
          <w:szCs w:val="24"/>
        </w:rPr>
        <w:t>200m</w:t>
      </w:r>
      <w:r>
        <w:rPr>
          <w:rFonts w:hint="eastAsia" w:ascii="Times New Roman" w:hAnsi="Times New Roman" w:eastAsia="宋体" w:cs="Times New Roman"/>
          <w:color w:val="auto"/>
          <w:sz w:val="24"/>
          <w:szCs w:val="24"/>
        </w:rPr>
        <w:t>的卫生防护距离。</w:t>
      </w:r>
    </w:p>
    <w:p>
      <w:pPr>
        <w:spacing w:line="360" w:lineRule="auto"/>
        <w:ind w:firstLine="482" w:firstLineChars="200"/>
        <w:rPr>
          <w:color w:val="auto"/>
        </w:rPr>
      </w:pPr>
      <w:r>
        <w:rPr>
          <w:rFonts w:hint="eastAsia" w:ascii="Times New Roman" w:hAnsi="Times New Roman" w:eastAsia="宋体" w:cs="Times New Roman"/>
          <w:b/>
          <w:bCs/>
          <w:color w:val="auto"/>
          <w:sz w:val="24"/>
          <w:szCs w:val="24"/>
        </w:rPr>
        <w:t>卫生防护距离的执行：该距离内不得建设为“城市和城镇居民区，包括文教科研区、</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医疗区、商业区、工业区、游览区等人口集中区”等禁建设施。</w:t>
      </w:r>
      <w:r>
        <w:rPr>
          <w:rFonts w:hint="eastAsia" w:ascii="Times New Roman" w:hAnsi="Times New Roman" w:eastAsia="宋体" w:cs="Times New Roman"/>
          <w:color w:val="auto"/>
          <w:sz w:val="24"/>
          <w:szCs w:val="24"/>
        </w:rPr>
        <w:t>根据现场踏勘调查，本项目卫生防护距离</w:t>
      </w:r>
      <w:r>
        <w:rPr>
          <w:rFonts w:ascii="Times New Roman" w:hAnsi="Times New Roman" w:eastAsia="宋体" w:cs="Times New Roman"/>
          <w:color w:val="auto"/>
          <w:sz w:val="24"/>
          <w:szCs w:val="24"/>
        </w:rPr>
        <w:t>200m</w:t>
      </w:r>
      <w:r>
        <w:rPr>
          <w:rFonts w:hint="eastAsia" w:ascii="Times New Roman" w:hAnsi="Times New Roman" w:eastAsia="宋体" w:cs="Times New Roman"/>
          <w:color w:val="auto"/>
          <w:sz w:val="24"/>
          <w:szCs w:val="24"/>
        </w:rPr>
        <w:t>范围内有</w:t>
      </w:r>
      <w:r>
        <w:rPr>
          <w:rFonts w:hint="eastAsia" w:ascii="Times New Roman" w:hAnsi="Times New Roman" w:eastAsia="宋体" w:cs="Times New Roman"/>
          <w:color w:val="auto"/>
          <w:sz w:val="24"/>
          <w:szCs w:val="24"/>
          <w:lang w:eastAsia="zh-CN"/>
        </w:rPr>
        <w:t>无敏感点居住</w:t>
      </w:r>
      <w:r>
        <w:rPr>
          <w:rFonts w:hint="eastAsia" w:ascii="Times New Roman" w:hAnsi="Times New Roman" w:eastAsia="宋体" w:cs="Times New Roman"/>
          <w:color w:val="auto"/>
          <w:sz w:val="24"/>
          <w:szCs w:val="24"/>
        </w:rPr>
        <w:t>；项目建成后，卫生防护距离范围内无学校、居民、医疗卫生、行政办公等环境敏感目标，</w:t>
      </w:r>
      <w:r>
        <w:rPr>
          <w:rFonts w:hint="eastAsia" w:ascii="Times New Roman" w:hAnsi="Times New Roman" w:eastAsia="宋体" w:cs="Times New Roman"/>
          <w:b/>
          <w:bCs/>
          <w:color w:val="auto"/>
          <w:sz w:val="24"/>
          <w:szCs w:val="24"/>
        </w:rPr>
        <w:t>本项目无环保搬迁。</w:t>
      </w:r>
      <w:r>
        <w:rPr>
          <w:rFonts w:hint="eastAsia" w:ascii="Times New Roman" w:hAnsi="Times New Roman" w:eastAsia="宋体" w:cs="Times New Roman"/>
          <w:color w:val="auto"/>
          <w:sz w:val="24"/>
          <w:szCs w:val="24"/>
        </w:rPr>
        <w:t>且环评要求：在卫生防护距离范围内</w:t>
      </w:r>
      <w:r>
        <w:rPr>
          <w:rFonts w:hint="eastAsia" w:ascii="Times New Roman" w:hAnsi="Times New Roman" w:eastAsia="宋体" w:cs="Times New Roman"/>
          <w:b/>
          <w:bCs/>
          <w:color w:val="auto"/>
          <w:sz w:val="24"/>
          <w:szCs w:val="24"/>
          <w:u w:val="single"/>
        </w:rPr>
        <w:t>不得规划新建集中居民区、医院、学校及食品医药加工企业等易受本项目恶臭影响的建设项目。</w:t>
      </w:r>
    </w:p>
    <w:p>
      <w:pPr>
        <w:pStyle w:val="8"/>
        <w:bidi w:val="0"/>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沼气环境影响分析</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根据《畜禽养殖业污染治理工程技术规范》（</w:t>
      </w:r>
      <w:r>
        <w:rPr>
          <w:rFonts w:ascii="Times New Roman" w:hAnsi="Times New Roman" w:eastAsia="宋体" w:cs="Times New Roman"/>
          <w:color w:val="auto"/>
          <w:sz w:val="24"/>
          <w:szCs w:val="24"/>
        </w:rPr>
        <w:t>HJ497-2009</w:t>
      </w:r>
      <w:r>
        <w:rPr>
          <w:rFonts w:hint="eastAsia" w:ascii="Times New Roman" w:hAnsi="Times New Roman" w:eastAsia="宋体" w:cs="Times New Roman"/>
          <w:color w:val="auto"/>
          <w:sz w:val="24"/>
          <w:szCs w:val="24"/>
        </w:rPr>
        <w:t>）中“厌氧处理产生的沼气须完全利用，不得直接向环境排放。经净化处理后通过输配气系统可用于居民生活用气、锅炉燃烧、沼气发电等”的规定。本项目沼气将用于养殖场内的燃烧使用，项目拟建双膜储气袋容积</w:t>
      </w:r>
      <w:r>
        <w:rPr>
          <w:rFonts w:hint="eastAsia" w:ascii="Times New Roman" w:hAnsi="Times New Roman" w:eastAsia="宋体" w:cs="Times New Roman"/>
          <w:color w:val="auto"/>
          <w:sz w:val="24"/>
          <w:szCs w:val="24"/>
          <w:lang w:val="en-US" w:eastAsia="zh-CN"/>
        </w:rPr>
        <w:t>150</w:t>
      </w:r>
      <w:r>
        <w:rPr>
          <w:rFonts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。经净化后的沼气属于清洁能源，燃烧后的产物为二氧化碳和水，不会污染环境。</w:t>
      </w:r>
    </w:p>
    <w:p>
      <w:pPr>
        <w:pStyle w:val="8"/>
        <w:bidi w:val="0"/>
        <w:spacing w:line="360" w:lineRule="auto"/>
        <w:rPr>
          <w:rFonts w:hint="eastAsia" w:ascii="Times New Roman" w:hAnsi="Times New Roman" w:eastAsia="宋体" w:cs="Times New Roman"/>
          <w:color w:val="auto"/>
          <w:sz w:val="24"/>
          <w:szCs w:val="24"/>
          <w:lang w:val="en-US" w:eastAsia="zh-CN"/>
        </w:rPr>
      </w:pPr>
      <w:bookmarkStart w:id="235" w:name="5.2.1.6油烟废气"/>
      <w:bookmarkEnd w:id="235"/>
      <w:r>
        <w:rPr>
          <w:rFonts w:hint="eastAsia" w:ascii="Times New Roman" w:hAnsi="Times New Roman" w:eastAsia="宋体" w:cs="Times New Roman"/>
          <w:color w:val="auto"/>
          <w:sz w:val="24"/>
          <w:szCs w:val="24"/>
          <w:lang w:val="en-US" w:eastAsia="zh-CN"/>
        </w:rPr>
        <w:t>油烟废气环境影响分析</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本项目食堂产生的餐饮油烟经油烟罩收集与处理后，再经油烟净化设备处理，油烟的净化率可达</w:t>
      </w:r>
      <w:r>
        <w:rPr>
          <w:rFonts w:ascii="Times New Roman" w:hAnsi="Times New Roman" w:eastAsia="宋体" w:cs="Times New Roman"/>
          <w:color w:val="auto"/>
          <w:sz w:val="24"/>
          <w:szCs w:val="24"/>
        </w:rPr>
        <w:t>75%</w:t>
      </w:r>
      <w:r>
        <w:rPr>
          <w:rFonts w:hint="eastAsia" w:ascii="Times New Roman" w:hAnsi="Times New Roman" w:eastAsia="宋体" w:cs="Times New Roman"/>
          <w:color w:val="auto"/>
          <w:sz w:val="24"/>
          <w:szCs w:val="24"/>
        </w:rPr>
        <w:t>以上，然后引至食堂屋顶排入大气，处理后油烟排放的浓度能达到《饮食业油烟排放标准》（</w:t>
      </w:r>
      <w:r>
        <w:rPr>
          <w:rFonts w:ascii="Times New Roman" w:hAnsi="Times New Roman" w:eastAsia="宋体" w:cs="Times New Roman"/>
          <w:color w:val="auto"/>
          <w:sz w:val="24"/>
          <w:szCs w:val="24"/>
        </w:rPr>
        <w:t>GB18483-2001</w:t>
      </w:r>
      <w:r>
        <w:rPr>
          <w:rFonts w:hint="eastAsia" w:ascii="Times New Roman" w:hAnsi="Times New Roman" w:eastAsia="宋体" w:cs="Times New Roman"/>
          <w:color w:val="auto"/>
          <w:sz w:val="24"/>
          <w:szCs w:val="24"/>
        </w:rPr>
        <w:t>）小型规模标准。</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食堂燃用天然气，属清洁燃料，且用量较小，污染较小，对其不作评价。</w:t>
      </w:r>
    </w:p>
    <w:p>
      <w:pPr>
        <w:pStyle w:val="8"/>
        <w:bidi w:val="0"/>
        <w:spacing w:line="360" w:lineRule="auto"/>
        <w:rPr>
          <w:rFonts w:hint="eastAsia" w:ascii="Times New Roman" w:hAnsi="Times New Roman" w:eastAsia="宋体" w:cs="Times New Roman"/>
          <w:color w:val="auto"/>
          <w:sz w:val="24"/>
          <w:szCs w:val="24"/>
          <w:lang w:val="en-US" w:eastAsia="zh-CN"/>
        </w:rPr>
      </w:pPr>
      <w:bookmarkStart w:id="236" w:name="5.2.1.7发电机废气"/>
      <w:bookmarkEnd w:id="236"/>
      <w:r>
        <w:rPr>
          <w:rFonts w:hint="eastAsia" w:ascii="Times New Roman" w:hAnsi="Times New Roman" w:eastAsia="宋体" w:cs="Times New Roman"/>
          <w:color w:val="auto"/>
          <w:sz w:val="24"/>
          <w:szCs w:val="24"/>
          <w:lang w:val="en-US" w:eastAsia="zh-CN"/>
        </w:rPr>
        <w:t>发电机废气环境影响分析</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应急柴油发电机设置于专用发电机房内，发电机只有在停电时或紧急用电时才使用，故使用频率不高，产生的少量废气，经发电机配置的排风系统排放，排放口设置朝向绿化，对环境无明显影响。</w:t>
      </w:r>
    </w:p>
    <w:p>
      <w:pPr>
        <w:pStyle w:val="8"/>
        <w:bidi w:val="0"/>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大气环境影响评价结论</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）达标区环境可接受性</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项目所在区域环境空气质量为达标区，环境空气质量能够满足《环境空气质量标准》（GB3095-2012）及其修改单中二级标准要求；本项目营运期排放的主要废气为</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NH</w:t>
      </w:r>
      <w:r>
        <w:rPr>
          <w:rFonts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。根据《环境影响评价技术导则</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大气环境》（</w:t>
      </w:r>
      <w:r>
        <w:rPr>
          <w:rFonts w:ascii="Times New Roman" w:hAnsi="Times New Roman" w:eastAsia="宋体" w:cs="Times New Roman"/>
          <w:color w:val="auto"/>
          <w:sz w:val="24"/>
          <w:szCs w:val="24"/>
        </w:rPr>
        <w:t>HJ2.2-2018</w:t>
      </w:r>
      <w:r>
        <w:rPr>
          <w:rFonts w:hint="eastAsia" w:ascii="Times New Roman" w:hAnsi="Times New Roman" w:eastAsia="宋体" w:cs="Times New Roman"/>
          <w:color w:val="auto"/>
          <w:sz w:val="24"/>
          <w:szCs w:val="24"/>
        </w:rPr>
        <w:t>），采用附录</w:t>
      </w:r>
      <w:r>
        <w:rPr>
          <w:rFonts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rPr>
        <w:t>推荐模型中估算模式</w:t>
      </w:r>
      <w:r>
        <w:rPr>
          <w:rFonts w:ascii="Times New Roman" w:hAnsi="Times New Roman" w:eastAsia="宋体" w:cs="Times New Roman"/>
          <w:color w:val="auto"/>
          <w:sz w:val="24"/>
          <w:szCs w:val="24"/>
        </w:rPr>
        <w:t>ARESCREEN</w:t>
      </w:r>
      <w:r>
        <w:rPr>
          <w:rFonts w:hint="eastAsia" w:ascii="Times New Roman" w:hAnsi="Times New Roman" w:eastAsia="宋体" w:cs="Times New Roman"/>
          <w:color w:val="auto"/>
          <w:sz w:val="24"/>
          <w:szCs w:val="24"/>
        </w:rPr>
        <w:t>分别计算项目污染源的最大环境影响。经计算，本项目排放的污染物中</w:t>
      </w:r>
      <w:r>
        <w:rPr>
          <w:rFonts w:hint="eastAsia" w:ascii="Times New Roman" w:hAnsi="Times New Roman" w:eastAsia="宋体" w:cs="Times New Roman"/>
          <w:color w:val="auto"/>
          <w:sz w:val="24"/>
          <w:szCs w:val="24"/>
          <w:lang w:val="en-US" w:eastAsia="zh-CN"/>
        </w:rPr>
        <w:t>NH</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rPr>
        <w:t>占标率最大的为</w:t>
      </w:r>
      <w:r>
        <w:rPr>
          <w:rFonts w:hint="eastAsia" w:ascii="Times New Roman" w:hAnsi="Times New Roman" w:eastAsia="宋体" w:cs="Times New Roman"/>
          <w:color w:val="auto"/>
          <w:sz w:val="24"/>
          <w:szCs w:val="24"/>
          <w:lang w:val="en-US" w:eastAsia="zh-CN"/>
        </w:rPr>
        <w:t>7.34</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，落地点</w:t>
      </w:r>
      <w:r>
        <w:rPr>
          <w:rFonts w:hint="eastAsia" w:ascii="Times New Roman" w:hAnsi="Times New Roman" w:eastAsia="宋体" w:cs="Times New Roman"/>
          <w:color w:val="auto"/>
          <w:sz w:val="24"/>
          <w:szCs w:val="24"/>
          <w:lang w:val="en-US" w:eastAsia="zh-CN"/>
        </w:rPr>
        <w:t>19</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，因此本项目排放的污染物量较小，对环境影响可接受。</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）环境防护距离</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根据《环境影响评价技术导则</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大气环境》（</w:t>
      </w:r>
      <w:r>
        <w:rPr>
          <w:rFonts w:ascii="Times New Roman" w:hAnsi="Times New Roman" w:eastAsia="宋体" w:cs="Times New Roman"/>
          <w:color w:val="auto"/>
          <w:sz w:val="24"/>
          <w:szCs w:val="24"/>
        </w:rPr>
        <w:t>HJ2.2-2018</w:t>
      </w:r>
      <w:r>
        <w:rPr>
          <w:rFonts w:hint="eastAsia" w:ascii="Times New Roman" w:hAnsi="Times New Roman" w:eastAsia="宋体" w:cs="Times New Roman"/>
          <w:color w:val="auto"/>
          <w:sz w:val="24"/>
          <w:szCs w:val="24"/>
        </w:rPr>
        <w:t>）推荐的估算模式计算，本项目无超标点，不需设置大气环境防护距离。</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根据卫生防护距离计算，本次评价确定本项目以猪舍、污水处理站、</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边界为起点，在上风向、下风向以及侧风向均设置</w:t>
      </w:r>
      <w:r>
        <w:rPr>
          <w:rFonts w:ascii="Times New Roman" w:hAnsi="Times New Roman" w:eastAsia="宋体" w:cs="Times New Roman"/>
          <w:color w:val="auto"/>
          <w:sz w:val="24"/>
          <w:szCs w:val="24"/>
        </w:rPr>
        <w:t>200m</w:t>
      </w:r>
      <w:r>
        <w:rPr>
          <w:rFonts w:hint="eastAsia" w:ascii="Times New Roman" w:hAnsi="Times New Roman" w:eastAsia="宋体" w:cs="Times New Roman"/>
          <w:color w:val="auto"/>
          <w:sz w:val="24"/>
          <w:szCs w:val="24"/>
        </w:rPr>
        <w:t>的卫生防护距离。</w:t>
      </w:r>
      <w:r>
        <w:rPr>
          <w:rFonts w:hint="eastAsia" w:ascii="Times New Roman" w:hAnsi="Times New Roman" w:eastAsia="宋体" w:cs="Times New Roman"/>
          <w:b/>
          <w:bCs/>
          <w:color w:val="auto"/>
          <w:sz w:val="24"/>
          <w:szCs w:val="24"/>
        </w:rPr>
        <w:t>卫生防护距离的执行：该距离内不得建设为“城市和城镇居民区，包括文教科研区、</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医疗区、商业区、工业区、游览区等人口集中”等禁建设施。</w:t>
      </w:r>
      <w:r>
        <w:rPr>
          <w:rFonts w:hint="eastAsia" w:ascii="Times New Roman" w:hAnsi="Times New Roman" w:eastAsia="宋体" w:cs="Times New Roman"/>
          <w:color w:val="auto"/>
          <w:sz w:val="24"/>
          <w:szCs w:val="24"/>
        </w:rPr>
        <w:t>本项目卫生防护距离范围内无学校、居民、医疗卫生、行政办公等环境敏感目标，</w:t>
      </w:r>
      <w:r>
        <w:rPr>
          <w:rFonts w:hint="eastAsia" w:ascii="Times New Roman" w:hAnsi="Times New Roman" w:eastAsia="宋体" w:cs="Times New Roman"/>
          <w:b/>
          <w:bCs/>
          <w:color w:val="auto"/>
          <w:sz w:val="24"/>
          <w:szCs w:val="24"/>
        </w:rPr>
        <w:t>本项目无环保搬迁。</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本项目大气环境影响评价自查表见附表。</w:t>
      </w:r>
    </w:p>
    <w:p>
      <w:pPr>
        <w:widowControl/>
        <w:spacing w:line="240" w:lineRule="auto"/>
        <w:jc w:val="left"/>
        <w:rPr>
          <w:color w:val="auto"/>
          <w:sz w:val="24"/>
        </w:rPr>
      </w:pPr>
      <w:r>
        <w:rPr>
          <w:color w:val="auto"/>
          <w:sz w:val="24"/>
        </w:rPr>
        <w:br w:type="page"/>
      </w:r>
    </w:p>
    <w:p>
      <w:pPr>
        <w:pStyle w:val="7"/>
        <w:spacing w:before="0" w:after="0" w:line="360" w:lineRule="auto"/>
        <w:ind w:left="0" w:firstLine="0"/>
        <w:rPr>
          <w:rFonts w:cs="Times New Roman"/>
          <w:color w:val="auto"/>
        </w:rPr>
      </w:pPr>
      <w:bookmarkStart w:id="237" w:name="_Toc20926"/>
      <w:r>
        <w:rPr>
          <w:rFonts w:cs="Times New Roman"/>
          <w:color w:val="auto"/>
        </w:rPr>
        <w:t>地表水环境影响分析</w:t>
      </w:r>
      <w:bookmarkEnd w:id="237"/>
    </w:p>
    <w:p>
      <w:pPr>
        <w:pStyle w:val="8"/>
        <w:bidi w:val="0"/>
        <w:spacing w:line="360" w:lineRule="auto"/>
        <w:rPr>
          <w:rFonts w:hint="default" w:ascii="Times New Roman" w:hAnsi="Times New Roman" w:eastAsia="宋体" w:cs="Times New Roman"/>
          <w:bCs/>
          <w:color w:val="auto"/>
          <w:kern w:val="2"/>
          <w:sz w:val="24"/>
          <w:szCs w:val="28"/>
          <w:lang w:val="en-US" w:eastAsia="zh-CN" w:bidi="ar-SA"/>
        </w:rPr>
      </w:pPr>
      <w:r>
        <w:rPr>
          <w:rFonts w:hint="eastAsia" w:ascii="Times New Roman" w:hAnsi="Times New Roman" w:eastAsia="宋体" w:cs="Times New Roman"/>
          <w:bCs/>
          <w:color w:val="auto"/>
          <w:kern w:val="2"/>
          <w:sz w:val="24"/>
          <w:szCs w:val="28"/>
          <w:lang w:val="en-US" w:eastAsia="zh-CN" w:bidi="ar-SA"/>
        </w:rPr>
        <w:t>废水排放情况</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实施雨污分流，雨水管网采用雨水渠形式布置，断面尺寸为0.4m×0.25m~0.4m室外雨水（初期雨水除外）通过雨水沟渠自然排放。污水管网采用d500波纹管，污水通过污水管网收集后排入污水处理站处理。运营期产生的废水主要为猪只尿液、猪舍冲洗废水、</w:t>
      </w:r>
      <w:r>
        <w:rPr>
          <w:rFonts w:ascii="Times New Roman" w:hAnsi="Times New Roman" w:eastAsia="宋体" w:cs="Times New Roman"/>
          <w:color w:val="auto"/>
          <w:sz w:val="24"/>
          <w:szCs w:val="24"/>
          <w:lang w:val="zh-CN"/>
        </w:rPr>
        <w:t>分娩设备清洗废水</w:t>
      </w:r>
      <w:r>
        <w:rPr>
          <w:rFonts w:hint="eastAsia" w:ascii="Times New Roman" w:hAnsi="Times New Roman" w:eastAsia="宋体" w:cs="Times New Roman"/>
          <w:color w:val="auto"/>
          <w:sz w:val="24"/>
          <w:szCs w:val="24"/>
        </w:rPr>
        <w:t>以及职工办公生活污水。</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根据建设单位提供的资料，本项目拟采用干清粪工艺，不将清水用作圈舍粪尿日常清理，大大减少了污粪产生量并实现粪尿及时清理。根据工程分析，项目运营期废水产生总量为</w:t>
      </w:r>
      <w:r>
        <w:rPr>
          <w:rFonts w:hint="eastAsia" w:ascii="Times New Roman" w:hAnsi="Times New Roman" w:eastAsia="宋体" w:cs="Times New Roman"/>
          <w:color w:val="auto"/>
          <w:sz w:val="24"/>
          <w:szCs w:val="24"/>
          <w:lang w:val="en-US" w:eastAsia="zh-CN"/>
        </w:rPr>
        <w:t>233.75</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/d，其中养殖废水产生总量为</w:t>
      </w:r>
      <w:r>
        <w:rPr>
          <w:rFonts w:hint="eastAsia" w:ascii="Times New Roman" w:hAnsi="Times New Roman" w:eastAsia="宋体" w:cs="Times New Roman"/>
          <w:color w:val="auto"/>
          <w:sz w:val="24"/>
          <w:szCs w:val="24"/>
          <w:lang w:val="en-US" w:eastAsia="zh-CN"/>
        </w:rPr>
        <w:t>216.95</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/d，生活污水产生总量为</w:t>
      </w:r>
      <w:r>
        <w:rPr>
          <w:rFonts w:ascii="Times New Roman" w:hAnsi="Times New Roman" w:eastAsia="宋体" w:cs="Times New Roman"/>
          <w:color w:val="auto"/>
          <w:sz w:val="24"/>
          <w:szCs w:val="24"/>
        </w:rPr>
        <w:t>16.</w:t>
      </w:r>
      <w:r>
        <w:rPr>
          <w:rFonts w:hint="eastAsia" w:ascii="Times New Roman" w:hAnsi="Times New Roman" w:eastAsia="宋体" w:cs="Times New Roman"/>
          <w:color w:val="auto"/>
          <w:sz w:val="24"/>
          <w:szCs w:val="24"/>
        </w:rPr>
        <w:t>8m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猪场养殖废水和生活污水经收集后，进入拟建的“</w:t>
      </w:r>
      <w:r>
        <w:rPr>
          <w:rFonts w:hint="default" w:ascii="Times New Roman" w:hAnsi="Times New Roman" w:eastAsia="宋体" w:cs="Times New Roman"/>
          <w:color w:val="auto"/>
          <w:sz w:val="24"/>
          <w:szCs w:val="24"/>
        </w:rPr>
        <w:t>固液分离+UASB厌氧+絮凝沉淀+两级A/O系统+混凝絮凝沉淀+消毒</w:t>
      </w:r>
      <w:r>
        <w:rPr>
          <w:rFonts w:hint="eastAsia" w:ascii="Times New Roman" w:hAnsi="Times New Roman" w:eastAsia="宋体" w:cs="Times New Roman"/>
          <w:color w:val="auto"/>
          <w:sz w:val="24"/>
          <w:szCs w:val="24"/>
        </w:rPr>
        <w:t>”污水处理设施处理达《农田灌溉水质标准》（GB5084-2005）中旱作标准后暂存于储存池内，</w:t>
      </w:r>
      <w:r>
        <w:rPr>
          <w:rFonts w:hint="eastAsia" w:ascii="Times New Roman" w:hAnsi="Times New Roman" w:eastAsia="宋体" w:cs="Times New Roman"/>
          <w:color w:val="auto"/>
          <w:sz w:val="24"/>
          <w:szCs w:val="24"/>
          <w:lang w:eastAsia="zh-CN"/>
        </w:rPr>
        <w:t>用于周围林地灌溉，不外排</w:t>
      </w:r>
      <w:r>
        <w:rPr>
          <w:rFonts w:hint="eastAsia" w:ascii="Times New Roman" w:hAnsi="Times New Roman" w:eastAsia="宋体" w:cs="Times New Roman"/>
          <w:color w:val="auto"/>
          <w:sz w:val="24"/>
          <w:szCs w:val="24"/>
        </w:rPr>
        <w:t>。</w:t>
      </w:r>
    </w:p>
    <w:p>
      <w:pPr>
        <w:pStyle w:val="8"/>
        <w:bidi w:val="0"/>
        <w:spacing w:line="360" w:lineRule="auto"/>
        <w:rPr>
          <w:rFonts w:hint="default" w:ascii="Times New Roman" w:hAnsi="Times New Roman" w:eastAsia="宋体" w:cs="Times New Roman"/>
          <w:bCs/>
          <w:color w:val="auto"/>
          <w:kern w:val="2"/>
          <w:sz w:val="24"/>
          <w:szCs w:val="28"/>
          <w:lang w:val="en-US" w:eastAsia="zh-CN" w:bidi="ar-SA"/>
        </w:rPr>
      </w:pPr>
      <w:r>
        <w:rPr>
          <w:rFonts w:hint="eastAsia" w:eastAsia="宋体" w:cs="Times New Roman"/>
          <w:bCs/>
          <w:color w:val="auto"/>
          <w:kern w:val="2"/>
          <w:sz w:val="24"/>
          <w:szCs w:val="28"/>
          <w:lang w:val="en-US" w:eastAsia="zh-CN" w:bidi="ar-SA"/>
        </w:rPr>
        <w:t>评价等级判定</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项目产生的污水均进入厂区污水处理站处理，处理后的废水用作耕地、林地灌溉，不外排。根据《环境影响评价技术导则地表水环境》（HJ2.3-2018），本项目地表水评价等级为三级B。</w:t>
      </w:r>
    </w:p>
    <w:p>
      <w:pPr>
        <w:pStyle w:val="8"/>
        <w:bidi w:val="0"/>
        <w:spacing w:line="360" w:lineRule="auto"/>
        <w:rPr>
          <w:rFonts w:hint="default" w:ascii="Times New Roman" w:hAnsi="Times New Roman" w:eastAsia="宋体" w:cs="Times New Roman"/>
          <w:bCs/>
          <w:color w:val="auto"/>
          <w:kern w:val="2"/>
          <w:sz w:val="24"/>
          <w:szCs w:val="28"/>
          <w:lang w:val="en-US" w:eastAsia="zh-CN" w:bidi="ar-SA"/>
        </w:rPr>
      </w:pPr>
      <w:r>
        <w:rPr>
          <w:rFonts w:hint="eastAsia" w:eastAsia="宋体" w:cs="Times New Roman"/>
          <w:bCs/>
          <w:color w:val="auto"/>
          <w:kern w:val="2"/>
          <w:sz w:val="24"/>
          <w:szCs w:val="28"/>
          <w:lang w:val="en-US" w:eastAsia="zh-CN" w:bidi="ar-SA"/>
        </w:rPr>
        <w:t>废水处理工艺可行性分析</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本项目污水采用“固液分离+UASB厌氧+絮凝沉淀+两级A/O系统+混凝絮凝沉淀+消毒”处理工艺，设计处理规模700m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本项目污水预处理系统能够将来水中的较重的固体颗粒去除；UASB厌氧反应器能处理高浓度有机废水，处理后COD浓度将低5％，AO工艺包含了厌氧、好氧池，并设置了混合液回流、污泥回流，同时具有去除COD、BOD</w:t>
      </w:r>
      <w:r>
        <w:rPr>
          <w:rFonts w:hint="eastAsia"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、TN、TP、SS的功能；针对好氧池出水中含有的大量活性污泥以及对TP去除的要求，本项目采用絮凝沉淀，在沉淀池前端加入除磷剂，可有效除磷和SS；为保证出水生物指标达标，工艺采用了H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O</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对尾水进行消毒处理。由此可知，本项目污水处理工艺针对进水水质和出水要求设计了相应的处理单元，能有效去除污水中的污染物，确保出水达标</w:t>
      </w:r>
      <w:r>
        <w:rPr>
          <w:rFonts w:hint="eastAsia" w:ascii="Times New Roman" w:hAnsi="Times New Roman" w:eastAsia="宋体" w:cs="Times New Roman"/>
          <w:color w:val="auto"/>
          <w:sz w:val="24"/>
          <w:szCs w:val="24"/>
          <w:lang w:eastAsia="zh-CN"/>
        </w:rPr>
        <w:t>。</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结合《畜禽养殖业污染治理工程技术规范》（HJ497-2009）可知，本项目污水处理工艺采用该规范推荐的“模式Ⅲ”，厌氧反应器采用该规范推荐的升流式固体反应器（UASB厌氧反应器），好氧生物处理采用该规范推荐的“缺氧/好氧（AO）生物处理工艺”，自然处理方式选用该规范推荐的“稳定塘技术”，消毒剂采用该规范推荐的“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rPr>
        <w:t>”，污泥处理采用该规范推荐的“好氧堆肥技术”。因此污水站工艺符合《畜禽养殖业污染治理工程技术规范》（HJ497-2009）的要求，选用的污水处理工艺合理可行。</w:t>
      </w:r>
    </w:p>
    <w:p>
      <w:pPr>
        <w:pStyle w:val="8"/>
        <w:bidi w:val="0"/>
        <w:spacing w:line="360" w:lineRule="auto"/>
        <w:rPr>
          <w:rFonts w:hint="default" w:ascii="Times New Roman" w:hAnsi="Times New Roman" w:eastAsia="宋体" w:cs="Times New Roman"/>
          <w:bCs/>
          <w:color w:val="auto"/>
          <w:kern w:val="2"/>
          <w:sz w:val="24"/>
          <w:szCs w:val="28"/>
          <w:lang w:val="en-US" w:eastAsia="zh-CN" w:bidi="ar-SA"/>
        </w:rPr>
      </w:pPr>
      <w:r>
        <w:rPr>
          <w:rFonts w:hint="eastAsia" w:eastAsia="宋体" w:cs="Times New Roman"/>
          <w:bCs/>
          <w:color w:val="auto"/>
          <w:kern w:val="2"/>
          <w:sz w:val="24"/>
          <w:szCs w:val="28"/>
          <w:lang w:val="en-US" w:eastAsia="zh-CN" w:bidi="ar-SA"/>
        </w:rPr>
        <w:t>农灌可行性分析</w:t>
      </w:r>
    </w:p>
    <w:p>
      <w:pPr>
        <w:ind w:firstLine="480" w:firstLineChars="200"/>
        <w:rPr>
          <w:rFonts w:hint="eastAsia" w:ascii="Times New Roman" w:cs="Times New Roman"/>
          <w:color w:val="auto"/>
          <w:sz w:val="24"/>
          <w:szCs w:val="24"/>
        </w:rPr>
      </w:pPr>
      <w:r>
        <w:rPr>
          <w:rFonts w:hint="eastAsia" w:ascii="Times New Roman" w:cs="Times New Roman"/>
          <w:color w:val="auto"/>
          <w:sz w:val="24"/>
          <w:szCs w:val="24"/>
        </w:rPr>
        <w:t>本项目配套建设农灌系统，农灌系统主要由废水储存池、恒压供水系统、阀门、</w:t>
      </w:r>
      <w:r>
        <w:rPr>
          <w:rFonts w:hint="eastAsia" w:ascii="Times New Roman" w:cs="Times New Roman"/>
          <w:color w:val="auto"/>
          <w:sz w:val="24"/>
          <w:szCs w:val="24"/>
          <w:lang w:eastAsia="zh-CN"/>
        </w:rPr>
        <w:t>田</w:t>
      </w:r>
      <w:r>
        <w:rPr>
          <w:rFonts w:hint="eastAsia" w:ascii="Times New Roman" w:cs="Times New Roman"/>
          <w:color w:val="auto"/>
          <w:sz w:val="24"/>
          <w:szCs w:val="24"/>
        </w:rPr>
        <w:t>间管道等组成。本项目废水储存池至林地采用PE材质dn63管道作为主管，林地田间支管采用PE材质dn50和dn32管道。本项目租用的林地用户打开浇灌系统阀门，恒压供水系统自动运行，将储存池废水输送至林地浇灌。</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（1）水量可行性</w:t>
      </w:r>
    </w:p>
    <w:p>
      <w:pPr>
        <w:pStyle w:val="23"/>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color w:val="auto"/>
        </w:rPr>
        <w:t>根据《四川省用水定额》（DB51/T 2138-2016），本项目所在地属于Ⅱ类区“盆中丘陵区”，消纳土地内主要为林地，在灌溉保证率达到90%的情况下，平均灌溉需水量约为100m</w:t>
      </w:r>
      <w:r>
        <w:rPr>
          <w:rFonts w:hint="eastAsia" w:ascii="Times New Roman" w:hAnsi="Times New Roman"/>
          <w:color w:val="auto"/>
          <w:vertAlign w:val="superscript"/>
        </w:rPr>
        <w:t>3</w:t>
      </w:r>
      <w:r>
        <w:rPr>
          <w:rFonts w:hint="eastAsia" w:ascii="Times New Roman" w:hAnsi="Times New Roman"/>
          <w:color w:val="auto"/>
        </w:rPr>
        <w:t>/亩，则本项目需要的浇灌土地面积约为</w:t>
      </w:r>
      <w:r>
        <w:rPr>
          <w:rFonts w:hint="eastAsia"/>
          <w:color w:val="auto"/>
          <w:lang w:val="en-US" w:eastAsia="zh-CN"/>
        </w:rPr>
        <w:t>854</w:t>
      </w:r>
      <w:r>
        <w:rPr>
          <w:rFonts w:hint="eastAsia" w:ascii="Times New Roman" w:hAnsi="Times New Roman"/>
          <w:color w:val="auto"/>
        </w:rPr>
        <w:t>亩。</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本项目消纳区面积约为</w:t>
      </w:r>
      <w:r>
        <w:rPr>
          <w:rFonts w:hint="eastAsia" w:ascii="Times New Roman" w:hAnsi="Times New Roman" w:eastAsia="宋体" w:cs="Times New Roman"/>
          <w:color w:val="auto"/>
          <w:sz w:val="24"/>
          <w:szCs w:val="24"/>
          <w:lang w:val="en-US" w:eastAsia="zh-CN"/>
        </w:rPr>
        <w:t>1194</w:t>
      </w:r>
      <w:r>
        <w:rPr>
          <w:rFonts w:hint="eastAsia" w:ascii="Times New Roman" w:hAnsi="Times New Roman" w:eastAsia="宋体" w:cs="Times New Roman"/>
          <w:color w:val="auto"/>
          <w:sz w:val="24"/>
          <w:szCs w:val="24"/>
        </w:rPr>
        <w:t>亩</w:t>
      </w:r>
      <w:r>
        <w:rPr>
          <w:rFonts w:hint="eastAsia" w:ascii="Times New Roman" w:hAnsi="Times New Roman" w:eastAsia="宋体" w:cs="Times New Roman"/>
          <w:color w:val="auto"/>
          <w:sz w:val="24"/>
          <w:szCs w:val="24"/>
          <w:lang w:eastAsia="zh-CN"/>
        </w:rPr>
        <w:t>（厂内林地</w:t>
      </w:r>
      <w:r>
        <w:rPr>
          <w:rFonts w:hint="eastAsia" w:ascii="Times New Roman" w:hAnsi="Times New Roman" w:eastAsia="宋体" w:cs="Times New Roman"/>
          <w:color w:val="auto"/>
          <w:sz w:val="24"/>
          <w:szCs w:val="24"/>
          <w:lang w:val="en-US" w:eastAsia="zh-CN"/>
        </w:rPr>
        <w:t>544亩，租赁消纳林地650亩）</w:t>
      </w:r>
      <w:r>
        <w:rPr>
          <w:rFonts w:hint="eastAsia" w:ascii="Times New Roman" w:hAnsi="Times New Roman" w:eastAsia="宋体" w:cs="Times New Roman"/>
          <w:color w:val="auto"/>
          <w:sz w:val="24"/>
          <w:szCs w:val="24"/>
        </w:rPr>
        <w:t>&gt;理论需要消纳土地面积</w:t>
      </w:r>
      <w:r>
        <w:rPr>
          <w:rFonts w:hint="eastAsia" w:ascii="Times New Roman" w:hAnsi="Times New Roman" w:eastAsia="宋体" w:cs="Times New Roman"/>
          <w:color w:val="auto"/>
          <w:sz w:val="24"/>
          <w:szCs w:val="24"/>
          <w:lang w:val="en-US" w:eastAsia="zh-CN"/>
        </w:rPr>
        <w:t>854</w:t>
      </w:r>
      <w:r>
        <w:rPr>
          <w:rFonts w:hint="eastAsia" w:ascii="Times New Roman" w:hAnsi="Times New Roman" w:eastAsia="宋体" w:cs="Times New Roman"/>
          <w:color w:val="auto"/>
          <w:sz w:val="24"/>
          <w:szCs w:val="24"/>
        </w:rPr>
        <w:t>亩（消纳土地内主要为林地，在灌溉保证率达到90%的情况下，</w:t>
      </w:r>
      <w:r>
        <w:rPr>
          <w:rFonts w:hint="eastAsia" w:ascii="Times New Roman" w:hAnsi="Times New Roman" w:eastAsia="宋体" w:cs="Times New Roman"/>
          <w:color w:val="auto"/>
          <w:sz w:val="24"/>
          <w:szCs w:val="24"/>
          <w:lang w:eastAsia="zh-CN"/>
        </w:rPr>
        <w:t>按</w:t>
      </w:r>
      <w:r>
        <w:rPr>
          <w:rFonts w:hint="eastAsia" w:ascii="Times New Roman" w:hAnsi="Times New Roman" w:eastAsia="宋体" w:cs="Times New Roman"/>
          <w:color w:val="auto"/>
          <w:sz w:val="24"/>
          <w:szCs w:val="24"/>
        </w:rPr>
        <w:t>平均灌溉需水量约为100m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 xml:space="preserve"> /亩计算），可满足本项目的需要</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废水经处理后全部循环回用，不外排，不会对周边地表水环境造成明显不利影响。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（2）养分可行性</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废水中的N、P元素为植物所需营养元素，本项目废水用于</w:t>
      </w:r>
      <w:r>
        <w:rPr>
          <w:rFonts w:hint="eastAsia" w:ascii="Times New Roman" w:hAnsi="Times New Roman" w:eastAsia="宋体" w:cs="Times New Roman"/>
          <w:color w:val="auto"/>
          <w:sz w:val="24"/>
          <w:szCs w:val="24"/>
          <w:lang w:eastAsia="zh-CN"/>
        </w:rPr>
        <w:t>林地</w:t>
      </w:r>
      <w:r>
        <w:rPr>
          <w:rFonts w:hint="eastAsia" w:ascii="Times New Roman" w:hAnsi="Times New Roman" w:eastAsia="宋体" w:cs="Times New Roman"/>
          <w:color w:val="auto"/>
          <w:sz w:val="24"/>
          <w:szCs w:val="24"/>
        </w:rPr>
        <w:t>灌溉后，N、P元素可被植物吸收。本项目污水处理站出水全部用作</w:t>
      </w:r>
      <w:r>
        <w:rPr>
          <w:rFonts w:hint="eastAsia" w:ascii="Times New Roman" w:hAnsi="Times New Roman" w:eastAsia="宋体" w:cs="Times New Roman"/>
          <w:color w:val="auto"/>
          <w:sz w:val="24"/>
          <w:szCs w:val="24"/>
          <w:lang w:eastAsia="zh-CN"/>
        </w:rPr>
        <w:t>厂区内及周边林地</w:t>
      </w:r>
      <w:r>
        <w:rPr>
          <w:rFonts w:hint="eastAsia" w:ascii="Times New Roman" w:hAnsi="Times New Roman" w:eastAsia="宋体" w:cs="Times New Roman"/>
          <w:color w:val="auto"/>
          <w:sz w:val="24"/>
          <w:szCs w:val="24"/>
        </w:rPr>
        <w:t>浇灌，结合项目所在区域土壤肥力和环境容量，并查阅相关资料确定本项目消纳土地每年每公顷施氮</w:t>
      </w:r>
      <w:r>
        <w:rPr>
          <w:rFonts w:hint="eastAsia" w:ascii="Times New Roman" w:hAnsi="Times New Roman" w:eastAsia="宋体" w:cs="Times New Roman"/>
          <w:color w:val="auto"/>
          <w:sz w:val="24"/>
          <w:szCs w:val="24"/>
          <w:lang w:val="en-US" w:eastAsia="zh-CN"/>
        </w:rPr>
        <w:t>90</w:t>
      </w:r>
      <w:r>
        <w:rPr>
          <w:rFonts w:hint="eastAsia" w:ascii="Times New Roman" w:hAnsi="Times New Roman" w:eastAsia="宋体" w:cs="Times New Roman"/>
          <w:color w:val="auto"/>
          <w:sz w:val="24"/>
          <w:szCs w:val="24"/>
        </w:rPr>
        <w:t>kg，施磷量</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0kg。根据水平衡可知，本项目内</w:t>
      </w:r>
      <w:r>
        <w:rPr>
          <w:rFonts w:hint="eastAsia" w:ascii="Times New Roman" w:hAnsi="Times New Roman" w:eastAsia="宋体" w:cs="Times New Roman"/>
          <w:color w:val="auto"/>
          <w:sz w:val="24"/>
          <w:szCs w:val="24"/>
          <w:lang w:eastAsia="zh-CN"/>
        </w:rPr>
        <w:t>除去猪舍冲洗</w:t>
      </w:r>
      <w:r>
        <w:rPr>
          <w:rFonts w:hint="eastAsia" w:ascii="Times New Roman" w:hAnsi="Times New Roman" w:eastAsia="宋体" w:cs="Times New Roman"/>
          <w:color w:val="auto"/>
          <w:sz w:val="24"/>
          <w:szCs w:val="24"/>
        </w:rPr>
        <w:t>用水后，用于消纳土地浇灌用水量为</w:t>
      </w:r>
      <w:r>
        <w:rPr>
          <w:rFonts w:hint="eastAsia" w:ascii="Times New Roman" w:hAnsi="Times New Roman" w:eastAsia="宋体" w:cs="Times New Roman"/>
          <w:color w:val="auto"/>
          <w:sz w:val="24"/>
          <w:szCs w:val="24"/>
          <w:lang w:val="en-US" w:eastAsia="zh-CN"/>
        </w:rPr>
        <w:t>200.42</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73153.3</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/a），则废水中氮为</w:t>
      </w:r>
      <w:r>
        <w:rPr>
          <w:rFonts w:hint="eastAsia" w:ascii="Times New Roman" w:hAnsi="Times New Roman" w:eastAsia="宋体" w:cs="Times New Roman"/>
          <w:color w:val="auto"/>
          <w:sz w:val="24"/>
          <w:szCs w:val="24"/>
          <w:lang w:val="en-US" w:eastAsia="zh-CN"/>
        </w:rPr>
        <w:t>5852.2</w:t>
      </w:r>
      <w:r>
        <w:rPr>
          <w:rFonts w:hint="eastAsia" w:ascii="Times New Roman" w:hAnsi="Times New Roman" w:eastAsia="宋体" w:cs="Times New Roman"/>
          <w:color w:val="auto"/>
          <w:sz w:val="24"/>
          <w:szCs w:val="24"/>
        </w:rPr>
        <w:t>kg/a，磷为</w:t>
      </w:r>
      <w:r>
        <w:rPr>
          <w:rFonts w:hint="eastAsia" w:ascii="Times New Roman" w:hAnsi="Times New Roman" w:eastAsia="宋体" w:cs="Times New Roman"/>
          <w:color w:val="auto"/>
          <w:sz w:val="24"/>
          <w:szCs w:val="24"/>
          <w:lang w:val="en-US" w:eastAsia="zh-CN"/>
        </w:rPr>
        <w:t>585.2</w:t>
      </w:r>
      <w:r>
        <w:rPr>
          <w:rFonts w:hint="eastAsia" w:ascii="Times New Roman" w:hAnsi="Times New Roman" w:eastAsia="宋体" w:cs="Times New Roman"/>
          <w:color w:val="auto"/>
          <w:sz w:val="24"/>
          <w:szCs w:val="24"/>
        </w:rPr>
        <w:t>kg/a，通过计算可知，消纳本项目废水中的氮至少需要</w:t>
      </w:r>
      <w:r>
        <w:rPr>
          <w:rFonts w:hint="eastAsia" w:ascii="Times New Roman" w:hAnsi="Times New Roman" w:eastAsia="宋体" w:cs="Times New Roman"/>
          <w:color w:val="auto"/>
          <w:sz w:val="24"/>
          <w:szCs w:val="24"/>
          <w:lang w:val="en-US" w:eastAsia="zh-CN"/>
        </w:rPr>
        <w:t>975.37</w:t>
      </w:r>
      <w:r>
        <w:rPr>
          <w:rFonts w:hint="eastAsia" w:ascii="Times New Roman" w:hAnsi="Times New Roman" w:eastAsia="宋体" w:cs="Times New Roman"/>
          <w:color w:val="auto"/>
          <w:sz w:val="24"/>
          <w:szCs w:val="24"/>
        </w:rPr>
        <w:t>亩林地，消纳废水中的磷至少需要</w:t>
      </w:r>
      <w:r>
        <w:rPr>
          <w:rFonts w:hint="eastAsia" w:ascii="Times New Roman" w:hAnsi="Times New Roman" w:eastAsia="宋体" w:cs="Times New Roman"/>
          <w:color w:val="auto"/>
          <w:sz w:val="24"/>
          <w:szCs w:val="24"/>
          <w:lang w:val="en-US" w:eastAsia="zh-CN"/>
        </w:rPr>
        <w:t>292.6</w:t>
      </w:r>
      <w:r>
        <w:rPr>
          <w:rFonts w:hint="eastAsia" w:ascii="Times New Roman" w:hAnsi="Times New Roman" w:eastAsia="宋体" w:cs="Times New Roman"/>
          <w:color w:val="auto"/>
          <w:sz w:val="24"/>
          <w:szCs w:val="24"/>
        </w:rPr>
        <w:t>亩林地，而</w:t>
      </w:r>
      <w:r>
        <w:rPr>
          <w:rFonts w:hint="eastAsia" w:ascii="Times New Roman" w:hAnsi="Times New Roman" w:eastAsia="宋体" w:cs="Times New Roman"/>
          <w:color w:val="auto"/>
          <w:sz w:val="24"/>
          <w:szCs w:val="24"/>
          <w:lang w:eastAsia="zh-CN"/>
        </w:rPr>
        <w:t>消纳面积约</w:t>
      </w:r>
      <w:r>
        <w:rPr>
          <w:rFonts w:hint="eastAsia" w:ascii="Times New Roman" w:hAnsi="Times New Roman" w:eastAsia="宋体" w:cs="Times New Roman"/>
          <w:color w:val="auto"/>
          <w:sz w:val="24"/>
          <w:szCs w:val="24"/>
          <w:lang w:val="en-US" w:eastAsia="zh-CN"/>
        </w:rPr>
        <w:t>1194</w:t>
      </w:r>
      <w:r>
        <w:rPr>
          <w:rFonts w:hint="eastAsia" w:ascii="Times New Roman" w:hAnsi="Times New Roman" w:eastAsia="宋体" w:cs="Times New Roman"/>
          <w:color w:val="auto"/>
          <w:sz w:val="24"/>
          <w:szCs w:val="24"/>
        </w:rPr>
        <w:t>亩土地。因此，本项目消纳区完全有能力消纳本项目产生的废水，从养分消纳角度分析可行。</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非灌溉期</w:t>
      </w:r>
      <w:r>
        <w:rPr>
          <w:rFonts w:hint="eastAsia" w:ascii="Times New Roman" w:hAnsi="Times New Roman" w:eastAsia="宋体" w:cs="Times New Roman"/>
          <w:color w:val="auto"/>
          <w:sz w:val="24"/>
          <w:szCs w:val="24"/>
          <w:lang w:val="en-US" w:eastAsia="zh-CN"/>
        </w:rPr>
        <w:t>/雨期废水</w:t>
      </w:r>
      <w:r>
        <w:rPr>
          <w:rFonts w:hint="eastAsia" w:ascii="Times New Roman" w:hAnsi="Times New Roman" w:eastAsia="宋体" w:cs="Times New Roman"/>
          <w:color w:val="auto"/>
          <w:sz w:val="24"/>
          <w:szCs w:val="24"/>
          <w:lang w:eastAsia="zh-CN"/>
        </w:rPr>
        <w:t>存储</w:t>
      </w:r>
      <w:r>
        <w:rPr>
          <w:rFonts w:hint="eastAsia" w:ascii="Times New Roman" w:hAnsi="Times New Roman" w:eastAsia="宋体" w:cs="Times New Roman"/>
          <w:color w:val="auto"/>
          <w:sz w:val="24"/>
          <w:szCs w:val="24"/>
        </w:rPr>
        <w:t>可行性</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按照《畜禽养殖业污染治理工程技术规范》（HJ497-2009）中 6.1.2.3“不得小于30d”的要求，确定本项目废水储存池容积不得低于</w:t>
      </w:r>
      <w:r>
        <w:rPr>
          <w:rFonts w:hint="eastAsia" w:ascii="Times New Roman" w:hAnsi="Times New Roman" w:eastAsia="宋体" w:cs="Times New Roman"/>
          <w:color w:val="auto"/>
          <w:sz w:val="24"/>
          <w:szCs w:val="24"/>
          <w:lang w:val="en-US" w:eastAsia="zh-CN"/>
        </w:rPr>
        <w:t>4686.6</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。非灌溉期污水处理站出水暂存该池子内，待灌溉期来临进入继续用于</w:t>
      </w:r>
      <w:r>
        <w:rPr>
          <w:rFonts w:hint="eastAsia" w:ascii="Times New Roman" w:hAnsi="Times New Roman" w:eastAsia="宋体" w:cs="Times New Roman"/>
          <w:color w:val="auto"/>
          <w:sz w:val="24"/>
          <w:szCs w:val="24"/>
          <w:lang w:eastAsia="zh-CN"/>
        </w:rPr>
        <w:t>林地</w:t>
      </w:r>
      <w:r>
        <w:rPr>
          <w:rFonts w:hint="eastAsia" w:ascii="Times New Roman" w:hAnsi="Times New Roman" w:eastAsia="宋体" w:cs="Times New Roman"/>
          <w:color w:val="auto"/>
          <w:sz w:val="24"/>
          <w:szCs w:val="24"/>
        </w:rPr>
        <w:t>灌溉。本项目拟在厂区中部设置容积为8000m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的暂存池，顶部加盖防雨，能够满足HJ497-2009要求。</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综上所述，本项目养殖废水经污水处理站处理达到《农田灌溉水质标准》（GB5084-2005）旱作灌溉标准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废水储存池容积满足本项目污水处理站出水储存要求；污水处理站出水用于消纳地内灌溉合理可行。采取上述措施后，项目运营期间不会对周围地表水环境产生较大的影响。</w:t>
      </w:r>
    </w:p>
    <w:p>
      <w:pPr>
        <w:pStyle w:val="7"/>
        <w:spacing w:before="0" w:after="0" w:line="360" w:lineRule="auto"/>
        <w:ind w:left="0" w:firstLine="0"/>
        <w:rPr>
          <w:rFonts w:cs="Times New Roman"/>
          <w:color w:val="auto"/>
        </w:rPr>
      </w:pPr>
      <w:bookmarkStart w:id="238" w:name="_Toc22582"/>
      <w:r>
        <w:rPr>
          <w:rFonts w:cs="Times New Roman"/>
          <w:color w:val="auto"/>
        </w:rPr>
        <w:t>地下水环境影响分析</w:t>
      </w:r>
      <w:bookmarkEnd w:id="238"/>
    </w:p>
    <w:p>
      <w:pPr>
        <w:pStyle w:val="8"/>
        <w:bidi w:val="0"/>
        <w:spacing w:line="360" w:lineRule="auto"/>
        <w:rPr>
          <w:rFonts w:hint="eastAsia" w:eastAsia="宋体" w:cs="Times New Roman"/>
          <w:bCs/>
          <w:color w:val="auto"/>
          <w:kern w:val="2"/>
          <w:sz w:val="24"/>
          <w:szCs w:val="28"/>
          <w:lang w:val="en-US" w:eastAsia="zh-CN" w:bidi="ar-SA"/>
        </w:rPr>
      </w:pPr>
      <w:r>
        <w:rPr>
          <w:rFonts w:hint="eastAsia" w:eastAsia="宋体" w:cs="Times New Roman"/>
          <w:bCs/>
          <w:color w:val="auto"/>
          <w:kern w:val="2"/>
          <w:sz w:val="24"/>
          <w:szCs w:val="28"/>
          <w:lang w:val="en-US" w:eastAsia="zh-CN" w:bidi="ar-SA"/>
        </w:rPr>
        <w:t>地下水评价范围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kern w:val="0"/>
          <w:sz w:val="24"/>
          <w:szCs w:val="24"/>
        </w:rPr>
      </w:pPr>
      <w:r>
        <w:rPr>
          <w:color w:val="auto"/>
          <w:sz w:val="24"/>
          <w:szCs w:val="24"/>
        </w:rPr>
        <w:t>根据《地下水环境影响评价技术导则-地下水环境》（HJ610-2016），地下水环境现状调查评价范围应包括于建设项目相关的地下水环境保护目标，以能说明地下水环境现状，反映调查评价区地下水基本渗流特征，满足地下水环境影响预测和评价为基本原则。</w:t>
      </w:r>
    </w:p>
    <w:p>
      <w:pPr>
        <w:tabs>
          <w:tab w:val="left" w:pos="1220"/>
        </w:tabs>
        <w:ind w:firstLine="504" w:firstLineChars="210"/>
        <w:rPr>
          <w:rFonts w:ascii="Times New Roman" w:hAnsi="Times New Roman" w:cs="Times New Roman"/>
          <w:bCs/>
          <w:color w:val="auto"/>
          <w:kern w:val="0"/>
          <w:sz w:val="24"/>
          <w:szCs w:val="24"/>
        </w:rPr>
      </w:pPr>
      <w:r>
        <w:rPr>
          <w:rFonts w:hint="eastAsia" w:ascii="Times New Roman" w:hAnsi="Times New Roman" w:cs="Times New Roman"/>
          <w:bCs/>
          <w:color w:val="auto"/>
          <w:kern w:val="0"/>
          <w:sz w:val="24"/>
          <w:szCs w:val="24"/>
        </w:rPr>
        <w:t>根据《环境影响评价技术导则</w:t>
      </w:r>
      <w:r>
        <w:rPr>
          <w:rFonts w:ascii="Times New Roman" w:hAnsi="Times New Roman" w:cs="Times New Roman"/>
          <w:bCs/>
          <w:color w:val="auto"/>
          <w:kern w:val="0"/>
          <w:sz w:val="24"/>
          <w:szCs w:val="24"/>
        </w:rPr>
        <w:t>--</w:t>
      </w:r>
      <w:r>
        <w:rPr>
          <w:rFonts w:hint="eastAsia" w:ascii="Times New Roman" w:hAnsi="Times New Roman" w:cs="Times New Roman"/>
          <w:bCs/>
          <w:color w:val="auto"/>
          <w:kern w:val="0"/>
          <w:sz w:val="24"/>
          <w:szCs w:val="24"/>
        </w:rPr>
        <w:t>地下水环境》</w:t>
      </w:r>
      <w:r>
        <w:rPr>
          <w:rFonts w:ascii="Times New Roman" w:hAnsi="Times New Roman" w:cs="Times New Roman"/>
          <w:bCs/>
          <w:color w:val="auto"/>
          <w:kern w:val="0"/>
          <w:sz w:val="24"/>
          <w:szCs w:val="24"/>
        </w:rPr>
        <w:t>(HJ610-2016)</w:t>
      </w:r>
      <w:r>
        <w:rPr>
          <w:rFonts w:hint="eastAsia" w:ascii="Times New Roman" w:hAnsi="Times New Roman" w:cs="Times New Roman"/>
          <w:bCs/>
          <w:color w:val="auto"/>
          <w:kern w:val="0"/>
          <w:sz w:val="24"/>
          <w:szCs w:val="24"/>
        </w:rPr>
        <w:t>中相关要求，地下水评价范围确定方法有公式法、查表法和自定义法三种，本评价采用公式法及自定义法确定项目地下水评价范围。</w:t>
      </w:r>
    </w:p>
    <w:p>
      <w:pPr>
        <w:tabs>
          <w:tab w:val="left" w:pos="1220"/>
        </w:tabs>
        <w:ind w:firstLine="504" w:firstLineChars="210"/>
        <w:rPr>
          <w:rFonts w:ascii="Times New Roman" w:hAnsi="Times New Roman" w:cs="Times New Roman"/>
          <w:bCs/>
          <w:color w:val="auto"/>
          <w:kern w:val="0"/>
          <w:sz w:val="24"/>
          <w:szCs w:val="24"/>
        </w:rPr>
      </w:pPr>
      <w:r>
        <w:rPr>
          <w:rFonts w:ascii="Times New Roman" w:hAnsi="Times New Roman" w:cs="Times New Roman"/>
          <w:bCs/>
          <w:color w:val="auto"/>
          <w:kern w:val="0"/>
          <w:sz w:val="24"/>
          <w:szCs w:val="24"/>
        </w:rPr>
        <w:t>当建设项目所在地水文地质条件相对简单，且所掌握的资料能够满足公式计算法的要求时，应采用公式计算法确定：</w:t>
      </w:r>
    </w:p>
    <w:p>
      <w:pPr>
        <w:tabs>
          <w:tab w:val="left" w:pos="1220"/>
        </w:tabs>
        <w:ind w:firstLine="504" w:firstLineChars="210"/>
        <w:rPr>
          <w:rFonts w:ascii="Times New Roman" w:hAnsi="Times New Roman" w:cs="Times New Roman"/>
          <w:bCs/>
          <w:color w:val="auto"/>
          <w:kern w:val="0"/>
          <w:sz w:val="24"/>
          <w:szCs w:val="24"/>
        </w:rPr>
      </w:pPr>
      <w:r>
        <w:rPr>
          <w:rFonts w:ascii="Times New Roman" w:hAnsi="Times New Roman" w:cs="Times New Roman"/>
          <w:bCs/>
          <w:color w:val="auto"/>
          <w:kern w:val="0"/>
          <w:sz w:val="24"/>
          <w:szCs w:val="24"/>
        </w:rPr>
        <w:t>L=α×K×I×T/ne</w:t>
      </w:r>
    </w:p>
    <w:p>
      <w:pPr>
        <w:tabs>
          <w:tab w:val="left" w:pos="1220"/>
        </w:tabs>
        <w:ind w:firstLine="504" w:firstLineChars="210"/>
        <w:rPr>
          <w:rFonts w:ascii="Times New Roman" w:hAnsi="Times New Roman" w:cs="Times New Roman"/>
          <w:bCs/>
          <w:color w:val="auto"/>
          <w:kern w:val="0"/>
          <w:sz w:val="24"/>
          <w:szCs w:val="24"/>
        </w:rPr>
      </w:pPr>
      <w:r>
        <w:rPr>
          <w:rFonts w:ascii="Times New Roman" w:hAnsi="Times New Roman" w:cs="Times New Roman"/>
          <w:bCs/>
          <w:color w:val="auto"/>
          <w:kern w:val="0"/>
          <w:sz w:val="24"/>
          <w:szCs w:val="24"/>
        </w:rPr>
        <w:t>式中：L—下游迁移距离</w:t>
      </w:r>
    </w:p>
    <w:p>
      <w:pPr>
        <w:tabs>
          <w:tab w:val="left" w:pos="1220"/>
        </w:tabs>
        <w:ind w:firstLine="504" w:firstLineChars="210"/>
        <w:rPr>
          <w:rFonts w:ascii="Times New Roman" w:hAnsi="Times New Roman" w:cs="Times New Roman"/>
          <w:bCs/>
          <w:color w:val="auto"/>
          <w:kern w:val="0"/>
          <w:sz w:val="24"/>
          <w:szCs w:val="24"/>
        </w:rPr>
      </w:pPr>
      <w:r>
        <w:rPr>
          <w:rFonts w:ascii="Times New Roman" w:hAnsi="Times New Roman" w:cs="Times New Roman"/>
          <w:bCs/>
          <w:color w:val="auto"/>
          <w:kern w:val="0"/>
          <w:sz w:val="24"/>
          <w:szCs w:val="24"/>
        </w:rPr>
        <w:t>α—变化系数，α≥1，一般取2；</w:t>
      </w:r>
    </w:p>
    <w:p>
      <w:pPr>
        <w:tabs>
          <w:tab w:val="left" w:pos="1220"/>
        </w:tabs>
        <w:ind w:firstLine="504" w:firstLineChars="210"/>
        <w:rPr>
          <w:rFonts w:ascii="Times New Roman" w:hAnsi="Times New Roman" w:cs="Times New Roman"/>
          <w:bCs/>
          <w:color w:val="auto"/>
          <w:kern w:val="0"/>
          <w:sz w:val="24"/>
          <w:szCs w:val="24"/>
        </w:rPr>
      </w:pPr>
      <w:r>
        <w:rPr>
          <w:rFonts w:ascii="Times New Roman" w:hAnsi="Times New Roman" w:cs="Times New Roman"/>
          <w:bCs/>
          <w:color w:val="auto"/>
          <w:kern w:val="0"/>
          <w:sz w:val="24"/>
          <w:szCs w:val="24"/>
        </w:rPr>
        <w:t>K—渗透系数，m/d（取</w:t>
      </w:r>
      <w:r>
        <w:rPr>
          <w:rFonts w:hint="eastAsia" w:ascii="Times New Roman" w:hAnsi="Times New Roman" w:cs="Times New Roman"/>
          <w:bCs/>
          <w:color w:val="auto"/>
          <w:kern w:val="0"/>
          <w:sz w:val="24"/>
          <w:szCs w:val="24"/>
        </w:rPr>
        <w:t>1.</w:t>
      </w:r>
      <w:r>
        <w:rPr>
          <w:rFonts w:hint="eastAsia" w:ascii="Times New Roman" w:hAnsi="Times New Roman" w:cs="Times New Roman"/>
          <w:bCs/>
          <w:color w:val="auto"/>
          <w:kern w:val="0"/>
          <w:sz w:val="24"/>
          <w:szCs w:val="24"/>
          <w:lang w:val="en-US" w:eastAsia="zh-CN"/>
        </w:rPr>
        <w:t>5</w:t>
      </w:r>
      <w:r>
        <w:rPr>
          <w:rFonts w:ascii="Times New Roman" w:hAnsi="Times New Roman" w:cs="Times New Roman"/>
          <w:bCs/>
          <w:color w:val="auto"/>
          <w:kern w:val="0"/>
          <w:sz w:val="24"/>
          <w:szCs w:val="24"/>
        </w:rPr>
        <w:t>m/d）；</w:t>
      </w:r>
    </w:p>
    <w:p>
      <w:pPr>
        <w:tabs>
          <w:tab w:val="left" w:pos="1220"/>
        </w:tabs>
        <w:ind w:firstLine="504" w:firstLineChars="210"/>
        <w:rPr>
          <w:rFonts w:ascii="Times New Roman" w:hAnsi="Times New Roman" w:cs="Times New Roman"/>
          <w:bCs/>
          <w:color w:val="auto"/>
          <w:kern w:val="0"/>
          <w:sz w:val="24"/>
          <w:szCs w:val="24"/>
        </w:rPr>
      </w:pPr>
      <w:r>
        <w:rPr>
          <w:rFonts w:ascii="Times New Roman" w:hAnsi="Times New Roman" w:cs="Times New Roman"/>
          <w:bCs/>
          <w:color w:val="auto"/>
          <w:kern w:val="0"/>
          <w:sz w:val="24"/>
          <w:szCs w:val="24"/>
        </w:rPr>
        <w:t>I—水力坡度，无量纲（0.00</w:t>
      </w:r>
      <w:r>
        <w:rPr>
          <w:rFonts w:hint="eastAsia" w:ascii="Times New Roman" w:hAnsi="Times New Roman" w:cs="Times New Roman"/>
          <w:bCs/>
          <w:color w:val="auto"/>
          <w:kern w:val="0"/>
          <w:sz w:val="24"/>
          <w:szCs w:val="24"/>
        </w:rPr>
        <w:t>5</w:t>
      </w:r>
      <w:r>
        <w:rPr>
          <w:rFonts w:ascii="Times New Roman" w:hAnsi="Times New Roman" w:cs="Times New Roman"/>
          <w:bCs/>
          <w:color w:val="auto"/>
          <w:kern w:val="0"/>
          <w:sz w:val="24"/>
          <w:szCs w:val="24"/>
        </w:rPr>
        <w:t>）；</w:t>
      </w:r>
    </w:p>
    <w:p>
      <w:pPr>
        <w:tabs>
          <w:tab w:val="left" w:pos="1220"/>
        </w:tabs>
        <w:ind w:firstLine="504" w:firstLineChars="210"/>
        <w:rPr>
          <w:rFonts w:ascii="Times New Roman" w:hAnsi="Times New Roman" w:cs="Times New Roman"/>
          <w:bCs/>
          <w:color w:val="auto"/>
          <w:kern w:val="0"/>
          <w:sz w:val="24"/>
          <w:szCs w:val="24"/>
        </w:rPr>
      </w:pPr>
      <w:r>
        <w:rPr>
          <w:rFonts w:ascii="Times New Roman" w:hAnsi="Times New Roman" w:cs="Times New Roman"/>
          <w:bCs/>
          <w:color w:val="auto"/>
          <w:kern w:val="0"/>
          <w:sz w:val="24"/>
          <w:szCs w:val="24"/>
        </w:rPr>
        <w:t>T—质点迁移天数，取值不小于5000d；</w:t>
      </w:r>
    </w:p>
    <w:p>
      <w:pPr>
        <w:tabs>
          <w:tab w:val="left" w:pos="1220"/>
        </w:tabs>
        <w:ind w:firstLine="504" w:firstLineChars="210"/>
        <w:rPr>
          <w:rFonts w:ascii="Times New Roman" w:hAnsi="Times New Roman" w:cs="Times New Roman"/>
          <w:bCs/>
          <w:color w:val="auto"/>
          <w:kern w:val="0"/>
          <w:sz w:val="24"/>
          <w:szCs w:val="24"/>
        </w:rPr>
      </w:pPr>
      <w:r>
        <w:rPr>
          <w:rFonts w:ascii="Times New Roman" w:hAnsi="Times New Roman" w:cs="Times New Roman"/>
          <w:bCs/>
          <w:color w:val="auto"/>
          <w:kern w:val="0"/>
          <w:sz w:val="24"/>
          <w:szCs w:val="24"/>
        </w:rPr>
        <w:t>ne—有效孔隙度，取0.</w:t>
      </w:r>
      <w:r>
        <w:rPr>
          <w:rFonts w:hint="eastAsia" w:ascii="Times New Roman" w:hAnsi="Times New Roman" w:cs="Times New Roman"/>
          <w:bCs/>
          <w:color w:val="auto"/>
          <w:kern w:val="0"/>
          <w:sz w:val="24"/>
          <w:szCs w:val="24"/>
          <w:lang w:val="en-US" w:eastAsia="zh-CN"/>
        </w:rPr>
        <w:t>26</w:t>
      </w:r>
      <w:r>
        <w:rPr>
          <w:rFonts w:ascii="Times New Roman" w:hAnsi="Times New Roman" w:cs="Times New Roman"/>
          <w:bCs/>
          <w:color w:val="auto"/>
          <w:kern w:val="0"/>
          <w:sz w:val="24"/>
          <w:szCs w:val="24"/>
        </w:rPr>
        <w:t>，无量纲。</w:t>
      </w:r>
    </w:p>
    <w:p>
      <w:pPr>
        <w:tabs>
          <w:tab w:val="left" w:pos="1220"/>
        </w:tabs>
        <w:ind w:firstLine="504" w:firstLineChars="210"/>
        <w:rPr>
          <w:rFonts w:ascii="Times New Roman" w:hAnsi="Times New Roman" w:cs="Times New Roman"/>
          <w:bCs/>
          <w:color w:val="auto"/>
          <w:kern w:val="0"/>
          <w:sz w:val="24"/>
          <w:szCs w:val="24"/>
        </w:rPr>
      </w:pPr>
      <w:r>
        <w:rPr>
          <w:rFonts w:hint="eastAsia" w:ascii="Times New Roman" w:hAnsi="Times New Roman" w:cs="Times New Roman"/>
          <w:bCs/>
          <w:color w:val="auto"/>
          <w:kern w:val="0"/>
          <w:sz w:val="24"/>
          <w:szCs w:val="24"/>
        </w:rPr>
        <w:t>经计算L为</w:t>
      </w:r>
      <w:r>
        <w:rPr>
          <w:rFonts w:hint="eastAsia" w:ascii="Times New Roman" w:hAnsi="Times New Roman" w:cs="Times New Roman"/>
          <w:bCs/>
          <w:color w:val="auto"/>
          <w:kern w:val="0"/>
          <w:sz w:val="24"/>
          <w:szCs w:val="24"/>
          <w:lang w:val="en-US" w:eastAsia="zh-CN"/>
        </w:rPr>
        <w:t>288</w:t>
      </w:r>
      <w:r>
        <w:rPr>
          <w:rFonts w:hint="eastAsia" w:ascii="Times New Roman" w:hAnsi="Times New Roman" w:cs="Times New Roman"/>
          <w:bCs/>
          <w:color w:val="auto"/>
          <w:kern w:val="0"/>
          <w:sz w:val="24"/>
          <w:szCs w:val="24"/>
        </w:rPr>
        <w:t>m。</w:t>
      </w:r>
    </w:p>
    <w:p>
      <w:pPr>
        <w:tabs>
          <w:tab w:val="left" w:pos="1220"/>
        </w:tabs>
        <w:ind w:firstLine="504" w:firstLineChars="210"/>
        <w:rPr>
          <w:rFonts w:hint="eastAsia" w:ascii="Times New Roman" w:hAnsi="Times New Roman" w:cs="Times New Roman"/>
          <w:bCs/>
          <w:color w:val="auto"/>
          <w:kern w:val="0"/>
          <w:sz w:val="24"/>
          <w:szCs w:val="24"/>
        </w:rPr>
      </w:pPr>
      <w:r>
        <w:rPr>
          <w:rFonts w:ascii="Times New Roman" w:hAnsi="Times New Roman" w:cs="Times New Roman"/>
          <w:bCs/>
          <w:color w:val="auto"/>
          <w:kern w:val="0"/>
          <w:sz w:val="24"/>
          <w:szCs w:val="24"/>
        </w:rPr>
        <w:t>本次地下水环境影响调查评价范围：</w:t>
      </w:r>
      <w:r>
        <w:rPr>
          <w:rFonts w:hint="eastAsia" w:ascii="Times New Roman" w:hAnsi="Times New Roman" w:cs="Times New Roman"/>
          <w:bCs/>
          <w:color w:val="auto"/>
          <w:kern w:val="0"/>
          <w:sz w:val="24"/>
          <w:szCs w:val="24"/>
        </w:rPr>
        <w:t>下游</w:t>
      </w:r>
      <w:r>
        <w:rPr>
          <w:rFonts w:ascii="Times New Roman" w:hAnsi="Times New Roman" w:cs="Times New Roman"/>
          <w:bCs/>
          <w:color w:val="auto"/>
          <w:kern w:val="0"/>
          <w:sz w:val="24"/>
          <w:szCs w:val="24"/>
        </w:rPr>
        <w:t>为</w:t>
      </w:r>
      <w:r>
        <w:rPr>
          <w:rFonts w:hint="eastAsia" w:ascii="Times New Roman" w:hAnsi="Times New Roman" w:cs="Times New Roman"/>
          <w:bCs/>
          <w:color w:val="auto"/>
          <w:kern w:val="0"/>
          <w:sz w:val="24"/>
          <w:szCs w:val="24"/>
          <w:lang w:val="en-US" w:eastAsia="zh-CN"/>
        </w:rPr>
        <w:t>288</w:t>
      </w:r>
      <w:r>
        <w:rPr>
          <w:rFonts w:hint="eastAsia" w:ascii="Times New Roman" w:hAnsi="Times New Roman" w:cs="Times New Roman"/>
          <w:bCs/>
          <w:color w:val="auto"/>
          <w:kern w:val="0"/>
          <w:sz w:val="24"/>
          <w:szCs w:val="24"/>
        </w:rPr>
        <w:t>m，两侧</w:t>
      </w:r>
      <w:r>
        <w:rPr>
          <w:rFonts w:hint="eastAsia" w:ascii="Times New Roman" w:hAnsi="Times New Roman" w:cs="Times New Roman"/>
          <w:bCs/>
          <w:color w:val="auto"/>
          <w:kern w:val="0"/>
          <w:sz w:val="24"/>
          <w:szCs w:val="24"/>
          <w:lang w:val="en-US" w:eastAsia="zh-CN"/>
        </w:rPr>
        <w:t>144</w:t>
      </w:r>
      <w:r>
        <w:rPr>
          <w:rFonts w:hint="eastAsia" w:ascii="Times New Roman" w:hAnsi="Times New Roman" w:cs="Times New Roman"/>
          <w:bCs/>
          <w:color w:val="auto"/>
          <w:kern w:val="0"/>
          <w:sz w:val="24"/>
          <w:szCs w:val="24"/>
        </w:rPr>
        <w:t>m。</w:t>
      </w:r>
      <w:r>
        <w:rPr>
          <w:rFonts w:ascii="Times New Roman" w:hAnsi="Times New Roman" w:cs="Times New Roman"/>
          <w:bCs/>
          <w:color w:val="auto"/>
          <w:kern w:val="0"/>
          <w:sz w:val="24"/>
          <w:szCs w:val="24"/>
        </w:rPr>
        <w:t>据测算，本项目地下水环境影响评价范围共计</w:t>
      </w:r>
      <w:r>
        <w:rPr>
          <w:rFonts w:hint="eastAsia" w:ascii="Times New Roman" w:hAnsi="Times New Roman" w:cs="Times New Roman"/>
          <w:bCs/>
          <w:color w:val="auto"/>
          <w:kern w:val="0"/>
          <w:sz w:val="24"/>
          <w:szCs w:val="24"/>
          <w:lang w:val="en-US" w:eastAsia="zh-CN"/>
        </w:rPr>
        <w:t>1.59</w:t>
      </w:r>
      <w:r>
        <w:rPr>
          <w:rFonts w:ascii="Times New Roman" w:hAnsi="Times New Roman" w:cs="Times New Roman"/>
          <w:bCs/>
          <w:color w:val="auto"/>
          <w:kern w:val="0"/>
          <w:sz w:val="24"/>
          <w:szCs w:val="24"/>
        </w:rPr>
        <w:t>km</w:t>
      </w:r>
      <w:r>
        <w:rPr>
          <w:rFonts w:ascii="Times New Roman" w:hAnsi="Times New Roman" w:cs="Times New Roman"/>
          <w:bCs/>
          <w:color w:val="auto"/>
          <w:kern w:val="0"/>
          <w:sz w:val="24"/>
          <w:szCs w:val="24"/>
          <w:vertAlign w:val="superscript"/>
        </w:rPr>
        <w:t>2</w:t>
      </w:r>
      <w:r>
        <w:rPr>
          <w:rFonts w:hint="eastAsia" w:ascii="Times New Roman" w:hAnsi="Times New Roman" w:cs="Times New Roman"/>
          <w:bCs/>
          <w:color w:val="auto"/>
          <w:kern w:val="0"/>
          <w:sz w:val="24"/>
          <w:szCs w:val="24"/>
        </w:rPr>
        <w:t>。</w:t>
      </w:r>
    </w:p>
    <w:p>
      <w:pPr>
        <w:pStyle w:val="110"/>
        <w:ind w:left="0" w:leftChars="0" w:firstLine="0" w:firstLineChars="0"/>
        <w:rPr>
          <w:color w:val="auto"/>
        </w:rPr>
      </w:pPr>
      <w:r>
        <w:rPr>
          <w:rFonts w:ascii="Times New Roman" w:hAnsi="Times New Roman" w:cs="Times New Roman"/>
          <w:bCs/>
          <w:color w:val="auto"/>
          <w:kern w:val="0"/>
          <w:sz w:val="24"/>
        </w:rPr>
        <w:pict>
          <v:rect id="_x0000_s2062" o:spid="_x0000_s2062" o:spt="1" style="position:absolute;left:0pt;margin-left:234.1pt;margin-top:164.05pt;height:81.7pt;width:95.15pt;z-index:251664384;mso-width-relative:page;mso-height-relative:page;" filled="f" stroked="f" coordsize="21600,21600">
            <v:path/>
            <v:fill on="f" focussize="0,0"/>
            <v:stroke on="f"/>
            <v:imagedata o:title=""/>
            <o:lock v:ext="edit" aspectratio="f"/>
            <v:textbox>
              <w:txbxContent>
                <w:p>
                  <w:pPr>
                    <w:rPr>
                      <w:color w:val="FFFF00"/>
                    </w:rPr>
                  </w:pPr>
                  <w:r>
                    <w:rPr>
                      <w:color w:val="FFFF00"/>
                    </w:rPr>
                    <w:t>地下水流向</w:t>
                  </w:r>
                </w:p>
              </w:txbxContent>
            </v:textbox>
          </v:rect>
        </w:pict>
      </w:r>
      <w:r>
        <w:rPr>
          <w:rFonts w:ascii="Times New Roman" w:hAnsi="Times New Roman" w:cs="Times New Roman"/>
          <w:bCs/>
          <w:color w:val="auto"/>
          <w:kern w:val="0"/>
          <w:sz w:val="24"/>
        </w:rPr>
        <w:pict>
          <v:shape id="_x0000_s2063" o:spid="_x0000_s2063" o:spt="32" type="#_x0000_t32" style="position:absolute;left:0pt;flip:x;margin-left:178.6pt;margin-top:169.4pt;height:27.45pt;width:75pt;z-index:251663360;mso-width-relative:page;mso-height-relative:page;" filled="f" stroked="t" coordsize="21600,21600">
            <v:path arrowok="t"/>
            <v:fill on="f" focussize="0,0"/>
            <v:stroke color="#FFFF00" endarrow="block"/>
            <v:imagedata o:title=""/>
            <o:lock v:ext="edit" aspectratio="f"/>
          </v:shape>
        </w:pict>
      </w:r>
      <w:r>
        <w:rPr>
          <w:color w:val="auto"/>
        </w:rPr>
        <w:drawing>
          <wp:inline distT="0" distB="0" distL="114300" distR="114300">
            <wp:extent cx="5272405" cy="3620770"/>
            <wp:effectExtent l="0" t="0" r="4445" b="177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47"/>
                    <a:stretch>
                      <a:fillRect/>
                    </a:stretch>
                  </pic:blipFill>
                  <pic:spPr>
                    <a:xfrm>
                      <a:off x="0" y="0"/>
                      <a:ext cx="5272405" cy="3620770"/>
                    </a:xfrm>
                    <a:prstGeom prst="rect">
                      <a:avLst/>
                    </a:prstGeom>
                    <a:noFill/>
                    <a:ln>
                      <a:noFill/>
                    </a:ln>
                  </pic:spPr>
                </pic:pic>
              </a:graphicData>
            </a:graphic>
          </wp:inline>
        </w:drawing>
      </w:r>
    </w:p>
    <w:p>
      <w:pPr>
        <w:pStyle w:val="46"/>
        <w:numPr>
          <w:ilvl w:val="0"/>
          <w:numId w:val="34"/>
        </w:numPr>
        <w:adjustRightInd w:val="0"/>
        <w:snapToGrid w:val="0"/>
        <w:spacing w:line="360" w:lineRule="auto"/>
        <w:ind w:left="425" w:leftChars="0" w:hanging="425" w:firstLineChars="0"/>
        <w:jc w:val="center"/>
        <w:rPr>
          <w:rFonts w:hint="eastAsia"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rPr>
        <w:t>项目地下水评价范围图</w:t>
      </w:r>
    </w:p>
    <w:p>
      <w:pPr>
        <w:pStyle w:val="8"/>
        <w:bidi w:val="0"/>
        <w:spacing w:line="360" w:lineRule="auto"/>
        <w:rPr>
          <w:rFonts w:hint="eastAsia" w:ascii="Times New Roman" w:hAnsi="Times New Roman" w:eastAsia="宋体" w:cs="Times New Roman"/>
          <w:bCs/>
          <w:color w:val="auto"/>
          <w:kern w:val="2"/>
          <w:sz w:val="24"/>
          <w:szCs w:val="28"/>
          <w:lang w:val="en-US" w:eastAsia="zh-CN" w:bidi="ar-SA"/>
        </w:rPr>
      </w:pPr>
      <w:r>
        <w:rPr>
          <w:rFonts w:hint="eastAsia" w:ascii="Times New Roman" w:hAnsi="Times New Roman" w:eastAsia="宋体" w:cs="Times New Roman"/>
          <w:bCs/>
          <w:color w:val="auto"/>
          <w:kern w:val="2"/>
          <w:sz w:val="24"/>
          <w:szCs w:val="28"/>
          <w:lang w:val="en-US" w:eastAsia="zh-CN" w:bidi="ar-SA"/>
        </w:rPr>
        <w:t>地下水评价要求</w:t>
      </w:r>
    </w:p>
    <w:p>
      <w:pPr>
        <w:tabs>
          <w:tab w:val="left" w:pos="1220"/>
        </w:tabs>
        <w:ind w:firstLine="504" w:firstLineChars="210"/>
        <w:rPr>
          <w:rFonts w:hint="default" w:ascii="Times New Roman" w:hAnsi="Times New Roman" w:cs="Times New Roman"/>
          <w:bCs/>
          <w:color w:val="auto"/>
          <w:kern w:val="0"/>
          <w:sz w:val="24"/>
          <w:szCs w:val="24"/>
          <w:lang w:val="en-US" w:eastAsia="zh-CN"/>
        </w:rPr>
      </w:pPr>
      <w:r>
        <w:rPr>
          <w:rFonts w:hint="eastAsia" w:ascii="Times New Roman" w:hAnsi="Times New Roman" w:cs="Times New Roman"/>
          <w:bCs/>
          <w:color w:val="auto"/>
          <w:kern w:val="0"/>
          <w:sz w:val="24"/>
          <w:szCs w:val="24"/>
          <w:lang w:eastAsia="zh-CN"/>
        </w:rPr>
        <w:t>本项目评价等级为三级评价项目，根据《环境影响评价技术导则 地下水环境》（HJ610-2016）中相关要求，“</w:t>
      </w:r>
      <w:r>
        <w:rPr>
          <w:rFonts w:hint="eastAsia" w:ascii="Times New Roman" w:hAnsi="Times New Roman" w:cs="Times New Roman"/>
          <w:bCs/>
          <w:color w:val="auto"/>
          <w:kern w:val="0"/>
          <w:sz w:val="24"/>
          <w:szCs w:val="24"/>
          <w:lang w:val="en-US" w:eastAsia="zh-CN"/>
        </w:rPr>
        <w:t>7.4三级评价要求 7.4.1 了解调查评价区和场地环境水文地质条件。7.4.2基本掌握调查评价区的地下水补径排条件和地下水环境质量现状，7.4.3采用解析法或类比分析法进行地下水影响分析与评价。7.4.4 提出切实可行的环境保护措施与地下水环境影响跟踪监测计划，”。</w:t>
      </w:r>
    </w:p>
    <w:p>
      <w:pPr>
        <w:pStyle w:val="110"/>
        <w:ind w:left="0" w:leftChars="0" w:firstLine="0" w:firstLineChars="0"/>
        <w:rPr>
          <w:rFonts w:hint="eastAsia"/>
          <w:color w:val="auto"/>
          <w:lang w:eastAsia="zh-CN"/>
        </w:rPr>
      </w:pPr>
    </w:p>
    <w:p>
      <w:pPr>
        <w:rPr>
          <w:rFonts w:ascii="Times New Roman" w:hAnsi="Times New Roman" w:cs="Times New Roman"/>
          <w:bCs/>
          <w:color w:val="auto"/>
          <w:kern w:val="0"/>
          <w:sz w:val="24"/>
        </w:rPr>
      </w:pPr>
      <w:r>
        <w:rPr>
          <w:color w:val="auto"/>
        </w:rPr>
        <w:br w:type="page"/>
      </w:r>
    </w:p>
    <w:p>
      <w:pPr>
        <w:pStyle w:val="8"/>
        <w:bidi w:val="0"/>
        <w:spacing w:line="360" w:lineRule="auto"/>
        <w:rPr>
          <w:rFonts w:hint="eastAsia" w:ascii="Times New Roman" w:hAnsi="Times New Roman" w:eastAsia="宋体" w:cs="Times New Roman"/>
          <w:bCs/>
          <w:color w:val="auto"/>
          <w:kern w:val="2"/>
          <w:sz w:val="24"/>
          <w:szCs w:val="28"/>
          <w:lang w:val="en-US" w:eastAsia="zh-CN" w:bidi="ar-SA"/>
        </w:rPr>
      </w:pPr>
      <w:r>
        <w:rPr>
          <w:rFonts w:hint="eastAsia" w:ascii="Times New Roman" w:hAnsi="Times New Roman" w:eastAsia="宋体" w:cs="Times New Roman"/>
          <w:bCs/>
          <w:color w:val="auto"/>
          <w:kern w:val="2"/>
          <w:sz w:val="24"/>
          <w:szCs w:val="28"/>
          <w:lang w:val="en-US" w:eastAsia="zh-CN" w:bidi="ar-SA"/>
        </w:rPr>
        <w:t>水文地质</w:t>
      </w:r>
    </w:p>
    <w:p>
      <w:pPr>
        <w:spacing w:line="360" w:lineRule="auto"/>
        <w:ind w:firstLine="480"/>
        <w:rPr>
          <w:rFonts w:hint="eastAsia" w:ascii="Times New Roman" w:hAnsi="Times New Roman" w:eastAsia="宋体" w:cs="Times New Roman"/>
          <w:snapToGrid w:val="0"/>
          <w:color w:val="auto"/>
          <w:kern w:val="0"/>
          <w:sz w:val="24"/>
          <w:szCs w:val="24"/>
          <w:lang w:val="zh-CN" w:eastAsia="zh-CN" w:bidi="ar-SA"/>
        </w:rPr>
      </w:pPr>
      <w:r>
        <w:rPr>
          <w:rFonts w:hint="eastAsia" w:ascii="Times New Roman" w:hAnsi="Times New Roman" w:eastAsia="宋体" w:cs="Times New Roman"/>
          <w:snapToGrid w:val="0"/>
          <w:color w:val="auto"/>
          <w:kern w:val="0"/>
          <w:sz w:val="24"/>
          <w:szCs w:val="24"/>
          <w:lang w:val="en-US" w:eastAsia="zh-CN" w:bidi="ar-SA"/>
        </w:rPr>
        <w:t>根据工程区地下水赋存条件和含水介质特性、岩性及其组合的特点，</w:t>
      </w:r>
      <w:r>
        <w:rPr>
          <w:rFonts w:hint="eastAsia" w:ascii="Times New Roman" w:hAnsi="Times New Roman" w:eastAsia="宋体" w:cs="Times New Roman"/>
          <w:snapToGrid w:val="0"/>
          <w:color w:val="auto"/>
          <w:kern w:val="0"/>
          <w:sz w:val="24"/>
          <w:szCs w:val="24"/>
          <w:lang w:val="zh-CN" w:eastAsia="zh-CN" w:bidi="ar-SA"/>
        </w:rPr>
        <w:t>工程场区内地下水类型主要为基岩裂隙水。基岩裂隙水主要为赋存在红层裂隙水中以层间裂隙承压水为主的浅部裂隙水，下部层间裂隙承压水，一般单位涌水量5~50t/d·m。</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）评价关注地层</w:t>
      </w:r>
    </w:p>
    <w:p>
      <w:pPr>
        <w:spacing w:line="360" w:lineRule="auto"/>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工程区域地面出露为中生界</w:t>
      </w:r>
      <w:r>
        <w:rPr>
          <w:rFonts w:hint="eastAsia" w:ascii="Times New Roman" w:hAnsi="Times New Roman" w:eastAsia="宋体" w:cs="Times New Roman"/>
          <w:color w:val="auto"/>
          <w:sz w:val="24"/>
          <w:szCs w:val="24"/>
        </w:rPr>
        <w:t>白垩</w:t>
      </w:r>
      <w:r>
        <w:rPr>
          <w:rFonts w:ascii="Times New Roman" w:hAnsi="Times New Roman" w:eastAsia="宋体" w:cs="Times New Roman"/>
          <w:color w:val="auto"/>
          <w:sz w:val="24"/>
          <w:szCs w:val="24"/>
        </w:rPr>
        <w:t>系</w:t>
      </w:r>
      <w:r>
        <w:rPr>
          <w:rFonts w:hint="eastAsia" w:ascii="Times New Roman" w:hAnsi="Times New Roman" w:eastAsia="宋体" w:cs="Times New Roman"/>
          <w:color w:val="auto"/>
          <w:sz w:val="24"/>
          <w:szCs w:val="24"/>
        </w:rPr>
        <w:t>城墙岩群</w:t>
      </w:r>
      <w:r>
        <w:rPr>
          <w:rFonts w:hint="eastAsia" w:ascii="Times New Roman" w:hAnsi="Times New Roman" w:eastAsia="宋体" w:cs="Times New Roman"/>
          <w:color w:val="auto"/>
          <w:sz w:val="24"/>
          <w:szCs w:val="24"/>
          <w:lang w:eastAsia="zh-CN"/>
        </w:rPr>
        <w:t>下段</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K</w:t>
      </w:r>
      <w:r>
        <w:rPr>
          <w:rFonts w:hint="eastAsia" w:ascii="Times New Roman" w:hAnsi="Times New Roman" w:eastAsia="宋体" w:cs="Times New Roman"/>
          <w:color w:val="auto"/>
          <w:sz w:val="24"/>
          <w:szCs w:val="24"/>
          <w:lang w:val="en-US" w:eastAsia="zh-CN"/>
        </w:rPr>
        <w:t>c</w:t>
      </w:r>
      <w:r>
        <w:rPr>
          <w:rFonts w:ascii="Times New Roman" w:hAnsi="Times New Roman" w:eastAsia="宋体" w:cs="Times New Roman"/>
          <w:i/>
          <w:color w:val="auto"/>
          <w:sz w:val="24"/>
          <w:szCs w:val="24"/>
        </w:rPr>
        <w:t>h</w:t>
      </w:r>
      <w:r>
        <w:rPr>
          <w:rFonts w:hint="eastAsia" w:ascii="Times New Roman" w:hAnsi="Times New Roman" w:eastAsia="宋体" w:cs="Times New Roman"/>
          <w:i/>
          <w:color w:val="auto"/>
          <w:sz w:val="24"/>
          <w:szCs w:val="24"/>
          <w:vertAlign w:val="superscript"/>
          <w:lang w:val="en-US" w:eastAsia="zh-CN"/>
        </w:rPr>
        <w:t>1</w:t>
      </w:r>
      <w:r>
        <w:rPr>
          <w:rFonts w:ascii="Times New Roman" w:hAnsi="Times New Roman" w:eastAsia="宋体" w:cs="Times New Roman"/>
          <w:color w:val="auto"/>
          <w:sz w:val="24"/>
          <w:szCs w:val="24"/>
        </w:rPr>
        <w:t>），该组地层为</w:t>
      </w:r>
      <w:r>
        <w:rPr>
          <w:rFonts w:hint="eastAsia" w:ascii="Times New Roman" w:hAnsi="Times New Roman" w:eastAsia="宋体" w:cs="Times New Roman"/>
          <w:color w:val="auto"/>
          <w:sz w:val="24"/>
          <w:szCs w:val="24"/>
          <w:lang w:eastAsia="zh-CN"/>
        </w:rPr>
        <w:t>中</w:t>
      </w:r>
      <w:r>
        <w:rPr>
          <w:rFonts w:hint="eastAsia" w:ascii="Times New Roman" w:hAnsi="Times New Roman" w:eastAsia="宋体" w:cs="Times New Roman"/>
          <w:color w:val="auto"/>
          <w:sz w:val="24"/>
          <w:szCs w:val="24"/>
          <w:lang w:val="en-US" w:eastAsia="zh-CN"/>
        </w:rPr>
        <w:t>-厚层长石石英砂岩、含岩屑长石石英砂岩，粉砂岩及泥岩呈不等厚互层。组成方山地形，上段主要含浅层裂隙水；下段含浅层裂隙水及层间裂隙承压水</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浅层裂隙水，泉（井）流量</w:t>
      </w:r>
      <w:r>
        <w:rPr>
          <w:rFonts w:hint="eastAsia" w:ascii="Times New Roman" w:hAnsi="Times New Roman" w:eastAsia="宋体" w:cs="Times New Roman"/>
          <w:color w:val="auto"/>
          <w:sz w:val="24"/>
          <w:szCs w:val="24"/>
          <w:lang w:val="en-US" w:eastAsia="zh-CN"/>
        </w:rPr>
        <w:t>0.05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0.5升/秒，地下径流系数模数0.2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0.6升/秒</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平方公里为重碳酸钙型水，矿化度为0.1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0.3克/升</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层间水，钻孔</w:t>
      </w:r>
      <w:r>
        <w:rPr>
          <w:rFonts w:ascii="Times New Roman" w:hAnsi="Times New Roman" w:eastAsia="宋体" w:cs="Times New Roman"/>
          <w:color w:val="auto"/>
          <w:sz w:val="24"/>
          <w:szCs w:val="24"/>
        </w:rPr>
        <w:t>单位涌水量</w:t>
      </w:r>
      <w:r>
        <w:rPr>
          <w:rFonts w:hint="eastAsia" w:ascii="Times New Roman" w:hAnsi="Times New Roman" w:eastAsia="宋体" w:cs="Times New Roman"/>
          <w:color w:val="auto"/>
          <w:sz w:val="24"/>
          <w:szCs w:val="24"/>
          <w:lang w:val="zh-CN"/>
        </w:rPr>
        <w:t>5</w:t>
      </w:r>
      <w:r>
        <w:rPr>
          <w:rFonts w:ascii="Times New Roman" w:hAnsi="Times New Roman" w:eastAsia="宋体" w:cs="Times New Roman"/>
          <w:color w:val="auto"/>
          <w:sz w:val="24"/>
          <w:szCs w:val="24"/>
          <w:lang w:val="zh-CN"/>
        </w:rPr>
        <w:t>~50t/d·m</w:t>
      </w: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en-US" w:eastAsia="zh-CN"/>
        </w:rPr>
        <w:t>重碳酸钙型水，矿化度为0.2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0.5克/升</w:t>
      </w:r>
      <w:r>
        <w:rPr>
          <w:rFonts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zh-CN"/>
        </w:rPr>
        <w:t>主要分布于图幅南部，呈中低山地貌，浅部普遍具风化带，层厚362~477m。</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）水文地质</w:t>
      </w:r>
      <w:r>
        <w:rPr>
          <w:rFonts w:hint="eastAsia" w:ascii="Times New Roman" w:hAnsi="Times New Roman" w:eastAsia="宋体" w:cs="Times New Roman"/>
          <w:color w:val="auto"/>
          <w:sz w:val="24"/>
          <w:szCs w:val="24"/>
        </w:rPr>
        <w:t>及水化学</w:t>
      </w:r>
      <w:r>
        <w:rPr>
          <w:rFonts w:ascii="Times New Roman" w:hAnsi="Times New Roman" w:eastAsia="宋体" w:cs="Times New Roman"/>
          <w:color w:val="auto"/>
          <w:sz w:val="24"/>
          <w:szCs w:val="24"/>
        </w:rPr>
        <w:t>特征</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根据区域水文地质普查报告及区域综合水文地质图可知，工程区域出露地层为</w:t>
      </w:r>
      <w:r>
        <w:rPr>
          <w:rFonts w:ascii="Times New Roman" w:hAnsi="Times New Roman" w:eastAsia="宋体" w:cs="Times New Roman"/>
          <w:color w:val="auto"/>
          <w:sz w:val="24"/>
          <w:szCs w:val="24"/>
        </w:rPr>
        <w:t>中生界</w:t>
      </w:r>
      <w:r>
        <w:rPr>
          <w:rFonts w:hint="eastAsia" w:ascii="Times New Roman" w:hAnsi="Times New Roman" w:eastAsia="宋体" w:cs="Times New Roman"/>
          <w:color w:val="auto"/>
          <w:sz w:val="24"/>
          <w:szCs w:val="24"/>
        </w:rPr>
        <w:t>白垩</w:t>
      </w:r>
      <w:r>
        <w:rPr>
          <w:rFonts w:ascii="Times New Roman" w:hAnsi="Times New Roman" w:eastAsia="宋体" w:cs="Times New Roman"/>
          <w:color w:val="auto"/>
          <w:sz w:val="24"/>
          <w:szCs w:val="24"/>
        </w:rPr>
        <w:t>系</w:t>
      </w:r>
      <w:r>
        <w:rPr>
          <w:rFonts w:hint="eastAsia" w:ascii="Times New Roman" w:hAnsi="Times New Roman" w:eastAsia="宋体" w:cs="Times New Roman"/>
          <w:color w:val="auto"/>
          <w:sz w:val="24"/>
          <w:szCs w:val="24"/>
        </w:rPr>
        <w:t>城墙岩群</w:t>
      </w:r>
      <w:r>
        <w:rPr>
          <w:rFonts w:hint="eastAsia" w:ascii="Times New Roman" w:hAnsi="Times New Roman" w:eastAsia="宋体" w:cs="Times New Roman"/>
          <w:color w:val="auto"/>
          <w:sz w:val="24"/>
          <w:szCs w:val="24"/>
          <w:lang w:eastAsia="zh-CN"/>
        </w:rPr>
        <w:t>下段</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K</w:t>
      </w:r>
      <w:r>
        <w:rPr>
          <w:rFonts w:hint="eastAsia" w:ascii="Times New Roman" w:hAnsi="Times New Roman" w:eastAsia="宋体" w:cs="Times New Roman"/>
          <w:color w:val="auto"/>
          <w:sz w:val="24"/>
          <w:szCs w:val="24"/>
          <w:lang w:val="en-US" w:eastAsia="zh-CN"/>
        </w:rPr>
        <w:t>c</w:t>
      </w:r>
      <w:r>
        <w:rPr>
          <w:rFonts w:ascii="Times New Roman" w:hAnsi="Times New Roman" w:eastAsia="宋体" w:cs="Times New Roman"/>
          <w:i/>
          <w:color w:val="auto"/>
          <w:sz w:val="24"/>
          <w:szCs w:val="24"/>
        </w:rPr>
        <w:t>h</w:t>
      </w:r>
      <w:r>
        <w:rPr>
          <w:rFonts w:hint="eastAsia" w:ascii="Times New Roman" w:hAnsi="Times New Roman" w:eastAsia="宋体" w:cs="Times New Roman"/>
          <w:i/>
          <w:color w:val="auto"/>
          <w:sz w:val="24"/>
          <w:szCs w:val="24"/>
          <w:vertAlign w:val="superscript"/>
          <w:lang w:val="en-US" w:eastAsia="zh-CN"/>
        </w:rPr>
        <w:t>1</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，其地下水类型为红层浅部裂隙水，井泉流量一般0.0</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~0.5L/s，地下水迳流模数</w:t>
      </w:r>
      <w:r>
        <w:rPr>
          <w:rFonts w:hint="eastAsia" w:ascii="Times New Roman" w:hAnsi="Times New Roman" w:eastAsia="宋体" w:cs="Times New Roman"/>
          <w:color w:val="auto"/>
          <w:sz w:val="24"/>
          <w:szCs w:val="24"/>
          <w:lang w:val="zh-CN"/>
        </w:rPr>
        <w:t>0.</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en-US" w:eastAsia="zh-CN"/>
        </w:rPr>
        <w:t>0.6</w:t>
      </w:r>
      <w:r>
        <w:rPr>
          <w:rFonts w:hint="eastAsia" w:ascii="Times New Roman" w:hAnsi="Times New Roman" w:eastAsia="宋体" w:cs="Times New Roman"/>
          <w:color w:val="auto"/>
          <w:sz w:val="24"/>
          <w:szCs w:val="24"/>
          <w:lang w:val="zh-CN"/>
        </w:rPr>
        <w:t>L/s·km2</w:t>
      </w:r>
      <w:r>
        <w:rPr>
          <w:rFonts w:hint="eastAsia" w:ascii="Times New Roman" w:hAnsi="Times New Roman" w:eastAsia="宋体" w:cs="Times New Roman"/>
          <w:color w:val="auto"/>
          <w:sz w:val="24"/>
          <w:szCs w:val="24"/>
        </w:rPr>
        <w:t>，单位涌水量</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zh-CN"/>
        </w:rPr>
        <w:t>~50t/d·m。为重碳酸钙型水，</w:t>
      </w:r>
      <w:r>
        <w:rPr>
          <w:rFonts w:hint="eastAsia" w:ascii="Times New Roman" w:hAnsi="Times New Roman" w:eastAsia="宋体" w:cs="Times New Roman"/>
          <w:color w:val="auto"/>
          <w:sz w:val="24"/>
          <w:szCs w:val="24"/>
        </w:rPr>
        <w:t>矿化度0.2~0.</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g/L。</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3</w:t>
      </w:r>
      <w:r>
        <w:rPr>
          <w:rFonts w:hint="eastAsia" w:ascii="Times New Roman" w:hAnsi="Times New Roman" w:eastAsia="宋体" w:cs="Times New Roman"/>
          <w:bCs/>
          <w:color w:val="auto"/>
          <w:sz w:val="24"/>
          <w:szCs w:val="24"/>
        </w:rPr>
        <w:t>）补给、径流、排泄特征</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一般山顶及山坡为地下水入渗补给区，主要接受大气降水垂直补给，通过砂岩、泥岩中的孔隙、风化裂隙向沟谷局部的侵蚀基准面运移，斜坡台地中后部、山脚及谷底低洼区为地下水浅埋区；山坡下部靠近埋藏区的斜坡为地下水的补给迳流区，同样接受大气降水补给，同时地下水沿风化带裂隙向沟谷埋藏区迳流或以下降泉的形式及在相对隔水的层面排泄；地下水在沟谷底会向更低的侵蚀基准面，由沟头向沟尾，支沟向主沟，缓慢的径流、排泄、入渗、径流、排泄过程；每个小的沟域都可能形成独立的补迳排地下水系统。</w:t>
      </w:r>
    </w:p>
    <w:p>
      <w:pPr>
        <w:spacing w:line="360" w:lineRule="auto"/>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大气降水是地下水的主要补给来源，受降水量、地貌、植被和岩石风化裂隙发育等因素影响，补给随地面条件而变化，大多数情况下，缓坡、谷地或浅切割的地区、地表植物茂盛、裂隙发育的地段补给量大；反之，补给量小。</w:t>
      </w:r>
    </w:p>
    <w:p>
      <w:pPr>
        <w:spacing w:line="360" w:lineRule="auto"/>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含水层在露头区接受降水补给后，一部分地下水顺层作短暂运移到地形低洼处分散溢出地表；一部分则沿裂隙或裂隙溶洞下渗向深部运移，直至裂隙发育段之下界或含水岩组，然后回升再沿走向运动，在沟谷或斜坡台地切割处以泉的形式排泄。</w:t>
      </w:r>
    </w:p>
    <w:p>
      <w:pPr>
        <w:spacing w:line="360" w:lineRule="auto"/>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浅部地下水的循环还受地貌的影响，一般在切割较剧烈的窄谷地带，迳流途径短、速度快，泉水动态明显受降水影响，而在地形平缓的宽谷地带，迳流途迳长，速度缓慢。</w:t>
      </w:r>
    </w:p>
    <w:p>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风化带裂隙水地下水渗流场主要受地形地貌控制。斜坡为入渗补给和强烈交替带，沟谷为埋藏储集区。补给来源主要有大气降水、农灌水、塘库堰水及渠系水。低山区地形相对陡峻，水力坡度大，地下水交替循环强烈；广大低山区沟谷横向坡度大，地下水交替循环较强烈，纵向水力坡度一般较小，地下水交替循环较弱。沟谷埋藏带地下水以泉和渗流形式向低洼沟谷排泄。地下水在含水层中的运移方式主要有沿层面裂隙作水平方向迳流和上下裂隙间的相互补给迳流。一般表现为就地补给，就近排泄，排泄面受地形起伏限制，支离破碎，没有区域性联系。水位埋深与地形切割关系密切，丘陵区一般小于4m。低山区，地形起伏较大，沟谷切割强烈，地下水位埋深较大，山坡边缘水位埋深增大，有的达20m以上。</w:t>
      </w:r>
    </w:p>
    <w:p>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本工程场址</w:t>
      </w:r>
      <w:r>
        <w:rPr>
          <w:rFonts w:ascii="Times New Roman" w:hAnsi="Times New Roman" w:eastAsia="宋体" w:cs="Times New Roman"/>
          <w:b/>
          <w:color w:val="auto"/>
          <w:sz w:val="24"/>
          <w:szCs w:val="24"/>
        </w:rPr>
        <w:t>周围500m范围内无</w:t>
      </w:r>
      <w:r>
        <w:rPr>
          <w:rFonts w:hint="eastAsia" w:ascii="Times New Roman" w:hAnsi="Times New Roman" w:eastAsia="宋体" w:cs="Times New Roman"/>
          <w:b/>
          <w:color w:val="auto"/>
          <w:sz w:val="24"/>
          <w:szCs w:val="24"/>
        </w:rPr>
        <w:t>集中式地下水取水口、地下暗河等控制性水点，项目</w:t>
      </w:r>
      <w:r>
        <w:rPr>
          <w:rFonts w:ascii="Times New Roman" w:hAnsi="Times New Roman" w:eastAsia="宋体" w:cs="Times New Roman"/>
          <w:b/>
          <w:color w:val="auto"/>
          <w:sz w:val="24"/>
          <w:szCs w:val="24"/>
        </w:rPr>
        <w:t>区域水文地质</w:t>
      </w:r>
      <w:r>
        <w:rPr>
          <w:rFonts w:hint="eastAsia" w:ascii="Times New Roman" w:hAnsi="Times New Roman" w:eastAsia="宋体" w:cs="Times New Roman"/>
          <w:b/>
          <w:color w:val="auto"/>
          <w:sz w:val="24"/>
          <w:szCs w:val="24"/>
        </w:rPr>
        <w:t>图</w:t>
      </w:r>
      <w:r>
        <w:rPr>
          <w:rFonts w:ascii="Times New Roman" w:hAnsi="Times New Roman" w:eastAsia="宋体" w:cs="Times New Roman"/>
          <w:b/>
          <w:color w:val="auto"/>
          <w:sz w:val="24"/>
          <w:szCs w:val="24"/>
        </w:rPr>
        <w:t>见附图9。</w:t>
      </w:r>
    </w:p>
    <w:p>
      <w:pPr>
        <w:pStyle w:val="8"/>
        <w:rPr>
          <w:rFonts w:cs="Times New Roman"/>
          <w:color w:val="auto"/>
        </w:rPr>
      </w:pPr>
      <w:r>
        <w:rPr>
          <w:rFonts w:cs="Times New Roman"/>
          <w:color w:val="auto"/>
        </w:rPr>
        <w:t>泄漏量</w:t>
      </w:r>
      <w:r>
        <w:rPr>
          <w:rFonts w:hint="eastAsia" w:cs="Times New Roman"/>
          <w:color w:val="auto"/>
        </w:rPr>
        <w:t>及源强</w:t>
      </w:r>
      <w:r>
        <w:rPr>
          <w:rFonts w:cs="Times New Roman"/>
          <w:color w:val="auto"/>
        </w:rPr>
        <w:t>核算</w:t>
      </w:r>
    </w:p>
    <w:p>
      <w:pPr>
        <w:tabs>
          <w:tab w:val="left" w:pos="1220"/>
        </w:tabs>
        <w:ind w:firstLine="504" w:firstLineChars="210"/>
        <w:rPr>
          <w:rFonts w:ascii="Times New Roman" w:hAnsi="Times New Roman" w:cs="Times New Roman"/>
          <w:bCs/>
          <w:color w:val="auto"/>
          <w:kern w:val="0"/>
          <w:sz w:val="24"/>
        </w:rPr>
      </w:pPr>
      <w:r>
        <w:rPr>
          <w:rFonts w:hint="eastAsia" w:ascii="Times New Roman" w:hAnsi="Times New Roman" w:cs="Times New Roman"/>
          <w:bCs/>
          <w:color w:val="auto"/>
          <w:kern w:val="0"/>
          <w:sz w:val="24"/>
        </w:rPr>
        <w:t>根据本项目运行状况分析，项目正常运行状况下对地下水环境影响极小。</w:t>
      </w:r>
    </w:p>
    <w:p>
      <w:pPr>
        <w:tabs>
          <w:tab w:val="left" w:pos="1220"/>
        </w:tabs>
        <w:ind w:firstLine="504" w:firstLineChars="210"/>
        <w:rPr>
          <w:rFonts w:ascii="Times New Roman" w:hAnsi="Times New Roman" w:cs="Times New Roman"/>
          <w:bCs/>
          <w:color w:val="auto"/>
          <w:kern w:val="0"/>
          <w:sz w:val="24"/>
        </w:rPr>
      </w:pPr>
      <w:r>
        <w:rPr>
          <w:rFonts w:hint="eastAsia" w:ascii="Times New Roman" w:hAnsi="Times New Roman" w:cs="Times New Roman"/>
          <w:bCs/>
          <w:color w:val="auto"/>
          <w:kern w:val="0"/>
          <w:sz w:val="24"/>
          <w:lang w:eastAsia="zh-CN"/>
        </w:rPr>
        <w:t>粪尿收集池</w:t>
      </w:r>
      <w:r>
        <w:rPr>
          <w:rFonts w:hint="eastAsia" w:ascii="Times New Roman" w:hAnsi="Times New Roman" w:cs="Times New Roman"/>
          <w:bCs/>
          <w:color w:val="auto"/>
          <w:kern w:val="0"/>
          <w:sz w:val="24"/>
        </w:rPr>
        <w:t>底部泄漏后不易被发现，选取最不利区域，考虑池体</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lang w:val="en-US" w:eastAsia="zh-CN"/>
        </w:rPr>
        <w:t>400m</w:t>
      </w:r>
      <w:r>
        <w:rPr>
          <w:rFonts w:hint="eastAsia" w:ascii="Times New Roman" w:hAnsi="Times New Roman" w:cs="Times New Roman"/>
          <w:bCs/>
          <w:color w:val="auto"/>
          <w:kern w:val="0"/>
          <w:sz w:val="24"/>
          <w:vertAlign w:val="superscript"/>
          <w:lang w:val="en-US" w:eastAsia="zh-CN"/>
        </w:rPr>
        <w:t>3</w:t>
      </w:r>
      <w:r>
        <w:rPr>
          <w:rFonts w:hint="eastAsia" w:ascii="Times New Roman" w:hAnsi="Times New Roman" w:cs="Times New Roman"/>
          <w:bCs/>
          <w:color w:val="auto"/>
          <w:kern w:val="0"/>
          <w:sz w:val="24"/>
          <w:lang w:val="en-US" w:eastAsia="zh-CN"/>
        </w:rPr>
        <w:t>）</w:t>
      </w:r>
      <w:r>
        <w:rPr>
          <w:rFonts w:hint="eastAsia" w:ascii="Times New Roman" w:hAnsi="Times New Roman" w:cs="Times New Roman"/>
          <w:bCs/>
          <w:color w:val="auto"/>
          <w:kern w:val="0"/>
          <w:sz w:val="24"/>
        </w:rPr>
        <w:t>老化，发生渗漏，监测井中污染离子浓度异常升高，厂区暂停运行。考虑最大不利影响即不考虑包气带的吸附作用，泄漏废水下渗全部进入地下水系统。预测因子的选取主要依据废水水质和国家地方要求控制的污染物来确定。</w:t>
      </w:r>
    </w:p>
    <w:p>
      <w:pPr>
        <w:tabs>
          <w:tab w:val="left" w:pos="1220"/>
        </w:tabs>
        <w:ind w:firstLine="504" w:firstLineChars="210"/>
        <w:rPr>
          <w:rFonts w:ascii="Times New Roman" w:hAnsi="Times New Roman" w:cs="Times New Roman"/>
          <w:bCs/>
          <w:color w:val="auto"/>
          <w:kern w:val="0"/>
          <w:sz w:val="24"/>
        </w:rPr>
      </w:pPr>
      <w:r>
        <w:rPr>
          <w:rFonts w:hint="eastAsia" w:ascii="Times New Roman" w:hAnsi="Times New Roman" w:cs="Times New Roman"/>
          <w:bCs/>
          <w:color w:val="auto"/>
          <w:kern w:val="0"/>
          <w:sz w:val="24"/>
        </w:rPr>
        <w:t>破损面积按池体浸湿总面积的10%计，池体浸湿容积按80%计。池内污（废）水发生泄漏事故，按达西公式计算源强，公式如下：</w:t>
      </w:r>
    </w:p>
    <w:p>
      <w:pPr>
        <w:tabs>
          <w:tab w:val="left" w:pos="1220"/>
        </w:tabs>
        <w:ind w:firstLine="504" w:firstLineChars="210"/>
        <w:rPr>
          <w:rFonts w:ascii="Times New Roman" w:hAnsi="Times New Roman" w:cs="Times New Roman"/>
          <w:bCs/>
          <w:color w:val="auto"/>
          <w:kern w:val="0"/>
          <w:sz w:val="24"/>
        </w:rPr>
      </w:pPr>
      <m:oMathPara>
        <m:oMath>
          <m:r>
            <m:rPr>
              <m:sty m:val="p"/>
            </m:rPr>
            <w:rPr>
              <w:rFonts w:ascii="Cambria Math" w:hAnsi="Cambria Math" w:cs="Times New Roman"/>
              <w:color w:val="auto"/>
              <w:kern w:val="0"/>
              <w:sz w:val="24"/>
            </w:rPr>
            <m:t>Q=K</m:t>
          </m:r>
          <m:r>
            <m:rPr>
              <m:sty m:val="p"/>
            </m:rPr>
            <w:rPr>
              <w:rFonts w:hint="eastAsia" w:ascii="Cambria Math" w:hAnsi="Cambria Math" w:cs="Times New Roman"/>
              <w:color w:val="auto"/>
              <w:kern w:val="0"/>
              <w:sz w:val="24"/>
            </w:rPr>
            <m:t>×</m:t>
          </m:r>
          <m:r>
            <m:rPr>
              <m:sty m:val="p"/>
            </m:rPr>
            <w:rPr>
              <w:rFonts w:ascii="Cambria Math" w:hAnsi="Cambria Math" w:cs="Times New Roman"/>
              <w:color w:val="auto"/>
              <w:kern w:val="0"/>
              <w:sz w:val="24"/>
            </w:rPr>
            <m:t>i</m:t>
          </m:r>
          <m:r>
            <m:rPr>
              <m:sty m:val="p"/>
            </m:rPr>
            <w:rPr>
              <w:rFonts w:hint="eastAsia" w:ascii="Cambria Math" w:hAnsi="Cambria Math" w:cs="Times New Roman"/>
              <w:color w:val="auto"/>
              <w:kern w:val="0"/>
              <w:sz w:val="24"/>
            </w:rPr>
            <m:t>×</m:t>
          </m:r>
          <m:r>
            <m:rPr>
              <m:sty m:val="p"/>
            </m:rPr>
            <w:rPr>
              <w:rFonts w:ascii="Cambria Math" w:hAnsi="Cambria Math" w:cs="Times New Roman"/>
              <w:color w:val="auto"/>
              <w:kern w:val="0"/>
              <w:sz w:val="24"/>
            </w:rPr>
            <m:t>A</m:t>
          </m:r>
        </m:oMath>
      </m:oMathPara>
    </w:p>
    <w:p>
      <w:pPr>
        <w:tabs>
          <w:tab w:val="left" w:pos="1220"/>
        </w:tabs>
        <w:ind w:firstLine="504" w:firstLineChars="210"/>
        <w:rPr>
          <w:rFonts w:ascii="Times New Roman" w:hAnsi="Times New Roman" w:cs="Times New Roman"/>
          <w:bCs/>
          <w:color w:val="auto"/>
          <w:kern w:val="0"/>
          <w:sz w:val="24"/>
        </w:rPr>
      </w:pPr>
      <w:r>
        <w:rPr>
          <w:rFonts w:hint="eastAsia" w:ascii="Times New Roman" w:hAnsi="Times New Roman" w:cs="Times New Roman"/>
          <w:bCs/>
          <w:color w:val="auto"/>
          <w:kern w:val="0"/>
          <w:sz w:val="24"/>
        </w:rPr>
        <w:t>式中：</w:t>
      </w:r>
      <w:r>
        <w:rPr>
          <w:rFonts w:ascii="Times New Roman" w:hAnsi="Times New Roman" w:cs="Times New Roman"/>
          <w:bCs/>
          <w:color w:val="auto"/>
          <w:kern w:val="0"/>
          <w:sz w:val="24"/>
        </w:rPr>
        <w:t>Q</w:t>
      </w:r>
      <w:r>
        <w:rPr>
          <w:rFonts w:hint="eastAsia" w:ascii="Times New Roman" w:hAnsi="Times New Roman" w:cs="Times New Roman"/>
          <w:bCs/>
          <w:color w:val="auto"/>
          <w:kern w:val="0"/>
          <w:sz w:val="24"/>
        </w:rPr>
        <w:t>－渗入到地下水的污水量</w:t>
      </w:r>
      <w:r>
        <w:rPr>
          <w:rFonts w:ascii="Times New Roman" w:hAnsi="Times New Roman" w:cs="Times New Roman"/>
          <w:bCs/>
          <w:color w:val="auto"/>
          <w:kern w:val="0"/>
          <w:sz w:val="24"/>
        </w:rPr>
        <w:t>(m</w:t>
      </w:r>
      <w:r>
        <w:rPr>
          <w:rFonts w:ascii="Times New Roman" w:hAnsi="Times New Roman" w:cs="Times New Roman"/>
          <w:bCs/>
          <w:color w:val="auto"/>
          <w:kern w:val="0"/>
          <w:sz w:val="24"/>
          <w:vertAlign w:val="superscript"/>
        </w:rPr>
        <w:t>3</w:t>
      </w:r>
      <w:r>
        <w:rPr>
          <w:rFonts w:ascii="Times New Roman" w:hAnsi="Times New Roman" w:cs="Times New Roman"/>
          <w:bCs/>
          <w:color w:val="auto"/>
          <w:kern w:val="0"/>
          <w:sz w:val="24"/>
        </w:rPr>
        <w:t>/d)</w:t>
      </w:r>
      <w:r>
        <w:rPr>
          <w:rFonts w:hint="eastAsia" w:ascii="Times New Roman" w:hAnsi="Times New Roman" w:cs="Times New Roman"/>
          <w:bCs/>
          <w:color w:val="auto"/>
          <w:kern w:val="0"/>
          <w:sz w:val="24"/>
        </w:rPr>
        <w:t>；</w:t>
      </w:r>
    </w:p>
    <w:p>
      <w:pPr>
        <w:tabs>
          <w:tab w:val="left" w:pos="1220"/>
        </w:tabs>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K</w:t>
      </w:r>
      <w:r>
        <w:rPr>
          <w:rFonts w:hint="eastAsia" w:ascii="Times New Roman" w:hAnsi="Times New Roman" w:cs="Times New Roman"/>
          <w:bCs/>
          <w:color w:val="auto"/>
          <w:kern w:val="0"/>
          <w:sz w:val="24"/>
        </w:rPr>
        <w:t>－渗透系数</w:t>
      </w:r>
      <w:r>
        <w:rPr>
          <w:rFonts w:ascii="Times New Roman" w:hAnsi="Times New Roman" w:cs="Times New Roman"/>
          <w:bCs/>
          <w:color w:val="auto"/>
          <w:kern w:val="0"/>
          <w:sz w:val="24"/>
        </w:rPr>
        <w:t>(m/d)</w:t>
      </w:r>
      <w:r>
        <w:rPr>
          <w:rFonts w:hint="eastAsia" w:ascii="Times New Roman" w:hAnsi="Times New Roman" w:cs="Times New Roman"/>
          <w:bCs/>
          <w:color w:val="auto"/>
          <w:kern w:val="0"/>
          <w:sz w:val="24"/>
        </w:rPr>
        <w:t>，</w:t>
      </w:r>
      <w:r>
        <w:rPr>
          <w:rFonts w:ascii="Times New Roman" w:hAnsi="Times New Roman" w:cs="Times New Roman"/>
          <w:bCs/>
          <w:color w:val="auto"/>
          <w:kern w:val="0"/>
          <w:sz w:val="24"/>
        </w:rPr>
        <w:t>K=</w:t>
      </w:r>
      <w:r>
        <w:rPr>
          <w:rFonts w:hint="eastAsia" w:ascii="Times New Roman" w:hAnsi="Times New Roman" w:cs="Times New Roman"/>
          <w:bCs/>
          <w:color w:val="auto"/>
          <w:kern w:val="0"/>
          <w:sz w:val="24"/>
        </w:rPr>
        <w:t>1.5</w:t>
      </w:r>
      <w:r>
        <w:rPr>
          <w:rFonts w:ascii="Times New Roman" w:hAnsi="Times New Roman" w:cs="Times New Roman"/>
          <w:bCs/>
          <w:color w:val="auto"/>
          <w:kern w:val="0"/>
          <w:sz w:val="24"/>
        </w:rPr>
        <w:t>m/d</w:t>
      </w:r>
      <w:r>
        <w:rPr>
          <w:rFonts w:hint="eastAsia" w:ascii="Times New Roman" w:hAnsi="Times New Roman" w:cs="Times New Roman"/>
          <w:bCs/>
          <w:color w:val="auto"/>
          <w:kern w:val="0"/>
          <w:sz w:val="24"/>
        </w:rPr>
        <w:t>；</w:t>
      </w:r>
    </w:p>
    <w:p>
      <w:pPr>
        <w:tabs>
          <w:tab w:val="left" w:pos="1220"/>
        </w:tabs>
        <w:ind w:firstLine="504" w:firstLineChars="210"/>
        <w:rPr>
          <w:rFonts w:ascii="Times New Roman" w:hAnsi="Times New Roman" w:cs="Times New Roman"/>
          <w:bCs/>
          <w:color w:val="auto"/>
          <w:kern w:val="0"/>
          <w:sz w:val="24"/>
        </w:rPr>
      </w:pPr>
      <w:r>
        <w:rPr>
          <w:rFonts w:hint="eastAsia" w:ascii="Times New Roman" w:hAnsi="Times New Roman" w:cs="Times New Roman"/>
          <w:bCs/>
          <w:color w:val="auto"/>
          <w:kern w:val="0"/>
          <w:sz w:val="24"/>
        </w:rPr>
        <w:t>i ——水力坡度（0.005，无量纲）；</w:t>
      </w:r>
    </w:p>
    <w:p>
      <w:pPr>
        <w:tabs>
          <w:tab w:val="left" w:pos="1220"/>
        </w:tabs>
        <w:ind w:firstLine="504" w:firstLineChars="210"/>
        <w:rPr>
          <w:rFonts w:ascii="Times New Roman" w:hAnsi="Times New Roman" w:cs="Times New Roman"/>
          <w:bCs/>
          <w:color w:val="auto"/>
          <w:kern w:val="0"/>
          <w:sz w:val="24"/>
        </w:rPr>
      </w:pPr>
      <w:r>
        <w:rPr>
          <w:rFonts w:ascii="Times New Roman" w:hAnsi="Times New Roman" w:cs="Times New Roman"/>
          <w:bCs/>
          <w:color w:val="auto"/>
          <w:kern w:val="0"/>
          <w:sz w:val="24"/>
        </w:rPr>
        <w:t>A</w:t>
      </w:r>
      <w:r>
        <w:rPr>
          <w:rFonts w:hint="eastAsia" w:ascii="Times New Roman" w:hAnsi="Times New Roman" w:cs="Times New Roman"/>
          <w:bCs/>
          <w:color w:val="auto"/>
          <w:kern w:val="0"/>
          <w:sz w:val="24"/>
        </w:rPr>
        <w:t>－污水池的泄漏面积</w:t>
      </w:r>
      <w:r>
        <w:rPr>
          <w:rFonts w:ascii="Times New Roman" w:hAnsi="Times New Roman" w:cs="Times New Roman"/>
          <w:bCs/>
          <w:color w:val="auto"/>
          <w:kern w:val="0"/>
          <w:sz w:val="24"/>
        </w:rPr>
        <w:t>(m</w:t>
      </w:r>
      <w:r>
        <w:rPr>
          <w:rFonts w:ascii="Times New Roman" w:hAnsi="Times New Roman" w:cs="Times New Roman"/>
          <w:bCs/>
          <w:color w:val="auto"/>
          <w:kern w:val="0"/>
          <w:sz w:val="24"/>
          <w:vertAlign w:val="superscript"/>
        </w:rPr>
        <w:t>2</w:t>
      </w:r>
      <w:r>
        <w:rPr>
          <w:rFonts w:ascii="Times New Roman" w:hAnsi="Times New Roman" w:cs="Times New Roman"/>
          <w:bCs/>
          <w:color w:val="auto"/>
          <w:kern w:val="0"/>
          <w:sz w:val="24"/>
        </w:rPr>
        <w:t>)</w:t>
      </w:r>
      <w:r>
        <w:rPr>
          <w:rFonts w:hint="eastAsia" w:ascii="Times New Roman" w:hAnsi="Times New Roman" w:cs="Times New Roman"/>
          <w:bCs/>
          <w:color w:val="auto"/>
          <w:kern w:val="0"/>
          <w:sz w:val="24"/>
        </w:rPr>
        <w:t>。</w:t>
      </w:r>
    </w:p>
    <w:p>
      <w:pPr>
        <w:tabs>
          <w:tab w:val="left" w:pos="1220"/>
        </w:tabs>
        <w:ind w:firstLine="504" w:firstLineChars="210"/>
        <w:rPr>
          <w:color w:val="auto"/>
        </w:rPr>
      </w:pPr>
      <w:r>
        <w:rPr>
          <w:rFonts w:hint="eastAsia" w:ascii="Times New Roman" w:hAnsi="Times New Roman" w:cs="Times New Roman"/>
          <w:bCs/>
          <w:color w:val="auto"/>
          <w:kern w:val="0"/>
          <w:sz w:val="24"/>
        </w:rPr>
        <w:t>计算参数及计算结果见下表。</w:t>
      </w:r>
    </w:p>
    <w:p>
      <w:pPr>
        <w:widowControl w:val="0"/>
        <w:numPr>
          <w:ilvl w:val="0"/>
          <w:numId w:val="33"/>
        </w:numPr>
        <w:spacing w:after="0" w:afterLines="0" w:line="36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本项目</w:t>
      </w:r>
      <w:r>
        <w:rPr>
          <w:rFonts w:hint="default" w:ascii="Times New Roman" w:hAnsi="Times New Roman" w:eastAsia="宋体" w:cs="Times New Roman"/>
          <w:b/>
          <w:bCs/>
          <w:color w:val="auto"/>
          <w:lang w:val="en-US" w:eastAsia="zh-CN"/>
        </w:rPr>
        <w:t>非正常工况</w:t>
      </w:r>
      <w:r>
        <w:rPr>
          <w:rFonts w:hint="eastAsia" w:ascii="Times New Roman" w:hAnsi="Times New Roman" w:eastAsia="宋体" w:cs="Times New Roman"/>
          <w:b/>
          <w:bCs/>
          <w:color w:val="auto"/>
          <w:lang w:val="en-US" w:eastAsia="zh-CN"/>
        </w:rPr>
        <w:t>粪尿收集池</w:t>
      </w:r>
      <w:r>
        <w:rPr>
          <w:rFonts w:hint="default" w:ascii="Times New Roman" w:hAnsi="Times New Roman" w:eastAsia="宋体" w:cs="Times New Roman"/>
          <w:b/>
          <w:bCs/>
          <w:color w:val="auto"/>
          <w:lang w:val="en-US" w:eastAsia="zh-CN"/>
        </w:rPr>
        <w:t>下渗量计算结果</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63"/>
        <w:gridCol w:w="929"/>
        <w:gridCol w:w="871"/>
        <w:gridCol w:w="872"/>
        <w:gridCol w:w="853"/>
        <w:gridCol w:w="1043"/>
        <w:gridCol w:w="1363"/>
        <w:gridCol w:w="835"/>
        <w:gridCol w:w="89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6" w:type="pct"/>
            <w:vMerge w:val="restar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污染源</w:t>
            </w:r>
          </w:p>
        </w:tc>
        <w:tc>
          <w:tcPr>
            <w:tcW w:w="575" w:type="pc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废水量</w:t>
            </w:r>
          </w:p>
        </w:tc>
        <w:tc>
          <w:tcPr>
            <w:tcW w:w="1082" w:type="pct"/>
            <w:gridSpan w:val="2"/>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耗氧量（COD</w:t>
            </w:r>
            <w:r>
              <w:rPr>
                <w:rFonts w:hint="default" w:ascii="Times New Roman" w:hAnsi="Times New Roman" w:cs="Times New Roman"/>
                <w:snapToGrid w:val="0"/>
                <w:color w:val="auto"/>
                <w:kern w:val="0"/>
                <w:vertAlign w:val="subscript"/>
              </w:rPr>
              <w:t>Mn</w:t>
            </w:r>
            <w:r>
              <w:rPr>
                <w:rFonts w:hint="default" w:ascii="Times New Roman" w:hAnsi="Times New Roman" w:cs="Times New Roman"/>
                <w:snapToGrid w:val="0"/>
                <w:color w:val="auto"/>
                <w:kern w:val="0"/>
              </w:rPr>
              <w:t>法）</w:t>
            </w:r>
          </w:p>
        </w:tc>
        <w:tc>
          <w:tcPr>
            <w:tcW w:w="1171" w:type="pct"/>
            <w:gridSpan w:val="2"/>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氨氮</w:t>
            </w:r>
          </w:p>
        </w:tc>
        <w:tc>
          <w:tcPr>
            <w:tcW w:w="564" w:type="pct"/>
            <w:vMerge w:val="restar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池体尺寸</w:t>
            </w:r>
          </w:p>
        </w:tc>
        <w:tc>
          <w:tcPr>
            <w:tcW w:w="519" w:type="pct"/>
            <w:vMerge w:val="restar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eastAsia="宋体" w:cs="Times New Roman"/>
                <w:snapToGrid w:val="0"/>
                <w:color w:val="auto"/>
                <w:kern w:val="0"/>
              </w:rPr>
              <w:t>浸湿总面积(m</w:t>
            </w:r>
            <w:r>
              <w:rPr>
                <w:rFonts w:hint="default" w:ascii="Times New Roman" w:hAnsi="Times New Roman" w:eastAsia="宋体" w:cs="Times New Roman"/>
                <w:snapToGrid w:val="0"/>
                <w:color w:val="auto"/>
                <w:kern w:val="0"/>
                <w:vertAlign w:val="superscript"/>
              </w:rPr>
              <w:t>2</w:t>
            </w:r>
            <w:r>
              <w:rPr>
                <w:rFonts w:hint="default" w:ascii="Times New Roman" w:hAnsi="Times New Roman" w:eastAsia="宋体" w:cs="Times New Roman"/>
                <w:snapToGrid w:val="0"/>
                <w:color w:val="auto"/>
                <w:kern w:val="0"/>
              </w:rPr>
              <w:t>)</w:t>
            </w:r>
          </w:p>
        </w:tc>
        <w:tc>
          <w:tcPr>
            <w:tcW w:w="553" w:type="pct"/>
            <w:vMerge w:val="restar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eastAsia="宋体" w:cs="Times New Roman"/>
                <w:snapToGrid w:val="0"/>
                <w:color w:val="auto"/>
                <w:kern w:val="0"/>
              </w:rPr>
              <w:t>破损面积(m</w:t>
            </w:r>
            <w:r>
              <w:rPr>
                <w:rFonts w:hint="default" w:ascii="Times New Roman" w:hAnsi="Times New Roman" w:eastAsia="宋体" w:cs="Times New Roman"/>
                <w:snapToGrid w:val="0"/>
                <w:color w:val="auto"/>
                <w:kern w:val="0"/>
                <w:vertAlign w:val="superscript"/>
              </w:rPr>
              <w:t>2</w:t>
            </w:r>
            <w:r>
              <w:rPr>
                <w:rFonts w:hint="default" w:ascii="Times New Roman" w:hAnsi="Times New Roman" w:eastAsia="宋体" w:cs="Times New Roman"/>
                <w:snapToGrid w:val="0"/>
                <w:color w:val="auto"/>
                <w:kern w:val="0"/>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6" w:type="pct"/>
            <w:vMerge w:val="continue"/>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p>
        </w:tc>
        <w:tc>
          <w:tcPr>
            <w:tcW w:w="575" w:type="pc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m</w:t>
            </w:r>
            <w:r>
              <w:rPr>
                <w:rFonts w:hint="default" w:ascii="Times New Roman" w:hAnsi="Times New Roman" w:cs="Times New Roman"/>
                <w:snapToGrid w:val="0"/>
                <w:color w:val="auto"/>
                <w:kern w:val="0"/>
                <w:vertAlign w:val="superscript"/>
              </w:rPr>
              <w:t>3</w:t>
            </w:r>
            <w:r>
              <w:rPr>
                <w:rFonts w:hint="default" w:ascii="Times New Roman" w:hAnsi="Times New Roman" w:cs="Times New Roman"/>
                <w:snapToGrid w:val="0"/>
                <w:color w:val="auto"/>
                <w:kern w:val="0"/>
              </w:rPr>
              <w:t>/d</w:t>
            </w:r>
          </w:p>
        </w:tc>
        <w:tc>
          <w:tcPr>
            <w:tcW w:w="541" w:type="pc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mg/L</w:t>
            </w:r>
          </w:p>
        </w:tc>
        <w:tc>
          <w:tcPr>
            <w:tcW w:w="541" w:type="pc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g/d</w:t>
            </w:r>
          </w:p>
        </w:tc>
        <w:tc>
          <w:tcPr>
            <w:tcW w:w="530" w:type="pc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mg/L</w:t>
            </w:r>
          </w:p>
        </w:tc>
        <w:tc>
          <w:tcPr>
            <w:tcW w:w="641" w:type="pc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g/d</w:t>
            </w:r>
          </w:p>
        </w:tc>
        <w:tc>
          <w:tcPr>
            <w:tcW w:w="564" w:type="pct"/>
            <w:vMerge w:val="continue"/>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p>
        </w:tc>
        <w:tc>
          <w:tcPr>
            <w:tcW w:w="519" w:type="pct"/>
            <w:vMerge w:val="continue"/>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p>
        </w:tc>
        <w:tc>
          <w:tcPr>
            <w:tcW w:w="553" w:type="pct"/>
            <w:vMerge w:val="continue"/>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6" w:type="pc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snapToGrid w:val="0"/>
                <w:color w:val="auto"/>
                <w:kern w:val="0"/>
                <w:lang w:eastAsia="zh-CN"/>
              </w:rPr>
            </w:pPr>
            <w:r>
              <w:rPr>
                <w:rFonts w:hint="eastAsia" w:ascii="Times New Roman" w:hAnsi="宋体" w:eastAsia="宋体" w:cs="Times New Roman"/>
                <w:bCs/>
                <w:color w:val="auto"/>
                <w:lang w:eastAsia="zh-CN"/>
              </w:rPr>
              <w:t>粪尿收集池</w:t>
            </w:r>
          </w:p>
        </w:tc>
        <w:tc>
          <w:tcPr>
            <w:tcW w:w="57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0.195</w:t>
            </w:r>
          </w:p>
        </w:tc>
        <w:tc>
          <w:tcPr>
            <w:tcW w:w="54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660</w:t>
            </w:r>
          </w:p>
        </w:tc>
        <w:tc>
          <w:tcPr>
            <w:tcW w:w="54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128.7</w:t>
            </w:r>
          </w:p>
        </w:tc>
        <w:tc>
          <w:tcPr>
            <w:tcW w:w="53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261</w:t>
            </w:r>
          </w:p>
        </w:tc>
        <w:tc>
          <w:tcPr>
            <w:tcW w:w="64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50.895</w:t>
            </w:r>
          </w:p>
        </w:tc>
        <w:tc>
          <w:tcPr>
            <w:tcW w:w="56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ascii="Times New Roman" w:hAnsi="Times New Roman" w:cs="Times New Roman"/>
                <w:color w:val="auto"/>
                <w:lang w:val="en-US" w:eastAsia="zh-CN"/>
              </w:rPr>
              <w:t>10</w:t>
            </w:r>
            <w:r>
              <w:rPr>
                <w:rFonts w:hint="default" w:ascii="Times New Roman" w:hAnsi="Times New Roman" w:cs="Times New Roman"/>
                <w:color w:val="auto"/>
              </w:rPr>
              <w:t>m×</w:t>
            </w:r>
            <w:r>
              <w:rPr>
                <w:rFonts w:hint="eastAsia" w:ascii="Times New Roman" w:hAnsi="Times New Roman" w:cs="Times New Roman"/>
                <w:color w:val="auto"/>
                <w:lang w:val="en-US" w:eastAsia="zh-CN"/>
              </w:rPr>
              <w:t>8</w:t>
            </w:r>
            <w:r>
              <w:rPr>
                <w:rFonts w:hint="default" w:ascii="Times New Roman" w:hAnsi="Times New Roman" w:cs="Times New Roman"/>
                <w:color w:val="auto"/>
              </w:rPr>
              <w:t>m×</w:t>
            </w:r>
            <w:r>
              <w:rPr>
                <w:rFonts w:hint="eastAsia" w:ascii="Times New Roman" w:hAnsi="Times New Roman" w:cs="Times New Roman"/>
                <w:color w:val="auto"/>
                <w:lang w:val="en-US" w:eastAsia="zh-CN"/>
              </w:rPr>
              <w:t>5</w:t>
            </w:r>
            <w:r>
              <w:rPr>
                <w:rFonts w:hint="default" w:ascii="Times New Roman" w:hAnsi="Times New Roman" w:cs="Times New Roman"/>
                <w:color w:val="auto"/>
              </w:rPr>
              <w:t>m</w:t>
            </w:r>
          </w:p>
        </w:tc>
        <w:tc>
          <w:tcPr>
            <w:tcW w:w="519"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260</w:t>
            </w:r>
          </w:p>
        </w:tc>
        <w:tc>
          <w:tcPr>
            <w:tcW w:w="553"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26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36" w:type="pct"/>
            <w:tcBorders>
              <w:tl2br w:val="nil"/>
              <w:tr2bl w:val="nil"/>
            </w:tcBorders>
            <w:vAlign w:val="center"/>
          </w:tcPr>
          <w:p>
            <w:pPr>
              <w:pStyle w:val="36"/>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标准值</w:t>
            </w:r>
          </w:p>
        </w:tc>
        <w:tc>
          <w:tcPr>
            <w:tcW w:w="57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4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3</w:t>
            </w:r>
          </w:p>
        </w:tc>
        <w:tc>
          <w:tcPr>
            <w:tcW w:w="54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53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0.5</w:t>
            </w:r>
          </w:p>
        </w:tc>
        <w:tc>
          <w:tcPr>
            <w:tcW w:w="64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c>
          <w:tcPr>
            <w:tcW w:w="56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19"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c>
          <w:tcPr>
            <w:tcW w:w="553"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p>
        </w:tc>
      </w:tr>
    </w:tbl>
    <w:p>
      <w:pPr>
        <w:pStyle w:val="36"/>
        <w:adjustRightInd w:val="0"/>
        <w:snapToGrid w:val="0"/>
        <w:spacing w:after="0"/>
        <w:rPr>
          <w:rFonts w:ascii="Times New Roman" w:hAnsi="Times New Roman" w:cs="Times New Roman"/>
          <w:snapToGrid w:val="0"/>
          <w:color w:val="auto"/>
          <w:kern w:val="0"/>
        </w:rPr>
      </w:pPr>
      <w:r>
        <w:rPr>
          <w:rFonts w:ascii="Times New Roman" w:cs="Times New Roman"/>
          <w:bCs/>
          <w:color w:val="auto"/>
          <w:kern w:val="0"/>
        </w:rPr>
        <w:t>备注：</w:t>
      </w:r>
      <w:r>
        <w:rPr>
          <w:rFonts w:ascii="Times New Roman" w:hAnsi="Times New Roman" w:cs="Times New Roman"/>
          <w:snapToGrid w:val="0"/>
          <w:color w:val="auto"/>
          <w:kern w:val="0"/>
        </w:rPr>
        <w:t>耗氧量（COD</w:t>
      </w:r>
      <w:r>
        <w:rPr>
          <w:rFonts w:ascii="Times New Roman" w:hAnsi="Times New Roman" w:cs="Times New Roman"/>
          <w:snapToGrid w:val="0"/>
          <w:color w:val="auto"/>
          <w:kern w:val="0"/>
          <w:vertAlign w:val="subscript"/>
        </w:rPr>
        <w:t>Mn</w:t>
      </w:r>
      <w:r>
        <w:rPr>
          <w:rFonts w:ascii="Times New Roman" w:hAnsi="Times New Roman" w:cs="Times New Roman"/>
          <w:snapToGrid w:val="0"/>
          <w:color w:val="auto"/>
          <w:kern w:val="0"/>
        </w:rPr>
        <w:t>法）</w:t>
      </w:r>
      <w:r>
        <w:rPr>
          <w:rFonts w:ascii="Times New Roman" w:hAnsi="宋体" w:eastAsia="宋体" w:cs="Times New Roman"/>
          <w:color w:val="auto"/>
          <w:kern w:val="0"/>
        </w:rPr>
        <w:t>取值为</w:t>
      </w:r>
      <w:r>
        <w:rPr>
          <w:rFonts w:ascii="Times New Roman" w:hAnsi="Times New Roman" w:cs="Times New Roman"/>
          <w:bCs/>
          <w:color w:val="auto"/>
          <w:kern w:val="0"/>
        </w:rPr>
        <w:t>COD</w:t>
      </w:r>
      <w:r>
        <w:rPr>
          <w:rFonts w:hint="eastAsia" w:ascii="Times New Roman" w:hAnsi="Times New Roman" w:cs="Times New Roman"/>
          <w:bCs/>
          <w:color w:val="auto"/>
          <w:kern w:val="0"/>
          <w:vertAlign w:val="subscript"/>
        </w:rPr>
        <w:t>C</w:t>
      </w:r>
      <w:r>
        <w:rPr>
          <w:rFonts w:ascii="Times New Roman" w:hAnsi="Times New Roman" w:cs="Times New Roman"/>
          <w:bCs/>
          <w:color w:val="auto"/>
          <w:kern w:val="0"/>
          <w:vertAlign w:val="subscript"/>
        </w:rPr>
        <w:t>r</w:t>
      </w:r>
      <w:r>
        <w:rPr>
          <w:rFonts w:ascii="Times New Roman" w:hAnsi="宋体" w:eastAsia="宋体" w:cs="Times New Roman"/>
          <w:color w:val="auto"/>
          <w:kern w:val="0"/>
        </w:rPr>
        <w:t>的四分之一</w:t>
      </w:r>
      <w:r>
        <w:rPr>
          <w:rFonts w:hint="eastAsia" w:ascii="Times New Roman" w:hAnsi="宋体" w:eastAsia="宋体" w:cs="Times New Roman"/>
          <w:color w:val="auto"/>
          <w:kern w:val="0"/>
        </w:rPr>
        <w:t>。废水浓度根据工程分析废水产生浓度。</w:t>
      </w:r>
    </w:p>
    <w:p>
      <w:pPr>
        <w:pStyle w:val="8"/>
        <w:rPr>
          <w:rFonts w:cs="Times New Roman"/>
          <w:color w:val="auto"/>
        </w:rPr>
      </w:pPr>
      <w:r>
        <w:rPr>
          <w:rFonts w:hint="eastAsia" w:cs="Times New Roman"/>
          <w:color w:val="auto"/>
        </w:rPr>
        <w:t>预测原则</w:t>
      </w:r>
    </w:p>
    <w:p>
      <w:pPr>
        <w:ind w:firstLine="480" w:firstLineChars="200"/>
        <w:rPr>
          <w:rFonts w:hAnsi="宋体"/>
          <w:color w:val="auto"/>
          <w:sz w:val="24"/>
        </w:rPr>
      </w:pPr>
      <w:r>
        <w:rPr>
          <w:rFonts w:hint="eastAsia" w:hAnsi="宋体"/>
          <w:color w:val="auto"/>
          <w:sz w:val="24"/>
        </w:rPr>
        <w:t>项目地下水环境影响预测原则为：</w:t>
      </w:r>
    </w:p>
    <w:p>
      <w:pPr>
        <w:ind w:firstLine="480" w:firstLineChars="200"/>
        <w:rPr>
          <w:rFonts w:hAnsi="宋体"/>
          <w:color w:val="auto"/>
          <w:sz w:val="24"/>
        </w:rPr>
      </w:pPr>
      <w:r>
        <w:rPr>
          <w:rFonts w:hint="eastAsia" w:hAnsi="宋体"/>
          <w:color w:val="auto"/>
          <w:sz w:val="24"/>
        </w:rPr>
        <w:t>（</w:t>
      </w:r>
      <w:r>
        <w:rPr>
          <w:rFonts w:hAnsi="宋体"/>
          <w:color w:val="auto"/>
          <w:sz w:val="24"/>
        </w:rPr>
        <w:t>1</w:t>
      </w:r>
      <w:r>
        <w:rPr>
          <w:rFonts w:hint="eastAsia" w:hAnsi="宋体"/>
          <w:color w:val="auto"/>
          <w:sz w:val="24"/>
        </w:rPr>
        <w:t>）考虑到地下水环境污染的隐蔽性和难恢复性，遵循环境安全性原则，为评价各方案的环境安全和环境保护措施的合理性提供依据。</w:t>
      </w:r>
    </w:p>
    <w:p>
      <w:pPr>
        <w:ind w:firstLine="480" w:firstLineChars="200"/>
        <w:rPr>
          <w:rFonts w:hAnsi="宋体"/>
          <w:color w:val="auto"/>
          <w:sz w:val="24"/>
        </w:rPr>
      </w:pPr>
      <w:r>
        <w:rPr>
          <w:rFonts w:hint="eastAsia" w:hAnsi="宋体"/>
          <w:color w:val="auto"/>
          <w:sz w:val="24"/>
        </w:rPr>
        <w:t>（</w:t>
      </w:r>
      <w:r>
        <w:rPr>
          <w:rFonts w:hAnsi="宋体"/>
          <w:color w:val="auto"/>
          <w:sz w:val="24"/>
        </w:rPr>
        <w:t>2</w:t>
      </w:r>
      <w:r>
        <w:rPr>
          <w:rFonts w:hint="eastAsia" w:hAnsi="宋体"/>
          <w:color w:val="auto"/>
          <w:sz w:val="24"/>
        </w:rPr>
        <w:t>）预测的范围、时段、内容和方法根据评价工作等级、工程特征与环境特征，结合当地环境功能和环保要求确定，以拟建项目对地下水水质的影响及由此而产生的主要环境水文地质问题为重点。</w:t>
      </w:r>
    </w:p>
    <w:p>
      <w:pPr>
        <w:pStyle w:val="8"/>
        <w:rPr>
          <w:rFonts w:cs="Times New Roman"/>
          <w:color w:val="auto"/>
        </w:rPr>
      </w:pPr>
      <w:r>
        <w:rPr>
          <w:rFonts w:hint="eastAsia" w:cs="Times New Roman"/>
          <w:color w:val="auto"/>
        </w:rPr>
        <w:t>预测范围及时段</w:t>
      </w:r>
    </w:p>
    <w:p>
      <w:pPr>
        <w:ind w:firstLine="480" w:firstLineChars="200"/>
        <w:rPr>
          <w:rFonts w:hAnsi="宋体"/>
          <w:color w:val="auto"/>
          <w:sz w:val="24"/>
        </w:rPr>
      </w:pPr>
      <w:r>
        <w:rPr>
          <w:rFonts w:hint="eastAsia" w:hAnsi="宋体"/>
          <w:color w:val="auto"/>
          <w:sz w:val="24"/>
        </w:rPr>
        <w:t>（</w:t>
      </w:r>
      <w:r>
        <w:rPr>
          <w:rFonts w:hAnsi="宋体"/>
          <w:color w:val="auto"/>
          <w:sz w:val="24"/>
        </w:rPr>
        <w:t>1</w:t>
      </w:r>
      <w:r>
        <w:rPr>
          <w:rFonts w:hint="eastAsia" w:hAnsi="宋体"/>
          <w:color w:val="auto"/>
          <w:sz w:val="24"/>
        </w:rPr>
        <w:t>）预测范围</w:t>
      </w:r>
    </w:p>
    <w:p>
      <w:pPr>
        <w:ind w:firstLine="480" w:firstLineChars="200"/>
        <w:rPr>
          <w:rFonts w:hAnsi="宋体"/>
          <w:color w:val="auto"/>
          <w:sz w:val="24"/>
        </w:rPr>
      </w:pPr>
      <w:r>
        <w:rPr>
          <w:rFonts w:hint="eastAsia" w:hAnsi="宋体"/>
          <w:color w:val="auto"/>
          <w:sz w:val="24"/>
        </w:rPr>
        <w:t>本项目预测评价范围为：项目地下水评价范围应为项目场地下游</w:t>
      </w:r>
      <w:r>
        <w:rPr>
          <w:rFonts w:hint="eastAsia"/>
          <w:color w:val="auto"/>
          <w:sz w:val="24"/>
          <w:lang w:val="en-US" w:eastAsia="zh-CN"/>
        </w:rPr>
        <w:t>288</w:t>
      </w:r>
      <w:r>
        <w:rPr>
          <w:rFonts w:hAnsi="宋体"/>
          <w:color w:val="auto"/>
          <w:sz w:val="24"/>
        </w:rPr>
        <w:t>m</w:t>
      </w:r>
      <w:r>
        <w:rPr>
          <w:rFonts w:hint="eastAsia" w:hAnsi="宋体"/>
          <w:color w:val="auto"/>
          <w:sz w:val="24"/>
        </w:rPr>
        <w:t>和两侧</w:t>
      </w:r>
      <w:r>
        <w:rPr>
          <w:rFonts w:hint="eastAsia"/>
          <w:color w:val="auto"/>
          <w:sz w:val="24"/>
        </w:rPr>
        <w:t>1</w:t>
      </w:r>
      <w:r>
        <w:rPr>
          <w:rFonts w:hint="eastAsia"/>
          <w:color w:val="auto"/>
          <w:sz w:val="24"/>
          <w:lang w:val="en-US" w:eastAsia="zh-CN"/>
        </w:rPr>
        <w:t>44</w:t>
      </w:r>
      <w:r>
        <w:rPr>
          <w:rFonts w:hint="eastAsia" w:hAnsi="宋体"/>
          <w:color w:val="auto"/>
          <w:sz w:val="24"/>
        </w:rPr>
        <w:t>区域。</w:t>
      </w:r>
    </w:p>
    <w:p>
      <w:pPr>
        <w:ind w:firstLine="480" w:firstLineChars="200"/>
        <w:rPr>
          <w:rFonts w:hAnsi="宋体"/>
          <w:color w:val="auto"/>
          <w:sz w:val="24"/>
        </w:rPr>
      </w:pPr>
      <w:r>
        <w:rPr>
          <w:rFonts w:hint="eastAsia" w:hAnsi="宋体"/>
          <w:color w:val="auto"/>
          <w:sz w:val="24"/>
        </w:rPr>
        <w:t>（</w:t>
      </w:r>
      <w:r>
        <w:rPr>
          <w:rFonts w:hAnsi="宋体"/>
          <w:color w:val="auto"/>
          <w:sz w:val="24"/>
        </w:rPr>
        <w:t>2</w:t>
      </w:r>
      <w:r>
        <w:rPr>
          <w:rFonts w:hint="eastAsia" w:hAnsi="宋体"/>
          <w:color w:val="auto"/>
          <w:sz w:val="24"/>
        </w:rPr>
        <w:t>）预测时段</w:t>
      </w:r>
    </w:p>
    <w:p>
      <w:pPr>
        <w:ind w:firstLine="480" w:firstLineChars="200"/>
        <w:rPr>
          <w:rFonts w:hAnsi="宋体"/>
          <w:color w:val="auto"/>
          <w:sz w:val="24"/>
        </w:rPr>
      </w:pPr>
      <w:r>
        <w:rPr>
          <w:rFonts w:hint="eastAsia" w:hAnsi="宋体"/>
          <w:color w:val="auto"/>
          <w:sz w:val="24"/>
        </w:rPr>
        <w:t>非正常状况下预测</w:t>
      </w:r>
      <w:r>
        <w:rPr>
          <w:rFonts w:hint="eastAsia" w:hAnsi="宋体"/>
          <w:color w:val="auto"/>
          <w:sz w:val="24"/>
          <w:lang w:val="en-US" w:eastAsia="zh-CN"/>
        </w:rPr>
        <w:t>10d、</w:t>
      </w:r>
      <w:r>
        <w:rPr>
          <w:rFonts w:hint="eastAsia" w:hAnsi="宋体"/>
          <w:color w:val="auto"/>
          <w:sz w:val="24"/>
        </w:rPr>
        <w:t>100d、1000d。</w:t>
      </w:r>
    </w:p>
    <w:p>
      <w:pPr>
        <w:pStyle w:val="8"/>
        <w:rPr>
          <w:b/>
          <w:color w:val="auto"/>
          <w:sz w:val="24"/>
        </w:rPr>
      </w:pPr>
      <w:r>
        <w:rPr>
          <w:rFonts w:hint="eastAsia" w:cs="Times New Roman"/>
          <w:color w:val="auto"/>
        </w:rPr>
        <w:t>非正常工况预测分析</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所在地的水文地质条件较为简单，因此可通过解析法预测地下水的环境影响。计算时不考虑水流的源汇项，且对污染物在含水层中的吸附、挥发、生物化学反应等不做考虑，从而可简化地下水水流及水质模型。</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right="0" w:rightChars="0" w:firstLine="480" w:firstLineChars="200"/>
        <w:jc w:val="both"/>
        <w:textAlignment w:val="auto"/>
        <w:outlineLvl w:val="9"/>
        <w:rPr>
          <w:rFonts w:ascii="宋体" w:hAnsi="宋体" w:eastAsia="宋体" w:cs="宋体"/>
          <w:color w:val="auto"/>
          <w:sz w:val="24"/>
          <w:szCs w:val="24"/>
        </w:rPr>
      </w:pPr>
      <w:r>
        <w:rPr>
          <w:rFonts w:ascii="宋体" w:hAnsi="宋体" w:eastAsia="宋体" w:cs="宋体"/>
          <w:color w:val="auto"/>
          <w:sz w:val="24"/>
          <w:szCs w:val="24"/>
        </w:rPr>
        <w:t>依据</w:t>
      </w:r>
      <w:r>
        <w:rPr>
          <w:rFonts w:hint="eastAsia" w:ascii="宋体" w:hAnsi="宋体" w:eastAsia="宋体" w:cs="宋体"/>
          <w:color w:val="auto"/>
          <w:sz w:val="24"/>
          <w:szCs w:val="24"/>
          <w:lang w:eastAsia="zh-CN"/>
        </w:rPr>
        <w:t>《</w:t>
      </w:r>
      <w:r>
        <w:rPr>
          <w:rFonts w:ascii="宋体" w:hAnsi="宋体" w:eastAsia="宋体" w:cs="宋体"/>
          <w:color w:val="auto"/>
          <w:sz w:val="24"/>
          <w:szCs w:val="24"/>
        </w:rPr>
        <w:t>环境影响评价技术导则地下水环境》（H</w:t>
      </w:r>
      <w:r>
        <w:rPr>
          <w:rFonts w:hint="eastAsia" w:ascii="宋体" w:hAnsi="宋体" w:eastAsia="宋体" w:cs="宋体"/>
          <w:color w:val="auto"/>
          <w:sz w:val="24"/>
          <w:szCs w:val="24"/>
          <w:lang w:val="en-US" w:eastAsia="zh-CN"/>
        </w:rPr>
        <w:t>J</w:t>
      </w:r>
      <w:r>
        <w:rPr>
          <w:rFonts w:ascii="宋体" w:hAnsi="宋体" w:eastAsia="宋体" w:cs="宋体"/>
          <w:color w:val="auto"/>
          <w:sz w:val="24"/>
          <w:szCs w:val="24"/>
        </w:rPr>
        <w:t>610-2016），本项目评价区水文地质条件简单，同时泄露污水的排放也不会对地下水流场造成明显影响，评价等级为三级，故本次评价采用解析模型预测污染物在含水层中的扩散特征，本次预测从环境保护保守性角度出发，假定污染物瞬间一次性排放完成，污染物不与土壤发生吸附、降解及其他化学反应，具体预测公式如下：</w:t>
      </w:r>
    </w:p>
    <w:p>
      <w:pPr>
        <w:pStyle w:val="110"/>
        <w:tabs>
          <w:tab w:val="left" w:pos="1440"/>
          <w:tab w:val="left" w:pos="4368"/>
        </w:tabs>
        <w:ind w:left="0" w:leftChars="0" w:firstLine="0" w:firstLineChars="0"/>
        <w:jc w:val="center"/>
        <w:rPr>
          <w:color w:val="auto"/>
        </w:rPr>
      </w:pPr>
      <w:r>
        <w:rPr>
          <w:color w:val="auto"/>
        </w:rPr>
        <w:drawing>
          <wp:inline distT="0" distB="0" distL="114300" distR="114300">
            <wp:extent cx="2892425" cy="1027430"/>
            <wp:effectExtent l="0" t="0" r="3175" b="127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8"/>
                    <a:stretch>
                      <a:fillRect/>
                    </a:stretch>
                  </pic:blipFill>
                  <pic:spPr>
                    <a:xfrm>
                      <a:off x="0" y="0"/>
                      <a:ext cx="2892425" cy="1027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left="239" w:leftChars="114" w:right="0" w:rightChars="0" w:firstLine="240" w:firstLineChars="100"/>
        <w:jc w:val="both"/>
        <w:textAlignment w:val="auto"/>
        <w:outlineLvl w:val="9"/>
        <w:rPr>
          <w:rFonts w:hint="default" w:ascii="Times New Roman" w:hAnsi="Times New Roman" w:eastAsia="宋体" w:cs="Times New Roman"/>
          <w:color w:val="auto"/>
          <w:sz w:val="24"/>
          <w:szCs w:val="24"/>
        </w:rPr>
      </w:pPr>
      <w:r>
        <w:rPr>
          <w:rFonts w:ascii="宋体" w:hAnsi="宋体" w:eastAsia="宋体" w:cs="宋体"/>
          <w:color w:val="auto"/>
          <w:sz w:val="24"/>
          <w:szCs w:val="24"/>
        </w:rPr>
        <w:t>式中</w:t>
      </w:r>
      <w:r>
        <w:rPr>
          <w:rFonts w:hint="default" w:ascii="Times New Roman" w:hAnsi="Times New Roman" w:eastAsia="宋体" w:cs="Times New Roman"/>
          <w:color w:val="auto"/>
          <w:sz w:val="24"/>
          <w:szCs w:val="24"/>
        </w:rPr>
        <w:t>：x--</w:t>
      </w:r>
      <w:r>
        <w:rPr>
          <w:rFonts w:hint="eastAsia" w:ascii="Times New Roman" w:hAnsi="Times New Roman" w:eastAsia="宋体" w:cs="Times New Roman"/>
          <w:color w:val="auto"/>
          <w:sz w:val="24"/>
          <w:szCs w:val="24"/>
          <w:lang w:eastAsia="zh-CN"/>
        </w:rPr>
        <w:t>距注入点的距离，</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left="239" w:leftChars="114" w:right="0" w:rightChars="0" w:firstLine="960" w:firstLineChars="4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--时间，d；</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left="1197" w:leftChars="570" w:right="0" w:rightChars="0" w:firstLine="0" w:firstLineChars="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c(x</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--t时刻x处</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rPr>
        <w:t>示踪剂浓度，g</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lang w:eastAsia="zh-CN"/>
        </w:rPr>
        <w:t>注入的示踪剂质量，</w:t>
      </w:r>
      <w:r>
        <w:rPr>
          <w:rFonts w:hint="eastAsia" w:ascii="Times New Roman" w:hAnsi="Times New Roman" w:eastAsia="宋体" w:cs="Times New Roman"/>
          <w:color w:val="auto"/>
          <w:sz w:val="24"/>
          <w:szCs w:val="24"/>
          <w:lang w:val="en-US" w:eastAsia="zh-CN"/>
        </w:rPr>
        <w:t>kg；</w:t>
      </w:r>
      <w:r>
        <w:rPr>
          <w:rFonts w:hint="default" w:ascii="Times New Roman" w:hAnsi="Times New Roman" w:eastAsia="宋体" w:cs="Times New Roman"/>
          <w:color w:val="auto"/>
          <w:sz w:val="24"/>
          <w:szCs w:val="24"/>
        </w:rPr>
        <w:br w:type="textWrapping"/>
      </w:r>
      <w:r>
        <w:rPr>
          <w:rFonts w:hint="eastAsia" w:ascii="Times New Roman" w:hAnsi="Times New Roman" w:eastAsia="宋体" w:cs="Times New Roman"/>
          <w:color w:val="auto"/>
          <w:sz w:val="24"/>
          <w:szCs w:val="24"/>
          <w:lang w:val="en-US" w:eastAsia="zh-CN"/>
        </w:rPr>
        <w:t>w</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横截面面积</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lang w:val="en-US" w:eastAsia="zh-CN"/>
        </w:rPr>
        <w:t>n</w:t>
      </w:r>
      <w:r>
        <w:rPr>
          <w:rFonts w:hint="default" w:ascii="Times New Roman" w:hAnsi="Times New Roman" w:eastAsia="宋体" w:cs="Times New Roman"/>
          <w:color w:val="auto"/>
          <w:sz w:val="24"/>
          <w:szCs w:val="24"/>
        </w:rPr>
        <w:t>--有效空隙度，无量纲；</w:t>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vertAlign w:val="subscript"/>
          <w:lang w:val="en-US" w:eastAsia="zh-CN"/>
        </w:rPr>
        <w:t>L</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纵</w:t>
      </w:r>
      <w:r>
        <w:rPr>
          <w:rFonts w:hint="default" w:ascii="Times New Roman" w:hAnsi="Times New Roman" w:eastAsia="宋体" w:cs="Times New Roman"/>
          <w:color w:val="auto"/>
          <w:sz w:val="24"/>
          <w:szCs w:val="24"/>
        </w:rPr>
        <w:t>向弥散系数</w:t>
      </w:r>
      <w:r>
        <w:rPr>
          <w:rFonts w:hint="default" w:ascii="Times New Roman" w:hAnsi="Times New Roman" w:eastAsia="宋体" w:cs="Times New Roman"/>
          <w:color w:val="auto"/>
          <w:sz w:val="24"/>
          <w:szCs w:val="24"/>
          <w:lang w:eastAsia="zh-CN"/>
        </w:rPr>
        <w:t>；</w:t>
      </w:r>
    </w:p>
    <w:p>
      <w:pPr>
        <w:pStyle w:val="110"/>
        <w:keepNext w:val="0"/>
        <w:keepLines w:val="0"/>
        <w:pageBreakBefore w:val="0"/>
        <w:widowControl w:val="0"/>
        <w:tabs>
          <w:tab w:val="left" w:pos="1440"/>
          <w:tab w:val="left" w:pos="4368"/>
        </w:tabs>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π</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圆周率。</w:t>
      </w:r>
    </w:p>
    <w:p>
      <w:pPr>
        <w:ind w:firstLine="465"/>
        <w:rPr>
          <w:color w:val="auto"/>
          <w:sz w:val="24"/>
        </w:rPr>
      </w:pPr>
      <w:r>
        <w:rPr>
          <w:rFonts w:hint="eastAsia"/>
          <w:color w:val="auto"/>
          <w:sz w:val="24"/>
        </w:rPr>
        <w:t>（3）水文地质参数的确定</w:t>
      </w:r>
    </w:p>
    <w:p>
      <w:pPr>
        <w:ind w:firstLine="465"/>
        <w:rPr>
          <w:color w:val="auto"/>
          <w:sz w:val="24"/>
        </w:rPr>
      </w:pPr>
      <w:r>
        <w:rPr>
          <w:rFonts w:hint="eastAsia"/>
          <w:color w:val="auto"/>
          <w:sz w:val="24"/>
        </w:rPr>
        <w:t>水文地质参数主要参考已有水文地质勘察资料，同时根据评价区水文地质条件及相关文献，确定水文地质参数，详见下表。</w:t>
      </w:r>
    </w:p>
    <w:p>
      <w:pPr>
        <w:widowControl w:val="0"/>
        <w:numPr>
          <w:ilvl w:val="0"/>
          <w:numId w:val="33"/>
        </w:numPr>
        <w:spacing w:after="0" w:afterLines="0" w:line="36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lang w:val="en-US" w:eastAsia="zh-CN"/>
        </w:rPr>
        <w:t>参数选择及计算结果</w:t>
      </w:r>
    </w:p>
    <w:tbl>
      <w:tblPr>
        <w:tblStyle w:val="88"/>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688"/>
        <w:gridCol w:w="2822"/>
        <w:gridCol w:w="746"/>
        <w:gridCol w:w="2025"/>
        <w:gridCol w:w="2025"/>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rPr>
            </w:pPr>
            <w:r>
              <w:rPr>
                <w:rFonts w:hint="eastAsia"/>
                <w:b/>
                <w:color w:val="auto"/>
              </w:rPr>
              <w:t>序号</w:t>
            </w:r>
          </w:p>
        </w:tc>
        <w:tc>
          <w:tcPr>
            <w:tcW w:w="169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rPr>
            </w:pPr>
            <w:r>
              <w:rPr>
                <w:rFonts w:hint="eastAsia"/>
                <w:b/>
                <w:color w:val="auto"/>
              </w:rPr>
              <w:t>参数</w:t>
            </w:r>
          </w:p>
        </w:tc>
        <w:tc>
          <w:tcPr>
            <w:tcW w:w="44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rPr>
            </w:pPr>
            <w:r>
              <w:rPr>
                <w:rFonts w:hint="eastAsia"/>
                <w:b/>
                <w:color w:val="auto"/>
              </w:rPr>
              <w:t>单位</w:t>
            </w:r>
          </w:p>
        </w:tc>
        <w:tc>
          <w:tcPr>
            <w:tcW w:w="121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auto"/>
              </w:rPr>
            </w:pPr>
            <w:r>
              <w:rPr>
                <w:rFonts w:hint="eastAsia"/>
                <w:b/>
                <w:color w:val="auto"/>
              </w:rPr>
              <w:t>取值</w:t>
            </w:r>
          </w:p>
        </w:tc>
        <w:tc>
          <w:tcPr>
            <w:tcW w:w="1218" w:type="pct"/>
            <w:tcBorders>
              <w:tl2br w:val="nil"/>
              <w:tr2bl w:val="nil"/>
            </w:tcBorders>
          </w:tcPr>
          <w:p>
            <w:pPr>
              <w:keepNext w:val="0"/>
              <w:keepLines w:val="0"/>
              <w:suppressLineNumbers w:val="0"/>
              <w:spacing w:before="0" w:beforeAutospacing="0" w:after="0" w:afterAutospacing="0"/>
              <w:ind w:left="0" w:right="0"/>
              <w:jc w:val="center"/>
              <w:rPr>
                <w:rFonts w:hint="default"/>
                <w:b/>
                <w:color w:val="auto"/>
              </w:rPr>
            </w:pPr>
            <w:r>
              <w:rPr>
                <w:rFonts w:hint="eastAsia"/>
                <w:b/>
                <w:color w:val="auto"/>
              </w:rPr>
              <w:t>备注</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4"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Theme="minorEastAsia"/>
                <w:color w:val="auto"/>
                <w:lang w:val="en-US" w:eastAsia="zh-CN"/>
              </w:rPr>
            </w:pPr>
            <w:r>
              <w:rPr>
                <w:rFonts w:hint="eastAsia"/>
                <w:color w:val="auto"/>
                <w:lang w:val="en-US" w:eastAsia="zh-CN"/>
              </w:rPr>
              <w:t>1</w:t>
            </w:r>
          </w:p>
        </w:tc>
        <w:tc>
          <w:tcPr>
            <w:tcW w:w="169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sz w:val="24"/>
              </w:rPr>
              <w:t>水流速度</w:t>
            </w:r>
            <w:r>
              <w:rPr>
                <w:rFonts w:hint="eastAsia"/>
                <w:color w:val="auto"/>
              </w:rPr>
              <w:t>u</w:t>
            </w:r>
          </w:p>
        </w:tc>
        <w:tc>
          <w:tcPr>
            <w:tcW w:w="44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sz w:val="24"/>
              </w:rPr>
              <w:t>m/d</w:t>
            </w:r>
          </w:p>
        </w:tc>
        <w:tc>
          <w:tcPr>
            <w:tcW w:w="121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cs="Times New Roman"/>
                <w:color w:val="auto"/>
              </w:rPr>
              <w:t>0.0</w:t>
            </w:r>
            <w:r>
              <w:rPr>
                <w:rFonts w:hint="eastAsia" w:ascii="Times New Roman" w:hAnsi="Times New Roman" w:cs="Times New Roman"/>
                <w:color w:val="auto"/>
                <w:lang w:val="en-US" w:eastAsia="zh-CN"/>
              </w:rPr>
              <w:t>29</w:t>
            </w:r>
            <w:r>
              <w:rPr>
                <w:rFonts w:hint="default" w:ascii="Times New Roman" w:hAnsi="Times New Roman" w:cs="Times New Roman"/>
                <w:color w:val="auto"/>
              </w:rPr>
              <w:t xml:space="preserve"> </w:t>
            </w:r>
          </w:p>
        </w:tc>
        <w:tc>
          <w:tcPr>
            <w:tcW w:w="1218" w:type="pct"/>
            <w:tcBorders>
              <w:tl2br w:val="nil"/>
              <w:tr2bl w:val="nil"/>
            </w:tcBorders>
          </w:tcPr>
          <w:p>
            <w:pPr>
              <w:keepNext w:val="0"/>
              <w:keepLines w:val="0"/>
              <w:suppressLineNumbers w:val="0"/>
              <w:spacing w:before="0" w:beforeAutospacing="0" w:after="0" w:afterAutospacing="0"/>
              <w:ind w:left="0" w:right="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4"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Theme="minorEastAsia"/>
                <w:color w:val="auto"/>
                <w:lang w:val="en-US" w:eastAsia="zh-CN"/>
              </w:rPr>
            </w:pPr>
            <w:r>
              <w:rPr>
                <w:rFonts w:hint="eastAsia"/>
                <w:color w:val="auto"/>
                <w:lang w:val="en-US" w:eastAsia="zh-CN"/>
              </w:rPr>
              <w:t>2</w:t>
            </w:r>
          </w:p>
        </w:tc>
        <w:tc>
          <w:tcPr>
            <w:tcW w:w="169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有效孔隙度n</w:t>
            </w:r>
          </w:p>
        </w:tc>
        <w:tc>
          <w:tcPr>
            <w:tcW w:w="44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p>
        </w:tc>
        <w:tc>
          <w:tcPr>
            <w:tcW w:w="121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0.26</w:t>
            </w:r>
          </w:p>
        </w:tc>
        <w:tc>
          <w:tcPr>
            <w:tcW w:w="1218" w:type="pct"/>
            <w:tcBorders>
              <w:tl2br w:val="nil"/>
              <w:tr2bl w:val="nil"/>
            </w:tcBorders>
          </w:tcPr>
          <w:p>
            <w:pPr>
              <w:keepNext w:val="0"/>
              <w:keepLines w:val="0"/>
              <w:suppressLineNumbers w:val="0"/>
              <w:spacing w:before="0" w:beforeAutospacing="0" w:after="0" w:afterAutospacing="0"/>
              <w:ind w:left="0" w:right="0"/>
              <w:jc w:val="center"/>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4"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Theme="minorEastAsia"/>
                <w:color w:val="auto"/>
                <w:lang w:val="en-US" w:eastAsia="zh-CN"/>
              </w:rPr>
            </w:pPr>
            <w:r>
              <w:rPr>
                <w:rFonts w:hint="eastAsia"/>
                <w:color w:val="auto"/>
                <w:lang w:val="en-US" w:eastAsia="zh-CN"/>
              </w:rPr>
              <w:t>3</w:t>
            </w:r>
          </w:p>
        </w:tc>
        <w:tc>
          <w:tcPr>
            <w:tcW w:w="169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vertAlign w:val="subscript"/>
              </w:rPr>
            </w:pPr>
            <w:r>
              <w:rPr>
                <w:rFonts w:hint="eastAsia"/>
                <w:color w:val="auto"/>
              </w:rPr>
              <w:t>纵向弥散度系数D</w:t>
            </w:r>
            <w:r>
              <w:rPr>
                <w:rFonts w:hint="eastAsia"/>
                <w:color w:val="auto"/>
                <w:vertAlign w:val="subscript"/>
              </w:rPr>
              <w:t>L</w:t>
            </w:r>
          </w:p>
        </w:tc>
        <w:tc>
          <w:tcPr>
            <w:tcW w:w="44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sz w:val="24"/>
              </w:rPr>
              <w:t>m</w:t>
            </w:r>
            <w:r>
              <w:rPr>
                <w:rFonts w:hint="eastAsia"/>
                <w:color w:val="auto"/>
                <w:sz w:val="24"/>
                <w:vertAlign w:val="superscript"/>
              </w:rPr>
              <w:t>2</w:t>
            </w:r>
            <w:r>
              <w:rPr>
                <w:rFonts w:hint="eastAsia"/>
                <w:color w:val="auto"/>
                <w:sz w:val="24"/>
              </w:rPr>
              <w:t>/d</w:t>
            </w:r>
          </w:p>
        </w:tc>
        <w:tc>
          <w:tcPr>
            <w:tcW w:w="121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0.29</w:t>
            </w:r>
          </w:p>
        </w:tc>
        <w:tc>
          <w:tcPr>
            <w:tcW w:w="1218" w:type="pct"/>
            <w:tcBorders>
              <w:tl2br w:val="nil"/>
              <w:tr2bl w:val="nil"/>
            </w:tcBorders>
          </w:tcPr>
          <w:p>
            <w:pPr>
              <w:keepNext w:val="0"/>
              <w:keepLines w:val="0"/>
              <w:suppressLineNumbers w:val="0"/>
              <w:spacing w:before="0" w:beforeAutospacing="0" w:after="0" w:afterAutospacing="0"/>
              <w:ind w:left="0" w:right="0"/>
              <w:jc w:val="center"/>
              <w:rPr>
                <w:rFonts w:hint="default"/>
                <w:color w:val="auto"/>
              </w:rPr>
            </w:pPr>
          </w:p>
        </w:tc>
      </w:tr>
    </w:tbl>
    <w:p>
      <w:pPr>
        <w:jc w:val="left"/>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备注：①根据达西定律u= ki/n，K取1.5m/d，i取0.005，n取0.</w:t>
      </w:r>
      <w:r>
        <w:rPr>
          <w:rFonts w:hint="default" w:ascii="Times New Roman" w:hAnsi="Times New Roman" w:eastAsia="宋体" w:cs="Times New Roman"/>
          <w:color w:val="auto"/>
          <w:lang w:val="en-US" w:eastAsia="zh-CN"/>
        </w:rPr>
        <w:t>26</w:t>
      </w:r>
      <w:r>
        <w:rPr>
          <w:rFonts w:hint="default" w:ascii="Times New Roman" w:hAnsi="Times New Roman" w:eastAsia="宋体" w:cs="Times New Roman"/>
          <w:color w:val="auto"/>
        </w:rPr>
        <w:t>，经计算，水流速度为0.0</w:t>
      </w:r>
      <w:r>
        <w:rPr>
          <w:rFonts w:hint="default" w:ascii="Times New Roman" w:hAnsi="Times New Roman" w:eastAsia="宋体" w:cs="Times New Roman"/>
          <w:color w:val="auto"/>
          <w:lang w:val="en-US" w:eastAsia="zh-CN"/>
        </w:rPr>
        <w:t>29</w:t>
      </w:r>
      <w:r>
        <w:rPr>
          <w:rFonts w:hint="default" w:ascii="Times New Roman" w:hAnsi="Times New Roman" w:eastAsia="宋体" w:cs="Times New Roman"/>
          <w:color w:val="auto"/>
        </w:rPr>
        <w:t>m/d，；②弥散系数取值则参考Gelhar等人关于纵向弥散度与观测尺度关系的理论，根据本次场地的研究尺度，计算中纵向弥散度∂</w:t>
      </w:r>
      <w:r>
        <w:rPr>
          <w:rFonts w:hint="default" w:ascii="Times New Roman" w:hAnsi="Times New Roman" w:eastAsia="宋体" w:cs="Times New Roman"/>
          <w:color w:val="auto"/>
          <w:vertAlign w:val="subscript"/>
        </w:rPr>
        <w:t>L</w:t>
      </w:r>
      <w:r>
        <w:rPr>
          <w:rFonts w:hint="default" w:ascii="Times New Roman" w:hAnsi="Times New Roman" w:eastAsia="宋体" w:cs="Times New Roman"/>
          <w:color w:val="auto"/>
        </w:rPr>
        <w:t>取值为</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rPr>
        <w:t>m</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=0.83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(lgL)</w:t>
      </w:r>
      <w:r>
        <w:rPr>
          <w:rFonts w:hint="eastAsia" w:ascii="Times New Roman" w:hAnsi="Times New Roman" w:eastAsia="宋体" w:cs="Times New Roman"/>
          <w:color w:val="auto"/>
          <w:vertAlign w:val="superscript"/>
          <w:lang w:val="en-US" w:eastAsia="zh-CN"/>
        </w:rPr>
        <w:t>2.414</w:t>
      </w:r>
      <w:r>
        <w:rPr>
          <w:rFonts w:hint="eastAsia" w:ascii="Times New Roman" w:hAnsi="Times New Roman" w:eastAsia="宋体" w:cs="Times New Roman"/>
          <w:color w:val="auto"/>
          <w:vertAlign w:val="baseline"/>
          <w:lang w:val="en-US" w:eastAsia="zh-CN"/>
        </w:rPr>
        <w:t>,L=650m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，纵向弥散系数D</w:t>
      </w:r>
      <w:r>
        <w:rPr>
          <w:rFonts w:hint="default" w:ascii="Times New Roman" w:hAnsi="Times New Roman" w:eastAsia="宋体" w:cs="Times New Roman"/>
          <w:color w:val="auto"/>
          <w:vertAlign w:val="subscript"/>
        </w:rPr>
        <w:t>L</w:t>
      </w:r>
      <w:r>
        <w:rPr>
          <w:rFonts w:hint="default" w:ascii="Times New Roman" w:hAnsi="Times New Roman" w:eastAsia="宋体" w:cs="Times New Roman"/>
          <w:color w:val="auto"/>
        </w:rPr>
        <w:t>取值为</w:t>
      </w:r>
      <w:r>
        <w:rPr>
          <w:rFonts w:hint="eastAsia" w:ascii="Times New Roman" w:hAnsi="Times New Roman" w:eastAsia="宋体" w:cs="Times New Roman"/>
          <w:color w:val="auto"/>
          <w:lang w:val="en-US" w:eastAsia="zh-CN"/>
        </w:rPr>
        <w:t>0.29</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/d（= ∂L×u）</w:t>
      </w:r>
      <w:r>
        <w:rPr>
          <w:rFonts w:hint="eastAsia" w:ascii="Times New Roman" w:hAnsi="Times New Roman" w:eastAsia="宋体" w:cs="Times New Roman"/>
          <w:color w:val="auto"/>
          <w:lang w:eastAsia="zh-CN"/>
        </w:rPr>
        <w:t>。</w:t>
      </w:r>
    </w:p>
    <w:p>
      <w:pPr>
        <w:rPr>
          <w:b/>
          <w:bCs/>
          <w:color w:val="auto"/>
          <w:sz w:val="24"/>
          <w:szCs w:val="24"/>
        </w:rPr>
      </w:pPr>
      <w:r>
        <w:rPr>
          <w:rFonts w:hint="eastAsia"/>
          <w:b/>
          <w:bCs/>
          <w:color w:val="auto"/>
          <w:sz w:val="24"/>
          <w:szCs w:val="24"/>
        </w:rPr>
        <w:t>2、预测结果分析</w:t>
      </w:r>
    </w:p>
    <w:p>
      <w:pPr>
        <w:ind w:firstLine="465"/>
        <w:rPr>
          <w:color w:val="auto"/>
          <w:sz w:val="24"/>
        </w:rPr>
      </w:pPr>
      <w:r>
        <w:rPr>
          <w:rFonts w:hint="eastAsia"/>
          <w:color w:val="auto"/>
          <w:sz w:val="24"/>
        </w:rPr>
        <w:t>根据项目工程分析，对于污水处理选取耗氧量、</w:t>
      </w:r>
      <w:r>
        <w:rPr>
          <w:color w:val="auto"/>
          <w:sz w:val="24"/>
        </w:rPr>
        <w:t>NH</w:t>
      </w:r>
      <w:r>
        <w:rPr>
          <w:color w:val="auto"/>
          <w:sz w:val="24"/>
          <w:vertAlign w:val="subscript"/>
        </w:rPr>
        <w:t>3</w:t>
      </w:r>
      <w:r>
        <w:rPr>
          <w:color w:val="auto"/>
          <w:sz w:val="24"/>
        </w:rPr>
        <w:t>-N</w:t>
      </w:r>
      <w:r>
        <w:rPr>
          <w:rFonts w:hint="eastAsia"/>
          <w:color w:val="auto"/>
          <w:sz w:val="24"/>
        </w:rPr>
        <w:t>为预测因子，预测污水处理设施在非正常工况下污染物在地下水中的迁移规律（以池体为原点，地下水流向为</w:t>
      </w:r>
      <w:r>
        <w:rPr>
          <w:color w:val="auto"/>
          <w:sz w:val="24"/>
        </w:rPr>
        <w:t>x</w:t>
      </w:r>
      <w:r>
        <w:rPr>
          <w:rFonts w:hint="eastAsia"/>
          <w:color w:val="auto"/>
          <w:sz w:val="24"/>
        </w:rPr>
        <w:t>轴）。</w:t>
      </w:r>
    </w:p>
    <w:p>
      <w:pPr>
        <w:ind w:firstLine="465"/>
        <w:rPr>
          <w:color w:val="auto"/>
          <w:sz w:val="24"/>
        </w:rPr>
      </w:pPr>
      <w:r>
        <w:rPr>
          <w:rFonts w:hint="eastAsia"/>
          <w:color w:val="auto"/>
          <w:sz w:val="24"/>
        </w:rPr>
        <w:t>显示固定位置不同时段的耗氧量浓度值预测，由于污染物的持续注入，地下水中耗氧量呈现逐渐增长的趋势，距事故地点距离越远，污染物泄漏对区域地下水中污染物含量的贡献值越低。</w:t>
      </w:r>
    </w:p>
    <w:p>
      <w:pPr>
        <w:rPr>
          <w:rFonts w:hint="default"/>
          <w:color w:val="auto"/>
          <w:sz w:val="24"/>
          <w:szCs w:val="24"/>
          <w:lang w:val="en-US" w:eastAsia="zh-CN"/>
        </w:rPr>
      </w:pPr>
      <w:r>
        <w:rPr>
          <w:rFonts w:hint="eastAsia"/>
          <w:b/>
          <w:color w:val="auto"/>
          <w:sz w:val="24"/>
        </w:rPr>
        <w:t>（1）耗氧量预测</w:t>
      </w:r>
      <w:r>
        <w:rPr>
          <w:rFonts w:hint="default"/>
          <w:color w:val="auto"/>
          <w:sz w:val="24"/>
          <w:szCs w:val="24"/>
          <w:lang w:val="en-US" w:eastAsia="zh-CN"/>
        </w:rPr>
        <w:br w:type="textWrapping"/>
      </w:r>
      <w:r>
        <w:rPr>
          <w:rFonts w:hint="default"/>
          <w:color w:val="auto"/>
          <w:sz w:val="24"/>
          <w:szCs w:val="24"/>
          <w:lang w:val="en-US" w:eastAsia="zh-CN"/>
        </w:rPr>
        <w:t>假定事故状况下发生泄漏，污染因子对地下水的影响预测结果见</w:t>
      </w:r>
      <w:r>
        <w:rPr>
          <w:rFonts w:hint="eastAsia"/>
          <w:color w:val="auto"/>
          <w:sz w:val="24"/>
          <w:szCs w:val="24"/>
          <w:lang w:val="en-US" w:eastAsia="zh-CN"/>
        </w:rPr>
        <w:t>下</w:t>
      </w:r>
      <w:r>
        <w:rPr>
          <w:rFonts w:hint="default"/>
          <w:color w:val="auto"/>
          <w:sz w:val="24"/>
          <w:szCs w:val="24"/>
          <w:lang w:val="en-US" w:eastAsia="zh-CN"/>
        </w:rPr>
        <w:t>表</w:t>
      </w:r>
      <w:r>
        <w:rPr>
          <w:rFonts w:hint="eastAsia"/>
          <w:color w:val="auto"/>
          <w:sz w:val="24"/>
          <w:szCs w:val="24"/>
          <w:lang w:val="en-US" w:eastAsia="zh-CN"/>
        </w:rPr>
        <w:t>：</w:t>
      </w:r>
    </w:p>
    <w:p>
      <w:pPr>
        <w:widowControl w:val="0"/>
        <w:numPr>
          <w:ilvl w:val="0"/>
          <w:numId w:val="33"/>
        </w:numPr>
        <w:spacing w:after="0" w:afterLines="0" w:line="360" w:lineRule="auto"/>
        <w:ind w:left="0" w:leftChars="0" w:firstLine="0" w:firstLineChars="0"/>
        <w:jc w:val="center"/>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 xml:space="preserve">  </w:t>
      </w:r>
      <w:r>
        <w:rPr>
          <w:rFonts w:hint="default" w:ascii="Times New Roman" w:hAnsi="Times New Roman"/>
          <w:b/>
          <w:color w:val="auto"/>
          <w:sz w:val="21"/>
          <w:szCs w:val="21"/>
          <w:lang w:val="en-US" w:eastAsia="zh-CN"/>
        </w:rPr>
        <w:t>泄漏事故</w:t>
      </w:r>
      <w:r>
        <w:rPr>
          <w:rFonts w:hint="eastAsia" w:ascii="Times New Roman" w:hAnsi="Times New Roman"/>
          <w:b/>
          <w:color w:val="auto"/>
          <w:sz w:val="21"/>
          <w:szCs w:val="21"/>
          <w:lang w:val="en-US" w:eastAsia="zh-CN"/>
        </w:rPr>
        <w:t>10d耗氧量</w:t>
      </w:r>
      <w:r>
        <w:rPr>
          <w:rFonts w:hint="default" w:ascii="Times New Roman" w:hAnsi="Times New Roman"/>
          <w:b/>
          <w:color w:val="auto"/>
          <w:sz w:val="21"/>
          <w:szCs w:val="21"/>
          <w:lang w:val="en-US" w:eastAsia="zh-CN"/>
        </w:rPr>
        <w:t>影响预测结果一览表</w:t>
      </w:r>
      <w:r>
        <w:rPr>
          <w:rFonts w:hint="eastAsia" w:ascii="Times New Roman" w:hAnsi="Times New Roman"/>
          <w:b/>
          <w:color w:val="auto"/>
          <w:sz w:val="21"/>
          <w:szCs w:val="21"/>
          <w:lang w:val="en-US" w:eastAsia="zh-CN"/>
        </w:rPr>
        <w:t xml:space="preserve">   单位mg/L</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66"/>
        <w:gridCol w:w="954"/>
        <w:gridCol w:w="828"/>
        <w:gridCol w:w="732"/>
        <w:gridCol w:w="756"/>
        <w:gridCol w:w="750"/>
        <w:gridCol w:w="732"/>
        <w:gridCol w:w="708"/>
        <w:gridCol w:w="720"/>
        <w:gridCol w:w="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时间</w:t>
            </w:r>
          </w:p>
        </w:tc>
        <w:tc>
          <w:tcPr>
            <w:tcW w:w="7847" w:type="dxa"/>
            <w:gridSpan w:val="10"/>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泄露距离（m）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p>
        </w:tc>
        <w:tc>
          <w:tcPr>
            <w:tcW w:w="96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w:t>
            </w:r>
          </w:p>
        </w:tc>
        <w:tc>
          <w:tcPr>
            <w:tcW w:w="95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w:t>
            </w:r>
          </w:p>
        </w:tc>
        <w:tc>
          <w:tcPr>
            <w:tcW w:w="82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w:t>
            </w:r>
          </w:p>
        </w:tc>
        <w:tc>
          <w:tcPr>
            <w:tcW w:w="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12</w:t>
            </w:r>
          </w:p>
        </w:tc>
        <w:tc>
          <w:tcPr>
            <w:tcW w:w="75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14</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15</w:t>
            </w:r>
          </w:p>
        </w:tc>
        <w:tc>
          <w:tcPr>
            <w:tcW w:w="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16</w:t>
            </w:r>
          </w:p>
        </w:tc>
        <w:tc>
          <w:tcPr>
            <w:tcW w:w="7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17</w:t>
            </w:r>
          </w:p>
        </w:tc>
        <w:tc>
          <w:tcPr>
            <w:tcW w:w="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18</w:t>
            </w:r>
          </w:p>
        </w:tc>
        <w:tc>
          <w:tcPr>
            <w:tcW w:w="70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10d</w:t>
            </w:r>
          </w:p>
        </w:tc>
        <w:tc>
          <w:tcPr>
            <w:tcW w:w="96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3.132</w:t>
            </w:r>
          </w:p>
        </w:tc>
        <w:tc>
          <w:tcPr>
            <w:tcW w:w="95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0.412</w:t>
            </w:r>
          </w:p>
        </w:tc>
        <w:tc>
          <w:tcPr>
            <w:tcW w:w="82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0.019</w:t>
            </w:r>
          </w:p>
        </w:tc>
        <w:tc>
          <w:tcPr>
            <w:tcW w:w="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5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0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528" w:type="dxa"/>
            <w:gridSpan w:val="11"/>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注：泄露10天后，5m以后可达到</w:t>
            </w:r>
            <w:r>
              <w:rPr>
                <w:rFonts w:hint="eastAsia" w:ascii="宋体" w:hAnsi="宋体" w:eastAsia="宋体" w:cs="宋体"/>
                <w:color w:val="auto"/>
                <w:szCs w:val="21"/>
                <w:u w:val="none"/>
                <w:lang w:val="en-US" w:eastAsia="zh-CN"/>
              </w:rPr>
              <w:t>Ⅲ</w:t>
            </w:r>
            <w:r>
              <w:rPr>
                <w:rFonts w:hint="eastAsia" w:ascii="Times New Roman" w:hAnsi="Times New Roman" w:eastAsia="宋体"/>
                <w:color w:val="auto"/>
                <w:szCs w:val="21"/>
                <w:u w:val="none"/>
                <w:lang w:val="en-US" w:eastAsia="zh-CN"/>
              </w:rPr>
              <w:t>类水质要求，最远影响距离约5m</w:t>
            </w:r>
          </w:p>
        </w:tc>
      </w:tr>
    </w:tbl>
    <w:p>
      <w:pPr>
        <w:pStyle w:val="110"/>
        <w:tabs>
          <w:tab w:val="left" w:pos="1440"/>
          <w:tab w:val="left" w:pos="4368"/>
        </w:tabs>
        <w:ind w:left="0" w:leftChars="0" w:firstLine="0" w:firstLineChars="0"/>
        <w:jc w:val="center"/>
        <w:rPr>
          <w:rFonts w:hint="eastAsia"/>
          <w:b/>
          <w:color w:val="auto"/>
        </w:rPr>
      </w:pPr>
      <w:r>
        <w:rPr>
          <w:color w:val="auto"/>
        </w:rPr>
        <w:drawing>
          <wp:inline distT="0" distB="0" distL="114300" distR="114300">
            <wp:extent cx="5067300" cy="2314575"/>
            <wp:effectExtent l="5080" t="4445" r="13970" b="5080"/>
            <wp:docPr id="2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46"/>
        <w:numPr>
          <w:ilvl w:val="0"/>
          <w:numId w:val="34"/>
        </w:numPr>
        <w:adjustRightInd w:val="0"/>
        <w:snapToGrid w:val="0"/>
        <w:spacing w:line="360" w:lineRule="auto"/>
        <w:ind w:left="425" w:leftChars="0" w:hanging="425" w:firstLineChars="0"/>
        <w:jc w:val="center"/>
        <w:rPr>
          <w:rFonts w:hint="eastAsia"/>
          <w:b/>
          <w:bCs/>
          <w:color w:val="auto"/>
          <w:sz w:val="21"/>
          <w:szCs w:val="21"/>
        </w:rPr>
      </w:pPr>
      <w:r>
        <w:rPr>
          <w:rFonts w:hint="default" w:ascii="Times New Roman" w:hAnsi="Times New Roman" w:cs="Times New Roman"/>
          <w:b/>
          <w:bCs/>
          <w:color w:val="auto"/>
          <w:sz w:val="21"/>
          <w:szCs w:val="21"/>
          <w:highlight w:val="none"/>
          <w:lang w:val="en-US" w:eastAsia="zh-CN"/>
        </w:rPr>
        <w:t>事故</w:t>
      </w:r>
      <w:r>
        <w:rPr>
          <w:rFonts w:hint="eastAsia" w:ascii="Times New Roman" w:hAnsi="Times New Roman" w:cs="Times New Roman"/>
          <w:b/>
          <w:bCs/>
          <w:color w:val="auto"/>
          <w:sz w:val="21"/>
          <w:szCs w:val="21"/>
          <w:highlight w:val="none"/>
          <w:lang w:val="en-US" w:eastAsia="zh-CN"/>
        </w:rPr>
        <w:t>10d耗氧量</w:t>
      </w:r>
      <w:r>
        <w:rPr>
          <w:rFonts w:hint="default" w:ascii="Times New Roman" w:hAnsi="Times New Roman" w:cs="Times New Roman"/>
          <w:b/>
          <w:bCs/>
          <w:color w:val="auto"/>
          <w:sz w:val="21"/>
          <w:szCs w:val="21"/>
          <w:highlight w:val="none"/>
          <w:lang w:val="en-US" w:eastAsia="zh-CN"/>
        </w:rPr>
        <w:t>影响预测</w:t>
      </w:r>
      <w:r>
        <w:rPr>
          <w:rFonts w:hint="eastAsia" w:ascii="Times New Roman" w:hAnsi="Times New Roman" w:cs="Times New Roman"/>
          <w:b/>
          <w:bCs/>
          <w:color w:val="auto"/>
          <w:sz w:val="21"/>
          <w:szCs w:val="21"/>
          <w:highlight w:val="none"/>
          <w:lang w:val="en-US" w:eastAsia="zh-CN"/>
        </w:rPr>
        <w:t>结果</w:t>
      </w:r>
      <w:r>
        <w:rPr>
          <w:rFonts w:hint="eastAsia" w:ascii="Times New Roman" w:hAnsi="Times New Roman" w:cs="Times New Roman"/>
          <w:b/>
          <w:bCs/>
          <w:color w:val="auto"/>
          <w:sz w:val="21"/>
          <w:szCs w:val="21"/>
          <w:highlight w:val="none"/>
        </w:rPr>
        <w:t>图（耗氧量标准值3mg/L）</w:t>
      </w:r>
    </w:p>
    <w:p>
      <w:pPr>
        <w:widowControl w:val="0"/>
        <w:numPr>
          <w:ilvl w:val="0"/>
          <w:numId w:val="33"/>
        </w:numPr>
        <w:spacing w:after="0" w:afterLines="0" w:line="360" w:lineRule="auto"/>
        <w:ind w:left="0" w:leftChars="0" w:firstLine="0" w:firstLineChars="0"/>
        <w:jc w:val="center"/>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 xml:space="preserve">  </w:t>
      </w:r>
      <w:r>
        <w:rPr>
          <w:rFonts w:hint="default" w:ascii="Times New Roman" w:hAnsi="Times New Roman"/>
          <w:b/>
          <w:color w:val="auto"/>
          <w:sz w:val="21"/>
          <w:szCs w:val="21"/>
          <w:lang w:val="en-US" w:eastAsia="zh-CN"/>
        </w:rPr>
        <w:t>泄漏事故</w:t>
      </w:r>
      <w:r>
        <w:rPr>
          <w:rFonts w:hint="eastAsia" w:ascii="Times New Roman" w:hAnsi="Times New Roman"/>
          <w:b/>
          <w:color w:val="auto"/>
          <w:sz w:val="21"/>
          <w:szCs w:val="21"/>
          <w:lang w:val="en-US" w:eastAsia="zh-CN"/>
        </w:rPr>
        <w:t>100d耗氧量</w:t>
      </w:r>
      <w:r>
        <w:rPr>
          <w:rFonts w:hint="default" w:ascii="Times New Roman" w:hAnsi="Times New Roman"/>
          <w:b/>
          <w:color w:val="auto"/>
          <w:sz w:val="21"/>
          <w:szCs w:val="21"/>
          <w:lang w:val="en-US" w:eastAsia="zh-CN"/>
        </w:rPr>
        <w:t>影响预测结果一览表</w:t>
      </w:r>
      <w:r>
        <w:rPr>
          <w:rFonts w:hint="eastAsia" w:ascii="Times New Roman" w:hAnsi="Times New Roman"/>
          <w:b/>
          <w:color w:val="auto"/>
          <w:sz w:val="21"/>
          <w:szCs w:val="21"/>
          <w:lang w:val="en-US" w:eastAsia="zh-CN"/>
        </w:rPr>
        <w:t xml:space="preserve">   单位mg/L</w:t>
      </w:r>
    </w:p>
    <w:tbl>
      <w:tblPr>
        <w:tblStyle w:val="8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956"/>
        <w:gridCol w:w="946"/>
        <w:gridCol w:w="766"/>
        <w:gridCol w:w="740"/>
        <w:gridCol w:w="689"/>
        <w:gridCol w:w="689"/>
        <w:gridCol w:w="699"/>
        <w:gridCol w:w="700"/>
        <w:gridCol w:w="702"/>
        <w:gridCol w:w="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时间</w:t>
            </w:r>
          </w:p>
        </w:tc>
        <w:tc>
          <w:tcPr>
            <w:tcW w:w="4547" w:type="pct"/>
            <w:gridSpan w:val="10"/>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泄露距离（m）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p>
        </w:tc>
        <w:tc>
          <w:tcPr>
            <w:tcW w:w="56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w:t>
            </w:r>
          </w:p>
        </w:tc>
        <w:tc>
          <w:tcPr>
            <w:tcW w:w="5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20</w:t>
            </w:r>
          </w:p>
        </w:tc>
        <w:tc>
          <w:tcPr>
            <w:tcW w:w="45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30</w:t>
            </w:r>
          </w:p>
        </w:tc>
        <w:tc>
          <w:tcPr>
            <w:tcW w:w="43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40</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45</w:t>
            </w:r>
          </w:p>
        </w:tc>
        <w:tc>
          <w:tcPr>
            <w:tcW w:w="3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49</w:t>
            </w:r>
          </w:p>
        </w:tc>
        <w:tc>
          <w:tcPr>
            <w:tcW w:w="41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50</w:t>
            </w:r>
          </w:p>
        </w:tc>
        <w:tc>
          <w:tcPr>
            <w:tcW w:w="41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55</w:t>
            </w:r>
          </w:p>
        </w:tc>
        <w:tc>
          <w:tcPr>
            <w:tcW w:w="4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57</w:t>
            </w:r>
          </w:p>
        </w:tc>
        <w:tc>
          <w:tcPr>
            <w:tcW w:w="50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5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100d</w:t>
            </w:r>
          </w:p>
        </w:tc>
        <w:tc>
          <w:tcPr>
            <w:tcW w:w="56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0.592</w:t>
            </w:r>
          </w:p>
        </w:tc>
        <w:tc>
          <w:tcPr>
            <w:tcW w:w="5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0.741</w:t>
            </w:r>
          </w:p>
        </w:tc>
        <w:tc>
          <w:tcPr>
            <w:tcW w:w="45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0.602</w:t>
            </w:r>
          </w:p>
        </w:tc>
        <w:tc>
          <w:tcPr>
            <w:tcW w:w="43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0.109</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3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41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41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4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kern w:val="2"/>
                <w:sz w:val="21"/>
                <w:szCs w:val="21"/>
                <w:u w:val="none"/>
                <w:lang w:val="en-US" w:eastAsia="zh-CN" w:bidi="ar-SA"/>
              </w:rPr>
              <w:t>0.000</w:t>
            </w:r>
          </w:p>
        </w:tc>
        <w:tc>
          <w:tcPr>
            <w:tcW w:w="50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kern w:val="2"/>
                <w:sz w:val="21"/>
                <w:szCs w:val="21"/>
                <w:u w:val="none"/>
                <w:lang w:val="en-US" w:eastAsia="zh-CN" w:bidi="ar-SA"/>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000" w:type="pct"/>
            <w:gridSpan w:val="11"/>
            <w:tcBorders>
              <w:tl2br w:val="nil"/>
              <w:tr2bl w:val="nil"/>
            </w:tcBorders>
            <w:noWrap w:val="0"/>
            <w:vAlign w:val="center"/>
          </w:tcPr>
          <w:p>
            <w:pPr>
              <w:keepNext w:val="0"/>
              <w:keepLines w:val="0"/>
              <w:suppressLineNumbers w:val="0"/>
              <w:spacing w:before="0" w:beforeAutospacing="0" w:after="0" w:afterAutospacing="0"/>
              <w:ind w:left="0" w:right="0"/>
              <w:jc w:val="left"/>
              <w:rPr>
                <w:rFonts w:hint="eastAsia"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注：泄露100天后，0m以后可达到</w:t>
            </w:r>
            <w:r>
              <w:rPr>
                <w:rFonts w:hint="eastAsia" w:ascii="宋体" w:hAnsi="宋体" w:eastAsia="宋体" w:cs="宋体"/>
                <w:color w:val="auto"/>
                <w:szCs w:val="21"/>
                <w:u w:val="none"/>
                <w:lang w:val="en-US" w:eastAsia="zh-CN"/>
              </w:rPr>
              <w:t>Ⅲ</w:t>
            </w:r>
            <w:r>
              <w:rPr>
                <w:rFonts w:hint="eastAsia" w:ascii="Times New Roman" w:hAnsi="Times New Roman" w:eastAsia="宋体"/>
                <w:color w:val="auto"/>
                <w:szCs w:val="21"/>
                <w:u w:val="none"/>
                <w:lang w:val="en-US" w:eastAsia="zh-CN"/>
              </w:rPr>
              <w:t>类水质要求，最远影响距离约0m</w:t>
            </w:r>
          </w:p>
        </w:tc>
      </w:tr>
    </w:tbl>
    <w:p>
      <w:pPr>
        <w:pStyle w:val="110"/>
        <w:keepNext w:val="0"/>
        <w:keepLines w:val="0"/>
        <w:pageBreakBefore w:val="0"/>
        <w:widowControl w:val="0"/>
        <w:tabs>
          <w:tab w:val="left" w:pos="1440"/>
          <w:tab w:val="left" w:pos="4368"/>
        </w:tabs>
        <w:kinsoku/>
        <w:wordWrap/>
        <w:overflowPunct/>
        <w:topLinePunct w:val="0"/>
        <w:autoSpaceDE/>
        <w:autoSpaceDN/>
        <w:bidi w:val="0"/>
        <w:adjustRightInd w:val="0"/>
        <w:snapToGrid w:val="0"/>
        <w:spacing w:line="360" w:lineRule="auto"/>
        <w:ind w:left="0" w:leftChars="0" w:firstLine="0" w:firstLineChars="0"/>
        <w:jc w:val="center"/>
        <w:textAlignment w:val="auto"/>
        <w:rPr>
          <w:color w:val="auto"/>
        </w:rPr>
      </w:pPr>
      <w:r>
        <w:rPr>
          <w:color w:val="auto"/>
        </w:rPr>
        <w:drawing>
          <wp:inline distT="0" distB="0" distL="114300" distR="114300">
            <wp:extent cx="5028565" cy="2571750"/>
            <wp:effectExtent l="4445" t="4445" r="15240" b="14605"/>
            <wp:docPr id="2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46"/>
        <w:numPr>
          <w:ilvl w:val="0"/>
          <w:numId w:val="34"/>
        </w:numPr>
        <w:adjustRightInd w:val="0"/>
        <w:snapToGrid w:val="0"/>
        <w:spacing w:line="360" w:lineRule="auto"/>
        <w:ind w:left="425" w:leftChars="0" w:hanging="425"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highlight w:val="none"/>
          <w:lang w:val="en-US" w:eastAsia="zh-CN"/>
        </w:rPr>
        <w:t>事故100d耗氧量影响预测结果</w:t>
      </w:r>
      <w:r>
        <w:rPr>
          <w:rFonts w:hint="default" w:ascii="Times New Roman" w:hAnsi="Times New Roman" w:cs="Times New Roman"/>
          <w:b/>
          <w:bCs/>
          <w:color w:val="auto"/>
          <w:sz w:val="21"/>
          <w:szCs w:val="21"/>
          <w:highlight w:val="none"/>
        </w:rPr>
        <w:t>图（耗氧量标准值3mg/L）</w:t>
      </w:r>
    </w:p>
    <w:p>
      <w:pPr>
        <w:widowControl w:val="0"/>
        <w:numPr>
          <w:ilvl w:val="0"/>
          <w:numId w:val="33"/>
        </w:numPr>
        <w:spacing w:after="0" w:afterLines="0" w:line="360" w:lineRule="auto"/>
        <w:ind w:left="0" w:leftChars="0" w:firstLine="0" w:firstLineChars="0"/>
        <w:jc w:val="center"/>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 xml:space="preserve">  </w:t>
      </w:r>
      <w:r>
        <w:rPr>
          <w:rFonts w:hint="default" w:ascii="Times New Roman" w:hAnsi="Times New Roman"/>
          <w:b/>
          <w:color w:val="auto"/>
          <w:sz w:val="21"/>
          <w:szCs w:val="21"/>
          <w:lang w:val="en-US" w:eastAsia="zh-CN"/>
        </w:rPr>
        <w:t>泄漏事故</w:t>
      </w:r>
      <w:r>
        <w:rPr>
          <w:rFonts w:hint="eastAsia" w:ascii="Times New Roman" w:hAnsi="Times New Roman"/>
          <w:b/>
          <w:color w:val="auto"/>
          <w:sz w:val="21"/>
          <w:szCs w:val="21"/>
          <w:lang w:val="en-US" w:eastAsia="zh-CN"/>
        </w:rPr>
        <w:t>1000d耗氧量</w:t>
      </w:r>
      <w:r>
        <w:rPr>
          <w:rFonts w:hint="default" w:ascii="Times New Roman" w:hAnsi="Times New Roman"/>
          <w:b/>
          <w:color w:val="auto"/>
          <w:sz w:val="21"/>
          <w:szCs w:val="21"/>
          <w:lang w:val="en-US" w:eastAsia="zh-CN"/>
        </w:rPr>
        <w:t>影响预测结果一览表</w:t>
      </w:r>
      <w:r>
        <w:rPr>
          <w:rFonts w:hint="eastAsia" w:ascii="Times New Roman" w:hAnsi="Times New Roman"/>
          <w:b/>
          <w:color w:val="auto"/>
          <w:sz w:val="21"/>
          <w:szCs w:val="21"/>
          <w:lang w:val="en-US" w:eastAsia="zh-CN"/>
        </w:rPr>
        <w:t xml:space="preserve">    单位mg/L</w:t>
      </w:r>
    </w:p>
    <w:tbl>
      <w:tblPr>
        <w:tblStyle w:val="88"/>
        <w:tblW w:w="85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12"/>
        <w:gridCol w:w="712"/>
        <w:gridCol w:w="712"/>
        <w:gridCol w:w="712"/>
        <w:gridCol w:w="712"/>
        <w:gridCol w:w="712"/>
        <w:gridCol w:w="712"/>
        <w:gridCol w:w="712"/>
        <w:gridCol w:w="712"/>
        <w:gridCol w:w="712"/>
        <w:gridCol w:w="717"/>
        <w:gridCol w:w="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69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时间</w:t>
            </w:r>
          </w:p>
        </w:tc>
        <w:tc>
          <w:tcPr>
            <w:tcW w:w="7837" w:type="dxa"/>
            <w:gridSpan w:val="11"/>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泄露距离（m）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60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120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150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180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190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200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205</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210</w:t>
            </w:r>
          </w:p>
        </w:tc>
        <w:tc>
          <w:tcPr>
            <w:tcW w:w="719"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1000d</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0.025</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0.102</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0.219</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0.004</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kern w:val="2"/>
                <w:sz w:val="21"/>
                <w:szCs w:val="21"/>
                <w:u w:val="none"/>
                <w:lang w:val="en-US" w:eastAsia="zh-CN" w:bidi="ar-SA"/>
              </w:rPr>
              <w:t>0.000</w:t>
            </w:r>
          </w:p>
        </w:tc>
        <w:tc>
          <w:tcPr>
            <w:tcW w:w="719"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kern w:val="2"/>
                <w:sz w:val="21"/>
                <w:szCs w:val="21"/>
                <w:u w:val="none"/>
                <w:lang w:val="en-US" w:eastAsia="zh-CN" w:bidi="ar-SA"/>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533" w:type="dxa"/>
            <w:gridSpan w:val="13"/>
            <w:tcBorders>
              <w:tl2br w:val="nil"/>
              <w:tr2bl w:val="nil"/>
            </w:tcBorders>
            <w:noWrap w:val="0"/>
            <w:vAlign w:val="center"/>
          </w:tcPr>
          <w:p>
            <w:pPr>
              <w:keepNext w:val="0"/>
              <w:keepLines w:val="0"/>
              <w:suppressLineNumbers w:val="0"/>
              <w:spacing w:before="0" w:beforeAutospacing="0" w:after="0" w:afterAutospacing="0"/>
              <w:ind w:left="0" w:right="0"/>
              <w:jc w:val="left"/>
              <w:rPr>
                <w:rFonts w:hint="eastAsia"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注：泄露1000天后，60m处浓度最高，205m以后可达到</w:t>
            </w:r>
            <w:r>
              <w:rPr>
                <w:rFonts w:hint="eastAsia" w:ascii="宋体" w:hAnsi="宋体" w:eastAsia="宋体" w:cs="宋体"/>
                <w:color w:val="auto"/>
                <w:szCs w:val="21"/>
                <w:u w:val="none"/>
                <w:lang w:val="en-US" w:eastAsia="zh-CN"/>
              </w:rPr>
              <w:t>Ⅲ</w:t>
            </w:r>
            <w:r>
              <w:rPr>
                <w:rFonts w:hint="eastAsia" w:ascii="Times New Roman" w:hAnsi="Times New Roman" w:eastAsia="宋体"/>
                <w:color w:val="auto"/>
                <w:szCs w:val="21"/>
                <w:u w:val="none"/>
                <w:lang w:val="en-US" w:eastAsia="zh-CN"/>
              </w:rPr>
              <w:t>类水质要求，最远影响距离约205m</w:t>
            </w:r>
          </w:p>
        </w:tc>
      </w:tr>
    </w:tbl>
    <w:p>
      <w:pPr>
        <w:ind w:firstLine="465"/>
        <w:rPr>
          <w:rFonts w:hint="default" w:ascii="Times New Roman" w:hAnsi="Times New Roman" w:cs="Times New Roman"/>
          <w:color w:val="auto"/>
          <w:sz w:val="24"/>
        </w:rPr>
      </w:pPr>
      <w:r>
        <w:rPr>
          <w:color w:val="auto"/>
        </w:rPr>
        <w:drawing>
          <wp:inline distT="0" distB="0" distL="114300" distR="114300">
            <wp:extent cx="5100320" cy="2571750"/>
            <wp:effectExtent l="4445" t="4445" r="19685" b="14605"/>
            <wp:docPr id="3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46"/>
        <w:numPr>
          <w:ilvl w:val="0"/>
          <w:numId w:val="34"/>
        </w:numPr>
        <w:adjustRightInd w:val="0"/>
        <w:snapToGrid w:val="0"/>
        <w:spacing w:line="360" w:lineRule="auto"/>
        <w:ind w:left="425" w:leftChars="0" w:hanging="425"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highlight w:val="none"/>
          <w:lang w:val="en-US" w:eastAsia="zh-CN"/>
        </w:rPr>
        <w:t>事故1</w:t>
      </w:r>
      <w:r>
        <w:rPr>
          <w:rFonts w:hint="eastAsia" w:ascii="Times New Roman" w:hAnsi="Times New Roman" w:cs="Times New Roman"/>
          <w:b/>
          <w:bCs/>
          <w:color w:val="auto"/>
          <w:sz w:val="21"/>
          <w:szCs w:val="21"/>
          <w:highlight w:val="none"/>
          <w:lang w:val="en-US" w:eastAsia="zh-CN"/>
        </w:rPr>
        <w:t>0</w:t>
      </w:r>
      <w:r>
        <w:rPr>
          <w:rFonts w:hint="default" w:ascii="Times New Roman" w:hAnsi="Times New Roman" w:cs="Times New Roman"/>
          <w:b/>
          <w:bCs/>
          <w:color w:val="auto"/>
          <w:sz w:val="21"/>
          <w:szCs w:val="21"/>
          <w:highlight w:val="none"/>
          <w:lang w:val="en-US" w:eastAsia="zh-CN"/>
        </w:rPr>
        <w:t>00d耗氧量影响预测结果</w:t>
      </w:r>
      <w:r>
        <w:rPr>
          <w:rFonts w:hint="default" w:ascii="Times New Roman" w:hAnsi="Times New Roman" w:cs="Times New Roman"/>
          <w:b/>
          <w:bCs/>
          <w:color w:val="auto"/>
          <w:sz w:val="21"/>
          <w:szCs w:val="21"/>
          <w:highlight w:val="none"/>
        </w:rPr>
        <w:t>图（耗氧量标准值3mg/L）</w:t>
      </w:r>
    </w:p>
    <w:p>
      <w:pPr>
        <w:ind w:firstLine="465"/>
        <w:rPr>
          <w:rFonts w:hint="default" w:ascii="Times New Roman" w:hAnsi="Times New Roman" w:cs="Times New Roman"/>
          <w:color w:val="auto"/>
          <w:sz w:val="24"/>
        </w:rPr>
      </w:pPr>
    </w:p>
    <w:p>
      <w:pPr>
        <w:pStyle w:val="110"/>
        <w:ind w:left="0" w:leftChars="0" w:firstLine="0" w:firstLineChars="0"/>
        <w:rPr>
          <w:color w:val="auto"/>
        </w:rPr>
      </w:pPr>
    </w:p>
    <w:p>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（2）氨氮预测结果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假定事故状况下发生泄漏，污染因子对地下水的影响预测结果见下表：</w:t>
      </w:r>
    </w:p>
    <w:p>
      <w:pPr>
        <w:widowControl w:val="0"/>
        <w:numPr>
          <w:ilvl w:val="0"/>
          <w:numId w:val="33"/>
        </w:numPr>
        <w:spacing w:after="0" w:afterLines="0" w:line="360" w:lineRule="auto"/>
        <w:ind w:left="0" w:leftChars="0" w:firstLine="0" w:firstLineChars="0"/>
        <w:jc w:val="center"/>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 xml:space="preserve">  </w:t>
      </w:r>
      <w:r>
        <w:rPr>
          <w:rFonts w:hint="default" w:ascii="Times New Roman" w:hAnsi="Times New Roman"/>
          <w:b/>
          <w:color w:val="auto"/>
          <w:sz w:val="21"/>
          <w:szCs w:val="21"/>
          <w:lang w:val="en-US" w:eastAsia="zh-CN"/>
        </w:rPr>
        <w:t>泄漏事故</w:t>
      </w:r>
      <w:r>
        <w:rPr>
          <w:rFonts w:hint="eastAsia" w:ascii="Times New Roman" w:hAnsi="Times New Roman"/>
          <w:b/>
          <w:color w:val="auto"/>
          <w:sz w:val="21"/>
          <w:szCs w:val="21"/>
          <w:lang w:val="en-US" w:eastAsia="zh-CN"/>
        </w:rPr>
        <w:t>10d氨氮</w:t>
      </w:r>
      <w:r>
        <w:rPr>
          <w:rFonts w:hint="default" w:ascii="Times New Roman" w:hAnsi="Times New Roman"/>
          <w:b/>
          <w:color w:val="auto"/>
          <w:sz w:val="21"/>
          <w:szCs w:val="21"/>
          <w:lang w:val="en-US" w:eastAsia="zh-CN"/>
        </w:rPr>
        <w:t>影响预测结果一览表</w:t>
      </w:r>
      <w:r>
        <w:rPr>
          <w:rFonts w:hint="eastAsia" w:ascii="Times New Roman" w:hAnsi="Times New Roman"/>
          <w:b/>
          <w:color w:val="auto"/>
          <w:sz w:val="21"/>
          <w:szCs w:val="21"/>
          <w:lang w:val="en-US" w:eastAsia="zh-CN"/>
        </w:rPr>
        <w:t xml:space="preserve">   单位mg/L</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66"/>
        <w:gridCol w:w="954"/>
        <w:gridCol w:w="828"/>
        <w:gridCol w:w="732"/>
        <w:gridCol w:w="756"/>
        <w:gridCol w:w="750"/>
        <w:gridCol w:w="732"/>
        <w:gridCol w:w="708"/>
        <w:gridCol w:w="720"/>
        <w:gridCol w:w="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时间</w:t>
            </w:r>
          </w:p>
        </w:tc>
        <w:tc>
          <w:tcPr>
            <w:tcW w:w="7847" w:type="dxa"/>
            <w:gridSpan w:val="10"/>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泄露距离（m）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p>
        </w:tc>
        <w:tc>
          <w:tcPr>
            <w:tcW w:w="96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w:t>
            </w:r>
          </w:p>
        </w:tc>
        <w:tc>
          <w:tcPr>
            <w:tcW w:w="95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w:t>
            </w:r>
          </w:p>
        </w:tc>
        <w:tc>
          <w:tcPr>
            <w:tcW w:w="82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w:t>
            </w:r>
          </w:p>
        </w:tc>
        <w:tc>
          <w:tcPr>
            <w:tcW w:w="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12</w:t>
            </w:r>
          </w:p>
        </w:tc>
        <w:tc>
          <w:tcPr>
            <w:tcW w:w="75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14</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15</w:t>
            </w:r>
          </w:p>
        </w:tc>
        <w:tc>
          <w:tcPr>
            <w:tcW w:w="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16</w:t>
            </w:r>
          </w:p>
        </w:tc>
        <w:tc>
          <w:tcPr>
            <w:tcW w:w="7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17</w:t>
            </w:r>
          </w:p>
        </w:tc>
        <w:tc>
          <w:tcPr>
            <w:tcW w:w="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18</w:t>
            </w:r>
          </w:p>
        </w:tc>
        <w:tc>
          <w:tcPr>
            <w:tcW w:w="70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10d</w:t>
            </w:r>
          </w:p>
        </w:tc>
        <w:tc>
          <w:tcPr>
            <w:tcW w:w="96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0.316</w:t>
            </w:r>
          </w:p>
        </w:tc>
        <w:tc>
          <w:tcPr>
            <w:tcW w:w="95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0.042</w:t>
            </w:r>
          </w:p>
        </w:tc>
        <w:tc>
          <w:tcPr>
            <w:tcW w:w="82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5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5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0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c>
          <w:tcPr>
            <w:tcW w:w="70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528" w:type="dxa"/>
            <w:gridSpan w:val="11"/>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注：泄露10天后，0m以后可达到</w:t>
            </w:r>
            <w:r>
              <w:rPr>
                <w:rFonts w:hint="eastAsia" w:ascii="宋体" w:hAnsi="宋体" w:eastAsia="宋体" w:cs="宋体"/>
                <w:color w:val="auto"/>
                <w:szCs w:val="21"/>
                <w:u w:val="none"/>
                <w:lang w:val="en-US" w:eastAsia="zh-CN"/>
              </w:rPr>
              <w:t>Ⅲ</w:t>
            </w:r>
            <w:r>
              <w:rPr>
                <w:rFonts w:hint="eastAsia" w:ascii="Times New Roman" w:hAnsi="Times New Roman" w:eastAsia="宋体"/>
                <w:color w:val="auto"/>
                <w:szCs w:val="21"/>
                <w:u w:val="none"/>
                <w:lang w:val="en-US" w:eastAsia="zh-CN"/>
              </w:rPr>
              <w:t>类水质要求，最远影响距离约0m</w:t>
            </w:r>
          </w:p>
        </w:tc>
      </w:tr>
    </w:tbl>
    <w:p>
      <w:pPr>
        <w:pStyle w:val="110"/>
        <w:tabs>
          <w:tab w:val="left" w:pos="1440"/>
          <w:tab w:val="left" w:pos="4368"/>
        </w:tabs>
        <w:ind w:left="0" w:leftChars="0" w:firstLine="0" w:firstLineChars="0"/>
        <w:jc w:val="center"/>
        <w:rPr>
          <w:rFonts w:hint="eastAsia"/>
          <w:b/>
          <w:color w:val="auto"/>
        </w:rPr>
      </w:pPr>
      <w:r>
        <w:rPr>
          <w:color w:val="auto"/>
        </w:rPr>
        <w:drawing>
          <wp:inline distT="0" distB="0" distL="114300" distR="114300">
            <wp:extent cx="5067300" cy="2571750"/>
            <wp:effectExtent l="4445" t="4445" r="14605" b="14605"/>
            <wp:docPr id="3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46"/>
        <w:numPr>
          <w:ilvl w:val="0"/>
          <w:numId w:val="34"/>
        </w:numPr>
        <w:adjustRightInd w:val="0"/>
        <w:snapToGrid w:val="0"/>
        <w:spacing w:line="360" w:lineRule="auto"/>
        <w:ind w:left="425" w:leftChars="0" w:hanging="425" w:firstLineChars="0"/>
        <w:jc w:val="center"/>
        <w:rPr>
          <w:rFonts w:hint="eastAsia"/>
          <w:b/>
          <w:bCs/>
          <w:color w:val="auto"/>
          <w:sz w:val="21"/>
          <w:szCs w:val="21"/>
        </w:rPr>
      </w:pPr>
      <w:r>
        <w:rPr>
          <w:rFonts w:hint="default" w:ascii="Times New Roman" w:hAnsi="Times New Roman" w:cs="Times New Roman"/>
          <w:b/>
          <w:bCs/>
          <w:color w:val="auto"/>
          <w:sz w:val="21"/>
          <w:szCs w:val="21"/>
          <w:highlight w:val="none"/>
          <w:lang w:val="en-US" w:eastAsia="zh-CN"/>
        </w:rPr>
        <w:t>事故</w:t>
      </w:r>
      <w:r>
        <w:rPr>
          <w:rFonts w:hint="eastAsia" w:ascii="Times New Roman" w:hAnsi="Times New Roman" w:cs="Times New Roman"/>
          <w:b/>
          <w:bCs/>
          <w:color w:val="auto"/>
          <w:sz w:val="21"/>
          <w:szCs w:val="21"/>
          <w:highlight w:val="none"/>
          <w:lang w:val="en-US" w:eastAsia="zh-CN"/>
        </w:rPr>
        <w:t>10d氨氮</w:t>
      </w:r>
      <w:r>
        <w:rPr>
          <w:rFonts w:hint="default" w:ascii="Times New Roman" w:hAnsi="Times New Roman" w:cs="Times New Roman"/>
          <w:b/>
          <w:bCs/>
          <w:color w:val="auto"/>
          <w:sz w:val="21"/>
          <w:szCs w:val="21"/>
          <w:highlight w:val="none"/>
          <w:lang w:val="en-US" w:eastAsia="zh-CN"/>
        </w:rPr>
        <w:t>影响预测</w:t>
      </w:r>
      <w:r>
        <w:rPr>
          <w:rFonts w:hint="eastAsia" w:ascii="Times New Roman" w:hAnsi="Times New Roman" w:cs="Times New Roman"/>
          <w:b/>
          <w:bCs/>
          <w:color w:val="auto"/>
          <w:sz w:val="21"/>
          <w:szCs w:val="21"/>
          <w:highlight w:val="none"/>
          <w:lang w:val="en-US" w:eastAsia="zh-CN"/>
        </w:rPr>
        <w:t>结果</w:t>
      </w:r>
      <w:r>
        <w:rPr>
          <w:rFonts w:hint="eastAsia" w:ascii="Times New Roman" w:hAnsi="Times New Roman" w:cs="Times New Roman"/>
          <w:b/>
          <w:bCs/>
          <w:color w:val="auto"/>
          <w:sz w:val="21"/>
          <w:szCs w:val="21"/>
          <w:highlight w:val="none"/>
        </w:rPr>
        <w:t>图（耗氧量标准值</w:t>
      </w:r>
      <w:r>
        <w:rPr>
          <w:rFonts w:hint="eastAsia" w:ascii="Times New Roman" w:hAnsi="Times New Roman" w:cs="Times New Roman"/>
          <w:b/>
          <w:bCs/>
          <w:color w:val="auto"/>
          <w:sz w:val="21"/>
          <w:szCs w:val="21"/>
          <w:highlight w:val="none"/>
          <w:lang w:val="en-US" w:eastAsia="zh-CN"/>
        </w:rPr>
        <w:t>0.5</w:t>
      </w:r>
      <w:r>
        <w:rPr>
          <w:rFonts w:hint="eastAsia" w:ascii="Times New Roman" w:hAnsi="Times New Roman" w:cs="Times New Roman"/>
          <w:b/>
          <w:bCs/>
          <w:color w:val="auto"/>
          <w:sz w:val="21"/>
          <w:szCs w:val="21"/>
          <w:highlight w:val="none"/>
        </w:rPr>
        <w:t>mg/L）</w:t>
      </w:r>
    </w:p>
    <w:p>
      <w:pPr>
        <w:widowControl w:val="0"/>
        <w:numPr>
          <w:ilvl w:val="0"/>
          <w:numId w:val="33"/>
        </w:numPr>
        <w:spacing w:after="0" w:afterLines="0" w:line="360" w:lineRule="auto"/>
        <w:ind w:left="0" w:leftChars="0" w:firstLine="0" w:firstLineChars="0"/>
        <w:jc w:val="center"/>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 xml:space="preserve">  </w:t>
      </w:r>
      <w:r>
        <w:rPr>
          <w:rFonts w:hint="default" w:ascii="Times New Roman" w:hAnsi="Times New Roman"/>
          <w:b/>
          <w:color w:val="auto"/>
          <w:sz w:val="21"/>
          <w:szCs w:val="21"/>
          <w:lang w:val="en-US" w:eastAsia="zh-CN"/>
        </w:rPr>
        <w:t>泄漏事故</w:t>
      </w:r>
      <w:r>
        <w:rPr>
          <w:rFonts w:hint="eastAsia" w:ascii="Times New Roman" w:hAnsi="Times New Roman"/>
          <w:b/>
          <w:color w:val="auto"/>
          <w:sz w:val="21"/>
          <w:szCs w:val="21"/>
          <w:lang w:val="en-US" w:eastAsia="zh-CN"/>
        </w:rPr>
        <w:t>100d耗氧量</w:t>
      </w:r>
      <w:r>
        <w:rPr>
          <w:rFonts w:hint="default" w:ascii="Times New Roman" w:hAnsi="Times New Roman"/>
          <w:b/>
          <w:color w:val="auto"/>
          <w:sz w:val="21"/>
          <w:szCs w:val="21"/>
          <w:lang w:val="en-US" w:eastAsia="zh-CN"/>
        </w:rPr>
        <w:t>影响预测结果一览表</w:t>
      </w:r>
      <w:r>
        <w:rPr>
          <w:rFonts w:hint="eastAsia" w:ascii="Times New Roman" w:hAnsi="Times New Roman"/>
          <w:b/>
          <w:color w:val="auto"/>
          <w:sz w:val="21"/>
          <w:szCs w:val="21"/>
          <w:lang w:val="en-US" w:eastAsia="zh-CN"/>
        </w:rPr>
        <w:t xml:space="preserve">   单位mg/L</w:t>
      </w:r>
    </w:p>
    <w:tbl>
      <w:tblPr>
        <w:tblStyle w:val="8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956"/>
        <w:gridCol w:w="946"/>
        <w:gridCol w:w="766"/>
        <w:gridCol w:w="740"/>
        <w:gridCol w:w="689"/>
        <w:gridCol w:w="689"/>
        <w:gridCol w:w="699"/>
        <w:gridCol w:w="700"/>
        <w:gridCol w:w="702"/>
        <w:gridCol w:w="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时间</w:t>
            </w:r>
          </w:p>
        </w:tc>
        <w:tc>
          <w:tcPr>
            <w:tcW w:w="4547" w:type="pct"/>
            <w:gridSpan w:val="10"/>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泄露距离（m）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p>
        </w:tc>
        <w:tc>
          <w:tcPr>
            <w:tcW w:w="56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w:t>
            </w:r>
          </w:p>
        </w:tc>
        <w:tc>
          <w:tcPr>
            <w:tcW w:w="5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20</w:t>
            </w:r>
          </w:p>
        </w:tc>
        <w:tc>
          <w:tcPr>
            <w:tcW w:w="45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30</w:t>
            </w:r>
          </w:p>
        </w:tc>
        <w:tc>
          <w:tcPr>
            <w:tcW w:w="43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40</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45</w:t>
            </w:r>
          </w:p>
        </w:tc>
        <w:tc>
          <w:tcPr>
            <w:tcW w:w="3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49</w:t>
            </w:r>
          </w:p>
        </w:tc>
        <w:tc>
          <w:tcPr>
            <w:tcW w:w="41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50</w:t>
            </w:r>
          </w:p>
        </w:tc>
        <w:tc>
          <w:tcPr>
            <w:tcW w:w="41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55</w:t>
            </w:r>
          </w:p>
        </w:tc>
        <w:tc>
          <w:tcPr>
            <w:tcW w:w="4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57</w:t>
            </w:r>
          </w:p>
        </w:tc>
        <w:tc>
          <w:tcPr>
            <w:tcW w:w="50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5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100d</w:t>
            </w:r>
          </w:p>
        </w:tc>
        <w:tc>
          <w:tcPr>
            <w:tcW w:w="56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0.06</w:t>
            </w:r>
          </w:p>
        </w:tc>
        <w:tc>
          <w:tcPr>
            <w:tcW w:w="5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0.011</w:t>
            </w:r>
          </w:p>
        </w:tc>
        <w:tc>
          <w:tcPr>
            <w:tcW w:w="45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43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37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41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41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4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kern w:val="2"/>
                <w:sz w:val="21"/>
                <w:szCs w:val="21"/>
                <w:u w:val="none"/>
                <w:lang w:val="en-US" w:eastAsia="zh-CN" w:bidi="ar-SA"/>
              </w:rPr>
              <w:t>0.000</w:t>
            </w:r>
          </w:p>
        </w:tc>
        <w:tc>
          <w:tcPr>
            <w:tcW w:w="50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kern w:val="2"/>
                <w:sz w:val="21"/>
                <w:szCs w:val="21"/>
                <w:u w:val="none"/>
                <w:lang w:val="en-US" w:eastAsia="zh-CN" w:bidi="ar-SA"/>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000" w:type="pct"/>
            <w:gridSpan w:val="11"/>
            <w:tcBorders>
              <w:tl2br w:val="nil"/>
              <w:tr2bl w:val="nil"/>
            </w:tcBorders>
            <w:noWrap w:val="0"/>
            <w:vAlign w:val="center"/>
          </w:tcPr>
          <w:p>
            <w:pPr>
              <w:keepNext w:val="0"/>
              <w:keepLines w:val="0"/>
              <w:suppressLineNumbers w:val="0"/>
              <w:spacing w:before="0" w:beforeAutospacing="0" w:after="0" w:afterAutospacing="0"/>
              <w:ind w:left="0" w:right="0"/>
              <w:jc w:val="left"/>
              <w:rPr>
                <w:rFonts w:hint="eastAsia"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注：泄露100天后，0m以后可达到</w:t>
            </w:r>
            <w:r>
              <w:rPr>
                <w:rFonts w:hint="eastAsia" w:ascii="宋体" w:hAnsi="宋体" w:eastAsia="宋体" w:cs="宋体"/>
                <w:color w:val="auto"/>
                <w:szCs w:val="21"/>
                <w:u w:val="none"/>
                <w:lang w:val="en-US" w:eastAsia="zh-CN"/>
              </w:rPr>
              <w:t>Ⅲ</w:t>
            </w:r>
            <w:r>
              <w:rPr>
                <w:rFonts w:hint="eastAsia" w:ascii="Times New Roman" w:hAnsi="Times New Roman" w:eastAsia="宋体"/>
                <w:color w:val="auto"/>
                <w:szCs w:val="21"/>
                <w:u w:val="none"/>
                <w:lang w:val="en-US" w:eastAsia="zh-CN"/>
              </w:rPr>
              <w:t>类水质要求，最远影响距离约0m</w:t>
            </w:r>
          </w:p>
        </w:tc>
      </w:tr>
    </w:tbl>
    <w:p>
      <w:pPr>
        <w:pStyle w:val="110"/>
        <w:keepNext w:val="0"/>
        <w:keepLines w:val="0"/>
        <w:pageBreakBefore w:val="0"/>
        <w:widowControl w:val="0"/>
        <w:tabs>
          <w:tab w:val="left" w:pos="1440"/>
          <w:tab w:val="left" w:pos="4368"/>
        </w:tabs>
        <w:kinsoku/>
        <w:wordWrap/>
        <w:overflowPunct/>
        <w:topLinePunct w:val="0"/>
        <w:autoSpaceDE/>
        <w:autoSpaceDN/>
        <w:bidi w:val="0"/>
        <w:adjustRightInd w:val="0"/>
        <w:snapToGrid w:val="0"/>
        <w:spacing w:line="360" w:lineRule="auto"/>
        <w:ind w:left="0" w:leftChars="0" w:firstLine="0" w:firstLineChars="0"/>
        <w:jc w:val="center"/>
        <w:textAlignment w:val="auto"/>
        <w:rPr>
          <w:color w:val="auto"/>
        </w:rPr>
      </w:pPr>
      <w:r>
        <w:rPr>
          <w:color w:val="auto"/>
        </w:rPr>
        <w:drawing>
          <wp:inline distT="0" distB="0" distL="114300" distR="114300">
            <wp:extent cx="5028565" cy="2571750"/>
            <wp:effectExtent l="4445" t="4445" r="15240" b="14605"/>
            <wp:docPr id="3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46"/>
        <w:numPr>
          <w:ilvl w:val="0"/>
          <w:numId w:val="34"/>
        </w:numPr>
        <w:adjustRightInd w:val="0"/>
        <w:snapToGrid w:val="0"/>
        <w:spacing w:line="360" w:lineRule="auto"/>
        <w:ind w:left="425" w:leftChars="0" w:hanging="425"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highlight w:val="none"/>
          <w:lang w:val="en-US" w:eastAsia="zh-CN"/>
        </w:rPr>
        <w:t>事故100d</w:t>
      </w:r>
      <w:r>
        <w:rPr>
          <w:rFonts w:hint="eastAsia" w:ascii="Times New Roman" w:hAnsi="Times New Roman" w:cs="Times New Roman"/>
          <w:b/>
          <w:bCs/>
          <w:color w:val="auto"/>
          <w:sz w:val="21"/>
          <w:szCs w:val="21"/>
          <w:highlight w:val="none"/>
          <w:lang w:val="en-US" w:eastAsia="zh-CN"/>
        </w:rPr>
        <w:t>氨氮</w:t>
      </w:r>
      <w:r>
        <w:rPr>
          <w:rFonts w:hint="default" w:ascii="Times New Roman" w:hAnsi="Times New Roman" w:cs="Times New Roman"/>
          <w:b/>
          <w:bCs/>
          <w:color w:val="auto"/>
          <w:sz w:val="21"/>
          <w:szCs w:val="21"/>
          <w:highlight w:val="none"/>
          <w:lang w:val="en-US" w:eastAsia="zh-CN"/>
        </w:rPr>
        <w:t>影响预测结果</w:t>
      </w:r>
      <w:r>
        <w:rPr>
          <w:rFonts w:hint="default" w:ascii="Times New Roman" w:hAnsi="Times New Roman" w:cs="Times New Roman"/>
          <w:b/>
          <w:bCs/>
          <w:color w:val="auto"/>
          <w:sz w:val="21"/>
          <w:szCs w:val="21"/>
          <w:highlight w:val="none"/>
        </w:rPr>
        <w:t>图（耗氧量标准值</w:t>
      </w:r>
      <w:r>
        <w:rPr>
          <w:rFonts w:hint="eastAsia" w:ascii="Times New Roman" w:hAnsi="Times New Roman" w:cs="Times New Roman"/>
          <w:b/>
          <w:bCs/>
          <w:color w:val="auto"/>
          <w:sz w:val="21"/>
          <w:szCs w:val="21"/>
          <w:highlight w:val="none"/>
          <w:lang w:val="en-US" w:eastAsia="zh-CN"/>
        </w:rPr>
        <w:t>0.5</w:t>
      </w:r>
      <w:r>
        <w:rPr>
          <w:rFonts w:hint="default" w:ascii="Times New Roman" w:hAnsi="Times New Roman" w:cs="Times New Roman"/>
          <w:b/>
          <w:bCs/>
          <w:color w:val="auto"/>
          <w:sz w:val="21"/>
          <w:szCs w:val="21"/>
          <w:highlight w:val="none"/>
        </w:rPr>
        <w:t>mg/L）</w:t>
      </w:r>
    </w:p>
    <w:p>
      <w:pPr>
        <w:widowControl w:val="0"/>
        <w:numPr>
          <w:ilvl w:val="0"/>
          <w:numId w:val="33"/>
        </w:numPr>
        <w:spacing w:after="0" w:afterLines="0" w:line="360" w:lineRule="auto"/>
        <w:ind w:left="0" w:leftChars="0" w:firstLine="0" w:firstLineChars="0"/>
        <w:jc w:val="center"/>
        <w:rPr>
          <w:rFonts w:hint="eastAsia" w:ascii="Times New Roman" w:hAnsi="Times New Roman"/>
          <w:b/>
          <w:color w:val="auto"/>
          <w:sz w:val="21"/>
          <w:szCs w:val="21"/>
          <w:lang w:val="en-US" w:eastAsia="zh-CN"/>
        </w:rPr>
      </w:pPr>
      <w:r>
        <w:rPr>
          <w:rFonts w:hint="eastAsia" w:ascii="Times New Roman" w:hAnsi="Times New Roman"/>
          <w:b/>
          <w:color w:val="auto"/>
          <w:sz w:val="21"/>
          <w:szCs w:val="21"/>
          <w:lang w:val="en-US" w:eastAsia="zh-CN"/>
        </w:rPr>
        <w:t xml:space="preserve">  </w:t>
      </w:r>
      <w:r>
        <w:rPr>
          <w:rFonts w:hint="default" w:ascii="Times New Roman" w:hAnsi="Times New Roman"/>
          <w:b/>
          <w:color w:val="auto"/>
          <w:sz w:val="21"/>
          <w:szCs w:val="21"/>
          <w:lang w:val="en-US" w:eastAsia="zh-CN"/>
        </w:rPr>
        <w:t>泄漏事故</w:t>
      </w:r>
      <w:r>
        <w:rPr>
          <w:rFonts w:hint="eastAsia" w:ascii="Times New Roman" w:hAnsi="Times New Roman"/>
          <w:b/>
          <w:color w:val="auto"/>
          <w:sz w:val="21"/>
          <w:szCs w:val="21"/>
          <w:lang w:val="en-US" w:eastAsia="zh-CN"/>
        </w:rPr>
        <w:t>1000d氨氮</w:t>
      </w:r>
      <w:r>
        <w:rPr>
          <w:rFonts w:hint="default" w:ascii="Times New Roman" w:hAnsi="Times New Roman"/>
          <w:b/>
          <w:color w:val="auto"/>
          <w:sz w:val="21"/>
          <w:szCs w:val="21"/>
          <w:lang w:val="en-US" w:eastAsia="zh-CN"/>
        </w:rPr>
        <w:t>影响预测结果一览表</w:t>
      </w:r>
      <w:r>
        <w:rPr>
          <w:rFonts w:hint="eastAsia" w:ascii="Times New Roman" w:hAnsi="Times New Roman"/>
          <w:b/>
          <w:color w:val="auto"/>
          <w:sz w:val="21"/>
          <w:szCs w:val="21"/>
          <w:lang w:val="en-US" w:eastAsia="zh-CN"/>
        </w:rPr>
        <w:t xml:space="preserve">    单位mg/L</w:t>
      </w:r>
    </w:p>
    <w:tbl>
      <w:tblPr>
        <w:tblStyle w:val="88"/>
        <w:tblW w:w="85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12"/>
        <w:gridCol w:w="712"/>
        <w:gridCol w:w="712"/>
        <w:gridCol w:w="712"/>
        <w:gridCol w:w="712"/>
        <w:gridCol w:w="712"/>
        <w:gridCol w:w="712"/>
        <w:gridCol w:w="712"/>
        <w:gridCol w:w="712"/>
        <w:gridCol w:w="712"/>
        <w:gridCol w:w="717"/>
        <w:gridCol w:w="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69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时间</w:t>
            </w:r>
          </w:p>
        </w:tc>
        <w:tc>
          <w:tcPr>
            <w:tcW w:w="7837" w:type="dxa"/>
            <w:gridSpan w:val="11"/>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泄露距离（m）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60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120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150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180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190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200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szCs w:val="21"/>
                <w:lang w:val="en-US" w:eastAsia="zh-CN"/>
              </w:rPr>
              <w:t>205</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210</w:t>
            </w:r>
          </w:p>
        </w:tc>
        <w:tc>
          <w:tcPr>
            <w:tcW w:w="719"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9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1000d</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0.003</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0.01</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0.022</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u w:val="none"/>
                <w:lang w:val="en-US" w:eastAsia="zh-CN" w:bidi="ar-SA"/>
              </w:rPr>
            </w:pPr>
            <w:r>
              <w:rPr>
                <w:rFonts w:hint="eastAsia" w:ascii="Times New Roman" w:hAnsi="Times New Roman" w:eastAsia="宋体"/>
                <w:color w:val="auto"/>
                <w:kern w:val="2"/>
                <w:sz w:val="21"/>
                <w:szCs w:val="21"/>
                <w:u w:val="none"/>
                <w:lang w:val="en-US" w:eastAsia="zh-CN" w:bidi="ar-SA"/>
              </w:rPr>
              <w:t>0.000</w:t>
            </w:r>
          </w:p>
        </w:tc>
        <w:tc>
          <w:tcPr>
            <w:tcW w:w="71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kern w:val="2"/>
                <w:sz w:val="21"/>
                <w:szCs w:val="21"/>
                <w:u w:val="none"/>
                <w:lang w:val="en-US" w:eastAsia="zh-CN" w:bidi="ar-SA"/>
              </w:rPr>
              <w:t>0.000</w:t>
            </w:r>
          </w:p>
        </w:tc>
        <w:tc>
          <w:tcPr>
            <w:tcW w:w="719"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u w:val="none"/>
                <w:lang w:val="en-US" w:eastAsia="zh-CN"/>
              </w:rPr>
            </w:pPr>
            <w:r>
              <w:rPr>
                <w:rFonts w:hint="eastAsia" w:ascii="Times New Roman" w:hAnsi="Times New Roman" w:eastAsia="宋体"/>
                <w:color w:val="auto"/>
                <w:kern w:val="2"/>
                <w:sz w:val="21"/>
                <w:szCs w:val="21"/>
                <w:u w:val="none"/>
                <w:lang w:val="en-US" w:eastAsia="zh-CN" w:bidi="ar-SA"/>
              </w:rPr>
              <w:t>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533" w:type="dxa"/>
            <w:gridSpan w:val="13"/>
            <w:tcBorders>
              <w:tl2br w:val="nil"/>
              <w:tr2bl w:val="nil"/>
            </w:tcBorders>
            <w:noWrap w:val="0"/>
            <w:vAlign w:val="center"/>
          </w:tcPr>
          <w:p>
            <w:pPr>
              <w:keepNext w:val="0"/>
              <w:keepLines w:val="0"/>
              <w:suppressLineNumbers w:val="0"/>
              <w:spacing w:before="0" w:beforeAutospacing="0" w:after="0" w:afterAutospacing="0"/>
              <w:ind w:left="0" w:right="0"/>
              <w:jc w:val="left"/>
              <w:rPr>
                <w:rFonts w:hint="eastAsia" w:ascii="Times New Roman" w:hAnsi="Times New Roman" w:eastAsia="宋体"/>
                <w:color w:val="auto"/>
                <w:szCs w:val="21"/>
                <w:u w:val="none"/>
                <w:lang w:val="en-US" w:eastAsia="zh-CN"/>
              </w:rPr>
            </w:pPr>
            <w:r>
              <w:rPr>
                <w:rFonts w:hint="eastAsia" w:ascii="Times New Roman" w:hAnsi="Times New Roman" w:eastAsia="宋体"/>
                <w:color w:val="auto"/>
                <w:szCs w:val="21"/>
                <w:u w:val="none"/>
                <w:lang w:val="en-US" w:eastAsia="zh-CN"/>
              </w:rPr>
              <w:t>注：泄露1000天后，60m处浓度最高，205m以后可达到</w:t>
            </w:r>
            <w:r>
              <w:rPr>
                <w:rFonts w:hint="eastAsia" w:ascii="宋体" w:hAnsi="宋体" w:eastAsia="宋体" w:cs="宋体"/>
                <w:color w:val="auto"/>
                <w:szCs w:val="21"/>
                <w:u w:val="none"/>
                <w:lang w:val="en-US" w:eastAsia="zh-CN"/>
              </w:rPr>
              <w:t>Ⅲ</w:t>
            </w:r>
            <w:r>
              <w:rPr>
                <w:rFonts w:hint="eastAsia" w:ascii="Times New Roman" w:hAnsi="Times New Roman" w:eastAsia="宋体"/>
                <w:color w:val="auto"/>
                <w:szCs w:val="21"/>
                <w:u w:val="none"/>
                <w:lang w:val="en-US" w:eastAsia="zh-CN"/>
              </w:rPr>
              <w:t>类水质要求，最远影响距离约205m</w:t>
            </w:r>
          </w:p>
        </w:tc>
      </w:tr>
    </w:tbl>
    <w:p>
      <w:pPr>
        <w:ind w:firstLine="465"/>
        <w:rPr>
          <w:rFonts w:hint="default" w:ascii="Times New Roman" w:hAnsi="Times New Roman" w:cs="Times New Roman"/>
          <w:color w:val="auto"/>
          <w:sz w:val="24"/>
        </w:rPr>
      </w:pPr>
      <w:r>
        <w:rPr>
          <w:color w:val="auto"/>
        </w:rPr>
        <w:drawing>
          <wp:inline distT="0" distB="0" distL="114300" distR="114300">
            <wp:extent cx="5100320" cy="2571750"/>
            <wp:effectExtent l="4445" t="4445" r="19685" b="14605"/>
            <wp:docPr id="40"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46"/>
        <w:numPr>
          <w:ilvl w:val="0"/>
          <w:numId w:val="34"/>
        </w:numPr>
        <w:adjustRightInd w:val="0"/>
        <w:snapToGrid w:val="0"/>
        <w:spacing w:line="360" w:lineRule="auto"/>
        <w:ind w:left="425" w:leftChars="0" w:hanging="425"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事故1</w:t>
      </w:r>
      <w:r>
        <w:rPr>
          <w:rFonts w:hint="eastAsia" w:ascii="Times New Roman" w:hAnsi="Times New Roman" w:cs="Times New Roman"/>
          <w:b/>
          <w:bCs/>
          <w:color w:val="auto"/>
          <w:sz w:val="21"/>
          <w:szCs w:val="21"/>
          <w:highlight w:val="none"/>
          <w:lang w:val="en-US" w:eastAsia="zh-CN"/>
        </w:rPr>
        <w:t>0</w:t>
      </w:r>
      <w:r>
        <w:rPr>
          <w:rFonts w:hint="default" w:ascii="Times New Roman" w:hAnsi="Times New Roman" w:cs="Times New Roman"/>
          <w:b/>
          <w:bCs/>
          <w:color w:val="auto"/>
          <w:sz w:val="21"/>
          <w:szCs w:val="21"/>
          <w:highlight w:val="none"/>
          <w:lang w:val="en-US" w:eastAsia="zh-CN"/>
        </w:rPr>
        <w:t>00d</w:t>
      </w:r>
      <w:r>
        <w:rPr>
          <w:rFonts w:hint="eastAsia" w:ascii="Times New Roman" w:hAnsi="Times New Roman" w:cs="Times New Roman"/>
          <w:b/>
          <w:bCs/>
          <w:color w:val="auto"/>
          <w:sz w:val="21"/>
          <w:szCs w:val="21"/>
          <w:highlight w:val="none"/>
          <w:lang w:val="en-US" w:eastAsia="zh-CN"/>
        </w:rPr>
        <w:t>氨氮</w:t>
      </w:r>
      <w:r>
        <w:rPr>
          <w:rFonts w:hint="default" w:ascii="Times New Roman" w:hAnsi="Times New Roman" w:cs="Times New Roman"/>
          <w:b/>
          <w:bCs/>
          <w:color w:val="auto"/>
          <w:sz w:val="21"/>
          <w:szCs w:val="21"/>
          <w:highlight w:val="none"/>
          <w:lang w:val="en-US" w:eastAsia="zh-CN"/>
        </w:rPr>
        <w:t>影响预测结果图（耗氧量标准值</w:t>
      </w:r>
      <w:r>
        <w:rPr>
          <w:rFonts w:hint="eastAsia" w:ascii="Times New Roman" w:hAnsi="Times New Roman" w:cs="Times New Roman"/>
          <w:b/>
          <w:bCs/>
          <w:color w:val="auto"/>
          <w:sz w:val="21"/>
          <w:szCs w:val="21"/>
          <w:highlight w:val="none"/>
          <w:lang w:val="en-US" w:eastAsia="zh-CN"/>
        </w:rPr>
        <w:t>0.5</w:t>
      </w:r>
      <w:r>
        <w:rPr>
          <w:rFonts w:hint="default" w:ascii="Times New Roman" w:hAnsi="Times New Roman" w:cs="Times New Roman"/>
          <w:b/>
          <w:bCs/>
          <w:color w:val="auto"/>
          <w:sz w:val="21"/>
          <w:szCs w:val="21"/>
          <w:highlight w:val="none"/>
          <w:lang w:val="en-US" w:eastAsia="zh-CN"/>
        </w:rPr>
        <w:t>mg/L）</w:t>
      </w:r>
    </w:p>
    <w:p>
      <w:pPr>
        <w:tabs>
          <w:tab w:val="left" w:pos="1220"/>
        </w:tabs>
        <w:ind w:firstLine="504" w:firstLineChars="21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根据预测结果，渗漏发生10天后，COD</w:t>
      </w:r>
      <w:r>
        <w:rPr>
          <w:rFonts w:hint="default" w:ascii="Times New Roman" w:hAnsi="Times New Roman" w:eastAsia="宋体" w:cs="Times New Roman"/>
          <w:color w:val="auto"/>
          <w:kern w:val="0"/>
          <w:sz w:val="24"/>
          <w:szCs w:val="24"/>
          <w:vertAlign w:val="subscript"/>
          <w:lang w:val="en-US" w:eastAsia="zh-CN"/>
        </w:rPr>
        <w:t>Mn</w:t>
      </w:r>
      <w:r>
        <w:rPr>
          <w:rFonts w:hint="default" w:ascii="Times New Roman" w:hAnsi="Times New Roman" w:eastAsia="宋体" w:cs="Times New Roman"/>
          <w:color w:val="auto"/>
          <w:kern w:val="0"/>
          <w:sz w:val="24"/>
          <w:szCs w:val="24"/>
          <w:lang w:val="en-US" w:eastAsia="zh-CN"/>
        </w:rPr>
        <w:t>潜水含水层污染物最大贡献浓度为</w:t>
      </w:r>
      <w:r>
        <w:rPr>
          <w:rFonts w:hint="eastAsia" w:ascii="Times New Roman" w:hAnsi="Times New Roman" w:eastAsia="宋体" w:cs="Times New Roman"/>
          <w:color w:val="auto"/>
          <w:kern w:val="0"/>
          <w:sz w:val="24"/>
          <w:szCs w:val="24"/>
          <w:lang w:val="en-US" w:eastAsia="zh-CN"/>
        </w:rPr>
        <w:t>3.132</w:t>
      </w:r>
      <w:r>
        <w:rPr>
          <w:rFonts w:hint="default" w:ascii="Times New Roman" w:hAnsi="Times New Roman" w:eastAsia="宋体" w:cs="Times New Roman"/>
          <w:color w:val="auto"/>
          <w:kern w:val="0"/>
          <w:sz w:val="24"/>
          <w:szCs w:val="24"/>
          <w:lang w:val="en-US" w:eastAsia="zh-CN"/>
        </w:rPr>
        <w:t>mg/L；渗漏发生100天后，潜水含水层污染物最大贡献浓度为</w:t>
      </w:r>
      <w:r>
        <w:rPr>
          <w:rFonts w:hint="eastAsia" w:ascii="Times New Roman" w:hAnsi="Times New Roman" w:eastAsia="宋体" w:cs="Times New Roman"/>
          <w:color w:val="auto"/>
          <w:kern w:val="0"/>
          <w:sz w:val="24"/>
          <w:szCs w:val="24"/>
          <w:lang w:val="en-US" w:eastAsia="zh-CN"/>
        </w:rPr>
        <w:t>0.712</w:t>
      </w:r>
      <w:r>
        <w:rPr>
          <w:rFonts w:hint="default" w:ascii="Times New Roman" w:hAnsi="Times New Roman" w:eastAsia="宋体" w:cs="Times New Roman"/>
          <w:color w:val="auto"/>
          <w:kern w:val="0"/>
          <w:sz w:val="24"/>
          <w:szCs w:val="24"/>
          <w:lang w:val="en-US" w:eastAsia="zh-CN"/>
        </w:rPr>
        <w:t>mg/L；1000天后，潜水含水层污染物最大贡献浓度为</w:t>
      </w:r>
      <w:r>
        <w:rPr>
          <w:rFonts w:hint="eastAsia" w:ascii="Times New Roman" w:hAnsi="Times New Roman" w:eastAsia="宋体" w:cs="Times New Roman"/>
          <w:color w:val="auto"/>
          <w:kern w:val="0"/>
          <w:sz w:val="24"/>
          <w:szCs w:val="24"/>
          <w:lang w:val="en-US" w:eastAsia="zh-CN"/>
        </w:rPr>
        <w:t>0.219</w:t>
      </w:r>
      <w:r>
        <w:rPr>
          <w:rFonts w:hint="default" w:ascii="Times New Roman" w:hAnsi="Times New Roman" w:eastAsia="宋体" w:cs="Times New Roman"/>
          <w:color w:val="auto"/>
          <w:kern w:val="0"/>
          <w:sz w:val="24"/>
          <w:szCs w:val="24"/>
          <w:lang w:val="en-US" w:eastAsia="zh-CN"/>
        </w:rPr>
        <w:t>mg/L。</w:t>
      </w:r>
    </w:p>
    <w:p>
      <w:pPr>
        <w:tabs>
          <w:tab w:val="left" w:pos="1220"/>
        </w:tabs>
        <w:ind w:firstLine="504" w:firstLineChars="21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渗漏发生10天后</w:t>
      </w:r>
      <w:r>
        <w:rPr>
          <w:rFonts w:hint="eastAsia" w:ascii="Times New Roman" w:hAnsi="Times New Roman" w:eastAsia="宋体" w:cs="Times New Roman"/>
          <w:color w:val="auto"/>
          <w:kern w:val="0"/>
          <w:sz w:val="24"/>
          <w:szCs w:val="24"/>
          <w:lang w:val="en-US" w:eastAsia="zh-CN"/>
        </w:rPr>
        <w:t>NH</w:t>
      </w:r>
      <w:r>
        <w:rPr>
          <w:rFonts w:hint="eastAsia" w:ascii="Times New Roman" w:hAnsi="Times New Roman" w:eastAsia="宋体" w:cs="Times New Roman"/>
          <w:color w:val="auto"/>
          <w:kern w:val="0"/>
          <w:sz w:val="24"/>
          <w:szCs w:val="24"/>
          <w:vertAlign w:val="subscript"/>
          <w:lang w:val="en-US" w:eastAsia="zh-CN"/>
        </w:rPr>
        <w:t>3</w:t>
      </w:r>
      <w:r>
        <w:rPr>
          <w:rFonts w:hint="default" w:ascii="Times New Roman" w:hAnsi="Times New Roman" w:eastAsia="宋体" w:cs="Times New Roman"/>
          <w:color w:val="auto"/>
          <w:kern w:val="0"/>
          <w:sz w:val="24"/>
          <w:szCs w:val="24"/>
          <w:lang w:val="en-US" w:eastAsia="zh-CN"/>
        </w:rPr>
        <w:t>潜水含水层污染物最大贡献浓度为</w:t>
      </w:r>
      <w:r>
        <w:rPr>
          <w:rFonts w:hint="eastAsia" w:ascii="Times New Roman" w:hAnsi="Times New Roman" w:eastAsia="宋体" w:cs="Times New Roman"/>
          <w:color w:val="auto"/>
          <w:kern w:val="0"/>
          <w:sz w:val="24"/>
          <w:szCs w:val="24"/>
          <w:lang w:val="en-US" w:eastAsia="zh-CN"/>
        </w:rPr>
        <w:t>0.316</w:t>
      </w:r>
      <w:r>
        <w:rPr>
          <w:rFonts w:hint="default" w:ascii="Times New Roman" w:hAnsi="Times New Roman" w:eastAsia="宋体" w:cs="Times New Roman"/>
          <w:color w:val="auto"/>
          <w:kern w:val="0"/>
          <w:sz w:val="24"/>
          <w:szCs w:val="24"/>
          <w:lang w:val="en-US" w:eastAsia="zh-CN"/>
        </w:rPr>
        <w:t>mg/L；渗漏发生100天后，潜水含水层污染物最大贡献浓度为</w:t>
      </w:r>
      <w:r>
        <w:rPr>
          <w:rFonts w:hint="eastAsia" w:ascii="Times New Roman" w:hAnsi="Times New Roman" w:eastAsia="宋体" w:cs="Times New Roman"/>
          <w:color w:val="auto"/>
          <w:kern w:val="0"/>
          <w:sz w:val="24"/>
          <w:szCs w:val="24"/>
          <w:lang w:val="en-US" w:eastAsia="zh-CN"/>
        </w:rPr>
        <w:t>0.075</w:t>
      </w:r>
      <w:r>
        <w:rPr>
          <w:rFonts w:hint="default" w:ascii="Times New Roman" w:hAnsi="Times New Roman" w:eastAsia="宋体" w:cs="Times New Roman"/>
          <w:color w:val="auto"/>
          <w:kern w:val="0"/>
          <w:sz w:val="24"/>
          <w:szCs w:val="24"/>
          <w:lang w:val="en-US" w:eastAsia="zh-CN"/>
        </w:rPr>
        <w:t>mg/L；1000天后，潜水含水层污染物最大贡献浓度为</w:t>
      </w:r>
      <w:r>
        <w:rPr>
          <w:rFonts w:hint="eastAsia" w:ascii="Times New Roman" w:hAnsi="Times New Roman" w:eastAsia="宋体" w:cs="Times New Roman"/>
          <w:color w:val="auto"/>
          <w:kern w:val="0"/>
          <w:sz w:val="24"/>
          <w:szCs w:val="24"/>
          <w:lang w:val="en-US" w:eastAsia="zh-CN"/>
        </w:rPr>
        <w:t>0.022</w:t>
      </w:r>
      <w:r>
        <w:rPr>
          <w:rFonts w:hint="default" w:ascii="Times New Roman" w:hAnsi="Times New Roman" w:eastAsia="宋体" w:cs="Times New Roman"/>
          <w:color w:val="auto"/>
          <w:kern w:val="0"/>
          <w:sz w:val="24"/>
          <w:szCs w:val="24"/>
          <w:lang w:val="en-US" w:eastAsia="zh-CN"/>
        </w:rPr>
        <w:t>mg/L。</w:t>
      </w:r>
    </w:p>
    <w:p>
      <w:pPr>
        <w:widowControl w:val="0"/>
        <w:numPr>
          <w:ilvl w:val="0"/>
          <w:numId w:val="33"/>
        </w:numPr>
        <w:spacing w:after="0" w:afterLines="0" w:line="360" w:lineRule="auto"/>
        <w:ind w:left="0" w:leftChars="0" w:firstLine="0" w:firstLineChars="0"/>
        <w:jc w:val="center"/>
        <w:rPr>
          <w:b/>
          <w:color w:val="auto"/>
        </w:rPr>
      </w:pPr>
      <w:r>
        <w:rPr>
          <w:rFonts w:hint="eastAsia"/>
          <w:b/>
          <w:color w:val="auto"/>
          <w:lang w:val="en-US" w:eastAsia="zh-CN"/>
        </w:rPr>
        <w:t xml:space="preserve">  </w:t>
      </w:r>
      <w:r>
        <w:rPr>
          <w:rFonts w:hint="eastAsia"/>
          <w:b/>
          <w:color w:val="auto"/>
        </w:rPr>
        <w:t xml:space="preserve"> 本项目非正常工况不同时间地下水</w:t>
      </w:r>
      <w:r>
        <w:rPr>
          <w:b/>
          <w:color w:val="auto"/>
        </w:rPr>
        <w:t>超标距离</w:t>
      </w:r>
      <w:r>
        <w:rPr>
          <w:rFonts w:hint="eastAsia"/>
          <w:b/>
          <w:color w:val="auto"/>
        </w:rPr>
        <w:t>（m）</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470"/>
        <w:gridCol w:w="1491"/>
        <w:gridCol w:w="1027"/>
        <w:gridCol w:w="1021"/>
        <w:gridCol w:w="1636"/>
        <w:gridCol w:w="187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4" w:hRule="atLeast"/>
        </w:trPr>
        <w:tc>
          <w:tcPr>
            <w:tcW w:w="863" w:type="pct"/>
            <w:tcBorders>
              <w:tl2br w:val="nil"/>
              <w:tr2bl w:val="nil"/>
            </w:tcBorders>
            <w:vAlign w:val="center"/>
            <mc:AlternateContent>
              <mc:Choice Requires="wpsCustomData">
                <wpsCustomData:diagonals>
                  <wpsCustomData:diagonal from="30000" to="10000">
                    <wpsCustomData:border w:val="single" w:color="auto" w:sz="12" w:space="0"/>
                  </wpsCustomData:diagonal>
                </wpsCustomData:diagonals>
              </mc:Choice>
            </mc:AlternateContent>
          </w:tcPr>
          <w:p>
            <w:pPr>
              <w:keepNext w:val="0"/>
              <w:keepLines w:val="0"/>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color w:val="auto"/>
              </w:rPr>
            </w:pPr>
            <w:r>
              <w:rPr>
                <w:rFonts w:hint="default"/>
                <w:color w:val="auto"/>
              </w:rPr>
              <w:t>影响因子</w:t>
            </w:r>
          </w:p>
          <w:p>
            <w:pPr>
              <w:keepNext w:val="0"/>
              <w:keepLines w:val="0"/>
              <w:suppressLineNumbers w:val="0"/>
              <w:spacing w:before="0" w:beforeAutospacing="0" w:after="0" w:afterAutospacing="0" w:line="240" w:lineRule="auto"/>
              <w:ind w:left="0" w:right="0"/>
              <w:jc w:val="center"/>
              <w:rPr>
                <w:rFonts w:hint="default"/>
                <w:color w:val="auto"/>
              </w:rPr>
            </w:pPr>
            <w:r>
              <w:rPr>
                <w:rFonts w:hint="default"/>
                <w:color w:val="auto"/>
              </w:rPr>
              <w:t>时间</w:t>
            </w:r>
          </w:p>
        </w:tc>
        <w:tc>
          <w:tcPr>
            <w:tcW w:w="87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eastAsia"/>
                <w:color w:val="auto"/>
              </w:rPr>
              <w:t>10d</w:t>
            </w:r>
          </w:p>
        </w:tc>
        <w:tc>
          <w:tcPr>
            <w:tcW w:w="102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color w:val="auto"/>
              </w:rPr>
            </w:pPr>
            <w:r>
              <w:rPr>
                <w:rFonts w:hint="eastAsia"/>
                <w:color w:val="auto"/>
              </w:rPr>
              <w:t>100d</w:t>
            </w:r>
          </w:p>
        </w:tc>
        <w:tc>
          <w:tcPr>
            <w:tcW w:w="599"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eastAsia"/>
                <w:color w:val="auto"/>
              </w:rPr>
              <w:t>1000d</w:t>
            </w:r>
          </w:p>
        </w:tc>
        <w:tc>
          <w:tcPr>
            <w:tcW w:w="96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eastAsia"/>
                <w:color w:val="auto"/>
              </w:rPr>
              <w:t>破损池体</w:t>
            </w:r>
          </w:p>
        </w:tc>
        <w:tc>
          <w:tcPr>
            <w:tcW w:w="110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eastAsia"/>
                <w:color w:val="auto"/>
              </w:rPr>
              <w:t>池体距离地下水下游厂界最近距离（m）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63"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default"/>
                <w:color w:val="auto"/>
              </w:rPr>
              <w:t>耗氧量</w:t>
            </w:r>
          </w:p>
        </w:tc>
        <w:tc>
          <w:tcPr>
            <w:tcW w:w="87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eastAsiaTheme="minorEastAsia"/>
                <w:color w:val="auto"/>
                <w:lang w:eastAsia="zh-CN"/>
              </w:rPr>
            </w:pPr>
            <w:r>
              <w:rPr>
                <w:rFonts w:hint="eastAsia"/>
                <w:color w:val="auto"/>
                <w:lang w:val="en-US" w:eastAsia="zh-CN"/>
              </w:rPr>
              <w:t>5</w:t>
            </w:r>
          </w:p>
        </w:tc>
        <w:tc>
          <w:tcPr>
            <w:tcW w:w="102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eastAsiaTheme="minorEastAsia"/>
                <w:color w:val="auto"/>
                <w:lang w:eastAsia="zh-CN"/>
              </w:rPr>
            </w:pPr>
            <w:r>
              <w:rPr>
                <w:rFonts w:hint="eastAsia"/>
                <w:color w:val="auto"/>
                <w:lang w:val="en-US" w:eastAsia="zh-CN"/>
              </w:rPr>
              <w:t>0</w:t>
            </w:r>
          </w:p>
        </w:tc>
        <w:tc>
          <w:tcPr>
            <w:tcW w:w="599"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eastAsiaTheme="minorEastAsia"/>
                <w:color w:val="auto"/>
                <w:lang w:eastAsia="zh-CN"/>
              </w:rPr>
            </w:pPr>
            <w:r>
              <w:rPr>
                <w:rFonts w:hint="eastAsia"/>
                <w:color w:val="auto"/>
                <w:lang w:val="en-US" w:eastAsia="zh-CN"/>
              </w:rPr>
              <w:t>0</w:t>
            </w:r>
          </w:p>
        </w:tc>
        <w:tc>
          <w:tcPr>
            <w:tcW w:w="960"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eastAsia" w:ascii="Times New Roman" w:hAnsi="宋体" w:eastAsia="宋体" w:cs="Times New Roman"/>
                <w:bCs/>
                <w:color w:val="auto"/>
                <w:lang w:eastAsia="zh-CN"/>
              </w:rPr>
              <w:t>粪尿收集池</w:t>
            </w:r>
          </w:p>
        </w:tc>
        <w:tc>
          <w:tcPr>
            <w:tcW w:w="110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eastAsia"/>
                <w:color w:val="auto"/>
                <w:lang w:val="en-US" w:eastAsia="zh-CN"/>
              </w:rPr>
              <w:t>650</w:t>
            </w:r>
            <w:r>
              <w:rPr>
                <w:rFonts w:hint="eastAsia"/>
                <w:color w:val="auto"/>
              </w:rPr>
              <w:t>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863"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default"/>
                <w:color w:val="auto"/>
              </w:rPr>
              <w:t>氨氮</w:t>
            </w:r>
          </w:p>
        </w:tc>
        <w:tc>
          <w:tcPr>
            <w:tcW w:w="875"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eastAsiaTheme="minorEastAsia"/>
                <w:color w:val="auto"/>
                <w:lang w:eastAsia="zh-CN"/>
              </w:rPr>
            </w:pPr>
            <w:r>
              <w:rPr>
                <w:rFonts w:hint="eastAsia"/>
                <w:color w:val="auto"/>
                <w:lang w:val="en-US" w:eastAsia="zh-CN"/>
              </w:rPr>
              <w:t>0</w:t>
            </w:r>
          </w:p>
        </w:tc>
        <w:tc>
          <w:tcPr>
            <w:tcW w:w="102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eastAsiaTheme="minorEastAsia"/>
                <w:color w:val="auto"/>
                <w:lang w:eastAsia="zh-CN"/>
              </w:rPr>
            </w:pPr>
            <w:r>
              <w:rPr>
                <w:rFonts w:hint="eastAsia"/>
                <w:color w:val="auto"/>
                <w:lang w:val="en-US" w:eastAsia="zh-CN"/>
              </w:rPr>
              <w:t>0</w:t>
            </w:r>
          </w:p>
        </w:tc>
        <w:tc>
          <w:tcPr>
            <w:tcW w:w="599"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eastAsiaTheme="minorEastAsia"/>
                <w:color w:val="auto"/>
                <w:lang w:eastAsia="zh-CN"/>
              </w:rPr>
            </w:pPr>
            <w:r>
              <w:rPr>
                <w:rFonts w:hint="eastAsia"/>
                <w:color w:val="auto"/>
                <w:lang w:val="en-US" w:eastAsia="zh-CN"/>
              </w:rPr>
              <w:t>0</w:t>
            </w:r>
          </w:p>
        </w:tc>
        <w:tc>
          <w:tcPr>
            <w:tcW w:w="960"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p>
        </w:tc>
        <w:tc>
          <w:tcPr>
            <w:tcW w:w="110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rPr>
            </w:pPr>
            <w:r>
              <w:rPr>
                <w:rFonts w:hint="eastAsia"/>
                <w:color w:val="auto"/>
                <w:lang w:val="en-US" w:eastAsia="zh-CN"/>
              </w:rPr>
              <w:t>650</w:t>
            </w:r>
            <w:r>
              <w:rPr>
                <w:rFonts w:hint="eastAsia"/>
                <w:color w:val="auto"/>
              </w:rPr>
              <w:t>m</w:t>
            </w:r>
          </w:p>
        </w:tc>
      </w:tr>
    </w:tbl>
    <w:p>
      <w:pPr>
        <w:pStyle w:val="8"/>
        <w:bidi w:val="0"/>
        <w:spacing w:line="360" w:lineRule="auto"/>
        <w:rPr>
          <w:rFonts w:cs="Times New Roman"/>
          <w:color w:val="auto"/>
        </w:rPr>
      </w:pPr>
      <w:r>
        <w:rPr>
          <w:rFonts w:hint="eastAsia" w:cs="Times New Roman"/>
          <w:color w:val="auto"/>
        </w:rPr>
        <w:t>地下水影响评价结论</w:t>
      </w:r>
    </w:p>
    <w:p>
      <w:pPr>
        <w:tabs>
          <w:tab w:val="left" w:pos="1220"/>
        </w:tabs>
        <w:ind w:firstLine="504" w:firstLineChars="210"/>
        <w:rPr>
          <w:rFonts w:ascii="宋体" w:eastAsia="宋体" w:cs="宋体"/>
          <w:color w:val="auto"/>
          <w:kern w:val="0"/>
          <w:sz w:val="24"/>
          <w:szCs w:val="24"/>
        </w:rPr>
      </w:pPr>
      <w:r>
        <w:rPr>
          <w:rFonts w:ascii="宋体" w:eastAsia="宋体" w:cs="宋体"/>
          <w:color w:val="auto"/>
          <w:kern w:val="0"/>
          <w:sz w:val="24"/>
          <w:szCs w:val="24"/>
        </w:rPr>
        <w:t>（1）正常状况下</w:t>
      </w:r>
    </w:p>
    <w:p>
      <w:pPr>
        <w:tabs>
          <w:tab w:val="left" w:pos="1220"/>
        </w:tabs>
        <w:ind w:firstLine="504" w:firstLineChars="210"/>
        <w:rPr>
          <w:rFonts w:ascii="宋体" w:eastAsia="宋体" w:cs="宋体"/>
          <w:color w:val="auto"/>
          <w:kern w:val="0"/>
          <w:sz w:val="24"/>
          <w:szCs w:val="24"/>
        </w:rPr>
      </w:pPr>
      <w:r>
        <w:rPr>
          <w:rFonts w:ascii="宋体" w:eastAsia="宋体" w:cs="宋体"/>
          <w:color w:val="auto"/>
          <w:kern w:val="0"/>
          <w:sz w:val="24"/>
          <w:szCs w:val="24"/>
        </w:rPr>
        <w:t>正常状况下，项目在采取环评报告要求的对不同的区域实施分区防控进行防渗、防溢流、防泄漏等措施后，项目防渗措施</w:t>
      </w:r>
      <w:r>
        <w:rPr>
          <w:rFonts w:hint="eastAsia" w:ascii="宋体" w:eastAsia="宋体" w:cs="宋体"/>
          <w:color w:val="auto"/>
          <w:kern w:val="0"/>
          <w:sz w:val="24"/>
          <w:szCs w:val="24"/>
        </w:rPr>
        <w:t>系统、</w:t>
      </w:r>
      <w:r>
        <w:rPr>
          <w:rFonts w:ascii="宋体" w:eastAsia="宋体" w:cs="宋体"/>
          <w:color w:val="auto"/>
          <w:kern w:val="0"/>
          <w:sz w:val="24"/>
          <w:szCs w:val="24"/>
        </w:rPr>
        <w:t>完整，一般情况下物料不会泄漏进入地下水系统，废水正常下渗量极小，二者对地下水均不会造成污染。</w:t>
      </w:r>
    </w:p>
    <w:p>
      <w:pPr>
        <w:tabs>
          <w:tab w:val="left" w:pos="1220"/>
        </w:tabs>
        <w:ind w:firstLine="504" w:firstLineChars="210"/>
        <w:rPr>
          <w:rFonts w:ascii="宋体" w:eastAsia="宋体" w:cs="宋体"/>
          <w:color w:val="auto"/>
          <w:kern w:val="0"/>
          <w:sz w:val="24"/>
          <w:szCs w:val="24"/>
        </w:rPr>
      </w:pPr>
      <w:r>
        <w:rPr>
          <w:rFonts w:ascii="宋体" w:eastAsia="宋体" w:cs="宋体"/>
          <w:color w:val="auto"/>
          <w:kern w:val="0"/>
          <w:sz w:val="24"/>
          <w:szCs w:val="24"/>
        </w:rPr>
        <w:t>（2）非正常状况下</w:t>
      </w:r>
    </w:p>
    <w:p>
      <w:pPr>
        <w:tabs>
          <w:tab w:val="left" w:pos="1220"/>
        </w:tabs>
        <w:ind w:firstLine="504" w:firstLineChars="210"/>
        <w:rPr>
          <w:color w:val="auto"/>
        </w:rPr>
      </w:pPr>
      <w:r>
        <w:rPr>
          <w:rFonts w:hint="eastAsia" w:ascii="宋体" w:eastAsia="宋体" w:cs="宋体"/>
          <w:color w:val="auto"/>
          <w:kern w:val="0"/>
          <w:sz w:val="24"/>
          <w:szCs w:val="24"/>
        </w:rPr>
        <w:t>粪尿收集池老化发生废水下渗时，</w:t>
      </w:r>
      <w:r>
        <w:rPr>
          <w:rFonts w:hint="eastAsia" w:ascii="宋体" w:eastAsia="宋体" w:cs="宋体"/>
          <w:color w:val="auto"/>
          <w:kern w:val="0"/>
          <w:sz w:val="24"/>
          <w:szCs w:val="24"/>
          <w:lang w:val="en-US" w:eastAsia="zh-CN"/>
        </w:rPr>
        <w:t>10天</w:t>
      </w:r>
      <w:r>
        <w:rPr>
          <w:rFonts w:hint="eastAsia" w:ascii="宋体" w:eastAsia="宋体" w:cs="宋体"/>
          <w:color w:val="auto"/>
          <w:kern w:val="0"/>
          <w:sz w:val="24"/>
          <w:szCs w:val="24"/>
        </w:rPr>
        <w:t>最远超标距离为</w:t>
      </w:r>
      <w:r>
        <w:rPr>
          <w:rFonts w:hint="eastAsia" w:ascii="宋体" w:eastAsia="宋体" w:cs="宋体"/>
          <w:color w:val="auto"/>
          <w:kern w:val="0"/>
          <w:sz w:val="24"/>
          <w:szCs w:val="24"/>
          <w:lang w:val="en-US" w:eastAsia="zh-CN"/>
        </w:rPr>
        <w:t>5</w:t>
      </w:r>
      <w:r>
        <w:rPr>
          <w:rFonts w:hint="eastAsia" w:ascii="宋体" w:eastAsia="宋体" w:cs="宋体"/>
          <w:color w:val="auto"/>
          <w:kern w:val="0"/>
          <w:sz w:val="24"/>
          <w:szCs w:val="24"/>
        </w:rPr>
        <w:t>m，此时污染范围仍在厂区内，本项目设置污染监控井距可尽早发现污染物泄漏，将事故控制在厂界内。其余区域内可满足GB/T14848-2017Ⅲ类水域标准。在采取本环评报告提出的的防渗、监控、管理措施后，本项目对地下水环境影响很小。</w:t>
      </w:r>
    </w:p>
    <w:p>
      <w:pPr>
        <w:pStyle w:val="8"/>
        <w:bidi w:val="0"/>
        <w:spacing w:line="360" w:lineRule="auto"/>
        <w:rPr>
          <w:rFonts w:hint="eastAsia" w:ascii="Times New Roman" w:hAnsi="Times New Roman" w:eastAsia="宋体" w:cs="Times New Roman"/>
          <w:bCs/>
          <w:color w:val="auto"/>
          <w:kern w:val="2"/>
          <w:sz w:val="24"/>
          <w:szCs w:val="28"/>
          <w:lang w:val="en-US" w:eastAsia="zh-CN" w:bidi="ar-SA"/>
        </w:rPr>
      </w:pPr>
      <w:r>
        <w:rPr>
          <w:rFonts w:hint="eastAsia" w:ascii="Times New Roman" w:hAnsi="Times New Roman" w:eastAsia="宋体" w:cs="Times New Roman"/>
          <w:bCs/>
          <w:color w:val="auto"/>
          <w:kern w:val="2"/>
          <w:sz w:val="24"/>
          <w:szCs w:val="28"/>
          <w:lang w:val="en-US" w:eastAsia="zh-CN" w:bidi="ar-SA"/>
        </w:rPr>
        <w:t>地下水防治措施</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本项目产污对地下水造成影响的途径主要有为：养殖场区圈舍及污水处理站发生泄漏污染地下水。</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有效规避地下水环境污染的风险，应做好地下水污染防治措施，应按照“源头控制、分区控制、污染控制、应急响应”的主动与被动防渗相结合的防渗原则。根据《畜禽养殖业污染防治技术规范》（HJT81-2001）中的规定“畜禽粪便的贮存设施应采取有效的防渗处理工艺，防治畜禽粪便污染地下水；贮存设施应采取设置顶盖等防止降雨（水）进入的措施”。本项目拟采取的地下水的防治措施如下所述：</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①源头控制措施</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项目应根据国家现行相关规范加强环境管理，采取防止和降低污染物跑、冒、滴、漏的措施。正常运营过程中应加强控制，同时加强对防渗工程的检查，若发现防渗密封材料老化或损坏，应及时维修更换。</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②分区防治措施</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将全厂按各功能单元所处的位置划分为重点防渗区、一般防渗区以及简单防渗区三类地下水污染防治区域：</w:t>
      </w:r>
    </w:p>
    <w:p>
      <w:pPr>
        <w:spacing w:line="440" w:lineRule="exact"/>
        <w:ind w:firstLine="482" w:firstLineChars="200"/>
        <w:rPr>
          <w:rFonts w:hint="eastAsia" w:ascii="Times New Roman" w:hAnsi="Times New Roman" w:eastAsia="宋体" w:cs="Times New Roman"/>
          <w:color w:val="auto"/>
          <w:sz w:val="24"/>
          <w:szCs w:val="24"/>
        </w:rPr>
      </w:pPr>
      <w:r>
        <w:rPr>
          <w:rFonts w:ascii="Times New Roman" w:hAnsi="Times New Roman" w:eastAsia="宋体" w:cs="Times New Roman"/>
          <w:b/>
          <w:color w:val="auto"/>
          <w:sz w:val="24"/>
          <w:szCs w:val="24"/>
        </w:rPr>
        <w:t>Ⅰ</w:t>
      </w:r>
      <w:r>
        <w:rPr>
          <w:rFonts w:hint="eastAsia" w:ascii="Times New Roman" w:hAnsi="Times New Roman" w:eastAsia="宋体" w:cs="Times New Roman"/>
          <w:b/>
          <w:color w:val="auto"/>
          <w:sz w:val="24"/>
          <w:szCs w:val="24"/>
        </w:rPr>
        <w:t>、重点防渗区包括：</w:t>
      </w:r>
      <w:r>
        <w:rPr>
          <w:rFonts w:ascii="Times New Roman" w:hAnsi="Times New Roman" w:eastAsia="宋体" w:cs="Times New Roman"/>
          <w:color w:val="auto"/>
          <w:sz w:val="24"/>
          <w:szCs w:val="24"/>
        </w:rPr>
        <w:t>污水处理区（污水处理设施）、粪便脱水间、</w:t>
      </w:r>
      <w:r>
        <w:rPr>
          <w:rFonts w:hint="eastAsia" w:ascii="Times New Roman" w:hAnsi="Times New Roman" w:eastAsia="宋体" w:cs="Times New Roman"/>
          <w:color w:val="auto"/>
          <w:sz w:val="24"/>
          <w:szCs w:val="24"/>
        </w:rPr>
        <w:t>危险废物暂存间</w:t>
      </w:r>
      <w:r>
        <w:rPr>
          <w:rFonts w:ascii="Times New Roman" w:hAnsi="Times New Roman" w:eastAsia="宋体" w:cs="Times New Roman"/>
          <w:color w:val="auto"/>
          <w:sz w:val="24"/>
          <w:szCs w:val="24"/>
        </w:rPr>
        <w:t>、发电机房及储油间、</w:t>
      </w:r>
      <w:r>
        <w:rPr>
          <w:rFonts w:hint="eastAsia" w:ascii="Times New Roman" w:hAnsi="Times New Roman" w:eastAsia="宋体" w:cs="Times New Roman"/>
          <w:color w:val="auto"/>
          <w:sz w:val="24"/>
          <w:szCs w:val="24"/>
        </w:rPr>
        <w:t>兽药室</w:t>
      </w:r>
      <w:r>
        <w:rPr>
          <w:rFonts w:ascii="Times New Roman" w:hAnsi="Times New Roman" w:eastAsia="宋体" w:cs="Times New Roman"/>
          <w:color w:val="auto"/>
          <w:sz w:val="24"/>
          <w:szCs w:val="24"/>
        </w:rPr>
        <w:t>、粪污管道、粪肥储存间等。</w:t>
      </w:r>
    </w:p>
    <w:p>
      <w:pPr>
        <w:spacing w:line="440" w:lineRule="exact"/>
        <w:ind w:firstLine="482" w:firstLineChars="200"/>
        <w:rPr>
          <w:rFonts w:hint="eastAsia" w:ascii="Times New Roman" w:hAnsi="Times New Roman" w:eastAsia="宋体" w:cs="Times New Roman"/>
          <w:color w:val="auto"/>
          <w:sz w:val="24"/>
          <w:szCs w:val="24"/>
        </w:rPr>
      </w:pPr>
      <w:r>
        <w:rPr>
          <w:rFonts w:ascii="Times New Roman" w:hAnsi="Times New Roman" w:eastAsia="宋体" w:cs="Times New Roman"/>
          <w:b/>
          <w:color w:val="auto"/>
          <w:sz w:val="24"/>
          <w:szCs w:val="24"/>
        </w:rPr>
        <w:t>Ⅱ</w:t>
      </w:r>
      <w:r>
        <w:rPr>
          <w:rFonts w:hint="eastAsia" w:ascii="Times New Roman" w:hAnsi="Times New Roman" w:eastAsia="宋体" w:cs="Times New Roman"/>
          <w:b/>
          <w:color w:val="auto"/>
          <w:sz w:val="24"/>
          <w:szCs w:val="24"/>
        </w:rPr>
        <w:t>、一般防渗区包括：</w:t>
      </w:r>
      <w:r>
        <w:rPr>
          <w:rFonts w:hint="eastAsia" w:ascii="Times New Roman" w:hAnsi="Times New Roman" w:eastAsia="宋体" w:cs="Times New Roman"/>
          <w:color w:val="auto"/>
          <w:sz w:val="24"/>
          <w:szCs w:val="24"/>
        </w:rPr>
        <w:t>圈舍、生活垃圾暂存间、化粪池、隔油池等区域。</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（一）重点污染区防渗措施</w:t>
      </w:r>
    </w:p>
    <w:p>
      <w:pPr>
        <w:spacing w:line="440" w:lineRule="exact"/>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粪污</w:t>
      </w:r>
      <w:r>
        <w:rPr>
          <w:rFonts w:ascii="Times New Roman" w:hAnsi="Times New Roman" w:eastAsia="宋体" w:cs="Times New Roman"/>
          <w:b/>
          <w:color w:val="auto"/>
          <w:sz w:val="24"/>
          <w:szCs w:val="24"/>
        </w:rPr>
        <w:t>管</w:t>
      </w:r>
      <w:r>
        <w:rPr>
          <w:rFonts w:hint="eastAsia" w:ascii="Times New Roman" w:hAnsi="Times New Roman" w:eastAsia="宋体" w:cs="Times New Roman"/>
          <w:b/>
          <w:color w:val="auto"/>
          <w:sz w:val="24"/>
          <w:szCs w:val="24"/>
        </w:rPr>
        <w:t>道</w:t>
      </w:r>
      <w:r>
        <w:rPr>
          <w:rFonts w:ascii="Times New Roman" w:hAnsi="Times New Roman" w:eastAsia="宋体" w:cs="Times New Roman"/>
          <w:b/>
          <w:color w:val="auto"/>
          <w:sz w:val="24"/>
          <w:szCs w:val="24"/>
        </w:rPr>
        <w:t>（埋地）：</w:t>
      </w:r>
      <w:r>
        <w:rPr>
          <w:rFonts w:ascii="Times New Roman" w:hAnsi="Times New Roman" w:eastAsia="宋体" w:cs="Times New Roman"/>
          <w:color w:val="auto"/>
          <w:sz w:val="24"/>
          <w:szCs w:val="24"/>
        </w:rPr>
        <w:t>粪污输送全部采用管道输送，管道材料应视输送介质的不同选择合适材质并做表面的防腐、防锈蚀处理，减轻管道腐蚀造成的渗漏，并进行定期检查，防止跑冒漏滴的现象发生。</w:t>
      </w:r>
    </w:p>
    <w:p>
      <w:pPr>
        <w:spacing w:line="440" w:lineRule="exact"/>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污水处理区（</w:t>
      </w:r>
      <w:r>
        <w:rPr>
          <w:rFonts w:ascii="Times New Roman" w:hAnsi="Times New Roman" w:eastAsia="宋体" w:cs="Times New Roman"/>
          <w:b/>
          <w:color w:val="auto"/>
          <w:sz w:val="24"/>
          <w:szCs w:val="24"/>
        </w:rPr>
        <w:t>污水处理设施</w:t>
      </w:r>
      <w:r>
        <w:rPr>
          <w:rFonts w:hint="eastAsia" w:ascii="Times New Roman" w:hAnsi="Times New Roman" w:eastAsia="宋体" w:cs="Times New Roman"/>
          <w:b/>
          <w:color w:val="auto"/>
          <w:sz w:val="24"/>
          <w:szCs w:val="24"/>
        </w:rPr>
        <w:t>）</w:t>
      </w:r>
      <w:r>
        <w:rPr>
          <w:rFonts w:ascii="Times New Roman" w:hAnsi="Times New Roman" w:eastAsia="宋体" w:cs="Times New Roman"/>
          <w:b/>
          <w:color w:val="auto"/>
          <w:sz w:val="24"/>
          <w:szCs w:val="24"/>
        </w:rPr>
        <w:t>：</w:t>
      </w:r>
      <w:r>
        <w:rPr>
          <w:rFonts w:ascii="Times New Roman" w:hAnsi="Times New Roman" w:eastAsia="宋体" w:cs="Times New Roman"/>
          <w:color w:val="auto"/>
          <w:sz w:val="24"/>
          <w:szCs w:val="24"/>
        </w:rPr>
        <w:t>池体采用钢筋混凝土加防渗剂的防渗地坪+人工材料（HDPE）防渗层，确保等效黏土防渗层Mb≥6.0m，K≤1×10</w:t>
      </w:r>
      <w:r>
        <w:rPr>
          <w:rFonts w:ascii="Times New Roman" w:hAnsi="Times New Roman" w:eastAsia="宋体" w:cs="Times New Roman"/>
          <w:color w:val="auto"/>
          <w:sz w:val="24"/>
          <w:szCs w:val="24"/>
          <w:vertAlign w:val="superscript"/>
        </w:rPr>
        <w:t>-7</w:t>
      </w:r>
      <w:r>
        <w:rPr>
          <w:rFonts w:ascii="Times New Roman" w:hAnsi="Times New Roman" w:eastAsia="宋体" w:cs="Times New Roman"/>
          <w:color w:val="auto"/>
          <w:sz w:val="24"/>
          <w:szCs w:val="24"/>
        </w:rPr>
        <w:t>cm/s。</w:t>
      </w:r>
    </w:p>
    <w:p>
      <w:pPr>
        <w:spacing w:line="440" w:lineRule="exact"/>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兽药室</w:t>
      </w:r>
      <w:r>
        <w:rPr>
          <w:rFonts w:ascii="Times New Roman" w:hAnsi="Times New Roman" w:eastAsia="宋体" w:cs="Times New Roman"/>
          <w:b/>
          <w:color w:val="auto"/>
          <w:sz w:val="24"/>
          <w:szCs w:val="24"/>
        </w:rPr>
        <w:t>、粪肥储存间、粪便脱水间：</w:t>
      </w:r>
      <w:r>
        <w:rPr>
          <w:rFonts w:ascii="Times New Roman" w:hAnsi="Times New Roman" w:eastAsia="宋体" w:cs="Times New Roman"/>
          <w:color w:val="auto"/>
          <w:sz w:val="24"/>
          <w:szCs w:val="24"/>
        </w:rPr>
        <w:t>混凝土地面加铺防渗剂和人工材料（HDPE）防渗层，确保等效黏土防渗层Mb≥6.0m，K≤1×10</w:t>
      </w:r>
      <w:r>
        <w:rPr>
          <w:rFonts w:ascii="Times New Roman" w:hAnsi="Times New Roman" w:eastAsia="宋体" w:cs="Times New Roman"/>
          <w:color w:val="auto"/>
          <w:sz w:val="24"/>
          <w:szCs w:val="24"/>
          <w:vertAlign w:val="superscript"/>
        </w:rPr>
        <w:t>-7</w:t>
      </w:r>
      <w:r>
        <w:rPr>
          <w:rFonts w:ascii="Times New Roman" w:hAnsi="Times New Roman" w:eastAsia="宋体" w:cs="Times New Roman"/>
          <w:color w:val="auto"/>
          <w:sz w:val="24"/>
          <w:szCs w:val="24"/>
        </w:rPr>
        <w:t>cm/s。</w:t>
      </w:r>
    </w:p>
    <w:p>
      <w:pPr>
        <w:spacing w:line="440" w:lineRule="exact"/>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危险废物暂存间</w:t>
      </w:r>
      <w:r>
        <w:rPr>
          <w:rFonts w:ascii="Times New Roman" w:hAnsi="Times New Roman" w:eastAsia="宋体" w:cs="Times New Roman"/>
          <w:b/>
          <w:color w:val="auto"/>
          <w:sz w:val="24"/>
          <w:szCs w:val="24"/>
        </w:rPr>
        <w:t>：</w:t>
      </w:r>
      <w:r>
        <w:rPr>
          <w:rFonts w:ascii="Times New Roman" w:hAnsi="Times New Roman" w:eastAsia="宋体" w:cs="Times New Roman"/>
          <w:color w:val="auto"/>
          <w:sz w:val="24"/>
          <w:szCs w:val="24"/>
        </w:rPr>
        <w:t>混凝土地面加铺防渗剂和人工材料（HDPE）防渗层，确保等效黏土防渗层Mb≥6.0m，K≤1×10</w:t>
      </w:r>
      <w:r>
        <w:rPr>
          <w:rFonts w:ascii="Times New Roman" w:hAnsi="Times New Roman" w:eastAsia="宋体" w:cs="Times New Roman"/>
          <w:color w:val="auto"/>
          <w:sz w:val="24"/>
          <w:szCs w:val="24"/>
          <w:vertAlign w:val="superscript"/>
        </w:rPr>
        <w:t>-10</w:t>
      </w:r>
      <w:r>
        <w:rPr>
          <w:rFonts w:ascii="Times New Roman" w:hAnsi="Times New Roman" w:eastAsia="宋体" w:cs="Times New Roman"/>
          <w:color w:val="auto"/>
          <w:sz w:val="24"/>
          <w:szCs w:val="24"/>
        </w:rPr>
        <w:t>cm/s。</w:t>
      </w:r>
    </w:p>
    <w:p>
      <w:pPr>
        <w:spacing w:line="440" w:lineRule="exact"/>
        <w:ind w:firstLine="482" w:firstLineChars="200"/>
        <w:rPr>
          <w:rFonts w:ascii="Times New Roman" w:hAnsi="Times New Roman" w:eastAsia="宋体" w:cs="Times New Roman"/>
          <w:color w:val="auto"/>
          <w:sz w:val="24"/>
          <w:szCs w:val="24"/>
        </w:rPr>
      </w:pPr>
      <w:r>
        <w:rPr>
          <w:rFonts w:ascii="Times New Roman" w:hAnsi="Times New Roman" w:eastAsia="宋体" w:cs="Times New Roman"/>
          <w:b/>
          <w:color w:val="auto"/>
          <w:sz w:val="24"/>
          <w:szCs w:val="24"/>
        </w:rPr>
        <w:t>发电机房及储油间：</w:t>
      </w:r>
      <w:r>
        <w:rPr>
          <w:rFonts w:ascii="Times New Roman" w:hAnsi="Times New Roman" w:eastAsia="宋体" w:cs="Times New Roman"/>
          <w:color w:val="auto"/>
          <w:sz w:val="24"/>
          <w:szCs w:val="24"/>
        </w:rPr>
        <w:t>柴油储存于发电机房油缸间的液压油缸内，油缸为防渗油缸，地面采用钢筋混凝土+人工材料（HDPE）防渗层，确保等效黏土防渗层 Mb≥6.0m，K≤1×10</w:t>
      </w:r>
      <w:r>
        <w:rPr>
          <w:rFonts w:ascii="Times New Roman" w:hAnsi="Times New Roman" w:eastAsia="宋体" w:cs="Times New Roman"/>
          <w:color w:val="auto"/>
          <w:sz w:val="24"/>
          <w:szCs w:val="24"/>
          <w:vertAlign w:val="superscript"/>
        </w:rPr>
        <w:t>-7</w:t>
      </w:r>
      <w:r>
        <w:rPr>
          <w:rFonts w:ascii="Times New Roman" w:hAnsi="Times New Roman" w:eastAsia="宋体" w:cs="Times New Roman"/>
          <w:color w:val="auto"/>
          <w:sz w:val="24"/>
          <w:szCs w:val="24"/>
        </w:rPr>
        <w:t>cm/s。</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（二）一般防渗区防渗措施</w:t>
      </w:r>
    </w:p>
    <w:p>
      <w:pPr>
        <w:spacing w:line="440" w:lineRule="exact"/>
        <w:ind w:firstLine="480" w:firstLineChars="200"/>
        <w:rPr>
          <w:rFonts w:hint="default"/>
          <w:color w:val="auto"/>
        </w:rPr>
      </w:pPr>
      <w:r>
        <w:rPr>
          <w:rFonts w:ascii="Times New Roman" w:hAnsi="Times New Roman" w:eastAsia="宋体" w:cs="Times New Roman"/>
          <w:color w:val="auto"/>
          <w:sz w:val="24"/>
          <w:szCs w:val="24"/>
        </w:rPr>
        <w:t>采用防渗混泥土进行防渗处理，地面采取钢筋混泥土+防渗涂料，</w:t>
      </w:r>
      <w:r>
        <w:rPr>
          <w:rFonts w:hint="default" w:ascii="Times New Roman" w:hAnsi="Times New Roman" w:eastAsia="宋体" w:cs="Times New Roman"/>
          <w:color w:val="auto"/>
          <w:sz w:val="24"/>
          <w:szCs w:val="24"/>
        </w:rPr>
        <w:t>确保等效黏土防渗层Mb≥1.5m，</w:t>
      </w:r>
      <w:r>
        <w:rPr>
          <w:rFonts w:ascii="Times New Roman" w:hAnsi="Times New Roman" w:eastAsia="宋体" w:cs="Times New Roman"/>
          <w:color w:val="auto"/>
          <w:sz w:val="24"/>
          <w:szCs w:val="24"/>
        </w:rPr>
        <w:t>防渗系数</w:t>
      </w:r>
      <w:r>
        <w:rPr>
          <w:rFonts w:hint="default" w:ascii="Times New Roman" w:hAnsi="Times New Roman" w:eastAsia="宋体" w:cs="Times New Roman"/>
          <w:color w:val="auto"/>
          <w:sz w:val="24"/>
          <w:szCs w:val="24"/>
        </w:rPr>
        <w:t>K≤10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w:t>
      </w:r>
    </w:p>
    <w:p>
      <w:pPr>
        <w:widowControl w:val="0"/>
        <w:numPr>
          <w:ilvl w:val="0"/>
          <w:numId w:val="33"/>
        </w:numPr>
        <w:spacing w:after="0" w:afterLines="0" w:line="360" w:lineRule="auto"/>
        <w:ind w:left="0" w:leftChars="0" w:firstLine="0" w:firstLineChars="0"/>
        <w:jc w:val="center"/>
        <w:rPr>
          <w:rFonts w:hint="eastAsia"/>
          <w:b/>
          <w:color w:val="auto"/>
          <w:lang w:val="en-US" w:eastAsia="zh-CN"/>
        </w:rPr>
      </w:pPr>
      <w:r>
        <w:rPr>
          <w:rFonts w:hint="eastAsia"/>
          <w:b/>
          <w:color w:val="auto"/>
          <w:lang w:val="en-US" w:eastAsia="zh-CN"/>
        </w:rPr>
        <w:t xml:space="preserve">  项目分区建议防渗方案一览表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1"/>
        <w:gridCol w:w="2251"/>
        <w:gridCol w:w="44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生产单元</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防渗级别</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b w:val="0"/>
                <w:bCs w:val="0"/>
                <w:color w:val="auto"/>
                <w:sz w:val="21"/>
                <w:szCs w:val="21"/>
                <w:lang w:val="en-US" w:eastAsia="zh-CN"/>
              </w:rPr>
              <w:t>粪污管道（埋地</w:t>
            </w:r>
            <w:r>
              <w:rPr>
                <w:rFonts w:hint="default" w:ascii="Times New Roman" w:hAnsi="Times New Roman" w:eastAsia="宋体" w:cs="Times New Roman"/>
                <w:b w:val="0"/>
                <w:bCs w:val="0"/>
                <w:color w:val="auto"/>
                <w:sz w:val="21"/>
                <w:szCs w:val="21"/>
              </w:rPr>
              <w:t>）</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粪污输送全部采用管道输送，管道材料应视输送介质的不同选择合适材质并做表面的防腐、防锈蚀处理，减轻管道腐蚀造成的渗漏，并进行定期检查，防止跑冒漏滴的现象发生。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污水处理区（污水处理设施）</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池体采用钢筋混凝土加防渗剂的防渗地坪+人工材料（HDPE）防渗层，确保等效黏土防渗层 Mb≥6.0m，K≤1×10-7cm/s。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兽药室、粪肥储存间、粪便脱水间</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混凝土地面加铺防渗剂和人工材料（HDPE）防渗层，确保等效黏土防渗层 Mb≥6.0m，K≤1×10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危险废物暂存间</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混凝土地面加铺防渗剂和人工材料（HDPE）防渗层，确保等效黏土防渗层 Mb≥6.0m，K≤1×10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发电机房及储油间</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柴油储存于发电机房油缸间的液压油缸内，油缸为防渗油缸，地面采用钢筋混凝土+人工材料（HDPE）防渗层，确保等效黏土防渗层 Mb≥6.0m，K≤1×10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4"/>
                <w:szCs w:val="24"/>
              </w:rPr>
              <w:t>圈舍、生活垃圾暂存间、化粪池、隔油池</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采用防渗混泥土进行防渗处理，地面采取钢筋混泥土+防渗涂料，确保等效黏土防渗层Mb≥1.5m，防渗系数K≤10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r>
    </w:tbl>
    <w:p>
      <w:pPr>
        <w:pStyle w:val="7"/>
        <w:spacing w:before="0" w:after="0" w:line="360" w:lineRule="auto"/>
        <w:ind w:left="0" w:firstLine="0"/>
        <w:rPr>
          <w:rFonts w:cs="Times New Roman"/>
          <w:color w:val="auto"/>
        </w:rPr>
      </w:pPr>
      <w:bookmarkStart w:id="239" w:name="_Toc23400"/>
      <w:r>
        <w:rPr>
          <w:rFonts w:cs="Times New Roman"/>
          <w:color w:val="auto"/>
        </w:rPr>
        <w:t>声环境影响分析</w:t>
      </w:r>
      <w:bookmarkEnd w:id="239"/>
    </w:p>
    <w:p>
      <w:pPr>
        <w:pStyle w:val="8"/>
        <w:rPr>
          <w:rFonts w:cs="Times New Roman"/>
          <w:color w:val="auto"/>
        </w:rPr>
      </w:pPr>
      <w:r>
        <w:rPr>
          <w:rFonts w:hint="eastAsia" w:cs="Times New Roman"/>
          <w:color w:val="auto"/>
        </w:rPr>
        <w:t>噪声源</w:t>
      </w:r>
    </w:p>
    <w:p>
      <w:pPr>
        <w:spacing w:line="360" w:lineRule="auto"/>
        <w:ind w:firstLine="480"/>
        <w:rPr>
          <w:color w:val="auto"/>
          <w:sz w:val="24"/>
          <w:szCs w:val="24"/>
        </w:rPr>
      </w:pPr>
      <w:r>
        <w:rPr>
          <w:rFonts w:hint="eastAsia"/>
          <w:color w:val="auto"/>
          <w:sz w:val="24"/>
          <w:szCs w:val="24"/>
        </w:rPr>
        <w:t>根据工程分析，本工程运营期主要噪声源及源强情况见表5.2-</w:t>
      </w:r>
      <w:r>
        <w:rPr>
          <w:rFonts w:hint="eastAsia"/>
          <w:color w:val="auto"/>
          <w:sz w:val="24"/>
          <w:szCs w:val="24"/>
          <w:lang w:val="en-US" w:eastAsia="zh-CN"/>
        </w:rPr>
        <w:t>21</w:t>
      </w:r>
      <w:r>
        <w:rPr>
          <w:rFonts w:hint="eastAsia"/>
          <w:color w:val="auto"/>
          <w:sz w:val="24"/>
          <w:szCs w:val="24"/>
        </w:rPr>
        <w:t>。</w:t>
      </w:r>
    </w:p>
    <w:p>
      <w:pPr>
        <w:widowControl w:val="0"/>
        <w:numPr>
          <w:ilvl w:val="0"/>
          <w:numId w:val="33"/>
        </w:numPr>
        <w:spacing w:after="0" w:afterLines="0" w:line="360" w:lineRule="auto"/>
        <w:ind w:left="0" w:leftChars="0" w:firstLine="0" w:firstLineChars="0"/>
        <w:jc w:val="center"/>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lang w:val="en-US" w:eastAsia="zh-CN"/>
        </w:rPr>
        <w:t xml:space="preserve">   </w:t>
      </w:r>
      <w:r>
        <w:rPr>
          <w:rFonts w:hint="default" w:ascii="Times New Roman" w:hAnsi="Times New Roman" w:eastAsia="宋体" w:cs="Times New Roman"/>
          <w:b/>
          <w:bCs w:val="0"/>
          <w:color w:val="auto"/>
        </w:rPr>
        <w:t>项目设备噪声源强及治理措施</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521"/>
        <w:gridCol w:w="1436"/>
        <w:gridCol w:w="1110"/>
        <w:gridCol w:w="1130"/>
        <w:gridCol w:w="3106"/>
      </w:tblGrid>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声源名称</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位置</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排放特征</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b/>
                <w:bCs/>
                <w:color w:val="auto"/>
                <w:sz w:val="21"/>
                <w:szCs w:val="21"/>
              </w:rPr>
              <w:t>源强dB(A)</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7"/>
              <w:jc w:val="center"/>
              <w:rPr>
                <w:rFonts w:hint="default"/>
                <w:color w:val="auto"/>
                <w:sz w:val="21"/>
                <w:szCs w:val="21"/>
              </w:rPr>
            </w:pPr>
            <w:r>
              <w:rPr>
                <w:rFonts w:hint="default"/>
                <w:b/>
                <w:bCs/>
                <w:color w:val="auto"/>
                <w:sz w:val="21"/>
                <w:szCs w:val="21"/>
              </w:rPr>
              <w:t>治理或防护措施</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猪叫声</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2"/>
              <w:jc w:val="center"/>
              <w:rPr>
                <w:rFonts w:hint="default"/>
                <w:color w:val="auto"/>
                <w:sz w:val="21"/>
                <w:szCs w:val="21"/>
              </w:rPr>
            </w:pPr>
            <w:r>
              <w:rPr>
                <w:rFonts w:hint="default"/>
                <w:color w:val="auto"/>
                <w:sz w:val="21"/>
                <w:szCs w:val="21"/>
              </w:rPr>
              <w:t>猪舍</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间断</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eastAsia"/>
                <w:color w:val="auto"/>
                <w:sz w:val="21"/>
                <w:szCs w:val="21"/>
              </w:rPr>
              <w:t>70~</w:t>
            </w:r>
            <w:r>
              <w:rPr>
                <w:rFonts w:hint="default"/>
                <w:color w:val="auto"/>
                <w:sz w:val="21"/>
                <w:szCs w:val="21"/>
              </w:rPr>
              <w:t>80</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pacing w:val="-3"/>
                <w:sz w:val="21"/>
                <w:szCs w:val="21"/>
              </w:rPr>
              <w:t>猪舍隔声、减少扰动、加强管理</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风机</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2"/>
              <w:jc w:val="center"/>
              <w:rPr>
                <w:rFonts w:hint="default"/>
                <w:color w:val="auto"/>
                <w:sz w:val="21"/>
                <w:szCs w:val="21"/>
              </w:rPr>
            </w:pPr>
            <w:r>
              <w:rPr>
                <w:rFonts w:hint="default"/>
                <w:color w:val="auto"/>
                <w:sz w:val="21"/>
                <w:szCs w:val="21"/>
              </w:rPr>
              <w:t>猪舍</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连续</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65～70</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鼓风机</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设备房</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连续</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85~90</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水泵</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设备房</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连续</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80～90</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消声、基础减振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污泥泵</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设备房</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连续</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80～90</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空调</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生活区</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连续</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70~75</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12"/>
              <w:jc w:val="center"/>
              <w:rPr>
                <w:rFonts w:hint="default"/>
                <w:color w:val="auto"/>
                <w:sz w:val="21"/>
                <w:szCs w:val="21"/>
              </w:rPr>
            </w:pPr>
            <w:r>
              <w:rPr>
                <w:rFonts w:hint="default"/>
                <w:color w:val="auto"/>
                <w:sz w:val="21"/>
                <w:szCs w:val="21"/>
              </w:rPr>
              <w:t>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柴油发电机</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发电机房</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间断</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80~85</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12"/>
              <w:jc w:val="center"/>
              <w:rPr>
                <w:rFonts w:hint="default"/>
                <w:color w:val="auto"/>
                <w:sz w:val="21"/>
                <w:szCs w:val="21"/>
              </w:rPr>
            </w:pPr>
            <w:r>
              <w:rPr>
                <w:rFonts w:hint="default"/>
                <w:color w:val="auto"/>
                <w:sz w:val="21"/>
                <w:szCs w:val="21"/>
              </w:rPr>
              <w:t>基础减振、隔声</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122"/>
              <w:jc w:val="center"/>
              <w:rPr>
                <w:rFonts w:hint="default"/>
                <w:color w:val="auto"/>
                <w:sz w:val="21"/>
                <w:szCs w:val="21"/>
              </w:rPr>
            </w:pPr>
            <w:r>
              <w:rPr>
                <w:rFonts w:hint="eastAsia"/>
                <w:color w:val="auto"/>
                <w:sz w:val="21"/>
                <w:szCs w:val="21"/>
              </w:rPr>
              <w:t>无害化降解处理机</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无害化处理 间</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间断</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70～85</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3"/>
              <w:keepNext w:val="0"/>
              <w:keepLines w:val="0"/>
              <w:suppressLineNumbers w:val="0"/>
              <w:kinsoku w:val="0"/>
              <w:overflowPunct w:val="0"/>
              <w:spacing w:before="0" w:beforeAutospacing="0" w:after="0" w:afterAutospacing="0"/>
              <w:ind w:left="0" w:right="122"/>
              <w:jc w:val="center"/>
              <w:rPr>
                <w:rFonts w:hint="default"/>
                <w:color w:val="auto"/>
                <w:sz w:val="21"/>
                <w:szCs w:val="21"/>
              </w:rPr>
            </w:pPr>
            <w:r>
              <w:rPr>
                <w:rFonts w:hint="default"/>
                <w:color w:val="auto"/>
                <w:sz w:val="21"/>
                <w:szCs w:val="21"/>
              </w:rPr>
              <w:t>运输车辆</w:t>
            </w:r>
          </w:p>
        </w:tc>
        <w:tc>
          <w:tcPr>
            <w:tcW w:w="86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运输路线及厂区内道路</w:t>
            </w:r>
          </w:p>
        </w:tc>
        <w:tc>
          <w:tcPr>
            <w:tcW w:w="6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间断</w:t>
            </w:r>
          </w:p>
        </w:tc>
        <w:tc>
          <w:tcPr>
            <w:tcW w:w="680"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70~75</w:t>
            </w:r>
          </w:p>
        </w:tc>
        <w:tc>
          <w:tcPr>
            <w:tcW w:w="186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合理安排行驶路线，减少鸣笛</w:t>
            </w:r>
          </w:p>
        </w:tc>
      </w:tr>
    </w:tbl>
    <w:p>
      <w:pPr>
        <w:tabs>
          <w:tab w:val="left" w:pos="1220"/>
        </w:tabs>
        <w:ind w:firstLine="504" w:firstLineChars="210"/>
        <w:rPr>
          <w:rFonts w:hint="eastAsia" w:ascii="宋体" w:eastAsia="宋体" w:cs="宋体"/>
          <w:color w:val="auto"/>
          <w:kern w:val="0"/>
          <w:sz w:val="24"/>
          <w:szCs w:val="24"/>
        </w:rPr>
      </w:pPr>
    </w:p>
    <w:p>
      <w:pPr>
        <w:pStyle w:val="8"/>
        <w:rPr>
          <w:rFonts w:cs="Times New Roman"/>
          <w:color w:val="auto"/>
        </w:rPr>
      </w:pPr>
      <w:r>
        <w:rPr>
          <w:rFonts w:cs="Times New Roman"/>
          <w:color w:val="auto"/>
        </w:rPr>
        <w:t>噪声预测</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本次评价噪声预测采用点声源衰减模式，仅考虑距离衰减值、场界围墙屏障等因素，基本不考虑大气吸收、地面吸收等因素，其噪声预测公式为：</w:t>
      </w:r>
    </w:p>
    <w:p>
      <w:pPr>
        <w:spacing w:line="360" w:lineRule="auto"/>
        <w:ind w:firstLine="0" w:firstLineChars="0"/>
        <w:jc w:val="center"/>
        <w:rPr>
          <w:rFonts w:ascii="Times New Roman" w:hAnsi="Times New Roman" w:eastAsia="宋体" w:cs="Times New Roman"/>
          <w:color w:val="auto"/>
          <w:sz w:val="24"/>
          <w:szCs w:val="24"/>
        </w:rPr>
      </w:pPr>
      <w:r>
        <w:rPr>
          <w:rFonts w:ascii="Times New Roman" w:hAnsi="Times New Roman" w:eastAsia="宋体" w:cs="Times New Roman"/>
          <w:color w:val="auto"/>
          <w:position w:val="-32"/>
          <w:sz w:val="24"/>
          <w:szCs w:val="24"/>
        </w:rPr>
        <w:object>
          <v:shape id="_x0000_i1031" o:spt="75" type="#_x0000_t75" style="height:48.85pt;width:150.7pt;" o:ole="t" filled="f" o:preferrelative="t" stroked="f" coordsize="21600,21600">
            <v:path/>
            <v:fill on="f" focussize="0,0"/>
            <v:stroke on="f"/>
            <v:imagedata r:id="rId56" o:title=""/>
            <o:lock v:ext="edit" grouping="f" rotation="f" text="f" aspectratio="t"/>
            <w10:wrap type="none"/>
            <w10:anchorlock/>
          </v:shape>
          <o:OLEObject Type="Embed" ProgID="Equation.DSMT4" ShapeID="_x0000_i1031" DrawAspect="Content" ObjectID="_1468075731" r:id="rId55">
            <o:LockedField>false</o:LockedField>
          </o:OLEObject>
        </w:objec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式中：</w:t>
      </w:r>
      <w:r>
        <w:rPr>
          <w:rFonts w:ascii="Times New Roman" w:hAnsi="Times New Roman" w:eastAsia="宋体" w:cs="Times New Roman"/>
          <w:i/>
          <w:iCs/>
          <w:color w:val="auto"/>
          <w:sz w:val="24"/>
          <w:szCs w:val="24"/>
        </w:rPr>
        <w:t>L</w:t>
      </w:r>
      <w:r>
        <w:rPr>
          <w:rFonts w:ascii="Times New Roman" w:hAnsi="Times New Roman" w:eastAsia="宋体" w:cs="Times New Roman"/>
          <w:i/>
          <w:iCs/>
          <w:color w:val="auto"/>
          <w:sz w:val="24"/>
          <w:szCs w:val="24"/>
          <w:vertAlign w:val="subscript"/>
        </w:rPr>
        <w:t>A（r）</w:t>
      </w:r>
      <w:r>
        <w:rPr>
          <w:rFonts w:ascii="Times New Roman" w:hAnsi="Times New Roman" w:eastAsia="宋体" w:cs="Times New Roman"/>
          <w:color w:val="auto"/>
          <w:sz w:val="24"/>
          <w:szCs w:val="24"/>
        </w:rPr>
        <w:t>—— 距</w:t>
      </w:r>
      <w:r>
        <w:rPr>
          <w:rFonts w:hint="eastAsia" w:ascii="Times New Roman" w:hAnsi="Times New Roman" w:eastAsia="宋体" w:cs="Times New Roman"/>
          <w:color w:val="auto"/>
          <w:sz w:val="24"/>
          <w:szCs w:val="24"/>
        </w:rPr>
        <w:t>离</w:t>
      </w:r>
      <w:r>
        <w:rPr>
          <w:rFonts w:ascii="Times New Roman" w:hAnsi="Times New Roman" w:eastAsia="宋体" w:cs="Times New Roman"/>
          <w:color w:val="auto"/>
          <w:sz w:val="24"/>
          <w:szCs w:val="24"/>
        </w:rPr>
        <w:t>声源</w:t>
      </w:r>
      <w:r>
        <w:rPr>
          <w:rFonts w:ascii="Times New Roman" w:hAnsi="Times New Roman" w:eastAsia="宋体" w:cs="Times New Roman"/>
          <w:i/>
          <w:iCs/>
          <w:color w:val="auto"/>
          <w:sz w:val="24"/>
          <w:szCs w:val="24"/>
        </w:rPr>
        <w:t>r</w:t>
      </w:r>
      <w:r>
        <w:rPr>
          <w:rFonts w:ascii="Times New Roman" w:hAnsi="Times New Roman" w:eastAsia="宋体" w:cs="Times New Roman"/>
          <w:color w:val="auto"/>
          <w:sz w:val="24"/>
          <w:szCs w:val="24"/>
        </w:rPr>
        <w:t>米处的A声级，dB（A）；</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 xml:space="preserve">      </w:t>
      </w:r>
      <w:r>
        <w:rPr>
          <w:rFonts w:ascii="Times New Roman" w:hAnsi="Times New Roman" w:eastAsia="宋体" w:cs="Times New Roman"/>
          <w:i/>
          <w:iCs/>
          <w:color w:val="auto"/>
          <w:sz w:val="24"/>
          <w:szCs w:val="24"/>
        </w:rPr>
        <w:t>L</w:t>
      </w:r>
      <w:r>
        <w:rPr>
          <w:rFonts w:ascii="Times New Roman" w:hAnsi="Times New Roman" w:eastAsia="宋体" w:cs="Times New Roman"/>
          <w:i/>
          <w:iCs/>
          <w:color w:val="auto"/>
          <w:sz w:val="24"/>
          <w:szCs w:val="24"/>
          <w:vertAlign w:val="subscript"/>
        </w:rPr>
        <w:t>A（r0）</w:t>
      </w:r>
      <w:r>
        <w:rPr>
          <w:rFonts w:ascii="Times New Roman" w:hAnsi="Times New Roman" w:eastAsia="宋体" w:cs="Times New Roman"/>
          <w:color w:val="auto"/>
          <w:sz w:val="24"/>
          <w:szCs w:val="24"/>
        </w:rPr>
        <w:t>—— 距</w:t>
      </w:r>
      <w:r>
        <w:rPr>
          <w:rFonts w:hint="eastAsia" w:ascii="Times New Roman" w:hAnsi="Times New Roman" w:eastAsia="宋体" w:cs="Times New Roman"/>
          <w:color w:val="auto"/>
          <w:sz w:val="24"/>
          <w:szCs w:val="24"/>
        </w:rPr>
        <w:t>离</w:t>
      </w:r>
      <w:r>
        <w:rPr>
          <w:rFonts w:ascii="Times New Roman" w:hAnsi="Times New Roman" w:eastAsia="宋体" w:cs="Times New Roman"/>
          <w:color w:val="auto"/>
          <w:sz w:val="24"/>
          <w:szCs w:val="24"/>
        </w:rPr>
        <w:t>声源</w:t>
      </w:r>
      <w:r>
        <w:rPr>
          <w:rFonts w:ascii="Times New Roman" w:hAnsi="Times New Roman" w:eastAsia="宋体" w:cs="Times New Roman"/>
          <w:i/>
          <w:iCs/>
          <w:color w:val="auto"/>
          <w:sz w:val="24"/>
          <w:szCs w:val="24"/>
        </w:rPr>
        <w:t>r</w:t>
      </w:r>
      <w:r>
        <w:rPr>
          <w:rFonts w:ascii="Times New Roman" w:hAnsi="Times New Roman" w:eastAsia="宋体" w:cs="Times New Roman"/>
          <w:i/>
          <w:iCs/>
          <w:color w:val="auto"/>
          <w:sz w:val="24"/>
          <w:szCs w:val="24"/>
          <w:vertAlign w:val="subscript"/>
        </w:rPr>
        <w:t>0</w:t>
      </w:r>
      <w:r>
        <w:rPr>
          <w:rFonts w:ascii="Times New Roman" w:hAnsi="Times New Roman" w:eastAsia="宋体" w:cs="Times New Roman"/>
          <w:color w:val="auto"/>
          <w:sz w:val="24"/>
          <w:szCs w:val="24"/>
        </w:rPr>
        <w:t>米处的A声级，dB（A）；</w:t>
      </w:r>
    </w:p>
    <w:p>
      <w:pPr>
        <w:spacing w:line="360" w:lineRule="auto"/>
        <w:ind w:firstLine="1200" w:firstLineChars="500"/>
        <w:rPr>
          <w:rFonts w:hint="eastAsia" w:ascii="Times New Roman" w:hAnsi="Times New Roman" w:eastAsia="宋体" w:cs="Times New Roman"/>
          <w:color w:val="auto"/>
          <w:sz w:val="24"/>
          <w:szCs w:val="24"/>
        </w:rPr>
      </w:pPr>
      <w:r>
        <w:rPr>
          <w:rFonts w:ascii="Times New Roman" w:hAnsi="Times New Roman" w:eastAsia="宋体" w:cs="Times New Roman"/>
          <w:i/>
          <w:color w:val="auto"/>
          <w:sz w:val="24"/>
          <w:szCs w:val="24"/>
        </w:rPr>
        <w:t>r</w:t>
      </w:r>
      <w:r>
        <w:rPr>
          <w:rFonts w:hint="eastAsia" w:ascii="Times New Roman" w:hAnsi="Times New Roman" w:eastAsia="宋体" w:cs="Times New Roman"/>
          <w:i/>
          <w:color w:val="auto"/>
          <w:sz w:val="24"/>
          <w:szCs w:val="24"/>
        </w:rPr>
        <w:t>、</w:t>
      </w:r>
      <w:r>
        <w:rPr>
          <w:rFonts w:ascii="Times New Roman" w:hAnsi="Times New Roman" w:eastAsia="宋体" w:cs="Times New Roman"/>
          <w:i/>
          <w:color w:val="auto"/>
          <w:sz w:val="24"/>
          <w:szCs w:val="24"/>
        </w:rPr>
        <w:t>r</w:t>
      </w:r>
      <w:r>
        <w:rPr>
          <w:rFonts w:ascii="Times New Roman" w:hAnsi="Times New Roman" w:eastAsia="宋体" w:cs="Times New Roman"/>
          <w:i/>
          <w:color w:val="auto"/>
          <w:sz w:val="24"/>
          <w:szCs w:val="24"/>
          <w:vertAlign w:val="subscript"/>
        </w:rPr>
        <w:t>0</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距声源的距离，</w:t>
      </w:r>
      <w:r>
        <w:rPr>
          <w:rFonts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rPr>
        <w:t>；</w:t>
      </w:r>
    </w:p>
    <w:p>
      <w:pPr>
        <w:spacing w:line="360" w:lineRule="auto"/>
        <w:ind w:firstLine="1200" w:firstLineChars="5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Δ</w:t>
      </w:r>
      <w:r>
        <w:rPr>
          <w:rFonts w:ascii="Times New Roman" w:hAnsi="Times New Roman" w:eastAsia="宋体" w:cs="Times New Roman"/>
          <w:i/>
          <w:color w:val="auto"/>
          <w:sz w:val="24"/>
          <w:szCs w:val="24"/>
        </w:rPr>
        <w:t>L</w:t>
      </w:r>
      <w:r>
        <w:rPr>
          <w:rFonts w:ascii="Times New Roman" w:hAnsi="Times New Roman" w:eastAsia="宋体" w:cs="Times New Roman"/>
          <w:color w:val="auto"/>
          <w:sz w:val="24"/>
          <w:szCs w:val="24"/>
        </w:rPr>
        <w:t>——场界围墙引起</w:t>
      </w:r>
      <w:r>
        <w:rPr>
          <w:rFonts w:hint="eastAsia" w:ascii="Times New Roman" w:hAnsi="Times New Roman" w:eastAsia="宋体" w:cs="Times New Roman"/>
          <w:color w:val="auto"/>
          <w:sz w:val="24"/>
          <w:szCs w:val="24"/>
        </w:rPr>
        <w:t>的衰减量</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rPr>
        <w:t>。</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根据上式预测单个噪声源在评价点的贡献值，再将所有声源在该点的贡献值用对数法叠加，得出工程噪声源对该点噪声的贡献值，贡献值与本底值叠加，即得出影响预测值。具体计算模式如下：</w:t>
      </w:r>
    </w:p>
    <w:p>
      <w:pPr>
        <w:spacing w:line="360" w:lineRule="auto"/>
        <w:ind w:firstLine="0" w:firstLineChars="0"/>
        <w:jc w:val="center"/>
        <w:rPr>
          <w:rFonts w:ascii="Times New Roman" w:hAnsi="Times New Roman" w:eastAsia="宋体" w:cs="Times New Roman"/>
          <w:color w:val="auto"/>
          <w:sz w:val="24"/>
          <w:szCs w:val="24"/>
        </w:rPr>
      </w:pPr>
      <w:r>
        <w:rPr>
          <w:rFonts w:ascii="Times New Roman" w:hAnsi="Times New Roman" w:eastAsia="宋体" w:cs="Times New Roman"/>
          <w:color w:val="auto"/>
          <w:position w:val="-28"/>
          <w:sz w:val="24"/>
          <w:szCs w:val="24"/>
        </w:rPr>
        <w:object>
          <v:shape id="_x0000_i1032" o:spt="75" type="#_x0000_t75" style="height:39.1pt;width:98.6pt;" o:ole="t" filled="f" o:preferrelative="t" stroked="f" coordsize="21600,21600">
            <v:path/>
            <v:fill on="f" focussize="0,0"/>
            <v:stroke on="f"/>
            <v:imagedata r:id="rId58" o:title=""/>
            <o:lock v:ext="edit" grouping="f" rotation="f" text="f" aspectratio="t"/>
            <w10:wrap type="none"/>
            <w10:anchorlock/>
          </v:shape>
          <o:OLEObject Type="Embed" ProgID="Equation.DSMT4" ShapeID="_x0000_i1032" DrawAspect="Content" ObjectID="_1468075732" r:id="rId57">
            <o:LockedField>false</o:LockedField>
          </o:OLEObject>
        </w:object>
      </w:r>
    </w:p>
    <w:p>
      <w:pPr>
        <w:widowControl w:val="0"/>
        <w:spacing w:line="360" w:lineRule="auto"/>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式中：</w:t>
      </w:r>
      <w:r>
        <w:rPr>
          <w:rFonts w:ascii="Times New Roman" w:hAnsi="Times New Roman" w:eastAsia="宋体" w:cs="Times New Roman"/>
          <w:i/>
          <w:color w:val="auto"/>
          <w:kern w:val="2"/>
          <w:sz w:val="24"/>
          <w:szCs w:val="20"/>
          <w:lang w:val="en-US" w:eastAsia="zh-CN" w:bidi="ar-SA"/>
        </w:rPr>
        <w:t>L</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iCs/>
          <w:color w:val="auto"/>
          <w:kern w:val="2"/>
          <w:sz w:val="24"/>
          <w:szCs w:val="20"/>
          <w:lang w:val="en-US" w:eastAsia="zh-CN" w:bidi="ar-SA"/>
        </w:rPr>
        <w:t>叠加后总的声压</w:t>
      </w:r>
      <w:r>
        <w:rPr>
          <w:rFonts w:hint="eastAsia" w:ascii="Times New Roman" w:hAnsi="Times New Roman" w:eastAsia="宋体" w:cs="Times New Roman"/>
          <w:color w:val="auto"/>
          <w:kern w:val="2"/>
          <w:sz w:val="24"/>
          <w:szCs w:val="20"/>
          <w:lang w:val="en-US" w:eastAsia="zh-CN" w:bidi="ar-SA"/>
        </w:rPr>
        <w:t>级</w:t>
      </w:r>
      <w:r>
        <w:rPr>
          <w:rFonts w:ascii="Times New Roman" w:hAnsi="Times New Roman" w:eastAsia="宋体" w:cs="Times New Roman"/>
          <w:color w:val="auto"/>
          <w:kern w:val="2"/>
          <w:sz w:val="24"/>
          <w:szCs w:val="20"/>
          <w:lang w:val="en-US" w:eastAsia="zh-CN" w:bidi="ar-SA"/>
        </w:rPr>
        <w:t>，dB（A）；</w:t>
      </w:r>
    </w:p>
    <w:p>
      <w:pPr>
        <w:widowControl w:val="0"/>
        <w:spacing w:line="360" w:lineRule="auto"/>
        <w:ind w:firstLine="1200" w:firstLineChars="5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i/>
          <w:color w:val="auto"/>
          <w:kern w:val="2"/>
          <w:sz w:val="24"/>
          <w:szCs w:val="20"/>
          <w:lang w:val="en-US" w:eastAsia="zh-CN" w:bidi="ar-SA"/>
        </w:rPr>
        <w:t>Li</w:t>
      </w:r>
      <w:r>
        <w:rPr>
          <w:rFonts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各点</w:t>
      </w:r>
      <w:r>
        <w:rPr>
          <w:rFonts w:ascii="Times New Roman" w:hAnsi="Times New Roman" w:eastAsia="宋体" w:cs="Times New Roman"/>
          <w:color w:val="auto"/>
          <w:kern w:val="2"/>
          <w:sz w:val="24"/>
          <w:szCs w:val="20"/>
          <w:lang w:val="en-US" w:eastAsia="zh-CN" w:bidi="ar-SA"/>
        </w:rPr>
        <w:t>声源的</w:t>
      </w:r>
      <w:r>
        <w:rPr>
          <w:rFonts w:hint="eastAsia" w:ascii="Times New Roman" w:hAnsi="Times New Roman" w:eastAsia="宋体" w:cs="Times New Roman"/>
          <w:color w:val="auto"/>
          <w:kern w:val="2"/>
          <w:sz w:val="24"/>
          <w:szCs w:val="20"/>
          <w:lang w:val="en-US" w:eastAsia="zh-CN" w:bidi="ar-SA"/>
        </w:rPr>
        <w:t>声压级</w:t>
      </w:r>
      <w:r>
        <w:rPr>
          <w:rFonts w:ascii="Times New Roman" w:hAnsi="Times New Roman" w:eastAsia="宋体" w:cs="Times New Roman"/>
          <w:color w:val="auto"/>
          <w:kern w:val="2"/>
          <w:sz w:val="24"/>
          <w:szCs w:val="20"/>
          <w:lang w:val="en-US" w:eastAsia="zh-CN" w:bidi="ar-SA"/>
        </w:rPr>
        <w:t>，dB（A）；</w:t>
      </w:r>
    </w:p>
    <w:p>
      <w:pPr>
        <w:widowControl w:val="0"/>
        <w:spacing w:line="360" w:lineRule="auto"/>
        <w:ind w:firstLine="1200" w:firstLineChars="5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i/>
          <w:color w:val="auto"/>
          <w:kern w:val="2"/>
          <w:sz w:val="24"/>
          <w:szCs w:val="20"/>
          <w:lang w:val="en-US" w:eastAsia="zh-CN" w:bidi="ar-SA"/>
        </w:rPr>
        <w:t>n</w:t>
      </w:r>
      <w:r>
        <w:rPr>
          <w:rFonts w:ascii="Times New Roman" w:hAnsi="Times New Roman" w:eastAsia="宋体" w:cs="Times New Roman"/>
          <w:color w:val="auto"/>
          <w:kern w:val="2"/>
          <w:sz w:val="24"/>
          <w:szCs w:val="20"/>
          <w:lang w:val="en-US" w:eastAsia="zh-CN" w:bidi="ar-SA"/>
        </w:rPr>
        <w:t>——点声源</w:t>
      </w:r>
      <w:r>
        <w:rPr>
          <w:rFonts w:hint="eastAsia" w:ascii="Times New Roman" w:hAnsi="Times New Roman" w:eastAsia="宋体" w:cs="Times New Roman"/>
          <w:color w:val="auto"/>
          <w:kern w:val="2"/>
          <w:sz w:val="24"/>
          <w:szCs w:val="20"/>
          <w:lang w:val="en-US" w:eastAsia="zh-CN" w:bidi="ar-SA"/>
        </w:rPr>
        <w:t>个</w:t>
      </w:r>
      <w:r>
        <w:rPr>
          <w:rFonts w:ascii="Times New Roman" w:hAnsi="Times New Roman" w:eastAsia="宋体" w:cs="Times New Roman"/>
          <w:color w:val="auto"/>
          <w:kern w:val="2"/>
          <w:sz w:val="24"/>
          <w:szCs w:val="20"/>
          <w:lang w:val="en-US" w:eastAsia="zh-CN" w:bidi="ar-SA"/>
        </w:rPr>
        <w:t>数。</w:t>
      </w:r>
    </w:p>
    <w:p>
      <w:pPr>
        <w:pStyle w:val="8"/>
        <w:rPr>
          <w:rFonts w:cs="Times New Roman"/>
          <w:color w:val="auto"/>
        </w:rPr>
      </w:pPr>
      <w:r>
        <w:rPr>
          <w:rFonts w:cs="Times New Roman"/>
          <w:color w:val="auto"/>
        </w:rPr>
        <w:t>声环境影响预测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由于污水处理设施辅助动力设备如提升泵、污泥泵等均为地埋式，且在水下运行，通过地面隔声之后噪声影响甚微；因此本次评价仅预测应急柴油发电机噪声、水泵噪声和猪只叫声叠加后的厂界噪声贡献值，其中水泵和发电机位于生活区，分别设置于专用机房内，机房为砖混密闭结构。为便于了解场界噪声达标排放，本次评价场界噪声预测以声源分布区域场界为预测点，选取4个代表性预测点进行场界噪声预测。具体预测结果见下表</w:t>
      </w:r>
      <w:r>
        <w:rPr>
          <w:rFonts w:ascii="Times New Roman" w:hAnsi="Times New Roman" w:eastAsia="宋体" w:cs="Times New Roman"/>
          <w:color w:val="auto"/>
          <w:sz w:val="24"/>
          <w:szCs w:val="24"/>
        </w:rPr>
        <w:t>5.2-</w:t>
      </w:r>
      <w:r>
        <w:rPr>
          <w:rFonts w:hint="eastAsia" w:ascii="Times New Roman" w:hAnsi="Times New Roman" w:eastAsia="宋体" w:cs="Times New Roman"/>
          <w:color w:val="auto"/>
          <w:sz w:val="24"/>
          <w:szCs w:val="24"/>
          <w:lang w:val="en-US" w:eastAsia="zh-CN"/>
        </w:rPr>
        <w:t>22</w:t>
      </w:r>
      <w:r>
        <w:rPr>
          <w:rFonts w:hint="eastAsia" w:ascii="Times New Roman" w:hAnsi="Times New Roman" w:eastAsia="宋体" w:cs="Times New Roman"/>
          <w:color w:val="auto"/>
          <w:sz w:val="24"/>
          <w:szCs w:val="24"/>
        </w:rPr>
        <w:t>。</w:t>
      </w:r>
    </w:p>
    <w:p>
      <w:pPr>
        <w:widowControl w:val="0"/>
        <w:numPr>
          <w:ilvl w:val="0"/>
          <w:numId w:val="33"/>
        </w:numPr>
        <w:spacing w:after="0" w:afterLines="0" w:line="360" w:lineRule="auto"/>
        <w:ind w:left="0" w:leftChars="0" w:firstLine="0" w:firstLineChars="0"/>
        <w:jc w:val="center"/>
        <w:rPr>
          <w:rFonts w:hint="eastAsia" w:ascii="Times New Roman" w:hAnsi="Times New Roman" w:eastAsia="宋体" w:cs="Times New Roman"/>
          <w:b/>
          <w:bCs w:val="0"/>
          <w:color w:val="auto"/>
          <w:lang w:val="en-US" w:eastAsia="zh-CN"/>
        </w:rPr>
      </w:pPr>
      <w:r>
        <w:rPr>
          <w:rFonts w:hint="eastAsia" w:ascii="Times New Roman" w:hAnsi="Times New Roman" w:eastAsia="宋体" w:cs="Times New Roman"/>
          <w:b/>
          <w:bCs w:val="0"/>
          <w:color w:val="auto"/>
          <w:lang w:val="en-US" w:eastAsia="zh-CN"/>
        </w:rPr>
        <w:t xml:space="preserve"> 项目厂界噪声贡献值预测结果</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900"/>
        <w:gridCol w:w="1359"/>
        <w:gridCol w:w="2131"/>
        <w:gridCol w:w="213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701" w:type="pct"/>
            <w:vMerge w:val="restar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预测点位</w:t>
            </w:r>
          </w:p>
        </w:tc>
        <w:tc>
          <w:tcPr>
            <w:tcW w:w="797" w:type="pct"/>
            <w:vMerge w:val="restar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贡献值</w:t>
            </w:r>
          </w:p>
        </w:tc>
        <w:tc>
          <w:tcPr>
            <w:tcW w:w="2500" w:type="pct"/>
            <w:gridSpan w:val="2"/>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标准</w:t>
            </w:r>
            <w:r>
              <w:rPr>
                <w:rFonts w:hint="default" w:ascii="Times New Roman" w:hAnsi="Times New Roman" w:eastAsia="宋体" w:cs="Times New Roman"/>
                <w:color w:val="auto"/>
                <w:sz w:val="21"/>
                <w:szCs w:val="21"/>
                <w:vertAlign w:val="baseline"/>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701" w:type="pct"/>
            <w:vMerge w:val="continue"/>
            <w:tcBorders>
              <w:tl2br w:val="nil"/>
              <w:tr2bl w:val="nil"/>
            </w:tcBorders>
            <w:vAlign w:val="center"/>
          </w:tcPr>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color w:val="auto"/>
                <w:sz w:val="21"/>
                <w:szCs w:val="21"/>
                <w:vertAlign w:val="baseline"/>
              </w:rPr>
            </w:pPr>
          </w:p>
        </w:tc>
        <w:tc>
          <w:tcPr>
            <w:tcW w:w="797" w:type="pct"/>
            <w:vMerge w:val="continue"/>
            <w:tcBorders>
              <w:tl2br w:val="nil"/>
              <w:tr2bl w:val="nil"/>
            </w:tcBorders>
            <w:vAlign w:val="center"/>
          </w:tcPr>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color w:val="auto"/>
                <w:sz w:val="21"/>
                <w:szCs w:val="21"/>
                <w:vertAlign w:val="baseline"/>
              </w:rPr>
            </w:pPr>
          </w:p>
        </w:tc>
        <w:tc>
          <w:tcPr>
            <w:tcW w:w="1250"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昼间</w:t>
            </w:r>
          </w:p>
        </w:tc>
        <w:tc>
          <w:tcPr>
            <w:tcW w:w="1250"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70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1#本项目厂界东面外1m</w:t>
            </w:r>
          </w:p>
        </w:tc>
        <w:tc>
          <w:tcPr>
            <w:tcW w:w="797"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24.27</w:t>
            </w:r>
          </w:p>
        </w:tc>
        <w:tc>
          <w:tcPr>
            <w:tcW w:w="1250"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w:t>
            </w:r>
          </w:p>
        </w:tc>
        <w:tc>
          <w:tcPr>
            <w:tcW w:w="1250"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70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2#本项目厂界南面外1m</w:t>
            </w:r>
          </w:p>
        </w:tc>
        <w:tc>
          <w:tcPr>
            <w:tcW w:w="797"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46.93</w:t>
            </w:r>
          </w:p>
        </w:tc>
        <w:tc>
          <w:tcPr>
            <w:tcW w:w="1250" w:type="pct"/>
            <w:tcBorders>
              <w:tl2br w:val="nil"/>
              <w:tr2bl w:val="nil"/>
            </w:tcBorders>
            <w:vAlign w:val="center"/>
          </w:tcPr>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60</w:t>
            </w:r>
          </w:p>
        </w:tc>
        <w:tc>
          <w:tcPr>
            <w:tcW w:w="1250" w:type="pct"/>
            <w:tcBorders>
              <w:tl2br w:val="nil"/>
              <w:tr2bl w:val="nil"/>
            </w:tcBorders>
            <w:vAlign w:val="center"/>
          </w:tcPr>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70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3#本项目厂界西面外1m</w:t>
            </w:r>
          </w:p>
        </w:tc>
        <w:tc>
          <w:tcPr>
            <w:tcW w:w="797"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21.83</w:t>
            </w:r>
          </w:p>
        </w:tc>
        <w:tc>
          <w:tcPr>
            <w:tcW w:w="1250" w:type="pct"/>
            <w:tcBorders>
              <w:tl2br w:val="nil"/>
              <w:tr2bl w:val="nil"/>
            </w:tcBorders>
            <w:vAlign w:val="center"/>
          </w:tcPr>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60</w:t>
            </w:r>
          </w:p>
        </w:tc>
        <w:tc>
          <w:tcPr>
            <w:tcW w:w="1250" w:type="pct"/>
            <w:tcBorders>
              <w:tl2br w:val="nil"/>
              <w:tr2bl w:val="nil"/>
            </w:tcBorders>
            <w:vAlign w:val="center"/>
          </w:tcPr>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70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4#本项目厂界北面外1m</w:t>
            </w:r>
          </w:p>
        </w:tc>
        <w:tc>
          <w:tcPr>
            <w:tcW w:w="797"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23.81</w:t>
            </w:r>
          </w:p>
        </w:tc>
        <w:tc>
          <w:tcPr>
            <w:tcW w:w="1250" w:type="pct"/>
            <w:tcBorders>
              <w:tl2br w:val="nil"/>
              <w:tr2bl w:val="nil"/>
            </w:tcBorders>
            <w:vAlign w:val="center"/>
          </w:tcPr>
          <w:p>
            <w:pPr>
              <w:pStyle w:val="2"/>
              <w:keepNext w:val="0"/>
              <w:keepLines w:val="0"/>
              <w:suppressLineNumbers w:val="0"/>
              <w:spacing w:before="0" w:beforeAutospacing="0" w:after="0" w:afterAutospacing="0"/>
              <w:ind w:left="420" w:leftChars="200" w:right="0" w:firstLine="420" w:firstLineChars="20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60</w:t>
            </w:r>
          </w:p>
        </w:tc>
        <w:tc>
          <w:tcPr>
            <w:tcW w:w="1250" w:type="pct"/>
            <w:tcBorders>
              <w:tl2br w:val="nil"/>
              <w:tr2bl w:val="nil"/>
            </w:tcBorders>
            <w:vAlign w:val="center"/>
          </w:tcPr>
          <w:p>
            <w:pPr>
              <w:pStyle w:val="2"/>
              <w:keepNext w:val="0"/>
              <w:keepLines w:val="0"/>
              <w:suppressLineNumbers w:val="0"/>
              <w:spacing w:before="0" w:beforeAutospacing="0" w:after="0" w:afterAutospacing="0"/>
              <w:ind w:left="420" w:leftChars="200" w:right="0" w:firstLine="420" w:firstLineChars="20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50</w:t>
            </w:r>
          </w:p>
        </w:tc>
      </w:tr>
    </w:tbl>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由上表可知，营运期厂界昼、夜间噪声贡献值均能满足《工业企业厂界环境噪声排放标准》（GB12348-2008）中的2类标准限值。</w:t>
      </w:r>
    </w:p>
    <w:p>
      <w:pPr>
        <w:pStyle w:val="2"/>
        <w:rPr>
          <w:rFonts w:hint="eastAsia"/>
          <w:color w:val="auto"/>
        </w:rPr>
      </w:pPr>
      <w:r>
        <w:rPr>
          <w:rFonts w:hint="eastAsia"/>
          <w:color w:val="auto"/>
        </w:rPr>
        <w:t>项目运营期间等声级线图如下：</w:t>
      </w:r>
    </w:p>
    <w:p>
      <w:pPr>
        <w:pStyle w:val="110"/>
        <w:ind w:left="0" w:leftChars="0" w:firstLine="0" w:firstLineChars="0"/>
        <w:rPr>
          <w:rFonts w:hint="eastAsia" w:ascii="Times New Roman" w:hAnsi="Times New Roman" w:eastAsia="宋体" w:cs="Times New Roman"/>
          <w:color w:val="auto"/>
          <w:sz w:val="24"/>
          <w:szCs w:val="24"/>
        </w:rPr>
      </w:pPr>
      <w:r>
        <w:rPr>
          <w:color w:val="auto"/>
        </w:rPr>
        <w:drawing>
          <wp:inline distT="0" distB="0" distL="114300" distR="114300">
            <wp:extent cx="5271135" cy="4751705"/>
            <wp:effectExtent l="0" t="0" r="5715"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9"/>
                    <a:stretch>
                      <a:fillRect/>
                    </a:stretch>
                  </pic:blipFill>
                  <pic:spPr>
                    <a:xfrm>
                      <a:off x="0" y="0"/>
                      <a:ext cx="5271135" cy="4751705"/>
                    </a:xfrm>
                    <a:prstGeom prst="rect">
                      <a:avLst/>
                    </a:prstGeom>
                    <a:noFill/>
                    <a:ln>
                      <a:noFill/>
                    </a:ln>
                  </pic:spPr>
                </pic:pic>
              </a:graphicData>
            </a:graphic>
          </wp:inline>
        </w:drawing>
      </w:r>
    </w:p>
    <w:p>
      <w:pPr>
        <w:pStyle w:val="46"/>
        <w:numPr>
          <w:ilvl w:val="0"/>
          <w:numId w:val="34"/>
        </w:numPr>
        <w:adjustRightInd w:val="0"/>
        <w:snapToGrid w:val="0"/>
        <w:spacing w:line="360" w:lineRule="auto"/>
        <w:ind w:left="425" w:leftChars="0" w:hanging="425" w:firstLineChars="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项目噪声等声级线图</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根据预测结果可知，项目在采取上述隔声、消声、减振等降噪措施，再通过建筑隔声、距离衰减后，厂界噪声贡献值可满足《工业企业厂界环境噪声排放标准》（</w:t>
      </w:r>
      <w:r>
        <w:rPr>
          <w:rFonts w:ascii="Times New Roman" w:hAnsi="Times New Roman" w:eastAsia="宋体" w:cs="Times New Roman"/>
          <w:color w:val="auto"/>
          <w:sz w:val="24"/>
          <w:szCs w:val="24"/>
        </w:rPr>
        <w:t>GB12348-2008</w:t>
      </w:r>
      <w:r>
        <w:rPr>
          <w:rFonts w:hint="eastAsia" w:ascii="Times New Roman" w:hAnsi="Times New Roman" w:eastAsia="宋体" w:cs="Times New Roman"/>
          <w:color w:val="auto"/>
          <w:sz w:val="24"/>
          <w:szCs w:val="24"/>
        </w:rPr>
        <w:t>）中的</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类标准限值。项目厂区200m范围内</w:t>
      </w:r>
      <w:r>
        <w:rPr>
          <w:rFonts w:hint="eastAsia" w:ascii="Times New Roman" w:hAnsi="Times New Roman" w:eastAsia="宋体" w:cs="Times New Roman"/>
          <w:color w:val="auto"/>
          <w:sz w:val="24"/>
          <w:szCs w:val="24"/>
          <w:lang w:eastAsia="zh-CN"/>
        </w:rPr>
        <w:t>无敏感点</w:t>
      </w:r>
      <w:r>
        <w:rPr>
          <w:rFonts w:hint="eastAsia" w:ascii="Times New Roman" w:hAnsi="Times New Roman" w:eastAsia="宋体" w:cs="Times New Roman"/>
          <w:color w:val="auto"/>
          <w:sz w:val="24"/>
          <w:szCs w:val="24"/>
        </w:rPr>
        <w:t>分布，敏感点的昼间、夜间噪声影响值均满足《声环境质量标准》（</w:t>
      </w:r>
      <w:r>
        <w:rPr>
          <w:rFonts w:ascii="Times New Roman" w:hAnsi="Times New Roman" w:eastAsia="宋体" w:cs="Times New Roman"/>
          <w:color w:val="auto"/>
          <w:sz w:val="24"/>
          <w:szCs w:val="24"/>
        </w:rPr>
        <w:t>GB3096-2008</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类标准要求，项目运营期间的噪声对</w:t>
      </w:r>
      <w:r>
        <w:rPr>
          <w:rFonts w:hint="eastAsia" w:ascii="Times New Roman" w:hAnsi="Times New Roman" w:eastAsia="宋体" w:cs="Times New Roman"/>
          <w:color w:val="auto"/>
          <w:sz w:val="24"/>
          <w:szCs w:val="24"/>
          <w:lang w:eastAsia="zh-CN"/>
        </w:rPr>
        <w:t>外环境</w:t>
      </w:r>
      <w:r>
        <w:rPr>
          <w:rFonts w:hint="eastAsia" w:ascii="Times New Roman" w:hAnsi="Times New Roman" w:eastAsia="宋体" w:cs="Times New Roman"/>
          <w:color w:val="auto"/>
          <w:sz w:val="24"/>
          <w:szCs w:val="24"/>
        </w:rPr>
        <w:t>的影响较小。</w:t>
      </w:r>
    </w:p>
    <w:p>
      <w:pPr>
        <w:spacing w:line="360" w:lineRule="auto"/>
        <w:ind w:firstLine="480" w:firstLineChars="200"/>
        <w:rPr>
          <w:color w:val="auto"/>
        </w:rPr>
      </w:pPr>
      <w:r>
        <w:rPr>
          <w:rFonts w:hint="eastAsia" w:ascii="Times New Roman" w:hAnsi="Times New Roman" w:eastAsia="宋体" w:cs="Times New Roman"/>
          <w:color w:val="auto"/>
          <w:sz w:val="24"/>
          <w:szCs w:val="24"/>
        </w:rPr>
        <w:t>综上所述，本项目投产运营后厂界噪声排放满足《工业企业厂界环境噪声排放标准》（GB12348-2008）中2类标准限值，项目噪声达标排放；噪声满足《声环境质量标准》（GB3096-2008）2类标准的要求，</w:t>
      </w:r>
      <w:r>
        <w:rPr>
          <w:rFonts w:ascii="Times New Roman" w:hAnsi="Times New Roman" w:eastAsia="宋体" w:cs="Times New Roman"/>
          <w:color w:val="auto"/>
          <w:sz w:val="24"/>
          <w:szCs w:val="24"/>
        </w:rPr>
        <w:t>不会改变区域声学环境质量。</w:t>
      </w:r>
    </w:p>
    <w:p>
      <w:pPr>
        <w:pStyle w:val="7"/>
        <w:spacing w:before="0" w:after="0" w:line="360" w:lineRule="auto"/>
        <w:ind w:left="0" w:firstLine="0"/>
        <w:rPr>
          <w:rFonts w:cs="Times New Roman"/>
          <w:color w:val="auto"/>
        </w:rPr>
      </w:pPr>
      <w:bookmarkStart w:id="240" w:name="_Toc760"/>
      <w:r>
        <w:rPr>
          <w:rFonts w:cs="Times New Roman"/>
          <w:color w:val="auto"/>
        </w:rPr>
        <w:t>固体废物对环境的影响分析</w:t>
      </w:r>
      <w:bookmarkEnd w:id="240"/>
    </w:p>
    <w:p>
      <w:pPr>
        <w:pStyle w:val="8"/>
        <w:rPr>
          <w:rFonts w:cs="Times New Roman"/>
          <w:color w:val="auto"/>
          <w:lang w:val="en-US" w:eastAsia="zh-CN"/>
        </w:rPr>
      </w:pPr>
      <w:r>
        <w:rPr>
          <w:rFonts w:cs="Times New Roman"/>
          <w:color w:val="auto"/>
          <w:lang w:val="en-US" w:eastAsia="zh-CN"/>
        </w:rPr>
        <w:t>固体废弃物类别及产生量</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根据工程分析可知，项目营运期产生的固体废物包括</w:t>
      </w:r>
      <w:r>
        <w:rPr>
          <w:rFonts w:ascii="Times New Roman" w:hAnsi="Times New Roman" w:eastAsia="宋体" w:cs="Times New Roman"/>
          <w:color w:val="auto"/>
          <w:sz w:val="24"/>
          <w:szCs w:val="24"/>
        </w:rPr>
        <w:t>猪粪、污水处理设施污泥及沼渣、病死猪及胎盘、畜禽医疗废物、生活垃圾、废脱硫剂和废包装材料</w:t>
      </w:r>
      <w:r>
        <w:rPr>
          <w:rFonts w:hint="eastAsia" w:ascii="Times New Roman" w:hAnsi="Times New Roman" w:eastAsia="宋体" w:cs="Times New Roman"/>
          <w:color w:val="auto"/>
          <w:sz w:val="24"/>
          <w:szCs w:val="24"/>
        </w:rPr>
        <w:t>等。项目营运期固体废物产生情况及处置措施见表5.2-</w:t>
      </w:r>
      <w:r>
        <w:rPr>
          <w:rFonts w:hint="eastAsia" w:ascii="Times New Roman" w:hAnsi="Times New Roman" w:eastAsia="宋体" w:cs="Times New Roman"/>
          <w:color w:val="auto"/>
          <w:sz w:val="24"/>
          <w:szCs w:val="24"/>
          <w:lang w:val="en-US" w:eastAsia="zh-CN"/>
        </w:rPr>
        <w:t>23</w:t>
      </w:r>
      <w:r>
        <w:rPr>
          <w:rFonts w:hint="eastAsia" w:ascii="Times New Roman" w:hAnsi="Times New Roman" w:eastAsia="宋体" w:cs="Times New Roman"/>
          <w:color w:val="auto"/>
          <w:sz w:val="24"/>
          <w:szCs w:val="24"/>
        </w:rPr>
        <w:t>。</w:t>
      </w:r>
    </w:p>
    <w:p>
      <w:pPr>
        <w:widowControl w:val="0"/>
        <w:numPr>
          <w:ilvl w:val="0"/>
          <w:numId w:val="33"/>
        </w:numPr>
        <w:spacing w:after="0" w:afterLines="0" w:line="360" w:lineRule="auto"/>
        <w:ind w:left="0" w:leftChars="0" w:firstLine="0" w:firstLineChars="0"/>
        <w:jc w:val="center"/>
        <w:rPr>
          <w:rFonts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bCs w:val="0"/>
          <w:color w:val="auto"/>
          <w:lang w:val="en-US" w:eastAsia="zh-CN"/>
        </w:rPr>
        <w:t xml:space="preserve">  </w:t>
      </w:r>
      <w:r>
        <w:rPr>
          <w:rFonts w:ascii="Times New Roman" w:hAnsi="Times New Roman" w:eastAsia="宋体" w:cs="Times New Roman"/>
          <w:b/>
          <w:color w:val="auto"/>
          <w:kern w:val="2"/>
          <w:sz w:val="21"/>
          <w:szCs w:val="24"/>
          <w:lang w:val="en-US" w:eastAsia="zh-CN" w:bidi="ar-SA"/>
        </w:rPr>
        <w:t>项目固体废物产生情况及处置措施一览表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6"/>
        <w:gridCol w:w="1200"/>
        <w:gridCol w:w="1342"/>
        <w:gridCol w:w="1205"/>
        <w:gridCol w:w="1413"/>
        <w:gridCol w:w="271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序号</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固废名称</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产生量（t/a）</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来源</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固废类别</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处置方式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猪粪</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18549.3</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猪舍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收集堆肥发酵后作为有机肥外售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格栅渣</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98.55</w:t>
            </w:r>
          </w:p>
        </w:tc>
        <w:tc>
          <w:tcPr>
            <w:tcW w:w="707"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污水处理站</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收集堆肥发酵后作为有机肥外售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固液分离机渣物</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427.17</w:t>
            </w:r>
          </w:p>
        </w:tc>
        <w:tc>
          <w:tcPr>
            <w:tcW w:w="707"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沼渣及污泥</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6.33</w:t>
            </w:r>
          </w:p>
        </w:tc>
        <w:tc>
          <w:tcPr>
            <w:tcW w:w="707"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病死猪及胎盘</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787.69</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猪舍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采用</w:t>
            </w:r>
            <w:r>
              <w:rPr>
                <w:rFonts w:hint="eastAsia" w:ascii="Times New Roman" w:hAnsi="Times New Roman" w:eastAsia="宋体" w:cs="Times New Roman"/>
                <w:color w:val="auto"/>
                <w:kern w:val="2"/>
                <w:sz w:val="21"/>
                <w:szCs w:val="21"/>
                <w:lang w:val="en-US" w:eastAsia="zh-CN" w:bidi="ar-SA"/>
              </w:rPr>
              <w:t>无害化降解处理机</w:t>
            </w:r>
            <w:r>
              <w:rPr>
                <w:rFonts w:hint="default" w:ascii="Times New Roman" w:hAnsi="Times New Roman" w:eastAsia="宋体" w:cs="Times New Roman"/>
                <w:color w:val="auto"/>
                <w:kern w:val="2"/>
                <w:sz w:val="21"/>
                <w:szCs w:val="21"/>
                <w:lang w:val="en-US" w:eastAsia="zh-CN" w:bidi="ar-SA"/>
              </w:rPr>
              <w:t>处理，处理后运至</w:t>
            </w:r>
            <w:r>
              <w:rPr>
                <w:rFonts w:hint="eastAsia" w:ascii="Times New Roman" w:hAnsi="Times New Roman" w:eastAsia="宋体" w:cs="Times New Roman"/>
                <w:color w:val="auto"/>
                <w:kern w:val="2"/>
                <w:sz w:val="21"/>
                <w:szCs w:val="21"/>
                <w:lang w:val="en-US" w:eastAsia="zh-CN" w:bidi="ar-SA"/>
              </w:rPr>
              <w:t>堆肥车间</w:t>
            </w:r>
            <w:r>
              <w:rPr>
                <w:rFonts w:hint="default" w:ascii="Times New Roman" w:hAnsi="Times New Roman" w:eastAsia="宋体" w:cs="Times New Roman"/>
                <w:color w:val="auto"/>
                <w:kern w:val="2"/>
                <w:sz w:val="21"/>
                <w:szCs w:val="21"/>
                <w:lang w:val="en-US" w:eastAsia="zh-CN" w:bidi="ar-SA"/>
              </w:rPr>
              <w:t>堆肥发酵后作为有机肥外售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畜禽医疗废物</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猪舍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危险废物HW01</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暂存于危险废物暂存间，交由危险废物处置单位进行处置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生活垃圾</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21.9</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生活区</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袋装收集后暂存于生活垃圾暂存间，及时运往垃圾中转站，由环卫部门统一清运处置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废脱硫剂</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沼气净化间</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集中收集后交由原厂家回收再生利用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废包装材料 </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生产区</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一般固体废物</w:t>
            </w:r>
          </w:p>
        </w:tc>
        <w:tc>
          <w:tcPr>
            <w:tcW w:w="159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统一收集后送至废品回收站收购</w:t>
            </w:r>
          </w:p>
        </w:tc>
      </w:tr>
    </w:tbl>
    <w:p>
      <w:pPr>
        <w:pStyle w:val="8"/>
        <w:rPr>
          <w:rFonts w:cs="Times New Roman"/>
          <w:color w:val="auto"/>
          <w:lang w:val="en-US" w:eastAsia="zh-CN"/>
        </w:rPr>
      </w:pPr>
      <w:r>
        <w:rPr>
          <w:rFonts w:cs="Times New Roman"/>
          <w:color w:val="auto"/>
          <w:lang w:val="en-US" w:eastAsia="zh-CN"/>
        </w:rPr>
        <w:t>固体废物环境影响分析</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1、猪粪影响分析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本项目对产生的猪粪便按照《畜禽养殖业污染防治技术规范》中的有关规定，猪粪经</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处理后作为有机肥外售。</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因此，本项目建成营运后，实现了猪粪的资源化利用，不会产生二次污染，不会对周围环境产生大的影响。</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w:t>
      </w:r>
      <w:r>
        <w:rPr>
          <w:rFonts w:ascii="Times New Roman" w:hAnsi="Times New Roman" w:eastAsia="宋体" w:cs="Times New Roman"/>
          <w:b/>
          <w:color w:val="auto"/>
          <w:sz w:val="24"/>
          <w:szCs w:val="24"/>
        </w:rPr>
        <w:t>污水处理设施污泥及沼渣影响分析</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污水处理设施产生的污泥及沼渣经收集脱水后与猪粪一并堆肥发酵后作为有机肥外售。</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3、病死猪及胎盘影响分析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eastAsia="zh-CN"/>
        </w:rPr>
        <w:t>无害化降解处理机</w:t>
      </w:r>
      <w:r>
        <w:rPr>
          <w:rFonts w:ascii="Times New Roman" w:hAnsi="Times New Roman" w:eastAsia="宋体" w:cs="Times New Roman"/>
          <w:color w:val="auto"/>
          <w:sz w:val="24"/>
          <w:szCs w:val="24"/>
        </w:rPr>
        <w:t>处理，处理过程无废水产生，间歇运行。</w:t>
      </w:r>
      <w:r>
        <w:rPr>
          <w:rFonts w:hint="eastAsia" w:ascii="Times New Roman" w:hAnsi="Times New Roman" w:eastAsia="宋体" w:cs="Times New Roman"/>
          <w:color w:val="auto"/>
          <w:sz w:val="24"/>
          <w:szCs w:val="24"/>
        </w:rPr>
        <w:t>采用高温生物发酵技术原理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利用设备产生的连续24h的高温(100PC)环境实现灭活病原体，利用芽孢杆菌分解的脂肪酶、蛋白质酶降解有机物的特性，实现动物尸体无害化降解处理。同时该设备综合分切、绞碎、发酵、杀菌、干燥等多个同步环节，把畜禽尸体等废弃物快速降解处理为有机肥原料。</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在采取以上措施后，病死猪及胎盘暂存及处理过程中，产生的固体废物无二次污染，对环境影响较小。</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4、畜禽医疗废物影响分析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猪只防疫、消毒过程中会产生废疫苗瓶、废消毒剂瓶</w:t>
      </w:r>
      <w:r>
        <w:rPr>
          <w:rFonts w:ascii="Times New Roman" w:hAnsi="Times New Roman" w:eastAsia="宋体" w:cs="Times New Roman"/>
          <w:color w:val="auto"/>
          <w:sz w:val="24"/>
          <w:szCs w:val="24"/>
          <w:lang w:val="zh-CN"/>
        </w:rPr>
        <w:t>、药品的包装及注射用针头等医疗废物，</w:t>
      </w:r>
      <w:r>
        <w:rPr>
          <w:rFonts w:hint="eastAsia" w:ascii="Times New Roman" w:hAnsi="Times New Roman" w:eastAsia="宋体" w:cs="Times New Roman"/>
          <w:color w:val="auto"/>
          <w:sz w:val="24"/>
          <w:szCs w:val="24"/>
        </w:rPr>
        <w:t>场区内应设置危险废物暂存间，临时贮存（以密封罐、桶单独贮存），定期交由</w:t>
      </w:r>
      <w:r>
        <w:rPr>
          <w:rFonts w:ascii="Times New Roman" w:hAnsi="Times New Roman" w:eastAsia="宋体" w:cs="Times New Roman"/>
          <w:color w:val="auto"/>
          <w:sz w:val="24"/>
          <w:szCs w:val="24"/>
        </w:rPr>
        <w:t>具有相应资质类别的危险废物处置单位处置</w:t>
      </w:r>
      <w:r>
        <w:rPr>
          <w:rFonts w:hint="eastAsia" w:ascii="Times New Roman" w:hAnsi="Times New Roman" w:eastAsia="宋体" w:cs="Times New Roman"/>
          <w:color w:val="auto"/>
          <w:sz w:val="24"/>
          <w:szCs w:val="24"/>
        </w:rPr>
        <w:t>，不会对环境产生不利影响。</w:t>
      </w:r>
    </w:p>
    <w:p>
      <w:pPr>
        <w:spacing w:line="360" w:lineRule="auto"/>
        <w:ind w:firstLine="482" w:firstLineChars="200"/>
        <w:rPr>
          <w:rFonts w:hint="eastAsia" w:ascii="Times New Roman" w:hAnsi="Times New Roman" w:eastAsia="宋体" w:cs="Times New Roman"/>
          <w:b/>
          <w:color w:val="auto"/>
          <w:sz w:val="24"/>
          <w:szCs w:val="24"/>
        </w:rPr>
      </w:pPr>
      <w:r>
        <w:rPr>
          <w:rFonts w:ascii="Times New Roman" w:hAnsi="Times New Roman" w:eastAsia="宋体" w:cs="Times New Roman"/>
          <w:b/>
          <w:color w:val="auto"/>
          <w:sz w:val="24"/>
          <w:szCs w:val="24"/>
        </w:rPr>
        <w:t>5、</w:t>
      </w:r>
      <w:r>
        <w:rPr>
          <w:rFonts w:hint="eastAsia" w:ascii="Times New Roman" w:hAnsi="Times New Roman" w:eastAsia="宋体" w:cs="Times New Roman"/>
          <w:b/>
          <w:color w:val="auto"/>
          <w:sz w:val="24"/>
          <w:szCs w:val="24"/>
        </w:rPr>
        <w:t>生活垃圾影响分析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本项目产生的生活垃圾主要是厂区员工日常生活中抛弃的各类废物，如废塑料、废纸等，年产生量为</w:t>
      </w:r>
      <w:r>
        <w:rPr>
          <w:rFonts w:ascii="Times New Roman" w:hAnsi="Times New Roman" w:eastAsia="宋体" w:cs="Times New Roman"/>
          <w:color w:val="auto"/>
          <w:sz w:val="24"/>
          <w:szCs w:val="24"/>
        </w:rPr>
        <w:t>21.9</w:t>
      </w:r>
      <w:r>
        <w:rPr>
          <w:rFonts w:hint="eastAsia" w:ascii="Times New Roman" w:hAnsi="Times New Roman" w:eastAsia="宋体" w:cs="Times New Roman"/>
          <w:color w:val="auto"/>
          <w:sz w:val="24"/>
          <w:szCs w:val="24"/>
        </w:rPr>
        <w:t>t。生活垃圾在堆放过程中，废物中的易腐有机物在微生物的作用下会发生分解，产生带有恶臭气味的气体和含有可溶性有机质及无机质的渗滤水，对环境产生二次污染。</w:t>
      </w:r>
      <w:r>
        <w:rPr>
          <w:rFonts w:ascii="Times New Roman" w:hAnsi="Times New Roman" w:eastAsia="宋体" w:cs="Times New Roman"/>
          <w:color w:val="auto"/>
          <w:sz w:val="24"/>
          <w:szCs w:val="24"/>
        </w:rPr>
        <w:t>生活垃圾袋装收集后暂存于生活垃圾暂存间，并及时运往垃圾中转站，由环卫部门统一清运处置。</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6、废脱硫剂影响分析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项目脱硫产生的废脱硫剂约</w:t>
      </w:r>
      <w:r>
        <w:rPr>
          <w:rFonts w:hint="eastAsia" w:ascii="Times New Roman" w:hAnsi="Times New Roman" w:eastAsia="宋体" w:cs="Times New Roman"/>
          <w:color w:val="auto"/>
          <w:sz w:val="24"/>
          <w:szCs w:val="24"/>
          <w:lang w:val="en-US" w:eastAsia="zh-CN"/>
        </w:rPr>
        <w:t>0.5</w:t>
      </w:r>
      <w:r>
        <w:rPr>
          <w:rFonts w:hint="eastAsia" w:ascii="Times New Roman" w:hAnsi="Times New Roman" w:eastAsia="宋体" w:cs="Times New Roman"/>
          <w:color w:val="auto"/>
          <w:sz w:val="24"/>
          <w:szCs w:val="24"/>
        </w:rPr>
        <w:t>t/a，全部由原厂家回收再生利用，不会对环境产生影响。</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7、废包装材料</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废饲料包装袋、包装箱等废包装材料收集后定期外售废品回收站，不会对环境产生影响。</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项目拟采取的各项固体废弃物处置措施可行，从一定程度上体现了固体废物无害化和资源化利用的原则，只要在生产运营中将各项处理措施落到实处，可有效防止固体废物的逸散和对环境的二次污染，不会对周围环境造成明显不利影响。</w:t>
      </w:r>
    </w:p>
    <w:p>
      <w:pPr>
        <w:pStyle w:val="7"/>
        <w:spacing w:before="0" w:after="0" w:line="360" w:lineRule="auto"/>
        <w:ind w:left="0" w:firstLine="0"/>
        <w:rPr>
          <w:rFonts w:cs="Times New Roman"/>
          <w:color w:val="auto"/>
        </w:rPr>
      </w:pPr>
      <w:bookmarkStart w:id="241" w:name="_Toc23044"/>
      <w:r>
        <w:rPr>
          <w:rFonts w:cs="Times New Roman"/>
          <w:color w:val="auto"/>
        </w:rPr>
        <w:t>土壤环境影响分析</w:t>
      </w:r>
      <w:bookmarkEnd w:id="241"/>
    </w:p>
    <w:p>
      <w:pPr>
        <w:pStyle w:val="8"/>
        <w:rPr>
          <w:rFonts w:cs="Times New Roman"/>
          <w:color w:val="auto"/>
          <w:lang w:val="en-US" w:eastAsia="zh-CN"/>
        </w:rPr>
      </w:pPr>
      <w:r>
        <w:rPr>
          <w:rFonts w:cs="Times New Roman"/>
          <w:color w:val="auto"/>
          <w:lang w:val="en-US" w:eastAsia="zh-CN"/>
        </w:rPr>
        <w:t>土壤环境污染类型</w:t>
      </w:r>
    </w:p>
    <w:p>
      <w:pPr>
        <w:widowControl w:val="0"/>
        <w:spacing w:line="440" w:lineRule="exact"/>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pPr>
        <w:widowControl w:val="0"/>
        <w:spacing w:line="440" w:lineRule="exact"/>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污染物可以通过多种途径进入土壤，主要类型有以下三种：</w:t>
      </w:r>
    </w:p>
    <w:p>
      <w:pPr>
        <w:widowControl w:val="0"/>
        <w:spacing w:line="440" w:lineRule="exact"/>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1）大气污染型：污染物来源于被污染的大气，主要集中在土壤表层，主要污染物是大气中的颗粒物，它们降落到地表可引起土壤土质发生变化，破坏土壤肥力与生态系统的平衡。</w:t>
      </w:r>
    </w:p>
    <w:p>
      <w:pPr>
        <w:widowControl w:val="0"/>
        <w:spacing w:line="440" w:lineRule="exact"/>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2）水污染型：项目废水事故状态下不能循环利用直接排入外环境，或发生泄漏，致使土壤受到无机盐、有机物和病原体的污染。</w:t>
      </w:r>
    </w:p>
    <w:p>
      <w:pPr>
        <w:widowControl w:val="0"/>
        <w:spacing w:line="460" w:lineRule="exact"/>
        <w:ind w:firstLine="480" w:firstLineChars="200"/>
        <w:jc w:val="both"/>
        <w:rPr>
          <w:rFonts w:ascii="Times New Roman" w:hAnsi="Times New Roman" w:eastAsia="宋体" w:cs="Times New Roman"/>
          <w:color w:val="auto"/>
          <w:kern w:val="2"/>
          <w:sz w:val="24"/>
          <w:szCs w:val="20"/>
          <w:lang w:val="en-US" w:eastAsia="zh-CN" w:bidi="ar-SA"/>
        </w:rPr>
      </w:pPr>
      <w:r>
        <w:rPr>
          <w:rFonts w:ascii="Times New Roman" w:hAnsi="Times New Roman" w:eastAsia="宋体" w:cs="Times New Roman"/>
          <w:color w:val="auto"/>
          <w:kern w:val="2"/>
          <w:sz w:val="24"/>
          <w:szCs w:val="20"/>
          <w:lang w:val="en-US" w:eastAsia="zh-CN" w:bidi="ar-SA"/>
        </w:rPr>
        <w:t>3）固体废物污染型：项目产生的固废在运输、堆放过程中通过扩散、降水淋洗等直接或间接的影响土壤。</w:t>
      </w:r>
    </w:p>
    <w:p>
      <w:pPr>
        <w:pStyle w:val="8"/>
        <w:rPr>
          <w:rFonts w:hint="eastAsia" w:cs="Times New Roman"/>
          <w:color w:val="auto"/>
          <w:lang w:val="en-US" w:eastAsia="zh-CN"/>
        </w:rPr>
      </w:pPr>
      <w:r>
        <w:rPr>
          <w:rFonts w:hint="eastAsia" w:cs="Times New Roman"/>
          <w:color w:val="auto"/>
          <w:lang w:val="en-US" w:eastAsia="zh-CN"/>
        </w:rPr>
        <w:t>项目对区域土壤的影响分析</w:t>
      </w:r>
    </w:p>
    <w:p>
      <w:pPr>
        <w:widowControl w:val="0"/>
        <w:spacing w:line="460" w:lineRule="exact"/>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本项目工程分析，项目生活污水及养殖废水经过处理后用于周围耕地、林地灌溉使用；固体废物全部实现无害化处置，且猪舍、污水处理设施、有机肥生产车间和危险废物暂存间均已按照相应要求做好防渗措施；项目排放的废气主要为NH</w:t>
      </w:r>
      <w:r>
        <w:rPr>
          <w:rFonts w:hint="eastAsia" w:ascii="Times New Roman" w:hAnsi="Times New Roman" w:eastAsia="宋体" w:cs="Times New Roman"/>
          <w:color w:val="auto"/>
          <w:kern w:val="2"/>
          <w:sz w:val="24"/>
          <w:szCs w:val="20"/>
          <w:vertAlign w:val="subscript"/>
          <w:lang w:val="en-US" w:eastAsia="zh-CN" w:bidi="ar-SA"/>
        </w:rPr>
        <w:t>3</w:t>
      </w:r>
      <w:r>
        <w:rPr>
          <w:rFonts w:hint="eastAsia" w:ascii="Times New Roman" w:hAnsi="Times New Roman" w:eastAsia="宋体" w:cs="Times New Roman"/>
          <w:color w:val="auto"/>
          <w:kern w:val="2"/>
          <w:sz w:val="24"/>
          <w:szCs w:val="20"/>
          <w:lang w:val="en-US" w:eastAsia="zh-CN" w:bidi="ar-SA"/>
        </w:rPr>
        <w:t>、H</w:t>
      </w:r>
      <w:r>
        <w:rPr>
          <w:rFonts w:hint="eastAsia" w:ascii="Times New Roman" w:hAnsi="Times New Roman" w:eastAsia="宋体" w:cs="Times New Roman"/>
          <w:color w:val="auto"/>
          <w:kern w:val="2"/>
          <w:sz w:val="24"/>
          <w:szCs w:val="20"/>
          <w:vertAlign w:val="subscript"/>
          <w:lang w:val="en-US" w:eastAsia="zh-CN" w:bidi="ar-SA"/>
        </w:rPr>
        <w:t>2</w:t>
      </w:r>
      <w:r>
        <w:rPr>
          <w:rFonts w:hint="eastAsia" w:ascii="Times New Roman" w:hAnsi="Times New Roman" w:eastAsia="宋体" w:cs="Times New Roman"/>
          <w:color w:val="auto"/>
          <w:kern w:val="2"/>
          <w:sz w:val="24"/>
          <w:szCs w:val="20"/>
          <w:lang w:val="en-US" w:eastAsia="zh-CN" w:bidi="ar-SA"/>
        </w:rPr>
        <w:t>S，且排放量较小，不考虑大气沉降的影响。在落实本次环评提出的各项环保措施的情况下，项目各类污染物均能达标排放，正常工况下进入土壤的污染物较少，对土壤环境质量影响较小；事故状态下废水泄漏或外排进入土壤会对土壤环境质量造成不良影响，本项目设置应急池并做好环境管理工作，加强污水处理设备及构筑物的检维修和管理，在确保事故状态无污染物外排的情况下，对区域土壤环境质量影响较小。</w:t>
      </w:r>
    </w:p>
    <w:p>
      <w:pPr>
        <w:pStyle w:val="8"/>
        <w:rPr>
          <w:rFonts w:hint="eastAsia" w:cs="Times New Roman"/>
          <w:color w:val="auto"/>
          <w:lang w:val="en-US" w:eastAsia="zh-CN"/>
        </w:rPr>
      </w:pPr>
      <w:r>
        <w:rPr>
          <w:rFonts w:hint="eastAsia" w:cs="Times New Roman"/>
          <w:color w:val="auto"/>
          <w:lang w:val="en-US" w:eastAsia="zh-CN"/>
        </w:rPr>
        <w:t>土壤污染控制措施</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 xml:space="preserve">2016年5月28日国务院发布的《土壤污染防治行动计划》（国发【2016】31号）指出，防范建设用地新增污染，排放重点污染物的建设项目，在开展环境影响评价时，要增加对土壤环境影响评价内容，提出防范土壤污染的具分体措施。本项目进行了厂址土壤监测并进行了土壤环境现状评价，评价结果表明，厂址土壤环境质量满足《土壤环境质量 </w:t>
      </w:r>
      <w:r>
        <w:rPr>
          <w:rFonts w:ascii="Times New Roman" w:hAnsi="Times New Roman" w:eastAsia="宋体" w:cs="Times New Roman"/>
          <w:color w:val="auto"/>
          <w:kern w:val="2"/>
          <w:sz w:val="24"/>
          <w:szCs w:val="20"/>
          <w:lang w:val="en-US" w:eastAsia="zh-CN" w:bidi="ar-SA"/>
        </w:rPr>
        <w:t xml:space="preserve"> </w:t>
      </w:r>
      <w:r>
        <w:rPr>
          <w:rFonts w:hint="eastAsia" w:ascii="Times New Roman" w:hAnsi="Times New Roman" w:eastAsia="宋体" w:cs="Times New Roman"/>
          <w:color w:val="auto"/>
          <w:kern w:val="2"/>
          <w:sz w:val="24"/>
          <w:szCs w:val="20"/>
          <w:lang w:val="en-US" w:eastAsia="zh-CN" w:bidi="ar-SA"/>
        </w:rPr>
        <w:t>农用地土壤污染风险管控标准(试行)》（GB15618-2018）筛选值标准限值标准要求。</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根据《土壤污染防治行动计划》（国发【2016】31号）要求，为减小项目对土壤的污染，应采取以下防治措施：</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1）控制本项目污染物的排放。大力推广闭路循环、清洁工艺，以减少污染物；控制污染物排放的数量和浓度，使之符合排放标准和总量控制要求。</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2）依托厂区新建应急池，事故状态下产生的事故废水暂贮存于应急池。</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3）在今后的生产过程中，做好设备的维护、检修，杜绝跑、冒、滴、漏现象。同时，加强污染物产生主要环节的安全防护、报警措施，以便及时发现事故隐患，采取有效的应对措施。</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4）厂区道路采用水泥抹面，涉及物料储存的仓储区、生产车间等，污染防治措施均采取严格的硬化及防渗处理。生产过程中的各种物料及污染物均与天然土壤隔离，不会通过裸露区渗入到土壤中。</w:t>
      </w:r>
    </w:p>
    <w:p>
      <w:pPr>
        <w:widowControl w:val="0"/>
        <w:spacing w:line="460" w:lineRule="exact"/>
        <w:ind w:firstLine="480" w:firstLineChars="200"/>
        <w:jc w:val="both"/>
        <w:rPr>
          <w:rFonts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所用饲料不涉及重金属，项目生产区、污水管路等采取严格防渗防腐措施，加强生产管理，避免粪污未经处理直接侵入土壤，从而造成土壤污染，另外项目设置应急池，事故状态下废水得到妥善处置，因此，项目正常生产对厂区内土壤不会造成明显的环境影响。</w:t>
      </w:r>
    </w:p>
    <w:p>
      <w:pPr>
        <w:pStyle w:val="7"/>
        <w:spacing w:before="0" w:after="0" w:line="360" w:lineRule="auto"/>
        <w:ind w:left="0" w:firstLine="0"/>
        <w:rPr>
          <w:rFonts w:hint="eastAsia" w:cs="Times New Roman"/>
          <w:color w:val="auto"/>
        </w:rPr>
      </w:pPr>
      <w:bookmarkStart w:id="242" w:name="_Toc2075"/>
      <w:r>
        <w:rPr>
          <w:rFonts w:hint="eastAsia" w:cs="Times New Roman"/>
          <w:color w:val="auto"/>
        </w:rPr>
        <w:t>生态环境影响分析</w:t>
      </w:r>
      <w:bookmarkEnd w:id="242"/>
    </w:p>
    <w:p>
      <w:pPr>
        <w:pStyle w:val="8"/>
        <w:rPr>
          <w:rFonts w:hint="eastAsia" w:cs="Times New Roman"/>
          <w:color w:val="auto"/>
          <w:lang w:val="en-US" w:eastAsia="zh-CN"/>
        </w:rPr>
      </w:pPr>
      <w:r>
        <w:rPr>
          <w:rFonts w:hint="eastAsia" w:cs="Times New Roman"/>
          <w:color w:val="auto"/>
          <w:lang w:val="en-US" w:eastAsia="zh-CN"/>
        </w:rPr>
        <w:t>生态环境影响分析</w:t>
      </w:r>
    </w:p>
    <w:p>
      <w:pPr>
        <w:pStyle w:val="23"/>
        <w:ind w:firstLine="480"/>
        <w:rPr>
          <w:rFonts w:hint="eastAsia" w:ascii="Times New Roman" w:hAnsi="Times New Roman"/>
          <w:color w:val="auto"/>
        </w:rPr>
      </w:pPr>
      <w:r>
        <w:rPr>
          <w:rFonts w:hint="eastAsia" w:ascii="Times New Roman" w:hAnsi="Times New Roman"/>
          <w:color w:val="auto"/>
        </w:rPr>
        <w:t>项目废水包括生活污水和生产废水，全部进入污水处理站。项目废水处理后用于耕地农灌，企业在严格按照操作规程进行的情况下，不会对区域的水生生态环境造成严重影响。项目固废处理处置率达100%，不会积压或占用大部分土地，不对区域的景观生态环境造成严重影响。</w:t>
      </w:r>
    </w:p>
    <w:p>
      <w:pPr>
        <w:pStyle w:val="23"/>
        <w:ind w:firstLine="482"/>
        <w:rPr>
          <w:rFonts w:hint="eastAsia" w:ascii="Times New Roman" w:hAnsi="Times New Roman"/>
          <w:b/>
          <w:color w:val="auto"/>
        </w:rPr>
      </w:pPr>
      <w:r>
        <w:rPr>
          <w:rFonts w:hint="eastAsia" w:ascii="Times New Roman" w:hAnsi="Times New Roman"/>
          <w:b/>
          <w:color w:val="auto"/>
        </w:rPr>
        <w:t>1、对陆生植物的影响</w:t>
      </w:r>
    </w:p>
    <w:p>
      <w:pPr>
        <w:pStyle w:val="23"/>
        <w:ind w:firstLine="480"/>
        <w:rPr>
          <w:rFonts w:hint="eastAsia" w:ascii="Times New Roman" w:hAnsi="Times New Roman"/>
          <w:color w:val="auto"/>
        </w:rPr>
      </w:pPr>
      <w:r>
        <w:rPr>
          <w:rFonts w:hint="eastAsia" w:ascii="Times New Roman" w:hAnsi="Times New Roman"/>
          <w:color w:val="auto"/>
        </w:rPr>
        <w:t>本项目所用土地为</w:t>
      </w:r>
      <w:r>
        <w:rPr>
          <w:rFonts w:hint="eastAsia"/>
          <w:color w:val="auto"/>
          <w:lang w:eastAsia="zh-CN"/>
        </w:rPr>
        <w:t>林地</w:t>
      </w:r>
      <w:r>
        <w:rPr>
          <w:rFonts w:hint="eastAsia" w:ascii="Times New Roman" w:hAnsi="Times New Roman"/>
          <w:color w:val="auto"/>
        </w:rPr>
        <w:t>，拟建工程将保留场区内的</w:t>
      </w:r>
      <w:r>
        <w:rPr>
          <w:rFonts w:hint="eastAsia"/>
          <w:color w:val="auto"/>
          <w:lang w:eastAsia="zh-CN"/>
        </w:rPr>
        <w:t>林地</w:t>
      </w:r>
      <w:r>
        <w:rPr>
          <w:rFonts w:hint="eastAsia" w:ascii="Times New Roman" w:hAnsi="Times New Roman"/>
          <w:color w:val="auto"/>
        </w:rPr>
        <w:t>植物</w:t>
      </w:r>
      <w:r>
        <w:rPr>
          <w:rFonts w:hint="eastAsia"/>
          <w:color w:val="auto"/>
          <w:lang w:eastAsia="zh-CN"/>
        </w:rPr>
        <w:t>，林地面积</w:t>
      </w:r>
      <w:r>
        <w:rPr>
          <w:rFonts w:hint="eastAsia" w:ascii="Times New Roman" w:hAnsi="Times New Roman"/>
          <w:color w:val="auto"/>
        </w:rPr>
        <w:t>约</w:t>
      </w:r>
      <w:r>
        <w:rPr>
          <w:rFonts w:hint="eastAsia"/>
          <w:color w:val="auto"/>
          <w:lang w:val="en-US" w:eastAsia="zh-CN"/>
        </w:rPr>
        <w:t>544亩</w:t>
      </w:r>
      <w:r>
        <w:rPr>
          <w:rFonts w:hint="eastAsia" w:ascii="Times New Roman" w:hAnsi="Times New Roman"/>
          <w:color w:val="auto"/>
        </w:rPr>
        <w:t>，因此，在一定程度上丰富了该区域植物资源，总体上来说，不会对当地的陆生植物资源和林业资源带来明显的不利影响。</w:t>
      </w:r>
    </w:p>
    <w:p>
      <w:pPr>
        <w:pStyle w:val="23"/>
        <w:ind w:firstLine="482"/>
        <w:rPr>
          <w:rFonts w:hint="eastAsia" w:ascii="Times New Roman" w:hAnsi="Times New Roman"/>
          <w:b/>
          <w:color w:val="auto"/>
        </w:rPr>
      </w:pPr>
      <w:r>
        <w:rPr>
          <w:rFonts w:hint="eastAsia" w:ascii="Times New Roman" w:hAnsi="Times New Roman"/>
          <w:b/>
          <w:color w:val="auto"/>
        </w:rPr>
        <w:t>2、对陆生动物的影响</w:t>
      </w:r>
    </w:p>
    <w:p>
      <w:pPr>
        <w:pStyle w:val="23"/>
        <w:ind w:firstLine="480"/>
        <w:rPr>
          <w:rFonts w:hint="eastAsia" w:ascii="Times New Roman" w:hAnsi="Times New Roman"/>
          <w:color w:val="auto"/>
        </w:rPr>
      </w:pPr>
      <w:r>
        <w:rPr>
          <w:rFonts w:hint="eastAsia" w:ascii="Times New Roman" w:hAnsi="Times New Roman"/>
          <w:color w:val="auto"/>
        </w:rPr>
        <w:t>受本项目的建设及施工期扰动的影响，一些动物的栖息地可能会受到一定的影响，项目所在地主要分布的是小型动物，这些动物的迁移能力较强，同类生境在附近易于寻找，因此，本项目的建设不会对动物的种群及数量带来明显的影响。</w:t>
      </w:r>
    </w:p>
    <w:p>
      <w:pPr>
        <w:pStyle w:val="23"/>
        <w:ind w:firstLine="480"/>
        <w:rPr>
          <w:rFonts w:hint="eastAsia" w:ascii="Times New Roman" w:hAnsi="Times New Roman"/>
          <w:color w:val="auto"/>
        </w:rPr>
      </w:pPr>
      <w:r>
        <w:rPr>
          <w:rFonts w:hint="eastAsia" w:ascii="Times New Roman" w:hAnsi="Times New Roman"/>
          <w:color w:val="auto"/>
        </w:rPr>
        <w:t>项目所在地现状用地类型主要为</w:t>
      </w:r>
      <w:r>
        <w:rPr>
          <w:rFonts w:hint="eastAsia" w:ascii="Times New Roman" w:hAnsi="Times New Roman"/>
          <w:color w:val="auto"/>
          <w:lang w:eastAsia="zh-CN"/>
        </w:rPr>
        <w:t>林地</w:t>
      </w:r>
      <w:r>
        <w:rPr>
          <w:rFonts w:hint="eastAsia" w:ascii="Times New Roman" w:hAnsi="Times New Roman"/>
          <w:color w:val="auto"/>
        </w:rPr>
        <w:t>，其次为少量耕地，周围以农业生态环境为主，建成后对植被、植物种类和群落分布以及动物区系的基本组成和性质不会发生明显变化。</w:t>
      </w:r>
    </w:p>
    <w:p>
      <w:pPr>
        <w:pStyle w:val="23"/>
        <w:ind w:firstLine="482"/>
        <w:rPr>
          <w:rFonts w:hint="eastAsia" w:ascii="Times New Roman" w:hAnsi="Times New Roman"/>
          <w:b/>
          <w:color w:val="auto"/>
        </w:rPr>
      </w:pPr>
      <w:r>
        <w:rPr>
          <w:rFonts w:hint="eastAsia" w:ascii="Times New Roman" w:hAnsi="Times New Roman"/>
          <w:b/>
          <w:color w:val="auto"/>
        </w:rPr>
        <w:t>3、对消纳土地影响分析</w:t>
      </w:r>
    </w:p>
    <w:p>
      <w:pPr>
        <w:pStyle w:val="23"/>
        <w:ind w:firstLine="480"/>
        <w:rPr>
          <w:rFonts w:hint="eastAsia" w:ascii="Times New Roman" w:hAnsi="Times New Roman"/>
          <w:color w:val="auto"/>
          <w:highlight w:val="none"/>
        </w:rPr>
      </w:pPr>
      <w:r>
        <w:rPr>
          <w:rFonts w:hint="eastAsia" w:ascii="Times New Roman" w:hAnsi="Times New Roman"/>
          <w:color w:val="auto"/>
          <w:highlight w:val="none"/>
        </w:rPr>
        <w:t>项目处理后尾水对项目周边</w:t>
      </w:r>
      <w:r>
        <w:rPr>
          <w:rFonts w:hint="eastAsia"/>
          <w:color w:val="auto"/>
          <w:highlight w:val="none"/>
          <w:lang w:val="en-US" w:eastAsia="zh-CN"/>
        </w:rPr>
        <w:t>1194</w:t>
      </w:r>
      <w:r>
        <w:rPr>
          <w:rFonts w:hint="eastAsia" w:ascii="Times New Roman" w:hAnsi="Times New Roman"/>
          <w:color w:val="auto"/>
          <w:highlight w:val="none"/>
        </w:rPr>
        <w:t>亩</w:t>
      </w:r>
      <w:r>
        <w:rPr>
          <w:rFonts w:hint="eastAsia"/>
          <w:color w:val="auto"/>
          <w:highlight w:val="none"/>
          <w:lang w:val="en-US" w:eastAsia="zh-CN"/>
        </w:rPr>
        <w:t>林地</w:t>
      </w:r>
      <w:r>
        <w:rPr>
          <w:rFonts w:hint="eastAsia" w:ascii="Times New Roman" w:hAnsi="Times New Roman" w:eastAsia="宋体" w:cs="Times New Roman"/>
          <w:color w:val="auto"/>
          <w:sz w:val="24"/>
          <w:szCs w:val="24"/>
          <w:highlight w:val="none"/>
          <w:lang w:eastAsia="zh-CN"/>
        </w:rPr>
        <w:t>（厂内林地</w:t>
      </w:r>
      <w:r>
        <w:rPr>
          <w:rFonts w:hint="eastAsia" w:ascii="Times New Roman" w:hAnsi="Times New Roman" w:eastAsia="宋体" w:cs="Times New Roman"/>
          <w:color w:val="auto"/>
          <w:sz w:val="24"/>
          <w:szCs w:val="24"/>
          <w:highlight w:val="none"/>
          <w:lang w:val="en-US" w:eastAsia="zh-CN"/>
        </w:rPr>
        <w:t>544亩，租赁消纳林地650亩）</w:t>
      </w:r>
      <w:r>
        <w:rPr>
          <w:rFonts w:hint="eastAsia" w:ascii="Times New Roman" w:hAnsi="Times New Roman"/>
          <w:color w:val="auto"/>
          <w:highlight w:val="none"/>
        </w:rPr>
        <w:t>进行农灌，在正确科学灌溉的基础上，对照以往的施肥经验，合理搭配化学施肥。雨季灌溉时，多注意天气，一是避免粪肥的流失造成浪费，其次避免灌溉回水对地表水的影响；正常灌溉时，一是根据作物需要进行灌溉，其次每次灌溉时，以地面不积水为原则，不能随意漫灌。</w:t>
      </w:r>
    </w:p>
    <w:p>
      <w:pPr>
        <w:pStyle w:val="23"/>
        <w:ind w:firstLine="480"/>
        <w:rPr>
          <w:rFonts w:ascii="Times New Roman" w:hAnsi="Times New Roman"/>
          <w:color w:val="auto"/>
        </w:rPr>
      </w:pPr>
      <w:r>
        <w:rPr>
          <w:rFonts w:hint="eastAsia" w:ascii="Times New Roman" w:hAnsi="Times New Roman"/>
          <w:color w:val="auto"/>
        </w:rPr>
        <w:t>消纳土地灌溉回水影响分析：在科学灌溉基础上，类比以往灌溉经验，正常的化学成分流失对地表水影响很小，而且本项目农灌灌溉率能得到保障，比下雨时使用化肥更容易吸收，比以往灌溉回水影响更小。其次，本项目大部分消纳土地地势平整，基本没有灌溉回水问题，对地表水影响很小。</w:t>
      </w:r>
    </w:p>
    <w:p>
      <w:pPr>
        <w:pStyle w:val="8"/>
        <w:rPr>
          <w:rFonts w:hint="eastAsia" w:cs="Times New Roman"/>
          <w:color w:val="auto"/>
          <w:lang w:val="en-US" w:eastAsia="zh-CN"/>
        </w:rPr>
      </w:pPr>
      <w:r>
        <w:rPr>
          <w:rFonts w:hint="eastAsia" w:cs="Times New Roman"/>
          <w:color w:val="auto"/>
          <w:lang w:val="en-US" w:eastAsia="zh-CN"/>
        </w:rPr>
        <w:t>生态保护措施</w:t>
      </w:r>
    </w:p>
    <w:p>
      <w:pPr>
        <w:pStyle w:val="23"/>
        <w:ind w:firstLine="482"/>
        <w:rPr>
          <w:rFonts w:hint="eastAsia" w:ascii="Times New Roman" w:hAnsi="Times New Roman"/>
          <w:b/>
          <w:color w:val="auto"/>
        </w:rPr>
      </w:pPr>
      <w:r>
        <w:rPr>
          <w:rFonts w:hint="eastAsia" w:ascii="Times New Roman" w:hAnsi="Times New Roman"/>
          <w:b/>
          <w:color w:val="auto"/>
        </w:rPr>
        <w:t>1、加强污染物治理</w:t>
      </w:r>
    </w:p>
    <w:p>
      <w:pPr>
        <w:pStyle w:val="23"/>
        <w:ind w:firstLine="480"/>
        <w:rPr>
          <w:rFonts w:hint="eastAsia" w:ascii="Times New Roman" w:hAnsi="Times New Roman"/>
          <w:color w:val="auto"/>
        </w:rPr>
      </w:pPr>
      <w:r>
        <w:rPr>
          <w:rFonts w:hint="eastAsia" w:ascii="Times New Roman" w:hAnsi="Times New Roman"/>
          <w:color w:val="auto"/>
        </w:rPr>
        <w:t>加强建设项目自身的污染治理，采用先进、高效的防治措施减少全场“三废”排放对当地生态环境影响。本项目投产运营后各项污染物做到了达标排放，但排放总量仍然会对当地环境造成一定影响。因此应从全场范围进行严格管理，使全场污染物排放总量进一步削减，减轻对区域环境污染。</w:t>
      </w:r>
    </w:p>
    <w:p>
      <w:pPr>
        <w:pStyle w:val="23"/>
        <w:ind w:firstLine="482"/>
        <w:rPr>
          <w:rFonts w:ascii="Times New Roman" w:hAnsi="Times New Roman"/>
          <w:b/>
          <w:color w:val="auto"/>
        </w:rPr>
      </w:pPr>
      <w:r>
        <w:rPr>
          <w:rFonts w:hint="eastAsia" w:ascii="Times New Roman" w:hAnsi="Times New Roman"/>
          <w:b/>
          <w:color w:val="auto"/>
        </w:rPr>
        <w:t>2、场区硬化</w:t>
      </w:r>
    </w:p>
    <w:p>
      <w:pPr>
        <w:pStyle w:val="23"/>
        <w:ind w:firstLine="480"/>
        <w:rPr>
          <w:rFonts w:hint="eastAsia" w:ascii="Times New Roman" w:hAnsi="Times New Roman"/>
          <w:color w:val="auto"/>
        </w:rPr>
      </w:pPr>
      <w:r>
        <w:rPr>
          <w:rFonts w:hint="eastAsia" w:ascii="Times New Roman" w:hAnsi="Times New Roman"/>
          <w:color w:val="auto"/>
        </w:rPr>
        <w:t>为进一步改善区域生态环境，建设单位在加强场内“三废”治理同时，还应加强场内绿化和硬化工作。</w:t>
      </w:r>
    </w:p>
    <w:p>
      <w:pPr>
        <w:pStyle w:val="23"/>
        <w:ind w:firstLine="482"/>
        <w:rPr>
          <w:rFonts w:hint="eastAsia" w:ascii="Times New Roman" w:hAnsi="Times New Roman"/>
          <w:b/>
          <w:color w:val="auto"/>
        </w:rPr>
      </w:pPr>
      <w:r>
        <w:rPr>
          <w:rFonts w:hint="eastAsia" w:ascii="Times New Roman" w:hAnsi="Times New Roman"/>
          <w:b/>
          <w:color w:val="auto"/>
        </w:rPr>
        <w:t>3、加强职工生态环保意识</w:t>
      </w:r>
    </w:p>
    <w:p>
      <w:pPr>
        <w:pStyle w:val="23"/>
        <w:ind w:firstLine="480"/>
        <w:rPr>
          <w:rFonts w:hint="eastAsia" w:ascii="Times New Roman" w:hAnsi="Times New Roman"/>
          <w:color w:val="auto"/>
        </w:rPr>
      </w:pPr>
      <w:r>
        <w:rPr>
          <w:rFonts w:hint="eastAsia" w:ascii="Times New Roman" w:hAnsi="Times New Roman"/>
          <w:color w:val="auto"/>
        </w:rPr>
        <w:t>随着项目建设，场内应健全管理体制，加强生态意识教育，以利于生态环境资源保护。</w:t>
      </w:r>
    </w:p>
    <w:p>
      <w:pPr>
        <w:pStyle w:val="23"/>
        <w:ind w:firstLine="482"/>
        <w:rPr>
          <w:rFonts w:hint="eastAsia" w:ascii="Times New Roman" w:hAnsi="Times New Roman"/>
          <w:b/>
          <w:color w:val="auto"/>
        </w:rPr>
      </w:pPr>
      <w:r>
        <w:rPr>
          <w:rFonts w:hint="eastAsia" w:ascii="Times New Roman" w:hAnsi="Times New Roman"/>
          <w:b/>
          <w:color w:val="auto"/>
        </w:rPr>
        <w:t>4、加强场区绿化</w:t>
      </w:r>
    </w:p>
    <w:p>
      <w:pPr>
        <w:pStyle w:val="23"/>
        <w:ind w:firstLine="480"/>
        <w:rPr>
          <w:rFonts w:hint="eastAsia" w:ascii="Times New Roman" w:hAnsi="Times New Roman"/>
          <w:color w:val="auto"/>
        </w:rPr>
      </w:pPr>
      <w:r>
        <w:rPr>
          <w:rFonts w:hint="eastAsia" w:ascii="Times New Roman" w:hAnsi="Times New Roman"/>
          <w:color w:val="auto"/>
        </w:rPr>
        <w:t>场区应制定绿化规划，实施全面绿化。利用植物作为治理污染的一种经济手段，发挥它们在吸收有害气体、净化空气、降低噪声、改善环境、保持生态平衡方面的作用。重点为：养殖区、污水处理站、生活管理区和道路两侧，应以乔木绿化为主，乔、灌、草合理配置；在厂界四周根据实际条件营造防护林，用以防止污染物对周边生态环境的影响。绿色植物具有多种环境生态效应，如调节空气、温度、湿度，阻挡风沙、滞留空气中的灰尘、吸收SO</w:t>
      </w:r>
      <w:r>
        <w:rPr>
          <w:rFonts w:hint="eastAsia" w:ascii="Times New Roman" w:hAnsi="Times New Roman"/>
          <w:color w:val="auto"/>
          <w:vertAlign w:val="subscript"/>
        </w:rPr>
        <w:t>2</w:t>
      </w:r>
      <w:r>
        <w:rPr>
          <w:rFonts w:hint="eastAsia" w:ascii="Times New Roman" w:hAnsi="Times New Roman"/>
          <w:color w:val="auto"/>
        </w:rPr>
        <w:t>等有害气体等，有些植物还有一定的杀菌能力，此外，树本身还有降噪隔声的功能。</w:t>
      </w:r>
    </w:p>
    <w:p>
      <w:pPr>
        <w:pStyle w:val="23"/>
        <w:ind w:firstLine="480"/>
        <w:rPr>
          <w:rFonts w:hint="eastAsia" w:ascii="Times New Roman" w:hAnsi="Times New Roman"/>
          <w:color w:val="auto"/>
        </w:rPr>
      </w:pPr>
      <w:r>
        <w:rPr>
          <w:rFonts w:hint="eastAsia" w:ascii="Times New Roman" w:hAnsi="Times New Roman"/>
          <w:color w:val="auto"/>
        </w:rPr>
        <w:t>结合项目的特点，种植高低相结合的乔灌木，形成隔离林带，防止污染扩散。生活管理区应以美化环境为主，种植绿篱、布置花坛、草坪等。道路的绿化以种植道路树为主，选择适宜的树种，进行多种树种混栽，形成沿道路的绿化带。</w:t>
      </w:r>
    </w:p>
    <w:p>
      <w:pPr>
        <w:pStyle w:val="23"/>
        <w:ind w:firstLine="482"/>
        <w:rPr>
          <w:rFonts w:hint="eastAsia" w:ascii="Times New Roman" w:hAnsi="Times New Roman"/>
          <w:b/>
          <w:color w:val="auto"/>
        </w:rPr>
      </w:pPr>
      <w:r>
        <w:rPr>
          <w:rFonts w:hint="eastAsia" w:ascii="Times New Roman" w:hAnsi="Times New Roman"/>
          <w:b/>
          <w:color w:val="auto"/>
        </w:rPr>
        <w:t>5、服务期满后复垦要求</w:t>
      </w:r>
    </w:p>
    <w:p>
      <w:pPr>
        <w:pStyle w:val="23"/>
        <w:ind w:firstLine="480"/>
        <w:rPr>
          <w:rFonts w:hint="eastAsia" w:ascii="Times New Roman" w:hAnsi="Times New Roman"/>
          <w:color w:val="auto"/>
        </w:rPr>
      </w:pPr>
      <w:r>
        <w:rPr>
          <w:rFonts w:hint="eastAsia" w:ascii="Times New Roman" w:hAnsi="Times New Roman"/>
          <w:color w:val="auto"/>
        </w:rPr>
        <w:t>（1）所占地的用途为修建养猪场，硬化区域有猪舍、污水处理站、</w:t>
      </w:r>
      <w:r>
        <w:rPr>
          <w:rFonts w:hint="eastAsia"/>
          <w:color w:val="auto"/>
          <w:lang w:eastAsia="zh-CN"/>
        </w:rPr>
        <w:t>堆肥车间</w:t>
      </w:r>
      <w:r>
        <w:rPr>
          <w:rFonts w:hint="eastAsia" w:ascii="Times New Roman" w:hAnsi="Times New Roman"/>
          <w:color w:val="auto"/>
        </w:rPr>
        <w:t>、粪肥储存间、生活区等，工程完工后即可恢复到原使用要求，不会对现有土地改变原貌、损毁。复垦过程没有难度，对自然环境不会造成破。</w:t>
      </w:r>
    </w:p>
    <w:p>
      <w:pPr>
        <w:pStyle w:val="23"/>
        <w:ind w:firstLine="480"/>
        <w:rPr>
          <w:rFonts w:hint="eastAsia" w:ascii="Times New Roman" w:hAnsi="Times New Roman"/>
          <w:color w:val="auto"/>
        </w:rPr>
      </w:pPr>
      <w:r>
        <w:rPr>
          <w:rFonts w:hint="eastAsia" w:ascii="Times New Roman" w:hAnsi="Times New Roman"/>
          <w:color w:val="auto"/>
        </w:rPr>
        <w:t>（2）项目在生产建设活动中，因挖损、塌陷、压占等造成破坏土地的，必须根据《土地管理法》和《土地复垦条例》，采取整治措施，使其复垦到原用途。</w:t>
      </w:r>
    </w:p>
    <w:p>
      <w:pPr>
        <w:pStyle w:val="23"/>
        <w:ind w:firstLine="480"/>
        <w:rPr>
          <w:rFonts w:hint="eastAsia" w:ascii="Times New Roman" w:hAnsi="Times New Roman"/>
          <w:color w:val="auto"/>
        </w:rPr>
      </w:pPr>
      <w:r>
        <w:rPr>
          <w:rFonts w:hint="eastAsia" w:ascii="Times New Roman" w:hAnsi="Times New Roman"/>
          <w:color w:val="auto"/>
        </w:rPr>
        <w:t>（3）在拆除彩钢房、砖墙建筑及地下建构筑物后，必须用机械把地面的混凝土层清除，再用犁地机械将土地翻整，以保证其原始用途。</w:t>
      </w:r>
    </w:p>
    <w:p>
      <w:pPr>
        <w:pStyle w:val="23"/>
        <w:ind w:firstLine="480"/>
        <w:rPr>
          <w:rFonts w:hint="eastAsia" w:ascii="Times New Roman" w:hAnsi="Times New Roman"/>
          <w:color w:val="auto"/>
        </w:rPr>
      </w:pPr>
      <w:r>
        <w:rPr>
          <w:rFonts w:hint="eastAsia" w:ascii="Times New Roman" w:hAnsi="Times New Roman"/>
          <w:color w:val="auto"/>
        </w:rPr>
        <w:t>（4）复垦的目标是使所占土地达到可耕种的要求，不会改变现有的土地样貌、格局或原本具有的生产能力，项目服务期满后恢复至原有的地形地貌或比原有更改善的状况；恢复原有土地功能，与周围地形地貌相符。</w:t>
      </w:r>
    </w:p>
    <w:p>
      <w:pPr>
        <w:pStyle w:val="23"/>
        <w:ind w:firstLine="480"/>
        <w:rPr>
          <w:rFonts w:ascii="Times New Roman" w:hAnsi="Times New Roman"/>
          <w:color w:val="auto"/>
        </w:rPr>
      </w:pPr>
      <w:r>
        <w:rPr>
          <w:rFonts w:hint="eastAsia" w:ascii="Times New Roman" w:hAnsi="Times New Roman"/>
          <w:color w:val="auto"/>
        </w:rPr>
        <w:t>（5）建设单位在组织复垦时，必须报所占用土地的村委会实施监督。达到原耕作条件或恢复到原用途，报经县级国土资源局验收合格后，应将土地复垦费交还原承包户。</w:t>
      </w:r>
    </w:p>
    <w:p>
      <w:pPr>
        <w:pStyle w:val="8"/>
        <w:rPr>
          <w:rFonts w:hint="eastAsia" w:cs="Times New Roman"/>
          <w:color w:val="auto"/>
          <w:lang w:val="en-US" w:eastAsia="zh-CN"/>
        </w:rPr>
      </w:pPr>
      <w:r>
        <w:rPr>
          <w:rFonts w:hint="eastAsia" w:cs="Times New Roman"/>
          <w:color w:val="auto"/>
          <w:lang w:val="en-US" w:eastAsia="zh-CN"/>
        </w:rPr>
        <w:t>生态影响分析小结</w:t>
      </w:r>
    </w:p>
    <w:p>
      <w:pPr>
        <w:pStyle w:val="23"/>
        <w:spacing w:line="360" w:lineRule="auto"/>
        <w:ind w:firstLine="480"/>
        <w:rPr>
          <w:rFonts w:hint="eastAsia" w:ascii="Times New Roman" w:hAnsi="Times New Roman"/>
          <w:color w:val="auto"/>
        </w:rPr>
      </w:pPr>
      <w:r>
        <w:rPr>
          <w:rFonts w:hint="eastAsia" w:ascii="Times New Roman" w:hAnsi="Times New Roman"/>
          <w:color w:val="auto"/>
        </w:rPr>
        <w:t>评价区生态系统受到本项目影响相对较小，在严格采取评价提出的生态保护措施后，其生态特征不会从根本上发生改变，体系仍然维持原有的稳定性和生态承载能力。项目虽然在对周围生态环境产生一定的影响，但是其处理达标的大量废水用于周边</w:t>
      </w:r>
      <w:r>
        <w:rPr>
          <w:rFonts w:hint="eastAsia" w:ascii="Times New Roman" w:hAnsi="Times New Roman"/>
          <w:color w:val="auto"/>
          <w:lang w:eastAsia="zh-CN"/>
        </w:rPr>
        <w:t>林地</w:t>
      </w:r>
      <w:r>
        <w:rPr>
          <w:rFonts w:hint="eastAsia" w:ascii="Times New Roman" w:hAnsi="Times New Roman"/>
          <w:color w:val="auto"/>
        </w:rPr>
        <w:t>灌溉，提高了</w:t>
      </w:r>
      <w:r>
        <w:rPr>
          <w:rFonts w:hint="eastAsia" w:ascii="Times New Roman" w:hAnsi="Times New Roman"/>
          <w:color w:val="auto"/>
          <w:lang w:eastAsia="zh-CN"/>
        </w:rPr>
        <w:t>经济林</w:t>
      </w:r>
      <w:r>
        <w:rPr>
          <w:rFonts w:hint="eastAsia" w:ascii="Times New Roman" w:hAnsi="Times New Roman"/>
          <w:color w:val="auto"/>
        </w:rPr>
        <w:t>的灌溉保证率，本工程的建设对周围环境有较大的有益作用。</w:t>
      </w:r>
    </w:p>
    <w:p>
      <w:pPr>
        <w:pStyle w:val="23"/>
        <w:spacing w:line="360" w:lineRule="auto"/>
        <w:ind w:firstLine="480"/>
        <w:rPr>
          <w:rFonts w:ascii="Times New Roman" w:hAnsi="Times New Roman"/>
          <w:color w:val="auto"/>
        </w:rPr>
      </w:pPr>
      <w:r>
        <w:rPr>
          <w:rFonts w:hint="eastAsia" w:ascii="Times New Roman" w:hAnsi="Times New Roman"/>
          <w:color w:val="auto"/>
        </w:rPr>
        <w:t>从总体上看，项目运营期对生态环境的影响较小，评价要求对废水、废气、固废各种污染物按照处理措施严格执行，并加大场区及其周围地区的绿化面积，这样才能保证生态环境不会受到破坏，并能够对受到影响的场地及时补救。</w:t>
      </w:r>
    </w:p>
    <w:p>
      <w:pPr>
        <w:pStyle w:val="7"/>
        <w:spacing w:before="0" w:after="0" w:line="360" w:lineRule="auto"/>
        <w:ind w:left="0" w:firstLine="0"/>
        <w:rPr>
          <w:rFonts w:hint="eastAsia" w:cs="Times New Roman"/>
          <w:color w:val="auto"/>
        </w:rPr>
      </w:pPr>
      <w:bookmarkStart w:id="243" w:name="_Toc20180"/>
      <w:r>
        <w:rPr>
          <w:rFonts w:hint="eastAsia" w:cs="Times New Roman"/>
          <w:color w:val="auto"/>
        </w:rPr>
        <w:t>环境影响评价小结</w:t>
      </w:r>
      <w:bookmarkEnd w:id="243"/>
    </w:p>
    <w:p>
      <w:pPr>
        <w:pStyle w:val="23"/>
        <w:spacing w:line="360" w:lineRule="auto"/>
        <w:ind w:firstLine="480"/>
        <w:rPr>
          <w:rFonts w:hint="eastAsia" w:ascii="Times New Roman" w:hAnsi="Times New Roman"/>
          <w:color w:val="auto"/>
        </w:rPr>
      </w:pPr>
      <w:r>
        <w:rPr>
          <w:rFonts w:hint="eastAsia" w:ascii="Times New Roman" w:hAnsi="Times New Roman"/>
          <w:color w:val="auto"/>
        </w:rPr>
        <w:t>综上，本项目运营期在认真落实环评提出的各项污染防治措施的前提下，各污染物均能做到达标排放，不会对项目所在区域环境质量造成明显不利影响。</w:t>
      </w:r>
    </w:p>
    <w:p>
      <w:pPr>
        <w:rPr>
          <w:rFonts w:hint="eastAsia" w:ascii="Times New Roman" w:hAnsi="Times New Roman"/>
          <w:color w:val="auto"/>
        </w:rPr>
      </w:pPr>
      <w:r>
        <w:rPr>
          <w:rFonts w:hint="eastAsia" w:ascii="Times New Roman" w:hAnsi="Times New Roman"/>
          <w:color w:val="auto"/>
        </w:rPr>
        <w:br w:type="page"/>
      </w:r>
    </w:p>
    <w:p>
      <w:pPr>
        <w:pStyle w:val="5"/>
        <w:rPr>
          <w:rFonts w:cs="Times New Roman"/>
          <w:color w:val="auto"/>
        </w:rPr>
      </w:pPr>
      <w:bookmarkStart w:id="244" w:name="_Toc1947"/>
      <w:bookmarkStart w:id="245" w:name="_Toc29221873"/>
      <w:r>
        <w:rPr>
          <w:rFonts w:cs="Times New Roman"/>
          <w:color w:val="auto"/>
        </w:rPr>
        <w:t>环境风险评价</w:t>
      </w:r>
      <w:bookmarkEnd w:id="244"/>
      <w:bookmarkEnd w:id="245"/>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rPr>
      </w:pPr>
      <w:bookmarkStart w:id="246" w:name="_Toc29221874"/>
      <w:bookmarkStart w:id="247" w:name="_Toc436035694"/>
      <w:bookmarkStart w:id="248" w:name="_Toc30367"/>
      <w:r>
        <w:rPr>
          <w:rFonts w:hint="default" w:ascii="Times New Roman" w:hAnsi="Times New Roman" w:eastAsia="宋体" w:cs="Times New Roman"/>
          <w:color w:val="auto"/>
        </w:rPr>
        <w:t>风险评价目的</w:t>
      </w:r>
      <w:bookmarkEnd w:id="246"/>
      <w:bookmarkEnd w:id="247"/>
      <w:bookmarkEnd w:id="248"/>
    </w:p>
    <w:p>
      <w:pPr>
        <w:tabs>
          <w:tab w:val="left" w:pos="1220"/>
        </w:tabs>
        <w:spacing w:line="360" w:lineRule="auto"/>
        <w:ind w:firstLine="520" w:firstLineChars="210"/>
        <w:rPr>
          <w:rFonts w:hint="eastAsia"/>
          <w:color w:val="auto"/>
          <w:spacing w:val="4"/>
          <w:sz w:val="24"/>
        </w:rPr>
      </w:pPr>
      <w:r>
        <w:rPr>
          <w:rFonts w:hint="eastAsia"/>
          <w:color w:val="auto"/>
          <w:spacing w:val="4"/>
          <w:sz w:val="24"/>
        </w:rPr>
        <w:t>环境风险评价的目的是分析和预测项目存在的潜在危险，有害因素，项目运营期间可能发生的突发性事件，引起有毒有害和易燃易爆等物质泄漏、爆炸和火灾等突发性事故伴生/次生的污染物释放，所造成的人身安全与环境影响和损害程度，提出合理可行的防范、应急与减缓措施，以使建设项目事故率达到可接受水平，损失和环境影响达到最小。</w:t>
      </w:r>
    </w:p>
    <w:p>
      <w:pPr>
        <w:tabs>
          <w:tab w:val="left" w:pos="1220"/>
        </w:tabs>
        <w:spacing w:line="360" w:lineRule="auto"/>
        <w:ind w:firstLine="520" w:firstLineChars="210"/>
        <w:rPr>
          <w:rFonts w:hint="eastAsia"/>
          <w:color w:val="auto"/>
          <w:spacing w:val="4"/>
          <w:sz w:val="24"/>
        </w:rPr>
      </w:pPr>
      <w:r>
        <w:rPr>
          <w:rFonts w:hint="eastAsia"/>
          <w:color w:val="auto"/>
          <w:spacing w:val="4"/>
          <w:sz w:val="24"/>
        </w:rPr>
        <w:t>环境风险是指在自然环境中产生的或者通过自然环境传递的，对人类健康和幸福产生不利影响同时又具有某些不确定性的危害事件，而环境风险评价就是评估事件发生概率以及在不同概率事件后果的严重性，并决定采取适宜的对策。环境风险评价的主要特点是评价环境中的不确定性和突发性的风险问题，关心的风险事故发生的可能性及其产生的环境后果。</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lang w:val="en-US" w:eastAsia="zh-CN"/>
        </w:rPr>
      </w:pPr>
      <w:bookmarkStart w:id="249" w:name="_Toc23799"/>
      <w:r>
        <w:rPr>
          <w:rFonts w:hint="default" w:ascii="Times New Roman" w:hAnsi="Times New Roman" w:eastAsia="宋体" w:cs="Times New Roman"/>
          <w:color w:val="auto"/>
          <w:lang w:val="en-US" w:eastAsia="zh-CN"/>
        </w:rPr>
        <w:t>评价依据</w:t>
      </w:r>
      <w:bookmarkEnd w:id="249"/>
    </w:p>
    <w:p>
      <w:pPr>
        <w:tabs>
          <w:tab w:val="left" w:pos="1220"/>
        </w:tabs>
        <w:spacing w:line="360" w:lineRule="auto"/>
        <w:ind w:firstLine="520" w:firstLineChars="210"/>
        <w:rPr>
          <w:rFonts w:hint="eastAsia"/>
          <w:color w:val="auto"/>
          <w:spacing w:val="4"/>
          <w:sz w:val="24"/>
        </w:rPr>
      </w:pPr>
      <w:r>
        <w:rPr>
          <w:rFonts w:hint="eastAsia"/>
          <w:color w:val="auto"/>
          <w:spacing w:val="4"/>
          <w:sz w:val="24"/>
        </w:rPr>
        <w:t>根据《建设项目环境风险评价技术导则》（HJ 169-2018）中4.4规定：环境风险评价基本内容包括风险调查、环境风险潜势初判、风险识别、风险事故情形分析、风险预测与评价、环境风险管理等。</w:t>
      </w:r>
    </w:p>
    <w:p>
      <w:pPr>
        <w:pStyle w:val="7"/>
        <w:spacing w:before="0" w:after="0" w:line="360" w:lineRule="auto"/>
        <w:ind w:left="0" w:firstLine="0"/>
        <w:rPr>
          <w:rFonts w:hint="default" w:cs="Times New Roman"/>
          <w:color w:val="auto"/>
          <w:lang w:val="en-US" w:eastAsia="zh-CN"/>
        </w:rPr>
      </w:pPr>
      <w:bookmarkStart w:id="250" w:name="_Toc20850"/>
      <w:r>
        <w:rPr>
          <w:rFonts w:hint="default" w:cs="Times New Roman"/>
          <w:color w:val="auto"/>
          <w:lang w:val="en-US" w:eastAsia="zh-CN"/>
        </w:rPr>
        <w:t>风险调查</w:t>
      </w:r>
      <w:bookmarkEnd w:id="250"/>
    </w:p>
    <w:p>
      <w:pPr>
        <w:pStyle w:val="8"/>
        <w:rPr>
          <w:rFonts w:hint="eastAsia"/>
          <w:color w:val="auto"/>
          <w:spacing w:val="4"/>
          <w:sz w:val="24"/>
        </w:rPr>
      </w:pPr>
      <w:r>
        <w:rPr>
          <w:rFonts w:hint="eastAsia" w:cs="Times New Roman"/>
          <w:color w:val="auto"/>
          <w:lang w:eastAsia="zh-CN"/>
        </w:rPr>
        <w:t>生产物质风险</w:t>
      </w:r>
      <w:r>
        <w:rPr>
          <w:rFonts w:hint="eastAsia" w:cs="Times New Roman"/>
          <w:color w:val="auto"/>
        </w:rPr>
        <w:t>调查</w:t>
      </w:r>
    </w:p>
    <w:p>
      <w:pPr>
        <w:tabs>
          <w:tab w:val="left" w:pos="1220"/>
        </w:tabs>
        <w:spacing w:line="360" w:lineRule="auto"/>
        <w:ind w:firstLine="520" w:firstLineChars="210"/>
        <w:rPr>
          <w:rFonts w:hint="eastAsia"/>
          <w:color w:val="auto"/>
          <w:spacing w:val="4"/>
          <w:sz w:val="24"/>
        </w:rPr>
      </w:pPr>
      <w:r>
        <w:rPr>
          <w:rFonts w:hint="eastAsia"/>
          <w:color w:val="auto"/>
          <w:spacing w:val="4"/>
          <w:sz w:val="24"/>
        </w:rPr>
        <w:t>根据《建设项目环境风险评价技术导则》（HJ169-2018）附录，拟建项目原辅材料中，可能构成风险的是污水站产生的沼气（主要成分为甲烷）、备用发电机使用的柴油、消毒剂（过氧乙酸、烧碱）。</w:t>
      </w:r>
    </w:p>
    <w:p>
      <w:pPr>
        <w:pStyle w:val="2503"/>
        <w:spacing w:before="120"/>
        <w:rPr>
          <w:color w:val="auto"/>
        </w:rPr>
      </w:pPr>
      <w:r>
        <w:rPr>
          <w:color w:val="auto"/>
        </w:rPr>
        <w:t>表6.2-3    主要危险物质危险特性表</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553"/>
        <w:gridCol w:w="1323"/>
        <w:gridCol w:w="740"/>
        <w:gridCol w:w="995"/>
        <w:gridCol w:w="1381"/>
        <w:gridCol w:w="1127"/>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6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91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物料名称</w:t>
            </w:r>
          </w:p>
        </w:tc>
        <w:tc>
          <w:tcPr>
            <w:tcW w:w="7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主要成分</w:t>
            </w:r>
          </w:p>
        </w:tc>
        <w:tc>
          <w:tcPr>
            <w:tcW w:w="4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状态</w:t>
            </w:r>
          </w:p>
        </w:tc>
        <w:tc>
          <w:tcPr>
            <w:tcW w:w="58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储存方式</w:t>
            </w:r>
          </w:p>
        </w:tc>
        <w:tc>
          <w:tcPr>
            <w:tcW w:w="81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最大储存量</w:t>
            </w:r>
          </w:p>
        </w:tc>
        <w:tc>
          <w:tcPr>
            <w:tcW w:w="66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CAS号</w:t>
            </w:r>
          </w:p>
        </w:tc>
        <w:tc>
          <w:tcPr>
            <w:tcW w:w="4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特性/危险性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6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1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w:t>
            </w:r>
          </w:p>
        </w:tc>
        <w:tc>
          <w:tcPr>
            <w:tcW w:w="7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烃类混合物</w:t>
            </w:r>
          </w:p>
        </w:tc>
        <w:tc>
          <w:tcPr>
            <w:tcW w:w="4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液态</w:t>
            </w:r>
          </w:p>
        </w:tc>
        <w:tc>
          <w:tcPr>
            <w:tcW w:w="58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钢桶</w:t>
            </w:r>
          </w:p>
        </w:tc>
        <w:tc>
          <w:tcPr>
            <w:tcW w:w="81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（1桶）0.16t</w:t>
            </w:r>
          </w:p>
        </w:tc>
        <w:tc>
          <w:tcPr>
            <w:tcW w:w="66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6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1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沼气（甲烷）</w:t>
            </w:r>
          </w:p>
        </w:tc>
        <w:tc>
          <w:tcPr>
            <w:tcW w:w="7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4</w:t>
            </w:r>
          </w:p>
        </w:tc>
        <w:tc>
          <w:tcPr>
            <w:tcW w:w="4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气态</w:t>
            </w:r>
          </w:p>
        </w:tc>
        <w:tc>
          <w:tcPr>
            <w:tcW w:w="58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双膜储气袋</w:t>
            </w:r>
          </w:p>
        </w:tc>
        <w:tc>
          <w:tcPr>
            <w:tcW w:w="81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0.25t</w:t>
            </w:r>
          </w:p>
        </w:tc>
        <w:tc>
          <w:tcPr>
            <w:tcW w:w="66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74-82-8</w:t>
            </w:r>
          </w:p>
        </w:tc>
        <w:tc>
          <w:tcPr>
            <w:tcW w:w="4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6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w:t>
            </w:r>
          </w:p>
        </w:tc>
        <w:tc>
          <w:tcPr>
            <w:tcW w:w="91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过氧乙酸</w:t>
            </w:r>
          </w:p>
        </w:tc>
        <w:tc>
          <w:tcPr>
            <w:tcW w:w="7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i w:val="0"/>
                <w:caps w:val="0"/>
                <w:color w:val="auto"/>
                <w:spacing w:val="0"/>
                <w:sz w:val="21"/>
                <w:szCs w:val="21"/>
                <w:shd w:val="clear" w:fill="FFFFFF"/>
              </w:rPr>
              <w:t>CH</w:t>
            </w:r>
            <w:r>
              <w:rPr>
                <w:rFonts w:hint="default" w:ascii="Times New Roman" w:hAnsi="Times New Roman" w:eastAsia="宋体" w:cs="Times New Roman"/>
                <w:i w:val="0"/>
                <w:caps w:val="0"/>
                <w:color w:val="auto"/>
                <w:spacing w:val="0"/>
                <w:sz w:val="21"/>
                <w:szCs w:val="21"/>
                <w:shd w:val="clear" w:fill="FFFFFF"/>
                <w:vertAlign w:val="subscript"/>
              </w:rPr>
              <w:t>3</w:t>
            </w:r>
            <w:r>
              <w:rPr>
                <w:rFonts w:hint="default" w:ascii="Times New Roman" w:hAnsi="Times New Roman" w:eastAsia="宋体" w:cs="Times New Roman"/>
                <w:i w:val="0"/>
                <w:caps w:val="0"/>
                <w:color w:val="auto"/>
                <w:spacing w:val="0"/>
                <w:sz w:val="21"/>
                <w:szCs w:val="21"/>
                <w:shd w:val="clear" w:fill="FFFFFF"/>
              </w:rPr>
              <w:t>COOOH</w:t>
            </w:r>
          </w:p>
        </w:tc>
        <w:tc>
          <w:tcPr>
            <w:tcW w:w="4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液态</w:t>
            </w:r>
          </w:p>
        </w:tc>
        <w:tc>
          <w:tcPr>
            <w:tcW w:w="58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瓶装</w:t>
            </w:r>
          </w:p>
        </w:tc>
        <w:tc>
          <w:tcPr>
            <w:tcW w:w="81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0.1</w:t>
            </w:r>
            <w:r>
              <w:rPr>
                <w:rFonts w:hint="default" w:ascii="Times New Roman" w:hAnsi="Times New Roman" w:cs="Times New Roman"/>
                <w:color w:val="auto"/>
                <w:sz w:val="21"/>
                <w:szCs w:val="21"/>
                <w:lang w:val="en-US" w:eastAsia="zh-CN"/>
              </w:rPr>
              <w:t>t</w:t>
            </w:r>
          </w:p>
        </w:tc>
        <w:tc>
          <w:tcPr>
            <w:tcW w:w="66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7</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p>
        </w:tc>
        <w:tc>
          <w:tcPr>
            <w:tcW w:w="4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易燃</w:t>
            </w:r>
          </w:p>
        </w:tc>
      </w:tr>
    </w:tbl>
    <w:p>
      <w:pPr>
        <w:pStyle w:val="8"/>
        <w:rPr>
          <w:rFonts w:hint="default"/>
          <w:color w:val="auto"/>
        </w:rPr>
      </w:pPr>
      <w:r>
        <w:rPr>
          <w:rFonts w:hint="eastAsia" w:cs="Times New Roman"/>
          <w:color w:val="auto"/>
          <w:lang w:eastAsia="zh-CN"/>
        </w:rPr>
        <w:t>生产系统风险</w:t>
      </w:r>
      <w:r>
        <w:rPr>
          <w:rFonts w:hint="eastAsia" w:cs="Times New Roman"/>
          <w:color w:val="auto"/>
        </w:rPr>
        <w:t>调查</w:t>
      </w:r>
    </w:p>
    <w:p>
      <w:pPr>
        <w:tabs>
          <w:tab w:val="left" w:pos="1220"/>
        </w:tabs>
        <w:ind w:firstLine="520" w:firstLineChars="210"/>
        <w:rPr>
          <w:rFonts w:hint="eastAsia" w:eastAsiaTheme="minorEastAsia"/>
          <w:color w:val="auto"/>
          <w:spacing w:val="4"/>
          <w:sz w:val="24"/>
          <w:lang w:eastAsia="zh-CN"/>
        </w:rPr>
      </w:pPr>
      <w:r>
        <w:rPr>
          <w:rFonts w:hint="eastAsia"/>
          <w:color w:val="auto"/>
          <w:spacing w:val="4"/>
          <w:sz w:val="24"/>
        </w:rPr>
        <w:t>生产设施风险识别范围：主体工程、贮运系统、公用工程系统、工程环保设施及辅助生产设施等。具体营运过程中危害风险见</w:t>
      </w:r>
      <w:r>
        <w:rPr>
          <w:rFonts w:hint="eastAsia"/>
          <w:color w:val="auto"/>
          <w:spacing w:val="4"/>
          <w:sz w:val="24"/>
          <w:lang w:eastAsia="zh-CN"/>
        </w:rPr>
        <w:t>下表</w:t>
      </w:r>
    </w:p>
    <w:p>
      <w:pPr>
        <w:pStyle w:val="2503"/>
        <w:numPr>
          <w:ilvl w:val="0"/>
          <w:numId w:val="36"/>
        </w:numPr>
        <w:spacing w:before="120"/>
        <w:ind w:left="425" w:leftChars="0" w:hanging="425" w:firstLineChars="0"/>
        <w:rPr>
          <w:color w:val="auto"/>
        </w:rPr>
      </w:pPr>
      <w:r>
        <w:rPr>
          <w:rFonts w:hint="eastAsia"/>
          <w:color w:val="auto"/>
          <w:lang w:val="en-US" w:eastAsia="zh-CN"/>
        </w:rPr>
        <w:t xml:space="preserve">  生产系统识别一览表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024"/>
        <w:gridCol w:w="1060"/>
        <w:gridCol w:w="2106"/>
        <w:gridCol w:w="2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序号</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名称</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b/>
                <w:color w:val="auto"/>
                <w:sz w:val="21"/>
                <w:szCs w:val="21"/>
                <w:lang w:eastAsia="zh-CN"/>
              </w:rPr>
            </w:pPr>
            <w:r>
              <w:rPr>
                <w:rFonts w:hint="eastAsia"/>
                <w:b/>
                <w:color w:val="auto"/>
                <w:sz w:val="21"/>
                <w:szCs w:val="21"/>
                <w:lang w:eastAsia="zh-CN"/>
              </w:rPr>
              <w:t>设备种类</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lang w:eastAsia="zh-CN"/>
              </w:rPr>
              <w:t>危险因素</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b/>
                <w:color w:val="auto"/>
                <w:sz w:val="21"/>
                <w:szCs w:val="21"/>
                <w:lang w:eastAsia="zh-CN"/>
              </w:rPr>
            </w:pPr>
            <w:r>
              <w:rPr>
                <w:rFonts w:hint="eastAsia"/>
                <w:b/>
                <w:color w:val="auto"/>
                <w:sz w:val="21"/>
                <w:szCs w:val="21"/>
                <w:lang w:eastAsia="zh-CN"/>
              </w:rPr>
              <w:t>风险类型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供电系统.</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固定设备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停电、燃烧</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安全风险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2</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水处理站事故排放</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固定设备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废水外排、沼气燃爆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安全风险、环境风险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val="en-US" w:eastAsia="zh-CN"/>
              </w:rPr>
            </w:pPr>
            <w:r>
              <w:rPr>
                <w:rFonts w:hint="eastAsia"/>
                <w:color w:val="auto"/>
                <w:sz w:val="21"/>
                <w:szCs w:val="21"/>
                <w:lang w:val="en-US" w:eastAsia="zh-CN"/>
              </w:rPr>
              <w:t>3</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双膜储气袋</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固定设备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燃爆、泄露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安全风险、环境风险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val="en-US" w:eastAsia="zh-CN"/>
              </w:rPr>
            </w:pPr>
            <w:r>
              <w:rPr>
                <w:rFonts w:hint="eastAsia"/>
                <w:color w:val="auto"/>
                <w:sz w:val="21"/>
                <w:szCs w:val="21"/>
                <w:lang w:val="en-US" w:eastAsia="zh-CN"/>
              </w:rPr>
              <w:t>4</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消毒剂存放间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存放容积</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泄露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val="en-US" w:eastAsia="zh-CN"/>
              </w:rPr>
            </w:pPr>
            <w:r>
              <w:rPr>
                <w:rFonts w:hint="eastAsia"/>
                <w:color w:val="auto"/>
                <w:sz w:val="21"/>
                <w:szCs w:val="21"/>
                <w:lang w:val="en-US" w:eastAsia="zh-CN"/>
              </w:rPr>
              <w:t>5</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危废暂存间</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存放容积</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泄露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val="en-US" w:eastAsia="zh-CN"/>
              </w:rPr>
            </w:pPr>
            <w:r>
              <w:rPr>
                <w:rFonts w:hint="eastAsia"/>
                <w:color w:val="auto"/>
                <w:sz w:val="21"/>
                <w:szCs w:val="21"/>
                <w:lang w:val="en-US" w:eastAsia="zh-CN"/>
              </w:rPr>
              <w:t>6</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备用发电机房(柴油)</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存放容积</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泄露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环境风险</w:t>
            </w:r>
          </w:p>
        </w:tc>
      </w:tr>
    </w:tbl>
    <w:p>
      <w:pPr>
        <w:pStyle w:val="7"/>
        <w:spacing w:before="0" w:after="0" w:line="360" w:lineRule="auto"/>
        <w:ind w:left="0" w:firstLine="0"/>
        <w:rPr>
          <w:rFonts w:hint="eastAsia" w:cs="Times New Roman"/>
          <w:color w:val="auto"/>
          <w:lang w:val="en-US" w:eastAsia="zh-CN"/>
        </w:rPr>
      </w:pPr>
      <w:bookmarkStart w:id="251" w:name="_Toc30827"/>
      <w:r>
        <w:rPr>
          <w:rFonts w:hint="eastAsia" w:cs="Times New Roman"/>
          <w:color w:val="auto"/>
          <w:lang w:val="en-US" w:eastAsia="zh-CN"/>
        </w:rPr>
        <w:t>环境风险潜势初判</w:t>
      </w:r>
      <w:bookmarkEnd w:id="251"/>
    </w:p>
    <w:p>
      <w:pPr>
        <w:tabs>
          <w:tab w:val="left" w:pos="1220"/>
        </w:tabs>
        <w:spacing w:line="360" w:lineRule="auto"/>
        <w:ind w:firstLine="520" w:firstLineChars="210"/>
        <w:rPr>
          <w:color w:val="auto"/>
        </w:rPr>
      </w:pPr>
      <w:r>
        <w:rPr>
          <w:rFonts w:hint="eastAsia"/>
          <w:color w:val="auto"/>
          <w:spacing w:val="4"/>
          <w:sz w:val="24"/>
        </w:rPr>
        <w:t>根据《建设项目环境风险评价技术导则》（HJ/T169－2018），危险物质及工艺系统危害性（P）应根据危险物质数量与临界量的比值（Q）和行业及生产工艺（M）确定。</w:t>
      </w:r>
    </w:p>
    <w:p>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1、环境敏感程度（E）的确定</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大气环境</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项目周边5km范围内人口总数大于1万人，小于5万人（主要包括</w:t>
      </w:r>
      <w:r>
        <w:rPr>
          <w:rFonts w:hint="eastAsia" w:ascii="Times New Roman" w:hAnsi="Times New Roman" w:eastAsia="宋体" w:cs="Times New Roman"/>
          <w:color w:val="auto"/>
          <w:sz w:val="24"/>
          <w:szCs w:val="24"/>
          <w:lang w:eastAsia="zh-CN"/>
        </w:rPr>
        <w:t>通江县龙凤场镇所属部分村庄和万源市魏家乡所属部分村庄</w:t>
      </w:r>
      <w:r>
        <w:rPr>
          <w:rFonts w:ascii="Times New Roman" w:hAnsi="Times New Roman" w:eastAsia="宋体" w:cs="Times New Roman"/>
          <w:color w:val="auto"/>
          <w:sz w:val="24"/>
          <w:szCs w:val="24"/>
        </w:rPr>
        <w:t>），根据《建设项目环境风险评价技术导则》（HJ169-2018）附录D，项目大气环境敏感程度为环境中度敏感区（E2）。</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地表水环境</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废水经处理后用于周围耕地、林地等消纳，不外排，项目发生风险事故时废水均能在厂区收集处理，不会进入周边地表水体。根据《建设项目环境风险评价技术导则》（HJ169-2018）附录D，项目地表水环境敏感程度为环境低度敏感区（E3）。</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t>地下水环境</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项目区域无地下水水源等保护区，存在分散式饮用水水源地，为较敏感G2，根据项目所在区域水文地质资料，项目地下水类型为基岩裂隙水，含水层为</w:t>
      </w:r>
      <w:r>
        <w:rPr>
          <w:rFonts w:hint="eastAsia" w:ascii="Times New Roman" w:hAnsi="Times New Roman" w:eastAsia="宋体" w:cs="Times New Roman"/>
          <w:color w:val="auto"/>
          <w:sz w:val="24"/>
          <w:szCs w:val="24"/>
          <w:lang w:eastAsia="zh-CN"/>
        </w:rPr>
        <w:t>中</w:t>
      </w:r>
      <w:r>
        <w:rPr>
          <w:rFonts w:hint="eastAsia" w:ascii="Times New Roman" w:hAnsi="Times New Roman" w:eastAsia="宋体" w:cs="Times New Roman"/>
          <w:color w:val="auto"/>
          <w:sz w:val="24"/>
          <w:szCs w:val="24"/>
          <w:lang w:val="en-US" w:eastAsia="zh-CN"/>
        </w:rPr>
        <w:t>-厚层长石石英砂岩、含岩屑长石石英砂岩，粉砂岩及泥岩呈不等厚互</w:t>
      </w:r>
      <w:r>
        <w:rPr>
          <w:rFonts w:ascii="Times New Roman" w:hAnsi="Times New Roman" w:eastAsia="宋体" w:cs="Times New Roman"/>
          <w:color w:val="auto"/>
          <w:sz w:val="24"/>
          <w:szCs w:val="24"/>
        </w:rPr>
        <w:t>，具有较强的防污性能。因此，项目所在区域包气带防污性能D3，即 Mb≥1.0m，k≤1.0×10</w:t>
      </w:r>
      <w:r>
        <w:rPr>
          <w:rFonts w:ascii="Times New Roman" w:hAnsi="Times New Roman" w:eastAsia="宋体" w:cs="Times New Roman"/>
          <w:color w:val="auto"/>
          <w:sz w:val="24"/>
          <w:szCs w:val="24"/>
          <w:vertAlign w:val="superscript"/>
        </w:rPr>
        <w:t>-6</w:t>
      </w:r>
      <w:r>
        <w:rPr>
          <w:rFonts w:ascii="Times New Roman" w:hAnsi="Times New Roman" w:eastAsia="宋体" w:cs="Times New Roman"/>
          <w:color w:val="auto"/>
          <w:sz w:val="24"/>
          <w:szCs w:val="24"/>
        </w:rPr>
        <w:t>cm/s，且分布连续稳定。本项目地下水环境敏感度为E3（低度敏感区）。</w:t>
      </w:r>
    </w:p>
    <w:p>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2、危险物质数量与临界量比值（</w:t>
      </w:r>
      <w:r>
        <w:rPr>
          <w:rFonts w:hint="default" w:ascii="Times New Roman" w:hAnsi="Times New Roman" w:eastAsia="宋体" w:cs="Times New Roman"/>
          <w:b/>
          <w:i/>
          <w:color w:val="auto"/>
          <w:sz w:val="24"/>
          <w:szCs w:val="24"/>
        </w:rPr>
        <w:t>Q</w:t>
      </w:r>
      <w:r>
        <w:rPr>
          <w:rFonts w:hint="default" w:ascii="Times New Roman" w:hAnsi="Times New Roman" w:eastAsia="宋体" w:cs="Times New Roman"/>
          <w:b/>
          <w:color w:val="auto"/>
          <w:sz w:val="24"/>
          <w:szCs w:val="24"/>
        </w:rPr>
        <w:t>）</w:t>
      </w:r>
    </w:p>
    <w:p>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根据《建设项目环境风险评价技术导则》（HJ169-2018）附录C中危险物质数量与临界量比值（</w:t>
      </w:r>
      <w:r>
        <w:rPr>
          <w:rFonts w:ascii="Times New Roman" w:hAnsi="Times New Roman" w:eastAsia="宋体" w:cs="Times New Roman"/>
          <w:bCs/>
          <w:i/>
          <w:color w:val="auto"/>
          <w:sz w:val="24"/>
          <w:szCs w:val="24"/>
        </w:rPr>
        <w:t>Q</w:t>
      </w:r>
      <w:r>
        <w:rPr>
          <w:rFonts w:ascii="Times New Roman" w:hAnsi="Times New Roman" w:eastAsia="宋体" w:cs="Times New Roman"/>
          <w:bCs/>
          <w:color w:val="auto"/>
          <w:sz w:val="24"/>
          <w:szCs w:val="24"/>
        </w:rPr>
        <w:t>）的定义，计算所涉及的每种危险物质在厂界内的最大存在总量与其在附录B中对应临界量的比值</w:t>
      </w:r>
      <w:r>
        <w:rPr>
          <w:rFonts w:ascii="Times New Roman" w:hAnsi="Times New Roman" w:eastAsia="宋体" w:cs="Times New Roman"/>
          <w:bCs/>
          <w:i/>
          <w:color w:val="auto"/>
          <w:sz w:val="24"/>
          <w:szCs w:val="24"/>
        </w:rPr>
        <w:t>Q</w:t>
      </w:r>
      <w:r>
        <w:rPr>
          <w:rFonts w:ascii="Times New Roman" w:hAnsi="Times New Roman" w:eastAsia="宋体" w:cs="Times New Roman"/>
          <w:bCs/>
          <w:color w:val="auto"/>
          <w:sz w:val="24"/>
          <w:szCs w:val="24"/>
        </w:rPr>
        <w:t>。在不同厂区的同一种物质，按其在厂界内的最大存在总量计算。对于长输管线项目，按照两个截断阀室之间管段危险物质最大存在总量计算。</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bCs/>
          <w:color w:val="auto"/>
          <w:sz w:val="24"/>
          <w:szCs w:val="24"/>
        </w:rPr>
        <w:t>1）当只涉及一种危险物质时，计算该物质的总量与其临界量比值，即为</w:t>
      </w:r>
      <w:r>
        <w:rPr>
          <w:rFonts w:ascii="Times New Roman" w:hAnsi="Times New Roman" w:eastAsia="宋体" w:cs="Times New Roman"/>
          <w:bCs/>
          <w:i/>
          <w:color w:val="auto"/>
          <w:sz w:val="24"/>
          <w:szCs w:val="24"/>
        </w:rPr>
        <w:t>Q</w:t>
      </w:r>
      <w:r>
        <w:rPr>
          <w:rFonts w:ascii="Times New Roman" w:hAnsi="Times New Roman" w:eastAsia="宋体" w:cs="Times New Roman"/>
          <w:bCs/>
          <w:color w:val="auto"/>
          <w:sz w:val="24"/>
          <w:szCs w:val="24"/>
        </w:rPr>
        <w:t>；</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2）当存在多种危险物质时，则按式（C.1）计算物质总量与其临界量比值（</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rPr>
        <w:t>）：</w:t>
      </w:r>
    </w:p>
    <w:p>
      <w:pPr>
        <w:spacing w:before="120" w:beforeLines="50" w:line="360" w:lineRule="auto"/>
        <w:ind w:firstLine="199" w:firstLineChars="83"/>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QUOTE </w:instrText>
      </w:r>
      <w:r>
        <w:rPr>
          <w:rFonts w:ascii="Times New Roman" w:hAnsi="Times New Roman" w:eastAsia="宋体" w:cs="Times New Roman"/>
          <w:color w:val="auto"/>
          <w:position w:val="-30"/>
          <w:sz w:val="24"/>
          <w:szCs w:val="24"/>
        </w:rPr>
        <w:drawing>
          <wp:inline distT="0" distB="0" distL="114300" distR="114300">
            <wp:extent cx="1362075" cy="352425"/>
            <wp:effectExtent l="0" t="0" r="9525" b="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60">
                      <a:clrChange>
                        <a:clrFrom>
                          <a:srgbClr val="FFFFFF"/>
                        </a:clrFrom>
                        <a:clrTo>
                          <a:srgbClr val="FFFFFF">
                            <a:alpha val="0"/>
                          </a:srgbClr>
                        </a:clrTo>
                      </a:clrChange>
                    </a:blip>
                    <a:stretch>
                      <a:fillRect/>
                    </a:stretch>
                  </pic:blipFill>
                  <pic:spPr>
                    <a:xfrm>
                      <a:off x="0" y="0"/>
                      <a:ext cx="1362075" cy="352425"/>
                    </a:xfrm>
                    <a:prstGeom prst="rect">
                      <a:avLst/>
                    </a:prstGeom>
                    <a:noFill/>
                    <a:ln>
                      <a:noFill/>
                    </a:ln>
                  </pic:spPr>
                </pic:pic>
              </a:graphicData>
            </a:graphic>
          </wp:inline>
        </w:drawing>
      </w:r>
      <w:r>
        <w:rPr>
          <w:rFonts w:ascii="Times New Roman" w:hAnsi="Times New Roman" w:eastAsia="宋体" w:cs="Times New Roman"/>
          <w:color w:val="auto"/>
          <w:sz w:val="24"/>
          <w:szCs w:val="24"/>
        </w:rPr>
        <w:instrText xml:space="preserve">  \* MERGEFORMAT </w:instrText>
      </w:r>
      <w:r>
        <w:rPr>
          <w:rFonts w:ascii="Times New Roman" w:hAnsi="Times New Roman" w:eastAsia="宋体" w:cs="Times New Roman"/>
          <w:color w:val="auto"/>
          <w:sz w:val="24"/>
          <w:szCs w:val="24"/>
        </w:rPr>
        <w:fldChar w:fldCharType="separate"/>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QUOTE </w:instrText>
      </w:r>
      <w:r>
        <w:rPr>
          <w:rFonts w:ascii="Times New Roman" w:hAnsi="Times New Roman" w:eastAsia="宋体" w:cs="Times New Roman"/>
          <w:color w:val="auto"/>
          <w:position w:val="-30"/>
          <w:sz w:val="24"/>
          <w:szCs w:val="24"/>
        </w:rPr>
        <w:drawing>
          <wp:inline distT="0" distB="0" distL="114300" distR="114300">
            <wp:extent cx="1362075" cy="352425"/>
            <wp:effectExtent l="0" t="0" r="9525" b="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60">
                      <a:clrChange>
                        <a:clrFrom>
                          <a:srgbClr val="FFFFFF"/>
                        </a:clrFrom>
                        <a:clrTo>
                          <a:srgbClr val="FFFFFF">
                            <a:alpha val="0"/>
                          </a:srgbClr>
                        </a:clrTo>
                      </a:clrChange>
                    </a:blip>
                    <a:stretch>
                      <a:fillRect/>
                    </a:stretch>
                  </pic:blipFill>
                  <pic:spPr>
                    <a:xfrm>
                      <a:off x="0" y="0"/>
                      <a:ext cx="1362075" cy="352425"/>
                    </a:xfrm>
                    <a:prstGeom prst="rect">
                      <a:avLst/>
                    </a:prstGeom>
                    <a:noFill/>
                    <a:ln>
                      <a:noFill/>
                    </a:ln>
                  </pic:spPr>
                </pic:pic>
              </a:graphicData>
            </a:graphic>
          </wp:inline>
        </w:drawing>
      </w:r>
      <w:r>
        <w:rPr>
          <w:rFonts w:ascii="Times New Roman" w:hAnsi="Times New Roman" w:eastAsia="宋体" w:cs="Times New Roman"/>
          <w:color w:val="auto"/>
          <w:sz w:val="24"/>
          <w:szCs w:val="24"/>
        </w:rPr>
        <w:instrText xml:space="preserve">  \* MERGEFORMAT </w:instrText>
      </w:r>
      <w:r>
        <w:rPr>
          <w:rFonts w:ascii="Times New Roman" w:hAnsi="Times New Roman" w:eastAsia="宋体" w:cs="Times New Roman"/>
          <w:color w:val="auto"/>
          <w:sz w:val="24"/>
          <w:szCs w:val="24"/>
        </w:rPr>
        <w:fldChar w:fldCharType="separate"/>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drawing>
          <wp:inline distT="0" distB="0" distL="114300" distR="114300">
            <wp:extent cx="1476375" cy="438150"/>
            <wp:effectExtent l="0" t="0" r="9525" b="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61">
                      <a:clrChange>
                        <a:clrFrom>
                          <a:srgbClr val="FFFFFF"/>
                        </a:clrFrom>
                        <a:clrTo>
                          <a:srgbClr val="FFFFFF">
                            <a:alpha val="0"/>
                          </a:srgbClr>
                        </a:clrTo>
                      </a:clrChange>
                    </a:blip>
                    <a:stretch>
                      <a:fillRect/>
                    </a:stretch>
                  </pic:blipFill>
                  <pic:spPr>
                    <a:xfrm>
                      <a:off x="0" y="0"/>
                      <a:ext cx="1476375" cy="438150"/>
                    </a:xfrm>
                    <a:prstGeom prst="rect">
                      <a:avLst/>
                    </a:prstGeom>
                    <a:noFill/>
                    <a:ln>
                      <a:noFill/>
                    </a:ln>
                  </pic:spPr>
                </pic:pic>
              </a:graphicData>
            </a:graphic>
          </wp:inline>
        </w:drawing>
      </w:r>
      <w:r>
        <w:rPr>
          <w:rFonts w:ascii="Times New Roman" w:hAnsi="Times New Roman" w:eastAsia="宋体" w:cs="Times New Roman"/>
          <w:color w:val="auto"/>
          <w:sz w:val="24"/>
          <w:szCs w:val="24"/>
        </w:rPr>
        <w:t xml:space="preserve">            （C.1）</w:t>
      </w:r>
    </w:p>
    <w:p>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式中：</w:t>
      </w:r>
      <w:r>
        <w:rPr>
          <w:rFonts w:ascii="Times New Roman" w:hAnsi="Times New Roman" w:eastAsia="宋体" w:cs="Times New Roman"/>
          <w:bCs/>
          <w:i/>
          <w:color w:val="auto"/>
          <w:sz w:val="24"/>
          <w:szCs w:val="24"/>
        </w:rPr>
        <w:t>q</w:t>
      </w:r>
      <w:r>
        <w:rPr>
          <w:rFonts w:ascii="Times New Roman" w:hAnsi="Times New Roman" w:eastAsia="宋体" w:cs="Times New Roman"/>
          <w:bCs/>
          <w:i/>
          <w:color w:val="auto"/>
          <w:sz w:val="24"/>
          <w:szCs w:val="24"/>
          <w:vertAlign w:val="subscript"/>
        </w:rPr>
        <w:t>1</w:t>
      </w:r>
      <w:r>
        <w:rPr>
          <w:rFonts w:ascii="Times New Roman" w:hAnsi="Times New Roman" w:eastAsia="宋体" w:cs="Times New Roman"/>
          <w:bCs/>
          <w:color w:val="auto"/>
          <w:sz w:val="24"/>
          <w:szCs w:val="24"/>
        </w:rPr>
        <w:t>，</w:t>
      </w:r>
      <w:r>
        <w:rPr>
          <w:rFonts w:ascii="Times New Roman" w:hAnsi="Times New Roman" w:eastAsia="宋体" w:cs="Times New Roman"/>
          <w:bCs/>
          <w:i/>
          <w:color w:val="auto"/>
          <w:sz w:val="24"/>
          <w:szCs w:val="24"/>
        </w:rPr>
        <w:t>q</w:t>
      </w:r>
      <w:r>
        <w:rPr>
          <w:rFonts w:ascii="Times New Roman" w:hAnsi="Times New Roman" w:eastAsia="宋体" w:cs="Times New Roman"/>
          <w:bCs/>
          <w:i/>
          <w:color w:val="auto"/>
          <w:sz w:val="24"/>
          <w:szCs w:val="24"/>
          <w:vertAlign w:val="subscript"/>
        </w:rPr>
        <w:t>2</w:t>
      </w:r>
      <w:r>
        <w:rPr>
          <w:rFonts w:ascii="Times New Roman" w:hAnsi="Times New Roman" w:eastAsia="宋体" w:cs="Times New Roman"/>
          <w:bCs/>
          <w:color w:val="auto"/>
          <w:sz w:val="24"/>
          <w:szCs w:val="24"/>
        </w:rPr>
        <w:t>，…，</w:t>
      </w:r>
      <w:r>
        <w:rPr>
          <w:rFonts w:ascii="Times New Roman" w:hAnsi="Times New Roman" w:eastAsia="宋体" w:cs="Times New Roman"/>
          <w:bCs/>
          <w:i/>
          <w:color w:val="auto"/>
          <w:sz w:val="24"/>
          <w:szCs w:val="24"/>
        </w:rPr>
        <w:t>q</w:t>
      </w:r>
      <w:r>
        <w:rPr>
          <w:rFonts w:ascii="Times New Roman" w:hAnsi="Times New Roman" w:eastAsia="宋体" w:cs="Times New Roman"/>
          <w:bCs/>
          <w:i/>
          <w:color w:val="auto"/>
          <w:sz w:val="24"/>
          <w:szCs w:val="24"/>
          <w:vertAlign w:val="subscript"/>
        </w:rPr>
        <w:t>n</w:t>
      </w:r>
      <w:r>
        <w:rPr>
          <w:rFonts w:ascii="Times New Roman" w:hAnsi="Times New Roman" w:eastAsia="宋体" w:cs="Times New Roman"/>
          <w:bCs/>
          <w:color w:val="auto"/>
          <w:sz w:val="24"/>
          <w:szCs w:val="24"/>
        </w:rPr>
        <w:t>——每种危险物质的最大存在总量，t；</w:t>
      </w:r>
    </w:p>
    <w:p>
      <w:pPr>
        <w:spacing w:line="360" w:lineRule="auto"/>
        <w:ind w:firstLine="1200" w:firstLineChars="500"/>
        <w:rPr>
          <w:rFonts w:ascii="Times New Roman" w:hAnsi="Times New Roman" w:eastAsia="宋体" w:cs="Times New Roman"/>
          <w:bCs/>
          <w:color w:val="auto"/>
          <w:sz w:val="24"/>
          <w:szCs w:val="24"/>
        </w:rPr>
      </w:pPr>
      <w:r>
        <w:rPr>
          <w:rFonts w:ascii="Times New Roman" w:hAnsi="Times New Roman" w:eastAsia="宋体" w:cs="Times New Roman"/>
          <w:bCs/>
          <w:i/>
          <w:color w:val="auto"/>
          <w:sz w:val="24"/>
          <w:szCs w:val="24"/>
        </w:rPr>
        <w:t>Q</w:t>
      </w:r>
      <w:r>
        <w:rPr>
          <w:rFonts w:ascii="Times New Roman" w:hAnsi="Times New Roman" w:eastAsia="宋体" w:cs="Times New Roman"/>
          <w:bCs/>
          <w:i/>
          <w:color w:val="auto"/>
          <w:sz w:val="24"/>
          <w:szCs w:val="24"/>
          <w:vertAlign w:val="subscript"/>
        </w:rPr>
        <w:t>1</w:t>
      </w:r>
      <w:r>
        <w:rPr>
          <w:rFonts w:ascii="Times New Roman" w:hAnsi="Times New Roman" w:eastAsia="宋体" w:cs="Times New Roman"/>
          <w:bCs/>
          <w:color w:val="auto"/>
          <w:sz w:val="24"/>
          <w:szCs w:val="24"/>
        </w:rPr>
        <w:t>，</w:t>
      </w:r>
      <w:r>
        <w:rPr>
          <w:rFonts w:ascii="Times New Roman" w:hAnsi="Times New Roman" w:eastAsia="宋体" w:cs="Times New Roman"/>
          <w:bCs/>
          <w:i/>
          <w:color w:val="auto"/>
          <w:sz w:val="24"/>
          <w:szCs w:val="24"/>
        </w:rPr>
        <w:t>Q</w:t>
      </w:r>
      <w:r>
        <w:rPr>
          <w:rFonts w:ascii="Times New Roman" w:hAnsi="Times New Roman" w:eastAsia="宋体" w:cs="Times New Roman"/>
          <w:bCs/>
          <w:i/>
          <w:color w:val="auto"/>
          <w:sz w:val="24"/>
          <w:szCs w:val="24"/>
          <w:vertAlign w:val="subscript"/>
        </w:rPr>
        <w:t>2</w:t>
      </w:r>
      <w:r>
        <w:rPr>
          <w:rFonts w:ascii="Times New Roman" w:hAnsi="Times New Roman" w:eastAsia="宋体" w:cs="Times New Roman"/>
          <w:bCs/>
          <w:color w:val="auto"/>
          <w:sz w:val="24"/>
          <w:szCs w:val="24"/>
        </w:rPr>
        <w:t>，…，</w:t>
      </w:r>
      <w:r>
        <w:rPr>
          <w:rFonts w:ascii="Times New Roman" w:hAnsi="Times New Roman" w:eastAsia="宋体" w:cs="Times New Roman"/>
          <w:bCs/>
          <w:i/>
          <w:color w:val="auto"/>
          <w:sz w:val="24"/>
          <w:szCs w:val="24"/>
        </w:rPr>
        <w:t>Q</w:t>
      </w:r>
      <w:r>
        <w:rPr>
          <w:rFonts w:ascii="Times New Roman" w:hAnsi="Times New Roman" w:eastAsia="宋体" w:cs="Times New Roman"/>
          <w:bCs/>
          <w:i/>
          <w:color w:val="auto"/>
          <w:sz w:val="24"/>
          <w:szCs w:val="24"/>
          <w:vertAlign w:val="subscript"/>
        </w:rPr>
        <w:t>n</w:t>
      </w:r>
      <w:r>
        <w:rPr>
          <w:rFonts w:ascii="Times New Roman" w:hAnsi="Times New Roman" w:eastAsia="宋体" w:cs="Times New Roman"/>
          <w:bCs/>
          <w:color w:val="auto"/>
          <w:sz w:val="24"/>
          <w:szCs w:val="24"/>
        </w:rPr>
        <w:t>——每种危险物质的临界量，t；</w:t>
      </w:r>
    </w:p>
    <w:p>
      <w:pPr>
        <w:spacing w:line="360" w:lineRule="auto"/>
        <w:ind w:firstLine="1200" w:firstLineChars="5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当</w:t>
      </w:r>
      <w:r>
        <w:rPr>
          <w:rFonts w:ascii="Times New Roman" w:hAnsi="Times New Roman" w:eastAsia="宋体" w:cs="Times New Roman"/>
          <w:bCs/>
          <w:i/>
          <w:color w:val="auto"/>
          <w:sz w:val="24"/>
          <w:szCs w:val="24"/>
        </w:rPr>
        <w:t>Q</w:t>
      </w:r>
      <w:r>
        <w:rPr>
          <w:rFonts w:ascii="Times New Roman" w:hAnsi="Times New Roman" w:eastAsia="宋体" w:cs="Times New Roman"/>
          <w:bCs/>
          <w:color w:val="auto"/>
          <w:sz w:val="24"/>
          <w:szCs w:val="24"/>
        </w:rPr>
        <w:t>&lt;1时，该项目环境风险潜势为Ⅰ。</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 xml:space="preserve">      当</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rPr>
        <w:t>≥1时，将</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rPr>
        <w:t>值划分为：（1）1≤</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rPr>
        <w:t>&lt;10；（2）10≤</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rPr>
        <w:t>&lt;100；（3）</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rPr>
        <w:t>≥100；</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根据工程分析，本项目建成后柴油的最大储量为0.16t（1个储油桶），其临界量为2500t；1</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0m</w:t>
      </w:r>
      <w:r>
        <w:rPr>
          <w:rFonts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lang w:eastAsia="zh-CN"/>
        </w:rPr>
        <w:t>双膜储气袋</w:t>
      </w:r>
      <w:r>
        <w:rPr>
          <w:rFonts w:ascii="Times New Roman" w:hAnsi="Times New Roman" w:eastAsia="宋体" w:cs="Times New Roman"/>
          <w:color w:val="auto"/>
          <w:sz w:val="24"/>
          <w:szCs w:val="24"/>
        </w:rPr>
        <w:t>最大储存沼气</w:t>
      </w:r>
      <w:r>
        <w:rPr>
          <w:rFonts w:hint="eastAsia"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25</w:t>
      </w:r>
      <w:r>
        <w:rPr>
          <w:rFonts w:ascii="Times New Roman" w:hAnsi="Times New Roman" w:eastAsia="宋体" w:cs="Times New Roman"/>
          <w:color w:val="auto"/>
          <w:sz w:val="24"/>
          <w:szCs w:val="24"/>
        </w:rPr>
        <w:t>t，其临界量按其主要成分甲烷考虑，为10t。按照《建设项目环境风险评价技术导则》（HJ169-2018）附录B临界量进行判别，结果见表6.2-</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w:t>
      </w:r>
    </w:p>
    <w:p>
      <w:pPr>
        <w:pStyle w:val="2503"/>
        <w:numPr>
          <w:ilvl w:val="0"/>
          <w:numId w:val="36"/>
        </w:numPr>
        <w:spacing w:before="120"/>
        <w:ind w:left="425" w:leftChars="0" w:hanging="425" w:firstLineChars="0"/>
        <w:rPr>
          <w:rFonts w:hint="eastAsia"/>
          <w:color w:val="auto"/>
          <w:lang w:val="en-US" w:eastAsia="zh-CN"/>
        </w:rPr>
      </w:pPr>
      <w:r>
        <w:rPr>
          <w:rFonts w:hint="eastAsia"/>
          <w:color w:val="auto"/>
          <w:lang w:val="en-US" w:eastAsia="zh-CN"/>
        </w:rPr>
        <w:t xml:space="preserve">    危险物质数量与临界量比值判别表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842"/>
        <w:gridCol w:w="1307"/>
        <w:gridCol w:w="1745"/>
        <w:gridCol w:w="1269"/>
        <w:gridCol w:w="2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7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84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物料名称</w:t>
            </w:r>
          </w:p>
        </w:tc>
        <w:tc>
          <w:tcPr>
            <w:tcW w:w="1307"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CAS号</w:t>
            </w:r>
          </w:p>
        </w:tc>
        <w:tc>
          <w:tcPr>
            <w:tcW w:w="17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最大储存量(吨)</w:t>
            </w:r>
          </w:p>
        </w:tc>
        <w:tc>
          <w:tcPr>
            <w:tcW w:w="126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临界量(吨)</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4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w:t>
            </w:r>
          </w:p>
        </w:tc>
        <w:tc>
          <w:tcPr>
            <w:tcW w:w="1307"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w:t>
            </w:r>
          </w:p>
        </w:tc>
        <w:tc>
          <w:tcPr>
            <w:tcW w:w="126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84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沼气（甲烷）</w:t>
            </w:r>
          </w:p>
        </w:tc>
        <w:tc>
          <w:tcPr>
            <w:tcW w:w="1307"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74-82-8</w:t>
            </w:r>
          </w:p>
        </w:tc>
        <w:tc>
          <w:tcPr>
            <w:tcW w:w="17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w:t>
            </w:r>
          </w:p>
        </w:tc>
        <w:tc>
          <w:tcPr>
            <w:tcW w:w="126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84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过氧乙酸</w:t>
            </w:r>
          </w:p>
        </w:tc>
        <w:tc>
          <w:tcPr>
            <w:tcW w:w="1307"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7</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w:t>
            </w:r>
          </w:p>
        </w:tc>
        <w:tc>
          <w:tcPr>
            <w:tcW w:w="17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126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42" w:type="dxa"/>
            <w:gridSpan w:val="5"/>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0.045064</w:t>
            </w:r>
          </w:p>
        </w:tc>
      </w:tr>
    </w:tbl>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经计算，本项目危险物质数量与临界量比值</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vertAlign w:val="subscript"/>
        </w:rPr>
        <w:t>1</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vertAlign w:val="subscript"/>
        </w:rPr>
        <w:t>1</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w:t>
      </w:r>
      <w:r>
        <w:rPr>
          <w:rFonts w:ascii="Times New Roman" w:hAnsi="Times New Roman" w:eastAsia="宋体" w:cs="Times New Roman"/>
          <w:i/>
          <w:color w:val="auto"/>
          <w:sz w:val="24"/>
          <w:szCs w:val="24"/>
        </w:rPr>
        <w:t>Q</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0.045064</w:t>
      </w:r>
      <w:r>
        <w:rPr>
          <w:rFonts w:ascii="Times New Roman" w:hAnsi="Times New Roman" w:eastAsia="宋体" w:cs="Times New Roman"/>
          <w:color w:val="auto"/>
          <w:sz w:val="24"/>
          <w:szCs w:val="24"/>
        </w:rPr>
        <w:t>&lt;1，根据HJ169-2018附录C.1.1当Q&lt;1时，项目环境风险潜势为Ⅰ。</w:t>
      </w:r>
    </w:p>
    <w:p>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3、行业及生产工艺（M）值的确定</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根据《建设项目环境风险评价技术导则》（HJ169-2018）附录C，本项目</w:t>
      </w:r>
      <w:r>
        <w:rPr>
          <w:rFonts w:hint="eastAsia" w:ascii="Times New Roman" w:hAnsi="Times New Roman" w:eastAsia="宋体" w:cs="Times New Roman"/>
          <w:color w:val="auto"/>
          <w:sz w:val="24"/>
          <w:szCs w:val="24"/>
        </w:rPr>
        <w:t>涉及危险物质使用、储存的项目</w:t>
      </w:r>
      <w:r>
        <w:rPr>
          <w:rFonts w:ascii="Times New Roman" w:hAnsi="Times New Roman" w:eastAsia="宋体" w:cs="Times New Roman"/>
          <w:color w:val="auto"/>
          <w:sz w:val="24"/>
          <w:szCs w:val="24"/>
        </w:rPr>
        <w:t>过程，项目M值具体情况见表6.2-</w:t>
      </w: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w:t>
      </w:r>
    </w:p>
    <w:p>
      <w:pPr>
        <w:pStyle w:val="110"/>
        <w:rPr>
          <w:color w:val="auto"/>
        </w:rPr>
      </w:pPr>
    </w:p>
    <w:p>
      <w:pPr>
        <w:pStyle w:val="2503"/>
        <w:numPr>
          <w:ilvl w:val="0"/>
          <w:numId w:val="36"/>
        </w:numPr>
        <w:spacing w:before="120"/>
        <w:ind w:left="425" w:leftChars="0" w:hanging="425" w:firstLineChars="0"/>
        <w:rPr>
          <w:rFonts w:hint="eastAsia"/>
          <w:color w:val="auto"/>
          <w:lang w:val="en-US" w:eastAsia="zh-CN"/>
        </w:rPr>
      </w:pPr>
      <w:r>
        <w:rPr>
          <w:rFonts w:hint="eastAsia"/>
          <w:color w:val="auto"/>
          <w:lang w:val="en-US" w:eastAsia="zh-CN"/>
        </w:rPr>
        <w:t xml:space="preserve">   行业及生产工艺（M）值的确定</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3"/>
        <w:gridCol w:w="4954"/>
        <w:gridCol w:w="852"/>
        <w:gridCol w:w="1162"/>
        <w:gridCol w:w="111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56" w:right="0" w:firstLine="0" w:firstLineChars="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序号</w:t>
            </w:r>
          </w:p>
        </w:tc>
        <w:tc>
          <w:tcPr>
            <w:tcW w:w="4954"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评估依据</w:t>
            </w:r>
          </w:p>
        </w:tc>
        <w:tc>
          <w:tcPr>
            <w:tcW w:w="852"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236" w:right="0" w:firstLine="0" w:firstLineChars="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数量</w:t>
            </w:r>
          </w:p>
        </w:tc>
        <w:tc>
          <w:tcPr>
            <w:tcW w:w="1162"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98" w:right="0" w:firstLine="0" w:firstLineChars="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分值</w:t>
            </w:r>
          </w:p>
        </w:tc>
        <w:tc>
          <w:tcPr>
            <w:tcW w:w="1116"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9" w:right="0" w:firstLine="0" w:firstLineChars="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M值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w w:val="99"/>
                <w:kern w:val="0"/>
                <w:sz w:val="21"/>
                <w:szCs w:val="21"/>
                <w:lang w:val="en-US" w:eastAsia="zh-CN" w:bidi="ar-SA"/>
              </w:rPr>
              <w:t>1</w:t>
            </w:r>
          </w:p>
        </w:tc>
        <w:tc>
          <w:tcPr>
            <w:tcW w:w="4954"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142" w:right="0" w:firstLine="0" w:firstLineChars="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1"/>
                <w:szCs w:val="21"/>
                <w:lang w:val="en-US" w:eastAsia="zh-CN" w:bidi="ar-SA"/>
              </w:rPr>
              <w:t>涉及危险物质使用、储存的项目</w:t>
            </w:r>
          </w:p>
        </w:tc>
        <w:tc>
          <w:tcPr>
            <w:tcW w:w="852"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w w:val="99"/>
                <w:kern w:val="0"/>
                <w:sz w:val="21"/>
                <w:szCs w:val="21"/>
                <w:lang w:val="en-US" w:eastAsia="zh-CN" w:bidi="ar-SA"/>
              </w:rPr>
              <w:t>/</w:t>
            </w:r>
          </w:p>
        </w:tc>
        <w:tc>
          <w:tcPr>
            <w:tcW w:w="1162"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w w:val="99"/>
                <w:kern w:val="0"/>
                <w:sz w:val="21"/>
                <w:szCs w:val="21"/>
                <w:lang w:val="en-US" w:eastAsia="zh-CN" w:bidi="ar-SA"/>
              </w:rPr>
              <w:t>/</w:t>
            </w:r>
          </w:p>
        </w:tc>
        <w:tc>
          <w:tcPr>
            <w:tcW w:w="1116"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w w:val="99"/>
                <w:kern w:val="0"/>
                <w:sz w:val="21"/>
                <w:szCs w:val="21"/>
                <w:lang w:val="en-US" w:eastAsia="zh-CN" w:bidi="ar-SA"/>
              </w:rPr>
              <w:t>5</w:t>
            </w:r>
          </w:p>
        </w:tc>
      </w:tr>
    </w:tbl>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bCs/>
          <w:color w:val="auto"/>
          <w:sz w:val="24"/>
          <w:szCs w:val="24"/>
        </w:rPr>
        <w:t>对照《建设项目环境风险评价技术导则》（HJ 169-2018）附录C中表C.1行业及生产工艺（M），</w:t>
      </w:r>
      <w:r>
        <w:rPr>
          <w:rFonts w:ascii="Times New Roman" w:hAnsi="Times New Roman" w:eastAsia="宋体" w:cs="Times New Roman"/>
          <w:color w:val="auto"/>
          <w:sz w:val="24"/>
          <w:szCs w:val="24"/>
        </w:rPr>
        <w:t>本项目</w:t>
      </w:r>
      <w:r>
        <w:rPr>
          <w:rFonts w:ascii="Times New Roman" w:hAnsi="Times New Roman" w:eastAsia="宋体" w:cs="Times New Roman"/>
          <w:bCs/>
          <w:color w:val="auto"/>
          <w:sz w:val="24"/>
          <w:szCs w:val="24"/>
        </w:rPr>
        <w:t>行业及生产工艺M</w:t>
      </w:r>
      <w:r>
        <w:rPr>
          <w:rFonts w:ascii="Times New Roman" w:hAnsi="Times New Roman" w:eastAsia="宋体" w:cs="Times New Roman"/>
          <w:color w:val="auto"/>
          <w:sz w:val="24"/>
          <w:szCs w:val="24"/>
        </w:rPr>
        <w:t>=5，属于M4。</w:t>
      </w:r>
      <w:r>
        <w:rPr>
          <w:rFonts w:ascii="Times New Roman" w:hAnsi="Times New Roman" w:eastAsia="宋体" w:cs="Times New Roman"/>
          <w:bCs/>
          <w:color w:val="auto"/>
          <w:sz w:val="24"/>
          <w:szCs w:val="24"/>
        </w:rPr>
        <w:t>本项目行业及生产工艺属于其他涉及危险物质使用、贮存的项目</w:t>
      </w:r>
      <w:r>
        <w:rPr>
          <w:rFonts w:ascii="Times New Roman" w:hAnsi="Times New Roman" w:eastAsia="宋体" w:cs="Times New Roman"/>
          <w:color w:val="auto"/>
          <w:sz w:val="24"/>
          <w:szCs w:val="24"/>
        </w:rPr>
        <w:t>，</w:t>
      </w:r>
      <w:r>
        <w:rPr>
          <w:rFonts w:ascii="Times New Roman" w:hAnsi="Times New Roman" w:eastAsia="宋体" w:cs="Times New Roman"/>
          <w:bCs/>
          <w:color w:val="auto"/>
          <w:sz w:val="24"/>
          <w:szCs w:val="24"/>
        </w:rPr>
        <w:t>项目涉及的风险事故主要为危险物质使用过程及储存中存在的安全隐患。</w:t>
      </w:r>
    </w:p>
    <w:p>
      <w:pPr>
        <w:spacing w:line="440" w:lineRule="exact"/>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4、风险潜势判断</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根据《建设项目环境风险评价技术导则》（HJ169-2018），建设项目环境风险潜势划分为Ⅰ、Ⅱ、Ⅲ、Ⅳ/Ⅳ</w:t>
      </w:r>
      <w:r>
        <w:rPr>
          <w:rFonts w:ascii="Times New Roman" w:hAnsi="Times New Roman" w:eastAsia="宋体" w:cs="Times New Roman"/>
          <w:color w:val="auto"/>
          <w:sz w:val="24"/>
          <w:szCs w:val="24"/>
          <w:vertAlign w:val="superscript"/>
        </w:rPr>
        <w:t>+</w:t>
      </w:r>
      <w:r>
        <w:rPr>
          <w:rFonts w:ascii="Times New Roman" w:hAnsi="Times New Roman" w:eastAsia="宋体" w:cs="Times New Roman"/>
          <w:color w:val="auto"/>
          <w:sz w:val="24"/>
          <w:szCs w:val="24"/>
        </w:rPr>
        <w:t>级。根据建设项目涉及的物质和工艺系统的危险性及其所在地环境敏感程度，结合事故情形下环境影响途径，对建设项目潜在环境危害程度进行概化分析，本项目环境风险潜势综合等级为I，环境风险潜势划分情况见表6.2-</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w:t>
      </w:r>
    </w:p>
    <w:p>
      <w:pPr>
        <w:pStyle w:val="2503"/>
        <w:numPr>
          <w:ilvl w:val="0"/>
          <w:numId w:val="36"/>
        </w:numPr>
        <w:spacing w:before="120"/>
        <w:ind w:left="425" w:leftChars="0" w:hanging="425" w:firstLineChars="0"/>
        <w:rPr>
          <w:rFonts w:hint="eastAsia"/>
          <w:color w:val="auto"/>
          <w:lang w:val="en-US" w:eastAsia="zh-CN"/>
        </w:rPr>
      </w:pPr>
      <w:r>
        <w:rPr>
          <w:rFonts w:hint="eastAsia"/>
          <w:color w:val="auto"/>
          <w:lang w:val="en-US" w:eastAsia="zh-CN"/>
        </w:rPr>
        <w:t xml:space="preserve">   建设项目环境风险潜势划分</w:t>
      </w:r>
    </w:p>
    <w:tbl>
      <w:tblPr>
        <w:tblStyle w:val="8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1787"/>
        <w:gridCol w:w="1534"/>
        <w:gridCol w:w="1661"/>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环境敏感程度（E）</w:t>
            </w:r>
          </w:p>
        </w:tc>
        <w:tc>
          <w:tcPr>
            <w:tcW w:w="3773" w:type="pct"/>
            <w:gridSpan w:val="4"/>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10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极高危害（P1）</w:t>
            </w:r>
          </w:p>
        </w:tc>
        <w:tc>
          <w:tcPr>
            <w:tcW w:w="9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高度危害（P2）</w:t>
            </w:r>
          </w:p>
        </w:tc>
        <w:tc>
          <w:tcPr>
            <w:tcW w:w="975"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中度危害（P3）</w:t>
            </w:r>
          </w:p>
        </w:tc>
        <w:tc>
          <w:tcPr>
            <w:tcW w:w="8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环境高度敏感区（E1）</w:t>
            </w:r>
          </w:p>
        </w:tc>
        <w:tc>
          <w:tcPr>
            <w:tcW w:w="10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Ⅳ</w:t>
            </w:r>
            <w:r>
              <w:rPr>
                <w:rFonts w:hint="default" w:ascii="Times New Roman" w:hAnsi="Times New Roman" w:eastAsia="宋体" w:cs="Times New Roman"/>
                <w:bCs/>
                <w:color w:val="auto"/>
                <w:sz w:val="21"/>
                <w:szCs w:val="21"/>
                <w:vertAlign w:val="superscript"/>
              </w:rPr>
              <w:t>+</w:t>
            </w:r>
          </w:p>
        </w:tc>
        <w:tc>
          <w:tcPr>
            <w:tcW w:w="9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Ⅳ</w:t>
            </w:r>
          </w:p>
        </w:tc>
        <w:tc>
          <w:tcPr>
            <w:tcW w:w="975"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Ⅲ</w:t>
            </w:r>
          </w:p>
        </w:tc>
        <w:tc>
          <w:tcPr>
            <w:tcW w:w="8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环境中度敏感区（E2）</w:t>
            </w:r>
          </w:p>
        </w:tc>
        <w:tc>
          <w:tcPr>
            <w:tcW w:w="10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Ⅳ</w:t>
            </w:r>
          </w:p>
        </w:tc>
        <w:tc>
          <w:tcPr>
            <w:tcW w:w="9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Ⅲ</w:t>
            </w:r>
          </w:p>
        </w:tc>
        <w:tc>
          <w:tcPr>
            <w:tcW w:w="975"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Ⅲ</w:t>
            </w:r>
          </w:p>
        </w:tc>
        <w:tc>
          <w:tcPr>
            <w:tcW w:w="849" w:type="pct"/>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环境低度敏感区（E3）</w:t>
            </w:r>
          </w:p>
        </w:tc>
        <w:tc>
          <w:tcPr>
            <w:tcW w:w="1049"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Ⅲ</w:t>
            </w:r>
          </w:p>
        </w:tc>
        <w:tc>
          <w:tcPr>
            <w:tcW w:w="900"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Ⅲ</w:t>
            </w:r>
          </w:p>
        </w:tc>
        <w:tc>
          <w:tcPr>
            <w:tcW w:w="97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Ⅱ</w:t>
            </w:r>
          </w:p>
        </w:tc>
        <w:tc>
          <w:tcPr>
            <w:tcW w:w="849" w:type="pct"/>
            <w:tcBorders>
              <w:top w:val="single" w:color="auto" w:sz="4" w:space="0"/>
              <w:bottom w:val="single" w:color="auto" w:sz="4" w:space="0"/>
            </w:tcBorders>
            <w:shd w:val="pct10"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注：</w:t>
            </w:r>
            <w:r>
              <w:rPr>
                <w:rFonts w:hint="default" w:ascii="Times New Roman" w:hAnsi="Times New Roman" w:eastAsia="黑体" w:cs="Times New Roman"/>
                <w:bCs/>
                <w:color w:val="auto"/>
                <w:sz w:val="21"/>
                <w:szCs w:val="21"/>
              </w:rPr>
              <w:t>Ⅳ</w:t>
            </w:r>
            <w:r>
              <w:rPr>
                <w:rFonts w:hint="default" w:ascii="Times New Roman" w:hAnsi="Times New Roman" w:eastAsia="黑体" w:cs="Times New Roman"/>
                <w:bCs/>
                <w:color w:val="auto"/>
                <w:sz w:val="21"/>
                <w:szCs w:val="21"/>
                <w:vertAlign w:val="superscript"/>
              </w:rPr>
              <w:t>+</w:t>
            </w:r>
            <w:r>
              <w:rPr>
                <w:rFonts w:hint="default" w:ascii="Times New Roman" w:hAnsi="Times New Roman" w:eastAsia="黑体" w:cs="Times New Roman"/>
                <w:color w:val="auto"/>
                <w:sz w:val="21"/>
                <w:szCs w:val="21"/>
              </w:rPr>
              <w:t>为极高环境风险。</w:t>
            </w:r>
          </w:p>
        </w:tc>
      </w:tr>
    </w:tbl>
    <w:p>
      <w:pPr>
        <w:pStyle w:val="7"/>
        <w:spacing w:before="0" w:after="0" w:line="360" w:lineRule="auto"/>
        <w:ind w:left="0" w:firstLine="0"/>
        <w:rPr>
          <w:rFonts w:hint="eastAsia" w:cs="Times New Roman"/>
          <w:color w:val="auto"/>
          <w:lang w:val="en-US" w:eastAsia="zh-CN"/>
        </w:rPr>
      </w:pPr>
      <w:bookmarkStart w:id="252" w:name="_Toc17779"/>
      <w:r>
        <w:rPr>
          <w:rFonts w:hint="eastAsia" w:cs="Times New Roman"/>
          <w:color w:val="auto"/>
          <w:lang w:val="en-US" w:eastAsia="zh-CN"/>
        </w:rPr>
        <w:t>评价等级</w:t>
      </w:r>
      <w:bookmarkEnd w:id="252"/>
    </w:p>
    <w:p>
      <w:pPr>
        <w:spacing w:line="360" w:lineRule="auto"/>
        <w:ind w:firstLine="480" w:firstLineChars="200"/>
        <w:rPr>
          <w:rFonts w:ascii="Times New Roman" w:hAnsi="Times New Roman" w:eastAsia="宋体" w:cs="Times New Roman"/>
          <w:b/>
          <w:bCs/>
          <w:color w:val="auto"/>
          <w:sz w:val="24"/>
          <w:szCs w:val="24"/>
        </w:rPr>
      </w:pPr>
      <w:r>
        <w:rPr>
          <w:rFonts w:ascii="Times New Roman" w:hAnsi="Times New Roman" w:eastAsia="宋体" w:cs="Times New Roman"/>
          <w:bCs/>
          <w:color w:val="auto"/>
          <w:sz w:val="24"/>
          <w:szCs w:val="24"/>
        </w:rPr>
        <w:t>根据《建设项目环境风险评价技术导则》（HJ 169-2018），环境风险评价工作等级划分为一级、二级、三级。根据建设项目涉及的物质及工艺系统危险性和所在地的环境敏感性确定环境风险潜势，按照下表6.2-</w:t>
      </w:r>
      <w:r>
        <w:rPr>
          <w:rFonts w:hint="eastAsia" w:ascii="Times New Roman" w:hAnsi="Times New Roman" w:eastAsia="宋体" w:cs="Times New Roman"/>
          <w:bCs/>
          <w:color w:val="auto"/>
          <w:sz w:val="24"/>
          <w:szCs w:val="24"/>
          <w:lang w:val="en-US" w:eastAsia="zh-CN"/>
        </w:rPr>
        <w:t>5</w:t>
      </w:r>
      <w:r>
        <w:rPr>
          <w:rFonts w:ascii="Times New Roman" w:hAnsi="Times New Roman" w:eastAsia="宋体" w:cs="Times New Roman"/>
          <w:bCs/>
          <w:color w:val="auto"/>
          <w:sz w:val="24"/>
          <w:szCs w:val="24"/>
        </w:rPr>
        <w:t>对环境风险评价工作等级进行划分。</w:t>
      </w:r>
    </w:p>
    <w:p>
      <w:pPr>
        <w:pStyle w:val="2503"/>
        <w:numPr>
          <w:ilvl w:val="0"/>
          <w:numId w:val="36"/>
        </w:numPr>
        <w:spacing w:before="120"/>
        <w:ind w:left="425" w:leftChars="0" w:hanging="425" w:firstLineChars="0"/>
        <w:rPr>
          <w:rFonts w:hint="eastAsia"/>
          <w:color w:val="auto"/>
          <w:lang w:val="en-US" w:eastAsia="zh-CN"/>
        </w:rPr>
      </w:pPr>
      <w:r>
        <w:rPr>
          <w:rFonts w:hint="eastAsia"/>
          <w:color w:val="auto"/>
          <w:lang w:val="en-US" w:eastAsia="zh-CN"/>
        </w:rPr>
        <w:t xml:space="preserve">   评价工作等级划分</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1702"/>
        <w:gridCol w:w="1702"/>
        <w:gridCol w:w="1702"/>
        <w:gridCol w:w="1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97"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环境风险潜势</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Ⅳ、Ⅳ</w:t>
            </w:r>
            <w:r>
              <w:rPr>
                <w:rFonts w:hint="default" w:ascii="Times New Roman" w:hAnsi="Times New Roman" w:eastAsia="宋体" w:cs="Times New Roman"/>
                <w:color w:val="auto"/>
                <w:kern w:val="2"/>
                <w:sz w:val="21"/>
                <w:szCs w:val="21"/>
                <w:vertAlign w:val="superscript"/>
                <w:lang w:val="en-US" w:eastAsia="zh-CN" w:bidi="ar-SA"/>
              </w:rPr>
              <w:t>+</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Ⅲ</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Ⅱ</w:t>
            </w:r>
          </w:p>
        </w:tc>
        <w:tc>
          <w:tcPr>
            <w:tcW w:w="1004" w:type="pct"/>
            <w:tcBorders>
              <w:top w:val="single" w:color="auto" w:sz="12" w:space="0"/>
              <w:bottom w:val="single" w:color="auto" w:sz="4" w:space="0"/>
            </w:tcBorders>
            <w:shd w:val="clear" w:color="auto" w:fill="DBDBDB"/>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97"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评价工作等级</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w:t>
            </w:r>
          </w:p>
        </w:tc>
        <w:tc>
          <w:tcPr>
            <w:tcW w:w="1004" w:type="pct"/>
            <w:tcBorders>
              <w:top w:val="single" w:color="auto" w:sz="4" w:space="0"/>
              <w:bottom w:val="single" w:color="auto" w:sz="4" w:space="0"/>
            </w:tcBorders>
            <w:shd w:val="clear" w:color="auto" w:fill="DBDBDB"/>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简单分析</w:t>
            </w:r>
            <w:r>
              <w:rPr>
                <w:rFonts w:hint="default" w:ascii="Times New Roman" w:hAnsi="Times New Roman" w:eastAsia="宋体" w:cs="Times New Roman"/>
                <w:color w:val="auto"/>
                <w:kern w:val="2"/>
                <w:sz w:val="21"/>
                <w:szCs w:val="21"/>
                <w:vertAlign w:val="superscript"/>
                <w:lang w:val="en-US" w:eastAsia="zh-CN" w:bidi="ar-SA"/>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noWrap w:val="0"/>
            <w:vAlign w:val="center"/>
          </w:tcPr>
          <w:p>
            <w:pPr>
              <w:keepNext w:val="0"/>
              <w:keepLines w:val="0"/>
              <w:widowControl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kern w:val="2"/>
                <w:sz w:val="21"/>
                <w:szCs w:val="21"/>
                <w:vertAlign w:val="superscript"/>
                <w:lang w:val="en-US" w:eastAsia="zh-CN" w:bidi="ar-SA"/>
              </w:rPr>
              <w:t>a</w:t>
            </w:r>
            <w:r>
              <w:rPr>
                <w:rFonts w:hint="default" w:ascii="Times New Roman" w:hAnsi="Times New Roman" w:eastAsia="宋体" w:cs="Times New Roman"/>
                <w:color w:val="auto"/>
                <w:kern w:val="2"/>
                <w:sz w:val="21"/>
                <w:szCs w:val="21"/>
                <w:lang w:val="en-US" w:eastAsia="zh-CN" w:bidi="ar-SA"/>
              </w:rPr>
              <w:t>是相对于详细评价工作内容而言，在描述危险物质、环境影响途径、环境危害后果、风险防范措施等方面给出定性的说明。见附录A。</w:t>
            </w:r>
          </w:p>
        </w:tc>
      </w:tr>
    </w:tbl>
    <w:p>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根据建设项目涉及的物质及工艺系统危险性和所在地的环境敏感性确定环境风险潜势，环境风险潜势为Ⅳ及以上，进行一级评价；风险潜势为Ⅲ，进行二级评价；风险潜势为Ⅱ，进行三级级评价；环境风险潜势为Ⅰ，可开展简单分析。根据项目风险源调查结果，本项目Q值为</w:t>
      </w:r>
      <w:r>
        <w:rPr>
          <w:rFonts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rPr>
        <w:t>193</w:t>
      </w:r>
      <w:r>
        <w:rPr>
          <w:rFonts w:ascii="Times New Roman" w:hAnsi="Times New Roman" w:eastAsia="宋体" w:cs="Times New Roman"/>
          <w:color w:val="auto"/>
          <w:sz w:val="24"/>
          <w:szCs w:val="24"/>
        </w:rPr>
        <w:t>64&lt;1</w:t>
      </w:r>
      <w:r>
        <w:rPr>
          <w:rFonts w:ascii="Times New Roman" w:hAnsi="Times New Roman" w:eastAsia="宋体" w:cs="Times New Roman"/>
          <w:bCs/>
          <w:color w:val="auto"/>
          <w:sz w:val="24"/>
          <w:szCs w:val="24"/>
        </w:rPr>
        <w:t>，环境风险潜势为Ⅰ，因此本次评价仅针对环境风险进行简单分析。</w:t>
      </w:r>
    </w:p>
    <w:p>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根据《建设项目环境风险评价技术导则》（HJ 169-2018）规定，本次评价重点进行风险识别、源项分析和对事故影响进行简单分析，提出防范、减缓和应急措施。</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253" w:name="_Toc27382"/>
      <w:r>
        <w:rPr>
          <w:rFonts w:hint="eastAsia" w:ascii="Times New Roman" w:hAnsi="Times New Roman" w:eastAsia="宋体" w:cs="Times New Roman"/>
          <w:color w:val="auto"/>
          <w:lang w:val="en-US" w:eastAsia="zh-CN"/>
        </w:rPr>
        <w:t>风险识别</w:t>
      </w:r>
      <w:bookmarkEnd w:id="253"/>
    </w:p>
    <w:p>
      <w:pPr>
        <w:pStyle w:val="8"/>
        <w:rPr>
          <w:rFonts w:hint="eastAsia" w:cs="Times New Roman"/>
          <w:color w:val="auto"/>
          <w:lang w:eastAsia="zh-CN"/>
        </w:rPr>
      </w:pPr>
      <w:r>
        <w:rPr>
          <w:rFonts w:hint="eastAsia" w:cs="Times New Roman"/>
          <w:color w:val="auto"/>
          <w:lang w:eastAsia="zh-CN"/>
        </w:rPr>
        <w:t>物质风险识别</w:t>
      </w:r>
    </w:p>
    <w:p>
      <w:pPr>
        <w:tabs>
          <w:tab w:val="left" w:pos="1220"/>
        </w:tabs>
        <w:ind w:firstLine="520" w:firstLineChars="210"/>
        <w:rPr>
          <w:rFonts w:hint="eastAsia"/>
          <w:color w:val="auto"/>
          <w:spacing w:val="4"/>
          <w:sz w:val="24"/>
        </w:rPr>
      </w:pPr>
      <w:r>
        <w:rPr>
          <w:rFonts w:hint="eastAsia"/>
          <w:color w:val="auto"/>
          <w:spacing w:val="4"/>
          <w:sz w:val="24"/>
        </w:rPr>
        <w:t>本项目物质危险性识别见下表。</w:t>
      </w:r>
    </w:p>
    <w:p>
      <w:pPr>
        <w:pStyle w:val="2503"/>
        <w:numPr>
          <w:ilvl w:val="0"/>
          <w:numId w:val="36"/>
        </w:numPr>
        <w:spacing w:before="120"/>
        <w:ind w:left="425" w:leftChars="0" w:hanging="425" w:firstLineChars="0"/>
        <w:rPr>
          <w:rFonts w:hint="eastAsia"/>
          <w:color w:val="auto"/>
          <w:lang w:val="en-US" w:eastAsia="zh-CN"/>
        </w:rPr>
      </w:pPr>
      <w:r>
        <w:rPr>
          <w:rFonts w:hint="eastAsia"/>
          <w:color w:val="auto"/>
          <w:lang w:val="en-US" w:eastAsia="zh-CN"/>
        </w:rPr>
        <w:t xml:space="preserve">   本项目化学品危险特性一览表</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200"/>
        <w:gridCol w:w="1875"/>
        <w:gridCol w:w="4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720" w:type="dxa"/>
            <w:tcBorders>
              <w:bottom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序号</w:t>
            </w:r>
          </w:p>
        </w:tc>
        <w:tc>
          <w:tcPr>
            <w:tcW w:w="1200" w:type="dxa"/>
            <w:tcBorders>
              <w:bottom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名称</w:t>
            </w:r>
          </w:p>
        </w:tc>
        <w:tc>
          <w:tcPr>
            <w:tcW w:w="1875" w:type="dxa"/>
            <w:tcBorders>
              <w:bottom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主（次）危险性类别</w:t>
            </w:r>
          </w:p>
        </w:tc>
        <w:tc>
          <w:tcPr>
            <w:tcW w:w="4567" w:type="dxa"/>
            <w:tcBorders>
              <w:bottom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tcBorders>
              <w:top w:val="single" w:color="auto" w:sz="4" w:space="0"/>
              <w:bottom w:val="single" w:color="auto" w:sz="4" w:space="0"/>
            </w:tcBorders>
            <w:shd w:val="clear" w:color="auto" w:fill="auto"/>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c>
          <w:tcPr>
            <w:tcW w:w="1200" w:type="dxa"/>
            <w:tcBorders>
              <w:top w:val="single" w:color="auto" w:sz="4" w:space="0"/>
              <w:bottom w:val="single" w:color="auto" w:sz="4" w:space="0"/>
            </w:tcBorders>
            <w:shd w:val="clear" w:color="auto" w:fill="auto"/>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CH</w:t>
            </w:r>
            <w:r>
              <w:rPr>
                <w:rFonts w:hint="default" w:ascii="Times New Roman" w:hAnsi="Times New Roman" w:eastAsia="宋体" w:cs="Times New Roman"/>
                <w:color w:val="auto"/>
                <w:kern w:val="0"/>
                <w:szCs w:val="21"/>
                <w:vertAlign w:val="subscript"/>
              </w:rPr>
              <w:t>4</w:t>
            </w:r>
          </w:p>
        </w:tc>
        <w:tc>
          <w:tcPr>
            <w:tcW w:w="1875" w:type="dxa"/>
            <w:tcBorders>
              <w:top w:val="single" w:color="auto" w:sz="4" w:space="0"/>
              <w:bottom w:val="single" w:color="auto" w:sz="4" w:space="0"/>
            </w:tcBorders>
            <w:shd w:val="clear" w:color="auto" w:fill="auto"/>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易燃气体</w:t>
            </w:r>
          </w:p>
        </w:tc>
        <w:tc>
          <w:tcPr>
            <w:tcW w:w="4567" w:type="dxa"/>
            <w:tcBorders>
              <w:top w:val="single" w:color="auto" w:sz="4" w:space="0"/>
              <w:bottom w:val="single" w:color="auto" w:sz="4" w:space="0"/>
            </w:tcBorders>
            <w:shd w:val="clear" w:color="auto" w:fill="auto"/>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both"/>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分子量 16.04。熔点-182.47℃，沸点-161.45℃。闪点-187.7℃，是最简单的有机化合物。无色无味、难溶于水的可燃性气体，和空气组成适当比例时，遇火花会发生爆炸。甲烷对人基本无毒，但浓度过高时，使空气中氧含量明显降低，使人窒息。当空气中甲烷达 25%～30%时，可引起头痛、头晕、乏力、注意力不集中、呼吸和心跳加速、共济失调。若不及时脱离，可致窒息死亡。皮肤接触液化本品，可致冻伤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w:t>
            </w:r>
          </w:p>
        </w:tc>
        <w:tc>
          <w:tcPr>
            <w:tcW w:w="120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柴油</w:t>
            </w:r>
          </w:p>
        </w:tc>
        <w:tc>
          <w:tcPr>
            <w:tcW w:w="1875"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易燃液体</w:t>
            </w:r>
          </w:p>
        </w:tc>
        <w:tc>
          <w:tcPr>
            <w:tcW w:w="4567"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both"/>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72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w:t>
            </w:r>
          </w:p>
        </w:tc>
        <w:tc>
          <w:tcPr>
            <w:tcW w:w="120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过氧乙酸</w:t>
            </w:r>
          </w:p>
        </w:tc>
        <w:tc>
          <w:tcPr>
            <w:tcW w:w="1875"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易燃</w:t>
            </w:r>
          </w:p>
        </w:tc>
        <w:tc>
          <w:tcPr>
            <w:tcW w:w="4567"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both"/>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易燃，加热至 100℃ 即猛烈分解，遇火或受热、受震都可起爆。与还原剂、促进剂、有机物、可燃物等接触会发生剧烈反应，有燃烧爆炸的危险。有强腐蚀性。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72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w:t>
            </w:r>
          </w:p>
        </w:tc>
        <w:tc>
          <w:tcPr>
            <w:tcW w:w="120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烧碱</w:t>
            </w:r>
          </w:p>
        </w:tc>
        <w:tc>
          <w:tcPr>
            <w:tcW w:w="1875"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腐蚀性</w:t>
            </w:r>
          </w:p>
        </w:tc>
        <w:tc>
          <w:tcPr>
            <w:tcW w:w="4567"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该品有强烈刺激和腐蚀性。粉尘或烟雾会刺激眼和呼吸道，腐蚀鼻中隔，皮肤和眼与 NaOH 直接接触会引起灼伤，误服可造成消化道灼伤，粘膜糜烂、出血和休克。</w:t>
            </w:r>
          </w:p>
        </w:tc>
      </w:tr>
    </w:tbl>
    <w:p>
      <w:pPr>
        <w:pStyle w:val="8"/>
        <w:rPr>
          <w:rFonts w:hint="eastAsia" w:cs="Times New Roman"/>
          <w:color w:val="auto"/>
          <w:lang w:eastAsia="zh-CN"/>
        </w:rPr>
      </w:pPr>
      <w:r>
        <w:rPr>
          <w:rFonts w:hint="eastAsia" w:cs="Times New Roman"/>
          <w:color w:val="auto"/>
          <w:lang w:eastAsia="zh-CN"/>
        </w:rPr>
        <w:t>生产设施风险识别</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生产设施存在风险的系统主要包括贮运系统、生产系统，发生泄漏、火灾等风险事故。</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1）本项目在沼气产生、输送、贮存过程中，设备的弯曲连接、阀门、管线等均有可能导致沼气泄漏。泄漏的气体容易与空气混合形成爆炸性混合气体，当形成的气云浓度高于爆炸下限并且低于爆炸上限时，遇火源将引发火灾、爆炸，对周围人员、建筑物造成危害。</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在生产中容易发生泄漏的部分如下：</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eastAsia" w:ascii="Times New Roman" w:hAnsi="Times New Roman" w:cs="Times New Roman"/>
          <w:color w:val="auto"/>
          <w:spacing w:val="4"/>
          <w:sz w:val="24"/>
          <w:lang w:val="en-US" w:eastAsia="zh-CN"/>
        </w:rPr>
        <w:t>1、</w:t>
      </w:r>
      <w:r>
        <w:rPr>
          <w:rFonts w:hint="default" w:ascii="Times New Roman" w:hAnsi="Times New Roman" w:cs="Times New Roman"/>
          <w:color w:val="auto"/>
          <w:spacing w:val="4"/>
          <w:sz w:val="24"/>
        </w:rPr>
        <w:t>管道：沼气的输送管道，可能存在材料缺陷、机械损伤、内外腐蚀、焊缝裂纹或缺陷、外力破坏、施工缺陷和特殊因素等都可能导致管道局部泄漏。</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eastAsia" w:ascii="Times New Roman" w:hAnsi="Times New Roman" w:cs="Times New Roman"/>
          <w:color w:val="auto"/>
          <w:spacing w:val="4"/>
          <w:sz w:val="24"/>
          <w:lang w:val="en-US" w:eastAsia="zh-CN"/>
        </w:rPr>
        <w:t>2、</w:t>
      </w:r>
      <w:r>
        <w:rPr>
          <w:rFonts w:hint="default" w:ascii="Times New Roman" w:hAnsi="Times New Roman" w:cs="Times New Roman"/>
          <w:color w:val="auto"/>
          <w:spacing w:val="4"/>
          <w:sz w:val="24"/>
        </w:rPr>
        <w:t>阀门：排放阀、润滑系统缺陷及管道系统的阀门、法兰等密封不好或填料缺陷，正常磨损，操作失误等易造成泄漏。</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eastAsia" w:ascii="Times New Roman" w:hAnsi="Times New Roman" w:cs="Times New Roman"/>
          <w:color w:val="auto"/>
          <w:spacing w:val="4"/>
          <w:sz w:val="24"/>
          <w:lang w:val="en-US" w:eastAsia="zh-CN"/>
        </w:rPr>
        <w:t>3、</w:t>
      </w:r>
      <w:r>
        <w:rPr>
          <w:rFonts w:hint="default" w:ascii="Times New Roman" w:hAnsi="Times New Roman" w:cs="Times New Roman"/>
          <w:color w:val="auto"/>
          <w:spacing w:val="4"/>
          <w:sz w:val="24"/>
        </w:rPr>
        <w:t>附件、安全装置：附件、安全装置不可靠可能引发破裂而导致泄漏。如安全阀失效引起超压爆破而泄漏。</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eastAsia" w:ascii="Times New Roman" w:hAnsi="Times New Roman" w:cs="Times New Roman"/>
          <w:color w:val="auto"/>
          <w:spacing w:val="4"/>
          <w:sz w:val="24"/>
          <w:lang w:val="en-US" w:eastAsia="zh-CN"/>
        </w:rPr>
        <w:t>4、</w:t>
      </w:r>
      <w:r>
        <w:rPr>
          <w:rFonts w:hint="default" w:ascii="Times New Roman" w:hAnsi="Times New Roman" w:cs="Times New Roman"/>
          <w:color w:val="auto"/>
          <w:spacing w:val="4"/>
          <w:sz w:val="24"/>
        </w:rPr>
        <w:t>生产设备：沼气池采用筋砼结构，现场浇筑，若密封不严，或操作不规范未封盖严实时，会导致沼气泄漏；双膜储气袋可能因本身的质量缺陷，或不具备抗压性能、超期使用，而导致穿透造成泄漏危险。</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eastAsia" w:ascii="Times New Roman" w:hAnsi="Times New Roman" w:cs="Times New Roman"/>
          <w:color w:val="auto"/>
          <w:spacing w:val="4"/>
          <w:sz w:val="24"/>
          <w:lang w:val="en-US" w:eastAsia="zh-CN"/>
        </w:rPr>
        <w:t>5、</w:t>
      </w:r>
      <w:r>
        <w:rPr>
          <w:rFonts w:hint="default" w:ascii="Times New Roman" w:hAnsi="Times New Roman" w:cs="Times New Roman"/>
          <w:color w:val="auto"/>
          <w:spacing w:val="4"/>
          <w:sz w:val="24"/>
        </w:rPr>
        <w:t>放空：沼气储气袋、储气袋设备可能因控制系统出现故障或操作与判断失误，导致沼气放空。</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2）本项目化学原料（消毒剂）储存在包装袋/桶中，在储存、装卸过程中，包装袋/桶桶发生意外事故的几率很低，但仍不能排除因种种原因引起泄漏乃至火灾事故发生的可能性，因此有必要进行全面、细致的环境风险因素分析，找出事故发生的可能性，提出必要的防范措施，以利于管理部门了解事故发生的可能性，及早的消除事故隐患和预防事故的发生。</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①材料缺陷：是指因材料本身有划痕、擦伤、砂眼等瑕疵。而最终导致泄漏的情况。</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②腐蚀：是指由于各种原因造成的包装袋/桶内、外壁的腐蚀，引起泄漏的情况。</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③违规操作：主要是指由于人为破坏的情况，其中主要为其他项目施工时的影响。</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④自然因素：是指由于地震、洪水、飓风、开春时地面下沉等自然原因而造成的损坏。</w:t>
      </w:r>
    </w:p>
    <w:p>
      <w:pPr>
        <w:pStyle w:val="110"/>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spacing w:val="4"/>
          <w:sz w:val="24"/>
        </w:rPr>
        <w:t>⑤夏季高温期间如防护措施不力或冷却降温系统发生故障，易引发易燃液体物料的火灾、爆炸。</w:t>
      </w:r>
    </w:p>
    <w:p>
      <w:pPr>
        <w:keepNext w:val="0"/>
        <w:keepLines w:val="0"/>
        <w:pageBreakBefore w:val="0"/>
        <w:widowControl w:val="0"/>
        <w:tabs>
          <w:tab w:val="left" w:pos="1220"/>
        </w:tabs>
        <w:kinsoku/>
        <w:wordWrap/>
        <w:overflowPunct/>
        <w:topLinePunct w:val="0"/>
        <w:autoSpaceDE/>
        <w:autoSpaceDN/>
        <w:bidi w:val="0"/>
        <w:adjustRightInd/>
        <w:snapToGrid/>
        <w:ind w:firstLine="496" w:firstLineChars="200"/>
        <w:textAlignment w:val="auto"/>
        <w:rPr>
          <w:rFonts w:hint="eastAsia"/>
          <w:color w:val="auto"/>
          <w:spacing w:val="4"/>
          <w:sz w:val="24"/>
        </w:rPr>
      </w:pPr>
      <w:r>
        <w:rPr>
          <w:rFonts w:hint="eastAsia"/>
          <w:color w:val="auto"/>
          <w:spacing w:val="4"/>
          <w:sz w:val="24"/>
        </w:rPr>
        <w:t>（3）污水处理站出现故障，无法正常运行，导致废水不能达标处理，造成环境污染。</w:t>
      </w:r>
    </w:p>
    <w:p>
      <w:pPr>
        <w:keepNext w:val="0"/>
        <w:keepLines w:val="0"/>
        <w:pageBreakBefore w:val="0"/>
        <w:widowControl w:val="0"/>
        <w:tabs>
          <w:tab w:val="left" w:pos="1220"/>
        </w:tabs>
        <w:kinsoku/>
        <w:wordWrap/>
        <w:overflowPunct/>
        <w:topLinePunct w:val="0"/>
        <w:autoSpaceDE/>
        <w:autoSpaceDN/>
        <w:bidi w:val="0"/>
        <w:adjustRightInd/>
        <w:snapToGrid/>
        <w:ind w:firstLine="496" w:firstLineChars="200"/>
        <w:textAlignment w:val="auto"/>
        <w:rPr>
          <w:rFonts w:hint="eastAsia"/>
          <w:color w:val="auto"/>
          <w:spacing w:val="4"/>
          <w:sz w:val="24"/>
        </w:rPr>
      </w:pPr>
      <w:r>
        <w:rPr>
          <w:rFonts w:hint="eastAsia"/>
          <w:color w:val="auto"/>
          <w:spacing w:val="4"/>
          <w:sz w:val="24"/>
        </w:rPr>
        <w:t>（4）患传染病的猪引发的疫病风险：患人畜共患的传染病的猪和工作人员接触后引发工作人员发病，病猪的猪粪和工作人员接触后引发工作人员发病。</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254" w:name="_Toc7500"/>
      <w:bookmarkStart w:id="255" w:name="_Toc29221876"/>
      <w:r>
        <w:rPr>
          <w:rFonts w:hint="eastAsia" w:ascii="Times New Roman" w:hAnsi="Times New Roman" w:eastAsia="宋体" w:cs="Times New Roman"/>
          <w:color w:val="auto"/>
          <w:lang w:val="en-US" w:eastAsia="zh-CN"/>
        </w:rPr>
        <w:t>环境敏感目标概况</w:t>
      </w:r>
      <w:bookmarkEnd w:id="254"/>
      <w:bookmarkEnd w:id="255"/>
    </w:p>
    <w:p>
      <w:pPr>
        <w:pStyle w:val="110"/>
        <w:rPr>
          <w:rFonts w:hint="eastAsia"/>
          <w:color w:val="auto"/>
        </w:rPr>
      </w:pPr>
      <w:r>
        <w:rPr>
          <w:rFonts w:hint="eastAsia"/>
          <w:color w:val="auto"/>
        </w:rPr>
        <w:t>通过调查，确定本项目环境敏感目标，具体见表</w:t>
      </w:r>
      <w:r>
        <w:rPr>
          <w:rFonts w:hint="eastAsia"/>
          <w:color w:val="auto"/>
          <w:lang w:val="en-US" w:eastAsia="zh-CN"/>
        </w:rPr>
        <w:t>6.4</w:t>
      </w:r>
      <w:r>
        <w:rPr>
          <w:rFonts w:hint="eastAsia"/>
          <w:color w:val="auto"/>
        </w:rPr>
        <w:t>-</w:t>
      </w:r>
      <w:r>
        <w:rPr>
          <w:rFonts w:hint="eastAsia"/>
          <w:color w:val="auto"/>
          <w:lang w:val="en-US" w:eastAsia="zh-CN"/>
        </w:rPr>
        <w:t>1</w:t>
      </w:r>
      <w:r>
        <w:rPr>
          <w:rFonts w:hint="eastAsia"/>
          <w:color w:val="auto"/>
        </w:rPr>
        <w:t>。</w:t>
      </w:r>
    </w:p>
    <w:p>
      <w:pPr>
        <w:pStyle w:val="2503"/>
        <w:numPr>
          <w:ilvl w:val="0"/>
          <w:numId w:val="37"/>
        </w:numPr>
        <w:spacing w:before="120"/>
        <w:ind w:left="425" w:leftChars="0" w:hanging="425" w:firstLineChars="0"/>
        <w:jc w:val="center"/>
        <w:rPr>
          <w:color w:val="auto"/>
        </w:rPr>
      </w:pPr>
      <w:r>
        <w:rPr>
          <w:color w:val="auto"/>
        </w:rPr>
        <w:t>项目环境敏感特征表</w:t>
      </w:r>
    </w:p>
    <w:tbl>
      <w:tblPr>
        <w:tblStyle w:val="88"/>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68"/>
        <w:gridCol w:w="747"/>
        <w:gridCol w:w="2020"/>
        <w:gridCol w:w="1094"/>
        <w:gridCol w:w="406"/>
        <w:gridCol w:w="888"/>
        <w:gridCol w:w="194"/>
        <w:gridCol w:w="675"/>
        <w:gridCol w:w="407"/>
        <w:gridCol w:w="112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restar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eastAsia" w:ascii="Times New Roman" w:hAnsi="Times New Roman" w:eastAsia="宋体" w:cs="Times New Roman"/>
                <w:b/>
                <w:bCs/>
                <w:i w:val="0"/>
                <w:color w:val="auto"/>
                <w:kern w:val="0"/>
                <w:sz w:val="21"/>
                <w:szCs w:val="21"/>
                <w:u w:val="none"/>
                <w:lang w:val="en-US" w:eastAsia="zh-CN" w:bidi="ar"/>
              </w:rPr>
              <w:t>类别</w:t>
            </w:r>
          </w:p>
        </w:tc>
        <w:tc>
          <w:tcPr>
            <w:tcW w:w="4431" w:type="pct"/>
            <w:gridSpan w:val="9"/>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环境敏感特征</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p>
        </w:tc>
        <w:tc>
          <w:tcPr>
            <w:tcW w:w="4431" w:type="pct"/>
            <w:gridSpan w:val="9"/>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厂址周边5km范围内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restar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环</w:t>
            </w:r>
          </w:p>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境</w:t>
            </w:r>
          </w:p>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空</w:t>
            </w:r>
          </w:p>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气</w:t>
            </w: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序号</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敏感目标名称</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相对方位</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最近距离/</w:t>
            </w:r>
            <w:r>
              <w:rPr>
                <w:rFonts w:hint="eastAsia" w:ascii="Times New Roman" w:hAnsi="Times New Roman" w:eastAsia="宋体" w:cs="Times New Roman"/>
                <w:i w:val="0"/>
                <w:color w:val="auto"/>
                <w:kern w:val="0"/>
                <w:sz w:val="21"/>
                <w:szCs w:val="21"/>
                <w:u w:val="none"/>
                <w:lang w:val="en-US" w:eastAsia="zh-CN" w:bidi="ar"/>
              </w:rPr>
              <w:t>k</w:t>
            </w:r>
            <w:r>
              <w:rPr>
                <w:rFonts w:hint="default" w:ascii="Times New Roman" w:hAnsi="Times New Roman" w:eastAsia="宋体" w:cs="Times New Roman"/>
                <w:i w:val="0"/>
                <w:color w:val="auto"/>
                <w:kern w:val="0"/>
                <w:sz w:val="21"/>
                <w:szCs w:val="21"/>
                <w:u w:val="none"/>
                <w:lang w:val="en-US" w:eastAsia="zh-CN" w:bidi="ar"/>
              </w:rPr>
              <w:t>m</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属性</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人口数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长田岭</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1.82</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史家窑</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石板湾</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2.65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竹林里</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1.08</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寨子岩</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2.69</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月亮田</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2.55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老屋里</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3.27</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庄子岭</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2.62</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狮子田坝</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猫儿石</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2.95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新房子</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1.75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史家河</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1.29</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张凤坡</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2.42</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高家院</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1.39</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15</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何家垸</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1.64</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16</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黄家院</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2.59</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17</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寺湾里</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2.36</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18</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土山子</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2.48</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李大湾</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2.79</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楼房湾</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2.75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21</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竹园坝</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2.94</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22</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冯家院</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2.55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猪拱石</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1.28</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黄家坡</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2.92</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25</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韩家河</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1.23</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26</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烂田湾</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1.96</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27</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周家湾</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1.55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28</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陡咀子</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0.63</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29</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黑松林</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2.02</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磨山坪</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31</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椿芽坪</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3.16</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32</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刘家坝</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3.19</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33</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狮子石</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3.02</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34</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鲜家河</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3.11</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35</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方家梁</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2.80</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36</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红花滩</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2.48</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37</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小坪子村</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2.32</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38</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新寨</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1.43</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39</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七家湾</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2.24</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40</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向家祠堂</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2.05</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41</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碾子上</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2.63</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42</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胡家塝</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1.21</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43</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王家沟</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0.70</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44</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洞子沟</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SSW</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0.83</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45</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赵家山</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1.73</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46</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沙坪里</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1.90</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47</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席家院</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1.74</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48</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手掌坪</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2.21</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261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49</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上坝里</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0.80</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50</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缸子沟</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ENE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1.66</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51</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中间院子</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0.48</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52</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陈家梁</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0.76</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53</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欧家沟</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1.70</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54</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楠木坪村</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2.36</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w:t>
            </w:r>
            <w:r>
              <w:rPr>
                <w:rFonts w:hint="default" w:ascii="Times New Roman" w:hAnsi="Times New Roman" w:eastAsia="宋体" w:cs="Times New Roman"/>
                <w:i w:val="0"/>
                <w:color w:val="auto"/>
                <w:kern w:val="0"/>
                <w:sz w:val="21"/>
                <w:szCs w:val="21"/>
                <w:u w:val="none"/>
                <w:lang w:val="en-US" w:eastAsia="zh-CN" w:bidi="ar"/>
              </w:rPr>
              <w:t>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55</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向家大院子</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2.13</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56</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坎脚里</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0.91</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400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57</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边梁上</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1.04</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58</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钻孔子</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3.02</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居住区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59</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王家山</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2.13</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60</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李家营</w:t>
            </w:r>
          </w:p>
        </w:tc>
        <w:tc>
          <w:tcPr>
            <w:tcW w:w="642"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SE</w:t>
            </w:r>
          </w:p>
        </w:tc>
        <w:tc>
          <w:tcPr>
            <w:tcW w:w="759"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2.43</w:t>
            </w:r>
          </w:p>
        </w:tc>
        <w:tc>
          <w:tcPr>
            <w:tcW w:w="508"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居住</w:t>
            </w:r>
            <w:r>
              <w:rPr>
                <w:rFonts w:hint="default" w:ascii="Times New Roman" w:hAnsi="Times New Roman" w:eastAsia="宋体" w:cs="Times New Roman"/>
                <w:i w:val="0"/>
                <w:color w:val="auto"/>
                <w:kern w:val="0"/>
                <w:sz w:val="21"/>
                <w:szCs w:val="21"/>
                <w:u w:val="none"/>
                <w:lang w:val="en-US" w:eastAsia="zh-CN" w:bidi="ar"/>
              </w:rPr>
              <w:t>区</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3534" w:type="pct"/>
            <w:gridSpan w:val="7"/>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厂址周边500m范围内人口小计</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3534" w:type="pct"/>
            <w:gridSpan w:val="7"/>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厂址周边5km范围内人口小计</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11865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3534" w:type="pct"/>
            <w:gridSpan w:val="7"/>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大气环境敏感程度E值</w:t>
            </w:r>
          </w:p>
        </w:tc>
        <w:tc>
          <w:tcPr>
            <w:tcW w:w="896"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E2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restar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地表水</w:t>
            </w:r>
          </w:p>
        </w:tc>
        <w:tc>
          <w:tcPr>
            <w:tcW w:w="4431" w:type="pct"/>
            <w:gridSpan w:val="9"/>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受纳水体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4"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431" w:type="pct"/>
            <w:gridSpan w:val="9"/>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本项目废水经自建污水处理设施处理达标后用于周围耕地、林地消纳，不外排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431" w:type="pct"/>
            <w:gridSpan w:val="9"/>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敏感目标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序号</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敏感目标名称</w:t>
            </w:r>
          </w:p>
        </w:tc>
        <w:tc>
          <w:tcPr>
            <w:tcW w:w="880"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环境敏感特征</w:t>
            </w:r>
          </w:p>
        </w:tc>
        <w:tc>
          <w:tcPr>
            <w:tcW w:w="633"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水质目标</w:t>
            </w:r>
          </w:p>
        </w:tc>
        <w:tc>
          <w:tcPr>
            <w:tcW w:w="1292" w:type="pct"/>
            <w:gridSpan w:val="3"/>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与</w:t>
            </w:r>
            <w:r>
              <w:rPr>
                <w:rFonts w:hint="eastAsia" w:ascii="Times New Roman" w:hAnsi="Times New Roman" w:eastAsia="宋体" w:cs="Times New Roman"/>
                <w:b/>
                <w:bCs/>
                <w:i w:val="0"/>
                <w:color w:val="auto"/>
                <w:kern w:val="0"/>
                <w:sz w:val="21"/>
                <w:szCs w:val="21"/>
                <w:u w:val="none"/>
                <w:lang w:val="en-US" w:eastAsia="zh-CN" w:bidi="ar"/>
              </w:rPr>
              <w:t>厂</w:t>
            </w:r>
            <w:r>
              <w:rPr>
                <w:rFonts w:hint="default" w:ascii="Times New Roman" w:hAnsi="Times New Roman" w:eastAsia="宋体" w:cs="Times New Roman"/>
                <w:b/>
                <w:bCs/>
                <w:i w:val="0"/>
                <w:color w:val="auto"/>
                <w:kern w:val="0"/>
                <w:sz w:val="21"/>
                <w:szCs w:val="21"/>
                <w:u w:val="none"/>
                <w:lang w:val="en-US" w:eastAsia="zh-CN" w:bidi="ar"/>
              </w:rPr>
              <w:t>界距离/m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磨山坪水库</w:t>
            </w:r>
          </w:p>
        </w:tc>
        <w:tc>
          <w:tcPr>
            <w:tcW w:w="880" w:type="pct"/>
            <w:gridSpan w:val="2"/>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灌溉</w:t>
            </w:r>
          </w:p>
        </w:tc>
        <w:tc>
          <w:tcPr>
            <w:tcW w:w="633"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Ⅲ类</w:t>
            </w:r>
          </w:p>
        </w:tc>
        <w:tc>
          <w:tcPr>
            <w:tcW w:w="1292" w:type="pct"/>
            <w:gridSpan w:val="3"/>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本项目内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长沟水库</w:t>
            </w:r>
          </w:p>
        </w:tc>
        <w:tc>
          <w:tcPr>
            <w:tcW w:w="880"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灌溉</w:t>
            </w:r>
          </w:p>
        </w:tc>
        <w:tc>
          <w:tcPr>
            <w:tcW w:w="633"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Ⅲ类</w:t>
            </w:r>
          </w:p>
        </w:tc>
        <w:tc>
          <w:tcPr>
            <w:tcW w:w="1292" w:type="pct"/>
            <w:gridSpan w:val="3"/>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本项目内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3138" w:type="pct"/>
            <w:gridSpan w:val="6"/>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地表水环境敏感程度E值</w:t>
            </w:r>
          </w:p>
        </w:tc>
        <w:tc>
          <w:tcPr>
            <w:tcW w:w="1292" w:type="pct"/>
            <w:gridSpan w:val="3"/>
            <w:noWrap w:val="0"/>
            <w:vAlign w:val="center"/>
          </w:tcPr>
          <w:p>
            <w:pPr>
              <w:pStyle w:val="462"/>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E</w:t>
            </w:r>
            <w:r>
              <w:rPr>
                <w:rFonts w:hint="eastAsia" w:ascii="Times New Roman" w:hAnsi="Times New Roman" w:eastAsia="宋体" w:cs="Times New Roman"/>
                <w:i w:val="0"/>
                <w:color w:val="auto"/>
                <w:kern w:val="0"/>
                <w:sz w:val="21"/>
                <w:szCs w:val="21"/>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restar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地下水</w:t>
            </w: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序号</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敏感目标名称</w:t>
            </w:r>
          </w:p>
        </w:tc>
        <w:tc>
          <w:tcPr>
            <w:tcW w:w="880"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环境敏感特征</w:t>
            </w:r>
          </w:p>
        </w:tc>
        <w:tc>
          <w:tcPr>
            <w:tcW w:w="633"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水质目标</w:t>
            </w:r>
          </w:p>
        </w:tc>
        <w:tc>
          <w:tcPr>
            <w:tcW w:w="634" w:type="pct"/>
            <w:gridSpan w:val="2"/>
            <w:tcBorders>
              <w:right w:val="single" w:color="auto" w:sz="4" w:space="0"/>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包气带防污性能</w:t>
            </w:r>
          </w:p>
        </w:tc>
        <w:tc>
          <w:tcPr>
            <w:tcW w:w="658" w:type="pct"/>
            <w:tcBorders>
              <w:left w:val="single" w:color="auto" w:sz="4" w:space="0"/>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与下游厂界距离/m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438"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85" w:type="pct"/>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周围农户地下水井</w:t>
            </w:r>
          </w:p>
        </w:tc>
        <w:tc>
          <w:tcPr>
            <w:tcW w:w="880"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G2</w:t>
            </w:r>
          </w:p>
        </w:tc>
        <w:tc>
          <w:tcPr>
            <w:tcW w:w="633" w:type="pct"/>
            <w:gridSpan w:val="2"/>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Ⅲ类</w:t>
            </w:r>
          </w:p>
        </w:tc>
        <w:tc>
          <w:tcPr>
            <w:tcW w:w="634" w:type="pct"/>
            <w:gridSpan w:val="2"/>
            <w:tcBorders>
              <w:right w:val="single" w:color="auto" w:sz="4" w:space="0"/>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D3</w:t>
            </w:r>
          </w:p>
        </w:tc>
        <w:tc>
          <w:tcPr>
            <w:tcW w:w="658" w:type="pct"/>
            <w:tcBorders>
              <w:left w:val="single" w:color="auto" w:sz="4" w:space="0"/>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68" w:type="pct"/>
            <w:vMerge w:val="continue"/>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p>
        </w:tc>
        <w:tc>
          <w:tcPr>
            <w:tcW w:w="3773" w:type="pct"/>
            <w:gridSpan w:val="8"/>
            <w:tcBorders>
              <w:right w:val="single" w:color="auto" w:sz="4" w:space="0"/>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地下水环境敏感程度E值</w:t>
            </w:r>
          </w:p>
        </w:tc>
        <w:tc>
          <w:tcPr>
            <w:tcW w:w="658" w:type="pct"/>
            <w:tcBorders>
              <w:left w:val="single" w:color="auto" w:sz="4" w:space="0"/>
            </w:tcBorders>
            <w:noWrap w:val="0"/>
            <w:vAlign w:val="center"/>
          </w:tcPr>
          <w:p>
            <w:pPr>
              <w:pStyle w:val="462"/>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E3</w:t>
            </w:r>
          </w:p>
        </w:tc>
      </w:tr>
    </w:tbl>
    <w:p>
      <w:pPr>
        <w:ind w:firstLine="480"/>
        <w:rPr>
          <w:rFonts w:hint="eastAsia"/>
          <w:color w:val="auto"/>
        </w:rPr>
      </w:pPr>
      <w:r>
        <w:rPr>
          <w:rFonts w:hint="eastAsia"/>
          <w:color w:val="auto"/>
        </w:rPr>
        <w:t>本项目位于</w:t>
      </w:r>
      <w:r>
        <w:rPr>
          <w:bCs/>
          <w:color w:val="auto"/>
        </w:rPr>
        <w:t>巴中市</w:t>
      </w:r>
      <w:r>
        <w:rPr>
          <w:rFonts w:hint="eastAsia"/>
          <w:bCs/>
          <w:color w:val="auto"/>
          <w:lang w:eastAsia="zh-CN"/>
        </w:rPr>
        <w:t>通江</w:t>
      </w:r>
      <w:r>
        <w:rPr>
          <w:bCs/>
          <w:color w:val="auto"/>
        </w:rPr>
        <w:t>县</w:t>
      </w:r>
      <w:r>
        <w:rPr>
          <w:rFonts w:hint="eastAsia"/>
          <w:bCs/>
          <w:color w:val="auto"/>
          <w:lang w:eastAsia="zh-CN"/>
        </w:rPr>
        <w:t>龙凤场镇环山村</w:t>
      </w:r>
      <w:r>
        <w:rPr>
          <w:bCs/>
          <w:color w:val="auto"/>
        </w:rPr>
        <w:t>村</w:t>
      </w:r>
      <w:r>
        <w:rPr>
          <w:color w:val="auto"/>
        </w:rPr>
        <w:t>，</w:t>
      </w:r>
      <w:r>
        <w:rPr>
          <w:rFonts w:hint="eastAsia"/>
          <w:color w:val="auto"/>
        </w:rPr>
        <w:t>大气环境敏感程度为E</w:t>
      </w:r>
      <w:r>
        <w:rPr>
          <w:color w:val="auto"/>
        </w:rPr>
        <w:t>2</w:t>
      </w:r>
      <w:r>
        <w:rPr>
          <w:rFonts w:hint="eastAsia"/>
          <w:color w:val="auto"/>
        </w:rPr>
        <w:t>环境中度敏感区，地表水环境敏感程度为E</w:t>
      </w:r>
      <w:r>
        <w:rPr>
          <w:rFonts w:hint="eastAsia"/>
          <w:color w:val="auto"/>
          <w:lang w:val="en-US" w:eastAsia="zh-CN"/>
        </w:rPr>
        <w:t>3</w:t>
      </w:r>
      <w:r>
        <w:rPr>
          <w:rFonts w:hint="eastAsia"/>
          <w:color w:val="auto"/>
        </w:rPr>
        <w:t>环境</w:t>
      </w:r>
      <w:r>
        <w:rPr>
          <w:rFonts w:hint="eastAsia"/>
          <w:color w:val="auto"/>
          <w:lang w:eastAsia="zh-CN"/>
        </w:rPr>
        <w:t>低</w:t>
      </w:r>
      <w:r>
        <w:rPr>
          <w:rFonts w:hint="eastAsia"/>
          <w:color w:val="auto"/>
        </w:rPr>
        <w:t>度敏感区，地下水环境敏感程度为E3环境低度敏感区。</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color w:val="auto"/>
        </w:rPr>
      </w:pPr>
      <w:bookmarkStart w:id="256" w:name="_Toc29221878"/>
      <w:bookmarkStart w:id="257" w:name="_Toc919"/>
      <w:r>
        <w:rPr>
          <w:rFonts w:hint="eastAsia" w:ascii="Times New Roman" w:hAnsi="Times New Roman" w:eastAsia="宋体" w:cs="Times New Roman"/>
          <w:color w:val="auto"/>
          <w:lang w:val="en-US" w:eastAsia="zh-CN"/>
        </w:rPr>
        <w:t>环境风险分析</w:t>
      </w:r>
      <w:bookmarkEnd w:id="256"/>
      <w:bookmarkEnd w:id="257"/>
    </w:p>
    <w:p>
      <w:pPr>
        <w:pStyle w:val="8"/>
        <w:rPr>
          <w:rFonts w:cs="Times New Roman"/>
          <w:color w:val="auto"/>
        </w:rPr>
      </w:pPr>
      <w:r>
        <w:rPr>
          <w:rFonts w:hint="eastAsia" w:cs="Times New Roman"/>
          <w:color w:val="auto"/>
        </w:rPr>
        <w:t>环境风险分析</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本项目没有重大危险源，根据</w:t>
      </w:r>
      <w:r>
        <w:rPr>
          <w:rFonts w:ascii="Times New Roman" w:hAnsi="Times New Roman" w:eastAsia="宋体" w:cs="Times New Roman"/>
          <w:color w:val="auto"/>
          <w:sz w:val="24"/>
          <w:szCs w:val="24"/>
        </w:rPr>
        <w:t>《建设项目环境风险评价技术导则》（HJ169-2018）</w:t>
      </w:r>
      <w:r>
        <w:rPr>
          <w:rFonts w:hint="eastAsia" w:ascii="Times New Roman" w:hAnsi="Times New Roman" w:eastAsia="宋体" w:cs="Times New Roman"/>
          <w:color w:val="auto"/>
          <w:sz w:val="24"/>
          <w:szCs w:val="24"/>
        </w:rPr>
        <w:t>，环境风险评价等级为简单分析，本次评价针对项目可能存在的环境风险事故影响进行简要分析。</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1、柴油运输及储运风险分析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本项目需外购柴油，在运输途中可能因翻车、撞车造成柴油泄漏，以及造成对周围设施的污染事故的发生。</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设有柴油发电机房，项目柴油发电机（包括柴油发电机房储油桶）一旦因不可预见因素导致油桶破裂发生泄漏事故容易造成地下水污染。地下水遭到成品油的污染后将使小范围地下水产生严重异味，并具有较强的致畸致癌性。此外，成品油渗漏必然穿过较厚的土壤层，使土壤层中吸附大量的燃料油，土壤层吸附的燃料油不仅会造成植物生物的死亡，而且土壤层吸附的燃料油还会随着地表水的下渗对土壤层的冲刷作用补充到地下水，即便污染源得到及时控制，被污染的地下水和土壤要完全恢复也需要较长时间。但本项目柴油储存量较小，同时储油桶周边设置围堰，地面采取防渗措施，能够将柴油发生泄漏后对周围环境的污染风险降至最低。</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2、沼气泄漏事故影响分析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（1）泄漏情况分析：沼气泄漏时主要成分为，甲烷（CH</w:t>
      </w:r>
      <w:r>
        <w:rPr>
          <w:rFonts w:hint="eastAsia" w:ascii="Times New Roman" w:hAnsi="Times New Roman" w:eastAsia="宋体" w:cs="Times New Roman"/>
          <w:color w:val="auto"/>
          <w:sz w:val="24"/>
          <w:szCs w:val="24"/>
          <w:vertAlign w:val="subscript"/>
        </w:rPr>
        <w:t>4</w:t>
      </w:r>
      <w:r>
        <w:rPr>
          <w:rFonts w:hint="eastAsia" w:ascii="Times New Roman" w:hAnsi="Times New Roman" w:eastAsia="宋体" w:cs="Times New Roman"/>
          <w:color w:val="auto"/>
          <w:sz w:val="24"/>
          <w:szCs w:val="24"/>
        </w:rPr>
        <w:t>），密度较小，极易扩散，只会对近距离的大气环境造成短时间的影响。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（2）燃烧情况分析：沼气泄漏时若遇到明火，引发的火灾事故可在短时间内产生大量的烟气。由于主要成分是甲烷，燃烧反应生成物主要为水和CO</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，对大气环境影响较小。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（3）爆炸情况分析：由于安全措施的设置，爆炸的几率很小，爆炸的瞬间，由于冲击波的冲击，土层被掀起，产生一定量的粉尘，对近距离的大气环境造成短时间的影响。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（4）事故后对水环境的影响</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因工程处理的物料为沼气，其泄漏不会影响周围的水体。但是一旦发生火灾爆炸，会产生大量消防废水，同时会产生大量燃烧废物，若不及时清理，有毒有害物质易随雨水进入河道，对地表水体造成污染。</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（5）事故后对声环境的影响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发生泄漏、火灾爆炸后，消防车辆会产生交通噪声，现场指挥、对周围村庄预警等会产生社会噪声。</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（6）事故后产生的固废影响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发生火灾爆炸后，会有生产设备、房屋的破坏等，产生一定量的建筑垃圾和废弃设备，对环境造成一定的影响。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（7）事故后对生态环境的影响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发生火灾爆炸后，场区内部及周边地表植被遭到烧毁或踩踏，会对生态环境产生的一定影响。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（8）事故对其他环境的影响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在沼气泄漏量较少，由于沼气比重比空气小，所以一旦泄漏，会很快散发，只会对附近的大气产生短时间的影响，其燃烧的热辐射范围有限，对周围人群和动植物影响不大；但在泄漏量较大，燃烧产生的热辐射影响范围较大，并有可能导致场内来不及撤离的人员发生伤亡事故，造成动植物的死亡。因此，建设单位在设计中，场址远离人群密集区域，并建立相应的应急措施。一旦发生沼气泄漏能及时得到控制，将危害损失降到最小。</w:t>
      </w:r>
    </w:p>
    <w:p>
      <w:pPr>
        <w:spacing w:line="360" w:lineRule="auto"/>
        <w:ind w:firstLine="482" w:firstLineChars="200"/>
        <w:rPr>
          <w:rFonts w:hint="eastAsia"/>
          <w:color w:val="auto"/>
        </w:rPr>
      </w:pPr>
      <w:r>
        <w:rPr>
          <w:rFonts w:hint="eastAsia" w:ascii="Times New Roman" w:hAnsi="Times New Roman" w:eastAsia="宋体" w:cs="Times New Roman"/>
          <w:b/>
          <w:color w:val="auto"/>
          <w:sz w:val="24"/>
          <w:szCs w:val="24"/>
        </w:rPr>
        <w:t>3、</w:t>
      </w:r>
      <w:r>
        <w:rPr>
          <w:rFonts w:hint="eastAsia" w:ascii="Times New Roman" w:hAnsi="Times New Roman" w:eastAsia="宋体" w:cs="Times New Roman"/>
          <w:b/>
          <w:color w:val="auto"/>
          <w:sz w:val="24"/>
          <w:szCs w:val="24"/>
          <w:lang w:eastAsia="zh-CN"/>
        </w:rPr>
        <w:t>过氧乙酸</w:t>
      </w:r>
      <w:r>
        <w:rPr>
          <w:rFonts w:hint="eastAsia" w:ascii="Times New Roman" w:hAnsi="Times New Roman" w:eastAsia="宋体" w:cs="Times New Roman"/>
          <w:b/>
          <w:color w:val="auto"/>
          <w:sz w:val="24"/>
          <w:szCs w:val="24"/>
        </w:rPr>
        <w:t>泄漏影响分析</w:t>
      </w:r>
    </w:p>
    <w:p>
      <w:pPr>
        <w:pStyle w:val="11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过氧乙酸具有一定的毒性和很强的腐蚀性，对皮肤和眼睛有强烈的刺激性，对皮肤可发生严重灼伤，眼直接接触液体可导致不可逆损伤甚至失明，吞咽可致命，吸进其蒸气，能导致对呼吸道的刺激和损害。</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4</w:t>
      </w:r>
      <w:r>
        <w:rPr>
          <w:rFonts w:hint="eastAsia" w:ascii="Times New Roman" w:hAnsi="Times New Roman" w:eastAsia="宋体" w:cs="Times New Roman"/>
          <w:b/>
          <w:color w:val="auto"/>
          <w:sz w:val="24"/>
          <w:szCs w:val="24"/>
        </w:rPr>
        <w:t>、粪污事故泄漏影响分析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（1）储存池事故风险分析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污水处理站处理后的废水在非灌溉期于场内灌溉储存池中暂存，当储存池等污水处理各构筑物发生故障渗漏时，未处理的污水直接渗入到周边农用地，由于废水中高浓度的有机物和氨氮会使土壤环境质量严重恶化，并可能通过雨水径流进入周边地表水体。根据工程分析可知，项目运营期综合废水水质情况：COD</w:t>
      </w:r>
      <w:r>
        <w:rPr>
          <w:rFonts w:ascii="Times New Roman" w:hAnsi="Times New Roman" w:eastAsia="宋体" w:cs="Times New Roman"/>
          <w:color w:val="auto"/>
          <w:sz w:val="24"/>
          <w:szCs w:val="24"/>
        </w:rPr>
        <w:t>c</w:t>
      </w:r>
      <w:r>
        <w:rPr>
          <w:rFonts w:hint="eastAsia" w:ascii="Times New Roman" w:hAnsi="Times New Roman" w:eastAsia="宋体" w:cs="Times New Roman"/>
          <w:color w:val="auto"/>
          <w:sz w:val="24"/>
          <w:szCs w:val="24"/>
        </w:rPr>
        <w:t>r 2640mg/L，NH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260mg/L，总磷42mg/L。该部分废水有机质含量较高，根据项目非正常泄漏对周围地下水环境的影响预测分析，如出现污水事故排放（污水处理单元发生泄漏）将对地下水造成污染，从而进一步影响土壤及地表水。储存池可能的风险：</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①渗漏风险分析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储存池需采取重点防渗，以防止污染地下水，同时各废水输送管道应做到防泄露、跑冒等，常情况下可以防止池内水下渗对地下水的污染。</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经过上述处理后，不存在废水下渗污染地下水和土壤的风险。</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②暴雨天气溢出的风险分析</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废水储存池采用半地埋式设计，且周边修筑挡墙，从而消除了周边区域雨水的汇入，因此废水储存池雨天溢出的风险主要来自于直接降入池中的雨水。根据现场踏勘和建设单位提供的设计资料，项目选址于山顶，不会出现淹没风险。但如果场地雨水排水系统做得不好，会造成场地积水，雨水进入污水处理各构筑物或粪肥储存间，造成污水处理各构筑物污水溢流，或对粪肥储存间冲刷，造成粪污污染物外泄，从而对周边地表水体造成不利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（2）废水贮存事故风险分析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正常情况下在非雨季，项目废水经处理后的废水用于还田；在雨季，废水由厂区内废水储存池暂时贮存，不外排。事故排放指污水处理站管道出现泄漏、污水处理站故障，废水未经处理排入地表水体短期内将使收纳水体污染物浓度升高。</w:t>
      </w:r>
    </w:p>
    <w:p>
      <w:pPr>
        <w:wordWrap w:val="0"/>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本项目为污水处理工程建设配套事故应急池，在废水处理设施检修或出现故障时，废水暂时收集存放在事故应急池中；场址内设有事故池1座，位于项目西侧，容积</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rPr>
        <w:t>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；考虑一般污水处理设施故障一周内便可解决，环评要求废水事故池容积满足存放项目</w:t>
      </w:r>
      <w:r>
        <w:rPr>
          <w:rFonts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rPr>
        <w:t>天产生的废水量（</w:t>
      </w:r>
      <w:r>
        <w:rPr>
          <w:rFonts w:hint="eastAsia" w:ascii="Times New Roman" w:hAnsi="Times New Roman" w:eastAsia="宋体" w:cs="Times New Roman"/>
          <w:color w:val="auto"/>
          <w:sz w:val="24"/>
          <w:szCs w:val="24"/>
          <w:lang w:val="en-US" w:eastAsia="zh-CN"/>
        </w:rPr>
        <w:t>1636.25</w:t>
      </w:r>
      <w:r>
        <w:rPr>
          <w:rFonts w:hint="eastAsia" w:ascii="Times New Roman" w:hAnsi="Times New Roman" w:eastAsia="宋体" w:cs="Times New Roman"/>
          <w:color w:val="auto"/>
          <w:sz w:val="24"/>
          <w:szCs w:val="24"/>
        </w:rPr>
        <w:t>m³），本项目设置的</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00m³事故应急池&gt;能够满足暂存要求。当发生事故或非正常工况排水时，废水在应急池中临时贮存，待事故解除后重新处理。本项目最近地表水体为</w:t>
      </w:r>
      <w:r>
        <w:rPr>
          <w:rFonts w:hint="eastAsia" w:ascii="Times New Roman" w:hAnsi="Times New Roman" w:eastAsia="宋体" w:cs="Times New Roman"/>
          <w:color w:val="auto"/>
          <w:sz w:val="24"/>
          <w:szCs w:val="24"/>
          <w:lang w:eastAsia="zh-CN"/>
        </w:rPr>
        <w:t>磨山坪</w:t>
      </w:r>
      <w:r>
        <w:rPr>
          <w:rFonts w:hint="eastAsia" w:ascii="Times New Roman" w:hAnsi="Times New Roman" w:eastAsia="宋体" w:cs="Times New Roman"/>
          <w:color w:val="auto"/>
          <w:sz w:val="24"/>
          <w:szCs w:val="24"/>
        </w:rPr>
        <w:t>水库，位于项目</w:t>
      </w:r>
      <w:r>
        <w:rPr>
          <w:rFonts w:hint="eastAsia" w:ascii="Times New Roman" w:hAnsi="Times New Roman" w:eastAsia="宋体" w:cs="Times New Roman"/>
          <w:color w:val="auto"/>
          <w:sz w:val="24"/>
          <w:szCs w:val="24"/>
          <w:lang w:eastAsia="zh-CN"/>
        </w:rPr>
        <w:t>内</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污水处理站与水库</w:t>
      </w:r>
      <w:r>
        <w:rPr>
          <w:rFonts w:hint="eastAsia" w:ascii="Times New Roman" w:hAnsi="Times New Roman" w:eastAsia="宋体" w:cs="Times New Roman"/>
          <w:color w:val="auto"/>
          <w:sz w:val="24"/>
          <w:szCs w:val="24"/>
        </w:rPr>
        <w:t>中间区域有</w:t>
      </w:r>
      <w:r>
        <w:rPr>
          <w:rFonts w:hint="eastAsia" w:ascii="Times New Roman" w:hAnsi="Times New Roman" w:eastAsia="宋体" w:cs="Times New Roman"/>
          <w:color w:val="auto"/>
          <w:sz w:val="24"/>
          <w:szCs w:val="24"/>
          <w:lang w:eastAsia="zh-CN"/>
        </w:rPr>
        <w:t>厂房</w:t>
      </w:r>
      <w:r>
        <w:rPr>
          <w:rFonts w:hint="eastAsia" w:ascii="Times New Roman" w:hAnsi="Times New Roman" w:eastAsia="宋体" w:cs="Times New Roman"/>
          <w:color w:val="auto"/>
          <w:sz w:val="24"/>
          <w:szCs w:val="24"/>
        </w:rPr>
        <w:t>相隔，且主要为大面积的</w:t>
      </w:r>
      <w:r>
        <w:rPr>
          <w:rFonts w:hint="eastAsia" w:ascii="Times New Roman" w:hAnsi="Times New Roman" w:eastAsia="宋体" w:cs="Times New Roman"/>
          <w:color w:val="auto"/>
          <w:sz w:val="24"/>
          <w:szCs w:val="24"/>
          <w:lang w:eastAsia="zh-CN"/>
        </w:rPr>
        <w:t>林地</w:t>
      </w:r>
      <w:r>
        <w:rPr>
          <w:rFonts w:hint="eastAsia" w:ascii="Times New Roman" w:hAnsi="Times New Roman" w:eastAsia="宋体" w:cs="Times New Roman"/>
          <w:color w:val="auto"/>
          <w:sz w:val="24"/>
          <w:szCs w:val="24"/>
        </w:rPr>
        <w:t>，通过表层土的吸收、降解及自然蒸发，</w:t>
      </w:r>
      <w:r>
        <w:rPr>
          <w:rFonts w:hint="eastAsia" w:ascii="Times New Roman" w:hAnsi="Times New Roman" w:eastAsia="宋体" w:cs="Times New Roman"/>
          <w:color w:val="auto"/>
          <w:sz w:val="24"/>
          <w:szCs w:val="24"/>
          <w:lang w:eastAsia="zh-CN"/>
        </w:rPr>
        <w:t>废水</w:t>
      </w:r>
      <w:r>
        <w:rPr>
          <w:rFonts w:hint="eastAsia" w:ascii="Times New Roman" w:hAnsi="Times New Roman" w:eastAsia="宋体" w:cs="Times New Roman"/>
          <w:color w:val="auto"/>
          <w:sz w:val="24"/>
          <w:szCs w:val="24"/>
        </w:rPr>
        <w:t>不会流入项目附近水库。</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本项目储存池采用HDPE+混凝土进行防渗，且储存池容积建设的较大，储存池容积</w:t>
      </w:r>
      <w:r>
        <w:rPr>
          <w:rFonts w:hint="eastAsia"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30</w:t>
      </w:r>
      <w:r>
        <w:rPr>
          <w:rFonts w:hint="eastAsia" w:ascii="Times New Roman" w:hAnsi="Times New Roman" w:eastAsia="宋体" w:cs="Times New Roman"/>
          <w:color w:val="auto"/>
          <w:sz w:val="24"/>
          <w:szCs w:val="24"/>
        </w:rPr>
        <w:t>天的</w:t>
      </w:r>
      <w:r>
        <w:rPr>
          <w:rFonts w:hint="eastAsia" w:ascii="Times New Roman" w:hAnsi="Times New Roman" w:eastAsia="宋体" w:cs="Times New Roman"/>
          <w:color w:val="auto"/>
          <w:sz w:val="24"/>
          <w:szCs w:val="24"/>
          <w:lang w:eastAsia="zh-CN"/>
        </w:rPr>
        <w:t>废水</w:t>
      </w:r>
      <w:r>
        <w:rPr>
          <w:rFonts w:hint="eastAsia" w:ascii="Times New Roman" w:hAnsi="Times New Roman" w:eastAsia="宋体" w:cs="Times New Roman"/>
          <w:color w:val="auto"/>
          <w:sz w:val="24"/>
          <w:szCs w:val="24"/>
        </w:rPr>
        <w:t>储存量，因此本项目储存池泄漏的可能性非常小。</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针对废水储存事故的风险，建设单位应对场内沼液储存池应严格按照规范进行设计，做好防渗、防漏工程，同时输送管道严防跑、冒、滴、漏等，防止污水渗漏。加强相关操作人员及管理人员的培训管理，成立事故处理组织，一旦发生管线泄漏、防渗层破裂，应立即组织人力、物力、财力加紧进行维修，同时进行废水拦截、回收、转移，最大限度的减少沼液的排放量，避免对环境产生影响。</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5</w:t>
      </w:r>
      <w:r>
        <w:rPr>
          <w:rFonts w:hint="eastAsia" w:ascii="Times New Roman" w:hAnsi="Times New Roman" w:eastAsia="宋体" w:cs="Times New Roman"/>
          <w:b/>
          <w:color w:val="auto"/>
          <w:sz w:val="24"/>
          <w:szCs w:val="24"/>
        </w:rPr>
        <w:t>、动物疾病、疫情风险影响分析</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集约化猪场养殖规模大、密度高、传播速度快，疾病威胁严重，若养殖场管理不善，会诱发常见疾病，如炭疽、口蹄疫等，一旦发生疫情传播速度极快，很难控制，可直接导致牲畜死亡、产品低劣、产量下降，防治费用增加，经济损失巨大，甚至感染到人群。</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炭疽是由炭疽杆菌引起的一种急性、热败血性传染病，能传染给人和其他家畜。炭疽杆菌为革兰氏阳性菌，为需氧和兼性需氧菌。菌体对外界理化因素的抵抗力不强，但炭疽杆菌芽孢的抵抗力很强，在干燥状态下可存活40年以上，在土壤中可生存20年以上且具有感染力。如果被感染动物的尸体处理不当或形成大量芽孢并污染土壤、水源、牧地等，则可成为长久的疫源地。该病主要传染源是病畜，经消化道感染。常因采食被污染的饲料、饮水而感染，其次是带有炭疽杆菌的吸血昆虫叮咬，通过皮肤而感染。本病世界各地均有发生，一般呈散发性，但有时也可呈地方性流行。多发生于炎热多雨的季节。对猪群一般为最急性型发病，体温升高，出现昏迷、突然卧倒、呼吸极度困难、可视黏膜呈蓝紫色、口吐白沫、全身战栗、心悸等症状，不久出现虚脱，濒死期天然孔出血，出现症状后数分钟至数小时死亡。</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猪瘟（Classical Swine Fever，CSF）是由黄病毒科瘟病毒属（Classical Swine FeverVirus，CSFV）引起的一种烈性传染病，死亡率极高，对养猪业危害极大。猪瘟被国际动物卫生组织（OIE）列为A类传染病，我国将其列为一类传染病。</w:t>
      </w:r>
    </w:p>
    <w:p>
      <w:pPr>
        <w:spacing w:line="360" w:lineRule="auto"/>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非洲猪瘟（英文名称：African Swine fever，简称：ASF）是由非洲猪瘟病毒（英文名称：African Swine fever virus，简称：ASFV）感染家猪和各种野猪（如非洲野猪、欧洲野猪等）引起一种急性、出血性、烈性传染病。世界动物卫生组织（OIE）将其列为法定报告动物疫病，该病也是我国重点防范的一类动物疫情。其特征是发病过程短，最急性和急性感染死亡率高达100%，临床表现为发热（达40～42℃），心跳加快，呼吸困难，部分咳嗽，眼、鼻有浆液性或粘液性脓性分泌物，皮肤发绀，淋巴结、肾、胃肠粘膜明显出血，非洲猪瘟临床症状与猪瘟症状相似，只能依靠实验室监测确诊。</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口蹄疫病又称阿夫他热，是偶蹄兽的一种急性、发热性高度接触性传染病，其临床特征是在口腔黏膜、蹄部和乳房皮肤发生水疱性疹。病毒主要存在于水疱皮及淋巴液中。病猪是主要的传染</w:t>
      </w:r>
      <w:r>
        <w:rPr>
          <w:rFonts w:ascii="Times New Roman" w:hAnsi="Times New Roman" w:eastAsia="宋体" w:cs="Times New Roman"/>
          <w:color w:val="auto"/>
          <w:sz w:val="24"/>
          <w:szCs w:val="24"/>
        </w:rPr>
        <w:t>源，康复期和潜伏期的病猪亦可带毒排毒，主要经呼吸和消化道感染，也能经黏膜和皮肤感染。其传播既有蔓延式又有跳跃式的，它可发生于一年四季。潜伏期平均2～4天，最长可达7天左右，病猪体温升高40～41℃，精神沉郁、食欲下降，闭口、流涎，开口时有吸吮声。1～2天后在唇内面、齿龈、舌面和颊部黏膜发生蚕豆大至核桃大的水疱。此时口角流涎增多，呈白色泡沫状，常挂满嘴边，采食、反刍完全停止。在口腔发生水疱的同时或稍后，趾间及蹄冠的柔软皮肤上也发生水疱，并很快破溃出现糜烂，然后逐渐愈合。若病</w:t>
      </w:r>
      <w:r>
        <w:rPr>
          <w:rFonts w:hint="eastAsia" w:ascii="Times New Roman" w:hAnsi="Times New Roman" w:eastAsia="宋体" w:cs="Times New Roman"/>
          <w:color w:val="auto"/>
          <w:sz w:val="24"/>
          <w:szCs w:val="24"/>
        </w:rPr>
        <w:t>猪衰弱管理不当或治疗不及时，糜烂部可能继发感染化脓、坏死、甚至蹄匣脱落。口蹄疫病一般为良性，只是口腔发病，约经1周即可治愈，如果蹄部出现病变时，则病期可延至2～3周或更久，死亡率一般不超过1%～3%。但有时当水疱病变逐渐愈合，病猪趋向恢复健康时，病情突然恶化，全身虚弱、肌肉震颤、特别是心跳加快、节律不齐，因心脏麻痹而突然倒地死亡，这种病型称为恶性口蹄疫，病死率高达20%～50%，主要是由于病毒侵害心肌所致。仔猪患病时特征性水疱症状不明显，主要表现为出血性肠炎和心肌麻痹，死亡率很高。</w:t>
      </w:r>
    </w:p>
    <w:p>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常发病危害</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（1）流行性疾病</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近年来，几种影响免疫功能的疾病困扰着我国养猪业，给养猪业造成了难以估量的损失，如猪环状病毒感染、猪繁殖与呼吸综合征等疫病的发生流行，引起机体的基础免疫功能下降，导致猪群免疫失败，如猪繁殖与呼吸综合征（PRRS）、育肥猪断奶后多系统衰弱综合征（PMWS）、猪呼吸道疾病综合征（PRDC）、猪皮炎肾病综合征（PDNS）等多种病原体引起的疾病的临床病变极其严重，极易造成临床上的误诊和防治上的困难，由于这些新病的出现，有的疾病缺乏有效的防治措施，因此，猪群发病率和死亡率提高，养猪场损失惨重。给我国养猪业造成了巨大的危害。不少猪场因种猪的疫病问题造成巨大的经济损失而倒闭，有些猪场爆发育肥猪断奶后多系统衰竭综合征（PMWS），发病率高达60%，直接死亡率在40%以上。</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（2）慢性疾病</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许多慢性疾病虽然死亡率不高，但由于造成生长速度减慢、饲料利用效率降低，并发二次感染，增加药物和治疗费用等，经济损失极大。据国外研究报道，萎缩性鼻炎可使生长速度降低 5%，如果与肺炎并发，可导致生长速度降低 17%；由于地方性肺炎导致肺的不同程度损坏，每损坏10%的肺组织可降低5%的生长速度；猪群由于胸膜肺炎的影响，可使销售额降低20%，并导致达100千克延长12天 ；某些皮肤病如猪疥癣可降低10%的生长和饲料利用率，并且可能诱发皮脂炎而严重影响胴体品质，据国内有关数据显示，病毒、细菌等混合感染引起的呼吸道疾病，除了造成直接死亡之外，可使猪日增重降低15%、饲料利用率降低18%、出栏时间推迟23天甚至更多，增重下降或生长停滞的猪可达70%甚至更多。</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（3）寄生虫病</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寄生虫病也是引起猪场效益下降的重要疾病。美国明尼苏达大学的一项调查研究结果表明，在管理良好的猪场里，寄生虫的感染依然存在，即使是轻微的感染，也能引起大量的损失，包括饲料利用率降低、生长速度下降、由于蛔虫、鞭虫等内寄生虫的移行造成内脏的损伤和机体免疫系统的损害等方面所引起经济效益的下降等。采用科学的驱虫模式进行驱虫，猪群的日增重（从20～90千克）比没有驱虫的猪提高了9.3%，而饲料消耗却降低了10.9</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生长速度提高10.9%，肉料比提高0.36，并且由于有效地控制了疥螨病的发生，使外贸出口合格率大大提高，内销屠宰时因肝脏蛔虫斑而造成肝脏废弃的情况不再出现。一头猪从出生到出栏，使用腾骏“肯维灭”按驱虫计划进行驱虫所支出的费用（包括公、母猪驱虫分摊的费用）为3.8元，而由此获得的收益可达28元以上，从另一个角度可看到猪场寄生虫病对猪场经济效益影响之大。</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（4）人畜共患病</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许多人畜共患病，已成为严重危害人体健康的重大问题；1998～1999年马来西亚由Nipah病毒引起猪的脑炎，同时也引起265人发病，105人死亡。1997年台湾流行口蹄疫给台湾的养猪业以毁灭性的打击。2000年韩国和日本流行的口蹄疫，也给这些国家的养殖业带来沉重后果。2000年欧洲爆发口蹄疫，英国损失590亿英磅。许多人畜共患的重大疫病，如血吸虫病、狂犬病、乙型脑炎、链球菌病、流感等与动物的带毒、带菌、带虫有关，使这些病在动物和人之间相互传播，对人体健康构成严重威胁。猪场疾病日益复杂，其中猪能引起人畜共患的疾病达25种之多。由此可见，人畜共患病问题已成为影响极为广泛的社会问题。</w:t>
      </w:r>
    </w:p>
    <w:p>
      <w:pPr>
        <w:pStyle w:val="8"/>
        <w:rPr>
          <w:rFonts w:cs="Times New Roman"/>
          <w:color w:val="auto"/>
        </w:rPr>
      </w:pPr>
      <w:r>
        <w:rPr>
          <w:rFonts w:hint="eastAsia" w:cs="Times New Roman"/>
          <w:color w:val="auto"/>
        </w:rPr>
        <w:t>环境风险管理措施及应急要求</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1、柴油燃爆风险防范措施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本项目柴油的储运，应严格按照国家、行业相关规定执行，需采取的防范措施主要包括：</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（1）柴油发电机房的建设满足防火要求，防火间距、消防通道、消防设施等满足要求。</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（2）柴油发电机房储油桶与周围建筑物之间有足够的防火距离。</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（3）柴油发电机房储油桶周围设置防火堤，防止因物料泄漏而引起流淌火或二次危害。</w:t>
      </w:r>
    </w:p>
    <w:p>
      <w:pPr>
        <w:wordWrap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（4）柴油发电机房以及储油</w:t>
      </w:r>
      <w:r>
        <w:rPr>
          <w:rFonts w:hint="eastAsia" w:ascii="Times New Roman" w:hAnsi="Times New Roman" w:eastAsia="宋体" w:cs="Times New Roman"/>
          <w:color w:val="auto"/>
          <w:sz w:val="24"/>
          <w:szCs w:val="24"/>
        </w:rPr>
        <w:t>桶</w:t>
      </w:r>
      <w:r>
        <w:rPr>
          <w:rFonts w:ascii="Times New Roman" w:hAnsi="Times New Roman" w:eastAsia="宋体" w:cs="Times New Roman"/>
          <w:color w:val="auto"/>
          <w:sz w:val="24"/>
          <w:szCs w:val="24"/>
        </w:rPr>
        <w:t>的地面必须做重点防渗处理（地面采取粘土铺底，敷设2mm后的HDPE膜，再在上层铺10~15cm的水泥进行硬化），使柴油发电机（包括柴油发电机房储油桶）防渗达到等效黏土防渗层Mb≥6.0m，K≤1.0×10</w:t>
      </w:r>
      <w:r>
        <w:rPr>
          <w:rFonts w:ascii="Times New Roman" w:hAnsi="Times New Roman" w:eastAsia="宋体" w:cs="Times New Roman"/>
          <w:color w:val="auto"/>
          <w:sz w:val="24"/>
          <w:szCs w:val="24"/>
          <w:vertAlign w:val="superscript"/>
        </w:rPr>
        <w:t>-7</w:t>
      </w:r>
      <w:r>
        <w:rPr>
          <w:rFonts w:ascii="Times New Roman" w:hAnsi="Times New Roman" w:eastAsia="宋体" w:cs="Times New Roman"/>
          <w:color w:val="auto"/>
          <w:sz w:val="24"/>
          <w:szCs w:val="24"/>
        </w:rPr>
        <w:t>cm/s。</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）柴油发电机以及储油桶下面必须添加集油盘收集发电机跑冒和渗漏出来的机油和柴油，减少对外环境的影响。</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6</w:t>
      </w:r>
      <w:r>
        <w:rPr>
          <w:rFonts w:hint="eastAsia" w:ascii="Times New Roman" w:hAnsi="Times New Roman" w:eastAsia="宋体" w:cs="Times New Roman"/>
          <w:color w:val="auto"/>
          <w:sz w:val="24"/>
          <w:szCs w:val="24"/>
        </w:rPr>
        <w:t>）柴油发电机房以及储油桶应按相关规定设置消防器材，配置干粉泡沫化学灭火器。</w:t>
      </w:r>
    </w:p>
    <w:p>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2、沼气泄漏事故风险防范措施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根据工程设计，建设单位拟在</w:t>
      </w:r>
      <w:r>
        <w:rPr>
          <w:rFonts w:hint="eastAsia" w:ascii="Times New Roman" w:hAnsi="Times New Roman" w:eastAsia="宋体" w:cs="Times New Roman"/>
          <w:color w:val="auto"/>
          <w:sz w:val="24"/>
          <w:szCs w:val="24"/>
          <w:lang w:eastAsia="zh-CN"/>
        </w:rPr>
        <w:t>双膜储气袋</w:t>
      </w:r>
      <w:r>
        <w:rPr>
          <w:rFonts w:hint="eastAsia" w:ascii="Times New Roman" w:hAnsi="Times New Roman" w:eastAsia="宋体" w:cs="Times New Roman"/>
          <w:color w:val="auto"/>
          <w:sz w:val="24"/>
          <w:szCs w:val="24"/>
        </w:rPr>
        <w:t>周围安装可燃气体泄露报警器、火焰报警器和烟雾报警器，对封闭式设备进行安全监测；建设单位在生产过程中应注意以下防范措施：</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（1）工程设计风险防范措施</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总图布置应符合《工业企业总平面设计规范》（GB50187-2012）、《建筑设计防火规范》（GB50016-2014）等有关规定，应满足生产工业要求，保证工艺流程顺畅，管线短捷，有利于生产和便于管理，同时应满足安全、卫生、环保、消防等有关标准规范的要求；</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②严格执行有关防水、防爆、防中毒的规定，高温和有明火的设备尽量远离散发可燃气体的场所；</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③设备、管道设计应留有一定的安全余量；场内应设有急救设施、救援通道和应急疏散通道；</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④沼气池设置阻火器，防止发生回火。</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（2）加强岗位培训，落实安全生产责任制</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①公司领导要把安全生产、防范事故工作放在第一位，严格安全生产管理，经常检查安全生产措施，发现问题及时解决，消除事故隐患；</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②加强工作人员的安全技术培训工作，特别是对安全管理人员的安全培训，应严格遵守国家劳动安全卫生法律、法规和标准；</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③落实各项安全生产责任制，建立健全劳动安全卫生规章制度和安全操作规程。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（3）加强设备维护保养</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①加强对系统设备和密封单元的维护保养，严防泄露；</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②定期进行管道壁厚的测量，对严重关闭减薄的管段，及时维修更换，避免爆管事故发生；</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③在每次大检修时，必须对陈旧、老化的设备和管道按重要程度、安全等级进行更换。</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（4）落实工程安全技术措施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装置拟采用的工艺技术方案在国内外已得到应用，且有成功运行的经验，技术上成熟可靠，工艺技术方案本身不会引起事故风险，只要在设计中严格执行《建筑设计防火规范》（GBJ50016-2006）、《建筑物防雷设计规范》（GB50057-2010）等设计规范，设计不当引起的事故是可以杜绝的；</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严把工程建设质量关，特别是高压设备、各类泵、阀门等可能泄漏爆破部位质量关，在安装过程中，必须确保各装置的密封性，从采购、安装、检验等关键环节上加强对关键装置的管理，从根本上消除事故隐患，确保生产安全；</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③工程建成后，应全面检查输配管道、配件及安装是否合格，确保不漏气才能交付启用。</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（5）防火、防爆措施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①本项目的管道、建构筑物之间应保持一定的防火间距；</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有火灾爆炸危险场所的建构筑物的结构形式以及选用材料应符合防火防爆要求，具有可燃气体、易燃气体的生产装置应设防静电接地系统，具有火灾爆炸危险的生产设备和管道设计安全阀、爆破板、水封、阻火器等防爆阻火器等防爆阻火设施；另外应根据不同危险类型设计可燃气体检测报警系统和在线分析系统设计方案；</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③具有火灾、爆炸等危害的作业区，应设计事故状态时能延时工作的事故照明灯，装置内潮湿和高温等危险环境采用安全电压；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④配备足够的消防、气体防护设施，如防火服、氧气呼吸器、防护眼镜等，经常检查安全消防设施的完好性，使其处于即用状态；</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⑤建立一支业务技术过硬的抢救队伍，包括消防、气体防护、维修等，以备在事故发生时能及时、有效的发挥作用；</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⑥严禁在</w:t>
      </w:r>
      <w:r>
        <w:rPr>
          <w:rFonts w:hint="eastAsia" w:ascii="Times New Roman" w:hAnsi="Times New Roman" w:eastAsia="宋体" w:cs="Times New Roman"/>
          <w:color w:val="auto"/>
          <w:sz w:val="24"/>
          <w:szCs w:val="24"/>
          <w:lang w:eastAsia="zh-CN"/>
        </w:rPr>
        <w:t>双膜储气袋</w:t>
      </w:r>
      <w:r>
        <w:rPr>
          <w:rFonts w:hint="eastAsia" w:ascii="Times New Roman" w:hAnsi="Times New Roman" w:eastAsia="宋体" w:cs="Times New Roman"/>
          <w:color w:val="auto"/>
          <w:sz w:val="24"/>
          <w:szCs w:val="24"/>
        </w:rPr>
        <w:t>周围吸烟或使用明火，严禁用明火鉴别沼气池是否已经产生沼气；严禁在储气导气管口试火；严禁用明火检查各种开关、接头、输气管道是否漏气；</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⑦建筑物采取防雷措施，安装避雷针等。</w:t>
      </w:r>
    </w:p>
    <w:p>
      <w:pPr>
        <w:numPr>
          <w:ilvl w:val="0"/>
          <w:numId w:val="38"/>
        </w:num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过氧乙酸风险防范措施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注意储存的量不宜过大，尤其要注意储存时应该采用塑料容器，而不能用玻璃瓶等膨胀性较差的容器储存过氧乙酸。必须储存于低温、避光的阴凉处，并采取通风换气措施，防止挥发出的蒸气大量集聚形成爆炸性混合物。同时，由于其在贮存中易分解，应当注意有效期。储存过氧乙酸的容器应当留有不少于 5%的空隙，防止液体蒸发膨胀造成容器爆裂。严禁使用铁器或铝器等金属容器盛装存放。</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2、刚拉运回来的过氧乙酸不宜立即使用，应当静置至少30分钟以上，以利运输过程中因震动等产生的静电消除，防止静电引起火灾或爆炸事故。</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储存场所应当设置明显的禁止烟火的防火标志，严禁使用非防爆电气照明或明火，电气线路若非十分必要不得架设，必须设置时必须采用防爆设计或采取防爆措施。同时要注意与热源、明火、易燃可燃物质等分开。</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4、其受震时的灵敏性增大，在搬运过程中要轻拿轻放，禁止摔、砸、碰、撞和太阳长时间照射，注意避免因受热、接触明火及受到摩擦、震动、撞击引起燃烧爆炸而造成对人员的伤害。</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5、应专库储存，专人保管，禁止与还原剂、有机物、可燃物、还原剂、酸碱和无机氧化剂等混合或接触，保管及使用人员应进行消防安全培训。</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6、在进行室内喷洒消毒时浓度不易过高，应按说明进行稀释，在对空气进行熏蒸消毒时，人员应脱离现场，熏蒸结束后要对室内进行通风后人员方可进入。</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7、使用时应认真阅读使用说明书和安全须知，严格按要求进行操作。</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发生过氧乙酸火灾事故或大量液体泄漏时，抢险人员必须加强个人防护措施，宜在上风方向进行抢险作业，或用湿毛巾捂住口鼻可防止其对人体的毒害性，必要时应配戴空气呼吸器。对泄漏的液体可用水进行洗消，对火灾宜用水、泡沫和二氧化碳剂（灭火器）进行扑救。不得用干粉扑救过氧乙酸火灾。</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4</w:t>
      </w:r>
      <w:r>
        <w:rPr>
          <w:rFonts w:hint="eastAsia" w:ascii="Times New Roman" w:hAnsi="Times New Roman" w:eastAsia="宋体" w:cs="Times New Roman"/>
          <w:b/>
          <w:color w:val="auto"/>
          <w:sz w:val="24"/>
          <w:szCs w:val="24"/>
        </w:rPr>
        <w:t>、粪污泄漏的风险防范措施</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为避免粪污泄漏事故的发生，建设单位需做好有关防范措施：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（1）厂区配套的集污池等各污水处理构筑物、</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应采取有效的防雨、防渗和防溢流措施，防止粪污泄漏污染地下水。</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做好废水处理设施的日常维护，保证及时发现处理设备的事故隐患，确保处理系统正常运行；开、停、检修要有预案，有严密周全的计划，确保废水满足排放要求。</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污水处理设施程配套建设事故应急池，一旦污水处理系统某个构筑物或设备出现故障，应立即关闭集污池进水阀门，打开切换阀，将废水引至事故应急池，待污水处理系统恢复正常运行后，将事故应急池内污水逐步泵入集污池，坚决不允许废水不经处理直接排放。本项目将新建1座事故应急池，紧邻暂存塘，事故应急池总容积为</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。项目最大排水量为</w:t>
      </w:r>
      <w:r>
        <w:rPr>
          <w:rFonts w:hint="eastAsia" w:ascii="Times New Roman" w:hAnsi="Times New Roman" w:eastAsia="宋体" w:cs="Times New Roman"/>
          <w:color w:val="auto"/>
          <w:sz w:val="24"/>
          <w:szCs w:val="24"/>
          <w:lang w:val="en-US" w:eastAsia="zh-CN"/>
        </w:rPr>
        <w:t>233.75</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/d，考虑一般污水处理设施故障7天内便可解决，则本项目应设置事故应急池总容积不低于</w:t>
      </w:r>
      <w:r>
        <w:rPr>
          <w:rFonts w:hint="eastAsia" w:ascii="Times New Roman" w:hAnsi="Times New Roman" w:eastAsia="宋体" w:cs="Times New Roman"/>
          <w:color w:val="auto"/>
          <w:sz w:val="24"/>
          <w:szCs w:val="24"/>
          <w:lang w:val="en-US" w:eastAsia="zh-CN"/>
        </w:rPr>
        <w:t>1636.25</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。因此，建设1座</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rPr>
        <w:t>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的事故应急池可行。</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rPr>
        <w:t>）设置备用电源、备用处理设备和零件，以备停电或设备出现故障时保障及时更换，保证废水能及时处理。污水处理系统各功能泵一般设置为一用一备，进一步确保了污水处理系统正常运行，避免事故溢流或不达标出水。</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）对员工进行岗位培训，持证上岗；日常监测需做好值班记录，实行岗位责任制。</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5</w:t>
      </w:r>
      <w:r>
        <w:rPr>
          <w:rFonts w:hint="eastAsia" w:ascii="Times New Roman" w:hAnsi="Times New Roman" w:eastAsia="宋体" w:cs="Times New Roman"/>
          <w:b/>
          <w:color w:val="auto"/>
          <w:sz w:val="24"/>
          <w:szCs w:val="24"/>
        </w:rPr>
        <w:t>、暴雨灾害风险防范措施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项目实行雨污分流，场内雨水通过雨水沟排入厂外排水沟。同时采取如下措施：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（1）养殖场的排水系统实行雨污分流，避免雨水进入集污池等污水处理构筑物、粪肥储存间；排污系统全部设为暗管，避免雨水进入排污管内。</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（2）在集污池加防雨顶棚，周围设置截水沟，防止雨水进入造成溢流污染地表水。</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（3）对坡度较大的堡坎及护坡，进行加固及绿化。</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（4）粪肥储存间地面应高出场地地面0.5m以上，防止雨水进入，导致污染物外泄。</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（5）集污池池壁顶应高于地面0.5m，确保暴雨事故时雨水不会进入各构筑物内。污水处理系统各池体、建筑物周边设置雨水沟，避免厂区内汇集的雨水流入池内而造成池内污水外溢。</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6</w:t>
      </w:r>
      <w:r>
        <w:rPr>
          <w:rFonts w:hint="eastAsia" w:ascii="Times New Roman" w:hAnsi="Times New Roman" w:eastAsia="宋体" w:cs="Times New Roman"/>
          <w:b/>
          <w:color w:val="auto"/>
          <w:sz w:val="24"/>
          <w:szCs w:val="24"/>
        </w:rPr>
        <w:t>、畜禽疫病事故风险防范措施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（1）疫病预防措施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建立严格的卫生防疫制度是集约化养殖场正常生产的保证，在猪场生产中应坚持“防重于治”的方针，必须建立严格的卫生防疫制度、健全卫生防疫设施，以确保猪场安全生产。采取的措施有：</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①在生产中应坚持“防病重于治病”的方针，改变原来的被动治疗为现在的主动预防。如引种时的检疫、隔离、消毒；猪场疾病的化验与预测；疫苗的注射、药物预防等等，都是将疾病拒之门外的有效办法。</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②企业应将养殖区与生活区分开。养殖区门口应设置消毒池和消毒室（内设紫外线灯等消毒设施），消毒池内应常年保持2%~4%氢氧化钠溶液等消毒药。</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本项目养殖区与生活区及粪污处理区之间设置围墙，围墙具有防鼠功能。做好清洁卫生及消毒，防鼠虫传染病害等。</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③严格控制非生产人员进入生产区，必须进入时应更换工作服及鞋帽，经消毒室消毒后才能进入。</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④兽医必须转变观念，现代化养猪必须树立兽医新观念。</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兽医除了对常见疾病进行治疗外，还必须经常对猪群临床症状进行收集、分析、整理，形成最佳、最可信的详细资料，再根据流行病学的基本特征去排除猪场一些慢性病和亚临床症状疾病，保证猪群健康，达到预期的生长性能。传统的治疗兽医将变成防疫兽医，再发展成现在的保健兽医。只有这样，才能在猪病防控工作上取得突破性进展。</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⑤合理布局、完善设施及严格消毒是预防疾病的基础。</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场选址一般要求地势高，远离主干道，通风向阳，水质好，排污治污方便的地方。现代化养猪往往通过改善养猪设备来控制或减少疾病，如漏粪地板和护仔栏的使用、小单元的全进全出、通风系统及温控设备等等。即使是小猪场也不可忽视隔离墙、隔离沟、消毒池和排污道的建设。经常开展常规的消毒，保持良好的消毒效果来减少疾病的感染机会，进一步促进猪群健康。</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常见空圈舍消毒程序：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空圈→清理杂物→高压水枪冲洗→消毒→3小时后清理污垢死角→清水彻底冲洗→晾干→熏蒸消毒→晾干→阳离子表面活性消毒剂消毒→晾干→进猪。</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⑥加强饲养管理，搞好环境卫生是预防疾病的条件</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全价平衡的营养是保证猪群发挥生产性能的重要因素，良好的饲养环境有利于猪群生产性能的正常发挥。科学程序化的管理使猪群生产性能获得最大经济效益。相反，营养不良、环境恶劣、管理不善，都能降低猪群的抗感染能力或者引起猪群疾病加重。即便是很健康、免疫能力很强的猪群在极其恶劣的环境下也很难避免疾病的发生。另外及时淘汰无价值的个体，对减少疾病非常重要。</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⑦饲养人员每年应至少进行一次体格检查，如发现患有危害人、猪的传染病者，应及时调离，以防传染。</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⑧经常保持猪舍、猪体的清洁，猪舍还应保持平整、干燥、无污物（如砖块、石头、废弃塑料袋等）。</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（2）疫病监测制度</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疫病监测是预防疾病的关键，只有对养殖场内猪只的健康状况、免疫水平以及原发病史进行全面、细致的了解，才能有针对性制定免疫程序、防控措施和净化方案。猪场应建立如下疾病监测制度：</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①对后备猪进行细小病毒病、伪狂犬病、乙脑、猪瘟疫苗注射及注射1～3周后抽血化验工作。进行血清学检测，监测猪群健康状态和免疫效果。</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对乳猪、断奶猪和其他各猪群，应做好疫苗接种前后的血清抗体监测工作，以便能随时掌握猪群免疫状况和接种效果。对血清监测的结果，应根据监测样品多少、监测方法的准确性，以及猪群的临床检查结果等方面的资料，进行综合分析，可随时调整免疫程序或补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③定期监测蓝耳病、李氏杆菌病、传染性胸膜肺炎、萎鼻、气喘病、猪痢疾、链球菌病。</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④做好猪群驱虫前、后的化验监测工作，特别是监测弓形虫病、附红细胞体病等寄生病的有无、存在的程度。</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总之，引起猪场疾病的因素很多。在实际工作中只有注意到生产中的各种细节，职工能积极主动配合，疾病防治工作才能做好，猪场才能实现安全生产。</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（3）发生疫情时的紧急措施</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若不慎发生传染病，应立即采取有效地控制措施：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封闭→隔离→每天消毒→根据临床症状、解剖变化进行疾病的初步诊断→病畜的对症治疗→采样送检确诊→紧急预防接种→取各种综合性防治措施。做到行动迅速，方法得当，措施有力，尽可能的将损失降到最低。</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应立即按照计划组成防疫小组，尽快做出确切诊断，迅速向卫生防疫部门报告疫情。迅速隔离病猪，对危害较重的传染病应及时划区封锁，建立封锁带，出人人员和车辆要严格消毒，同时严格消毒污染环境。解除封锁的条件是在最后一头病猪痊愈后两个潜伏期内再无新病例出现，经过全面大消毒，报上级主管部门批准，方可解除封锁。</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③对病猪及封锁区内的猪实行合理的综合防制措施，包括疫苗的紧急接种、抗生素疗法、高免血清的特异性疗法、化学疗法、增强体质和生理机能的辅助疗法等。</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（4）疫情控制方案</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根据发生疫情的类别，应分别采取相应的控制方案，具体如下：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发生一类疫病时，应当及时报告当地畜牧兽医行政管理部门，由其派专人到现场，划定疫点、疫区、受威胁区，采集病料，调查疫源，并及时报请县人民政府决定对场区实行封锁，将疫情等情况逐级上报国务院畜牧兽医行政管理部门。县政府应当立即组织有关部门和单位采取隔离、扑杀、销毁、消毒、紧急免疫接种等强制性控制、扑灭措施，迅速扑灭疫病，并通报毗邻地区。在封锁期间，禁止染疫和疑似染疫的猪只流出场区，禁止非疫区的猪只进入场区，并根据扑灭动物疫病的需要对出入封锁区的人员、运输工具及有关物品采取消毒和其他限制性措施。封锁的解除，必须由县人民政府宣布。</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②发生二类动物疫病时，县畜牧兽医行政管理部门应当根据需要组织有关部门和单位采取隔离、扑杀、销毁、消毒、紧急免疫接种、限制易感染的动物、动物产品及有关物品出入等控制、扑灭措施。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③发生三类动物疫病时，应由县政府按照动物疫病预防计划和国务院畜牧兽医行政管理部门的有关规定，组织防治和净化。</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疫情的控制要贯彻“以防为主”的方针，切实做好防疫工作，确保养殖场的健康发展。一些常见疫病防治可以采用如下办法：</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猪瘟：猪瘟又叫烂肠瘟，是由猪瘟病毒引起的一种急性、热性、败血性传染病，不同品种、性别、年龄的猪均可感染该病。在该病的常发季节，要对育肥猪于 20~25日龄首免，50~60日龄二免。在非疫季节，应对育肥猪断奶后免疫一次。</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喘气病：该病又称猪霉形体肺炎，是由肺炎霉形体（支原体）引起的一种慢性呼吸道传染病，各种年龄、性别、品种的猪都可发生，病猪表现为咳嗽、气喘，死亡率不高，主要影响猪的生长速度。可对15日龄以上的育肥猪胸腔或肺内接种猪气喘病弱毒苗。</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猪肺疫：该病是由巴氏杆菌引起的一种急性、热性、败血性传染病，各种年龄的猪均易感染，但以育肥猪和架子猪发病率较高。育肥猪断奶时肌肉注射猪肺疫弱毒苗。</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流行性感冒：该病是由猪流行性感冒病毒引起的一种急性、高度接触性传染病，发病猪不分品种、性别和年龄，多发生于春季，往往突然发病，迅速传播整个猪群。目前尚无有效的疫苗。预防本病应加强猪舍的消毒工作，保持猪舍清洁干燥。</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育肥猪副伤寒：该病是由沙门氏菌引起的一种传染病，多发生于2~4月龄的育肥猪，1个月以下和6个月以上的猪很少发生。在非疫区育肥猪断奶后要接种副伤寒弱毒冻干苗，疫区要对20~30日龄的育肥猪用副伤寒甲醛苗首免，间隔5~8天再免疫一次。</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育肥猪大肠杆菌病：由致病性大肠杆菌引起，包括育肥猪黄痢（以1～3日龄育肥猪多见）、育肥猪白痢（以10～30日龄育肥猪多发）、育肥猪水肿病（多发生于断奶前后体质健壮的育肥猪）。育肥猪黄痢的免疫是对怀孕母猪于产前40天肌肉注射2毫升育肥猪黄痢油剂苗；育肥猪白痢的免疫方法是让怀孕母猪于产前40天口服遗传工程活菌苗，产前15天进行加强免疫；育肥猪水肿病的免疫方法是对妊娠母猪注射采用本猪场病猪分离的致病菌株制备的灭活苗。</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喘气病：该病又称为猪支原体肺炎，是由支原体引起的一种慢性呼吸道传染病，各种年龄、性别、品种的猪都可能发生，病猪表现为咳嗽、气喘，死亡率不高，主要影响猪的生长速度。可对15日龄以上的育肥猪胸腔或肺内接种猪气喘病弱毒苗。</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（5）个人防护措施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①管理传染源：加强畜类疫情监测；患者应隔离治疗，转运时应戴口罩。</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切断传播途径：接触患者或患者分泌物后应洗手；处理患者血液或分泌物时应戴手套；被患者血液或分泌物污染的医疗器械应消毒；发生疫情时，应尽量减少与畜类接触，接触畜类时应戴上手套和口罩，穿上防护衣。</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③日常防护：职工进入养殖场之前和之后，都应该换洗衣服、洗澡、搞好个人防护。</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258" w:name="_Toc26367"/>
      <w:r>
        <w:rPr>
          <w:rFonts w:hint="eastAsia" w:ascii="Times New Roman" w:hAnsi="Times New Roman" w:eastAsia="宋体" w:cs="Times New Roman"/>
          <w:color w:val="auto"/>
          <w:lang w:val="en-US" w:eastAsia="zh-CN"/>
        </w:rPr>
        <w:t>应急预案</w:t>
      </w:r>
      <w:bookmarkEnd w:id="258"/>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应急预案主要内容应根据《建设项目环境风险评价技术导则》（HJ169-2018）详细编制，急预案基本内容见表</w:t>
      </w:r>
      <w:r>
        <w:rPr>
          <w:rFonts w:hint="eastAsia" w:ascii="Times New Roman" w:hAnsi="Times New Roman" w:eastAsia="宋体" w:cs="Times New Roman"/>
          <w:color w:val="auto"/>
          <w:sz w:val="24"/>
          <w:szCs w:val="24"/>
          <w:lang w:val="en-US" w:eastAsia="zh-CN"/>
        </w:rPr>
        <w:t>6.6</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p>
    <w:p>
      <w:pPr>
        <w:widowControl w:val="0"/>
        <w:spacing w:before="120" w:beforeLines="50" w:line="360" w:lineRule="auto"/>
        <w:ind w:firstLine="0" w:firstLineChars="0"/>
        <w:jc w:val="center"/>
        <w:rPr>
          <w:rFonts w:hint="eastAsia" w:ascii="Times New Roman" w:hAnsi="Times New Roman" w:eastAsia="宋体" w:cs="Times New Roman"/>
          <w:b/>
          <w:color w:val="auto"/>
          <w:kern w:val="2"/>
          <w:sz w:val="21"/>
          <w:szCs w:val="24"/>
          <w:lang w:val="en-US" w:eastAsia="zh-CN" w:bidi="ar-SA"/>
        </w:rPr>
      </w:pPr>
      <w:r>
        <w:rPr>
          <w:rFonts w:ascii="Times New Roman" w:hAnsi="Times New Roman" w:eastAsia="宋体" w:cs="Times New Roman"/>
          <w:b/>
          <w:color w:val="auto"/>
          <w:kern w:val="2"/>
          <w:sz w:val="21"/>
          <w:szCs w:val="24"/>
          <w:lang w:val="en-US" w:eastAsia="zh-CN" w:bidi="ar-SA"/>
        </w:rPr>
        <w:t>表6.6</w:t>
      </w:r>
      <w:r>
        <w:rPr>
          <w:rFonts w:hint="eastAsia" w:ascii="Times New Roman" w:hAnsi="Times New Roman" w:eastAsia="宋体" w:cs="Times New Roman"/>
          <w:b/>
          <w:color w:val="auto"/>
          <w:kern w:val="2"/>
          <w:sz w:val="21"/>
          <w:szCs w:val="24"/>
          <w:lang w:val="en-US" w:eastAsia="zh-CN" w:bidi="ar-SA"/>
        </w:rPr>
        <w:t>-</w:t>
      </w:r>
      <w:r>
        <w:rPr>
          <w:rFonts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t xml:space="preserve"> </w:t>
      </w:r>
      <w:r>
        <w:rPr>
          <w:rFonts w:ascii="Times New Roman" w:hAnsi="Times New Roman" w:eastAsia="宋体" w:cs="Times New Roman"/>
          <w:b/>
          <w:color w:val="auto"/>
          <w:kern w:val="2"/>
          <w:sz w:val="21"/>
          <w:szCs w:val="24"/>
          <w:lang w:val="en-US" w:eastAsia="zh-CN" w:bidi="ar-SA"/>
        </w:rPr>
        <w:t xml:space="preserve">  </w:t>
      </w:r>
      <w:r>
        <w:rPr>
          <w:rFonts w:hint="eastAsia" w:ascii="Times New Roman" w:hAnsi="Times New Roman" w:eastAsia="宋体" w:cs="Times New Roman"/>
          <w:b/>
          <w:color w:val="auto"/>
          <w:kern w:val="2"/>
          <w:sz w:val="21"/>
          <w:szCs w:val="24"/>
          <w:lang w:val="en-US" w:eastAsia="zh-CN" w:bidi="ar-SA"/>
        </w:rPr>
        <w:t xml:space="preserve"> 环境风险</w:t>
      </w:r>
      <w:r>
        <w:rPr>
          <w:rFonts w:ascii="Times New Roman" w:hAnsi="Times New Roman" w:eastAsia="宋体" w:cs="Times New Roman"/>
          <w:b/>
          <w:color w:val="auto"/>
          <w:kern w:val="2"/>
          <w:sz w:val="21"/>
          <w:szCs w:val="24"/>
          <w:lang w:val="en-US" w:eastAsia="zh-CN" w:bidi="ar-SA"/>
        </w:rPr>
        <w:t>应急预案内容一览表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04"/>
        <w:gridCol w:w="2553"/>
        <w:gridCol w:w="574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12"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553" w:type="dxa"/>
            <w:tcBorders>
              <w:top w:val="single" w:color="auto" w:sz="12"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5746" w:type="dxa"/>
            <w:tcBorders>
              <w:top w:val="single" w:color="auto" w:sz="12"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内容及要求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应急计划区</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危险目标：生产区、污水处理区、环境保护目标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应急组织机构、人员</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建设单位设置应急组织机构，厂长为总负责人，各部门和基层单位应急负责人为本单位为应急计划、协调第一责任人，应急人员必须为培训上岗熟练工；区域应急组织结构由当地政府、相关行业专家、卫生安全相关单位组成，并由当地政府进行统一调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预案分级响应条件</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根据事故险情的严重程度制定相应级别的应急预案，以及适合相应情况的处理措施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应急救援保障</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各装置应配备相应数量的应急设施、设备与器材等。应急设备设施的管理具体执行《生产车间应急装备物资管理规定》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报警、通讯联络方式</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逐一细化应急状态下各主要负责部门的报警通讯方式、地点、电话号码以及相关配套的交通保障、管制、消防联络方法，涉及跨区域的还应与相关区域环境保护部门和上级生态环境部门保持联系，及时通报事故处理情况，以获得区域性支援。同时充分重视并发挥煤体的作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应急环境监测、抢险、救援及控制措施</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组织专业队伍负责对事故现场进行侦察监测，对事故性质、参数与后果进行评估，专为指挥部门提供决策依据。严格规定事故多发区、事故现场、邻近区域、控制防火区域设置控制和清除污染措施及相应设备的数量、使用方法、使用人员</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应急检测、防护措施、清除泄漏措施和器材</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人员紧急撤离、疏散，应急剂量控制、撤离组织计划</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事故现场、工厂邻近区、受事故影响的区域人员及公众对毒物应急剂量控制规定，撤离组织计划及救护，医疗救护与公众健康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事故应急救援关闭程序与恢复措施</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制定相关应急状态终止程序，事故现场、受影响范围内的善后处理、恢复措施，邻近区域解除事故警戒及善后恢复措施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应急培训计划</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应急计划制定后，定期安排相关人员进行培训与演练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11</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公众教育和信息</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对工厂邻近地区开展公众教育、培训和发布有关信息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12"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w:t>
            </w:r>
          </w:p>
        </w:tc>
        <w:tc>
          <w:tcPr>
            <w:tcW w:w="2553" w:type="dxa"/>
            <w:tcBorders>
              <w:top w:val="single" w:color="auto" w:sz="8" w:space="0"/>
              <w:left w:val="single" w:color="auto" w:sz="8" w:space="0"/>
              <w:bottom w:val="single" w:color="auto" w:sz="12"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事故恢复措施</w:t>
            </w:r>
          </w:p>
        </w:tc>
        <w:tc>
          <w:tcPr>
            <w:tcW w:w="5746" w:type="dxa"/>
            <w:tcBorders>
              <w:top w:val="single" w:color="auto" w:sz="8" w:space="0"/>
              <w:left w:val="single" w:color="auto" w:sz="8" w:space="0"/>
              <w:bottom w:val="single" w:color="auto" w:sz="12"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组织专业人员对事故后的环境变化进行监测，对事故应急措施的环境可行性进行后影响评价</w:t>
            </w:r>
          </w:p>
        </w:tc>
      </w:tr>
    </w:tbl>
    <w:p>
      <w:pPr>
        <w:pStyle w:val="8"/>
        <w:rPr>
          <w:rFonts w:hint="eastAsia" w:cs="Times New Roman"/>
          <w:color w:val="auto"/>
          <w:lang w:val="en-US" w:eastAsia="zh-CN"/>
        </w:rPr>
      </w:pPr>
      <w:r>
        <w:rPr>
          <w:rFonts w:hint="eastAsia" w:cs="Times New Roman"/>
          <w:color w:val="auto"/>
          <w:lang w:val="en-US" w:eastAsia="zh-CN"/>
        </w:rPr>
        <w:t>企业应急组织机构</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应设立专人负责日常安全生产环境管理，主要职责包括：负责应急事故处理预案的制定，落实事故处理岗位责任制，供岗位人员及救险人员应急学习；负责事故现场抢险指挥；负责与环保部门联系，进行应急监测；负责事故后果评价，并报告有关管理部门。</w:t>
      </w:r>
    </w:p>
    <w:p>
      <w:pPr>
        <w:pStyle w:val="8"/>
        <w:rPr>
          <w:rFonts w:hint="eastAsia" w:cs="Times New Roman"/>
          <w:color w:val="auto"/>
          <w:lang w:val="en-US" w:eastAsia="zh-CN"/>
        </w:rPr>
      </w:pPr>
      <w:r>
        <w:rPr>
          <w:rFonts w:hint="eastAsia" w:cs="Times New Roman"/>
          <w:color w:val="auto"/>
          <w:lang w:val="en-US" w:eastAsia="zh-CN"/>
        </w:rPr>
        <w:t>应急救援保障</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企业需具备应急救援保障设备及器材，包括防护服、消防水泵、灭火器材、氧气呼吸器、防爆手电、对讲机、警戒围绳等。</w:t>
      </w:r>
    </w:p>
    <w:p>
      <w:pPr>
        <w:pStyle w:val="8"/>
        <w:rPr>
          <w:rFonts w:hint="eastAsia" w:cs="Times New Roman"/>
          <w:color w:val="auto"/>
          <w:lang w:val="en-US" w:eastAsia="zh-CN"/>
        </w:rPr>
      </w:pPr>
      <w:r>
        <w:rPr>
          <w:rFonts w:hint="eastAsia" w:cs="Times New Roman"/>
          <w:color w:val="auto"/>
          <w:lang w:val="en-US" w:eastAsia="zh-CN"/>
        </w:rPr>
        <w:t>事故应急措施</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1、沼气、柴油贮存泄露应急措施</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保证企业及人民生命财产的安全，防止突发性重大风险事故发生，或在发生事故时，能迅速有序地开展救援工作，尽最大努力减少事故的危害和损失，根据《中华人民共和国安全生产法》，公司应制定企业级事故应急救援预案，成立以法人为总指挥，副厂长为副总指挥的化学事故应急救援队伍，指挥部下设办公室、工程抢险救援组、医疗救护组、后勤保障组。</w:t>
      </w:r>
    </w:p>
    <w:p>
      <w:pPr>
        <w:spacing w:line="360" w:lineRule="auto"/>
        <w:ind w:firstLine="482" w:firstLineChars="200"/>
        <w:rPr>
          <w:rFonts w:hint="eastAsia" w:ascii="Times New Roman" w:hAnsi="Times New Roman" w:eastAsia="宋体" w:cs="Times New Roman"/>
          <w:b/>
          <w:color w:val="auto"/>
          <w:sz w:val="24"/>
          <w:szCs w:val="24"/>
        </w:rPr>
      </w:pPr>
      <w:r>
        <w:rPr>
          <w:rFonts w:ascii="Times New Roman" w:hAnsi="Times New Roman" w:eastAsia="宋体" w:cs="Times New Roman"/>
          <w:b/>
          <w:color w:val="auto"/>
          <w:sz w:val="24"/>
          <w:szCs w:val="24"/>
        </w:rPr>
        <w:t>2</w:t>
      </w:r>
      <w:r>
        <w:rPr>
          <w:rFonts w:hint="eastAsia" w:ascii="Times New Roman" w:hAnsi="Times New Roman" w:eastAsia="宋体" w:cs="Times New Roman"/>
          <w:b/>
          <w:color w:val="auto"/>
          <w:sz w:val="24"/>
          <w:szCs w:val="24"/>
        </w:rPr>
        <w:t>、还田输送管网泄漏应急措施</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必须确定或建立相应的管理机构，安排专人管理，落实足够的运行管理经费，制定切实可行的管理规章和工程维修养护制度，并对管理人员进行技术培训和岗位考核。同时做到对废水还田利用工程进行经常性的维护、季节性的整修和临时性的抢修以及系统运行效果和有害重金属的监测与处理。</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（1）管道养护</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要经常对管道进行巡查维护，发现管道漏水、爆裂及时修补，发现沼液出水明显减少，要及时监测、疏通污物收集装置，确保沼液输送通畅和设施完好、运行正常。</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沼液输送管线，做好防腐工作，定期进行检修，一旦发现滴漏，沼液排入沼液储存池，待维护完毕后方可输送。</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（2）设施维修保养</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立处理、储液、储存池等主要建筑结构和管网、机电设备的检修制度或维修养护办法，确保各类设施设备完整，做到无损、无漏、无裂，闸门启闭灵活。安装的沼液泵、动力设备与电气设备应每年全面检修一次，确保安全运行。及时清除污物收集装置、储存池中的各种杂质淤泥。</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一旦污水处理系统出现故障，应立即关闭集污池进口阀门，打开切换阀，将废水输送至应急池，同时抓紧抢修，确保污水处理系统尽快恢复正常运行，污水处理系统正常运行后，将应急池内污水逐步泵入集污池进行污水处理。</w:t>
      </w:r>
    </w:p>
    <w:p>
      <w:pPr>
        <w:spacing w:line="360" w:lineRule="auto"/>
        <w:ind w:firstLine="482" w:firstLineChars="200"/>
        <w:rPr>
          <w:rFonts w:hint="eastAsia" w:ascii="Times New Roman" w:hAnsi="Times New Roman" w:eastAsia="宋体" w:cs="Times New Roman"/>
          <w:b/>
          <w:color w:val="auto"/>
          <w:sz w:val="24"/>
          <w:szCs w:val="24"/>
        </w:rPr>
      </w:pPr>
      <w:r>
        <w:rPr>
          <w:rFonts w:ascii="Times New Roman" w:hAnsi="Times New Roman" w:eastAsia="宋体" w:cs="Times New Roman"/>
          <w:b/>
          <w:color w:val="auto"/>
          <w:sz w:val="24"/>
          <w:szCs w:val="24"/>
        </w:rPr>
        <w:t>3</w:t>
      </w:r>
      <w:r>
        <w:rPr>
          <w:rFonts w:hint="eastAsia" w:ascii="Times New Roman" w:hAnsi="Times New Roman" w:eastAsia="宋体" w:cs="Times New Roman"/>
          <w:b/>
          <w:color w:val="auto"/>
          <w:sz w:val="24"/>
          <w:szCs w:val="24"/>
        </w:rPr>
        <w:t>、畜禽疫病事故应急措施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一旦发现养殖场内猪只发生疾病、疫情，应立即采取紧急防治措施，防止疫情扩散。</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（1）应立即组成防疫小组，尽快确切诊断，迅速向有关上级部门报告疫情。</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迅速隔离病猪，对危害较重的传染病应及时划区封锁，建立封锁带，出人人员和车辆要严格消毒，同时严格消毒污染环境。解除封锁的条件是在最后一头病猪痊愈或屠宰后两个潜伏期内再无新病例出现，经过全面大消毒，报上级主管部门批准，方可解除封锁。</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（3）对病猪及封锁区内的猪只实行合理的综合防制措施，包括疫苗的紧急接种、抗生素疗法、高免血清的特异性疗法、化学疗法、增强体质和生理机能的辅助疗法等。</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（4）病死猪尸体要严格按照防疫条例进行处置。</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出现重大疫情时必须严格执行《重大动物疫情应急条例》中相关规定。其中报告制度如下：从事动物隔离、疫情监测、疫病研究与诊疗、检验检疫以及动物饲养、屠宰加工、运输、经营等活动的有关单位和个人，发现动物出现群体发病或者死亡的，应当立即向所在地的县（市）动物防疫监督机构报告。重大动物疫情报告包括下列内容：</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①疫情发生的时间、地点；</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②染疫、疑似染疫动物种类和数量、同群动物数量、免疫情况、死亡数量、临床症状、病理变化、诊断情况；</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③流行病学和疫源追踪情况；</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④已采取的控制措施；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⑤疫情报告的单位、负责人、报告人及联系方式。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有关单位和个人对重大动物疫情不得瞒报、谎报、迟报，不得授意他人瞒报、谎报、迟报，不得阻碍他人报告。</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（6）发生疫情后针对疫点采取的应急措施如下：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①扑杀并销毁染疫动物和易感染的动物及其产品；</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②对病死的动物、动物排泄物、被污染饲料、污水进行无害化处理；</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③对被污染的物品、用具、动物圈舍、场地进行严格消毒。</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（7）对疫区应当采取下列措施：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①在疫区周围设置警示标志，在出入疫区的交通路口设置临时动物检疫消毒站，对出入的人员和车辆进行消毒；</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②扑杀并销毁染疫和疑似染疫动物及其同群动物，销毁染疫和疑似染疫的动物产品，对其他易感染的动物实行圈养或者在指定地点放养，役用动物限制在疫区内使役；</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③对易感染的动物进行监测，并按照国务院兽医主管部门的规定实施紧急免疫接种，必要时对易感染的动物进行扑杀；</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④关闭动物及动物产品交易市场，禁止动物进出疫区和动物产品运出疫区；</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⑤对动物圈舍、动物排泄物、污水和其他可能受污染的物品、场地，进行消毒或者无害化处理。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根据《畜禽养殖业污染防治技术规范》第 9 条规定，病死畜禽尸体要及时处理，严禁随意丢弃，严禁出售或作为饲料再利用。</w:t>
      </w:r>
    </w:p>
    <w:p>
      <w:pPr>
        <w:pStyle w:val="8"/>
        <w:rPr>
          <w:rFonts w:hint="eastAsia" w:cs="Times New Roman"/>
          <w:color w:val="auto"/>
          <w:lang w:val="en-US" w:eastAsia="zh-CN"/>
        </w:rPr>
      </w:pPr>
      <w:r>
        <w:rPr>
          <w:rFonts w:hint="eastAsia" w:cs="Times New Roman"/>
          <w:color w:val="auto"/>
          <w:lang w:val="en-US" w:eastAsia="zh-CN"/>
        </w:rPr>
        <w:t>应急终止</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（1）应急终止的条件</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①事件现场得到控制，事件条件已经消除；</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②污染源的释放已降至规定限值以内；</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③事件所造成的危害已经被彻底消除，无继发可能；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④事件现场的各种专业应急处置行动已无继续的必要；</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⑤采取一切必要的防护措施以保护公众再次免受危害，并使事件可能引起的中长期影响趋于合理且尽量低的水平。</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（2）应急终止的程序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①指挥领导小组确认终止时机或由事故责任单位提出，经指挥领导小组批准；</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②指挥领导小组向所属各专业应急响应队伍下达应急终止命令；</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③应急状态终止后，相关类别环境事件专业应急工作组应根据政府有关指示和实际情况，继续进行环境监测和评价工作，直至其他补救措施无须继续进行为止。</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（3）应急终止后的后续工作</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①环境跟踪监测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污染物进入周围环境后，随着稀释、扩散和降解等作用，其浓度会逐渐降低。为了掌握事故发生后的污染程度、范围及变化趋势，在应急状态终止后，环境安全监测组人员应进行污染物的跟踪监测，直至环境恢复正常或达标。</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②向本单位相关部门、周边村庄等受影响区域，通知本事件危险已解除。</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③应急终止后，应急指挥组应做好现场的保护，用隔离警示带围住事故现场区域。应急指挥组还要配合有关部门查找事件原因，防止类似问题的重复出现。</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④撰写突发环境事件总结报告，于应急终止后上报。</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⑤根据环境事件的类别，由相关专业主管部门组织对环境应急预案进行评估，并及时修订。</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⑥参加应急行动的部门分别组织、指导环境应急救援队伍维护、保养应急仪器设备，使之始终保持良好的技术状态。</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⑦根据事故调查结果，对公司现有的防范措施与应急预案进行评价，指出其有效性和不足之处，提出整改意见。</w:t>
      </w:r>
    </w:p>
    <w:p>
      <w:pPr>
        <w:pStyle w:val="8"/>
        <w:rPr>
          <w:rFonts w:hint="eastAsia" w:cs="Times New Roman"/>
          <w:color w:val="auto"/>
          <w:lang w:val="en-US" w:eastAsia="zh-CN"/>
        </w:rPr>
      </w:pPr>
      <w:r>
        <w:rPr>
          <w:rFonts w:hint="eastAsia" w:cs="Times New Roman"/>
          <w:color w:val="auto"/>
          <w:lang w:val="en-US" w:eastAsia="zh-CN"/>
        </w:rPr>
        <w:t>应急救援培训计划</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（1）应急救援人员培训</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建设单位应定期对应急救援人员进行应急事故处理及紧急救援培训，应急救援人员的培训由领导小组统一安排制定专人进行。</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（2）员工应急响应培训</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由建设单位组织应急救援人员定期对员工进行应急事故处理及紧急救援培训，提高员工风险防范意识及自救能力。</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（3）演练计划</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建设单位须定期进行突发事件紧急响应演习，至少每半年组织一次，由公司应急救援领导小组组织。</w:t>
      </w:r>
    </w:p>
    <w:p>
      <w:pPr>
        <w:pStyle w:val="8"/>
        <w:rPr>
          <w:rFonts w:hint="eastAsia" w:cs="Times New Roman"/>
          <w:color w:val="auto"/>
          <w:lang w:val="en-US" w:eastAsia="zh-CN"/>
        </w:rPr>
      </w:pPr>
      <w:r>
        <w:rPr>
          <w:rFonts w:hint="eastAsia" w:cs="Times New Roman"/>
          <w:color w:val="auto"/>
          <w:lang w:val="en-US" w:eastAsia="zh-CN"/>
        </w:rPr>
        <w:t>应急预案演习</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为验证应急预案的可操作性和合理性，确保所有职工都了解该应急预案，同时为</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了增强各部门之间的相互协作能力，应对各类可能发生事故进行培训和应急演练，从而确保预案的适时改进。所有运作人员参与污染事故应急演习的时间间隔不得超过一年，并做好演练记录。</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根据本项目的实际情况，企业还应从以下几方面加强事故应急防范：</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（1）建立应急救援指挥系统</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①企业应组建指挥小组。</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②指挥小组负责重大事故应急预案的制定及修订；组建应急救援专业队伍，并组织实施平时的演练；经常性检查应急预案的各项准备工作，以确保系统能正常工作。</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③定时组织工作人员进行培训。</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④及时向上级汇报事故情况，并对事故做总结。</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（2）现场事故处置</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①发生重大事故时，应紧急疏散场区工作人员，危险区域实行隔离，禁止进入，无关人员不得靠近。</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②现场扑救人员应佩戴氧气隔离防毒面具，穿专用防护服。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③发生山林火灾时应及时扑救，防止火势蔓延。</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（3）外部联络</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向当地市政府、消防、公安、环保、卫生、林业等部门及时汇报险情，寻求支援。</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259" w:name="_Toc3939"/>
      <w:bookmarkStart w:id="260" w:name="_Toc436035701"/>
      <w:bookmarkStart w:id="261" w:name="_Toc29221880"/>
      <w:r>
        <w:rPr>
          <w:rFonts w:hint="eastAsia" w:ascii="Times New Roman" w:hAnsi="Times New Roman" w:eastAsia="宋体" w:cs="Times New Roman"/>
          <w:color w:val="auto"/>
          <w:lang w:val="en-US" w:eastAsia="zh-CN"/>
        </w:rPr>
        <w:t>环境风险评价结论</w:t>
      </w:r>
      <w:bookmarkEnd w:id="259"/>
      <w:bookmarkEnd w:id="260"/>
      <w:bookmarkEnd w:id="261"/>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本项目营运期间涉及的主要危险物质包括柴油和甲烷</w:t>
      </w:r>
      <w:r>
        <w:rPr>
          <w:rFonts w:hint="eastAsia" w:ascii="Times New Roman" w:hAnsi="Times New Roman" w:eastAsia="宋体" w:cs="Times New Roman"/>
          <w:color w:val="auto"/>
          <w:sz w:val="24"/>
          <w:szCs w:val="24"/>
          <w:lang w:eastAsia="zh-CN"/>
        </w:rPr>
        <w:t>和</w:t>
      </w:r>
      <w:r>
        <w:rPr>
          <w:rFonts w:hint="default" w:ascii="Times New Roman" w:hAnsi="Times New Roman" w:eastAsia="宋体" w:cs="Times New Roman"/>
          <w:color w:val="auto"/>
          <w:sz w:val="24"/>
          <w:szCs w:val="24"/>
        </w:rPr>
        <w:t>，不构成重大危险源，项目环境风险事故的发生概率极小。建设单位通过采取一系列的风险防范措施，同时制定相应的事故应急预案，可有效地防止环境风险事故的发生；一旦发生事故，依靠安全防护设施和事故应急措施也能及时控制事故，防止事故的蔓延。减少事故带来的人员伤亡、财产损失和环境影响，项目的环境风险水平是可以接受的。综合分析，从环境风险角度分析本项目建设可行。</w:t>
      </w:r>
    </w:p>
    <w:p>
      <w:pPr>
        <w:pStyle w:val="2503"/>
        <w:numPr>
          <w:ilvl w:val="0"/>
          <w:numId w:val="39"/>
        </w:numPr>
        <w:spacing w:before="120"/>
        <w:ind w:left="425" w:leftChars="0" w:hanging="425" w:firstLineChars="0"/>
        <w:rPr>
          <w:rFonts w:hint="eastAsia"/>
          <w:color w:val="auto"/>
        </w:rPr>
      </w:pPr>
      <w:r>
        <w:rPr>
          <w:rFonts w:hint="eastAsia"/>
          <w:color w:val="auto"/>
        </w:rPr>
        <w:t xml:space="preserve">   建设项目环境风险简单分析内容表</w:t>
      </w:r>
    </w:p>
    <w:tbl>
      <w:tblPr>
        <w:tblStyle w:val="88"/>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2066"/>
        <w:gridCol w:w="1304"/>
        <w:gridCol w:w="1541"/>
        <w:gridCol w:w="1008"/>
        <w:gridCol w:w="1289"/>
        <w:gridCol w:w="179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tcBorders>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建设项目名称</w:t>
            </w:r>
          </w:p>
        </w:tc>
        <w:tc>
          <w:tcPr>
            <w:tcW w:w="6937" w:type="dxa"/>
            <w:gridSpan w:val="5"/>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eastAsia="zh-CN"/>
              </w:rPr>
              <w:t>通江温氏畜牧有限公司</w:t>
            </w:r>
            <w:r>
              <w:rPr>
                <w:rFonts w:hint="eastAsia"/>
                <w:color w:val="auto"/>
                <w:sz w:val="21"/>
                <w:szCs w:val="21"/>
              </w:rPr>
              <w:t>龙凤场镇种猪养殖项目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建设地点</w:t>
            </w:r>
          </w:p>
        </w:tc>
        <w:tc>
          <w:tcPr>
            <w:tcW w:w="130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（四川）省</w:t>
            </w:r>
          </w:p>
        </w:tc>
        <w:tc>
          <w:tcPr>
            <w:tcW w:w="154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w:t>
            </w:r>
            <w:r>
              <w:rPr>
                <w:rFonts w:hint="eastAsia"/>
                <w:color w:val="auto"/>
                <w:sz w:val="21"/>
                <w:szCs w:val="21"/>
              </w:rPr>
              <w:t>巴</w:t>
            </w:r>
            <w:r>
              <w:rPr>
                <w:rFonts w:hint="default"/>
                <w:color w:val="auto"/>
                <w:sz w:val="21"/>
                <w:szCs w:val="21"/>
              </w:rPr>
              <w:t>中）市</w:t>
            </w:r>
          </w:p>
        </w:tc>
        <w:tc>
          <w:tcPr>
            <w:tcW w:w="100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w:t>
            </w:r>
            <w:r>
              <w:rPr>
                <w:rFonts w:hint="eastAsia"/>
                <w:color w:val="auto"/>
                <w:sz w:val="21"/>
                <w:szCs w:val="21"/>
              </w:rPr>
              <w:t>/</w:t>
            </w:r>
            <w:r>
              <w:rPr>
                <w:rFonts w:hint="default"/>
                <w:color w:val="auto"/>
                <w:sz w:val="21"/>
                <w:szCs w:val="21"/>
              </w:rPr>
              <w:t>）区</w:t>
            </w:r>
          </w:p>
        </w:tc>
        <w:tc>
          <w:tcPr>
            <w:tcW w:w="128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w:t>
            </w:r>
            <w:r>
              <w:rPr>
                <w:rFonts w:hint="eastAsia"/>
                <w:color w:val="auto"/>
                <w:sz w:val="21"/>
                <w:szCs w:val="21"/>
                <w:lang w:eastAsia="zh-CN"/>
              </w:rPr>
              <w:t>通江</w:t>
            </w:r>
            <w:r>
              <w:rPr>
                <w:rFonts w:hint="default"/>
                <w:color w:val="auto"/>
                <w:sz w:val="21"/>
                <w:szCs w:val="21"/>
              </w:rPr>
              <w:t>）县</w:t>
            </w:r>
          </w:p>
        </w:tc>
        <w:tc>
          <w:tcPr>
            <w:tcW w:w="179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eastAsia="zh-CN"/>
              </w:rPr>
            </w:pPr>
            <w:r>
              <w:rPr>
                <w:rFonts w:hint="eastAsia" w:eastAsiaTheme="minorEastAsia"/>
                <w:color w:val="auto"/>
                <w:sz w:val="21"/>
                <w:szCs w:val="21"/>
                <w:lang w:eastAsia="zh-CN"/>
              </w:rPr>
              <w:t>龙凤场镇环山村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地理坐标</w:t>
            </w:r>
          </w:p>
        </w:tc>
        <w:tc>
          <w:tcPr>
            <w:tcW w:w="130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经度</w:t>
            </w:r>
          </w:p>
        </w:tc>
        <w:tc>
          <w:tcPr>
            <w:tcW w:w="154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107.592397374</w:t>
            </w:r>
          </w:p>
        </w:tc>
        <w:tc>
          <w:tcPr>
            <w:tcW w:w="100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纬度</w:t>
            </w:r>
          </w:p>
        </w:tc>
        <w:tc>
          <w:tcPr>
            <w:tcW w:w="3084" w:type="dxa"/>
            <w:gridSpan w:val="2"/>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32.010225758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主要危险物质及分布</w:t>
            </w:r>
          </w:p>
        </w:tc>
        <w:tc>
          <w:tcPr>
            <w:tcW w:w="6937" w:type="dxa"/>
            <w:gridSpan w:val="5"/>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lang w:val="en-US" w:eastAsia="zh-CN"/>
              </w:rPr>
            </w:pPr>
            <w:r>
              <w:rPr>
                <w:rFonts w:hint="eastAsia"/>
                <w:color w:val="auto"/>
                <w:sz w:val="21"/>
                <w:szCs w:val="21"/>
              </w:rPr>
              <w:t>甲烷</w:t>
            </w:r>
            <w:r>
              <w:rPr>
                <w:rFonts w:hint="default"/>
                <w:color w:val="auto"/>
                <w:sz w:val="21"/>
                <w:szCs w:val="21"/>
              </w:rPr>
              <w:t>（</w:t>
            </w:r>
            <w:r>
              <w:rPr>
                <w:rFonts w:hint="default" w:ascii="Times New Roman" w:hAnsi="Times New Roman" w:cs="Times New Roman"/>
                <w:color w:val="auto"/>
                <w:sz w:val="21"/>
                <w:szCs w:val="21"/>
              </w:rPr>
              <w:t>双膜储气袋</w:t>
            </w:r>
            <w:r>
              <w:rPr>
                <w:rFonts w:hint="default"/>
                <w:color w:val="auto"/>
                <w:sz w:val="21"/>
                <w:szCs w:val="21"/>
              </w:rPr>
              <w:t>）、柴油（</w:t>
            </w:r>
            <w:r>
              <w:rPr>
                <w:rFonts w:hint="eastAsia"/>
                <w:color w:val="auto"/>
                <w:sz w:val="21"/>
                <w:szCs w:val="21"/>
              </w:rPr>
              <w:t>柴油</w:t>
            </w:r>
            <w:r>
              <w:rPr>
                <w:rFonts w:hint="default"/>
                <w:color w:val="auto"/>
                <w:sz w:val="21"/>
                <w:szCs w:val="21"/>
              </w:rPr>
              <w:t>发电机房）</w:t>
            </w:r>
            <w:r>
              <w:rPr>
                <w:rFonts w:hint="eastAsia"/>
                <w:color w:val="auto"/>
                <w:sz w:val="21"/>
                <w:szCs w:val="21"/>
                <w:lang w:eastAsia="zh-CN"/>
              </w:rPr>
              <w:t>、</w:t>
            </w:r>
            <w:r>
              <w:rPr>
                <w:rFonts w:hint="default" w:ascii="Times New Roman" w:hAnsi="Times New Roman" w:cs="Times New Roman"/>
                <w:color w:val="auto"/>
                <w:sz w:val="21"/>
                <w:szCs w:val="21"/>
              </w:rPr>
              <w:t>过氧乙酸</w:t>
            </w:r>
            <w:r>
              <w:rPr>
                <w:rFonts w:hint="eastAsia" w:ascii="Times New Roman" w:hAnsi="Times New Roman" w:cs="Times New Roman"/>
                <w:color w:val="auto"/>
                <w:sz w:val="21"/>
                <w:szCs w:val="21"/>
                <w:lang w:val="en-US" w:eastAsia="zh-CN"/>
              </w:rPr>
              <w:t>(物质房）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环境影响途经及危害后果（大气、地表水、地下水等）</w:t>
            </w:r>
          </w:p>
        </w:tc>
        <w:tc>
          <w:tcPr>
            <w:tcW w:w="6937" w:type="dxa"/>
            <w:gridSpan w:val="5"/>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大气：甲烷或柴油过氧乙酸</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泄漏后若遇明火很容易引起火灾、爆炸事故，火灾、爆炸产生的废气污染区域大气环境；</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地表水：甲烷或柴油</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过氧乙酸泄漏后引起火灾、爆炸产生的消防废水在短时间内大量漫流，可能会通过沟渠进入附近地表水，污染区域地表水体；粪污事故泄漏、外溢可能污染区域地表水体；</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地下水：甲烷或柴油</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过氧乙酸泄漏后引起火灾、爆炸产生的消防废水泄漏污染地下水；粪污事故泄漏、外溢可能污染区域地下水。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风险防范措施要求</w:t>
            </w:r>
          </w:p>
        </w:tc>
        <w:tc>
          <w:tcPr>
            <w:tcW w:w="6937" w:type="dxa"/>
            <w:gridSpan w:val="5"/>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1、柴油燃爆风险防范措施：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（1）柴油发电机房的建设满足防火要求，防火间距、消防通道、消防设施等满足要求。</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（2）柴油发电机房储油桶与周围建筑物之间有足够的防火距离。</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（3）柴油发电机房储油桶周围设置防火堤，防止因物料泄漏而引起流淌火或二次危害。</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柴油发电机房以及储油桶的地面必须做重点防渗处理（地面采取粘土铺底，敷设2mm后的HDPE膜，再在上层铺10~15cm的水泥进行硬化），使柴油发电机（包括柴油发电机房储油桶）防渗达到等效黏土防渗层Mb≥6.0m，K≤1.0×10</w:t>
            </w:r>
            <w:r>
              <w:rPr>
                <w:rFonts w:hint="default" w:ascii="Times New Roman" w:hAnsi="Times New Roman" w:cs="Times New Roman"/>
                <w:bCs/>
                <w:color w:val="auto"/>
                <w:sz w:val="21"/>
                <w:szCs w:val="21"/>
                <w:vertAlign w:val="superscript"/>
              </w:rPr>
              <w:t>-7</w:t>
            </w:r>
            <w:r>
              <w:rPr>
                <w:rFonts w:hint="default" w:ascii="Times New Roman" w:hAnsi="Times New Roman" w:cs="Times New Roman"/>
                <w:bCs/>
                <w:color w:val="auto"/>
                <w:sz w:val="21"/>
                <w:szCs w:val="21"/>
              </w:rPr>
              <w:t>cm/s。</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（5）柴油发电机以及储油桶下面必须添加集油盘收集发电机跑冒和渗漏出来的机油和柴油，减少对外环境的影响。</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（6）柴油发电机房以及储油桶应按相关规定设置消防器材，配置干粉泡沫化学灭火器。</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2、沼气（甲烷）事故风险防范措施：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（1）总图布置应满足安全、卫生、环保、消防等有关标准规范的要求；落实工程设计风险防范措施。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（2）建立健全的消防与安全生产规章制度，落实安全生产岗位责任制。</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（3）加强对系统设备和密封单元的维护保养，严防泄露。</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（4）落实工程安全技术措施，严把工程建设质量关，从根本上消除事故隐患，确保生产安全。</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（5）采取防火、防爆措施；厌氧发酵系统、沼气储存系统等附近严禁明火；在</w:t>
            </w:r>
            <w:r>
              <w:rPr>
                <w:rFonts w:hint="eastAsia" w:ascii="Times New Roman" w:hAnsi="Times New Roman" w:cs="Times New Roman"/>
                <w:bCs/>
                <w:color w:val="auto"/>
                <w:sz w:val="21"/>
                <w:szCs w:val="21"/>
                <w:lang w:eastAsia="zh-CN"/>
              </w:rPr>
              <w:t>双膜储气袋</w:t>
            </w:r>
            <w:r>
              <w:rPr>
                <w:rFonts w:hint="default" w:ascii="Times New Roman" w:hAnsi="Times New Roman" w:cs="Times New Roman"/>
                <w:bCs/>
                <w:color w:val="auto"/>
                <w:sz w:val="21"/>
                <w:szCs w:val="21"/>
              </w:rPr>
              <w:t>周围安装可燃气体泄露报警器、火焰报警器和烟雾报警器等装置，当发现气体泄漏时立即报警。</w:t>
            </w:r>
          </w:p>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3、</w:t>
            </w:r>
            <w:r>
              <w:rPr>
                <w:rFonts w:hint="eastAsia" w:ascii="Times New Roman" w:hAnsi="Times New Roman" w:cs="Times New Roman"/>
                <w:bCs/>
                <w:color w:val="auto"/>
                <w:sz w:val="21"/>
                <w:szCs w:val="21"/>
              </w:rPr>
              <w:t>过氧乙酸风险防范措施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注意储存的量不宜过大，尤其要注意储存时应该采用塑料容器，而不能用玻璃瓶等膨胀性较差的容器储存过氧乙酸。</w:t>
            </w:r>
          </w:p>
          <w:p>
            <w:pPr>
              <w:keepNext w:val="0"/>
              <w:keepLines w:val="0"/>
              <w:suppressLineNumbers w:val="0"/>
              <w:spacing w:before="0" w:beforeAutospacing="0" w:after="0" w:afterAutospacing="0" w:line="240" w:lineRule="auto"/>
              <w:ind w:left="0" w:right="0" w:firstLine="0" w:firstLineChars="0"/>
              <w:jc w:val="left"/>
              <w:rPr>
                <w:rFonts w:hint="default"/>
                <w:color w:val="auto"/>
              </w:rPr>
            </w:pPr>
            <w:r>
              <w:rPr>
                <w:rFonts w:hint="eastAsia" w:ascii="Times New Roman" w:hAnsi="Times New Roman" w:cs="Times New Roman"/>
                <w:bCs/>
                <w:color w:val="auto"/>
                <w:sz w:val="21"/>
                <w:szCs w:val="21"/>
                <w:lang w:val="en-US" w:eastAsia="zh-CN"/>
              </w:rPr>
              <w:t>(2)</w:t>
            </w:r>
            <w:r>
              <w:rPr>
                <w:rFonts w:hint="default"/>
                <w:color w:val="auto"/>
              </w:rPr>
              <w:t>刚拉运回来的过氧乙酸不宜立即使用，应当静置至少30分钟以上，以利运输过程中因震动等产生的静电消除，防止静电引起火灾或爆炸事故。</w:t>
            </w:r>
          </w:p>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（3）禁烟防火，</w:t>
            </w:r>
            <w:r>
              <w:rPr>
                <w:rFonts w:hint="default" w:ascii="Times New Roman" w:hAnsi="Times New Roman" w:cs="Times New Roman"/>
                <w:bCs/>
                <w:color w:val="auto"/>
                <w:sz w:val="21"/>
                <w:szCs w:val="21"/>
                <w:lang w:val="en-US" w:eastAsia="zh-CN"/>
              </w:rPr>
              <w:t>采用防爆设计或采取防爆措施</w:t>
            </w:r>
            <w:r>
              <w:rPr>
                <w:rFonts w:hint="eastAsia" w:ascii="Times New Roman" w:hAnsi="Times New Roman" w:cs="Times New Roman"/>
                <w:bCs/>
                <w:color w:val="auto"/>
                <w:sz w:val="21"/>
                <w:szCs w:val="21"/>
                <w:lang w:val="en-US" w:eastAsia="zh-CN"/>
              </w:rPr>
              <w:t>。</w:t>
            </w:r>
          </w:p>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（4）其受震时的灵敏性增大，在搬运过程中要轻拿轻放，禁止摔、砸、碰、撞和太阳长时间照射，注意避免因受热、接触明火及受到摩擦、震动、撞击引起燃烧爆炸而造成对人员的伤害。</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（5）应专库储存，专人保管，禁止与还原剂、有机物、可燃物、还原剂、酸碱和无机氧化剂等混合或接触，保管及使用人员应进行消防安全培训。</w:t>
            </w:r>
          </w:p>
          <w:p>
            <w:pPr>
              <w:keepNext w:val="0"/>
              <w:keepLines w:val="0"/>
              <w:suppressLineNumbers w:val="0"/>
              <w:spacing w:before="0" w:beforeAutospacing="0" w:after="0" w:afterAutospacing="0" w:line="240" w:lineRule="auto"/>
              <w:ind w:left="0" w:right="0" w:firstLine="0" w:firstLineChars="0"/>
              <w:jc w:val="left"/>
              <w:rPr>
                <w:rFonts w:hint="default"/>
                <w:color w:val="auto"/>
              </w:rPr>
            </w:pPr>
            <w:r>
              <w:rPr>
                <w:rFonts w:hint="default" w:ascii="Times New Roman" w:hAnsi="Times New Roman" w:cs="Times New Roman"/>
                <w:bCs/>
                <w:color w:val="auto"/>
                <w:sz w:val="21"/>
                <w:szCs w:val="21"/>
              </w:rPr>
              <w:t>3、粪污泄漏风险防范措施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（1）厂区配套的集污池等各污水处理构筑物、</w:t>
            </w:r>
            <w:r>
              <w:rPr>
                <w:rFonts w:hint="eastAsia" w:ascii="Times New Roman" w:hAnsi="Times New Roman" w:cs="Times New Roman"/>
                <w:bCs/>
                <w:color w:val="auto"/>
                <w:sz w:val="21"/>
                <w:szCs w:val="21"/>
                <w:lang w:eastAsia="zh-CN"/>
              </w:rPr>
              <w:t>堆肥车间</w:t>
            </w:r>
            <w:r>
              <w:rPr>
                <w:rFonts w:hint="default" w:ascii="Times New Roman" w:hAnsi="Times New Roman" w:cs="Times New Roman"/>
                <w:bCs/>
                <w:color w:val="auto"/>
                <w:sz w:val="21"/>
                <w:szCs w:val="21"/>
              </w:rPr>
              <w:t>应采取有效的防雨、防渗和防溢流措施，防止粪污泄漏污染地下水。</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（2）本项目需设置1座事故应急池（1</w:t>
            </w:r>
            <w:r>
              <w:rPr>
                <w:rFonts w:hint="eastAsia" w:ascii="Times New Roman" w:hAnsi="Times New Roman" w:cs="Times New Roman"/>
                <w:bCs/>
                <w:color w:val="auto"/>
                <w:sz w:val="21"/>
                <w:szCs w:val="21"/>
                <w:lang w:val="en-US" w:eastAsia="zh-CN"/>
              </w:rPr>
              <w:t>8</w:t>
            </w:r>
            <w:r>
              <w:rPr>
                <w:rFonts w:hint="default" w:ascii="Times New Roman" w:hAnsi="Times New Roman" w:cs="Times New Roman"/>
                <w:bCs/>
                <w:color w:val="auto"/>
                <w:sz w:val="21"/>
                <w:szCs w:val="21"/>
              </w:rPr>
              <w:t>00m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），以收集暂存污水处理设施出现故障情况下的污水，待污水处理设施故障解决后（最大时间预计7d），将事故应急池污水泵入集污池进行后续处理。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003" w:type="dxa"/>
            <w:gridSpan w:val="6"/>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default"/>
                <w:color w:val="auto"/>
                <w:sz w:val="21"/>
                <w:szCs w:val="21"/>
              </w:rPr>
              <w:t>填表说明（列出项目相关信息及评价说明）：</w:t>
            </w:r>
          </w:p>
          <w:p>
            <w:pPr>
              <w:keepNext w:val="0"/>
              <w:keepLines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default"/>
                <w:color w:val="auto"/>
                <w:sz w:val="21"/>
                <w:szCs w:val="21"/>
              </w:rPr>
              <w:t>项目名称</w:t>
            </w:r>
            <w:r>
              <w:rPr>
                <w:rFonts w:hint="eastAsia"/>
                <w:color w:val="auto"/>
                <w:sz w:val="21"/>
                <w:szCs w:val="21"/>
              </w:rPr>
              <w:t>通江温氏畜牧有限公司龙凤场镇种猪养殖项目</w:t>
            </w:r>
          </w:p>
          <w:p>
            <w:pPr>
              <w:keepNext w:val="0"/>
              <w:keepLines w:val="0"/>
              <w:suppressLineNumbers w:val="0"/>
              <w:spacing w:before="0" w:beforeAutospacing="0" w:after="0" w:afterAutospacing="0" w:line="240" w:lineRule="auto"/>
              <w:ind w:left="0" w:right="0" w:firstLine="0" w:firstLineChars="0"/>
              <w:jc w:val="left"/>
              <w:rPr>
                <w:rFonts w:hint="eastAsia"/>
                <w:color w:val="auto"/>
                <w:sz w:val="21"/>
                <w:szCs w:val="21"/>
              </w:rPr>
            </w:pPr>
            <w:r>
              <w:rPr>
                <w:rFonts w:hint="default"/>
                <w:color w:val="auto"/>
                <w:sz w:val="21"/>
                <w:szCs w:val="21"/>
              </w:rPr>
              <w:t>建设性质：新建</w:t>
            </w:r>
          </w:p>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bCs/>
                <w:color w:val="auto"/>
                <w:sz w:val="24"/>
                <w:szCs w:val="24"/>
                <w:lang w:eastAsia="zh-CN"/>
              </w:rPr>
            </w:pPr>
            <w:r>
              <w:rPr>
                <w:rFonts w:hint="default"/>
                <w:color w:val="auto"/>
                <w:sz w:val="21"/>
                <w:szCs w:val="21"/>
              </w:rPr>
              <w:t>建设单位：</w:t>
            </w:r>
            <w:r>
              <w:rPr>
                <w:rFonts w:hint="eastAsia" w:ascii="Times New Roman" w:hAnsi="Times New Roman" w:cs="Times New Roman"/>
                <w:bCs/>
                <w:color w:val="auto"/>
                <w:sz w:val="24"/>
                <w:szCs w:val="24"/>
                <w:lang w:eastAsia="zh-CN"/>
              </w:rPr>
              <w:t>通江温氏畜牧有限公司</w:t>
            </w:r>
          </w:p>
          <w:p>
            <w:pPr>
              <w:keepNext w:val="0"/>
              <w:keepLines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default"/>
                <w:color w:val="auto"/>
                <w:sz w:val="21"/>
                <w:szCs w:val="21"/>
              </w:rPr>
              <w:t>建设地点：</w:t>
            </w:r>
            <w:r>
              <w:rPr>
                <w:rFonts w:hint="eastAsia"/>
                <w:color w:val="auto"/>
                <w:sz w:val="21"/>
                <w:szCs w:val="21"/>
              </w:rPr>
              <w:t>四川省巴中市通江县龙凤场镇环山村</w:t>
            </w:r>
          </w:p>
          <w:p>
            <w:pPr>
              <w:keepNext w:val="0"/>
              <w:keepLines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default"/>
                <w:color w:val="auto"/>
                <w:sz w:val="21"/>
                <w:szCs w:val="21"/>
              </w:rPr>
              <w:t>建设规模：</w:t>
            </w:r>
            <w:r>
              <w:rPr>
                <w:rFonts w:hint="eastAsia"/>
                <w:color w:val="auto"/>
                <w:sz w:val="21"/>
                <w:szCs w:val="21"/>
              </w:rPr>
              <w:t>本项目主要建设内容及规模为：建设猪舍面积58000平方米，建成后常年存栏母猪15862头、公猪110头、仔猪17980头；建设标准化圈舍约58000平方米；建设厂内道路9000平方米；建设生活区8055平方米；建设年产6720万吨有机肥项目。项目总建设面积160亩（约106666.67平方米）。</w:t>
            </w:r>
          </w:p>
          <w:p>
            <w:pPr>
              <w:keepNext w:val="0"/>
              <w:keepLines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default"/>
                <w:color w:val="auto"/>
                <w:sz w:val="21"/>
                <w:szCs w:val="21"/>
              </w:rPr>
              <w:t>评价说明</w:t>
            </w:r>
            <w:r>
              <w:rPr>
                <w:rFonts w:hint="eastAsia"/>
                <w:color w:val="auto"/>
                <w:sz w:val="21"/>
                <w:szCs w:val="21"/>
              </w:rPr>
              <w:t>：</w:t>
            </w:r>
            <w:r>
              <w:rPr>
                <w:rFonts w:hint="default"/>
                <w:color w:val="auto"/>
                <w:sz w:val="21"/>
                <w:szCs w:val="21"/>
              </w:rPr>
              <w:t>根据《建设项目环境风险评价技术导则》（HJ169-2018）进行分析</w:t>
            </w:r>
            <w:r>
              <w:rPr>
                <w:rFonts w:hint="eastAsia"/>
                <w:color w:val="auto"/>
                <w:sz w:val="21"/>
                <w:szCs w:val="21"/>
              </w:rPr>
              <w:t>，</w:t>
            </w:r>
            <w:r>
              <w:rPr>
                <w:rFonts w:hint="default"/>
                <w:color w:val="auto"/>
                <w:sz w:val="21"/>
                <w:szCs w:val="21"/>
              </w:rPr>
              <w:t>项目Q值&lt;1，风险潜势为I，评价等级为简单分析。在落实了环评提出的风险防范措施后，项目环境风险</w:t>
            </w:r>
            <w:r>
              <w:rPr>
                <w:rFonts w:hint="eastAsia"/>
                <w:color w:val="auto"/>
                <w:sz w:val="21"/>
                <w:szCs w:val="21"/>
              </w:rPr>
              <w:t>处于</w:t>
            </w:r>
            <w:r>
              <w:rPr>
                <w:rFonts w:hint="default"/>
                <w:color w:val="auto"/>
                <w:sz w:val="21"/>
                <w:szCs w:val="21"/>
              </w:rPr>
              <w:t>可接受水平。</w:t>
            </w:r>
          </w:p>
        </w:tc>
      </w:tr>
    </w:tbl>
    <w:p>
      <w:pPr>
        <w:ind w:firstLine="480"/>
        <w:rPr>
          <w:color w:val="auto"/>
          <w:sz w:val="24"/>
          <w:szCs w:val="24"/>
        </w:rPr>
      </w:pPr>
      <w:r>
        <w:rPr>
          <w:color w:val="auto"/>
          <w:sz w:val="24"/>
          <w:szCs w:val="24"/>
        </w:rPr>
        <w:t>综上所述，项目营运期间发生环境风险事故的概率极小，在严格落实环境风险防范措施、应急预案等提出的相关要求</w:t>
      </w:r>
      <w:r>
        <w:rPr>
          <w:rFonts w:hint="eastAsia"/>
          <w:color w:val="auto"/>
          <w:sz w:val="24"/>
          <w:szCs w:val="24"/>
        </w:rPr>
        <w:t>后</w:t>
      </w:r>
      <w:r>
        <w:rPr>
          <w:color w:val="auto"/>
          <w:sz w:val="24"/>
          <w:szCs w:val="24"/>
        </w:rPr>
        <w:t>可以将风险降到最低限度，项目的环境风险水平是可以接受的。</w:t>
      </w:r>
    </w:p>
    <w:p>
      <w:pPr>
        <w:rPr>
          <w:rFonts w:hint="eastAsia"/>
          <w:color w:val="auto"/>
        </w:rPr>
      </w:pPr>
      <w:r>
        <w:rPr>
          <w:rFonts w:hint="eastAsia"/>
          <w:color w:val="auto"/>
        </w:rPr>
        <w:br w:type="page"/>
      </w:r>
    </w:p>
    <w:p>
      <w:pPr>
        <w:pStyle w:val="5"/>
        <w:rPr>
          <w:rFonts w:cs="Times New Roman"/>
          <w:color w:val="auto"/>
        </w:rPr>
      </w:pPr>
      <w:bookmarkStart w:id="262" w:name="_Toc7696"/>
      <w:r>
        <w:rPr>
          <w:rFonts w:cs="Times New Roman"/>
          <w:color w:val="auto"/>
        </w:rPr>
        <w:t>环境保护措施及其可行性论证</w:t>
      </w:r>
      <w:bookmarkEnd w:id="262"/>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263" w:name="_Toc29221882"/>
      <w:bookmarkStart w:id="264" w:name="_Toc7015"/>
      <w:r>
        <w:rPr>
          <w:rFonts w:hint="eastAsia" w:ascii="Times New Roman" w:hAnsi="Times New Roman" w:eastAsia="宋体" w:cs="Times New Roman"/>
          <w:color w:val="auto"/>
          <w:lang w:val="en-US" w:eastAsia="zh-CN"/>
        </w:rPr>
        <w:t>施工期环境保护措施及其可行性论证</w:t>
      </w:r>
      <w:bookmarkEnd w:id="263"/>
      <w:bookmarkEnd w:id="264"/>
    </w:p>
    <w:p>
      <w:pPr>
        <w:spacing w:line="440" w:lineRule="exact"/>
        <w:ind w:firstLine="480" w:firstLineChars="200"/>
        <w:rPr>
          <w:rFonts w:ascii="Times New Roman" w:hAnsi="Times New Roman" w:eastAsia="宋体" w:cs="Times New Roman"/>
          <w:color w:val="auto"/>
          <w:sz w:val="20"/>
          <w:szCs w:val="20"/>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rPr>
        <w:t>占地面积约</w:t>
      </w:r>
      <w:r>
        <w:rPr>
          <w:rFonts w:hint="eastAsia" w:ascii="Times New Roman" w:hAnsi="Times New Roman" w:eastAsia="宋体" w:cs="Times New Roman"/>
          <w:color w:val="auto"/>
          <w:sz w:val="24"/>
          <w:szCs w:val="24"/>
          <w:lang w:val="en-US" w:eastAsia="zh-CN"/>
        </w:rPr>
        <w:t>705亩</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建筑面积约</w:t>
      </w:r>
      <w:r>
        <w:rPr>
          <w:rFonts w:hint="eastAsia" w:ascii="Times New Roman" w:hAnsi="Times New Roman" w:eastAsia="宋体" w:cs="Times New Roman"/>
          <w:color w:val="auto"/>
          <w:sz w:val="24"/>
          <w:szCs w:val="24"/>
          <w:lang w:val="en-US" w:eastAsia="zh-CN"/>
        </w:rPr>
        <w:t>160亩，</w:t>
      </w:r>
      <w:r>
        <w:rPr>
          <w:rFonts w:ascii="Times New Roman" w:hAnsi="Times New Roman" w:eastAsia="宋体" w:cs="Times New Roman"/>
          <w:color w:val="auto"/>
          <w:sz w:val="24"/>
          <w:szCs w:val="24"/>
        </w:rPr>
        <w:t>主要包括基础工程、主体工程、装饰工程、设备安装等工程建设</w:t>
      </w:r>
      <w:r>
        <w:rPr>
          <w:rFonts w:hint="eastAsia" w:ascii="Times New Roman" w:hAnsi="Times New Roman" w:eastAsia="宋体" w:cs="Times New Roman"/>
          <w:color w:val="auto"/>
          <w:sz w:val="24"/>
          <w:szCs w:val="24"/>
        </w:rPr>
        <w:t>等。施工期间对环境的影响主要是扬尘、废水、施工噪声、建筑垃圾及生态影响等，本次评价针对其影响提出相应的污染防治</w:t>
      </w:r>
      <w:r>
        <w:rPr>
          <w:rFonts w:ascii="Times New Roman" w:hAnsi="Times New Roman" w:eastAsia="宋体" w:cs="Times New Roman"/>
          <w:color w:val="auto"/>
          <w:sz w:val="24"/>
          <w:szCs w:val="24"/>
        </w:rPr>
        <w:t>措施。</w:t>
      </w:r>
    </w:p>
    <w:p>
      <w:pPr>
        <w:pStyle w:val="7"/>
        <w:spacing w:before="0" w:after="0" w:line="360" w:lineRule="auto"/>
        <w:ind w:left="0" w:firstLine="0"/>
        <w:rPr>
          <w:rFonts w:hint="default" w:cs="Times New Roman"/>
          <w:color w:val="auto"/>
          <w:lang w:val="en-US" w:eastAsia="zh-CN"/>
        </w:rPr>
      </w:pPr>
      <w:bookmarkStart w:id="265" w:name="_Toc9337"/>
      <w:r>
        <w:rPr>
          <w:rFonts w:hint="default" w:cs="Times New Roman"/>
          <w:color w:val="auto"/>
          <w:lang w:val="en-US" w:eastAsia="zh-CN"/>
        </w:rPr>
        <w:t>施工期废气防治措施论证</w:t>
      </w:r>
      <w:bookmarkEnd w:id="265"/>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施工期大气环境污染主要为：施工扬尘、施工车辆汽车尾气。场内扬尘量的大小与天气干燥程度、风速大小等诸因素有关；场外扬尘量与道路路况、车辆行驶速度等诸因素有关。评价提出相应的防治措施如下：</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（1）施工过程遇到连续晴好干燥天气时，对堆土表面洒水，防止起尘；</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（2）水泥、砂土堆放时遮盖、密闭；</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（3）对于运输水泥、砂石的车辆，应谨防运输车辆装载过满，并采取遮盖、密闭措施，减少其沿途抛洒，并及时清扫散落在路面的泥土和灰尘，冲洗轮胎，定时洒水压尘，减少运输过程中的扬尘；</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（4）开挖时，对作业面适当喷水，使其保持一定的湿度，以减少扬尘量；</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（5）施工现场要围栏或部分围栏，减少施工扬尘扩散范围；</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（6）风速过大时应停止施工作业，并对堆放的砂石等建筑材料进行遮盖处理；</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（7）对于运输车辆尾气，通过加强对施工机械的维护和保养，加强对施工机械施工进程的管理，提高使用效率，使用清洁能源等措施。</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评价认为上述大气污染防治措施有效可行，采取上述防治措施后，可以有效地减小施工期废气的污染影响。</w:t>
      </w:r>
    </w:p>
    <w:p>
      <w:pPr>
        <w:pStyle w:val="7"/>
        <w:spacing w:before="0" w:after="0" w:line="360" w:lineRule="auto"/>
        <w:ind w:left="0" w:firstLine="0"/>
        <w:rPr>
          <w:rFonts w:hint="eastAsia" w:cs="Times New Roman"/>
          <w:color w:val="auto"/>
          <w:lang w:val="en-US" w:eastAsia="zh-CN"/>
        </w:rPr>
      </w:pPr>
      <w:bookmarkStart w:id="266" w:name="_Toc20078"/>
      <w:r>
        <w:rPr>
          <w:rFonts w:hint="eastAsia" w:cs="Times New Roman"/>
          <w:color w:val="auto"/>
          <w:lang w:val="en-US" w:eastAsia="zh-CN"/>
        </w:rPr>
        <w:t>施工期废水防治措施论证</w:t>
      </w:r>
      <w:bookmarkEnd w:id="266"/>
    </w:p>
    <w:p>
      <w:pPr>
        <w:spacing w:line="440" w:lineRule="exact"/>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项目施工期产生的废水包括施工人员生活污水、施工作业废水和暴雨径流初期雨水</w:t>
      </w:r>
      <w:r>
        <w:rPr>
          <w:rFonts w:hint="eastAsia" w:ascii="Times New Roman" w:hAnsi="Times New Roman" w:eastAsia="宋体" w:cs="Times New Roman"/>
          <w:color w:val="auto"/>
          <w:sz w:val="24"/>
          <w:szCs w:val="24"/>
        </w:rPr>
        <w:t>，根据废水的不同性质，进行分类收集处理。</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施工过程中排放的各类作业废水如搅拌机清洗水、洗石冲灰废水以及车辆的冲洗水等。日产生量较小，主要污染成分为SS、石油类等，评价要求在施工场地内设置隔油池和沉淀池，施工作业废水经隔油沉淀后回用于施工建设。</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施工期生活污水产生量为4.0m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ascii="Times New Roman" w:hAnsi="Times New Roman" w:eastAsia="宋体" w:cs="Times New Roman"/>
          <w:color w:val="auto"/>
          <w:sz w:val="24"/>
          <w:szCs w:val="24"/>
        </w:rPr>
        <w:t>，施工人员依托周边居民房屋食宿，仅在施工场地设1座临时简易化粪池（10m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）收集处理施工期间施工人员产生的生活污水，经收集处理后定期清掏用于周边耕地施肥，不外排。</w:t>
      </w:r>
    </w:p>
    <w:p>
      <w:pPr>
        <w:spacing w:line="44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雨季作业场面的地面径流水，含有一定量的泥土和高浓度的悬浮物，在施工场地周边设置截水沟和1个20m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的沉砂池，收集的初期雨水回用于项目洒水抑尘；开挖土方将作为回填土，回填土临时堆场周边设置截水沟，施工材料的临时堆场设置遮雨棚，下雨时不会受到雨水冲击而流失，不会影响周围地表水环境。</w:t>
      </w:r>
    </w:p>
    <w:p>
      <w:pPr>
        <w:widowControl w:val="0"/>
        <w:spacing w:line="460" w:lineRule="exact"/>
        <w:ind w:firstLine="480" w:firstLineChars="200"/>
        <w:jc w:val="both"/>
        <w:rPr>
          <w:rFonts w:ascii="Arial Unicode MS" w:hAnsi="Arial Unicode MS" w:eastAsia="宋体" w:cs="Times New Roman"/>
          <w:color w:val="auto"/>
          <w:kern w:val="2"/>
          <w:sz w:val="24"/>
          <w:szCs w:val="20"/>
          <w:lang w:val="en-US" w:eastAsia="zh-CN" w:bidi="ar-SA"/>
        </w:rPr>
      </w:pPr>
      <w:r>
        <w:rPr>
          <w:rFonts w:hint="eastAsia" w:ascii="Arial Unicode MS" w:hAnsi="Arial Unicode MS" w:eastAsia="宋体" w:cs="Times New Roman"/>
          <w:color w:val="auto"/>
          <w:kern w:val="2"/>
          <w:sz w:val="24"/>
          <w:szCs w:val="20"/>
          <w:lang w:val="en-US" w:eastAsia="zh-CN" w:bidi="ar-SA"/>
        </w:rPr>
        <w:t>评价认为上述施工期废水污染防治措施技术经济可行，采取上述防治措施后，可以有效地减小施工期废水的污染影响。</w:t>
      </w:r>
    </w:p>
    <w:p>
      <w:pPr>
        <w:pStyle w:val="7"/>
        <w:spacing w:before="0" w:after="0" w:line="360" w:lineRule="auto"/>
        <w:ind w:left="0" w:firstLine="0"/>
        <w:rPr>
          <w:rFonts w:hint="eastAsia" w:cs="Times New Roman"/>
          <w:color w:val="auto"/>
          <w:lang w:val="en-US" w:eastAsia="zh-CN"/>
        </w:rPr>
      </w:pPr>
      <w:bookmarkStart w:id="267" w:name="_Toc26561"/>
      <w:r>
        <w:rPr>
          <w:rFonts w:hint="eastAsia" w:cs="Times New Roman"/>
          <w:color w:val="auto"/>
          <w:lang w:val="en-US" w:eastAsia="zh-CN"/>
        </w:rPr>
        <w:t>施工期噪声防治措施论证</w:t>
      </w:r>
      <w:bookmarkEnd w:id="267"/>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目前的机械制造水平，施工噪声既不能避免，又不能从根本上采取措施予以消除，只能通过加强对施工设备的管理，合理组织施工、才能尽可能地减轻施工设备噪声对施工场地的周围环境的影响。为最大限度地降低施工噪声对区域的影响，施工方必须采取严格的措施：</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首先从噪声源强进行控制：建设单位在与施工单位签订合同时，应要求其使用的主要机械设备为低噪设备。尽量选低噪声液压施工机械替代气压机械；尽可能使用商品混凝土，不使用混凝土搅拌机。同时在施工过程中施工单位应设专人对设备进行定期保养和维护，并负责对现场工作人员进行培训，严格按操作规范使用各类机械。</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（2）作业时在高噪声设备周围设置屏蔽，不低于1.8m。</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（3）合理安排施工进度和作业时间，尽量避免高噪声设备同时作业，夜间（晚22点到次日早晨6点）禁止施工。</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（4）对人为的施工噪声应有管理制度和降噪措施，并进行严格控制：承担材料运输的车辆，进入施工现场避免鸣笛，并要减速慢行，装卸材料应做到轻拿轻放，最大限度地减少噪声影响。</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（5）建设管理部门应加强对施工场地的噪声管理，施工企业也应对施工噪声进行自律，文明施工，避免因施工噪声产生纠纷。</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评价认为采取上述措施后可大大降低施工期噪声对周围环境的影响，防治措施合理有效，技术经济可行。</w:t>
      </w:r>
    </w:p>
    <w:p>
      <w:pPr>
        <w:pStyle w:val="7"/>
        <w:spacing w:before="0" w:after="0" w:line="360" w:lineRule="auto"/>
        <w:ind w:left="0" w:firstLine="0"/>
        <w:rPr>
          <w:rFonts w:hint="eastAsia" w:cs="Times New Roman"/>
          <w:color w:val="auto"/>
          <w:lang w:val="en-US" w:eastAsia="zh-CN"/>
        </w:rPr>
      </w:pPr>
      <w:bookmarkStart w:id="268" w:name="_Toc25123"/>
      <w:r>
        <w:rPr>
          <w:rFonts w:hint="eastAsia" w:cs="Times New Roman"/>
          <w:color w:val="auto"/>
          <w:lang w:val="en-US" w:eastAsia="zh-CN"/>
        </w:rPr>
        <w:t>施工期固废处置措施论证</w:t>
      </w:r>
      <w:bookmarkEnd w:id="268"/>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本项目施工期固体废物主要来自施工人员的生活垃圾及各种建筑垃圾。</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生活垃圾：施工期产生的生活垃圾约</w:t>
      </w:r>
      <w:r>
        <w:rPr>
          <w:rFonts w:ascii="Times New Roman" w:hAnsi="Times New Roman" w:eastAsia="宋体" w:cs="Times New Roman"/>
          <w:color w:val="auto"/>
          <w:sz w:val="24"/>
          <w:szCs w:val="24"/>
        </w:rPr>
        <w:t>9</w:t>
      </w:r>
      <w:r>
        <w:rPr>
          <w:rFonts w:hint="eastAsia" w:ascii="Times New Roman" w:hAnsi="Times New Roman" w:eastAsia="宋体" w:cs="Times New Roman"/>
          <w:color w:val="auto"/>
          <w:sz w:val="24"/>
          <w:szCs w:val="24"/>
        </w:rPr>
        <w:t>.0t，施工场内设垃圾收集点，收集后清运至定点垃圾收集点交由环卫部门统一清运处置。</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建筑垃圾：本项目在建设过程中产生的建筑垃圾约</w:t>
      </w:r>
      <w:r>
        <w:rPr>
          <w:rFonts w:ascii="Times New Roman" w:hAnsi="Times New Roman" w:eastAsia="宋体" w:cs="Times New Roman"/>
          <w:color w:val="auto"/>
          <w:sz w:val="24"/>
          <w:szCs w:val="24"/>
        </w:rPr>
        <w:t>420.97</w:t>
      </w:r>
      <w:r>
        <w:rPr>
          <w:rFonts w:hint="eastAsia" w:ascii="Times New Roman" w:hAnsi="Times New Roman" w:eastAsia="宋体" w:cs="Times New Roman"/>
          <w:color w:val="auto"/>
          <w:sz w:val="24"/>
          <w:szCs w:val="24"/>
        </w:rPr>
        <w:t>t，其中如废金属、废钢筋、废铁丝、废砖块、废木料等应尽量回收利用，</w:t>
      </w:r>
      <w:r>
        <w:rPr>
          <w:rFonts w:ascii="Times New Roman" w:hAnsi="Times New Roman" w:eastAsia="宋体" w:cs="Times New Roman"/>
          <w:color w:val="auto"/>
          <w:sz w:val="24"/>
          <w:szCs w:val="24"/>
        </w:rPr>
        <w:t>其他不能回收利用的建筑垃圾清运至当地管理部门指定的的受纳场地堆放，严禁乱倾乱倒</w:t>
      </w:r>
      <w:r>
        <w:rPr>
          <w:rFonts w:hint="eastAsia" w:ascii="Times New Roman" w:hAnsi="Times New Roman" w:eastAsia="宋体" w:cs="Times New Roman"/>
          <w:color w:val="auto"/>
          <w:sz w:val="24"/>
          <w:szCs w:val="24"/>
        </w:rPr>
        <w:t>。</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弃土弃渣：施工期基础工程包括挖土方量与回填土方量，项目开挖表土暂存于表土临时堆场，用于后期绿化覆土。项目挖方量约为</w:t>
      </w:r>
      <w:r>
        <w:rPr>
          <w:rFonts w:ascii="Times New Roman" w:hAnsi="Times New Roman" w:eastAsia="宋体" w:cs="Times New Roman"/>
          <w:color w:val="auto"/>
          <w:sz w:val="24"/>
          <w:szCs w:val="24"/>
        </w:rPr>
        <w:t>18.6</w:t>
      </w:r>
      <w:r>
        <w:rPr>
          <w:rFonts w:hint="eastAsia" w:ascii="Times New Roman" w:hAnsi="Times New Roman" w:eastAsia="宋体" w:cs="Times New Roman"/>
          <w:color w:val="auto"/>
          <w:sz w:val="24"/>
          <w:szCs w:val="24"/>
        </w:rPr>
        <w:t>万m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，填方量约为</w:t>
      </w:r>
      <w:r>
        <w:rPr>
          <w:rFonts w:ascii="Times New Roman" w:hAnsi="Times New Roman" w:eastAsia="宋体" w:cs="Times New Roman"/>
          <w:color w:val="auto"/>
          <w:sz w:val="24"/>
          <w:szCs w:val="24"/>
        </w:rPr>
        <w:t>15.5</w:t>
      </w:r>
      <w:r>
        <w:rPr>
          <w:rFonts w:hint="eastAsia" w:ascii="Times New Roman" w:hAnsi="Times New Roman" w:eastAsia="宋体" w:cs="Times New Roman"/>
          <w:color w:val="auto"/>
          <w:sz w:val="24"/>
          <w:szCs w:val="24"/>
        </w:rPr>
        <w:t>万m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，剩余土方量约为</w:t>
      </w:r>
      <w:r>
        <w:rPr>
          <w:rFonts w:ascii="Times New Roman" w:hAnsi="Times New Roman" w:eastAsia="宋体" w:cs="Times New Roman"/>
          <w:color w:val="auto"/>
          <w:sz w:val="24"/>
          <w:szCs w:val="24"/>
        </w:rPr>
        <w:t>3.1</w:t>
      </w:r>
      <w:r>
        <w:rPr>
          <w:rFonts w:hint="eastAsia" w:ascii="Times New Roman" w:hAnsi="Times New Roman" w:eastAsia="宋体" w:cs="Times New Roman"/>
          <w:color w:val="auto"/>
          <w:sz w:val="24"/>
          <w:szCs w:val="24"/>
        </w:rPr>
        <w:t>万m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，用作修建周边道路的填方，工程不产生外运弃土。</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评价认为项目采取上述措施后，施工期固体废物可做到妥善处置，确保不对环境造成二次污染。固体废物污染防治措施合理有效，技术经济可行。</w:t>
      </w:r>
    </w:p>
    <w:p>
      <w:pPr>
        <w:pStyle w:val="7"/>
        <w:spacing w:before="0" w:after="0" w:line="360" w:lineRule="auto"/>
        <w:ind w:left="0" w:firstLine="0"/>
        <w:rPr>
          <w:rFonts w:hint="eastAsia" w:cs="Times New Roman"/>
          <w:color w:val="auto"/>
          <w:lang w:val="en-US" w:eastAsia="zh-CN"/>
        </w:rPr>
      </w:pPr>
      <w:bookmarkStart w:id="269" w:name="_Toc15392"/>
      <w:r>
        <w:rPr>
          <w:rFonts w:hint="eastAsia" w:cs="Times New Roman"/>
          <w:color w:val="auto"/>
          <w:lang w:val="en-US" w:eastAsia="zh-CN"/>
        </w:rPr>
        <w:t>施工期生态环境保护措施论证</w:t>
      </w:r>
      <w:bookmarkEnd w:id="269"/>
    </w:p>
    <w:p>
      <w:pPr>
        <w:pStyle w:val="8"/>
        <w:rPr>
          <w:rFonts w:hint="eastAsia" w:cs="Times New Roman"/>
          <w:color w:val="auto"/>
          <w:lang w:val="en-US" w:eastAsia="zh-CN"/>
        </w:rPr>
      </w:pPr>
      <w:r>
        <w:rPr>
          <w:rFonts w:hint="eastAsia" w:cs="Times New Roman"/>
          <w:color w:val="auto"/>
          <w:lang w:val="en-US" w:eastAsia="zh-CN"/>
        </w:rPr>
        <w:t>生态减缓补偿措施</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针对本项目的实际情况，本次评价建议采取以下生态减缓补偿措施：</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（1）严格控制施工线路，施工范围，避免对施工区外的生态环境造成破坏。</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（2）建设所需物料堆放在场区，可减少对土地的占用，减少对生态的影响。</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（3）禁止建筑垃圾乱堆乱放，占压施工场地以外土地。在加快施工进度的前提下，施工完毕后进行覆土绿化，破坏的植被进行及时恢复，不会对生态环境造成明显影响。</w:t>
      </w:r>
    </w:p>
    <w:p>
      <w:pPr>
        <w:pStyle w:val="8"/>
        <w:rPr>
          <w:rFonts w:hint="eastAsia" w:cs="Times New Roman"/>
          <w:color w:val="auto"/>
          <w:lang w:val="en-US" w:eastAsia="zh-CN"/>
        </w:rPr>
      </w:pPr>
      <w:r>
        <w:rPr>
          <w:rFonts w:hint="eastAsia" w:cs="Times New Roman"/>
          <w:color w:val="auto"/>
          <w:lang w:val="en-US" w:eastAsia="zh-CN"/>
        </w:rPr>
        <w:t>水土保持措施</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（1）设置导流系统</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及时做好排水导流工作，减轻水流对裸露地表的冲刷，应设置拦砂坝，在施工中应实施排水工程，以预防地面径流直接冲刷施工浮土，导致水土流失加剧。</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（2）施工时间选择</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在建设施工期间，有大面积的裸露地表，容易形成水土流失面。项目应合理安排施工，尽量将土石方开挖期避开大规模的降雨天气，并尽量缩短挖方时间，尽量在雨季到来之前完成挖方工程。若遇雨季，应对水土流失进行重点防护。</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（3）项目所在地挖方、填方应尽量平衡，剥离土石方就地消化为填土石方。对开挖的土壤分层堆放，分层回填，以保护植被生长层，恢复土壤生产力。</w:t>
      </w:r>
    </w:p>
    <w:p>
      <w:pPr>
        <w:spacing w:line="44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评价认为在工程施工阶段采取上述防治措施后，可有效防止施工期生态环境的恶化，将施工期对生态环境的影响降至最低。生态保护措施有效，技术经济可行。</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270" w:name="_Toc15917"/>
      <w:bookmarkStart w:id="271" w:name="_Toc29221883"/>
      <w:r>
        <w:rPr>
          <w:rFonts w:hint="eastAsia" w:ascii="Times New Roman" w:hAnsi="Times New Roman" w:eastAsia="宋体" w:cs="Times New Roman"/>
          <w:color w:val="auto"/>
          <w:lang w:val="en-US" w:eastAsia="zh-CN"/>
        </w:rPr>
        <w:t>运营期环境保护措施及其可行性论证</w:t>
      </w:r>
      <w:bookmarkEnd w:id="270"/>
      <w:bookmarkEnd w:id="271"/>
    </w:p>
    <w:p>
      <w:pPr>
        <w:pStyle w:val="7"/>
        <w:spacing w:before="0" w:after="0" w:line="360" w:lineRule="auto"/>
        <w:ind w:left="0" w:firstLine="0"/>
        <w:rPr>
          <w:rFonts w:hint="default" w:cs="Times New Roman"/>
          <w:color w:val="auto"/>
          <w:lang w:val="en-US" w:eastAsia="zh-CN"/>
        </w:rPr>
      </w:pPr>
      <w:bookmarkStart w:id="272" w:name="_Toc1451"/>
      <w:r>
        <w:rPr>
          <w:rFonts w:hint="default" w:cs="Times New Roman"/>
          <w:color w:val="auto"/>
          <w:lang w:val="en-US" w:eastAsia="zh-CN"/>
        </w:rPr>
        <w:t>运营期废水治理措施论证</w:t>
      </w:r>
      <w:bookmarkEnd w:id="272"/>
    </w:p>
    <w:p>
      <w:pPr>
        <w:pStyle w:val="8"/>
        <w:rPr>
          <w:rFonts w:hint="eastAsia" w:cs="Times New Roman"/>
          <w:color w:val="auto"/>
          <w:lang w:val="en-US" w:eastAsia="zh-CN"/>
        </w:rPr>
      </w:pPr>
      <w:r>
        <w:rPr>
          <w:rFonts w:hint="eastAsia" w:cs="Times New Roman"/>
          <w:color w:val="auto"/>
          <w:lang w:val="en-US" w:eastAsia="zh-CN"/>
        </w:rPr>
        <w:t>废水处理工艺流程</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本项目废水产生</w:t>
      </w:r>
      <w:r>
        <w:rPr>
          <w:rFonts w:hint="eastAsia" w:ascii="Times New Roman" w:hAnsi="Times New Roman" w:eastAsia="宋体" w:cs="Times New Roman"/>
          <w:color w:val="auto"/>
          <w:sz w:val="24"/>
          <w:szCs w:val="24"/>
        </w:rPr>
        <w:t>量</w:t>
      </w:r>
      <w:r>
        <w:rPr>
          <w:rFonts w:ascii="Times New Roman" w:hAnsi="Times New Roman" w:eastAsia="宋体" w:cs="Times New Roman"/>
          <w:color w:val="auto"/>
          <w:sz w:val="24"/>
          <w:szCs w:val="24"/>
        </w:rPr>
        <w:t>最多且最难处理的是养猪场粪污，这些废水中污染物含量较高，产生量也较大，对于养殖废水、粪污的处理方式，《畜禽养殖业污染治理工程技术规范》（HJ497-2009）推荐了三种方式：</w:t>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模式Ⅰ</w:t>
      </w:r>
    </w:p>
    <w:p>
      <w:pPr>
        <w:spacing w:before="120" w:beforeLines="50" w:after="120" w:afterLines="50" w:line="240" w:lineRule="auto"/>
        <w:ind w:firstLine="0" w:firstLineChars="0"/>
        <w:jc w:val="cente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position w:val="-47"/>
          <w:sz w:val="20"/>
          <w:szCs w:val="20"/>
        </w:rPr>
        <w:drawing>
          <wp:inline distT="0" distB="0" distL="114300" distR="114300">
            <wp:extent cx="4849495" cy="1376680"/>
            <wp:effectExtent l="0" t="0" r="8255" b="1397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62"/>
                    <a:stretch>
                      <a:fillRect/>
                    </a:stretch>
                  </pic:blipFill>
                  <pic:spPr>
                    <a:xfrm>
                      <a:off x="0" y="0"/>
                      <a:ext cx="4849495" cy="1376680"/>
                    </a:xfrm>
                    <a:prstGeom prst="rect">
                      <a:avLst/>
                    </a:prstGeom>
                    <a:noFill/>
                    <a:ln>
                      <a:noFill/>
                    </a:ln>
                  </pic:spPr>
                </pic:pic>
              </a:graphicData>
            </a:graphic>
          </wp:inline>
        </w:drawing>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模式Ⅱ</w:t>
      </w:r>
    </w:p>
    <w:p>
      <w:pPr>
        <w:spacing w:before="120" w:beforeLines="50" w:after="120" w:afterLines="50" w:line="240" w:lineRule="auto"/>
        <w:ind w:firstLine="0" w:firstLineChars="0"/>
        <w:jc w:val="center"/>
        <w:rPr>
          <w:rFonts w:ascii="Times New Roman" w:hAnsi="Times New Roman" w:eastAsia="宋体" w:cs="Times New Roman"/>
          <w:color w:val="auto"/>
          <w:sz w:val="24"/>
          <w:szCs w:val="24"/>
        </w:rPr>
      </w:pPr>
      <w:r>
        <w:rPr>
          <w:rFonts w:ascii="Times New Roman" w:hAnsi="Times New Roman" w:eastAsia="宋体" w:cs="Times New Roman"/>
          <w:color w:val="auto"/>
          <w:position w:val="-41"/>
          <w:sz w:val="20"/>
          <w:szCs w:val="20"/>
        </w:rPr>
        <w:drawing>
          <wp:inline distT="0" distB="0" distL="114300" distR="114300">
            <wp:extent cx="5286375" cy="1160780"/>
            <wp:effectExtent l="0" t="0" r="9525" b="127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63"/>
                    <a:stretch>
                      <a:fillRect/>
                    </a:stretch>
                  </pic:blipFill>
                  <pic:spPr>
                    <a:xfrm>
                      <a:off x="0" y="0"/>
                      <a:ext cx="5286375" cy="1160780"/>
                    </a:xfrm>
                    <a:prstGeom prst="rect">
                      <a:avLst/>
                    </a:prstGeom>
                    <a:noFill/>
                    <a:ln>
                      <a:noFill/>
                    </a:ln>
                  </pic:spPr>
                </pic:pic>
              </a:graphicData>
            </a:graphic>
          </wp:inline>
        </w:drawing>
      </w:r>
    </w:p>
    <w:p>
      <w:pPr>
        <w:spacing w:line="440" w:lineRule="exact"/>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t>模式Ⅲ</w:t>
      </w:r>
    </w:p>
    <w:p>
      <w:pPr>
        <w:spacing w:before="120" w:beforeLines="50" w:after="120" w:afterLines="50" w:line="240" w:lineRule="auto"/>
        <w:ind w:firstLine="0" w:firstLineChars="0"/>
        <w:jc w:val="cente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position w:val="-52"/>
          <w:sz w:val="20"/>
          <w:szCs w:val="20"/>
        </w:rPr>
        <w:drawing>
          <wp:inline distT="0" distB="0" distL="114300" distR="114300">
            <wp:extent cx="5243830" cy="1536065"/>
            <wp:effectExtent l="0" t="0" r="13970" b="698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64"/>
                    <a:stretch>
                      <a:fillRect/>
                    </a:stretch>
                  </pic:blipFill>
                  <pic:spPr>
                    <a:xfrm>
                      <a:off x="0" y="0"/>
                      <a:ext cx="5243830" cy="1536065"/>
                    </a:xfrm>
                    <a:prstGeom prst="rect">
                      <a:avLst/>
                    </a:prstGeom>
                    <a:noFill/>
                    <a:ln>
                      <a:noFill/>
                    </a:ln>
                  </pic:spPr>
                </pic:pic>
              </a:graphicData>
            </a:graphic>
          </wp:inline>
        </w:drawing>
      </w:r>
    </w:p>
    <w:p>
      <w:pPr>
        <w:widowControl w:val="0"/>
        <w:spacing w:before="120" w:beforeLines="50" w:line="360" w:lineRule="auto"/>
        <w:ind w:firstLine="0" w:firstLineChars="0"/>
        <w:jc w:val="center"/>
        <w:rPr>
          <w:rFonts w:ascii="Times New Roman" w:hAnsi="Times New Roman" w:eastAsia="宋体" w:cs="Times New Roman"/>
          <w:b/>
          <w:color w:val="auto"/>
          <w:kern w:val="2"/>
          <w:sz w:val="21"/>
          <w:szCs w:val="24"/>
          <w:lang w:val="en-US" w:eastAsia="zh-CN" w:bidi="ar-SA"/>
        </w:rPr>
      </w:pPr>
      <w:r>
        <w:rPr>
          <w:rFonts w:ascii="Times New Roman" w:hAnsi="Times New Roman" w:eastAsia="宋体" w:cs="Times New Roman"/>
          <w:b/>
          <w:color w:val="auto"/>
          <w:kern w:val="2"/>
          <w:sz w:val="21"/>
          <w:szCs w:val="24"/>
          <w:lang w:val="en-US" w:eastAsia="zh-CN" w:bidi="ar-SA"/>
        </w:rPr>
        <w:t>图7.2-1    畜禽养殖污水处理的三种工艺</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三种模式中，模式Ⅰ和Ⅱ，其立足点均为将废水处理为沼液后，用于施肥或其它用途；在《畜禽养殖业污染治理工程技术规范》编制说明（征求意见稿）中将以上两大类处理工艺归结为：一种为</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达标排放</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模式，一种为</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综合利用</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模式，这两种处理模式与我国《大中型畜禽养殖场能源环境工程建设规划》确立的畜禽粪污治理模式也是相符合的。</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模式Ⅰ工艺以能源利用与综合利用为主要目的，适用于当地有较大的能源需求，沼气能完全利用，同时周边有足够土地消纳沼液、沼渣，并有一倍以上的土地轮作面积，使整个养殖场（区）的畜禽排泄物在小区域范围内全部达到循环利用的情况。</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模式Ⅱ工艺适用于能源需求不大，主要以进行污染物无害化处理、降低有机物浓度、减少沼液和沼渣消纳所需配套的土地面积为目的，且养殖场周围具有足够土地面积全部消纳低浓度沼液，并且有一定的土地轮作面积的情况。</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i w:val="0"/>
          <w:caps w:val="0"/>
          <w:color w:val="auto"/>
          <w:spacing w:val="0"/>
          <w:sz w:val="24"/>
          <w:szCs w:val="24"/>
          <w:shd w:val="clear" w:fill="FFFFFF"/>
        </w:rPr>
        <w:t>模式Ⅲ主要是基于受当地沼气能源供求实际情况的限制，周边又没有足够的可供消纳沼液、沼渣的土地，其厌氧出水（沼液）必须再经过进一步处理，</w:t>
      </w:r>
      <w:r>
        <w:rPr>
          <w:rFonts w:hint="default" w:ascii="Times New Roman" w:hAnsi="Times New Roman" w:eastAsia="宋体" w:cs="Times New Roman"/>
          <w:color w:val="auto"/>
          <w:sz w:val="24"/>
          <w:szCs w:val="24"/>
        </w:rPr>
        <w:t>废水必须经处理后达标排放或回用的情况。</w:t>
      </w:r>
    </w:p>
    <w:p>
      <w:pPr>
        <w:pStyle w:val="110"/>
        <w:rPr>
          <w:rFonts w:hint="eastAsia" w:eastAsia="宋体"/>
          <w:b/>
          <w:bCs/>
          <w:color w:val="auto"/>
          <w:lang w:eastAsia="zh-CN"/>
        </w:rPr>
      </w:pPr>
      <w:r>
        <w:rPr>
          <w:rFonts w:hint="eastAsia" w:ascii="Arial" w:hAnsi="Arial" w:eastAsia="Arial" w:cs="Arial"/>
          <w:b/>
          <w:bCs/>
          <w:i w:val="0"/>
          <w:caps w:val="0"/>
          <w:color w:val="auto"/>
          <w:spacing w:val="0"/>
          <w:sz w:val="24"/>
          <w:szCs w:val="24"/>
          <w:shd w:val="clear" w:fill="FFFFFF"/>
        </w:rPr>
        <w:t>处理模式选择</w:t>
      </w:r>
      <w:r>
        <w:rPr>
          <w:rFonts w:hint="eastAsia" w:ascii="Arial" w:hAnsi="Arial" w:eastAsia="宋体" w:cs="Arial"/>
          <w:b/>
          <w:bCs/>
          <w:i w:val="0"/>
          <w:caps w:val="0"/>
          <w:color w:val="auto"/>
          <w:spacing w:val="0"/>
          <w:sz w:val="24"/>
          <w:szCs w:val="24"/>
          <w:shd w:val="clear" w:fill="FFFFFF"/>
          <w:lang w:eastAsia="zh-CN"/>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1）模式Ⅰ、模式Ⅱ强调种养结合，在获取沼气能源的同时，沼液、沼渣应完全得到消纳，实现粪污“零排放”。当所在地区不具备全部消纳粪污资源的条件时，应选择模式Ⅲ工艺。</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2）从环保的角度考虑，干清粪工艺的养殖场不宜采用模式Ⅰ（即粪尿全进）处理工艺，固体粪便宜采用好氧堆肥等技术单独进行无害化处理。</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从技术经济条件综合考虑，养殖规模在存栏（以猪计）2000头及以下的，应尽可能采用模式Ⅰ或模式Ⅱ处理工艺。而当存栏（以猪计）在1万头及以上的，应采取模式Ⅲ处理工艺。这是因为，从环境安全、二次环境污染防治角度考虑，存栏（以猪计）1万头及以上的养殖场区，其周边通常不会具有如此大面积的可供利用的土地资源来消纳沼液、沼渣，并且这种大规模综合利用工程，一旦发生紧急事故会产生巨大的环境隐患，因此，这种大规模的养殖场区应有相应的环保达标处理设施。</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污水处理站采用“固液分离+UASB厌氧+絮凝沉淀+两级A/O系统+混凝絮凝沉淀+消毒”处理工艺，与《畜禽养殖业污染治理工程技术规范》（GBHJ497-2009）中规定的“粪污处理基本工艺模式—模式Ⅲ”处理工艺基本相符。</w:t>
      </w:r>
      <w:r>
        <w:rPr>
          <w:rFonts w:hint="eastAsia" w:ascii="Times New Roman" w:hAnsi="Times New Roman" w:eastAsia="宋体" w:cs="Times New Roman"/>
          <w:color w:val="auto"/>
          <w:sz w:val="24"/>
          <w:szCs w:val="24"/>
          <w:lang w:eastAsia="zh-CN"/>
        </w:rPr>
        <w:t>且本项目存栏量为</w:t>
      </w:r>
      <w:r>
        <w:rPr>
          <w:rFonts w:hint="eastAsia" w:ascii="Times New Roman" w:hAnsi="Times New Roman" w:eastAsia="宋体" w:cs="Times New Roman"/>
          <w:color w:val="auto"/>
          <w:sz w:val="24"/>
          <w:szCs w:val="24"/>
          <w:lang w:val="en-US" w:eastAsia="zh-CN"/>
        </w:rPr>
        <w:t>17141头（以成年猪计），存栏量较大，适合</w:t>
      </w:r>
      <w:r>
        <w:rPr>
          <w:rFonts w:hint="default" w:ascii="Times New Roman" w:hAnsi="Times New Roman" w:eastAsia="宋体" w:cs="Times New Roman"/>
          <w:color w:val="auto"/>
          <w:sz w:val="24"/>
          <w:szCs w:val="24"/>
        </w:rPr>
        <w:t>模式Ⅲ处理工艺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因此，本项目污水处理站处理工艺可行。</w:t>
      </w:r>
      <w:r>
        <w:rPr>
          <w:rFonts w:ascii="Times New Roman" w:hAnsi="Times New Roman" w:eastAsia="宋体" w:cs="Times New Roman"/>
          <w:color w:val="auto"/>
          <w:sz w:val="24"/>
          <w:szCs w:val="24"/>
        </w:rPr>
        <w:t>养殖废水经处理后产生的沼气经收集后</w:t>
      </w:r>
      <w:r>
        <w:rPr>
          <w:rFonts w:hint="eastAsia" w:ascii="Times New Roman" w:hAnsi="Times New Roman" w:eastAsia="宋体" w:cs="Times New Roman"/>
          <w:color w:val="auto"/>
          <w:sz w:val="24"/>
          <w:szCs w:val="24"/>
        </w:rPr>
        <w:t>部分</w:t>
      </w:r>
      <w:r>
        <w:rPr>
          <w:rFonts w:ascii="Times New Roman" w:hAnsi="Times New Roman" w:eastAsia="宋体" w:cs="Times New Roman"/>
          <w:color w:val="auto"/>
          <w:sz w:val="24"/>
          <w:szCs w:val="24"/>
        </w:rPr>
        <w:t>用作燃料</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污泥收集后经堆肥发酵后</w:t>
      </w:r>
      <w:r>
        <w:rPr>
          <w:rFonts w:hint="eastAsia" w:ascii="Times New Roman" w:hAnsi="Times New Roman" w:eastAsia="宋体" w:cs="Times New Roman"/>
          <w:color w:val="auto"/>
          <w:sz w:val="24"/>
          <w:szCs w:val="24"/>
        </w:rPr>
        <w:t>作</w:t>
      </w:r>
      <w:r>
        <w:rPr>
          <w:rFonts w:ascii="Times New Roman" w:hAnsi="Times New Roman" w:eastAsia="宋体" w:cs="Times New Roman"/>
          <w:color w:val="auto"/>
          <w:sz w:val="24"/>
          <w:szCs w:val="24"/>
        </w:rPr>
        <w:t>为有机肥原料外售；废水经处理后，用管网输送至</w:t>
      </w:r>
      <w:r>
        <w:rPr>
          <w:rFonts w:hint="eastAsia" w:ascii="Times New Roman" w:hAnsi="Times New Roman" w:eastAsia="宋体" w:cs="Times New Roman"/>
          <w:color w:val="auto"/>
          <w:sz w:val="24"/>
          <w:szCs w:val="24"/>
        </w:rPr>
        <w:t>周</w:t>
      </w:r>
      <w:r>
        <w:rPr>
          <w:rFonts w:ascii="Times New Roman" w:hAnsi="Times New Roman" w:eastAsia="宋体" w:cs="Times New Roman"/>
          <w:color w:val="auto"/>
          <w:sz w:val="24"/>
          <w:szCs w:val="24"/>
        </w:rPr>
        <w:t>边耕地、林地作为农灌用水，不外排。</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w:t>
      </w:r>
      <w:r>
        <w:rPr>
          <w:rFonts w:ascii="Times New Roman" w:hAnsi="Times New Roman" w:eastAsia="宋体" w:cs="Times New Roman"/>
          <w:color w:val="auto"/>
          <w:sz w:val="24"/>
          <w:szCs w:val="24"/>
        </w:rPr>
        <w:t>项目采取的废水处理工艺实现了猪场自身产粪（污）的全部消化和资源综合利用，使粪便和废水变废为宝，取得了良好的经济效益与生态效益。</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雨污分流：项目厂区位于山顶，厂区内雨水通过建构筑物四周的雨水沟收集后就近排出厂外，或通过场地一定的坡度散排进入厂外的雨水沟；养殖废水在猪舍内通过粪沟收集后，通过埋地管道运输至</w:t>
      </w:r>
      <w:r>
        <w:rPr>
          <w:rFonts w:hint="eastAsia" w:ascii="Times New Roman" w:hAnsi="Times New Roman" w:eastAsia="宋体" w:cs="Times New Roman"/>
          <w:color w:val="auto"/>
          <w:sz w:val="24"/>
          <w:szCs w:val="24"/>
        </w:rPr>
        <w:t>污</w:t>
      </w:r>
      <w:r>
        <w:rPr>
          <w:rFonts w:ascii="Times New Roman" w:hAnsi="Times New Roman" w:eastAsia="宋体" w:cs="Times New Roman"/>
          <w:color w:val="auto"/>
          <w:sz w:val="24"/>
          <w:szCs w:val="24"/>
        </w:rPr>
        <w:t>水处理站进行处理，处理后进入</w:t>
      </w:r>
      <w:r>
        <w:rPr>
          <w:rFonts w:hint="eastAsia" w:ascii="Times New Roman" w:hAnsi="Times New Roman" w:eastAsia="宋体" w:cs="Times New Roman"/>
          <w:color w:val="auto"/>
          <w:sz w:val="24"/>
          <w:szCs w:val="24"/>
        </w:rPr>
        <w:t>储</w:t>
      </w:r>
      <w:r>
        <w:rPr>
          <w:rFonts w:ascii="Times New Roman" w:hAnsi="Times New Roman" w:eastAsia="宋体" w:cs="Times New Roman"/>
          <w:color w:val="auto"/>
          <w:sz w:val="24"/>
          <w:szCs w:val="24"/>
        </w:rPr>
        <w:t>存池暂存，不外排。粪污处理建构筑物均做好防洪设计，使雨水不能进入粪污处理构筑物，减少粪污处理设备负荷，同时，废水处理建构筑物做好液位控制和管理，使各建构筑物废水不溢流。</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综上分析，废水经“固液分离+UASB厌氧+絮凝沉淀+两级A/O系统+混凝絮凝沉淀+消毒”处理后，废水用作周边耕地、林地的农灌，可实现资源的综合利用，项目废水处理工艺技术经济可行。</w:t>
      </w:r>
    </w:p>
    <w:p>
      <w:pPr>
        <w:pStyle w:val="8"/>
        <w:rPr>
          <w:rFonts w:hint="eastAsia" w:cs="Times New Roman"/>
          <w:color w:val="auto"/>
          <w:lang w:val="en-US" w:eastAsia="zh-CN"/>
        </w:rPr>
      </w:pPr>
      <w:r>
        <w:rPr>
          <w:rFonts w:hint="eastAsia" w:cs="Times New Roman"/>
          <w:color w:val="auto"/>
          <w:lang w:val="en-US" w:eastAsia="zh-CN"/>
        </w:rPr>
        <w:t>废水处理站处理能力可行性论证</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本项目废水量为</w:t>
      </w:r>
      <w:r>
        <w:rPr>
          <w:rFonts w:hint="default" w:ascii="Times New Roman" w:hAnsi="Times New Roman" w:eastAsia="宋体" w:cs="Times New Roman"/>
          <w:color w:val="auto"/>
          <w:sz w:val="24"/>
          <w:szCs w:val="24"/>
          <w:lang w:val="en-US" w:eastAsia="zh-CN"/>
        </w:rPr>
        <w:t>233.75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 xml:space="preserve">/d，本项目拟建污水处理站日处理设计方案为 </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00m³/d，可以满足本项目营运期废水处理规模。</w:t>
      </w:r>
    </w:p>
    <w:p>
      <w:pPr>
        <w:pStyle w:val="8"/>
        <w:rPr>
          <w:rFonts w:hint="default" w:cs="Times New Roman"/>
          <w:color w:val="auto"/>
          <w:lang w:val="en-US" w:eastAsia="zh-CN"/>
        </w:rPr>
      </w:pPr>
      <w:r>
        <w:rPr>
          <w:rFonts w:hint="eastAsia" w:cs="Times New Roman"/>
          <w:color w:val="auto"/>
          <w:lang w:val="en-US" w:eastAsia="zh-CN"/>
        </w:rPr>
        <w:t>水质达标可行性分析</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根据对比国内相同处理工艺污水处理厂污染物去除效率的调研结果，本项目</w:t>
      </w:r>
    </w:p>
    <w:p>
      <w:p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各工艺单位污染物去除效率见下表。</w:t>
      </w:r>
    </w:p>
    <w:p>
      <w:pPr>
        <w:pStyle w:val="2503"/>
        <w:numPr>
          <w:ilvl w:val="0"/>
          <w:numId w:val="40"/>
        </w:numPr>
        <w:spacing w:before="120"/>
        <w:ind w:left="425" w:leftChars="0" w:hanging="425"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eastAsia="zh-CN"/>
        </w:rPr>
        <w:t>工程出水水质达标可行性分析</w:t>
      </w:r>
    </w:p>
    <w:tbl>
      <w:tblPr>
        <w:tblStyle w:val="88"/>
        <w:tblW w:w="4996"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28"/>
        <w:gridCol w:w="1642"/>
        <w:gridCol w:w="1000"/>
        <w:gridCol w:w="887"/>
        <w:gridCol w:w="887"/>
        <w:gridCol w:w="887"/>
        <w:gridCol w:w="884"/>
        <w:gridCol w:w="88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阶段</w:t>
            </w:r>
          </w:p>
        </w:tc>
        <w:tc>
          <w:tcPr>
            <w:tcW w:w="989" w:type="pct"/>
            <w:noWrap w:val="0"/>
            <w:vAlign w:val="center"/>
          </w:tcPr>
          <w:p>
            <w:pPr>
              <w:pStyle w:val="163"/>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指标</w:t>
            </w:r>
          </w:p>
        </w:tc>
        <w:tc>
          <w:tcPr>
            <w:tcW w:w="602" w:type="pct"/>
            <w:noWrap w:val="0"/>
            <w:vAlign w:val="center"/>
          </w:tcPr>
          <w:p>
            <w:pPr>
              <w:pStyle w:val="163"/>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CODcr</w:t>
            </w:r>
          </w:p>
        </w:tc>
        <w:tc>
          <w:tcPr>
            <w:tcW w:w="534" w:type="pct"/>
            <w:noWrap w:val="0"/>
            <w:vAlign w:val="center"/>
          </w:tcPr>
          <w:p>
            <w:pPr>
              <w:pStyle w:val="163"/>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position w:val="2"/>
                <w:sz w:val="21"/>
                <w:szCs w:val="21"/>
              </w:rPr>
              <w:t>BOD</w:t>
            </w:r>
            <w:r>
              <w:rPr>
                <w:rFonts w:hint="default" w:ascii="Times New Roman" w:hAnsi="Times New Roman" w:eastAsia="宋体" w:cs="Times New Roman"/>
                <w:b/>
                <w:color w:val="auto"/>
                <w:sz w:val="21"/>
                <w:szCs w:val="21"/>
                <w:vertAlign w:val="subscript"/>
              </w:rPr>
              <w:t>5</w:t>
            </w:r>
          </w:p>
        </w:tc>
        <w:tc>
          <w:tcPr>
            <w:tcW w:w="534" w:type="pct"/>
            <w:noWrap w:val="0"/>
            <w:vAlign w:val="center"/>
          </w:tcPr>
          <w:p>
            <w:pPr>
              <w:pStyle w:val="163"/>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SS</w:t>
            </w:r>
          </w:p>
        </w:tc>
        <w:tc>
          <w:tcPr>
            <w:tcW w:w="534" w:type="pct"/>
            <w:noWrap w:val="0"/>
            <w:vAlign w:val="center"/>
          </w:tcPr>
          <w:p>
            <w:pPr>
              <w:pStyle w:val="163"/>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position w:val="2"/>
                <w:sz w:val="21"/>
                <w:szCs w:val="21"/>
              </w:rPr>
              <w:t>NH</w:t>
            </w:r>
            <w:r>
              <w:rPr>
                <w:rFonts w:hint="default" w:ascii="Times New Roman" w:hAnsi="Times New Roman" w:eastAsia="宋体" w:cs="Times New Roman"/>
                <w:b/>
                <w:color w:val="auto"/>
                <w:position w:val="2"/>
                <w:sz w:val="21"/>
                <w:szCs w:val="21"/>
                <w:vertAlign w:val="subscript"/>
              </w:rPr>
              <w:t>3</w:t>
            </w:r>
            <w:r>
              <w:rPr>
                <w:rFonts w:hint="default" w:ascii="Times New Roman" w:hAnsi="Times New Roman" w:eastAsia="宋体" w:cs="Times New Roman"/>
                <w:b/>
                <w:color w:val="auto"/>
                <w:position w:val="2"/>
                <w:sz w:val="21"/>
                <w:szCs w:val="21"/>
              </w:rPr>
              <w:t>-N</w:t>
            </w:r>
          </w:p>
        </w:tc>
        <w:tc>
          <w:tcPr>
            <w:tcW w:w="532" w:type="pct"/>
            <w:noWrap w:val="0"/>
            <w:vAlign w:val="center"/>
          </w:tcPr>
          <w:p>
            <w:pPr>
              <w:pStyle w:val="163"/>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TP</w:t>
            </w:r>
          </w:p>
        </w:tc>
        <w:tc>
          <w:tcPr>
            <w:tcW w:w="532" w:type="pct"/>
            <w:noWrap w:val="0"/>
            <w:vAlign w:val="center"/>
          </w:tcPr>
          <w:p>
            <w:pPr>
              <w:pStyle w:val="163"/>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粪大肠</w:t>
            </w:r>
          </w:p>
          <w:p>
            <w:pPr>
              <w:pStyle w:val="163"/>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菌群</w:t>
            </w:r>
          </w:p>
          <w:p>
            <w:pPr>
              <w:pStyle w:val="163"/>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（个</w:t>
            </w:r>
          </w:p>
          <w:p>
            <w:pPr>
              <w:pStyle w:val="163"/>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/mL</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restart"/>
            <w:noWrap w:val="0"/>
            <w:vAlign w:val="center"/>
          </w:tcPr>
          <w:p>
            <w:pPr>
              <w:pStyle w:val="163"/>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预处理（固液分离、格栅、调节池</w:t>
            </w: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进水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2603.93</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1184.42</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4971.61</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258.36</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43.17</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20418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continue"/>
            <w:noWrap w:val="0"/>
            <w:vAlign w:val="center"/>
          </w:tcPr>
          <w:p>
            <w:pPr>
              <w:pStyle w:val="163"/>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rPr>
            </w:pP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去除率</w:t>
            </w:r>
            <w:r>
              <w:rPr>
                <w:rFonts w:hint="default" w:ascii="Times New Roman" w:hAnsi="Times New Roman" w:eastAsia="宋体" w:cs="Times New Roman"/>
                <w:color w:val="auto"/>
                <w:sz w:val="21"/>
                <w:szCs w:val="21"/>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25</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w w:val="99"/>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w w:val="99"/>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continue"/>
            <w:noWrap w:val="0"/>
            <w:vAlign w:val="center"/>
          </w:tcPr>
          <w:p>
            <w:pPr>
              <w:pStyle w:val="163"/>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rPr>
            </w:pP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1952.95</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1065.98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1491.48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258.36</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43.17</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20418.00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restar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USB厌氧反应</w:t>
            </w: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去除率</w:t>
            </w:r>
            <w:r>
              <w:rPr>
                <w:rFonts w:hint="default" w:ascii="Times New Roman" w:hAnsi="Times New Roman" w:eastAsia="宋体" w:cs="Times New Roman"/>
                <w:color w:val="auto"/>
                <w:sz w:val="21"/>
                <w:szCs w:val="21"/>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85.00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85.00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50.00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continue"/>
            <w:noWrap w:val="0"/>
            <w:vAlign w:val="center"/>
          </w:tcPr>
          <w:p>
            <w:pPr>
              <w:pStyle w:val="163"/>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rPr>
            </w:pP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292.94</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159.90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745.74</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258.36</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43.17</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20418.00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restar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二级AO工艺</w:t>
            </w: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z w:val="21"/>
                <w:szCs w:val="21"/>
                <w:lang w:eastAsia="zh-CN"/>
              </w:rPr>
              <w:t>去除率</w:t>
            </w:r>
            <w:r>
              <w:rPr>
                <w:rFonts w:hint="default" w:ascii="Times New Roman" w:hAnsi="Times New Roman" w:eastAsia="宋体" w:cs="Times New Roman"/>
                <w:color w:val="auto"/>
                <w:sz w:val="21"/>
                <w:szCs w:val="21"/>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90.00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95.00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90.00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continue"/>
            <w:noWrap w:val="0"/>
            <w:vAlign w:val="center"/>
          </w:tcPr>
          <w:p>
            <w:pPr>
              <w:pStyle w:val="163"/>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rPr>
            </w:pP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z w:val="21"/>
                <w:szCs w:val="21"/>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29.29</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7.99</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745.74</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25.84</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12.95</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20418.00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restar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絮凝沉淀</w:t>
            </w: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z w:val="21"/>
                <w:szCs w:val="21"/>
                <w:lang w:eastAsia="zh-CN"/>
              </w:rPr>
              <w:t>去除率</w:t>
            </w:r>
            <w:r>
              <w:rPr>
                <w:rFonts w:hint="default" w:ascii="Times New Roman" w:hAnsi="Times New Roman" w:eastAsia="宋体" w:cs="Times New Roman"/>
                <w:color w:val="auto"/>
                <w:sz w:val="21"/>
                <w:szCs w:val="21"/>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95.00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continue"/>
            <w:noWrap w:val="0"/>
            <w:vAlign w:val="center"/>
          </w:tcPr>
          <w:p>
            <w:pPr>
              <w:pStyle w:val="163"/>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rPr>
            </w:pP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z w:val="21"/>
                <w:szCs w:val="21"/>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23.44</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7.99</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37.29</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25.84</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2.59</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20418.00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restar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消毒</w:t>
            </w: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z w:val="21"/>
                <w:szCs w:val="21"/>
                <w:lang w:eastAsia="zh-CN"/>
              </w:rPr>
              <w:t>去除率</w:t>
            </w:r>
            <w:r>
              <w:rPr>
                <w:rFonts w:hint="default" w:ascii="Times New Roman" w:hAnsi="Times New Roman" w:eastAsia="宋体" w:cs="Times New Roman"/>
                <w:color w:val="auto"/>
                <w:sz w:val="21"/>
                <w:szCs w:val="21"/>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10.00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99.90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continue"/>
            <w:noWrap w:val="0"/>
            <w:vAlign w:val="center"/>
          </w:tcPr>
          <w:p>
            <w:pPr>
              <w:pStyle w:val="163"/>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rPr>
            </w:pP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z w:val="21"/>
                <w:szCs w:val="21"/>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23.44</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7.99</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37.29</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23.25</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2.59</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20.42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restart"/>
            <w:noWrap w:val="0"/>
            <w:vAlign w:val="center"/>
          </w:tcPr>
          <w:p>
            <w:pPr>
              <w:pStyle w:val="163"/>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暂存池</w:t>
            </w: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z w:val="21"/>
                <w:szCs w:val="21"/>
                <w:lang w:eastAsia="zh-CN"/>
              </w:rPr>
              <w:t>去除率</w:t>
            </w:r>
            <w:r>
              <w:rPr>
                <w:rFonts w:hint="default" w:ascii="Times New Roman" w:hAnsi="Times New Roman" w:eastAsia="宋体" w:cs="Times New Roman"/>
                <w:color w:val="auto"/>
                <w:sz w:val="21"/>
                <w:szCs w:val="21"/>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40" w:type="pct"/>
            <w:vMerge w:val="continue"/>
            <w:noWrap w:val="0"/>
            <w:vAlign w:val="center"/>
          </w:tcPr>
          <w:p>
            <w:pPr>
              <w:pStyle w:val="163"/>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rPr>
            </w:pPr>
          </w:p>
        </w:tc>
        <w:tc>
          <w:tcPr>
            <w:tcW w:w="989" w:type="pct"/>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z w:val="21"/>
                <w:szCs w:val="21"/>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23.44</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7.99</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37.29</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23.25</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2.59</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20.42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729" w:type="pct"/>
            <w:gridSpan w:val="2"/>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总去除率</w:t>
            </w:r>
            <w:r>
              <w:rPr>
                <w:rFonts w:hint="default" w:ascii="Times New Roman" w:hAnsi="Times New Roman" w:eastAsia="宋体" w:cs="Times New Roman"/>
                <w:color w:val="auto"/>
                <w:sz w:val="21"/>
                <w:szCs w:val="21"/>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99.10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99.33</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99.25</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91.00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94.00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99.90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729" w:type="pct"/>
            <w:gridSpan w:val="2"/>
            <w:noWrap w:val="0"/>
            <w:vAlign w:val="center"/>
          </w:tcPr>
          <w:p>
            <w:pPr>
              <w:pStyle w:val="163"/>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出水要求</w:t>
            </w:r>
          </w:p>
        </w:tc>
        <w:tc>
          <w:tcPr>
            <w:tcW w:w="602"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53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53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53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532"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532"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4000个/ml</w:t>
            </w:r>
          </w:p>
        </w:tc>
      </w:tr>
    </w:tbl>
    <w:p>
      <w:pP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注：A/O工艺去除率根据《两级A/O工艺处理黑水研究》（李辰，陈洪斌，刘富强，徐培嘉，何群彪（同济大学环境学院，城市污染控制国家工程研究中心，上海 200092））中提出的“两级A/O工艺，“COD去除率94%，NH</w:t>
      </w:r>
      <w:r>
        <w:rPr>
          <w:rFonts w:hint="eastAsia" w:ascii="Times New Roman" w:hAnsi="Times New Roman" w:eastAsia="宋体" w:cs="Times New Roman"/>
          <w:b/>
          <w:bCs/>
          <w:color w:val="auto"/>
          <w:sz w:val="21"/>
          <w:szCs w:val="21"/>
          <w:vertAlign w:val="subscript"/>
        </w:rPr>
        <w:t>3</w:t>
      </w:r>
      <w:r>
        <w:rPr>
          <w:rFonts w:hint="eastAsia" w:ascii="Times New Roman" w:hAnsi="Times New Roman" w:eastAsia="宋体" w:cs="Times New Roman"/>
          <w:b/>
          <w:bCs/>
          <w:color w:val="auto"/>
          <w:sz w:val="21"/>
          <w:szCs w:val="21"/>
        </w:rPr>
        <w:t>-N去除率80%，总磷去除率80%。”</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工程进水水质和前述对主体工艺、絮凝沉淀工艺、消毒工艺的可行性及可靠性论证，结合上表的分析，可知本项目排水水质可以满足《农田灌溉水质标准（GB5084-2005）》，其中氨氮、总磷执行《畜禽养殖业污染物排放标准》（GB18596-2001）。</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农业部办公厅2018年1月5日印发关于《畜禽规模养殖场粪污资源化利用设施建设规范（试行）》的通知，液体或全量粪污采用完全混合式厌氧反应器、上流式厌氧污泥床反应器等处理的，配套调节池、厌氧发酵罐、固液分离机、贮气设施、沼渣沼液储存池等设施设备，相关建设要求依据（NY/T1220）执行。沼液贮存池容积依据第九条确定</w:t>
      </w:r>
      <w:r>
        <w:rPr>
          <w:rFonts w:hint="default" w:ascii="Times New Roman" w:hAnsi="Times New Roman" w:eastAsia="宋体" w:cs="Times New Roman"/>
          <w:b w:val="0"/>
          <w:bCs w:val="0"/>
          <w:color w:val="auto"/>
          <w:sz w:val="24"/>
          <w:szCs w:val="24"/>
        </w:rPr>
        <w:t>（液体或全量粪污通过氧化塘、沉淀池等进行无害化处理的，氧化塘、贮存池容积不小于单位畜禽日粪污产生量（m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）×贮存周期(天)×设计存栏量(头)。单位畜禽粪污日产生量推荐值为：生猪0.01m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，奶牛0.045m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，肉牛0.017m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，家禽0.0002m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，具体可根据养殖场实际情况核定）</w:t>
      </w:r>
      <w:r>
        <w:rPr>
          <w:rFonts w:hint="default" w:ascii="Times New Roman" w:hAnsi="Times New Roman" w:eastAsia="宋体" w:cs="Times New Roman"/>
          <w:color w:val="auto"/>
          <w:sz w:val="24"/>
          <w:szCs w:val="24"/>
        </w:rPr>
        <w:t>。本项目最大年存栏量为</w:t>
      </w:r>
      <w:r>
        <w:rPr>
          <w:rFonts w:hint="eastAsia" w:ascii="Times New Roman" w:hAnsi="Times New Roman" w:eastAsia="宋体" w:cs="Times New Roman"/>
          <w:color w:val="auto"/>
          <w:sz w:val="24"/>
          <w:szCs w:val="24"/>
          <w:lang w:val="en-US" w:eastAsia="zh-CN"/>
        </w:rPr>
        <w:t>17141</w:t>
      </w:r>
      <w:r>
        <w:rPr>
          <w:rFonts w:hint="default" w:ascii="Times New Roman" w:hAnsi="Times New Roman" w:eastAsia="宋体" w:cs="Times New Roman"/>
          <w:color w:val="auto"/>
          <w:sz w:val="24"/>
          <w:szCs w:val="24"/>
        </w:rPr>
        <w:t>头，营运期废水产生总量</w:t>
      </w:r>
      <w:r>
        <w:rPr>
          <w:rFonts w:hint="eastAsia" w:ascii="Times New Roman" w:hAnsi="Times New Roman" w:eastAsia="宋体" w:cs="Times New Roman"/>
          <w:color w:val="auto"/>
          <w:sz w:val="24"/>
          <w:szCs w:val="24"/>
          <w:lang w:val="en-US" w:eastAsia="zh-CN"/>
        </w:rPr>
        <w:t>233.75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/d，污水储存池设计贮存周期为</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天，则本项目污水储存池贮存周期容积不应小于</w:t>
      </w:r>
      <w:r>
        <w:rPr>
          <w:rFonts w:hint="eastAsia" w:ascii="Times New Roman" w:hAnsi="Times New Roman" w:eastAsia="宋体" w:cs="Times New Roman"/>
          <w:color w:val="auto"/>
          <w:sz w:val="24"/>
          <w:szCs w:val="24"/>
          <w:lang w:val="en-US" w:eastAsia="zh-CN"/>
        </w:rPr>
        <w:t>7012.5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。故本项目拟建</w:t>
      </w:r>
      <w:r>
        <w:rPr>
          <w:rFonts w:hint="eastAsia" w:ascii="Times New Roman" w:hAnsi="Times New Roman" w:eastAsia="宋体" w:cs="Times New Roman"/>
          <w:color w:val="auto"/>
          <w:sz w:val="24"/>
          <w:szCs w:val="24"/>
          <w:lang w:val="en-US" w:eastAsia="zh-CN"/>
        </w:rPr>
        <w:t>2个</w:t>
      </w:r>
      <w:r>
        <w:rPr>
          <w:rFonts w:hint="default" w:ascii="Times New Roman" w:hAnsi="Times New Roman" w:eastAsia="宋体" w:cs="Times New Roman"/>
          <w:color w:val="auto"/>
          <w:sz w:val="24"/>
          <w:szCs w:val="24"/>
        </w:rPr>
        <w:t>污水储存池</w:t>
      </w:r>
      <w:r>
        <w:rPr>
          <w:rFonts w:hint="eastAsia" w:ascii="Times New Roman" w:hAnsi="Times New Roman" w:eastAsia="宋体" w:cs="Times New Roman"/>
          <w:color w:val="auto"/>
          <w:sz w:val="24"/>
          <w:szCs w:val="24"/>
          <w:lang w:eastAsia="zh-CN"/>
        </w:rPr>
        <w:t>（单个</w:t>
      </w:r>
      <w:r>
        <w:rPr>
          <w:rFonts w:hint="eastAsia" w:ascii="Times New Roman" w:hAnsi="Times New Roman" w:eastAsia="宋体" w:cs="Times New Roman"/>
          <w:color w:val="auto"/>
          <w:sz w:val="24"/>
          <w:szCs w:val="24"/>
          <w:lang w:val="en-US" w:eastAsia="zh-CN"/>
        </w:rPr>
        <w:t>4000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eastAsia="zh-CN"/>
        </w:rPr>
        <w:t>，共计</w:t>
      </w:r>
      <w:r>
        <w:rPr>
          <w:rFonts w:hint="eastAsia" w:ascii="Times New Roman" w:hAnsi="Times New Roman" w:eastAsia="宋体" w:cs="Times New Roman"/>
          <w:color w:val="auto"/>
          <w:sz w:val="24"/>
          <w:szCs w:val="24"/>
          <w:lang w:val="en-US" w:eastAsia="zh-CN"/>
        </w:rPr>
        <w:t>8000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处理负荷能满足要求。</w:t>
      </w:r>
    </w:p>
    <w:p>
      <w:pPr>
        <w:pStyle w:val="8"/>
        <w:rPr>
          <w:rFonts w:hint="eastAsia" w:cs="Times New Roman"/>
          <w:color w:val="auto"/>
          <w:lang w:val="en-US" w:eastAsia="zh-CN"/>
        </w:rPr>
      </w:pPr>
      <w:r>
        <w:rPr>
          <w:rFonts w:hint="eastAsia" w:cs="Times New Roman"/>
          <w:color w:val="auto"/>
          <w:lang w:val="en-US" w:eastAsia="zh-CN"/>
        </w:rPr>
        <w:t>废水土地消纳可行性分析</w:t>
      </w:r>
    </w:p>
    <w:p>
      <w:pPr>
        <w:ind w:firstLine="480" w:firstLineChars="200"/>
        <w:rPr>
          <w:rFonts w:hint="eastAsia" w:ascii="Times New Roman" w:cs="Times New Roman"/>
          <w:color w:val="auto"/>
          <w:sz w:val="24"/>
          <w:szCs w:val="24"/>
        </w:rPr>
      </w:pPr>
      <w:r>
        <w:rPr>
          <w:rFonts w:hint="eastAsia" w:ascii="Times New Roman" w:cs="Times New Roman"/>
          <w:color w:val="auto"/>
          <w:sz w:val="24"/>
          <w:szCs w:val="24"/>
        </w:rPr>
        <w:t>本项目配套建设农灌系统，农灌系统主要由废水储存池、恒压供水系统、阀门、</w:t>
      </w:r>
      <w:r>
        <w:rPr>
          <w:rFonts w:hint="eastAsia" w:ascii="Times New Roman" w:cs="Times New Roman"/>
          <w:color w:val="auto"/>
          <w:sz w:val="24"/>
          <w:szCs w:val="24"/>
          <w:lang w:eastAsia="zh-CN"/>
        </w:rPr>
        <w:t>田</w:t>
      </w:r>
      <w:r>
        <w:rPr>
          <w:rFonts w:hint="eastAsia" w:ascii="Times New Roman" w:cs="Times New Roman"/>
          <w:color w:val="auto"/>
          <w:sz w:val="24"/>
          <w:szCs w:val="24"/>
        </w:rPr>
        <w:t>间管道等组成。本项目废水储存池至林地采用PE材质dn63管道作为主管，林地田间支管采用PE材质dn50和dn32管道。本项目租用的林地用户打开浇灌系统阀门，恒压供水系统自动运行，将储存池废水输送至林地浇灌。</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（1）水量可行性</w:t>
      </w:r>
    </w:p>
    <w:p>
      <w:pPr>
        <w:pStyle w:val="23"/>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color w:val="auto"/>
        </w:rPr>
        <w:t>根据《四川省用水定额》（DB51/T 2138-2016），本项目所在地属于Ⅱ类区“盆中丘陵区”，消纳土地内主要为林地，在灌溉保证率达到90%的情况下，平均灌溉需水量约为100m</w:t>
      </w:r>
      <w:r>
        <w:rPr>
          <w:rFonts w:hint="eastAsia" w:ascii="Times New Roman" w:hAnsi="Times New Roman"/>
          <w:color w:val="auto"/>
          <w:vertAlign w:val="superscript"/>
        </w:rPr>
        <w:t xml:space="preserve">3 </w:t>
      </w:r>
      <w:r>
        <w:rPr>
          <w:rFonts w:hint="eastAsia" w:ascii="Times New Roman" w:hAnsi="Times New Roman"/>
          <w:color w:val="auto"/>
        </w:rPr>
        <w:t>/亩，则本项目需要的浇灌土地面积约为</w:t>
      </w:r>
      <w:r>
        <w:rPr>
          <w:rFonts w:hint="eastAsia"/>
          <w:color w:val="auto"/>
          <w:lang w:val="en-US" w:eastAsia="zh-CN"/>
        </w:rPr>
        <w:t>854</w:t>
      </w:r>
      <w:r>
        <w:rPr>
          <w:rFonts w:hint="eastAsia" w:ascii="Times New Roman" w:hAnsi="Times New Roman"/>
          <w:color w:val="auto"/>
        </w:rPr>
        <w:t>亩。</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本项目消纳区面积约为</w:t>
      </w:r>
      <w:r>
        <w:rPr>
          <w:rFonts w:hint="eastAsia" w:ascii="Times New Roman" w:hAnsi="Times New Roman" w:eastAsia="宋体" w:cs="Times New Roman"/>
          <w:color w:val="auto"/>
          <w:sz w:val="24"/>
          <w:szCs w:val="24"/>
          <w:lang w:val="en-US" w:eastAsia="zh-CN"/>
        </w:rPr>
        <w:t>1194</w:t>
      </w:r>
      <w:r>
        <w:rPr>
          <w:rFonts w:hint="eastAsia" w:ascii="Times New Roman" w:hAnsi="Times New Roman" w:eastAsia="宋体" w:cs="Times New Roman"/>
          <w:color w:val="auto"/>
          <w:sz w:val="24"/>
          <w:szCs w:val="24"/>
        </w:rPr>
        <w:t>亩&gt;理论需要消纳土地面积</w:t>
      </w:r>
      <w:r>
        <w:rPr>
          <w:rFonts w:hint="eastAsia" w:ascii="Times New Roman" w:hAnsi="Times New Roman" w:eastAsia="宋体" w:cs="Times New Roman"/>
          <w:color w:val="auto"/>
          <w:sz w:val="24"/>
          <w:szCs w:val="24"/>
          <w:lang w:val="en-US" w:eastAsia="zh-CN"/>
        </w:rPr>
        <w:t>854</w:t>
      </w:r>
      <w:r>
        <w:rPr>
          <w:rFonts w:hint="eastAsia" w:ascii="Times New Roman" w:hAnsi="Times New Roman" w:eastAsia="宋体" w:cs="Times New Roman"/>
          <w:color w:val="auto"/>
          <w:sz w:val="24"/>
          <w:szCs w:val="24"/>
        </w:rPr>
        <w:t>亩（消纳土地内主要为林地，在灌溉保证率达到90%的情况下，</w:t>
      </w:r>
      <w:r>
        <w:rPr>
          <w:rFonts w:hint="eastAsia" w:ascii="Times New Roman" w:hAnsi="Times New Roman" w:eastAsia="宋体" w:cs="Times New Roman"/>
          <w:color w:val="auto"/>
          <w:sz w:val="24"/>
          <w:szCs w:val="24"/>
          <w:lang w:eastAsia="zh-CN"/>
        </w:rPr>
        <w:t>按</w:t>
      </w:r>
      <w:r>
        <w:rPr>
          <w:rFonts w:hint="eastAsia" w:ascii="Times New Roman" w:hAnsi="Times New Roman" w:eastAsia="宋体" w:cs="Times New Roman"/>
          <w:color w:val="auto"/>
          <w:sz w:val="24"/>
          <w:szCs w:val="24"/>
        </w:rPr>
        <w:t>平均灌溉需水量约为100m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 xml:space="preserve"> /亩计算），可满足本项目的需要</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废水经处理后全部循环回用，不外排，不会对周边地表水环境造成明显不利影响。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（2）养分可行性</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废水中的N、P元素为植物所需营养元素，本项目废水用于</w:t>
      </w:r>
      <w:r>
        <w:rPr>
          <w:rFonts w:hint="eastAsia" w:ascii="Times New Roman" w:hAnsi="Times New Roman" w:eastAsia="宋体" w:cs="Times New Roman"/>
          <w:color w:val="auto"/>
          <w:sz w:val="24"/>
          <w:szCs w:val="24"/>
          <w:lang w:eastAsia="zh-CN"/>
        </w:rPr>
        <w:t>林地</w:t>
      </w:r>
      <w:r>
        <w:rPr>
          <w:rFonts w:hint="eastAsia" w:ascii="Times New Roman" w:hAnsi="Times New Roman" w:eastAsia="宋体" w:cs="Times New Roman"/>
          <w:color w:val="auto"/>
          <w:sz w:val="24"/>
          <w:szCs w:val="24"/>
        </w:rPr>
        <w:t>灌溉后，N、P元素可被植物吸收。本项目污水处理站出水全部用作</w:t>
      </w:r>
      <w:r>
        <w:rPr>
          <w:rFonts w:hint="eastAsia" w:ascii="Times New Roman" w:hAnsi="Times New Roman" w:eastAsia="宋体" w:cs="Times New Roman"/>
          <w:color w:val="auto"/>
          <w:sz w:val="24"/>
          <w:szCs w:val="24"/>
          <w:lang w:eastAsia="zh-CN"/>
        </w:rPr>
        <w:t>厂区内及周边林地</w:t>
      </w:r>
      <w:r>
        <w:rPr>
          <w:rFonts w:hint="eastAsia" w:ascii="Times New Roman" w:hAnsi="Times New Roman" w:eastAsia="宋体" w:cs="Times New Roman"/>
          <w:color w:val="auto"/>
          <w:sz w:val="24"/>
          <w:szCs w:val="24"/>
        </w:rPr>
        <w:t>浇灌，结合项目所在区域土壤肥力和环境容量，并查阅相关资料确定本项目消纳土地每年每公顷施氮</w:t>
      </w:r>
      <w:r>
        <w:rPr>
          <w:rFonts w:hint="eastAsia" w:ascii="Times New Roman" w:hAnsi="Times New Roman" w:eastAsia="宋体" w:cs="Times New Roman"/>
          <w:color w:val="auto"/>
          <w:sz w:val="24"/>
          <w:szCs w:val="24"/>
          <w:lang w:val="en-US" w:eastAsia="zh-CN"/>
        </w:rPr>
        <w:t>90</w:t>
      </w:r>
      <w:r>
        <w:rPr>
          <w:rFonts w:hint="eastAsia" w:ascii="Times New Roman" w:hAnsi="Times New Roman" w:eastAsia="宋体" w:cs="Times New Roman"/>
          <w:color w:val="auto"/>
          <w:sz w:val="24"/>
          <w:szCs w:val="24"/>
        </w:rPr>
        <w:t>kg，施磷量</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0kg。根据水平衡可知，本项目内</w:t>
      </w:r>
      <w:r>
        <w:rPr>
          <w:rFonts w:hint="eastAsia" w:ascii="Times New Roman" w:hAnsi="Times New Roman" w:eastAsia="宋体" w:cs="Times New Roman"/>
          <w:color w:val="auto"/>
          <w:sz w:val="24"/>
          <w:szCs w:val="24"/>
          <w:lang w:eastAsia="zh-CN"/>
        </w:rPr>
        <w:t>除去猪舍冲洗</w:t>
      </w:r>
      <w:r>
        <w:rPr>
          <w:rFonts w:hint="eastAsia" w:ascii="Times New Roman" w:hAnsi="Times New Roman" w:eastAsia="宋体" w:cs="Times New Roman"/>
          <w:color w:val="auto"/>
          <w:sz w:val="24"/>
          <w:szCs w:val="24"/>
        </w:rPr>
        <w:t>用水后，用于消纳土地浇灌用水量为</w:t>
      </w:r>
      <w:r>
        <w:rPr>
          <w:rFonts w:hint="eastAsia" w:ascii="Times New Roman" w:hAnsi="Times New Roman" w:eastAsia="宋体" w:cs="Times New Roman"/>
          <w:color w:val="auto"/>
          <w:sz w:val="24"/>
          <w:szCs w:val="24"/>
          <w:lang w:val="en-US" w:eastAsia="zh-CN"/>
        </w:rPr>
        <w:t>200.42</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73153.3</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/a），则废水中氮为</w:t>
      </w:r>
      <w:r>
        <w:rPr>
          <w:rFonts w:hint="eastAsia" w:ascii="Times New Roman" w:hAnsi="Times New Roman" w:eastAsia="宋体" w:cs="Times New Roman"/>
          <w:color w:val="auto"/>
          <w:sz w:val="24"/>
          <w:szCs w:val="24"/>
          <w:lang w:val="en-US" w:eastAsia="zh-CN"/>
        </w:rPr>
        <w:t>5852.2</w:t>
      </w:r>
      <w:r>
        <w:rPr>
          <w:rFonts w:hint="eastAsia" w:ascii="Times New Roman" w:hAnsi="Times New Roman" w:eastAsia="宋体" w:cs="Times New Roman"/>
          <w:color w:val="auto"/>
          <w:sz w:val="24"/>
          <w:szCs w:val="24"/>
        </w:rPr>
        <w:t>kg/a，磷为</w:t>
      </w:r>
      <w:r>
        <w:rPr>
          <w:rFonts w:hint="eastAsia" w:ascii="Times New Roman" w:hAnsi="Times New Roman" w:eastAsia="宋体" w:cs="Times New Roman"/>
          <w:color w:val="auto"/>
          <w:sz w:val="24"/>
          <w:szCs w:val="24"/>
          <w:lang w:val="en-US" w:eastAsia="zh-CN"/>
        </w:rPr>
        <w:t>585.2</w:t>
      </w:r>
      <w:r>
        <w:rPr>
          <w:rFonts w:hint="eastAsia" w:ascii="Times New Roman" w:hAnsi="Times New Roman" w:eastAsia="宋体" w:cs="Times New Roman"/>
          <w:color w:val="auto"/>
          <w:sz w:val="24"/>
          <w:szCs w:val="24"/>
        </w:rPr>
        <w:t>kg/a，通过计算可知，消纳本项目废水中的氮至少需要</w:t>
      </w:r>
      <w:r>
        <w:rPr>
          <w:rFonts w:hint="eastAsia" w:ascii="Times New Roman" w:hAnsi="Times New Roman" w:eastAsia="宋体" w:cs="Times New Roman"/>
          <w:color w:val="auto"/>
          <w:sz w:val="24"/>
          <w:szCs w:val="24"/>
          <w:lang w:val="en-US" w:eastAsia="zh-CN"/>
        </w:rPr>
        <w:t>975.37</w:t>
      </w:r>
      <w:r>
        <w:rPr>
          <w:rFonts w:hint="eastAsia" w:ascii="Times New Roman" w:hAnsi="Times New Roman" w:eastAsia="宋体" w:cs="Times New Roman"/>
          <w:color w:val="auto"/>
          <w:sz w:val="24"/>
          <w:szCs w:val="24"/>
        </w:rPr>
        <w:t>亩林地，消纳废水中的磷至少需要</w:t>
      </w:r>
      <w:r>
        <w:rPr>
          <w:rFonts w:hint="eastAsia" w:ascii="Times New Roman" w:hAnsi="Times New Roman" w:eastAsia="宋体" w:cs="Times New Roman"/>
          <w:color w:val="auto"/>
          <w:sz w:val="24"/>
          <w:szCs w:val="24"/>
          <w:lang w:val="en-US" w:eastAsia="zh-CN"/>
        </w:rPr>
        <w:t>292.6</w:t>
      </w:r>
      <w:r>
        <w:rPr>
          <w:rFonts w:hint="eastAsia" w:ascii="Times New Roman" w:hAnsi="Times New Roman" w:eastAsia="宋体" w:cs="Times New Roman"/>
          <w:color w:val="auto"/>
          <w:sz w:val="24"/>
          <w:szCs w:val="24"/>
        </w:rPr>
        <w:t>亩林地，而</w:t>
      </w:r>
      <w:r>
        <w:rPr>
          <w:rFonts w:hint="eastAsia" w:ascii="Times New Roman" w:hAnsi="Times New Roman" w:eastAsia="宋体" w:cs="Times New Roman"/>
          <w:color w:val="auto"/>
          <w:sz w:val="24"/>
          <w:szCs w:val="24"/>
          <w:lang w:eastAsia="zh-CN"/>
        </w:rPr>
        <w:t>消纳面积约</w:t>
      </w:r>
      <w:r>
        <w:rPr>
          <w:rFonts w:hint="eastAsia" w:ascii="Times New Roman" w:hAnsi="Times New Roman" w:eastAsia="宋体" w:cs="Times New Roman"/>
          <w:color w:val="auto"/>
          <w:sz w:val="24"/>
          <w:szCs w:val="24"/>
          <w:lang w:val="en-US" w:eastAsia="zh-CN"/>
        </w:rPr>
        <w:t>1194</w:t>
      </w:r>
      <w:r>
        <w:rPr>
          <w:rFonts w:hint="eastAsia" w:ascii="Times New Roman" w:hAnsi="Times New Roman" w:eastAsia="宋体" w:cs="Times New Roman"/>
          <w:color w:val="auto"/>
          <w:sz w:val="24"/>
          <w:szCs w:val="24"/>
        </w:rPr>
        <w:t>亩土地。因此，本项目消纳区完全有能力消纳本项目产生的废水，从养分消纳角度分析可行。</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非灌溉期</w:t>
      </w:r>
      <w:r>
        <w:rPr>
          <w:rFonts w:hint="eastAsia" w:ascii="Times New Roman" w:hAnsi="Times New Roman" w:eastAsia="宋体" w:cs="Times New Roman"/>
          <w:color w:val="auto"/>
          <w:sz w:val="24"/>
          <w:szCs w:val="24"/>
          <w:lang w:val="en-US" w:eastAsia="zh-CN"/>
        </w:rPr>
        <w:t>/雨期废水</w:t>
      </w:r>
      <w:r>
        <w:rPr>
          <w:rFonts w:hint="eastAsia" w:ascii="Times New Roman" w:hAnsi="Times New Roman" w:eastAsia="宋体" w:cs="Times New Roman"/>
          <w:color w:val="auto"/>
          <w:sz w:val="24"/>
          <w:szCs w:val="24"/>
          <w:lang w:eastAsia="zh-CN"/>
        </w:rPr>
        <w:t>存储</w:t>
      </w:r>
      <w:r>
        <w:rPr>
          <w:rFonts w:hint="eastAsia" w:ascii="Times New Roman" w:hAnsi="Times New Roman" w:eastAsia="宋体" w:cs="Times New Roman"/>
          <w:color w:val="auto"/>
          <w:sz w:val="24"/>
          <w:szCs w:val="24"/>
        </w:rPr>
        <w:t>可行性</w:t>
      </w:r>
    </w:p>
    <w:p>
      <w:pPr>
        <w:spacing w:line="360" w:lineRule="auto"/>
        <w:ind w:firstLine="480" w:firstLineChars="200"/>
        <w:rPr>
          <w:rFonts w:hint="eastAsia"/>
          <w:color w:val="auto"/>
        </w:rPr>
      </w:pPr>
      <w:r>
        <w:rPr>
          <w:rFonts w:hint="eastAsia" w:ascii="Times New Roman" w:hAnsi="Times New Roman" w:eastAsia="宋体" w:cs="Times New Roman"/>
          <w:color w:val="auto"/>
          <w:sz w:val="24"/>
          <w:szCs w:val="24"/>
        </w:rPr>
        <w:t>按照《畜禽养殖业污染治理工程技术规范》（HJ497-2009）中 6.1.2.3“不得小于30d”的要求，确定本项目废水储存池容积不得低于</w:t>
      </w:r>
      <w:r>
        <w:rPr>
          <w:rFonts w:hint="eastAsia" w:ascii="Times New Roman" w:hAnsi="Times New Roman" w:eastAsia="宋体" w:cs="Times New Roman"/>
          <w:color w:val="auto"/>
          <w:sz w:val="24"/>
          <w:szCs w:val="24"/>
          <w:lang w:val="en-US" w:eastAsia="zh-CN"/>
        </w:rPr>
        <w:t>4686.6</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。非灌溉期污水处理站出水暂存该池子内，待灌溉期来临进入继续用于</w:t>
      </w:r>
      <w:r>
        <w:rPr>
          <w:rFonts w:hint="eastAsia" w:ascii="Times New Roman" w:hAnsi="Times New Roman" w:eastAsia="宋体" w:cs="Times New Roman"/>
          <w:color w:val="auto"/>
          <w:sz w:val="24"/>
          <w:szCs w:val="24"/>
          <w:lang w:eastAsia="zh-CN"/>
        </w:rPr>
        <w:t>林地</w:t>
      </w:r>
      <w:r>
        <w:rPr>
          <w:rFonts w:hint="eastAsia" w:ascii="Times New Roman" w:hAnsi="Times New Roman" w:eastAsia="宋体" w:cs="Times New Roman"/>
          <w:color w:val="auto"/>
          <w:sz w:val="24"/>
          <w:szCs w:val="24"/>
        </w:rPr>
        <w:t>灌溉。本项目拟在厂区中部设置容积为8000m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的暂存池，顶部加盖防雨，能够满足HJ497-2009要求。</w:t>
      </w:r>
    </w:p>
    <w:p>
      <w:pPr>
        <w:pStyle w:val="8"/>
        <w:rPr>
          <w:rFonts w:hint="eastAsia" w:cs="Times New Roman"/>
          <w:color w:val="auto"/>
          <w:lang w:val="en-US" w:eastAsia="zh-CN"/>
        </w:rPr>
      </w:pPr>
      <w:r>
        <w:rPr>
          <w:rFonts w:hint="eastAsia" w:cs="Times New Roman"/>
          <w:color w:val="auto"/>
          <w:lang w:val="en-US" w:eastAsia="zh-CN"/>
        </w:rPr>
        <w:t>废水处理措施可行性分析</w:t>
      </w:r>
    </w:p>
    <w:p>
      <w:pPr>
        <w:pStyle w:val="110"/>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1、技术可行性</w:t>
      </w:r>
    </w:p>
    <w:p>
      <w:pPr>
        <w:pStyle w:val="11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本项目废水处理措施根据设计进水水质和出水水质要求，选择合适的污水处理工艺。对进水水质，重点考虑其规模（设计规模为</w:t>
      </w:r>
      <w:r>
        <w:rPr>
          <w:rFonts w:hint="eastAsia" w:ascii="Times New Roman" w:hAnsi="Times New Roman" w:eastAsia="宋体" w:cs="Times New Roman"/>
          <w:color w:val="auto"/>
          <w:lang w:val="en-US" w:eastAsia="zh-CN"/>
        </w:rPr>
        <w:t>700</w:t>
      </w:r>
      <w:r>
        <w:rPr>
          <w:rFonts w:hint="default" w:ascii="Times New Roman" w:hAnsi="Times New Roman" w:eastAsia="宋体" w:cs="Times New Roman"/>
          <w:color w:val="auto"/>
        </w:rPr>
        <w:t>m3/d），有机物负荷；对出水水质，重点考虑对氨氮、有机物等相关指标的去除率。本方案处理方法主要采用“</w:t>
      </w:r>
      <w:r>
        <w:rPr>
          <w:rFonts w:hint="eastAsia" w:ascii="Times New Roman" w:hAnsi="Times New Roman" w:eastAsia="宋体" w:cs="Times New Roman"/>
          <w:color w:val="auto"/>
          <w:sz w:val="24"/>
          <w:szCs w:val="24"/>
        </w:rPr>
        <w:t>固液分离+UASB厌氧+絮凝沉淀+两级A/O系统+混凝絮凝沉淀+消毒</w:t>
      </w:r>
      <w:r>
        <w:rPr>
          <w:rFonts w:hint="default" w:ascii="Times New Roman" w:hAnsi="Times New Roman" w:eastAsia="宋体" w:cs="Times New Roman"/>
          <w:color w:val="auto"/>
        </w:rPr>
        <w:t>”的处理工艺进行治理。该处理工艺经实际工程反复验证，设备运行稳定、出水水质稳定。</w:t>
      </w:r>
    </w:p>
    <w:p>
      <w:pPr>
        <w:pStyle w:val="11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根据第5.2.</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章节地表水环境影响预测评价控制，</w:t>
      </w:r>
      <w:r>
        <w:rPr>
          <w:rFonts w:hint="eastAsia" w:ascii="Times New Roman" w:hAnsi="Times New Roman" w:eastAsia="宋体" w:cs="Times New Roman"/>
          <w:color w:val="auto"/>
          <w:sz w:val="24"/>
          <w:szCs w:val="24"/>
        </w:rPr>
        <w:t>本项目废水用于</w:t>
      </w:r>
      <w:r>
        <w:rPr>
          <w:rFonts w:hint="eastAsia" w:ascii="Times New Roman" w:hAnsi="Times New Roman" w:eastAsia="宋体" w:cs="Times New Roman"/>
          <w:color w:val="auto"/>
          <w:sz w:val="24"/>
          <w:szCs w:val="24"/>
          <w:lang w:eastAsia="zh-CN"/>
        </w:rPr>
        <w:t>林地</w:t>
      </w:r>
      <w:r>
        <w:rPr>
          <w:rFonts w:hint="eastAsia" w:ascii="Times New Roman" w:hAnsi="Times New Roman" w:eastAsia="宋体" w:cs="Times New Roman"/>
          <w:color w:val="auto"/>
          <w:sz w:val="24"/>
          <w:szCs w:val="24"/>
        </w:rPr>
        <w:t>灌溉后，N、P元素可被植物吸收</w:t>
      </w:r>
      <w:r>
        <w:rPr>
          <w:rFonts w:hint="default" w:ascii="Times New Roman" w:hAnsi="Times New Roman" w:eastAsia="宋体" w:cs="Times New Roman"/>
          <w:color w:val="auto"/>
        </w:rPr>
        <w:t>。环评要求企业应制定科学合理的施肥制度，严格按照当地土壤承纳能力实施施肥，防治任意施肥造成的磷素污染地下水和土壤，造成土壤盐碱化。</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按照《畜禽养殖业污染治理工程技术规范》（HJ497-2009）中 6.1.2.3“不得小于30d”的要求，确定本项目废水储存池容积不得低于</w:t>
      </w:r>
      <w:r>
        <w:rPr>
          <w:rFonts w:hint="eastAsia" w:ascii="Times New Roman" w:hAnsi="Times New Roman" w:eastAsia="宋体" w:cs="Times New Roman"/>
          <w:color w:val="auto"/>
          <w:sz w:val="24"/>
          <w:szCs w:val="24"/>
          <w:lang w:val="en-US" w:eastAsia="zh-CN"/>
        </w:rPr>
        <w:t>4686.6</w:t>
      </w:r>
      <w:r>
        <w:rPr>
          <w:rFonts w:hint="eastAsia"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。非灌溉期污水处理站出水暂存该池子内，待灌溉期来临进入继续用于</w:t>
      </w:r>
      <w:r>
        <w:rPr>
          <w:rFonts w:hint="eastAsia" w:ascii="Times New Roman" w:hAnsi="Times New Roman" w:eastAsia="宋体" w:cs="Times New Roman"/>
          <w:color w:val="auto"/>
          <w:sz w:val="24"/>
          <w:szCs w:val="24"/>
          <w:lang w:eastAsia="zh-CN"/>
        </w:rPr>
        <w:t>林地</w:t>
      </w:r>
      <w:r>
        <w:rPr>
          <w:rFonts w:hint="eastAsia" w:ascii="Times New Roman" w:hAnsi="Times New Roman" w:eastAsia="宋体" w:cs="Times New Roman"/>
          <w:color w:val="auto"/>
          <w:sz w:val="24"/>
          <w:szCs w:val="24"/>
        </w:rPr>
        <w:t>灌溉。本项目拟在厂区中部设置容积为8000m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的暂存池，顶部加盖防雨，能够满足HJ497-2009要求。</w:t>
      </w:r>
    </w:p>
    <w:p>
      <w:pPr>
        <w:pStyle w:val="11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综上所述养殖场粪污全部实现综合利用，不会对周围地表水环境造成影响。</w:t>
      </w:r>
    </w:p>
    <w:p>
      <w:pPr>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2、经济可行性</w:t>
      </w:r>
    </w:p>
    <w:p>
      <w:pPr>
        <w:pStyle w:val="110"/>
        <w:spacing w:line="36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本项目水处理工程竣工运行后，主要为社会效益，厂区养殖废水中含有大量有害物，对人类和动物会造成直接或间接危害。通过对原废水的治理后，大大减少对土资源、水资源和大气资源的污染，清除疾病传播源，有利于人民对土资源、水资源的利用，更有利于人们的身心健康，促进社会的文明进步，间接的产生巨大的社会效益。同时可减少污染赔偿费及超标排污费，并可产生大量沼气能源和生物肥原料，节约施肥成本。</w:t>
      </w:r>
    </w:p>
    <w:p>
      <w:pPr>
        <w:pStyle w:val="110"/>
        <w:spacing w:line="360" w:lineRule="auto"/>
        <w:rPr>
          <w:rFonts w:hint="default" w:ascii="Times New Roman" w:hAnsi="Times New Roman" w:eastAsia="宋体" w:cs="Times New Roman"/>
          <w:color w:val="auto"/>
        </w:rPr>
      </w:pPr>
      <w:r>
        <w:rPr>
          <w:rFonts w:hint="eastAsia" w:ascii="Times New Roman" w:hAnsi="Times New Roman" w:eastAsia="宋体" w:cs="Times New Roman"/>
          <w:color w:val="auto"/>
        </w:rPr>
        <w:t>综上所述，项目废水污染防治措施有效，一次性投资后运行费用较低，技术经济可行。</w:t>
      </w:r>
    </w:p>
    <w:p>
      <w:pPr>
        <w:pStyle w:val="7"/>
        <w:spacing w:before="0" w:after="0" w:line="360" w:lineRule="auto"/>
        <w:ind w:left="0" w:firstLine="0"/>
        <w:rPr>
          <w:rFonts w:hint="default" w:cs="Times New Roman"/>
          <w:color w:val="auto"/>
          <w:lang w:val="en-US" w:eastAsia="zh-CN"/>
        </w:rPr>
      </w:pPr>
      <w:bookmarkStart w:id="273" w:name="_Toc3377"/>
      <w:r>
        <w:rPr>
          <w:rFonts w:hint="default" w:cs="Times New Roman"/>
          <w:color w:val="auto"/>
          <w:lang w:val="en-US" w:eastAsia="zh-CN"/>
        </w:rPr>
        <w:t>地下水污染防治措施论证</w:t>
      </w:r>
      <w:bookmarkEnd w:id="273"/>
    </w:p>
    <w:p>
      <w:pPr>
        <w:tabs>
          <w:tab w:val="left" w:pos="1220"/>
        </w:tabs>
        <w:spacing w:line="360" w:lineRule="auto"/>
        <w:ind w:firstLine="475" w:firstLineChars="198"/>
        <w:rPr>
          <w:rStyle w:val="2505"/>
          <w:rFonts w:hint="eastAsia" w:ascii="Times New Roman" w:hAnsi="Times New Roman" w:eastAsia="宋体"/>
          <w:color w:val="auto"/>
          <w:lang w:eastAsia="zh-CN"/>
        </w:rPr>
      </w:pPr>
      <w:r>
        <w:rPr>
          <w:rStyle w:val="2505"/>
          <w:rFonts w:hint="default" w:ascii="Times New Roman" w:hAnsi="Times New Roman"/>
          <w:color w:val="auto"/>
        </w:rPr>
        <w:t>本项目产生的废水中有机物含量高，且含有大量粪大肠菌群，为防止废水传输过程中以及处理过程中跑、冒、滴、漏等对项目区地下水及土壤的污染，项目采取分区防渗措施，设重点防渗区、一般防渗区、简单防渗区</w:t>
      </w:r>
      <w:r>
        <w:rPr>
          <w:rStyle w:val="2505"/>
          <w:rFonts w:hint="eastAsia" w:ascii="Times New Roman" w:hAnsi="Times New Roman" w:eastAsia="宋体"/>
          <w:color w:val="auto"/>
          <w:lang w:eastAsia="zh-CN"/>
        </w:rPr>
        <w:t>。</w:t>
      </w:r>
    </w:p>
    <w:p>
      <w:pPr>
        <w:tabs>
          <w:tab w:val="left" w:pos="1220"/>
        </w:tabs>
        <w:spacing w:line="360" w:lineRule="auto"/>
        <w:ind w:firstLine="475" w:firstLineChars="198"/>
        <w:rPr>
          <w:rStyle w:val="2505"/>
          <w:rFonts w:hint="default" w:ascii="Times New Roman" w:hAnsi="Times New Roman"/>
          <w:color w:val="auto"/>
        </w:rPr>
      </w:pPr>
      <w:r>
        <w:rPr>
          <w:rFonts w:hint="eastAsia" w:ascii="Times New Roman" w:hAnsi="Times New Roman" w:cs="Times New Roman"/>
          <w:color w:val="auto"/>
          <w:sz w:val="24"/>
          <w:szCs w:val="24"/>
        </w:rPr>
        <w:t>根据《畜禽养殖污水贮存设施设计要求》（GB/T 26624-2011），污水贮存设施内壁和底面应做防渗处理，具体参见GB50069相关规定执行。根据《给水排水工程构筑物结构设计规范》（GB50069-2002）规定：①贮水或水处理构筑物、地下构筑物，一般宜采用钢筋混凝土结构；当容量较小且容量较小且安全等级低于二级时，可采用砖石结构。②贮水或水处理构筑物、地下构筑物的混凝土强度等级不应低于C25。</w:t>
      </w:r>
      <w:r>
        <w:rPr>
          <w:rFonts w:hint="eastAsia" w:ascii="宋体" w:hAnsi="宋体" w:eastAsia="宋体" w:cs="宋体"/>
          <w:color w:val="auto"/>
          <w:sz w:val="24"/>
          <w:szCs w:val="24"/>
        </w:rPr>
        <w:t>③贮水或水处理构筑物、地下构筑物的砖石砌体材料，应符合下列要求：砖应采用普通黏土机制砖，其强度等级不应低于MU10；石材强度等级不应低于MU30；砌筑砂浆应采用水泥砂浆，并不应低于M10。</w:t>
      </w:r>
    </w:p>
    <w:p>
      <w:pPr>
        <w:spacing w:line="360" w:lineRule="auto"/>
        <w:ind w:firstLine="480"/>
        <w:rPr>
          <w:rStyle w:val="2505"/>
          <w:rFonts w:hint="default" w:ascii="Times New Roman" w:hAnsi="Times New Roman"/>
          <w:color w:val="auto"/>
        </w:rPr>
      </w:pPr>
      <w:r>
        <w:rPr>
          <w:rStyle w:val="2505"/>
          <w:rFonts w:hint="default" w:ascii="Times New Roman" w:hAnsi="Times New Roman"/>
          <w:color w:val="auto"/>
        </w:rPr>
        <w:t>具体措施如下：</w:t>
      </w:r>
    </w:p>
    <w:p>
      <w:pPr>
        <w:pStyle w:val="2503"/>
        <w:numPr>
          <w:ilvl w:val="0"/>
          <w:numId w:val="40"/>
        </w:numPr>
        <w:spacing w:before="120"/>
        <w:ind w:left="425" w:leftChars="0" w:hanging="425"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项目分区建议防渗方案一览表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1"/>
        <w:gridCol w:w="2251"/>
        <w:gridCol w:w="44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生产单元</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防渗级别</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b w:val="0"/>
                <w:bCs w:val="0"/>
                <w:color w:val="auto"/>
                <w:sz w:val="21"/>
                <w:szCs w:val="21"/>
                <w:lang w:val="en-US" w:eastAsia="zh-CN"/>
              </w:rPr>
              <w:t>粪污管道（埋地</w:t>
            </w:r>
            <w:r>
              <w:rPr>
                <w:rFonts w:hint="default" w:ascii="Times New Roman" w:hAnsi="Times New Roman" w:eastAsia="宋体" w:cs="Times New Roman"/>
                <w:b w:val="0"/>
                <w:bCs w:val="0"/>
                <w:color w:val="auto"/>
                <w:sz w:val="21"/>
                <w:szCs w:val="21"/>
              </w:rPr>
              <w:t>）</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粪污输送全部采用管道输送，管道材料应视输送介质的不同选择合适材质并做表面的防腐、防锈蚀处理，减轻管道腐蚀造成的渗漏，并进行定期检查，防止跑冒漏滴的现象发生。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污水处理区（污水处理设施）</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池体采用钢筋混凝土加防渗剂的防渗地坪+人工材料（HDPE）防渗层，确保等效黏土防渗层 Mb≥6.0m，K≤1×10-7cm/s。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兽药室、粪肥储存间、粪便脱水间</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混凝土地面加铺防渗剂和人工材料（HDPE）防渗层，确保等效黏土防渗层 Mb≥6.0m，K≤1×10-7cm/s。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危险废物暂存间</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混凝土地面加铺防渗剂和人工材料（HDPE）防渗层，确保等效黏土防渗层 Mb≥6.0m，K≤1×10-10cm/s。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发电机房及储油间</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重点防渗区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柴油储存于发电机房油缸间的液压油缸内，油缸为防渗油缸，地面采用钢筋混凝土+人工材料（HDPE）防渗层，确保等效黏土防渗层 Mb≥6.0m，K≤1×10-7cm/s。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4"/>
                <w:szCs w:val="24"/>
              </w:rPr>
              <w:t>圈舍、生活垃圾暂存间、化粪池、隔油池</w:t>
            </w:r>
          </w:p>
        </w:tc>
        <w:tc>
          <w:tcPr>
            <w:tcW w:w="132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一般防渗区</w:t>
            </w:r>
          </w:p>
        </w:tc>
        <w:tc>
          <w:tcPr>
            <w:tcW w:w="26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采用防渗混泥土进行防渗处理，地面采取钢筋混泥土+防渗涂料，确保等效黏土防渗层Mb≥1.5m，防渗系数K≤10-7cm/s。</w:t>
            </w:r>
          </w:p>
        </w:tc>
      </w:tr>
    </w:tbl>
    <w:p>
      <w:pPr>
        <w:tabs>
          <w:tab w:val="left" w:pos="1220"/>
        </w:tabs>
        <w:ind w:firstLine="475" w:firstLineChars="198"/>
        <w:rPr>
          <w:rFonts w:hint="default" w:ascii="Times New Roman" w:hAnsi="Times New Roman" w:eastAsia="宋体" w:cs="Times New Roman"/>
          <w:color w:val="auto"/>
        </w:rPr>
      </w:pPr>
      <w:r>
        <w:rPr>
          <w:rStyle w:val="2505"/>
          <w:rFonts w:hint="default" w:ascii="Times New Roman" w:hAnsi="Times New Roman"/>
          <w:color w:val="auto"/>
        </w:rPr>
        <w:t>采取上述措施后，可有效防止地下水污染，不会对区域地下水造成明显影响。项目地下水污染防治措施有效，经济技术可行。</w:t>
      </w:r>
    </w:p>
    <w:p>
      <w:pPr>
        <w:pStyle w:val="7"/>
        <w:spacing w:before="0" w:after="0" w:line="360" w:lineRule="auto"/>
        <w:ind w:left="0" w:firstLine="0"/>
        <w:rPr>
          <w:rFonts w:hint="default" w:cs="Times New Roman"/>
          <w:color w:val="auto"/>
          <w:lang w:val="en-US" w:eastAsia="zh-CN"/>
        </w:rPr>
      </w:pPr>
      <w:bookmarkStart w:id="274" w:name="_Toc18382"/>
      <w:r>
        <w:rPr>
          <w:rFonts w:hint="default" w:cs="Times New Roman"/>
          <w:color w:val="auto"/>
          <w:lang w:val="en-US" w:eastAsia="zh-CN"/>
        </w:rPr>
        <w:t>废气治理措施论证</w:t>
      </w:r>
      <w:bookmarkEnd w:id="274"/>
    </w:p>
    <w:p>
      <w:pPr>
        <w:pStyle w:val="8"/>
        <w:rPr>
          <w:rFonts w:hint="eastAsia" w:cs="Times New Roman"/>
          <w:color w:val="auto"/>
          <w:lang w:val="en-US" w:eastAsia="zh-CN"/>
        </w:rPr>
      </w:pPr>
      <w:r>
        <w:rPr>
          <w:rFonts w:hint="eastAsia" w:cs="Times New Roman"/>
          <w:color w:val="auto"/>
          <w:lang w:val="en-US" w:eastAsia="zh-CN"/>
        </w:rPr>
        <w:t>恶臭治理措施分析论证</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1、恶臭污染防治措施技术可行性</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由于猪舍的恶臭污染源很分散，集中处理困难，最有效的控制方法是预防为主，在恶臭产生的源头处理。根据《畜禽养殖业污染治理工程技术规范》（HJ497-2009）及《畜禽养殖业污染防治技术规范》（HJ/T81-2001）相关要求，结合本项目生产实际，本评价主要提出如下措施减少恶臭污染物的产生：</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（1）源头控制</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①通过控制饲养密度，并保持舍内通风，及时清理猪舍，猪粪等应及时加工和外运，尽量减少其在场内的堆存时间和堆存量。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②设计日粮组成提高饲料利用率，尤其是氮的利用率，同时可降低猪排泄物中氮的含量及恶臭气体的排放。</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③氨基酸平衡，选择低的蛋白质日粮。补充合成氨基酸，提高蛋白质及其他营养的吸收效率，减少氨气排放量和粪便的产生量。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④饲料中添加EM通过饲料中添加EM，并合理搭配饲料。EM是新型复合微生物菌剂，含有光合细菌群。光合细菌群作为有益菌群，一方面抑制了腐败细菌的生长，改善有机物的分解途径，减少NH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和H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S的释放量和胺类物质的产生；另一方面它又可利用H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S作氢的受体，消耗H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S，从而减少恶臭量。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经查阅资料，大量实验表明EM微生物对粪便具有明显的除臭作用。其除臭的主要机理为：动物摄入大量的有益微生物在胃肠道内形成了生态优势抑制了腐败菌的活动，促进营养物质的消化吸收，防止产生有害物质氨和胺，使粪便在动物的体内臭味有所减轻；摄入的有益微生物和撒在地面上的有益微生物生长繁殖时能以硫化氢等物质为营养，这样由腐败产生的氨被这些微生物吸收了一部分。另外EM微生物在除臭过程中，能有效地保持猪粪中N、P、K及有机质养分，亦有提高肥效的作用。</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（2）过程控制</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①加强猪舍管理。本项目猪舍为干清粪猪舍，猪尿及时排至固液分离处，猪舍干粪每日清扫，通过减少粪便的停留时间和覆盖面积，可大大降低猪舍恶臭气体产生；</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猪舍恶臭负压收集。本项目的猪舍夏季采用水帘风机通风降温(其它季节不需降温，循环水池内空置，仅保持风机送风)，封闭性较好。水帘风机安装会使整个猪舍形成微负压，猪舍外的空气穿过水帘后被吸入猪舍，带着猪舍内的气体经风机排出室外，故本项目恶臭亦随气流由风机排出，不会呈无组织向四周扩散。</w:t>
      </w:r>
    </w:p>
    <w:p>
      <w:pPr>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③</w:t>
      </w:r>
      <w:r>
        <w:rPr>
          <w:rFonts w:hint="eastAsia" w:ascii="Times New Roman" w:hAnsi="Times New Roman" w:eastAsia="宋体" w:cs="Times New Roman"/>
          <w:color w:val="auto"/>
          <w:sz w:val="24"/>
          <w:szCs w:val="24"/>
        </w:rPr>
        <w:t>加强布置按功能区进行相应划分，各构筑物之间设绿化隔离带，利用绿色植物的吸收作用，以减少恶臭气体的逸散，减轻恶臭对周围环境的影响。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（3）末端治理</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产生的恶臭用多种化学和生物产品来控制恶臭。评价建议夏季高温天气在养殖区、污水处理站喷洒除臭剂进行处理，多用强氧化剂和杀菌剂等消除微生物产生的臭味或化学氧化臭味物质。对于</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，喷洒除臭剂除臭。</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采取上述措施处理后，可有效减轻项目恶臭污染影响，根据预测结果，本项目猪舍、污水处理站、</w:t>
      </w:r>
      <w:r>
        <w:rPr>
          <w:rFonts w:hint="eastAsia" w:ascii="Times New Roman" w:hAnsi="Times New Roman" w:eastAsia="宋体" w:cs="Times New Roman"/>
          <w:color w:val="auto"/>
          <w:sz w:val="24"/>
          <w:szCs w:val="24"/>
          <w:lang w:eastAsia="zh-CN"/>
        </w:rPr>
        <w:t>堆肥车间</w:t>
      </w:r>
      <w:r>
        <w:rPr>
          <w:rFonts w:hint="eastAsia" w:ascii="Times New Roman" w:hAnsi="Times New Roman" w:eastAsia="宋体" w:cs="Times New Roman"/>
          <w:color w:val="auto"/>
          <w:sz w:val="24"/>
          <w:szCs w:val="24"/>
        </w:rPr>
        <w:t>下风向NH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S厂界最大贡献值满足《恶臭污染物排放标准》（GB14554-93）中表1新扩改建二级标准限值。</w:t>
      </w:r>
    </w:p>
    <w:p>
      <w:pPr>
        <w:pStyle w:val="2503"/>
        <w:numPr>
          <w:ilvl w:val="0"/>
          <w:numId w:val="40"/>
        </w:numPr>
        <w:spacing w:before="120"/>
        <w:ind w:left="425" w:leftChars="0" w:hanging="425"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工程废气污染防治措施一览表</w:t>
      </w:r>
    </w:p>
    <w:tbl>
      <w:tblPr>
        <w:tblStyle w:val="88"/>
        <w:tblW w:w="4998" w:type="pct"/>
        <w:tblInd w:w="0" w:type="dxa"/>
        <w:tblLayout w:type="autofit"/>
        <w:tblCellMar>
          <w:top w:w="0" w:type="dxa"/>
          <w:left w:w="0" w:type="dxa"/>
          <w:bottom w:w="0" w:type="dxa"/>
          <w:right w:w="0" w:type="dxa"/>
        </w:tblCellMar>
      </w:tblPr>
      <w:tblGrid>
        <w:gridCol w:w="729"/>
        <w:gridCol w:w="1161"/>
        <w:gridCol w:w="1927"/>
        <w:gridCol w:w="2919"/>
        <w:gridCol w:w="1567"/>
      </w:tblGrid>
      <w:tr>
        <w:tblPrEx>
          <w:tblCellMar>
            <w:top w:w="0" w:type="dxa"/>
            <w:left w:w="0" w:type="dxa"/>
            <w:bottom w:w="0" w:type="dxa"/>
            <w:right w:w="0" w:type="dxa"/>
          </w:tblCellMar>
        </w:tblPrEx>
        <w:tc>
          <w:tcPr>
            <w:tcW w:w="439" w:type="pct"/>
            <w:tcBorders>
              <w:top w:val="single" w:color="auto" w:sz="12"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b/>
                <w:color w:val="auto"/>
                <w:sz w:val="21"/>
                <w:szCs w:val="21"/>
              </w:rPr>
            </w:pPr>
            <w:r>
              <w:rPr>
                <w:rFonts w:hint="eastAsia"/>
                <w:b/>
                <w:color w:val="auto"/>
                <w:sz w:val="21"/>
                <w:szCs w:val="21"/>
              </w:rPr>
              <w:t>序号</w:t>
            </w:r>
          </w:p>
        </w:tc>
        <w:tc>
          <w:tcPr>
            <w:tcW w:w="699"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b/>
                <w:color w:val="auto"/>
                <w:sz w:val="21"/>
                <w:szCs w:val="21"/>
              </w:rPr>
            </w:pPr>
            <w:r>
              <w:rPr>
                <w:rFonts w:hint="eastAsia"/>
                <w:b/>
                <w:color w:val="auto"/>
                <w:sz w:val="21"/>
                <w:szCs w:val="21"/>
              </w:rPr>
              <w:t>排放源</w:t>
            </w:r>
          </w:p>
        </w:tc>
        <w:tc>
          <w:tcPr>
            <w:tcW w:w="1160"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b/>
                <w:color w:val="auto"/>
                <w:sz w:val="21"/>
                <w:szCs w:val="21"/>
              </w:rPr>
            </w:pPr>
            <w:r>
              <w:rPr>
                <w:rFonts w:hint="eastAsia"/>
                <w:b/>
                <w:color w:val="auto"/>
                <w:sz w:val="21"/>
                <w:szCs w:val="21"/>
              </w:rPr>
              <w:t>防治措施</w:t>
            </w:r>
          </w:p>
        </w:tc>
        <w:tc>
          <w:tcPr>
            <w:tcW w:w="1757" w:type="pct"/>
            <w:tcBorders>
              <w:top w:val="single" w:color="auto" w:sz="12"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b/>
                <w:color w:val="auto"/>
                <w:sz w:val="21"/>
                <w:szCs w:val="21"/>
              </w:rPr>
            </w:pPr>
            <w:r>
              <w:rPr>
                <w:rFonts w:hint="eastAsia"/>
                <w:b/>
                <w:color w:val="auto"/>
                <w:sz w:val="21"/>
                <w:szCs w:val="21"/>
              </w:rPr>
              <w:t>实施方案</w:t>
            </w:r>
          </w:p>
        </w:tc>
        <w:tc>
          <w:tcPr>
            <w:tcW w:w="943" w:type="pct"/>
            <w:tcBorders>
              <w:top w:val="single" w:color="auto" w:sz="12" w:space="0"/>
              <w:left w:val="single" w:color="000000" w:sz="4" w:space="0"/>
              <w:bottom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b/>
                <w:color w:val="auto"/>
                <w:sz w:val="21"/>
                <w:szCs w:val="21"/>
              </w:rPr>
            </w:pPr>
            <w:r>
              <w:rPr>
                <w:rFonts w:hint="eastAsia"/>
                <w:b/>
                <w:color w:val="auto"/>
                <w:sz w:val="21"/>
                <w:szCs w:val="21"/>
              </w:rPr>
              <w:t>治理目标</w:t>
            </w:r>
          </w:p>
        </w:tc>
      </w:tr>
      <w:tr>
        <w:tblPrEx>
          <w:tblCellMar>
            <w:top w:w="0" w:type="dxa"/>
            <w:left w:w="0" w:type="dxa"/>
            <w:bottom w:w="0" w:type="dxa"/>
            <w:right w:w="0" w:type="dxa"/>
          </w:tblCellMar>
        </w:tblPrEx>
        <w:tc>
          <w:tcPr>
            <w:tcW w:w="439" w:type="pct"/>
            <w:tcBorders>
              <w:top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1" w:right="1"/>
              <w:jc w:val="center"/>
              <w:rPr>
                <w:rFonts w:hint="default"/>
                <w:color w:val="auto"/>
                <w:sz w:val="21"/>
                <w:szCs w:val="21"/>
              </w:rPr>
            </w:pPr>
            <w:r>
              <w:rPr>
                <w:rFonts w:hint="default"/>
                <w:color w:val="auto"/>
                <w:sz w:val="21"/>
                <w:szCs w:val="21"/>
              </w:rPr>
              <w:t>1</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养殖猪舍</w:t>
            </w:r>
          </w:p>
        </w:tc>
        <w:tc>
          <w:tcPr>
            <w:tcW w:w="1160"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default" w:ascii="Times New Roman" w:hAnsi="Times New Roman" w:eastAsia="宋体" w:cs="Times New Roman"/>
                <w:color w:val="auto"/>
                <w:kern w:val="0"/>
                <w:sz w:val="21"/>
                <w:szCs w:val="21"/>
                <w:lang w:val="en-US" w:eastAsia="zh-CN" w:bidi="ar-SA"/>
              </w:rPr>
              <w:t>除臭、绿化、加强通风、漏缝地板、饲料合理配置</w:t>
            </w:r>
            <w:r>
              <w:rPr>
                <w:rFonts w:hint="eastAsia" w:ascii="Times New Roman" w:hAnsi="Times New Roman" w:cs="Times New Roman"/>
                <w:color w:val="auto"/>
                <w:kern w:val="0"/>
                <w:sz w:val="21"/>
                <w:szCs w:val="21"/>
                <w:lang w:val="en-US" w:eastAsia="zh-CN" w:bidi="ar-SA"/>
              </w:rPr>
              <w:t>、</w:t>
            </w:r>
            <w:r>
              <w:rPr>
                <w:rFonts w:hint="eastAsia"/>
                <w:color w:val="auto"/>
                <w:sz w:val="21"/>
                <w:szCs w:val="21"/>
              </w:rPr>
              <w:t>饲料添加</w:t>
            </w:r>
            <w:r>
              <w:rPr>
                <w:rFonts w:hint="default"/>
                <w:color w:val="auto"/>
                <w:sz w:val="21"/>
                <w:szCs w:val="21"/>
              </w:rPr>
              <w:t>EM</w:t>
            </w:r>
          </w:p>
        </w:tc>
        <w:tc>
          <w:tcPr>
            <w:tcW w:w="1757"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eastAsia" w:eastAsia="宋体"/>
                <w:color w:val="auto"/>
                <w:sz w:val="21"/>
                <w:szCs w:val="21"/>
                <w:lang w:eastAsia="zh-CN"/>
              </w:rPr>
            </w:pPr>
            <w:r>
              <w:rPr>
                <w:rFonts w:hint="eastAsia"/>
                <w:color w:val="auto"/>
                <w:sz w:val="21"/>
                <w:szCs w:val="21"/>
                <w:lang w:eastAsia="zh-CN"/>
              </w:rPr>
              <w:t>干清粪工艺、夏季水帘通风降温、喷洒除臭剂、定期冲洗圈舍、加强四周绿化</w:t>
            </w:r>
          </w:p>
        </w:tc>
        <w:tc>
          <w:tcPr>
            <w:tcW w:w="943" w:type="pct"/>
            <w:vMerge w:val="restart"/>
            <w:tcBorders>
              <w:top w:val="single" w:color="000000" w:sz="4" w:space="0"/>
              <w:left w:val="single" w:color="000000" w:sz="4" w:space="0"/>
              <w:bottom w:val="single" w:color="000000" w:sz="10"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满足《恶臭污染物排放标准》表</w:t>
            </w:r>
            <w:r>
              <w:rPr>
                <w:rFonts w:hint="default"/>
                <w:color w:val="auto"/>
                <w:sz w:val="21"/>
                <w:szCs w:val="21"/>
              </w:rPr>
              <w:t>1</w:t>
            </w:r>
            <w:r>
              <w:rPr>
                <w:rFonts w:hint="eastAsia"/>
                <w:color w:val="auto"/>
                <w:sz w:val="21"/>
                <w:szCs w:val="21"/>
              </w:rPr>
              <w:t>中二级标准要求</w:t>
            </w:r>
          </w:p>
        </w:tc>
      </w:tr>
      <w:tr>
        <w:tblPrEx>
          <w:tblCellMar>
            <w:top w:w="0" w:type="dxa"/>
            <w:left w:w="0" w:type="dxa"/>
            <w:bottom w:w="0" w:type="dxa"/>
            <w:right w:w="0" w:type="dxa"/>
          </w:tblCellMar>
        </w:tblPrEx>
        <w:tc>
          <w:tcPr>
            <w:tcW w:w="439" w:type="pct"/>
            <w:tcBorders>
              <w:top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default"/>
                <w:color w:val="auto"/>
                <w:sz w:val="21"/>
                <w:szCs w:val="21"/>
              </w:rPr>
              <w:t>2</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eastAsia" w:eastAsia="宋体"/>
                <w:color w:val="auto"/>
                <w:sz w:val="21"/>
                <w:szCs w:val="21"/>
                <w:lang w:eastAsia="zh-CN"/>
              </w:rPr>
            </w:pPr>
            <w:r>
              <w:rPr>
                <w:rFonts w:hint="eastAsia"/>
                <w:color w:val="auto"/>
                <w:sz w:val="21"/>
                <w:szCs w:val="21"/>
                <w:lang w:eastAsia="zh-CN"/>
              </w:rPr>
              <w:t>堆放车间</w:t>
            </w:r>
          </w:p>
        </w:tc>
        <w:tc>
          <w:tcPr>
            <w:tcW w:w="1160"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default" w:ascii="宋体" w:hAnsi="宋体" w:eastAsia="宋体" w:cs="宋体"/>
                <w:color w:val="auto"/>
                <w:sz w:val="21"/>
                <w:szCs w:val="21"/>
              </w:rPr>
              <w:t>“碱液喷淋+生物过滤法”处理后经15m高排气筒排放</w:t>
            </w:r>
          </w:p>
        </w:tc>
        <w:tc>
          <w:tcPr>
            <w:tcW w:w="1757"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default" w:ascii="宋体" w:hAnsi="宋体" w:eastAsia="宋体" w:cs="宋体"/>
                <w:color w:val="auto"/>
                <w:sz w:val="21"/>
                <w:szCs w:val="21"/>
              </w:rPr>
              <w:t>“碱液喷淋+生物过滤法”处理后经15m高排气筒排放</w:t>
            </w:r>
            <w:r>
              <w:rPr>
                <w:rFonts w:hint="eastAsia" w:ascii="宋体" w:hAnsi="宋体" w:cs="宋体"/>
                <w:color w:val="auto"/>
                <w:sz w:val="21"/>
                <w:szCs w:val="21"/>
                <w:lang w:eastAsia="zh-CN"/>
              </w:rPr>
              <w:t>，同时</w:t>
            </w:r>
            <w:r>
              <w:rPr>
                <w:rFonts w:hint="eastAsia"/>
                <w:color w:val="auto"/>
                <w:sz w:val="21"/>
                <w:szCs w:val="21"/>
              </w:rPr>
              <w:t>高温季节，每天喷洒除臭剂</w:t>
            </w:r>
          </w:p>
        </w:tc>
        <w:tc>
          <w:tcPr>
            <w:tcW w:w="943" w:type="pct"/>
            <w:vMerge w:val="continue"/>
            <w:tcBorders>
              <w:top w:val="single" w:color="000000" w:sz="4" w:space="0"/>
              <w:left w:val="single" w:color="000000" w:sz="4" w:space="0"/>
              <w:bottom w:val="single" w:color="000000" w:sz="10" w:space="0"/>
            </w:tcBorders>
            <w:noWrap w:val="0"/>
            <w:vAlign w:val="center"/>
          </w:tcPr>
          <w:p>
            <w:pPr>
              <w:pStyle w:val="163"/>
              <w:keepNext w:val="0"/>
              <w:keepLines w:val="0"/>
              <w:suppressLineNumbers w:val="0"/>
              <w:kinsoku w:val="0"/>
              <w:overflowPunct w:val="0"/>
              <w:spacing w:before="0" w:beforeAutospacing="0" w:after="0" w:afterAutospacing="0"/>
              <w:ind w:left="346" w:right="0"/>
              <w:jc w:val="center"/>
              <w:rPr>
                <w:rFonts w:hint="default"/>
                <w:color w:val="auto"/>
              </w:rPr>
            </w:pPr>
          </w:p>
        </w:tc>
      </w:tr>
      <w:tr>
        <w:tblPrEx>
          <w:tblCellMar>
            <w:top w:w="0" w:type="dxa"/>
            <w:left w:w="0" w:type="dxa"/>
            <w:bottom w:w="0" w:type="dxa"/>
            <w:right w:w="0" w:type="dxa"/>
          </w:tblCellMar>
        </w:tblPrEx>
        <w:tc>
          <w:tcPr>
            <w:tcW w:w="439" w:type="pct"/>
            <w:tcBorders>
              <w:top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1" w:right="1"/>
              <w:jc w:val="center"/>
              <w:rPr>
                <w:rFonts w:hint="default"/>
                <w:color w:val="auto"/>
                <w:sz w:val="21"/>
                <w:szCs w:val="21"/>
              </w:rPr>
            </w:pPr>
            <w:r>
              <w:rPr>
                <w:rFonts w:hint="default"/>
                <w:color w:val="auto"/>
                <w:sz w:val="21"/>
                <w:szCs w:val="21"/>
              </w:rPr>
              <w:t>3</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污水处理站</w:t>
            </w:r>
          </w:p>
        </w:tc>
        <w:tc>
          <w:tcPr>
            <w:tcW w:w="1160"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周边绿化、喷洒除臭剂、位于管理区下风向</w:t>
            </w:r>
          </w:p>
        </w:tc>
        <w:tc>
          <w:tcPr>
            <w:tcW w:w="1757"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周边栽树，人工定期喷洒除臭剂，</w:t>
            </w:r>
            <w:r>
              <w:rPr>
                <w:rFonts w:hint="default"/>
                <w:color w:val="auto"/>
                <w:sz w:val="21"/>
                <w:szCs w:val="21"/>
              </w:rPr>
              <w:t xml:space="preserve"> </w:t>
            </w:r>
            <w:r>
              <w:rPr>
                <w:rFonts w:hint="eastAsia"/>
                <w:color w:val="auto"/>
                <w:sz w:val="21"/>
                <w:szCs w:val="21"/>
              </w:rPr>
              <w:t>位于管理区下风向。</w:t>
            </w:r>
          </w:p>
        </w:tc>
        <w:tc>
          <w:tcPr>
            <w:tcW w:w="943" w:type="pct"/>
            <w:vMerge w:val="continue"/>
            <w:tcBorders>
              <w:top w:val="single" w:color="000000" w:sz="4" w:space="0"/>
              <w:left w:val="single" w:color="000000" w:sz="4" w:space="0"/>
              <w:bottom w:val="single" w:color="000000" w:sz="10" w:space="0"/>
            </w:tcBorders>
            <w:noWrap w:val="0"/>
            <w:vAlign w:val="center"/>
          </w:tcPr>
          <w:p>
            <w:pPr>
              <w:pStyle w:val="163"/>
              <w:keepNext w:val="0"/>
              <w:keepLines w:val="0"/>
              <w:suppressLineNumbers w:val="0"/>
              <w:kinsoku w:val="0"/>
              <w:overflowPunct w:val="0"/>
              <w:spacing w:before="0" w:beforeAutospacing="0" w:after="0" w:afterAutospacing="0"/>
              <w:ind w:left="661" w:right="-1"/>
              <w:jc w:val="center"/>
              <w:rPr>
                <w:rFonts w:hint="default"/>
                <w:color w:val="auto"/>
              </w:rPr>
            </w:pPr>
          </w:p>
        </w:tc>
      </w:tr>
      <w:tr>
        <w:tblPrEx>
          <w:tblCellMar>
            <w:top w:w="0" w:type="dxa"/>
            <w:left w:w="0" w:type="dxa"/>
            <w:bottom w:w="0" w:type="dxa"/>
            <w:right w:w="0" w:type="dxa"/>
          </w:tblCellMar>
        </w:tblPrEx>
        <w:tc>
          <w:tcPr>
            <w:tcW w:w="439" w:type="pct"/>
            <w:tcBorders>
              <w:top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1" w:right="1"/>
              <w:jc w:val="center"/>
              <w:rPr>
                <w:rFonts w:hint="default"/>
                <w:color w:val="auto"/>
                <w:sz w:val="21"/>
                <w:szCs w:val="21"/>
              </w:rPr>
            </w:pPr>
            <w:r>
              <w:rPr>
                <w:rFonts w:hint="default"/>
                <w:color w:val="auto"/>
                <w:sz w:val="21"/>
                <w:szCs w:val="21"/>
              </w:rPr>
              <w:t>4</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default" w:ascii="Times New Roman" w:hAnsi="Times New Roman" w:eastAsia="宋体" w:cs="Times New Roman"/>
                <w:color w:val="auto"/>
                <w:kern w:val="2"/>
                <w:sz w:val="24"/>
                <w:szCs w:val="24"/>
                <w:lang w:val="en-US" w:eastAsia="zh-CN" w:bidi="ar-SA"/>
              </w:rPr>
              <w:t>无害化降解处理机</w:t>
            </w:r>
          </w:p>
        </w:tc>
        <w:tc>
          <w:tcPr>
            <w:tcW w:w="1160"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该设备为密闭设备，配套的废气处理系统，车间密闭生产，周边绿化</w:t>
            </w:r>
          </w:p>
        </w:tc>
        <w:tc>
          <w:tcPr>
            <w:tcW w:w="1757" w:type="pct"/>
            <w:tcBorders>
              <w:top w:val="single" w:color="000000" w:sz="4" w:space="0"/>
              <w:left w:val="single" w:color="000000" w:sz="4" w:space="0"/>
              <w:bottom w:val="single" w:color="000000" w:sz="4"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每一批次生产结束后，卸料后立</w:t>
            </w:r>
            <w:r>
              <w:rPr>
                <w:rFonts w:hint="default"/>
                <w:color w:val="auto"/>
                <w:sz w:val="21"/>
                <w:szCs w:val="21"/>
              </w:rPr>
              <w:t xml:space="preserve"> </w:t>
            </w:r>
            <w:r>
              <w:rPr>
                <w:rFonts w:hint="eastAsia"/>
                <w:color w:val="auto"/>
                <w:sz w:val="21"/>
                <w:szCs w:val="21"/>
              </w:rPr>
              <w:t>即打包密闭运走，并立刻关闭该</w:t>
            </w:r>
            <w:r>
              <w:rPr>
                <w:rFonts w:hint="default"/>
                <w:color w:val="auto"/>
                <w:sz w:val="21"/>
                <w:szCs w:val="21"/>
              </w:rPr>
              <w:t xml:space="preserve"> </w:t>
            </w:r>
            <w:r>
              <w:rPr>
                <w:rFonts w:hint="eastAsia"/>
                <w:color w:val="auto"/>
                <w:sz w:val="21"/>
                <w:szCs w:val="21"/>
              </w:rPr>
              <w:t>机器进料口和出料口</w:t>
            </w:r>
          </w:p>
        </w:tc>
        <w:tc>
          <w:tcPr>
            <w:tcW w:w="943" w:type="pct"/>
            <w:vMerge w:val="continue"/>
            <w:tcBorders>
              <w:top w:val="single" w:color="000000" w:sz="4" w:space="0"/>
              <w:left w:val="single" w:color="000000" w:sz="4" w:space="0"/>
              <w:bottom w:val="single" w:color="000000" w:sz="10" w:space="0"/>
            </w:tcBorders>
            <w:noWrap w:val="0"/>
            <w:vAlign w:val="center"/>
          </w:tcPr>
          <w:p>
            <w:pPr>
              <w:pStyle w:val="163"/>
              <w:keepNext w:val="0"/>
              <w:keepLines w:val="0"/>
              <w:suppressLineNumbers w:val="0"/>
              <w:kinsoku w:val="0"/>
              <w:overflowPunct w:val="0"/>
              <w:spacing w:before="0" w:beforeAutospacing="0" w:after="0" w:afterAutospacing="0"/>
              <w:ind w:left="138" w:right="136"/>
              <w:jc w:val="center"/>
              <w:rPr>
                <w:rFonts w:hint="default"/>
                <w:color w:val="auto"/>
              </w:rPr>
            </w:pPr>
          </w:p>
        </w:tc>
      </w:tr>
      <w:tr>
        <w:tblPrEx>
          <w:tblCellMar>
            <w:top w:w="0" w:type="dxa"/>
            <w:left w:w="0" w:type="dxa"/>
            <w:bottom w:w="0" w:type="dxa"/>
            <w:right w:w="0" w:type="dxa"/>
          </w:tblCellMar>
        </w:tblPrEx>
        <w:tc>
          <w:tcPr>
            <w:tcW w:w="439" w:type="pct"/>
            <w:tcBorders>
              <w:top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default"/>
                <w:color w:val="auto"/>
                <w:sz w:val="21"/>
                <w:szCs w:val="21"/>
              </w:rPr>
              <w:t>5</w:t>
            </w:r>
          </w:p>
        </w:tc>
        <w:tc>
          <w:tcPr>
            <w:tcW w:w="699" w:type="pct"/>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全场</w:t>
            </w:r>
          </w:p>
        </w:tc>
        <w:tc>
          <w:tcPr>
            <w:tcW w:w="1160" w:type="pct"/>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周边绿化</w:t>
            </w:r>
          </w:p>
        </w:tc>
        <w:tc>
          <w:tcPr>
            <w:tcW w:w="1757" w:type="pct"/>
            <w:tcBorders>
              <w:top w:val="single" w:color="000000" w:sz="4" w:space="0"/>
              <w:left w:val="single" w:color="000000" w:sz="4" w:space="0"/>
              <w:bottom w:val="single" w:color="auto" w:sz="12" w:space="0"/>
              <w:right w:val="single" w:color="000000" w:sz="4"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sz w:val="21"/>
                <w:szCs w:val="21"/>
              </w:rPr>
            </w:pPr>
            <w:r>
              <w:rPr>
                <w:rFonts w:hint="eastAsia"/>
                <w:color w:val="auto"/>
                <w:sz w:val="21"/>
                <w:szCs w:val="21"/>
              </w:rPr>
              <w:t>四周加强绿化，主要种植草本、灌木、乔木等间隔立体绿化</w:t>
            </w:r>
          </w:p>
        </w:tc>
        <w:tc>
          <w:tcPr>
            <w:tcW w:w="943" w:type="pct"/>
            <w:vMerge w:val="continue"/>
            <w:tcBorders>
              <w:top w:val="single" w:color="000000" w:sz="4" w:space="0"/>
              <w:left w:val="single" w:color="000000" w:sz="4" w:space="0"/>
              <w:bottom w:val="single" w:color="auto" w:sz="12" w:space="0"/>
            </w:tcBorders>
            <w:noWrap w:val="0"/>
            <w:vAlign w:val="center"/>
          </w:tcPr>
          <w:p>
            <w:pPr>
              <w:pStyle w:val="163"/>
              <w:keepNext w:val="0"/>
              <w:keepLines w:val="0"/>
              <w:suppressLineNumbers w:val="0"/>
              <w:kinsoku w:val="0"/>
              <w:overflowPunct w:val="0"/>
              <w:spacing w:before="0" w:beforeAutospacing="0" w:after="0" w:afterAutospacing="0"/>
              <w:ind w:left="0" w:right="1"/>
              <w:jc w:val="center"/>
              <w:rPr>
                <w:rFonts w:hint="default"/>
                <w:color w:val="auto"/>
              </w:rPr>
            </w:pPr>
          </w:p>
        </w:tc>
      </w:tr>
    </w:tbl>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2、恶臭污染防治措施经济可行性</w:t>
      </w:r>
    </w:p>
    <w:p>
      <w:pPr>
        <w:spacing w:line="360" w:lineRule="auto"/>
        <w:ind w:firstLine="480" w:firstLineChars="200"/>
        <w:rPr>
          <w:rFonts w:hint="eastAsia" w:ascii="Times New Roman" w:hAnsi="Times New Roman" w:eastAsia="宋体" w:cs="Times New Roman"/>
          <w:b w:val="0"/>
          <w:bCs/>
          <w:color w:val="auto"/>
          <w:sz w:val="24"/>
          <w:szCs w:val="24"/>
        </w:rPr>
      </w:pPr>
      <w:r>
        <w:rPr>
          <w:rFonts w:hint="eastAsia" w:ascii="Times New Roman" w:hAnsi="Times New Roman" w:eastAsia="宋体" w:cs="Times New Roman"/>
          <w:b w:val="0"/>
          <w:bCs/>
          <w:color w:val="auto"/>
          <w:sz w:val="24"/>
          <w:szCs w:val="24"/>
        </w:rPr>
        <w:t>项目恶臭治理购置EM菌剂、除臭剂等措施，运营期运行费用估算如下：</w:t>
      </w:r>
    </w:p>
    <w:p>
      <w:pPr>
        <w:pStyle w:val="2503"/>
        <w:numPr>
          <w:ilvl w:val="0"/>
          <w:numId w:val="40"/>
        </w:numPr>
        <w:spacing w:before="120" w:line="360" w:lineRule="auto"/>
        <w:ind w:left="425" w:leftChars="0" w:hanging="425"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恶臭气体污染防治年运行费用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74"/>
        <w:gridCol w:w="2075"/>
        <w:gridCol w:w="3"/>
        <w:gridCol w:w="2071"/>
        <w:gridCol w:w="2080"/>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eastAsia"/>
                <w:b/>
                <w:color w:val="auto"/>
                <w:sz w:val="21"/>
                <w:szCs w:val="21"/>
              </w:rPr>
              <w:t>序号</w:t>
            </w:r>
          </w:p>
        </w:tc>
        <w:tc>
          <w:tcPr>
            <w:tcW w:w="124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eastAsia"/>
                <w:b/>
                <w:color w:val="auto"/>
                <w:sz w:val="21"/>
                <w:szCs w:val="21"/>
              </w:rPr>
              <w:t>费用名称</w:t>
            </w:r>
          </w:p>
        </w:tc>
        <w:tc>
          <w:tcPr>
            <w:tcW w:w="1249" w:type="pct"/>
            <w:gridSpan w:val="2"/>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eastAsia"/>
                <w:b/>
                <w:color w:val="auto"/>
                <w:sz w:val="21"/>
                <w:szCs w:val="21"/>
              </w:rPr>
              <w:t>说明</w:t>
            </w:r>
          </w:p>
        </w:tc>
        <w:tc>
          <w:tcPr>
            <w:tcW w:w="1251"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eastAsia"/>
                <w:b/>
                <w:color w:val="auto"/>
                <w:sz w:val="21"/>
                <w:szCs w:val="21"/>
              </w:rPr>
              <w:t>费用（万元）</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1</w:t>
            </w:r>
          </w:p>
        </w:tc>
        <w:tc>
          <w:tcPr>
            <w:tcW w:w="1249" w:type="pct"/>
            <w:noWrap w:val="0"/>
            <w:vAlign w:val="center"/>
          </w:tcPr>
          <w:p>
            <w:pPr>
              <w:pStyle w:val="163"/>
              <w:keepNext w:val="0"/>
              <w:keepLines w:val="0"/>
              <w:suppressLineNumbers w:val="0"/>
              <w:kinsoku w:val="0"/>
              <w:overflowPunct w:val="0"/>
              <w:spacing w:before="0" w:beforeAutospacing="0" w:after="0" w:afterAutospacing="0" w:line="273" w:lineRule="exact"/>
              <w:ind w:left="0" w:right="2"/>
              <w:jc w:val="center"/>
              <w:rPr>
                <w:rFonts w:hint="default"/>
                <w:color w:val="auto"/>
                <w:sz w:val="21"/>
                <w:szCs w:val="21"/>
              </w:rPr>
            </w:pPr>
            <w:r>
              <w:rPr>
                <w:rFonts w:hint="eastAsia"/>
                <w:color w:val="auto"/>
                <w:sz w:val="21"/>
                <w:szCs w:val="21"/>
              </w:rPr>
              <w:t>电费</w:t>
            </w:r>
          </w:p>
        </w:tc>
        <w:tc>
          <w:tcPr>
            <w:tcW w:w="1249" w:type="pct"/>
            <w:gridSpan w:val="2"/>
            <w:noWrap w:val="0"/>
            <w:vAlign w:val="center"/>
          </w:tcPr>
          <w:p>
            <w:pPr>
              <w:pStyle w:val="163"/>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rPr>
            </w:pPr>
            <w:r>
              <w:rPr>
                <w:rFonts w:hint="eastAsia"/>
                <w:color w:val="auto"/>
                <w:sz w:val="21"/>
                <w:szCs w:val="21"/>
              </w:rPr>
              <w:t>污水处理站年用电量</w:t>
            </w:r>
            <w:r>
              <w:rPr>
                <w:rFonts w:hint="default"/>
                <w:color w:val="auto"/>
                <w:sz w:val="21"/>
                <w:szCs w:val="21"/>
              </w:rPr>
              <w:t>17000</w:t>
            </w:r>
            <w:r>
              <w:rPr>
                <w:rFonts w:hint="eastAsia"/>
                <w:color w:val="auto"/>
                <w:sz w:val="21"/>
                <w:szCs w:val="21"/>
              </w:rPr>
              <w:t>度</w:t>
            </w:r>
            <w:r>
              <w:rPr>
                <w:rFonts w:hint="default"/>
                <w:color w:val="auto"/>
                <w:sz w:val="21"/>
                <w:szCs w:val="21"/>
              </w:rPr>
              <w:t>/a</w:t>
            </w:r>
          </w:p>
        </w:tc>
        <w:tc>
          <w:tcPr>
            <w:tcW w:w="1251" w:type="pct"/>
            <w:noWrap w:val="0"/>
            <w:vAlign w:val="center"/>
          </w:tcPr>
          <w:p>
            <w:pPr>
              <w:pStyle w:val="163"/>
              <w:keepNext w:val="0"/>
              <w:keepLines w:val="0"/>
              <w:suppressLineNumbers w:val="0"/>
              <w:kinsoku w:val="0"/>
              <w:overflowPunct w:val="0"/>
              <w:spacing w:before="0" w:beforeAutospacing="0" w:after="0" w:afterAutospacing="0"/>
              <w:ind w:left="0" w:right="2"/>
              <w:jc w:val="center"/>
              <w:rPr>
                <w:rFonts w:hint="default"/>
                <w:color w:val="auto"/>
                <w:sz w:val="21"/>
                <w:szCs w:val="21"/>
              </w:rPr>
            </w:pPr>
            <w:r>
              <w:rPr>
                <w:rFonts w:hint="default"/>
                <w:color w:val="auto"/>
                <w:sz w:val="21"/>
                <w:szCs w:val="21"/>
              </w:rPr>
              <w:t>2.7</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2</w:t>
            </w:r>
          </w:p>
        </w:tc>
        <w:tc>
          <w:tcPr>
            <w:tcW w:w="1249" w:type="pct"/>
            <w:noWrap w:val="0"/>
            <w:vAlign w:val="center"/>
          </w:tcPr>
          <w:p>
            <w:pPr>
              <w:pStyle w:val="163"/>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rPr>
            </w:pPr>
            <w:r>
              <w:rPr>
                <w:rFonts w:hint="default"/>
                <w:color w:val="auto"/>
                <w:sz w:val="21"/>
                <w:szCs w:val="21"/>
              </w:rPr>
              <w:t>EM</w:t>
            </w:r>
            <w:r>
              <w:rPr>
                <w:rFonts w:hint="eastAsia"/>
                <w:color w:val="auto"/>
                <w:sz w:val="21"/>
                <w:szCs w:val="21"/>
              </w:rPr>
              <w:t>菌剂</w:t>
            </w:r>
          </w:p>
        </w:tc>
        <w:tc>
          <w:tcPr>
            <w:tcW w:w="1249" w:type="pct"/>
            <w:gridSpan w:val="2"/>
            <w:noWrap w:val="0"/>
            <w:vAlign w:val="center"/>
          </w:tcPr>
          <w:p>
            <w:pPr>
              <w:pStyle w:val="163"/>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rPr>
            </w:pPr>
            <w:r>
              <w:rPr>
                <w:rFonts w:hint="eastAsia"/>
                <w:color w:val="auto"/>
                <w:sz w:val="21"/>
                <w:szCs w:val="21"/>
              </w:rPr>
              <w:t>年耗用量</w:t>
            </w:r>
            <w:r>
              <w:rPr>
                <w:rFonts w:hint="default"/>
                <w:color w:val="auto"/>
                <w:sz w:val="21"/>
                <w:szCs w:val="21"/>
              </w:rPr>
              <w:t>2t</w:t>
            </w:r>
            <w:r>
              <w:rPr>
                <w:rFonts w:hint="eastAsia"/>
                <w:color w:val="auto"/>
                <w:sz w:val="21"/>
                <w:szCs w:val="21"/>
              </w:rPr>
              <w:t>，</w:t>
            </w:r>
            <w:r>
              <w:rPr>
                <w:rFonts w:hint="default"/>
                <w:color w:val="auto"/>
                <w:sz w:val="21"/>
                <w:szCs w:val="21"/>
              </w:rPr>
              <w:t>30000</w:t>
            </w:r>
            <w:r>
              <w:rPr>
                <w:rFonts w:hint="eastAsia"/>
                <w:color w:val="auto"/>
                <w:sz w:val="21"/>
                <w:szCs w:val="21"/>
              </w:rPr>
              <w:t>元</w:t>
            </w:r>
            <w:r>
              <w:rPr>
                <w:rFonts w:hint="default"/>
                <w:color w:val="auto"/>
                <w:sz w:val="21"/>
                <w:szCs w:val="21"/>
              </w:rPr>
              <w:t>/t</w:t>
            </w:r>
          </w:p>
        </w:tc>
        <w:tc>
          <w:tcPr>
            <w:tcW w:w="1251" w:type="pct"/>
            <w:noWrap w:val="0"/>
            <w:vAlign w:val="center"/>
          </w:tcPr>
          <w:p>
            <w:pPr>
              <w:pStyle w:val="163"/>
              <w:keepNext w:val="0"/>
              <w:keepLines w:val="0"/>
              <w:suppressLineNumbers w:val="0"/>
              <w:kinsoku w:val="0"/>
              <w:overflowPunct w:val="0"/>
              <w:spacing w:before="0" w:beforeAutospacing="0" w:after="0" w:afterAutospacing="0"/>
              <w:ind w:left="0" w:right="2"/>
              <w:jc w:val="center"/>
              <w:rPr>
                <w:rFonts w:hint="default"/>
                <w:color w:val="auto"/>
                <w:sz w:val="21"/>
                <w:szCs w:val="21"/>
              </w:rPr>
            </w:pPr>
            <w:r>
              <w:rPr>
                <w:rFonts w:hint="default"/>
                <w:color w:val="auto"/>
                <w:sz w:val="21"/>
                <w:szCs w:val="21"/>
              </w:rPr>
              <w:t>6.0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3</w:t>
            </w:r>
          </w:p>
        </w:tc>
        <w:tc>
          <w:tcPr>
            <w:tcW w:w="1249" w:type="pct"/>
            <w:noWrap w:val="0"/>
            <w:vAlign w:val="center"/>
          </w:tcPr>
          <w:p>
            <w:pPr>
              <w:pStyle w:val="163"/>
              <w:keepNext w:val="0"/>
              <w:keepLines w:val="0"/>
              <w:suppressLineNumbers w:val="0"/>
              <w:kinsoku w:val="0"/>
              <w:overflowPunct w:val="0"/>
              <w:spacing w:before="0" w:beforeAutospacing="0" w:after="0" w:afterAutospacing="0" w:line="273" w:lineRule="exact"/>
              <w:ind w:left="0" w:right="0"/>
              <w:jc w:val="center"/>
              <w:rPr>
                <w:rFonts w:hint="default"/>
                <w:color w:val="auto"/>
                <w:sz w:val="21"/>
                <w:szCs w:val="21"/>
              </w:rPr>
            </w:pPr>
            <w:r>
              <w:rPr>
                <w:rFonts w:hint="eastAsia"/>
                <w:color w:val="auto"/>
                <w:sz w:val="21"/>
                <w:szCs w:val="21"/>
              </w:rPr>
              <w:t>除臭剂</w:t>
            </w:r>
          </w:p>
        </w:tc>
        <w:tc>
          <w:tcPr>
            <w:tcW w:w="1249" w:type="pct"/>
            <w:gridSpan w:val="2"/>
            <w:noWrap w:val="0"/>
            <w:vAlign w:val="center"/>
          </w:tcPr>
          <w:p>
            <w:pPr>
              <w:pStyle w:val="163"/>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rPr>
            </w:pPr>
            <w:r>
              <w:rPr>
                <w:rFonts w:hint="eastAsia"/>
                <w:color w:val="auto"/>
                <w:sz w:val="21"/>
                <w:szCs w:val="21"/>
              </w:rPr>
              <w:t>年耗用量</w:t>
            </w:r>
            <w:r>
              <w:rPr>
                <w:rFonts w:hint="default"/>
                <w:color w:val="auto"/>
                <w:sz w:val="21"/>
                <w:szCs w:val="21"/>
              </w:rPr>
              <w:t>1.5t</w:t>
            </w:r>
            <w:r>
              <w:rPr>
                <w:rFonts w:hint="eastAsia"/>
                <w:color w:val="auto"/>
                <w:sz w:val="21"/>
                <w:szCs w:val="21"/>
              </w:rPr>
              <w:t>，</w:t>
            </w:r>
            <w:r>
              <w:rPr>
                <w:rFonts w:hint="default"/>
                <w:color w:val="auto"/>
                <w:sz w:val="21"/>
                <w:szCs w:val="21"/>
              </w:rPr>
              <w:t>5000</w:t>
            </w:r>
            <w:r>
              <w:rPr>
                <w:rFonts w:hint="eastAsia"/>
                <w:color w:val="auto"/>
                <w:sz w:val="21"/>
                <w:szCs w:val="21"/>
              </w:rPr>
              <w:t>元</w:t>
            </w:r>
            <w:r>
              <w:rPr>
                <w:rFonts w:hint="default"/>
                <w:color w:val="auto"/>
                <w:sz w:val="21"/>
                <w:szCs w:val="21"/>
              </w:rPr>
              <w:t>/t</w:t>
            </w:r>
          </w:p>
        </w:tc>
        <w:tc>
          <w:tcPr>
            <w:tcW w:w="1251" w:type="pct"/>
            <w:noWrap w:val="0"/>
            <w:vAlign w:val="center"/>
          </w:tcPr>
          <w:p>
            <w:pPr>
              <w:pStyle w:val="163"/>
              <w:keepNext w:val="0"/>
              <w:keepLines w:val="0"/>
              <w:suppressLineNumbers w:val="0"/>
              <w:kinsoku w:val="0"/>
              <w:overflowPunct w:val="0"/>
              <w:spacing w:before="0" w:beforeAutospacing="0" w:after="0" w:afterAutospacing="0"/>
              <w:ind w:left="0" w:right="5"/>
              <w:jc w:val="center"/>
              <w:rPr>
                <w:rFonts w:hint="default"/>
                <w:color w:val="auto"/>
                <w:sz w:val="21"/>
                <w:szCs w:val="21"/>
              </w:rPr>
            </w:pPr>
            <w:r>
              <w:rPr>
                <w:rFonts w:hint="default"/>
                <w:color w:val="auto"/>
                <w:sz w:val="21"/>
                <w:szCs w:val="21"/>
              </w:rPr>
              <w:t>0.75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4</w:t>
            </w:r>
          </w:p>
        </w:tc>
        <w:tc>
          <w:tcPr>
            <w:tcW w:w="1249" w:type="pct"/>
            <w:noWrap w:val="0"/>
            <w:vAlign w:val="center"/>
          </w:tcPr>
          <w:p>
            <w:pPr>
              <w:pStyle w:val="163"/>
              <w:keepNext w:val="0"/>
              <w:keepLines w:val="0"/>
              <w:suppressLineNumbers w:val="0"/>
              <w:kinsoku w:val="0"/>
              <w:overflowPunct w:val="0"/>
              <w:spacing w:before="0" w:beforeAutospacing="0" w:after="0" w:afterAutospacing="0" w:line="273" w:lineRule="exact"/>
              <w:ind w:left="0" w:right="0"/>
              <w:jc w:val="center"/>
              <w:rPr>
                <w:rFonts w:hint="default"/>
                <w:color w:val="auto"/>
                <w:sz w:val="21"/>
                <w:szCs w:val="21"/>
              </w:rPr>
            </w:pPr>
            <w:r>
              <w:rPr>
                <w:rFonts w:hint="eastAsia"/>
                <w:color w:val="auto"/>
                <w:sz w:val="21"/>
                <w:szCs w:val="21"/>
              </w:rPr>
              <w:t>设备折旧及维修费用</w:t>
            </w:r>
          </w:p>
        </w:tc>
        <w:tc>
          <w:tcPr>
            <w:tcW w:w="1249" w:type="pct"/>
            <w:gridSpan w:val="2"/>
            <w:noWrap w:val="0"/>
            <w:vAlign w:val="center"/>
          </w:tcPr>
          <w:p>
            <w:pPr>
              <w:pStyle w:val="163"/>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rPr>
            </w:pPr>
            <w:r>
              <w:rPr>
                <w:rFonts w:hint="eastAsia"/>
                <w:color w:val="auto"/>
                <w:sz w:val="21"/>
                <w:szCs w:val="21"/>
              </w:rPr>
              <w:t>按</w:t>
            </w:r>
            <w:r>
              <w:rPr>
                <w:rFonts w:hint="default"/>
                <w:color w:val="auto"/>
                <w:sz w:val="21"/>
                <w:szCs w:val="21"/>
              </w:rPr>
              <w:t>10</w:t>
            </w:r>
            <w:r>
              <w:rPr>
                <w:rFonts w:hint="eastAsia"/>
                <w:color w:val="auto"/>
                <w:sz w:val="21"/>
                <w:szCs w:val="21"/>
              </w:rPr>
              <w:t>年寿命计</w:t>
            </w:r>
          </w:p>
        </w:tc>
        <w:tc>
          <w:tcPr>
            <w:tcW w:w="1251" w:type="pct"/>
            <w:noWrap w:val="0"/>
            <w:vAlign w:val="center"/>
          </w:tcPr>
          <w:p>
            <w:pPr>
              <w:pStyle w:val="163"/>
              <w:keepNext w:val="0"/>
              <w:keepLines w:val="0"/>
              <w:suppressLineNumbers w:val="0"/>
              <w:kinsoku w:val="0"/>
              <w:overflowPunct w:val="0"/>
              <w:spacing w:before="0" w:beforeAutospacing="0" w:after="0" w:afterAutospacing="0"/>
              <w:ind w:left="0" w:right="2"/>
              <w:jc w:val="center"/>
              <w:rPr>
                <w:rFonts w:hint="default"/>
                <w:color w:val="auto"/>
                <w:sz w:val="21"/>
                <w:szCs w:val="21"/>
              </w:rPr>
            </w:pPr>
            <w:r>
              <w:rPr>
                <w:rFonts w:hint="default"/>
                <w:color w:val="auto"/>
                <w:sz w:val="21"/>
                <w:szCs w:val="21"/>
              </w:rPr>
              <w:t>0.5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default"/>
                <w:color w:val="auto"/>
                <w:sz w:val="21"/>
                <w:szCs w:val="21"/>
              </w:rPr>
              <w:t>5</w:t>
            </w:r>
          </w:p>
        </w:tc>
        <w:tc>
          <w:tcPr>
            <w:tcW w:w="1249" w:type="pct"/>
            <w:noWrap w:val="0"/>
            <w:vAlign w:val="center"/>
          </w:tcPr>
          <w:p>
            <w:pPr>
              <w:pStyle w:val="163"/>
              <w:keepNext w:val="0"/>
              <w:keepLines w:val="0"/>
              <w:suppressLineNumbers w:val="0"/>
              <w:kinsoku w:val="0"/>
              <w:overflowPunct w:val="0"/>
              <w:spacing w:before="0" w:beforeAutospacing="0" w:after="0" w:afterAutospacing="0" w:line="274" w:lineRule="exact"/>
              <w:ind w:left="0" w:right="2"/>
              <w:jc w:val="center"/>
              <w:rPr>
                <w:rFonts w:hint="default"/>
                <w:color w:val="auto"/>
                <w:sz w:val="21"/>
                <w:szCs w:val="21"/>
              </w:rPr>
            </w:pPr>
            <w:r>
              <w:rPr>
                <w:rFonts w:hint="eastAsia"/>
                <w:color w:val="auto"/>
                <w:sz w:val="21"/>
                <w:szCs w:val="21"/>
              </w:rPr>
              <w:t>人员</w:t>
            </w:r>
          </w:p>
        </w:tc>
        <w:tc>
          <w:tcPr>
            <w:tcW w:w="1249" w:type="pct"/>
            <w:gridSpan w:val="2"/>
            <w:noWrap w:val="0"/>
            <w:vAlign w:val="center"/>
          </w:tcPr>
          <w:p>
            <w:pPr>
              <w:pStyle w:val="163"/>
              <w:keepNext w:val="0"/>
              <w:keepLines w:val="0"/>
              <w:suppressLineNumbers w:val="0"/>
              <w:kinsoku w:val="0"/>
              <w:overflowPunct w:val="0"/>
              <w:spacing w:before="0" w:beforeAutospacing="0" w:after="0" w:afterAutospacing="0" w:line="289" w:lineRule="exact"/>
              <w:ind w:left="0" w:right="1"/>
              <w:jc w:val="center"/>
              <w:rPr>
                <w:rFonts w:hint="default"/>
                <w:color w:val="auto"/>
                <w:sz w:val="21"/>
                <w:szCs w:val="21"/>
              </w:rPr>
            </w:pPr>
            <w:r>
              <w:rPr>
                <w:rFonts w:hint="default"/>
                <w:color w:val="auto"/>
                <w:sz w:val="21"/>
                <w:szCs w:val="21"/>
              </w:rPr>
              <w:t>2</w:t>
            </w:r>
            <w:r>
              <w:rPr>
                <w:rFonts w:hint="eastAsia"/>
                <w:color w:val="auto"/>
                <w:sz w:val="21"/>
                <w:szCs w:val="21"/>
              </w:rPr>
              <w:t>人</w:t>
            </w:r>
          </w:p>
        </w:tc>
        <w:tc>
          <w:tcPr>
            <w:tcW w:w="1251" w:type="pct"/>
            <w:noWrap w:val="0"/>
            <w:vAlign w:val="center"/>
          </w:tcPr>
          <w:p>
            <w:pPr>
              <w:pStyle w:val="163"/>
              <w:keepNext w:val="0"/>
              <w:keepLines w:val="0"/>
              <w:suppressLineNumbers w:val="0"/>
              <w:kinsoku w:val="0"/>
              <w:overflowPunct w:val="0"/>
              <w:spacing w:before="0" w:beforeAutospacing="0" w:after="0" w:afterAutospacing="0"/>
              <w:ind w:left="0" w:right="5"/>
              <w:jc w:val="center"/>
              <w:rPr>
                <w:rFonts w:hint="default"/>
                <w:color w:val="auto"/>
                <w:sz w:val="21"/>
                <w:szCs w:val="21"/>
              </w:rPr>
            </w:pPr>
            <w:r>
              <w:rPr>
                <w:rFonts w:hint="default"/>
                <w:color w:val="auto"/>
                <w:sz w:val="21"/>
                <w:szCs w:val="21"/>
              </w:rPr>
              <w:t>3.0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500" w:type="pct"/>
            <w:gridSpan w:val="3"/>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color w:val="auto"/>
                <w:sz w:val="21"/>
                <w:szCs w:val="21"/>
              </w:rPr>
            </w:pPr>
            <w:r>
              <w:rPr>
                <w:rFonts w:hint="eastAsia"/>
                <w:color w:val="auto"/>
                <w:sz w:val="21"/>
                <w:szCs w:val="21"/>
              </w:rPr>
              <w:t>合计</w:t>
            </w:r>
          </w:p>
        </w:tc>
        <w:tc>
          <w:tcPr>
            <w:tcW w:w="2499" w:type="pct"/>
            <w:gridSpan w:val="2"/>
            <w:noWrap w:val="0"/>
            <w:vAlign w:val="center"/>
          </w:tcPr>
          <w:p>
            <w:pPr>
              <w:pStyle w:val="163"/>
              <w:keepNext w:val="0"/>
              <w:keepLines w:val="0"/>
              <w:suppressLineNumbers w:val="0"/>
              <w:kinsoku w:val="0"/>
              <w:overflowPunct w:val="0"/>
              <w:spacing w:before="48" w:beforeAutospacing="0" w:after="0" w:afterAutospacing="0"/>
              <w:ind w:left="0" w:right="2"/>
              <w:jc w:val="center"/>
              <w:rPr>
                <w:rFonts w:hint="default"/>
                <w:color w:val="auto"/>
                <w:sz w:val="21"/>
                <w:szCs w:val="21"/>
              </w:rPr>
            </w:pPr>
            <w:r>
              <w:rPr>
                <w:rFonts w:hint="default"/>
                <w:color w:val="auto"/>
                <w:sz w:val="21"/>
                <w:szCs w:val="21"/>
              </w:rPr>
              <w:t>12.95</w:t>
            </w:r>
          </w:p>
        </w:tc>
      </w:tr>
    </w:tbl>
    <w:p>
      <w:pPr>
        <w:spacing w:line="360" w:lineRule="auto"/>
        <w:ind w:firstLine="480" w:firstLineChars="200"/>
        <w:rPr>
          <w:rFonts w:hint="eastAsia" w:ascii="Times New Roman" w:hAnsi="Times New Roman" w:eastAsia="宋体" w:cs="Times New Roman"/>
          <w:b w:val="0"/>
          <w:bCs/>
          <w:color w:val="auto"/>
          <w:sz w:val="24"/>
          <w:szCs w:val="24"/>
        </w:rPr>
      </w:pPr>
      <w:r>
        <w:rPr>
          <w:rFonts w:hint="eastAsia" w:ascii="Times New Roman" w:hAnsi="Times New Roman" w:eastAsia="宋体" w:cs="Times New Roman"/>
          <w:b w:val="0"/>
          <w:bCs/>
          <w:color w:val="auto"/>
          <w:sz w:val="24"/>
          <w:szCs w:val="24"/>
        </w:rPr>
        <w:t>综上所述，项目恶臭污染防治措施技术程度，有效可行，投资费用较低，运行费用适中，技术经济可行。</w:t>
      </w:r>
    </w:p>
    <w:p>
      <w:pPr>
        <w:pStyle w:val="8"/>
        <w:rPr>
          <w:rFonts w:hint="eastAsia" w:cs="Times New Roman"/>
          <w:color w:val="auto"/>
          <w:lang w:val="en-US" w:eastAsia="zh-CN"/>
        </w:rPr>
      </w:pPr>
      <w:r>
        <w:rPr>
          <w:rFonts w:hint="eastAsia" w:cs="Times New Roman"/>
          <w:color w:val="auto"/>
          <w:lang w:val="en-US" w:eastAsia="zh-CN"/>
        </w:rPr>
        <w:t>食堂油烟治理措施分析</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1、食堂油烟治理措施技术可行性分析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项目食堂拟设有2个灶头，油烟产生量约为39.42kg/a（0.108kg/d，0.018kg/h）。根据《饮食业油烟排放标准》（GB18483-2001）标准的要求食堂安装一台排风量为5000m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/h，处理效率大于75%的油烟净化器，处理后其油烟量为9.855kg/a（0.027kg/d，0.0045kg/h），排放浓度为0.9mg/m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，满足《饮食业油烟排放标准》（GB18483-2001）标准要求，处理后油烟经烟道引至屋顶排放。</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油烟净化器分为机械式、湿式、静电式和复合式：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（1）机械式油烟净化设备</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机械式油烟净化设备的主要特点是简单、易于制造、造价低、施工快、便于维护，技术关键是滤料的选取与布置方式、空塔流速的确定。这种方法对油粒的净化效率较高，但对恶臭物质没有去除能力。因此，此法实用性较差，在油烟治理上通常作为预处理，而不作为一种独立的治理设备使用。</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（2）湿式油烟净化设备</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湿式油烟净化设备的优点是价格适中，净化效率高，可同时部分去除SO</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、CO、NO</w:t>
      </w:r>
      <w:r>
        <w:rPr>
          <w:rFonts w:ascii="Times New Roman" w:hAnsi="Times New Roman" w:eastAsia="宋体" w:cs="Times New Roman"/>
          <w:color w:val="auto"/>
          <w:sz w:val="24"/>
          <w:szCs w:val="24"/>
        </w:rPr>
        <w:t>x</w:t>
      </w:r>
      <w:r>
        <w:rPr>
          <w:rFonts w:hint="eastAsia" w:ascii="Times New Roman" w:hAnsi="Times New Roman" w:eastAsia="宋体" w:cs="Times New Roman"/>
          <w:color w:val="auto"/>
          <w:sz w:val="24"/>
          <w:szCs w:val="24"/>
        </w:rPr>
        <w:t>等，对醛类、芳烃类等气态污染物也有一定的去除效果。缺点是安装繁琐、耗水量大，循环吸收液如不经过处理直接排放，还会造成二次污染。另外，吸收液循环箱安装在室外，由于在北方地区，管路及箱体需做保温处理，增加了安装费用及制造难度，因此，该类设备目前在我国广东等南方地区应用比较广泛，而在北方地区，越来越受到来自于静电式、复合式油烟净化设备的竞争压力。</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（3）静电式油烟净化设备</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静电式油烟净化设备是利用电力作用清除气体中固体或液体以达到净化的目的。具有如下优点；净化效率高、结构简单、气流速度低、压力损失小、能量消耗低、安装方便，产品分卧式、挂壁式、管道式、立柜式多种，不受现场安装位置限制，目前在大型和中高档餐饮单位中应用多。</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（4）复合式油烟净化设备</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复合式油烟净化设备是使用机械式、湿式、静电式中任何两种或两种以上净化方式组合去除油烟的净化设备。设备兼顾了各种处理方法的优点。根据油烟粒子粒径分布进行合理组合，故具有较高的净化效率；再由于机械式、湿式、静电式油烟净化设备取得的技术进步，都可迅速应用到复合式上，所以复合式油烟净化设备将是未来一定时期油烟净化设备研究、开发、生产的重点。</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四类油烟净化设备性能比较见表</w:t>
      </w:r>
      <w:r>
        <w:rPr>
          <w:rFonts w:ascii="Times New Roman" w:hAnsi="Times New Roman" w:eastAsia="宋体" w:cs="Times New Roman"/>
          <w:color w:val="auto"/>
          <w:sz w:val="24"/>
          <w:szCs w:val="24"/>
        </w:rPr>
        <w:t>7</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w:t>
      </w:r>
    </w:p>
    <w:p>
      <w:pPr>
        <w:pStyle w:val="2503"/>
        <w:numPr>
          <w:ilvl w:val="0"/>
          <w:numId w:val="40"/>
        </w:numPr>
        <w:spacing w:before="120" w:line="360" w:lineRule="auto"/>
        <w:ind w:left="425" w:leftChars="0" w:hanging="425"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四类油烟净化设备性能比较表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038"/>
        <w:gridCol w:w="1191"/>
        <w:gridCol w:w="507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设备类型</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去除率（%）</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日常维护要求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机械式油烟净化器</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75~80</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每月更换一次滤网或更换吸附材料</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湿式油烟净化器</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75~80</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定期收集油污，添加药剂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静电式油烟净化器</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75~80</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每半年清洗一次极板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复合式油烟净化器</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80~90</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每半年清洗一次极板，需经常清洗滤网或更换吸附材料</w:t>
            </w:r>
          </w:p>
        </w:tc>
      </w:tr>
    </w:tbl>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从经济、效率、结构、能耗、安装等各个方面考虑，建设单位选择静电式油烟净化器，另外需要注意油烟净化设施应尽量设置在进口端，避免设于出口端。因为进入净化装置的油烟温度越高净化的效果越好，尤其在冬季影响更为明显；另外，净化设施后置会使大量未经处理的油烟聚集在管道内壁，成为火险隐患，因此要尽量避免。</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2、食堂油烟治理措施经济可行性分析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本项目食堂油烟净化器购置费用为1万元，年运行费用为0.392万元，运行费用见表7</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rPr>
        <w:t>：</w:t>
      </w:r>
    </w:p>
    <w:p>
      <w:pPr>
        <w:pStyle w:val="2503"/>
        <w:numPr>
          <w:ilvl w:val="0"/>
          <w:numId w:val="40"/>
        </w:numPr>
        <w:spacing w:before="120" w:line="360" w:lineRule="auto"/>
        <w:ind w:left="425" w:leftChars="0" w:hanging="425"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食堂油烟污染防治年运行费用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776"/>
        <w:gridCol w:w="2196"/>
        <w:gridCol w:w="3698"/>
        <w:gridCol w:w="1633"/>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46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序号</w:t>
            </w:r>
          </w:p>
        </w:tc>
        <w:tc>
          <w:tcPr>
            <w:tcW w:w="132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费用名称</w:t>
            </w:r>
          </w:p>
        </w:tc>
        <w:tc>
          <w:tcPr>
            <w:tcW w:w="222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说明</w:t>
            </w:r>
          </w:p>
        </w:tc>
        <w:tc>
          <w:tcPr>
            <w:tcW w:w="98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费用（万元）</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46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132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电费</w:t>
            </w:r>
          </w:p>
        </w:tc>
        <w:tc>
          <w:tcPr>
            <w:tcW w:w="222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2度/h，2920度/a，电的单价1元/度</w:t>
            </w:r>
          </w:p>
        </w:tc>
        <w:tc>
          <w:tcPr>
            <w:tcW w:w="98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0.292</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46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132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设备折旧及维修费用</w:t>
            </w:r>
          </w:p>
        </w:tc>
        <w:tc>
          <w:tcPr>
            <w:tcW w:w="222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按10年寿命计</w:t>
            </w:r>
          </w:p>
        </w:tc>
        <w:tc>
          <w:tcPr>
            <w:tcW w:w="98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0.1</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789" w:type="pct"/>
            <w:gridSpan w:val="2"/>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合计</w:t>
            </w:r>
          </w:p>
        </w:tc>
        <w:tc>
          <w:tcPr>
            <w:tcW w:w="22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rPr>
            </w:pPr>
          </w:p>
        </w:tc>
        <w:tc>
          <w:tcPr>
            <w:tcW w:w="98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0.392</w:t>
            </w:r>
          </w:p>
        </w:tc>
      </w:tr>
    </w:tbl>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综上所述，项目废气污染防治措施技术有效可行，投资费用较低，运行费用较低，技术经济可行。</w:t>
      </w:r>
    </w:p>
    <w:p>
      <w:pPr>
        <w:pStyle w:val="8"/>
        <w:rPr>
          <w:rFonts w:hint="eastAsia" w:cs="Times New Roman"/>
          <w:color w:val="auto"/>
          <w:lang w:val="en-US" w:eastAsia="zh-CN"/>
        </w:rPr>
      </w:pPr>
      <w:r>
        <w:rPr>
          <w:rFonts w:hint="eastAsia" w:cs="Times New Roman"/>
          <w:color w:val="auto"/>
          <w:lang w:val="en-US" w:eastAsia="zh-CN"/>
        </w:rPr>
        <w:t>沼气燃烧废气</w:t>
      </w:r>
    </w:p>
    <w:p>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1、沼气干法脱硫可行性分析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本项目沼气脱硫采用干法脱硫，干法脱硫是在圆柱状脱硫塔内装填一定高度的脱硫剂，沼气自下而上通过脱硫剂，H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S被去除，实现脱硫过程。一般干法脱硫常用的脱硫剂为氧化铁，其粒状为圆柱状。氧化铁干法脱硫的化学反应分为两步：</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第一步：Fe</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O+3H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 =Fe</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+4H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O（脱硫）</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第二步：Fe</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+3/2O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+3H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O=Fe</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O+2H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O+3S（再生）</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含有硫化氢的沼气首先与底部入口处荷载相对高的脱硫剂反应，反应器上部是负载低的脱硫剂层，通过设计良好的沼气空速和线速，干式脱硫能到达良好的精脱硫效果。</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在沼气进入干式脱硫塔之前，应设置有冷凝水罐或沼气颗粒过滤器。该装置可以消除沼气中夹杂的颗粒杂质，并使得沼气在进入脱硫前含有一定湿度。</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观察到脱硫剂变色，或系统压力损失过大时，应交替使用另一个脱硫塔。当前的脱硫塔在沼气放空后，进行自然通风，对脱硫剂进行再生。当再生效果不佳时，应从塔体底部将废弃的脱硫剂排除，在底部排放废弃填料的同时，相同体积的新鲜脱硫填料加入反应器中。</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2、脱硫效率</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有机物发酵时，由于微生物对蛋白质的分解会产生一定量的H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S气体进入沼气，其浓度范围一般在1~12g/m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，本项目采用干法脱硫工艺，类比国内同类工程可知，沼气干法脱硫工艺其脱硫效率达到99%以上，工艺结构简单、技术成熟可靠，造价低，经脱硫处理后，沼气中H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S浓度小于20mg/m</w:t>
      </w:r>
      <w:r>
        <w:rPr>
          <w:rFonts w:hint="eastAsia"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rPr>
        <w:t>，满足《规模化畜禽养殖场沼气工程设计规范》（NY/T1222-2006）的规定。</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3、沼气利用</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建设单位针对沼气资源的综合利用，考察了部分同类企业的沼气利用模式，主要的沼气利用去向是生活用能。根据建设单位提供方案，本项目沼气主要用于沼气食堂燃料，沼气经过脱硫装置脱硫，其目的是净化沼气，之后进入</w:t>
      </w:r>
      <w:r>
        <w:rPr>
          <w:rFonts w:hint="eastAsia" w:ascii="Times New Roman" w:hAnsi="Times New Roman" w:eastAsia="宋体" w:cs="Times New Roman"/>
          <w:color w:val="auto"/>
          <w:sz w:val="24"/>
          <w:szCs w:val="24"/>
          <w:lang w:eastAsia="zh-CN"/>
        </w:rPr>
        <w:t>双膜储气袋</w:t>
      </w:r>
      <w:r>
        <w:rPr>
          <w:rFonts w:hint="eastAsia" w:ascii="Times New Roman" w:hAnsi="Times New Roman" w:eastAsia="宋体" w:cs="Times New Roman"/>
          <w:color w:val="auto"/>
          <w:sz w:val="24"/>
          <w:szCs w:val="24"/>
        </w:rPr>
        <w:t>，净化后的沼气用于食堂燃气或沼气发电等，其设计由建设单位委托专业单位进行，购置相应设备，必须实现沼气完全燃烧，不可直接向大气环境排放</w:t>
      </w:r>
      <w:r>
        <w:rPr>
          <w:rFonts w:hint="eastAsia" w:ascii="Times New Roman" w:hAnsi="Times New Roman" w:eastAsia="宋体" w:cs="Times New Roman"/>
          <w:color w:val="auto"/>
          <w:sz w:val="24"/>
          <w:szCs w:val="24"/>
          <w:lang w:eastAsia="zh-CN"/>
        </w:rPr>
        <w:t>。</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综合以上分析，本项目沼气脱硫工艺合理可行</w:t>
      </w:r>
      <w:r>
        <w:rPr>
          <w:rFonts w:hint="eastAsia" w:ascii="Times New Roman" w:hAnsi="Times New Roman" w:eastAsia="宋体" w:cs="Times New Roman"/>
          <w:color w:val="auto"/>
          <w:sz w:val="24"/>
          <w:szCs w:val="24"/>
          <w:lang w:eastAsia="zh-CN"/>
        </w:rPr>
        <w:t>，处理方式可行。</w:t>
      </w:r>
    </w:p>
    <w:p>
      <w:pPr>
        <w:pStyle w:val="8"/>
        <w:rPr>
          <w:rFonts w:hint="eastAsia" w:cs="Times New Roman"/>
          <w:color w:val="auto"/>
          <w:lang w:val="en-US" w:eastAsia="zh-CN"/>
        </w:rPr>
      </w:pPr>
      <w:r>
        <w:rPr>
          <w:rFonts w:hint="eastAsia" w:cs="Times New Roman"/>
          <w:color w:val="auto"/>
          <w:lang w:val="en-US" w:eastAsia="zh-CN"/>
        </w:rPr>
        <w:t>柴油发电机废气</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本项目配备1台</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00kW的备用柴油发电机作为厂区的应急电源，当出现突发性停电，可自行发电供给养殖场使用。柴油发电机在使用过程中会产生废气，其主要成分为CO、HC、NOx。发电机房采用机械送、排风的形式，发电机房内保持着良好的通风性，柴油发电机产生的废气先由自身携带的废气净化装置处理，处理后经抽排风系统抽至排风口处排放。由于柴油发电机产生的废气量很小，采用上述措施后完全能够做到达标排放。</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备用发电机只有在停电时使用，备用发电机使用的频率很小，废气的排放间断性强，加上废气通过自由扩散后，浓度很小，对周围环境影响很小。同时，</w:t>
      </w:r>
      <w:r>
        <w:rPr>
          <w:rFonts w:ascii="Times New Roman" w:hAnsi="Times New Roman" w:eastAsia="宋体" w:cs="Times New Roman"/>
          <w:b/>
          <w:color w:val="auto"/>
          <w:sz w:val="24"/>
          <w:szCs w:val="24"/>
        </w:rPr>
        <w:t>环评建议项目使用0#号柴油，</w:t>
      </w:r>
      <w:r>
        <w:rPr>
          <w:rFonts w:ascii="Times New Roman" w:hAnsi="Times New Roman" w:eastAsia="宋体" w:cs="Times New Roman"/>
          <w:color w:val="auto"/>
          <w:sz w:val="24"/>
          <w:szCs w:val="24"/>
        </w:rPr>
        <w:t>0#柴油属于清洁能源，其燃烧产生的废气污染物较少，可进一步降低对外环境的不良影响。</w:t>
      </w:r>
    </w:p>
    <w:p>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综上所述，项目运营期拟采取的废气治理措施技术成熟可靠，不会对周围大气环境造成</w:t>
      </w:r>
      <w:r>
        <w:rPr>
          <w:rFonts w:hint="eastAsia" w:ascii="Times New Roman" w:hAnsi="Times New Roman" w:eastAsia="宋体" w:cs="Times New Roman"/>
          <w:b/>
          <w:color w:val="auto"/>
          <w:sz w:val="24"/>
          <w:szCs w:val="24"/>
        </w:rPr>
        <w:t>明显</w:t>
      </w:r>
      <w:r>
        <w:rPr>
          <w:rFonts w:ascii="Times New Roman" w:hAnsi="Times New Roman" w:eastAsia="宋体" w:cs="Times New Roman"/>
          <w:b/>
          <w:color w:val="auto"/>
          <w:sz w:val="24"/>
          <w:szCs w:val="24"/>
        </w:rPr>
        <w:t>不利影响。</w:t>
      </w:r>
    </w:p>
    <w:p>
      <w:pPr>
        <w:pStyle w:val="7"/>
        <w:spacing w:before="0" w:after="0" w:line="360" w:lineRule="auto"/>
        <w:ind w:left="0" w:firstLine="0"/>
        <w:rPr>
          <w:rFonts w:hint="default" w:cs="Times New Roman"/>
          <w:color w:val="auto"/>
          <w:lang w:val="en-US" w:eastAsia="zh-CN"/>
        </w:rPr>
      </w:pPr>
      <w:bookmarkStart w:id="275" w:name="_Toc8928"/>
      <w:r>
        <w:rPr>
          <w:rFonts w:hint="default" w:cs="Times New Roman"/>
          <w:color w:val="auto"/>
          <w:lang w:val="en-US" w:eastAsia="zh-CN"/>
        </w:rPr>
        <w:t>噪声防治措施论证分析</w:t>
      </w:r>
      <w:bookmarkEnd w:id="275"/>
    </w:p>
    <w:p>
      <w:pPr>
        <w:pStyle w:val="2"/>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项目养殖场内的猪舍为砖混结构，除门窗和排风口以外，为密闭养殖，墙体可隔音，并且养殖区周围为大面积的山林，易于降噪，本次评价对项目噪声防治提出以下要求和措施：</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水泵房采用混凝土结构，水泵加装减振器，进水管道设可曲挠管道橡胶伸缩接头以减小水锤冲击和水泵振动产生的噪声，连接水泵进出口的水管、进出机房隔墙处与运转设备连接的管道均采用减振吊架。</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应急柴油发电机，采用低噪声设备、对发电机组采取减振措施、发电机房采取隔声、吸声等降噪措施，出风口设置消声器。</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③</w:t>
      </w:r>
      <w:r>
        <w:rPr>
          <w:rFonts w:ascii="Times New Roman" w:hAnsi="Times New Roman" w:eastAsia="宋体" w:cs="Times New Roman"/>
          <w:color w:val="auto"/>
          <w:sz w:val="24"/>
          <w:szCs w:val="24"/>
        </w:rPr>
        <w:t>通风设备采用低噪声型，且其吊装设备采用减振吊装、落地式安装设备采用弹簧减振器或橡胶减振垫，进出口设软接头，风机进出口风管处安装消声设备，四周设置隔声墙。</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cs="宋体"/>
          <w:color w:val="auto"/>
          <w:sz w:val="24"/>
          <w:szCs w:val="24"/>
        </w:rPr>
        <w:t>④</w:t>
      </w:r>
      <w:r>
        <w:rPr>
          <w:rFonts w:ascii="Times New Roman" w:hAnsi="Times New Roman" w:eastAsia="宋体" w:cs="Times New Roman"/>
          <w:color w:val="auto"/>
          <w:sz w:val="24"/>
          <w:szCs w:val="24"/>
        </w:rPr>
        <w:t>污水处理设施污泥泵、鼓风机均安装在室内或地下，基座安装减振垫，采用墙体隔声，噪声影响较小。在运营过程中应加强设备的维护和管理，保持设备处于良好运转状态，避免设备运转不正常产生的高噪声。</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⑤</w:t>
      </w:r>
      <w:r>
        <w:rPr>
          <w:rFonts w:ascii="Times New Roman" w:hAnsi="Times New Roman" w:eastAsia="宋体" w:cs="Times New Roman"/>
          <w:color w:val="auto"/>
          <w:sz w:val="24"/>
          <w:szCs w:val="24"/>
        </w:rPr>
        <w:t>猪叫声属于间断性噪声源，养殖场通过合理安排饲养时间、注意管理，防止猪受到惊吓造成鸣叫而扰民；禁止非工作人员随意进场，减少对猪舍的干扰；猪舍墙壁为砖砌墙，墙中加60mm厚聚苯保温板，有效隔声降噪。将猪只运进和运出的时间安排在昼间，尽可能的减少猪叫噪声对周围居民的影响。</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⑥</w:t>
      </w:r>
      <w:r>
        <w:rPr>
          <w:rFonts w:ascii="Times New Roman" w:hAnsi="Times New Roman" w:eastAsia="宋体" w:cs="Times New Roman"/>
          <w:color w:val="auto"/>
          <w:sz w:val="24"/>
          <w:szCs w:val="24"/>
        </w:rPr>
        <w:t>场内对车辆采取限速、禁鸣的要求，可以有效降低车辆运输带来的噪声；另外，运输车辆沿途必须按规范操作，尽量少鸣笛，以免对周围村民生活造成影响或因鸣笛使猪只受到惊吓而鸣叫，从而产生扰民。</w:t>
      </w:r>
    </w:p>
    <w:p>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⑦</w:t>
      </w:r>
      <w:r>
        <w:rPr>
          <w:rFonts w:ascii="Times New Roman" w:hAnsi="Times New Roman" w:eastAsia="宋体" w:cs="Times New Roman"/>
          <w:color w:val="auto"/>
          <w:sz w:val="24"/>
          <w:szCs w:val="24"/>
        </w:rPr>
        <w:t>厂区四周种植乔木及灌木，加强场区内绿化，充分利用建筑物、绿化带阻隔声波传播；在绿化隔声的同时，吸收一定的臭气。</w:t>
      </w:r>
    </w:p>
    <w:p>
      <w:pPr>
        <w:ind w:firstLine="482"/>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以上措施是实用可行的，可收到较好的防噪、降噪效果。噪声防治投资约20万元，噪声防治措施经济技术可行</w:t>
      </w:r>
      <w:r>
        <w:rPr>
          <w:rFonts w:hint="eastAsia" w:ascii="Times New Roman" w:hAnsi="Times New Roman" w:eastAsia="宋体" w:cs="Times New Roman"/>
          <w:color w:val="auto"/>
          <w:sz w:val="24"/>
          <w:szCs w:val="24"/>
          <w:lang w:eastAsia="zh-CN"/>
        </w:rPr>
        <w:t>。</w:t>
      </w:r>
    </w:p>
    <w:p>
      <w:pPr>
        <w:spacing w:line="360" w:lineRule="auto"/>
        <w:ind w:firstLine="482" w:firstLineChars="200"/>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综上所述，本项目拟采取的噪声控制措施有效，经济技术可行。</w:t>
      </w:r>
    </w:p>
    <w:p>
      <w:pPr>
        <w:pStyle w:val="7"/>
        <w:spacing w:before="0" w:after="0" w:line="360" w:lineRule="auto"/>
        <w:ind w:left="0" w:firstLine="0"/>
        <w:rPr>
          <w:rFonts w:ascii="Times New Roman" w:hAnsi="Times New Roman" w:eastAsia="宋体" w:cs="Times New Roman"/>
          <w:color w:val="auto"/>
          <w:sz w:val="24"/>
          <w:szCs w:val="24"/>
        </w:rPr>
      </w:pPr>
      <w:bookmarkStart w:id="276" w:name="_Toc13724"/>
      <w:r>
        <w:rPr>
          <w:rFonts w:hint="default" w:cs="Times New Roman"/>
          <w:color w:val="auto"/>
          <w:lang w:val="en-US" w:eastAsia="zh-CN"/>
        </w:rPr>
        <w:t>固废处置措施论证分析</w:t>
      </w:r>
      <w:bookmarkEnd w:id="276"/>
    </w:p>
    <w:p>
      <w:pPr>
        <w:pStyle w:val="8"/>
        <w:rPr>
          <w:rFonts w:hint="eastAsia" w:cs="Times New Roman"/>
          <w:color w:val="auto"/>
          <w:lang w:val="en-US" w:eastAsia="zh-CN"/>
        </w:rPr>
      </w:pPr>
      <w:r>
        <w:rPr>
          <w:rFonts w:hint="eastAsia" w:cs="Times New Roman"/>
          <w:color w:val="auto"/>
          <w:lang w:val="en-US" w:eastAsia="zh-CN"/>
        </w:rPr>
        <w:t>固体废物污染防治措施可行性分析</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本项目</w:t>
      </w:r>
      <w:r>
        <w:rPr>
          <w:rFonts w:ascii="Times New Roman" w:hAnsi="Times New Roman" w:eastAsia="宋体" w:cs="Times New Roman"/>
          <w:color w:val="auto"/>
          <w:sz w:val="24"/>
          <w:szCs w:val="24"/>
          <w:lang w:val="zh-CN"/>
        </w:rPr>
        <w:t>生产运营过程中产生的固体废物主要为猪粪、污水处理设施污泥及沼渣、病死猪及胎盘、畜禽医疗废物、生活垃圾、废脱硫剂和废包装材料等。</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（1）猪粪防治措施技术可行性</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项目猪粪经堆肥车间发酵为有机肥，发酵后在粪肥储存间暂存，定期外售。因此，该工艺处理猪粪采取的措施可行。</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w:t>
      </w:r>
      <w:r>
        <w:rPr>
          <w:rFonts w:ascii="Times New Roman" w:hAnsi="Times New Roman" w:eastAsia="宋体" w:cs="Times New Roman"/>
          <w:color w:val="auto"/>
          <w:sz w:val="24"/>
          <w:szCs w:val="24"/>
          <w:lang w:val="zh-CN"/>
        </w:rPr>
        <w:t>2</w:t>
      </w:r>
      <w:r>
        <w:rPr>
          <w:rFonts w:hint="eastAsia" w:ascii="Times New Roman" w:hAnsi="Times New Roman" w:eastAsia="宋体" w:cs="Times New Roman"/>
          <w:color w:val="auto"/>
          <w:sz w:val="24"/>
          <w:szCs w:val="24"/>
          <w:lang w:val="zh-CN"/>
        </w:rPr>
        <w:t>）污水处理设施污泥及沼渣防治措施技术可行性</w:t>
      </w:r>
    </w:p>
    <w:p>
      <w:pPr>
        <w:spacing w:line="360" w:lineRule="auto"/>
        <w:ind w:firstLine="480" w:firstLineChars="200"/>
        <w:rPr>
          <w:rFonts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rPr>
        <w:t>污水处理设施产生的污泥及沼渣经收集脱水后与猪粪一并堆肥发酵后作为有机肥外售</w:t>
      </w:r>
      <w:r>
        <w:rPr>
          <w:rFonts w:hint="eastAsia" w:ascii="Times New Roman" w:hAnsi="Times New Roman" w:eastAsia="宋体" w:cs="Times New Roman"/>
          <w:color w:val="auto"/>
          <w:sz w:val="24"/>
          <w:szCs w:val="24"/>
          <w:lang w:val="zh-CN"/>
        </w:rPr>
        <w:t>，措施可行。</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w:t>
      </w:r>
      <w:r>
        <w:rPr>
          <w:rFonts w:ascii="Times New Roman" w:hAnsi="Times New Roman" w:eastAsia="宋体" w:cs="Times New Roman"/>
          <w:color w:val="auto"/>
          <w:sz w:val="24"/>
          <w:szCs w:val="24"/>
          <w:lang w:val="zh-CN"/>
        </w:rPr>
        <w:t>3</w:t>
      </w:r>
      <w:r>
        <w:rPr>
          <w:rFonts w:hint="eastAsia" w:ascii="Times New Roman" w:hAnsi="Times New Roman" w:eastAsia="宋体" w:cs="Times New Roman"/>
          <w:color w:val="auto"/>
          <w:sz w:val="24"/>
          <w:szCs w:val="24"/>
          <w:lang w:val="zh-CN"/>
        </w:rPr>
        <w:t>）病死猪及胎盘防治措施技术可行性</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根据《病死及病害动物无害化处理技术规范》（农医发【2017】25号附件）中无害化处理的定义，本项目采用高温法处理，本项目采用云浮市益康生环保科技有限公司专利产品（专利证书详见附件）无害化降解处理机处理病死猪只。目前该专利已在50余单位成功应用，取得优异的处理效果。处置后的废物用于肥料出售，且不产生二次污染。</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1）技术原理</w:t>
      </w: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采用高温生物发酵技术原理,利用设备产生的连续24h的高温(100PC)环境实现灭活病原体，利用芽孢杆菌分解的脂肪酶、蛋白质酶降解有机物的特性，实现动物尸体无害化降解处理。同时该设备综合分切、绞碎、发酵、杀菌、干燥等多个同步环节，把畜禽尸体等废弃物快速降解处理为有机肥原料。</w:t>
      </w:r>
    </w:p>
    <w:p>
      <w:pPr>
        <w:pStyle w:val="110"/>
        <w:rPr>
          <w:rFonts w:hint="eastAsia"/>
          <w:color w:val="auto"/>
          <w:lang w:val="en-US" w:eastAsia="zh-CN"/>
        </w:rPr>
      </w:pPr>
      <w:r>
        <w:rPr>
          <w:rFonts w:hint="eastAsia"/>
          <w:color w:val="auto"/>
          <w:lang w:val="en-US" w:eastAsia="zh-CN"/>
        </w:rPr>
        <w:t>降解益生菌工作原理：菌种主要是通过自身分泌高活性的蛋白酶及脂肪酶等酶系，释放到细胞外部，并与动物尸体接触后发生酶解作用，将动物尸体中的主要成分：蛋白质、脂肪等高分子物质逐步酶解成为低分子物质如短肽及脂肪酸，并通过多次循环作用将短肽及脂肪酸进一步降解为氨基酸、乙酰辅酶 A 等单体。这些单体物质进入菌种体内，被菌种体内的三羧酸循环等代谢途径彻底分解为二氧化碳、水等物质，从而实现动物尸体的降解。</w:t>
      </w:r>
    </w:p>
    <w:p>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害化降解处理机与传统处理方法对比见表 6-2。</w:t>
      </w:r>
    </w:p>
    <w:p>
      <w:pPr>
        <w:pStyle w:val="110"/>
        <w:rPr>
          <w:rFonts w:hint="eastAsia"/>
          <w:color w:val="auto"/>
          <w:lang w:val="en-US" w:eastAsia="zh-CN"/>
        </w:rPr>
      </w:pPr>
      <w:r>
        <w:rPr>
          <w:rFonts w:hint="eastAsia"/>
          <w:color w:val="auto"/>
          <w:lang w:val="en-US" w:eastAsia="zh-CN"/>
        </w:rPr>
        <w:t>表 6-2 无害化降解处理机与传统方 法对比</w:t>
      </w:r>
    </w:p>
    <w:tbl>
      <w:tblPr>
        <w:tblStyle w:val="88"/>
        <w:tblW w:w="4998" w:type="pct"/>
        <w:tblInd w:w="0" w:type="dxa"/>
        <w:tblLayout w:type="autofit"/>
        <w:tblCellMar>
          <w:top w:w="0" w:type="dxa"/>
          <w:left w:w="0" w:type="dxa"/>
          <w:bottom w:w="0" w:type="dxa"/>
          <w:right w:w="0" w:type="dxa"/>
        </w:tblCellMar>
      </w:tblPr>
      <w:tblGrid>
        <w:gridCol w:w="993"/>
        <w:gridCol w:w="1566"/>
        <w:gridCol w:w="1584"/>
        <w:gridCol w:w="1584"/>
        <w:gridCol w:w="1584"/>
        <w:gridCol w:w="992"/>
      </w:tblGrid>
      <w:tr>
        <w:tblPrEx>
          <w:tblCellMar>
            <w:top w:w="0" w:type="dxa"/>
            <w:left w:w="0" w:type="dxa"/>
            <w:bottom w:w="0" w:type="dxa"/>
            <w:right w:w="0" w:type="dxa"/>
          </w:tblCellMar>
        </w:tblPrEx>
        <w:tc>
          <w:tcPr>
            <w:tcW w:w="598" w:type="pct"/>
            <w:tcBorders>
              <w:top w:val="single" w:color="auto" w:sz="12"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rPr>
            </w:pPr>
            <w:r>
              <w:rPr>
                <w:rFonts w:hint="default"/>
                <w:b/>
                <w:color w:val="auto"/>
                <w:sz w:val="21"/>
                <w:szCs w:val="21"/>
              </w:rPr>
              <w:t>处理方法</w:t>
            </w:r>
          </w:p>
        </w:tc>
        <w:tc>
          <w:tcPr>
            <w:tcW w:w="942" w:type="pct"/>
            <w:tcBorders>
              <w:top w:val="single" w:color="auto" w:sz="12"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rPr>
            </w:pPr>
            <w:r>
              <w:rPr>
                <w:rFonts w:hint="default"/>
                <w:b/>
                <w:color w:val="auto"/>
                <w:sz w:val="21"/>
                <w:szCs w:val="21"/>
              </w:rPr>
              <w:t>高温生物降解法</w:t>
            </w:r>
          </w:p>
        </w:tc>
        <w:tc>
          <w:tcPr>
            <w:tcW w:w="953" w:type="pct"/>
            <w:tcBorders>
              <w:top w:val="single" w:color="auto" w:sz="12"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sz w:val="21"/>
                <w:szCs w:val="21"/>
              </w:rPr>
            </w:pPr>
            <w:r>
              <w:rPr>
                <w:rFonts w:hint="default"/>
                <w:b/>
                <w:color w:val="auto"/>
                <w:sz w:val="21"/>
                <w:szCs w:val="21"/>
              </w:rPr>
              <w:t>填埋法</w:t>
            </w:r>
          </w:p>
        </w:tc>
        <w:tc>
          <w:tcPr>
            <w:tcW w:w="953" w:type="pct"/>
            <w:tcBorders>
              <w:top w:val="single" w:color="auto" w:sz="12"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sz w:val="21"/>
                <w:szCs w:val="21"/>
              </w:rPr>
            </w:pPr>
            <w:r>
              <w:rPr>
                <w:rFonts w:hint="default"/>
                <w:b/>
                <w:color w:val="auto"/>
                <w:sz w:val="21"/>
                <w:szCs w:val="21"/>
              </w:rPr>
              <w:t xml:space="preserve">焚烧法 </w:t>
            </w:r>
          </w:p>
        </w:tc>
        <w:tc>
          <w:tcPr>
            <w:tcW w:w="953" w:type="pct"/>
            <w:tcBorders>
              <w:top w:val="single" w:color="auto" w:sz="12"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rPr>
            </w:pPr>
            <w:r>
              <w:rPr>
                <w:rFonts w:hint="default"/>
                <w:b/>
                <w:color w:val="auto"/>
                <w:sz w:val="21"/>
                <w:szCs w:val="21"/>
              </w:rPr>
              <w:t>化制法</w:t>
            </w:r>
          </w:p>
        </w:tc>
        <w:tc>
          <w:tcPr>
            <w:tcW w:w="597" w:type="pct"/>
            <w:tcBorders>
              <w:top w:val="single" w:color="auto" w:sz="12"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43" w:beforeAutospacing="0" w:after="0" w:afterAutospacing="0"/>
              <w:ind w:left="0" w:right="0"/>
              <w:jc w:val="center"/>
              <w:rPr>
                <w:rFonts w:hint="default"/>
                <w:b/>
                <w:color w:val="auto"/>
              </w:rPr>
            </w:pPr>
            <w:r>
              <w:rPr>
                <w:rFonts w:hint="default"/>
                <w:b/>
                <w:color w:val="auto"/>
                <w:sz w:val="21"/>
                <w:szCs w:val="21"/>
              </w:rPr>
              <w:t>化尸池</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rPr>
            </w:pPr>
            <w:r>
              <w:rPr>
                <w:rFonts w:hint="default"/>
                <w:color w:val="auto"/>
                <w:sz w:val="21"/>
                <w:szCs w:val="21"/>
              </w:rPr>
              <w:t>原理</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sz w:val="21"/>
                <w:szCs w:val="21"/>
              </w:rPr>
            </w:pPr>
            <w:r>
              <w:rPr>
                <w:rFonts w:hint="default"/>
                <w:color w:val="auto"/>
                <w:sz w:val="21"/>
                <w:szCs w:val="21"/>
              </w:rPr>
              <w:t>机械设备中微</w:t>
            </w:r>
          </w:p>
          <w:p>
            <w:pPr>
              <w:pStyle w:val="163"/>
              <w:keepNext w:val="0"/>
              <w:keepLines w:val="0"/>
              <w:suppressLineNumbers w:val="0"/>
              <w:kinsoku w:val="0"/>
              <w:overflowPunct w:val="0"/>
              <w:spacing w:before="42" w:beforeAutospacing="0" w:after="0" w:afterAutospacing="0"/>
              <w:ind w:left="0" w:right="0"/>
              <w:jc w:val="center"/>
              <w:rPr>
                <w:rFonts w:hint="default"/>
                <w:color w:val="auto"/>
              </w:rPr>
            </w:pPr>
            <w:r>
              <w:rPr>
                <w:rFonts w:hint="default"/>
                <w:color w:val="auto"/>
                <w:sz w:val="21"/>
                <w:szCs w:val="21"/>
              </w:rPr>
              <w:t>生物分解</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sz w:val="21"/>
                <w:szCs w:val="21"/>
              </w:rPr>
            </w:pPr>
            <w:r>
              <w:rPr>
                <w:rFonts w:hint="default"/>
                <w:color w:val="auto"/>
                <w:sz w:val="21"/>
                <w:szCs w:val="21"/>
              </w:rPr>
              <w:t>土壤微生物分</w:t>
            </w:r>
          </w:p>
          <w:p>
            <w:pPr>
              <w:pStyle w:val="163"/>
              <w:keepNext w:val="0"/>
              <w:keepLines w:val="0"/>
              <w:suppressLineNumbers w:val="0"/>
              <w:kinsoku w:val="0"/>
              <w:overflowPunct w:val="0"/>
              <w:spacing w:before="42" w:beforeAutospacing="0" w:after="0" w:afterAutospacing="0"/>
              <w:ind w:left="0" w:right="0"/>
              <w:jc w:val="center"/>
              <w:rPr>
                <w:rFonts w:hint="default"/>
                <w:color w:val="auto"/>
                <w:sz w:val="21"/>
                <w:szCs w:val="21"/>
              </w:rPr>
            </w:pPr>
            <w:r>
              <w:rPr>
                <w:rFonts w:hint="default"/>
                <w:color w:val="auto"/>
                <w:sz w:val="21"/>
                <w:szCs w:val="21"/>
              </w:rPr>
              <w:t>解</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sz w:val="21"/>
                <w:szCs w:val="21"/>
              </w:rPr>
            </w:pPr>
            <w:r>
              <w:rPr>
                <w:rFonts w:hint="default"/>
                <w:color w:val="auto"/>
                <w:sz w:val="21"/>
                <w:szCs w:val="21"/>
              </w:rPr>
              <w:t xml:space="preserve">高温焚烧 </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rPr>
            </w:pPr>
            <w:r>
              <w:rPr>
                <w:rFonts w:hint="default"/>
                <w:color w:val="auto"/>
                <w:sz w:val="21"/>
                <w:szCs w:val="21"/>
              </w:rPr>
              <w:t xml:space="preserve">湿热高温高压 </w:t>
            </w:r>
          </w:p>
        </w:tc>
        <w:tc>
          <w:tcPr>
            <w:tcW w:w="597" w:type="pct"/>
            <w:tcBorders>
              <w:top w:val="single" w:color="000000" w:sz="4"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rPr>
            </w:pPr>
            <w:r>
              <w:rPr>
                <w:rFonts w:hint="default"/>
                <w:color w:val="auto"/>
                <w:sz w:val="21"/>
                <w:szCs w:val="21"/>
              </w:rPr>
              <w:t>微生物发酵</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default"/>
                <w:color w:val="auto"/>
              </w:rPr>
            </w:pPr>
            <w:r>
              <w:rPr>
                <w:rFonts w:hint="default"/>
                <w:color w:val="auto"/>
                <w:sz w:val="21"/>
                <w:szCs w:val="21"/>
              </w:rPr>
              <w:t>初始投资</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rPr>
            </w:pPr>
            <w:r>
              <w:rPr>
                <w:rFonts w:hint="default"/>
                <w:color w:val="auto"/>
                <w:sz w:val="21"/>
                <w:szCs w:val="21"/>
              </w:rPr>
              <w:t>中</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低</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中</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2" w:beforeAutospacing="0" w:after="0" w:afterAutospacing="0"/>
              <w:ind w:left="0" w:right="0"/>
              <w:jc w:val="center"/>
              <w:rPr>
                <w:rFonts w:hint="eastAsia" w:eastAsia="宋体"/>
                <w:color w:val="auto"/>
                <w:lang w:eastAsia="zh-CN"/>
              </w:rPr>
            </w:pPr>
            <w:r>
              <w:rPr>
                <w:rFonts w:hint="eastAsia"/>
                <w:color w:val="auto"/>
                <w:sz w:val="21"/>
                <w:szCs w:val="21"/>
                <w:lang w:eastAsia="zh-CN"/>
              </w:rPr>
              <w:t>较高</w:t>
            </w:r>
          </w:p>
        </w:tc>
        <w:tc>
          <w:tcPr>
            <w:tcW w:w="597" w:type="pct"/>
            <w:tcBorders>
              <w:top w:val="single" w:color="000000" w:sz="4"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lang w:eastAsia="zh-CN"/>
              </w:rPr>
            </w:pPr>
            <w:r>
              <w:rPr>
                <w:rFonts w:hint="eastAsia"/>
                <w:color w:val="auto"/>
                <w:sz w:val="21"/>
                <w:szCs w:val="21"/>
                <w:lang w:eastAsia="zh-CN"/>
              </w:rPr>
              <w:t>较高</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default"/>
                <w:color w:val="auto"/>
              </w:rPr>
            </w:pPr>
            <w:r>
              <w:rPr>
                <w:rFonts w:hint="default"/>
                <w:color w:val="auto"/>
                <w:sz w:val="21"/>
                <w:szCs w:val="21"/>
              </w:rPr>
              <w:t>无害化程度</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lang w:eastAsia="zh-CN"/>
              </w:rPr>
            </w:pPr>
            <w:r>
              <w:rPr>
                <w:rFonts w:hint="eastAsia"/>
                <w:color w:val="auto"/>
                <w:sz w:val="21"/>
                <w:szCs w:val="21"/>
                <w:lang w:eastAsia="zh-CN"/>
              </w:rPr>
              <w:t>好</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差</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好</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eastAsia" w:eastAsia="宋体"/>
                <w:color w:val="auto"/>
                <w:lang w:eastAsia="zh-CN"/>
              </w:rPr>
            </w:pPr>
            <w:r>
              <w:rPr>
                <w:rFonts w:hint="eastAsia"/>
                <w:color w:val="auto"/>
                <w:sz w:val="21"/>
                <w:szCs w:val="21"/>
                <w:lang w:eastAsia="zh-CN"/>
              </w:rPr>
              <w:t>较快</w:t>
            </w:r>
          </w:p>
        </w:tc>
        <w:tc>
          <w:tcPr>
            <w:tcW w:w="597" w:type="pct"/>
            <w:tcBorders>
              <w:top w:val="single" w:color="000000" w:sz="4"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lang w:eastAsia="zh-CN"/>
              </w:rPr>
            </w:pPr>
            <w:r>
              <w:rPr>
                <w:rFonts w:hint="eastAsia"/>
                <w:color w:val="auto"/>
                <w:sz w:val="21"/>
                <w:szCs w:val="21"/>
                <w:lang w:eastAsia="zh-CN"/>
              </w:rPr>
              <w:t>差</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default"/>
                <w:color w:val="auto"/>
                <w:sz w:val="21"/>
                <w:szCs w:val="21"/>
              </w:rPr>
            </w:pPr>
            <w:r>
              <w:rPr>
                <w:rFonts w:hint="default"/>
                <w:color w:val="auto"/>
                <w:sz w:val="21"/>
                <w:szCs w:val="21"/>
              </w:rPr>
              <w:t>处理周期</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较快</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长</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快</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较快</w:t>
            </w:r>
          </w:p>
        </w:tc>
        <w:tc>
          <w:tcPr>
            <w:tcW w:w="597" w:type="pct"/>
            <w:tcBorders>
              <w:top w:val="single" w:color="000000" w:sz="4"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较长</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default"/>
                <w:color w:val="auto"/>
                <w:sz w:val="21"/>
                <w:szCs w:val="21"/>
              </w:rPr>
            </w:pPr>
            <w:r>
              <w:rPr>
                <w:rFonts w:hint="default"/>
                <w:color w:val="auto"/>
                <w:sz w:val="21"/>
                <w:szCs w:val="21"/>
              </w:rPr>
              <w:t>运行费用</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中</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default"/>
                <w:color w:val="auto"/>
                <w:sz w:val="21"/>
                <w:szCs w:val="21"/>
              </w:rPr>
              <w:t>较高（人工及挖坑机械费</w:t>
            </w:r>
            <w:r>
              <w:rPr>
                <w:rFonts w:hint="eastAsia"/>
                <w:color w:val="auto"/>
                <w:sz w:val="21"/>
                <w:szCs w:val="21"/>
                <w:lang w:eastAsia="zh-CN"/>
              </w:rPr>
              <w:t>用）</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高</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高</w:t>
            </w:r>
          </w:p>
        </w:tc>
        <w:tc>
          <w:tcPr>
            <w:tcW w:w="597" w:type="pct"/>
            <w:tcBorders>
              <w:top w:val="single" w:color="000000" w:sz="4"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低</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default"/>
                <w:color w:val="auto"/>
                <w:sz w:val="21"/>
                <w:szCs w:val="21"/>
              </w:rPr>
            </w:pPr>
            <w:r>
              <w:rPr>
                <w:rFonts w:hint="default"/>
                <w:color w:val="auto"/>
                <w:sz w:val="21"/>
                <w:szCs w:val="21"/>
              </w:rPr>
              <w:t>经济收益</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肥料</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无</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无</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油、骨粉</w:t>
            </w:r>
          </w:p>
        </w:tc>
        <w:tc>
          <w:tcPr>
            <w:tcW w:w="597" w:type="pct"/>
            <w:tcBorders>
              <w:top w:val="single" w:color="000000" w:sz="4" w:space="0"/>
              <w:left w:val="single" w:color="000000" w:sz="6" w:space="0"/>
              <w:bottom w:val="single" w:color="000000" w:sz="4"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无</w:t>
            </w:r>
          </w:p>
        </w:tc>
      </w:tr>
      <w:tr>
        <w:tblPrEx>
          <w:tblCellMar>
            <w:top w:w="0" w:type="dxa"/>
            <w:left w:w="0" w:type="dxa"/>
            <w:bottom w:w="0" w:type="dxa"/>
            <w:right w:w="0" w:type="dxa"/>
          </w:tblCellMar>
        </w:tblPrEx>
        <w:tc>
          <w:tcPr>
            <w:tcW w:w="598" w:type="pct"/>
            <w:tcBorders>
              <w:top w:val="single" w:color="000000" w:sz="4" w:space="0"/>
              <w:bottom w:val="single" w:color="auto" w:sz="12"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default"/>
                <w:color w:val="auto"/>
                <w:sz w:val="21"/>
                <w:szCs w:val="21"/>
              </w:rPr>
            </w:pPr>
            <w:r>
              <w:rPr>
                <w:rFonts w:hint="default"/>
                <w:color w:val="auto"/>
                <w:sz w:val="21"/>
                <w:szCs w:val="21"/>
              </w:rPr>
              <w:t>运营风险</w:t>
            </w:r>
          </w:p>
        </w:tc>
        <w:tc>
          <w:tcPr>
            <w:tcW w:w="942" w:type="pct"/>
            <w:tcBorders>
              <w:top w:val="single" w:color="000000" w:sz="4" w:space="0"/>
              <w:left w:val="single" w:color="000000" w:sz="6" w:space="0"/>
              <w:bottom w:val="single" w:color="auto" w:sz="12"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低</w:t>
            </w:r>
          </w:p>
        </w:tc>
        <w:tc>
          <w:tcPr>
            <w:tcW w:w="953" w:type="pct"/>
            <w:tcBorders>
              <w:top w:val="single" w:color="000000" w:sz="4" w:space="0"/>
              <w:left w:val="single" w:color="000000" w:sz="6" w:space="0"/>
              <w:bottom w:val="single" w:color="auto" w:sz="12"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sz w:val="21"/>
                <w:szCs w:val="21"/>
              </w:rPr>
            </w:pPr>
            <w:r>
              <w:rPr>
                <w:rFonts w:hint="default"/>
                <w:color w:val="auto"/>
                <w:sz w:val="21"/>
                <w:szCs w:val="21"/>
              </w:rPr>
              <w:t>高（监管不便）</w:t>
            </w:r>
          </w:p>
        </w:tc>
        <w:tc>
          <w:tcPr>
            <w:tcW w:w="953" w:type="pct"/>
            <w:tcBorders>
              <w:top w:val="single" w:color="000000" w:sz="4" w:space="0"/>
              <w:left w:val="single" w:color="000000" w:sz="6" w:space="0"/>
              <w:bottom w:val="single" w:color="auto" w:sz="12" w:space="0"/>
              <w:right w:val="single" w:color="000000" w:sz="6"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sz w:val="21"/>
                <w:szCs w:val="21"/>
              </w:rPr>
            </w:pPr>
            <w:r>
              <w:rPr>
                <w:rFonts w:hint="default"/>
                <w:color w:val="auto"/>
                <w:sz w:val="21"/>
                <w:szCs w:val="21"/>
              </w:rPr>
              <w:t>高（环保）</w:t>
            </w:r>
          </w:p>
        </w:tc>
        <w:tc>
          <w:tcPr>
            <w:tcW w:w="953" w:type="pct"/>
            <w:tcBorders>
              <w:top w:val="single" w:color="000000" w:sz="4" w:space="0"/>
              <w:left w:val="single" w:color="000000" w:sz="6" w:space="0"/>
              <w:bottom w:val="single" w:color="auto" w:sz="12" w:space="0"/>
              <w:right w:val="single" w:color="000000" w:sz="6" w:space="0"/>
            </w:tcBorders>
            <w:noWrap w:val="0"/>
            <w:vAlign w:val="center"/>
          </w:tcPr>
          <w:p>
            <w:pPr>
              <w:pStyle w:val="163"/>
              <w:keepNext w:val="0"/>
              <w:keepLines w:val="0"/>
              <w:suppressLineNumbers w:val="0"/>
              <w:kinsoku w:val="0"/>
              <w:overflowPunct w:val="0"/>
              <w:spacing w:before="41" w:beforeAutospacing="0" w:after="0" w:afterAutospacing="0"/>
              <w:ind w:left="0" w:right="0"/>
              <w:jc w:val="center"/>
              <w:rPr>
                <w:rFonts w:hint="default"/>
                <w:color w:val="auto"/>
                <w:sz w:val="21"/>
                <w:szCs w:val="21"/>
              </w:rPr>
            </w:pPr>
            <w:r>
              <w:rPr>
                <w:rFonts w:hint="default"/>
                <w:color w:val="auto"/>
                <w:sz w:val="21"/>
                <w:szCs w:val="21"/>
              </w:rPr>
              <w:t>高（食品安全、卫生安全等）</w:t>
            </w:r>
          </w:p>
        </w:tc>
        <w:tc>
          <w:tcPr>
            <w:tcW w:w="597" w:type="pct"/>
            <w:tcBorders>
              <w:top w:val="single" w:color="000000" w:sz="4" w:space="0"/>
              <w:left w:val="single" w:color="000000" w:sz="6" w:space="0"/>
              <w:bottom w:val="single" w:color="auto" w:sz="12" w:space="0"/>
            </w:tcBorders>
            <w:noWrap w:val="0"/>
            <w:vAlign w:val="center"/>
          </w:tcPr>
          <w:p>
            <w:pPr>
              <w:pStyle w:val="163"/>
              <w:keepNext w:val="0"/>
              <w:keepLines w:val="0"/>
              <w:suppressLineNumbers w:val="0"/>
              <w:kinsoku w:val="0"/>
              <w:overflowPunct w:val="0"/>
              <w:spacing w:before="91" w:beforeAutospacing="0" w:after="0" w:afterAutospacing="0"/>
              <w:ind w:left="0" w:right="0"/>
              <w:jc w:val="center"/>
              <w:rPr>
                <w:rFonts w:hint="default"/>
                <w:color w:val="auto"/>
                <w:sz w:val="21"/>
                <w:szCs w:val="21"/>
              </w:rPr>
            </w:pPr>
            <w:r>
              <w:rPr>
                <w:rFonts w:hint="default"/>
                <w:color w:val="auto"/>
                <w:sz w:val="21"/>
                <w:szCs w:val="21"/>
              </w:rPr>
              <w:t>高（环保）</w:t>
            </w:r>
          </w:p>
        </w:tc>
      </w:tr>
    </w:tbl>
    <w:p>
      <w:pPr>
        <w:pStyle w:val="11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本项目采取无害化降解处理机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高温生物降解法</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处理成本约为0.3元/kg，年处理量约为</w:t>
      </w:r>
      <w:r>
        <w:rPr>
          <w:rFonts w:hint="eastAsia" w:ascii="Times New Roman" w:hAnsi="Times New Roman" w:cs="Times New Roman"/>
          <w:color w:val="auto"/>
          <w:lang w:val="en-US" w:eastAsia="zh-CN"/>
        </w:rPr>
        <w:t>787.69</w:t>
      </w:r>
      <w:r>
        <w:rPr>
          <w:rFonts w:hint="default" w:ascii="Times New Roman" w:hAnsi="Times New Roman" w:cs="Times New Roman"/>
          <w:color w:val="auto"/>
          <w:lang w:val="en-US" w:eastAsia="zh-CN"/>
        </w:rPr>
        <w:t>t/a。因此，本项目无害化降解处理机产生的废气达到《禽畜养殖业污染物排放标准》（GB18596-2001）和《恶臭污染物排放标准》（GB14554-93）标准要求，治理措施可行。</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（4）畜禽医疗废物防治措施技术可行性</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猪只防疫、消毒会产生废疫苗瓶、废消毒剂瓶、针头等医疗废物，场区内应临时贮存（危废暂存间），产生量约</w:t>
      </w:r>
      <w:r>
        <w:rPr>
          <w:rFonts w:hint="eastAsia" w:ascii="Times New Roman" w:hAnsi="Times New Roman" w:eastAsia="宋体" w:cs="Times New Roman"/>
          <w:color w:val="auto"/>
          <w:sz w:val="24"/>
          <w:szCs w:val="24"/>
          <w:lang w:val="en-US" w:eastAsia="zh-CN"/>
        </w:rPr>
        <w:t>1</w:t>
      </w:r>
      <w:r>
        <w:rPr>
          <w:rFonts w:ascii="Times New Roman" w:hAnsi="Times New Roman" w:eastAsia="宋体" w:cs="Times New Roman"/>
          <w:color w:val="auto"/>
          <w:sz w:val="24"/>
          <w:szCs w:val="24"/>
          <w:lang w:val="zh-CN"/>
        </w:rPr>
        <w:t>t/a，定期交由</w:t>
      </w:r>
      <w:r>
        <w:rPr>
          <w:rFonts w:ascii="Times New Roman" w:hAnsi="Times New Roman" w:eastAsia="宋体" w:cs="Times New Roman"/>
          <w:color w:val="auto"/>
          <w:sz w:val="24"/>
          <w:szCs w:val="24"/>
        </w:rPr>
        <w:t>具有相应资质类别的危险废物处置单位处置</w:t>
      </w:r>
      <w:r>
        <w:rPr>
          <w:rFonts w:ascii="Times New Roman" w:hAnsi="Times New Roman" w:eastAsia="宋体" w:cs="Times New Roman"/>
          <w:color w:val="auto"/>
          <w:sz w:val="24"/>
          <w:szCs w:val="24"/>
          <w:lang w:val="zh-CN"/>
        </w:rPr>
        <w:t>。</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 xml:space="preserve">厂区设置单独的危废暂存间，危废暂存间的设置应按照《危险废物贮存污染控制标准》（GB18597-2001）3.3中贮存设施的标准，执行重点防渗（等效黏土防渗层 </w:t>
      </w:r>
      <w:r>
        <w:rPr>
          <w:rFonts w:hint="eastAsia" w:ascii="Times New Roman" w:hAnsi="Times New Roman" w:eastAsia="宋体" w:cs="Times New Roman"/>
          <w:color w:val="auto"/>
          <w:sz w:val="24"/>
          <w:szCs w:val="24"/>
        </w:rPr>
        <w:t>K</w:t>
      </w:r>
      <w:r>
        <w:rPr>
          <w:rFonts w:ascii="Times New Roman" w:hAnsi="Times New Roman" w:eastAsia="宋体" w:cs="Times New Roman"/>
          <w:color w:val="auto"/>
          <w:sz w:val="24"/>
          <w:szCs w:val="24"/>
          <w:lang w:val="zh-CN"/>
        </w:rPr>
        <w:t>≤10</w:t>
      </w:r>
      <w:r>
        <w:rPr>
          <w:rFonts w:ascii="Times New Roman" w:hAnsi="Times New Roman" w:eastAsia="宋体" w:cs="Times New Roman"/>
          <w:color w:val="auto"/>
          <w:sz w:val="24"/>
          <w:szCs w:val="24"/>
          <w:vertAlign w:val="superscript"/>
          <w:lang w:val="zh-CN"/>
        </w:rPr>
        <w:t>-</w:t>
      </w:r>
      <w:r>
        <w:rPr>
          <w:rFonts w:hint="eastAsia" w:ascii="Times New Roman" w:hAnsi="Times New Roman" w:eastAsia="宋体" w:cs="Times New Roman"/>
          <w:color w:val="auto"/>
          <w:sz w:val="24"/>
          <w:szCs w:val="24"/>
          <w:vertAlign w:val="superscript"/>
        </w:rPr>
        <w:t>10</w:t>
      </w:r>
      <w:r>
        <w:rPr>
          <w:rFonts w:ascii="Times New Roman" w:hAnsi="Times New Roman" w:eastAsia="宋体" w:cs="Times New Roman"/>
          <w:color w:val="auto"/>
          <w:sz w:val="24"/>
          <w:szCs w:val="24"/>
          <w:lang w:val="zh-CN"/>
        </w:rPr>
        <w:t>cm/s）。该工艺处理医疗废物，措施可行。</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（5）生活垃圾防治措施技术可行性</w:t>
      </w:r>
    </w:p>
    <w:p>
      <w:pPr>
        <w:spacing w:line="360" w:lineRule="auto"/>
        <w:ind w:firstLine="480" w:firstLineChars="200"/>
        <w:rPr>
          <w:rFonts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生活垃圾的产生量为</w:t>
      </w:r>
      <w:r>
        <w:rPr>
          <w:rFonts w:ascii="Times New Roman" w:hAnsi="Times New Roman" w:eastAsia="宋体" w:cs="Times New Roman"/>
          <w:color w:val="auto"/>
          <w:sz w:val="24"/>
          <w:szCs w:val="24"/>
          <w:lang w:val="zh-CN"/>
        </w:rPr>
        <w:t>21.9</w:t>
      </w:r>
      <w:r>
        <w:rPr>
          <w:rFonts w:hint="eastAsia" w:ascii="Times New Roman" w:hAnsi="Times New Roman" w:eastAsia="宋体" w:cs="Times New Roman"/>
          <w:color w:val="auto"/>
          <w:sz w:val="24"/>
          <w:szCs w:val="24"/>
          <w:lang w:val="zh-CN"/>
        </w:rPr>
        <w:t>t/a，</w:t>
      </w:r>
      <w:r>
        <w:rPr>
          <w:rFonts w:ascii="Times New Roman" w:hAnsi="Times New Roman" w:eastAsia="宋体" w:cs="Times New Roman"/>
          <w:color w:val="auto"/>
          <w:sz w:val="24"/>
          <w:szCs w:val="24"/>
        </w:rPr>
        <w:t>生活垃圾袋装收集后暂存于生活垃圾暂存间，并及时运往垃圾中转站，由环卫部门统一清运处置</w:t>
      </w:r>
      <w:r>
        <w:rPr>
          <w:rFonts w:hint="eastAsia" w:ascii="Times New Roman" w:hAnsi="Times New Roman" w:eastAsia="宋体" w:cs="Times New Roman"/>
          <w:color w:val="auto"/>
          <w:sz w:val="24"/>
          <w:szCs w:val="24"/>
          <w:lang w:val="zh-CN"/>
        </w:rPr>
        <w:t>，对外环境影响较小。项目生活垃圾收集处置措施可行。</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（6）废脱硫剂防治措施技术可行性</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沼气中所含水及硫化氢拟采用干式脱硫塔处理，吸附剂为Fe</w:t>
      </w:r>
      <w:r>
        <w:rPr>
          <w:rFonts w:hint="eastAsia" w:ascii="Times New Roman" w:hAnsi="Times New Roman" w:eastAsia="宋体" w:cs="Times New Roman"/>
          <w:color w:val="auto"/>
          <w:sz w:val="24"/>
          <w:szCs w:val="24"/>
          <w:vertAlign w:val="subscript"/>
          <w:lang w:val="zh-CN"/>
        </w:rPr>
        <w:t>2</w:t>
      </w:r>
      <w:r>
        <w:rPr>
          <w:rFonts w:hint="eastAsia" w:ascii="Times New Roman" w:hAnsi="Times New Roman" w:eastAsia="宋体" w:cs="Times New Roman"/>
          <w:color w:val="auto"/>
          <w:sz w:val="24"/>
          <w:szCs w:val="24"/>
          <w:lang w:val="zh-CN"/>
        </w:rPr>
        <w:t>O</w:t>
      </w:r>
      <w:r>
        <w:rPr>
          <w:rFonts w:hint="eastAsia" w:ascii="Times New Roman" w:hAnsi="Times New Roman" w:eastAsia="宋体" w:cs="Times New Roman"/>
          <w:color w:val="auto"/>
          <w:sz w:val="24"/>
          <w:szCs w:val="24"/>
          <w:vertAlign w:val="subscript"/>
          <w:lang w:val="zh-CN"/>
        </w:rPr>
        <w:t>3</w:t>
      </w:r>
      <w:r>
        <w:rPr>
          <w:rFonts w:hint="eastAsia" w:ascii="Times New Roman" w:hAnsi="Times New Roman" w:eastAsia="宋体" w:cs="Times New Roman"/>
          <w:color w:val="auto"/>
          <w:sz w:val="24"/>
          <w:szCs w:val="24"/>
          <w:lang w:val="zh-CN"/>
        </w:rPr>
        <w:t>，干式脱硫塔处理过程中产生的废脱硫剂由原厂家回收再利用，不会产生二次污染物，措施可行。</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（7）项目运行过程中产生的废饲料包装袋、废纸箱等各种原辅材料的废包装材料</w:t>
      </w:r>
      <w:r>
        <w:rPr>
          <w:rFonts w:hint="eastAsia" w:ascii="Times New Roman" w:hAnsi="Times New Roman" w:eastAsia="宋体" w:cs="Times New Roman"/>
          <w:color w:val="auto"/>
          <w:sz w:val="24"/>
          <w:szCs w:val="24"/>
        </w:rPr>
        <w:t>收集后定期外售废品回收站，不会对环境产生影响。</w:t>
      </w:r>
    </w:p>
    <w:p>
      <w:pPr>
        <w:spacing w:line="360" w:lineRule="auto"/>
        <w:ind w:firstLine="482" w:firstLineChars="200"/>
        <w:rPr>
          <w:rFonts w:ascii="Times New Roman" w:hAnsi="Times New Roman" w:eastAsia="宋体" w:cs="Times New Roman"/>
          <w:color w:val="auto"/>
          <w:sz w:val="24"/>
          <w:szCs w:val="24"/>
          <w:lang w:val="zh-CN"/>
        </w:rPr>
      </w:pPr>
      <w:r>
        <w:rPr>
          <w:rFonts w:ascii="Times New Roman" w:hAnsi="Times New Roman" w:eastAsia="宋体" w:cs="Times New Roman"/>
          <w:b/>
          <w:color w:val="auto"/>
          <w:sz w:val="24"/>
          <w:szCs w:val="24"/>
        </w:rPr>
        <w:t>综上所述，本项目固体废物根据不同的性质、种类采取了不同的处置方式，处置去向明确，可有效防止固体废物的逸散和对环境的二次污染，不会对周围环境造成影响。因此，项目固废处置措施技术、经济合理可行。</w:t>
      </w:r>
    </w:p>
    <w:p>
      <w:pPr>
        <w:pStyle w:val="8"/>
        <w:spacing w:line="360" w:lineRule="auto"/>
        <w:rPr>
          <w:rFonts w:hint="eastAsia" w:cs="Times New Roman"/>
          <w:color w:val="auto"/>
          <w:lang w:val="en-US" w:eastAsia="zh-CN"/>
        </w:rPr>
      </w:pPr>
      <w:r>
        <w:rPr>
          <w:rFonts w:hint="eastAsia" w:cs="Times New Roman"/>
          <w:color w:val="auto"/>
          <w:lang w:val="en-US" w:eastAsia="zh-CN"/>
        </w:rPr>
        <w:t>危险废物暂存措施</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（1）新建危废暂存间，地面及裙角重点防渗，防渗要求防渗层至少为1m厚粘土层（渗透系数≤10</w:t>
      </w:r>
      <w:r>
        <w:rPr>
          <w:rFonts w:ascii="Times New Roman" w:hAnsi="Times New Roman" w:eastAsia="宋体" w:cs="Times New Roman"/>
          <w:color w:val="auto"/>
          <w:sz w:val="24"/>
          <w:szCs w:val="24"/>
          <w:vertAlign w:val="superscript"/>
          <w:lang w:val="zh-CN"/>
        </w:rPr>
        <w:t>-</w:t>
      </w:r>
      <w:r>
        <w:rPr>
          <w:rFonts w:hint="eastAsia" w:ascii="Times New Roman" w:hAnsi="Times New Roman" w:eastAsia="宋体" w:cs="Times New Roman"/>
          <w:color w:val="auto"/>
          <w:sz w:val="24"/>
          <w:szCs w:val="24"/>
          <w:vertAlign w:val="superscript"/>
        </w:rPr>
        <w:t>10</w:t>
      </w:r>
      <w:r>
        <w:rPr>
          <w:rFonts w:ascii="Times New Roman" w:hAnsi="Times New Roman" w:eastAsia="宋体" w:cs="Times New Roman"/>
          <w:color w:val="auto"/>
          <w:sz w:val="24"/>
          <w:szCs w:val="24"/>
          <w:lang w:val="zh-CN"/>
        </w:rPr>
        <w:t>cm/s），或2mm厚高密度聚乙烯，或至少2mm厚其他人工材料，渗透系数≤10</w:t>
      </w:r>
      <w:r>
        <w:rPr>
          <w:rFonts w:ascii="Times New Roman" w:hAnsi="Times New Roman" w:eastAsia="宋体" w:cs="Times New Roman"/>
          <w:color w:val="auto"/>
          <w:sz w:val="24"/>
          <w:szCs w:val="24"/>
          <w:vertAlign w:val="superscript"/>
          <w:lang w:val="zh-CN"/>
        </w:rPr>
        <w:t>-</w:t>
      </w:r>
      <w:r>
        <w:rPr>
          <w:rFonts w:hint="eastAsia" w:ascii="Times New Roman" w:hAnsi="Times New Roman" w:eastAsia="宋体" w:cs="Times New Roman"/>
          <w:color w:val="auto"/>
          <w:sz w:val="24"/>
          <w:szCs w:val="24"/>
          <w:vertAlign w:val="superscript"/>
        </w:rPr>
        <w:t>10</w:t>
      </w:r>
      <w:r>
        <w:rPr>
          <w:rFonts w:ascii="Times New Roman" w:hAnsi="Times New Roman" w:eastAsia="宋体" w:cs="Times New Roman"/>
          <w:color w:val="auto"/>
          <w:sz w:val="24"/>
          <w:szCs w:val="24"/>
          <w:lang w:val="zh-CN"/>
        </w:rPr>
        <w:t>cm/s；地面以混凝土铺设，采用环氧漆做防腐防渗处理。</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（2）危险废物贮装入防渗防漏容器内存放；</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（3）禁止将不相容（相互反应）的危险废物在同一容器内混装。</w:t>
      </w:r>
    </w:p>
    <w:p>
      <w:pPr>
        <w:spacing w:line="360" w:lineRule="auto"/>
        <w:ind w:firstLine="480" w:firstLineChars="200"/>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（4）装载危险废物的容器内须留足够空间，容器顶部与液体表面之间保留100毫米以上的空间。</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（5）危废暂存间、盛装危险废物的容器上必须粘贴符合《危险废物贮存污染控制标准》附录A所示的标签。</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（6）应当使用符合标准的容器盛装危险废物；</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（7）装载危险废物的容器及材质要满足相应的强度要求；</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（8）装载危险废物的容器必须完好无损；</w:t>
      </w:r>
    </w:p>
    <w:p>
      <w:pPr>
        <w:spacing w:line="360" w:lineRule="auto"/>
        <w:ind w:firstLine="480" w:firstLineChars="200"/>
        <w:rPr>
          <w:rFonts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（9）盛装危险废物的容器材质和衬里要与危险废物相容（不相互反应）。</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（10）液体危险废物可注入开孔直径不超过70毫米并有放气孔的桶中。</w:t>
      </w:r>
    </w:p>
    <w:p>
      <w:pPr>
        <w:pStyle w:val="8"/>
        <w:spacing w:line="360" w:lineRule="auto"/>
        <w:rPr>
          <w:rFonts w:hint="eastAsia" w:cs="Times New Roman"/>
          <w:color w:val="auto"/>
          <w:lang w:val="zh-CN" w:eastAsia="zh-CN"/>
        </w:rPr>
      </w:pPr>
      <w:r>
        <w:rPr>
          <w:rFonts w:hint="eastAsia" w:cs="Times New Roman"/>
          <w:color w:val="auto"/>
          <w:lang w:val="en-US" w:eastAsia="zh-CN"/>
        </w:rPr>
        <w:t>危险废物管理措施</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（1）危险废物的收集、贮存、转移、利用、处置活动必须遵守国家和地方的有关规定。</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（2）禁止向环境倾倒、堆置危险废物。</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（3）禁止将危险废物混入非危险废物中收集、贮存、转移、处置。</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（4）危险废物的收集、贮存、转移应当使用符合标准的容器和包装物。</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（5）危险废物的容器和包装物以及收集、贮存、转移、处置危险废物的设施、场所，必须设置危险废物识别标志。</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（6）危险废物的贮存时间不得超过一年；法律、法规另有规定的除外。</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7）在搬迁、转产、终止之前，必须对已经产生尚没有处置的危险废物和危险废物贮存、处置设施场所按照有关规定进行安全处置；对产生的危险废物对周围环境的影响进行综合评估并消除可能产生的污染，将评估报告报质量安全部</w:t>
      </w:r>
      <w:r>
        <w:rPr>
          <w:rFonts w:hint="eastAsia" w:ascii="Times New Roman" w:hAnsi="Times New Roman" w:eastAsia="宋体" w:cs="Times New Roman"/>
          <w:color w:val="auto"/>
          <w:sz w:val="24"/>
          <w:szCs w:val="24"/>
        </w:rPr>
        <w:t>门</w:t>
      </w:r>
      <w:r>
        <w:rPr>
          <w:rFonts w:hint="eastAsia" w:ascii="Times New Roman" w:hAnsi="Times New Roman" w:eastAsia="宋体" w:cs="Times New Roman"/>
          <w:color w:val="auto"/>
          <w:sz w:val="24"/>
          <w:szCs w:val="24"/>
          <w:lang w:val="zh-CN"/>
        </w:rPr>
        <w:t>备案。</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8）应当制定危险废物污染事故防范措施和应急预案。如果发生危险废物污染事故或者其他突发性事件，应当按照应急预案消除或者减轻对环境的污染危害，及时通知可能受到危害的单位和个人，并及时向事故发生地环境保护行政主管部门报告，接受调查处理。</w:t>
      </w:r>
    </w:p>
    <w:p>
      <w:pPr>
        <w:pStyle w:val="7"/>
        <w:spacing w:before="0" w:after="0" w:line="360" w:lineRule="auto"/>
        <w:ind w:left="0" w:firstLine="0"/>
        <w:rPr>
          <w:rFonts w:hint="eastAsia" w:cs="Times New Roman"/>
          <w:color w:val="auto"/>
          <w:lang w:val="en-US" w:eastAsia="zh-CN"/>
        </w:rPr>
      </w:pPr>
      <w:bookmarkStart w:id="277" w:name="_Toc893"/>
      <w:r>
        <w:rPr>
          <w:rFonts w:hint="eastAsia" w:cs="Times New Roman"/>
          <w:color w:val="auto"/>
          <w:lang w:val="en-US" w:eastAsia="zh-CN"/>
        </w:rPr>
        <w:t>交通运输污染防治措施论证</w:t>
      </w:r>
      <w:bookmarkEnd w:id="277"/>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zh-CN"/>
        </w:rPr>
        <w:t>主要考虑运猪车</w:t>
      </w:r>
      <w:r>
        <w:rPr>
          <w:rFonts w:hint="eastAsia" w:ascii="Times New Roman" w:hAnsi="Times New Roman" w:eastAsia="宋体" w:cs="Times New Roman"/>
          <w:color w:val="auto"/>
          <w:sz w:val="24"/>
          <w:szCs w:val="24"/>
        </w:rPr>
        <w:t>的</w:t>
      </w:r>
      <w:r>
        <w:rPr>
          <w:rFonts w:hint="eastAsia" w:ascii="Times New Roman" w:hAnsi="Times New Roman" w:eastAsia="宋体" w:cs="Times New Roman"/>
          <w:color w:val="auto"/>
          <w:sz w:val="24"/>
          <w:szCs w:val="24"/>
          <w:lang w:val="zh-CN"/>
        </w:rPr>
        <w:t>噪声和臭气影响。</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（1）交通运输噪声污染防治措施</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为了减轻因运输猪只车辆的增加而引起的交通噪声，建议优化运输路线，使运输路线尽量选择距离居民敏感点较远、地域比较开阔的地段。</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（2）运输沿线恶臭污染防治措施</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1）猪只出栏装车前应进行彻底清洗，冲净粪便和身上的污物。</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2）猪运输车辆注意消毒，保持清洁。</w:t>
      </w:r>
    </w:p>
    <w:p>
      <w:pPr>
        <w:spacing w:line="360" w:lineRule="auto"/>
        <w:ind w:firstLine="480" w:firstLineChars="200"/>
        <w:rPr>
          <w:rFonts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3）应尽量选择半封闭式的运输车辆，最大可能地防止恶臭对城区运输路线两边居民的影响。</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4）运输车辆必须按定额载重量运输，严禁超载行驶。</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5）运输车辆安装粪尿收集装置，避免粪尿撒漏外排。</w:t>
      </w:r>
    </w:p>
    <w:p>
      <w:pPr>
        <w:pStyle w:val="7"/>
        <w:spacing w:before="0" w:after="0" w:line="360" w:lineRule="auto"/>
        <w:ind w:left="0" w:firstLine="0"/>
        <w:rPr>
          <w:rFonts w:hint="eastAsia" w:cs="Times New Roman"/>
          <w:color w:val="auto"/>
          <w:lang w:val="en-US" w:eastAsia="zh-CN"/>
        </w:rPr>
      </w:pPr>
      <w:bookmarkStart w:id="278" w:name="_Toc29132"/>
      <w:r>
        <w:rPr>
          <w:rFonts w:hint="eastAsia" w:cs="Times New Roman"/>
          <w:color w:val="auto"/>
          <w:lang w:val="en-US" w:eastAsia="zh-CN"/>
        </w:rPr>
        <w:t>生态环境保护措施论证</w:t>
      </w:r>
      <w:bookmarkEnd w:id="278"/>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为进一步降低工程排污对环境的影响，充分发挥绿化带的作用和功能，结合本工程平面布置特点，评价提出以下要求和措施：</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（1）针对工程主要运输路线，要求企业对道路实施绿化，以高大树冠及乔木结合形成隔离带以遮荫、抑尘。</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（2）生活管理区应以绿化美化为主。绿化方式为灌、乔、草立体植物种植为主，并结合四季花卉植物形成良好景观。猪舍四周空闲地带以灌木绿篱、草皮种植结合代替裸地。</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（3）植物物种以适宜当地生长的土生物种。</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（4）采取严格的运营期污染控制方案，减小工程污染排放对生态的影响。</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5）从区域生态状况和有关的政策要求出发，评价要求企业应树立“建设本地区生态模范企业”为目标，将环境保护与生态建设放在与经营利益同等重要的位置，进行绿化、美化及协调性的景观设计，为区域生态建设作出典范。</w:t>
      </w:r>
    </w:p>
    <w:p>
      <w:pPr>
        <w:spacing w:line="360" w:lineRule="auto"/>
        <w:ind w:firstLine="482" w:firstLineChars="200"/>
        <w:rPr>
          <w:rFonts w:hint="eastAsia" w:ascii="Times New Roman" w:hAnsi="Times New Roman" w:eastAsia="宋体" w:cs="Times New Roman"/>
          <w:b/>
          <w:color w:val="auto"/>
          <w:sz w:val="24"/>
          <w:szCs w:val="24"/>
          <w:lang w:val="zh-CN"/>
        </w:rPr>
      </w:pPr>
      <w:r>
        <w:rPr>
          <w:rFonts w:hint="eastAsia" w:ascii="Times New Roman" w:hAnsi="Times New Roman" w:eastAsia="宋体" w:cs="Times New Roman"/>
          <w:b/>
          <w:color w:val="auto"/>
          <w:sz w:val="24"/>
          <w:szCs w:val="24"/>
          <w:lang w:val="zh-CN"/>
        </w:rPr>
        <w:t>服务期满后土地复垦要求：</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1）所占地的用途为修建养猪场，硬化区域有猪舍、污水处理站、堆肥车间、粪肥储存间、生活区等，工程完工后即可恢复到原使用要求，不会对现有土地改变原貌、损毁。复垦过程没有难度，对自然环境不会造成破。</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（2）坏项目在生产建设活动中，因挖损、塌陷、压占等造成破坏土地的，必须根据《土地管理法》和《土地复垦条例》，采取整治措施，使其复垦到原用途。</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（3）在拆除彩钢房、砖墙建筑及地下建构筑物后，必须用机械把地面的混凝土层清除，再用犁地机械将土地翻整，以保证其原始用途。</w:t>
      </w:r>
    </w:p>
    <w:p>
      <w:pPr>
        <w:spacing w:line="360" w:lineRule="auto"/>
        <w:ind w:firstLine="480" w:firstLineChars="200"/>
        <w:rPr>
          <w:rFonts w:hint="eastAsia"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4）复垦的目标是使所占土地达到可耕种的要求，不会改变现有的土地样貌、格局或原本具有的生产能力，项目服务期满后恢复至原有的地形地貌或比原有更改善的状况；恢复原有土地功能，与周围地形地貌相符。</w:t>
      </w:r>
    </w:p>
    <w:p>
      <w:pPr>
        <w:spacing w:line="360" w:lineRule="auto"/>
        <w:ind w:firstLine="480" w:firstLineChars="200"/>
        <w:rPr>
          <w:rFonts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（5）建设单位在组织复垦时，必须报所占用土地的村委会实施监督。达到原耕作条件或恢复到原用途，报经县级国土资源局验收合格后，应将土地复垦费交还原承包户。</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279" w:name="_Toc8313"/>
      <w:bookmarkStart w:id="280" w:name="_Toc29221884"/>
      <w:r>
        <w:rPr>
          <w:rFonts w:hint="eastAsia" w:ascii="Times New Roman" w:hAnsi="Times New Roman" w:eastAsia="宋体" w:cs="Times New Roman"/>
          <w:color w:val="auto"/>
          <w:lang w:val="en-US" w:eastAsia="zh-CN"/>
        </w:rPr>
        <w:t>环保投资估算</w:t>
      </w:r>
      <w:bookmarkEnd w:id="279"/>
      <w:bookmarkEnd w:id="280"/>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本项目总投资为</w:t>
      </w:r>
      <w:r>
        <w:rPr>
          <w:rFonts w:hint="eastAsia" w:ascii="Times New Roman" w:hAnsi="Times New Roman" w:eastAsia="宋体" w:cs="Times New Roman"/>
          <w:color w:val="auto"/>
          <w:sz w:val="24"/>
          <w:szCs w:val="24"/>
          <w:lang w:val="en-US" w:eastAsia="zh-CN"/>
        </w:rPr>
        <w:t>20</w:t>
      </w:r>
      <w:r>
        <w:rPr>
          <w:rFonts w:ascii="Times New Roman" w:hAnsi="Times New Roman" w:eastAsia="宋体" w:cs="Times New Roman"/>
          <w:color w:val="auto"/>
          <w:sz w:val="24"/>
          <w:szCs w:val="24"/>
        </w:rPr>
        <w:t>000万元，其中环保投资</w:t>
      </w:r>
      <w:r>
        <w:rPr>
          <w:rFonts w:hint="eastAsia" w:ascii="Times New Roman" w:hAnsi="Times New Roman" w:eastAsia="宋体" w:cs="Times New Roman"/>
          <w:color w:val="auto"/>
          <w:sz w:val="24"/>
          <w:szCs w:val="24"/>
          <w:lang w:val="en-US" w:eastAsia="zh-CN"/>
        </w:rPr>
        <w:t>814.5</w:t>
      </w:r>
      <w:r>
        <w:rPr>
          <w:rFonts w:ascii="Times New Roman" w:hAnsi="Times New Roman" w:eastAsia="宋体" w:cs="Times New Roman"/>
          <w:color w:val="auto"/>
          <w:sz w:val="24"/>
          <w:szCs w:val="24"/>
        </w:rPr>
        <w:t>万元，占工程总投资的</w:t>
      </w:r>
      <w:r>
        <w:rPr>
          <w:rFonts w:hint="eastAsia" w:ascii="Times New Roman" w:hAnsi="Times New Roman" w:eastAsia="宋体" w:cs="Times New Roman"/>
          <w:color w:val="auto"/>
          <w:sz w:val="24"/>
          <w:szCs w:val="24"/>
          <w:lang w:val="en-US" w:eastAsia="zh-CN"/>
        </w:rPr>
        <w:t>4.07</w:t>
      </w:r>
      <w:r>
        <w:rPr>
          <w:rFonts w:ascii="Times New Roman" w:hAnsi="Times New Roman" w:eastAsia="宋体" w:cs="Times New Roman"/>
          <w:color w:val="auto"/>
          <w:sz w:val="24"/>
          <w:szCs w:val="24"/>
        </w:rPr>
        <w:t>%。从环保投资的分配来看，本项目环保投资着重于废</w:t>
      </w:r>
      <w:r>
        <w:rPr>
          <w:rFonts w:hint="eastAsia" w:ascii="Times New Roman" w:hAnsi="Times New Roman" w:eastAsia="宋体" w:cs="Times New Roman"/>
          <w:color w:val="auto"/>
          <w:sz w:val="24"/>
          <w:szCs w:val="24"/>
        </w:rPr>
        <w:t>水</w:t>
      </w:r>
      <w:r>
        <w:rPr>
          <w:rFonts w:ascii="Times New Roman" w:hAnsi="Times New Roman" w:eastAsia="宋体" w:cs="Times New Roman"/>
          <w:color w:val="auto"/>
          <w:sz w:val="24"/>
          <w:szCs w:val="24"/>
        </w:rPr>
        <w:t>的治理</w:t>
      </w:r>
      <w:r>
        <w:rPr>
          <w:rFonts w:hint="eastAsia" w:ascii="Times New Roman" w:hAnsi="Times New Roman" w:eastAsia="宋体" w:cs="Times New Roman"/>
          <w:color w:val="auto"/>
          <w:sz w:val="24"/>
          <w:szCs w:val="24"/>
        </w:rPr>
        <w:t>和固体</w:t>
      </w:r>
      <w:r>
        <w:rPr>
          <w:rFonts w:ascii="Times New Roman" w:hAnsi="Times New Roman" w:eastAsia="宋体" w:cs="Times New Roman"/>
          <w:color w:val="auto"/>
          <w:sz w:val="24"/>
          <w:szCs w:val="24"/>
        </w:rPr>
        <w:t>废物的处置，以实现废水的达标排放及</w:t>
      </w:r>
      <w:r>
        <w:rPr>
          <w:rFonts w:hint="eastAsia" w:ascii="Times New Roman" w:hAnsi="Times New Roman" w:eastAsia="宋体" w:cs="Times New Roman"/>
          <w:color w:val="auto"/>
          <w:sz w:val="24"/>
          <w:szCs w:val="24"/>
        </w:rPr>
        <w:t>固体</w:t>
      </w:r>
      <w:r>
        <w:rPr>
          <w:rFonts w:ascii="Times New Roman" w:hAnsi="Times New Roman" w:eastAsia="宋体" w:cs="Times New Roman"/>
          <w:color w:val="auto"/>
          <w:sz w:val="24"/>
          <w:szCs w:val="24"/>
        </w:rPr>
        <w:t>废物的妥善处置，其环保投资及建设内容合理、可行。项目环保措施及投资估算一览表见表7.3-1。</w:t>
      </w:r>
    </w:p>
    <w:p>
      <w:pPr>
        <w:widowControl w:val="0"/>
        <w:spacing w:before="120" w:beforeLines="50" w:line="240" w:lineRule="exact"/>
        <w:ind w:firstLine="480" w:firstLineChars="0"/>
        <w:jc w:val="center"/>
        <w:rPr>
          <w:rFonts w:hint="eastAsia" w:ascii="Times New Roman" w:hAnsi="Times New Roman" w:eastAsia="宋体" w:cs="Times New Roman"/>
          <w:b/>
          <w:color w:val="auto"/>
          <w:kern w:val="2"/>
          <w:sz w:val="21"/>
          <w:szCs w:val="24"/>
          <w:lang w:val="en-US" w:eastAsia="zh-CN" w:bidi="ar-SA"/>
        </w:rPr>
      </w:pPr>
      <w:r>
        <w:rPr>
          <w:rFonts w:ascii="Times New Roman" w:hAnsi="Times New Roman" w:eastAsia="宋体" w:cs="Times New Roman"/>
          <w:b/>
          <w:color w:val="auto"/>
          <w:kern w:val="2"/>
          <w:sz w:val="21"/>
          <w:szCs w:val="24"/>
          <w:lang w:val="en-US" w:eastAsia="zh-CN" w:bidi="ar-SA"/>
        </w:rPr>
        <w:t>表7.3-1   项目环保措施及投资估算一览表</w:t>
      </w:r>
    </w:p>
    <w:tbl>
      <w:tblPr>
        <w:tblStyle w:val="88"/>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65"/>
        <w:gridCol w:w="832"/>
        <w:gridCol w:w="1289"/>
        <w:gridCol w:w="1880"/>
        <w:gridCol w:w="2686"/>
        <w:gridCol w:w="116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时段</w:t>
            </w:r>
          </w:p>
        </w:tc>
        <w:tc>
          <w:tcPr>
            <w:tcW w:w="1244"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项目</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环保</w:t>
            </w:r>
            <w:r>
              <w:rPr>
                <w:rFonts w:hint="default" w:ascii="Times New Roman" w:hAnsi="Times New Roman" w:eastAsia="宋体" w:cs="Times New Roman"/>
                <w:b/>
                <w:color w:val="auto"/>
                <w:kern w:val="0"/>
                <w:sz w:val="21"/>
                <w:szCs w:val="21"/>
                <w:lang w:val="en-US" w:eastAsia="zh-CN" w:bidi="ar-SA"/>
              </w:rPr>
              <w:t>措施</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投资估算</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（万元）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施工期</w:t>
            </w:r>
          </w:p>
        </w:tc>
        <w:tc>
          <w:tcPr>
            <w:tcW w:w="1244" w:type="pct"/>
            <w:gridSpan w:val="2"/>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废水治理</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生活污水通过简易化粪池收集处理后用作农肥，不外排</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244" w:type="pct"/>
            <w:gridSpan w:val="2"/>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施工废水设置隔油池、沉淀池处理后回用，不外排</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244"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废气治理</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洒水降尘及时清扫路面尘土、硬化道路、</w:t>
            </w:r>
            <w:r>
              <w:rPr>
                <w:rFonts w:hint="eastAsia" w:ascii="Times New Roman" w:hAnsi="Times New Roman" w:eastAsia="宋体" w:cs="Times New Roman"/>
                <w:color w:val="auto"/>
                <w:kern w:val="0"/>
                <w:sz w:val="21"/>
                <w:szCs w:val="21"/>
                <w:lang w:val="en-US" w:eastAsia="zh-CN" w:bidi="ar-SA"/>
              </w:rPr>
              <w:t>保持路面清洁、控制车速、堆体覆盖等</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244" w:type="pct"/>
            <w:gridSpan w:val="2"/>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固体废物</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施工场地设置垃圾桶，生活垃圾</w:t>
            </w:r>
            <w:r>
              <w:rPr>
                <w:rFonts w:hint="default" w:ascii="Times New Roman" w:hAnsi="Times New Roman" w:eastAsia="宋体" w:cs="Times New Roman"/>
                <w:color w:val="auto"/>
                <w:kern w:val="0"/>
                <w:sz w:val="21"/>
                <w:szCs w:val="21"/>
                <w:lang w:val="en-US" w:eastAsia="zh-CN" w:bidi="ar-SA"/>
              </w:rPr>
              <w:t>收集后统一清运</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244" w:type="pct"/>
            <w:gridSpan w:val="2"/>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建筑垃圾及时外运</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244"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噪声控制</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选用低噪声设备，</w:t>
            </w:r>
            <w:r>
              <w:rPr>
                <w:rFonts w:hint="default" w:ascii="Times New Roman" w:hAnsi="Times New Roman" w:eastAsia="宋体" w:cs="Times New Roman"/>
                <w:color w:val="auto"/>
                <w:kern w:val="0"/>
                <w:sz w:val="21"/>
                <w:szCs w:val="21"/>
                <w:lang w:val="en-US" w:eastAsia="zh-CN" w:bidi="ar-SA"/>
              </w:rPr>
              <w:t>合理布局，合理安排施工时间，高噪设备设置隔声棚</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244"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生态保护</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水土保持工程措施+植物措施+临时措施（基坑边坡水泥砂浆护面、雨水沟沉淀池、土石方堆体周边截水沟）</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运营期</w:t>
            </w: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废水</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w:t>
            </w:r>
          </w:p>
        </w:tc>
        <w:tc>
          <w:tcPr>
            <w:tcW w:w="756"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养殖废水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生活污水+</w:t>
            </w:r>
            <w:r>
              <w:rPr>
                <w:rFonts w:hint="eastAsia" w:ascii="Times New Roman" w:hAnsi="Times New Roman" w:eastAsia="宋体" w:cs="Times New Roman"/>
                <w:color w:val="auto"/>
                <w:kern w:val="0"/>
                <w:sz w:val="21"/>
                <w:szCs w:val="21"/>
                <w:lang w:val="en-US" w:eastAsia="zh-CN" w:bidi="ar-SA"/>
              </w:rPr>
              <w:t>食堂</w:t>
            </w:r>
            <w:r>
              <w:rPr>
                <w:rFonts w:hint="default" w:ascii="Times New Roman" w:hAnsi="Times New Roman" w:eastAsia="宋体" w:cs="Times New Roman"/>
                <w:color w:val="auto"/>
                <w:kern w:val="0"/>
                <w:sz w:val="21"/>
                <w:szCs w:val="21"/>
                <w:lang w:val="en-US" w:eastAsia="zh-CN" w:bidi="ar-SA"/>
              </w:rPr>
              <w:t>废水</w:t>
            </w:r>
          </w:p>
        </w:tc>
        <w:tc>
          <w:tcPr>
            <w:tcW w:w="2679" w:type="pct"/>
            <w:gridSpan w:val="2"/>
            <w:noWrap w:val="0"/>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化</w:t>
            </w:r>
            <w:r>
              <w:rPr>
                <w:rFonts w:hint="default"/>
                <w:color w:val="auto"/>
                <w:sz w:val="21"/>
                <w:szCs w:val="21"/>
              </w:rPr>
              <w:t>粪池</w:t>
            </w:r>
            <w:r>
              <w:rPr>
                <w:rFonts w:hint="eastAsia"/>
                <w:color w:val="auto"/>
                <w:sz w:val="21"/>
                <w:szCs w:val="21"/>
                <w:lang w:val="en-US" w:eastAsia="zh-CN"/>
              </w:rPr>
              <w:t>10</w:t>
            </w:r>
            <w:r>
              <w:rPr>
                <w:rFonts w:hint="default"/>
                <w:color w:val="auto"/>
                <w:sz w:val="21"/>
                <w:szCs w:val="21"/>
              </w:rPr>
              <w:t>座，单个容积</w:t>
            </w:r>
            <w:r>
              <w:rPr>
                <w:rFonts w:hint="default"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color w:val="auto"/>
                <w:sz w:val="21"/>
                <w:szCs w:val="21"/>
              </w:rPr>
              <w:t>，分别位于</w:t>
            </w:r>
            <w:r>
              <w:rPr>
                <w:rFonts w:hint="eastAsia"/>
                <w:color w:val="auto"/>
                <w:sz w:val="21"/>
                <w:szCs w:val="21"/>
                <w:lang w:eastAsia="zh-CN"/>
              </w:rPr>
              <w:t>圈舍配套的人员隔离区</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2679" w:type="pct"/>
            <w:gridSpan w:val="2"/>
            <w:noWrap w:val="0"/>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eastAsia="宋体" w:cs="Times New Roman"/>
                <w:color w:val="auto"/>
                <w:kern w:val="0"/>
                <w:sz w:val="21"/>
                <w:szCs w:val="21"/>
                <w:lang w:val="en-US" w:eastAsia="zh-CN" w:bidi="ar-SA"/>
              </w:rPr>
            </w:pPr>
            <w:r>
              <w:rPr>
                <w:rFonts w:hint="default"/>
                <w:color w:val="auto"/>
                <w:sz w:val="21"/>
                <w:szCs w:val="21"/>
              </w:rPr>
              <w:t>隔油池1座，容积6m</w:t>
            </w:r>
            <w:r>
              <w:rPr>
                <w:rFonts w:hint="default"/>
                <w:color w:val="auto"/>
                <w:sz w:val="21"/>
                <w:szCs w:val="21"/>
                <w:vertAlign w:val="superscript"/>
              </w:rPr>
              <w:t>3</w:t>
            </w:r>
            <w:r>
              <w:rPr>
                <w:rFonts w:hint="default"/>
                <w:color w:val="auto"/>
                <w:sz w:val="21"/>
                <w:szCs w:val="21"/>
              </w:rPr>
              <w:t>，位于食堂</w:t>
            </w:r>
            <w:r>
              <w:rPr>
                <w:rFonts w:hint="eastAsia"/>
                <w:color w:val="auto"/>
                <w:sz w:val="21"/>
                <w:szCs w:val="21"/>
                <w:lang w:eastAsia="zh-CN"/>
              </w:rPr>
              <w:t>东</w:t>
            </w:r>
            <w:r>
              <w:rPr>
                <w:rFonts w:hint="eastAsia"/>
                <w:color w:val="auto"/>
                <w:sz w:val="21"/>
                <w:szCs w:val="21"/>
              </w:rPr>
              <w:t>侧</w:t>
            </w:r>
            <w:r>
              <w:rPr>
                <w:rFonts w:hint="default"/>
                <w:color w:val="auto"/>
                <w:sz w:val="21"/>
                <w:szCs w:val="21"/>
              </w:rPr>
              <w:t>，用于处理食堂含油废水</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2679" w:type="pct"/>
            <w:gridSpan w:val="2"/>
            <w:noWrap w:val="0"/>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eastAsia="宋体" w:cs="Times New Roman"/>
                <w:color w:val="auto"/>
                <w:kern w:val="0"/>
                <w:sz w:val="21"/>
                <w:szCs w:val="21"/>
                <w:lang w:val="en-US" w:eastAsia="zh-CN" w:bidi="ar-SA"/>
              </w:rPr>
            </w:pPr>
            <w:r>
              <w:rPr>
                <w:rFonts w:hint="default"/>
                <w:color w:val="auto"/>
                <w:sz w:val="21"/>
                <w:szCs w:val="21"/>
              </w:rPr>
              <w:t>污水处理站1座，规模</w:t>
            </w:r>
            <w:r>
              <w:rPr>
                <w:rFonts w:hint="eastAsia"/>
                <w:color w:val="auto"/>
                <w:sz w:val="21"/>
                <w:szCs w:val="21"/>
                <w:lang w:val="en-US" w:eastAsia="zh-CN"/>
              </w:rPr>
              <w:t>700</w:t>
            </w:r>
            <w:r>
              <w:rPr>
                <w:rFonts w:hint="default"/>
                <w:color w:val="auto"/>
                <w:sz w:val="21"/>
                <w:szCs w:val="21"/>
              </w:rPr>
              <w:t>m</w:t>
            </w:r>
            <w:r>
              <w:rPr>
                <w:rFonts w:hint="default"/>
                <w:color w:val="auto"/>
                <w:sz w:val="21"/>
                <w:szCs w:val="21"/>
                <w:vertAlign w:val="superscript"/>
              </w:rPr>
              <w:t>3</w:t>
            </w:r>
            <w:r>
              <w:rPr>
                <w:rFonts w:hint="default"/>
                <w:color w:val="auto"/>
                <w:sz w:val="21"/>
                <w:szCs w:val="21"/>
              </w:rPr>
              <w:t>/d，工艺为</w:t>
            </w:r>
            <w:r>
              <w:rPr>
                <w:rFonts w:hint="eastAsia"/>
                <w:color w:val="auto"/>
                <w:sz w:val="21"/>
                <w:szCs w:val="21"/>
              </w:rPr>
              <w:t>“</w:t>
            </w:r>
            <w:r>
              <w:rPr>
                <w:rFonts w:hint="default" w:ascii="Times New Roman" w:hAnsi="Times New Roman" w:eastAsia="宋体" w:cs="Times New Roman"/>
                <w:color w:val="auto"/>
                <w:sz w:val="21"/>
                <w:szCs w:val="21"/>
              </w:rPr>
              <w:t>固液分离+UASB厌氧+絮凝沉淀+两级A/O系统+混凝絮凝沉淀+消毒</w:t>
            </w:r>
            <w:r>
              <w:rPr>
                <w:rFonts w:hint="eastAsia"/>
                <w:color w:val="auto"/>
                <w:sz w:val="21"/>
                <w:szCs w:val="21"/>
              </w:rPr>
              <w:t>”</w:t>
            </w:r>
            <w:r>
              <w:rPr>
                <w:rFonts w:hint="default"/>
                <w:color w:val="auto"/>
                <w:sz w:val="21"/>
                <w:szCs w:val="21"/>
              </w:rPr>
              <w:t>，位于场区</w:t>
            </w:r>
            <w:r>
              <w:rPr>
                <w:rFonts w:hint="eastAsia"/>
                <w:color w:val="auto"/>
                <w:sz w:val="21"/>
                <w:szCs w:val="21"/>
                <w:lang w:eastAsia="zh-CN"/>
              </w:rPr>
              <w:t>中部</w:t>
            </w:r>
            <w:r>
              <w:rPr>
                <w:rFonts w:hint="default"/>
                <w:color w:val="auto"/>
                <w:sz w:val="21"/>
                <w:szCs w:val="21"/>
              </w:rPr>
              <w:t>污染防治区</w:t>
            </w:r>
            <w:r>
              <w:rPr>
                <w:rFonts w:hint="eastAsia"/>
                <w:color w:val="auto"/>
                <w:sz w:val="21"/>
                <w:szCs w:val="21"/>
                <w:lang w:eastAsia="zh-CN"/>
              </w:rPr>
              <w:t>，消毒后的废水部分生产系统回用，剩余用于厂区绿化及林地灌溉。</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lang w:val="en-US" w:eastAsia="zh-CN" w:bidi="ar-SA"/>
              </w:rPr>
            </w:pPr>
            <w:r>
              <w:rPr>
                <w:rFonts w:hint="default"/>
                <w:color w:val="auto"/>
                <w:sz w:val="21"/>
                <w:szCs w:val="21"/>
              </w:rPr>
              <w:t>集污池2座，位于场址</w:t>
            </w:r>
            <w:r>
              <w:rPr>
                <w:rFonts w:hint="eastAsia"/>
                <w:color w:val="auto"/>
                <w:sz w:val="21"/>
                <w:szCs w:val="21"/>
                <w:lang w:eastAsia="zh-CN"/>
              </w:rPr>
              <w:t>中部</w:t>
            </w:r>
            <w:r>
              <w:rPr>
                <w:rFonts w:hint="default"/>
                <w:color w:val="auto"/>
                <w:sz w:val="21"/>
                <w:szCs w:val="21"/>
              </w:rPr>
              <w:t>，</w:t>
            </w:r>
            <w:r>
              <w:rPr>
                <w:rFonts w:hint="eastAsia"/>
                <w:color w:val="auto"/>
                <w:sz w:val="21"/>
                <w:szCs w:val="21"/>
              </w:rPr>
              <w:t>有效</w:t>
            </w:r>
            <w:r>
              <w:rPr>
                <w:rFonts w:hint="default"/>
                <w:color w:val="auto"/>
                <w:sz w:val="21"/>
                <w:szCs w:val="21"/>
              </w:rPr>
              <w:t>容积为</w:t>
            </w:r>
            <w:r>
              <w:rPr>
                <w:rFonts w:hint="eastAsia"/>
                <w:color w:val="auto"/>
                <w:sz w:val="21"/>
                <w:szCs w:val="21"/>
                <w:lang w:val="en-US" w:eastAsia="zh-CN"/>
              </w:rPr>
              <w:t>400</w:t>
            </w:r>
            <w:r>
              <w:rPr>
                <w:rFonts w:hint="default"/>
                <w:color w:val="auto"/>
                <w:sz w:val="21"/>
                <w:szCs w:val="21"/>
              </w:rPr>
              <w:t>m</w:t>
            </w:r>
            <w:r>
              <w:rPr>
                <w:rFonts w:hint="default"/>
                <w:color w:val="auto"/>
                <w:sz w:val="21"/>
                <w:szCs w:val="21"/>
                <w:vertAlign w:val="superscript"/>
              </w:rPr>
              <w:t>3</w:t>
            </w:r>
            <w:r>
              <w:rPr>
                <w:rFonts w:hint="default"/>
                <w:color w:val="auto"/>
                <w:sz w:val="21"/>
                <w:szCs w:val="21"/>
              </w:rPr>
              <w:t>，用于</w:t>
            </w:r>
            <w:r>
              <w:rPr>
                <w:rFonts w:hint="eastAsia"/>
                <w:color w:val="auto"/>
                <w:sz w:val="21"/>
                <w:szCs w:val="21"/>
              </w:rPr>
              <w:t>收集尿液和冲洗废水</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lang w:val="en-US" w:eastAsia="zh-CN" w:bidi="ar-SA"/>
              </w:rPr>
            </w:pPr>
            <w:r>
              <w:rPr>
                <w:rFonts w:hint="default"/>
                <w:color w:val="auto"/>
                <w:sz w:val="21"/>
                <w:szCs w:val="21"/>
              </w:rPr>
              <w:t>储存池</w:t>
            </w:r>
            <w:r>
              <w:rPr>
                <w:rFonts w:hint="eastAsia"/>
                <w:color w:val="auto"/>
                <w:sz w:val="21"/>
                <w:szCs w:val="21"/>
                <w:lang w:val="en-US" w:eastAsia="zh-CN"/>
              </w:rPr>
              <w:t>2</w:t>
            </w:r>
            <w:r>
              <w:rPr>
                <w:rFonts w:hint="default"/>
                <w:color w:val="auto"/>
                <w:sz w:val="21"/>
                <w:szCs w:val="21"/>
              </w:rPr>
              <w:t>座，</w:t>
            </w:r>
            <w:r>
              <w:rPr>
                <w:rFonts w:hint="eastAsia"/>
                <w:color w:val="auto"/>
                <w:sz w:val="21"/>
                <w:szCs w:val="21"/>
                <w:lang w:eastAsia="zh-CN"/>
              </w:rPr>
              <w:t>单个</w:t>
            </w:r>
            <w:r>
              <w:rPr>
                <w:rFonts w:hint="default"/>
                <w:color w:val="auto"/>
                <w:sz w:val="21"/>
                <w:szCs w:val="21"/>
              </w:rPr>
              <w:t>容积</w:t>
            </w:r>
            <w:r>
              <w:rPr>
                <w:rFonts w:hint="eastAsia"/>
                <w:color w:val="auto"/>
                <w:sz w:val="21"/>
                <w:szCs w:val="21"/>
                <w:lang w:val="en-US" w:eastAsia="zh-CN"/>
              </w:rPr>
              <w:t>4</w:t>
            </w:r>
            <w:r>
              <w:rPr>
                <w:rFonts w:hint="default"/>
                <w:color w:val="auto"/>
                <w:sz w:val="21"/>
                <w:szCs w:val="21"/>
              </w:rPr>
              <w:t>000m</w:t>
            </w:r>
            <w:r>
              <w:rPr>
                <w:rFonts w:hint="default"/>
                <w:color w:val="auto"/>
                <w:sz w:val="21"/>
                <w:szCs w:val="21"/>
                <w:vertAlign w:val="superscript"/>
              </w:rPr>
              <w:t>3</w:t>
            </w:r>
            <w:r>
              <w:rPr>
                <w:rFonts w:hint="default"/>
                <w:color w:val="auto"/>
                <w:sz w:val="21"/>
                <w:szCs w:val="21"/>
              </w:rPr>
              <w:t>，位于场区西侧污染防治区，用于</w:t>
            </w:r>
            <w:r>
              <w:rPr>
                <w:rFonts w:hint="eastAsia"/>
                <w:color w:val="auto"/>
                <w:sz w:val="21"/>
                <w:szCs w:val="21"/>
              </w:rPr>
              <w:t>储存处理后</w:t>
            </w:r>
            <w:r>
              <w:rPr>
                <w:rFonts w:hint="default"/>
                <w:color w:val="auto"/>
                <w:sz w:val="21"/>
                <w:szCs w:val="21"/>
              </w:rPr>
              <w:t>的</w:t>
            </w:r>
            <w:r>
              <w:rPr>
                <w:rFonts w:hint="eastAsia"/>
                <w:color w:val="auto"/>
                <w:sz w:val="21"/>
                <w:szCs w:val="21"/>
              </w:rPr>
              <w:t>尾</w:t>
            </w:r>
            <w:r>
              <w:rPr>
                <w:rFonts w:hint="default"/>
                <w:color w:val="auto"/>
                <w:sz w:val="21"/>
                <w:szCs w:val="21"/>
              </w:rPr>
              <w:t>水</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地下水污染防治</w:t>
            </w:r>
          </w:p>
        </w:tc>
        <w:tc>
          <w:tcPr>
            <w:tcW w:w="756"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分区防渗</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污水处理区（污水处理设施）、粪便脱水间、</w:t>
            </w:r>
            <w:r>
              <w:rPr>
                <w:rFonts w:hint="eastAsia" w:ascii="Times New Roman" w:hAnsi="Times New Roman" w:eastAsia="宋体" w:cs="Times New Roman"/>
                <w:color w:val="auto"/>
                <w:kern w:val="0"/>
                <w:sz w:val="21"/>
                <w:szCs w:val="21"/>
                <w:lang w:val="en-US" w:eastAsia="zh-CN" w:bidi="ar-SA"/>
              </w:rPr>
              <w:t>危险废物暂存间</w:t>
            </w:r>
            <w:r>
              <w:rPr>
                <w:rFonts w:hint="default" w:ascii="Times New Roman" w:hAnsi="Times New Roman" w:eastAsia="宋体" w:cs="Times New Roman"/>
                <w:color w:val="auto"/>
                <w:kern w:val="0"/>
                <w:sz w:val="21"/>
                <w:szCs w:val="21"/>
                <w:lang w:val="en-US" w:eastAsia="zh-CN" w:bidi="ar-SA"/>
              </w:rPr>
              <w:t>、发电机房及储油间、</w:t>
            </w:r>
            <w:r>
              <w:rPr>
                <w:rFonts w:hint="eastAsia" w:ascii="Times New Roman" w:hAnsi="Times New Roman" w:eastAsia="宋体" w:cs="Times New Roman"/>
                <w:color w:val="auto"/>
                <w:kern w:val="0"/>
                <w:sz w:val="21"/>
                <w:szCs w:val="21"/>
                <w:lang w:val="en-US" w:eastAsia="zh-CN" w:bidi="ar-SA"/>
              </w:rPr>
              <w:t>兽药室</w:t>
            </w:r>
            <w:r>
              <w:rPr>
                <w:rFonts w:hint="default" w:ascii="Times New Roman" w:hAnsi="Times New Roman" w:eastAsia="宋体" w:cs="Times New Roman"/>
                <w:color w:val="auto"/>
                <w:kern w:val="0"/>
                <w:sz w:val="21"/>
                <w:szCs w:val="21"/>
                <w:lang w:val="en-US" w:eastAsia="zh-CN" w:bidi="ar-SA"/>
              </w:rPr>
              <w:t>、粪污管道、粪肥储存间等进行重点防渗</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确保等效黏土防渗层Mb≥6.0m，K≤1×10</w:t>
            </w:r>
            <w:r>
              <w:rPr>
                <w:rFonts w:hint="default" w:ascii="Times New Roman" w:hAnsi="Times New Roman" w:eastAsia="宋体" w:cs="Times New Roman"/>
                <w:color w:val="auto"/>
                <w:kern w:val="0"/>
                <w:sz w:val="21"/>
                <w:szCs w:val="21"/>
                <w:vertAlign w:val="superscript"/>
                <w:lang w:val="en-US" w:eastAsia="zh-CN" w:bidi="ar-SA"/>
              </w:rPr>
              <w:t>-7</w:t>
            </w:r>
            <w:r>
              <w:rPr>
                <w:rFonts w:hint="default" w:ascii="Times New Roman" w:hAnsi="Times New Roman" w:eastAsia="宋体" w:cs="Times New Roman"/>
                <w:color w:val="auto"/>
                <w:kern w:val="0"/>
                <w:sz w:val="21"/>
                <w:szCs w:val="21"/>
                <w:lang w:val="en-US" w:eastAsia="zh-CN" w:bidi="ar-SA"/>
              </w:rPr>
              <w:t>cm/s</w:t>
            </w:r>
          </w:p>
        </w:tc>
        <w:tc>
          <w:tcPr>
            <w:tcW w:w="685"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2679" w:type="pct"/>
            <w:gridSpan w:val="2"/>
            <w:noWrap w:val="0"/>
            <w:vAlign w:val="center"/>
          </w:tcPr>
          <w:p>
            <w:pPr>
              <w:keepNext w:val="0"/>
              <w:keepLines w:val="0"/>
              <w:widowControl w:val="0"/>
              <w:suppressLineNumbers w:val="0"/>
              <w:wordWrap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对圈舍、生活垃圾暂存间、化粪池、隔油池等进行一般防渗</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确保等效黏土防渗层Mb≥1.5m，K≤1×10</w:t>
            </w:r>
            <w:r>
              <w:rPr>
                <w:rFonts w:hint="default" w:ascii="Times New Roman" w:hAnsi="Times New Roman" w:eastAsia="宋体" w:cs="Times New Roman"/>
                <w:color w:val="auto"/>
                <w:kern w:val="0"/>
                <w:sz w:val="21"/>
                <w:szCs w:val="21"/>
                <w:vertAlign w:val="superscript"/>
                <w:lang w:val="en-US" w:eastAsia="zh-CN" w:bidi="ar-SA"/>
              </w:rPr>
              <w:t>-7</w:t>
            </w:r>
            <w:r>
              <w:rPr>
                <w:rFonts w:hint="default" w:ascii="Times New Roman" w:hAnsi="Times New Roman" w:eastAsia="宋体" w:cs="Times New Roman"/>
                <w:color w:val="auto"/>
                <w:kern w:val="0"/>
                <w:sz w:val="21"/>
                <w:szCs w:val="21"/>
                <w:lang w:val="en-US" w:eastAsia="zh-CN" w:bidi="ar-SA"/>
              </w:rPr>
              <w:t>cm/s</w:t>
            </w:r>
          </w:p>
        </w:tc>
        <w:tc>
          <w:tcPr>
            <w:tcW w:w="685"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废气</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w:t>
            </w: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食堂</w:t>
            </w:r>
            <w:r>
              <w:rPr>
                <w:rFonts w:hint="default" w:ascii="Times New Roman" w:hAnsi="Times New Roman" w:eastAsia="宋体" w:cs="Times New Roman"/>
                <w:color w:val="auto"/>
                <w:kern w:val="0"/>
                <w:sz w:val="21"/>
                <w:szCs w:val="21"/>
                <w:lang w:val="en-US" w:eastAsia="zh-CN" w:bidi="ar-SA"/>
              </w:rPr>
              <w:t>油烟</w:t>
            </w:r>
          </w:p>
        </w:tc>
        <w:tc>
          <w:tcPr>
            <w:tcW w:w="2679" w:type="pct"/>
            <w:gridSpan w:val="2"/>
            <w:noWrap w:val="0"/>
            <w:vAlign w:val="center"/>
          </w:tcPr>
          <w:p>
            <w:pPr>
              <w:keepNext w:val="0"/>
              <w:keepLines w:val="0"/>
              <w:widowControl w:val="0"/>
              <w:suppressLineNumbers w:val="0"/>
              <w:wordWrap w:val="0"/>
              <w:adjustRightInd w:val="0"/>
              <w:spacing w:before="0" w:beforeAutospacing="0" w:after="0" w:afterAutospacing="0" w:line="240" w:lineRule="auto"/>
              <w:ind w:left="0" w:right="0" w:firstLine="0" w:firstLineChars="0"/>
              <w:jc w:val="both"/>
              <w:textAlignment w:val="baseline"/>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一套处理效率大于75%油烟净化器，风量5000m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lang w:val="en-US" w:eastAsia="zh-CN" w:bidi="ar-SA"/>
              </w:rPr>
              <w:t>/h，</w:t>
            </w:r>
            <w:r>
              <w:rPr>
                <w:rFonts w:hint="default" w:ascii="Times New Roman" w:hAnsi="Times New Roman" w:eastAsia="宋体" w:cs="Times New Roman"/>
                <w:color w:val="auto"/>
                <w:kern w:val="2"/>
                <w:sz w:val="21"/>
                <w:szCs w:val="21"/>
                <w:lang w:val="en-US" w:eastAsia="zh-CN" w:bidi="ar-SA"/>
              </w:rPr>
              <w:t>并由专用排烟道至食堂楼顶排放</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w:t>
            </w:r>
            <w:r>
              <w:rPr>
                <w:rFonts w:hint="default" w:ascii="Times New Roman" w:hAnsi="Times New Roman" w:eastAsia="宋体" w:cs="Times New Roman"/>
                <w:color w:val="auto"/>
                <w:kern w:val="2"/>
                <w:sz w:val="21"/>
                <w:szCs w:val="21"/>
                <w:lang w:val="en-US" w:eastAsia="zh-CN" w:bidi="ar-SA"/>
              </w:rPr>
              <w:t>水处理站恶臭</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喷洒除臭剂，处理设施加盖密闭，周边加强绿化</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病死猪处理车间废气</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无害化降解处理机处理病死猪</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计入固废措施投资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猪</w:t>
            </w:r>
            <w:r>
              <w:rPr>
                <w:rFonts w:hint="default" w:ascii="Times New Roman" w:hAnsi="Times New Roman" w:eastAsia="宋体" w:cs="Times New Roman"/>
                <w:color w:val="auto"/>
                <w:kern w:val="2"/>
                <w:sz w:val="21"/>
                <w:szCs w:val="21"/>
                <w:lang w:val="en-US" w:eastAsia="zh-CN" w:bidi="ar-SA"/>
              </w:rPr>
              <w:t>舍恶臭</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猪粪日产日清、加强通风、饲料中添加EM制剂、喷洒除臭剂</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堆肥车间</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default" w:ascii="宋体" w:hAnsi="宋体" w:eastAsia="宋体" w:cs="宋体"/>
                <w:color w:val="auto"/>
                <w:sz w:val="21"/>
                <w:szCs w:val="21"/>
              </w:rPr>
              <w:t>“碱液喷淋+生物过滤法”处理后经15m高排气筒排放</w:t>
            </w:r>
            <w:r>
              <w:rPr>
                <w:rFonts w:hint="eastAsia" w:ascii="宋体" w:hAnsi="宋体" w:eastAsia="宋体" w:cs="宋体"/>
                <w:color w:val="auto"/>
                <w:sz w:val="21"/>
                <w:szCs w:val="21"/>
                <w:lang w:eastAsia="zh-CN"/>
              </w:rPr>
              <w:t>、</w:t>
            </w:r>
            <w:r>
              <w:rPr>
                <w:rFonts w:hint="eastAsia" w:ascii="Times New Roman" w:hAnsi="Times New Roman" w:eastAsia="宋体" w:cs="Times New Roman"/>
                <w:color w:val="auto"/>
                <w:kern w:val="2"/>
                <w:sz w:val="21"/>
                <w:szCs w:val="21"/>
                <w:lang w:val="en-US" w:eastAsia="zh-CN" w:bidi="ar-SA"/>
              </w:rPr>
              <w:t>喷</w:t>
            </w:r>
            <w:r>
              <w:rPr>
                <w:rFonts w:hint="default" w:ascii="Times New Roman" w:hAnsi="Times New Roman" w:eastAsia="宋体" w:cs="Times New Roman"/>
                <w:color w:val="auto"/>
                <w:kern w:val="2"/>
                <w:sz w:val="21"/>
                <w:szCs w:val="21"/>
                <w:lang w:val="en-US" w:eastAsia="zh-CN" w:bidi="ar-SA"/>
              </w:rPr>
              <w:t>洒除臭剂</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计入固废措施投资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沼气燃烧废气</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沼气脱水脱硫处理</w:t>
            </w:r>
            <w:r>
              <w:rPr>
                <w:rFonts w:hint="eastAsia" w:ascii="Times New Roman" w:hAnsi="Times New Roman" w:eastAsia="宋体" w:cs="Times New Roman"/>
                <w:color w:val="auto"/>
                <w:kern w:val="0"/>
                <w:sz w:val="21"/>
                <w:szCs w:val="21"/>
                <w:lang w:val="en-US" w:eastAsia="zh-CN" w:bidi="ar-SA"/>
              </w:rPr>
              <w:t>+燃烧回用</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运输车辆恶臭、尾气</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清洗</w:t>
            </w:r>
            <w:r>
              <w:rPr>
                <w:rFonts w:hint="default" w:ascii="Times New Roman" w:hAnsi="Times New Roman" w:eastAsia="宋体" w:cs="Times New Roman"/>
                <w:color w:val="auto"/>
                <w:kern w:val="0"/>
                <w:sz w:val="21"/>
                <w:szCs w:val="21"/>
                <w:lang w:val="en-US" w:eastAsia="zh-CN" w:bidi="ar-SA"/>
              </w:rPr>
              <w:t>车辆、加强管理</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噪声</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治理</w:t>
            </w:r>
          </w:p>
        </w:tc>
        <w:tc>
          <w:tcPr>
            <w:tcW w:w="756"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生产噪声</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水泵进出口设软接头、安装橡胶减震接头及加装减振垫等</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基座减振，设置隔声门窗，安装消声器，</w:t>
            </w:r>
            <w:r>
              <w:rPr>
                <w:rFonts w:hint="eastAsia" w:ascii="Times New Roman" w:hAnsi="Times New Roman" w:eastAsia="宋体" w:cs="Times New Roman"/>
                <w:color w:val="auto"/>
                <w:kern w:val="0"/>
                <w:sz w:val="21"/>
                <w:szCs w:val="21"/>
                <w:lang w:val="en-US" w:eastAsia="zh-CN" w:bidi="ar-SA"/>
              </w:rPr>
              <w:t>发</w:t>
            </w:r>
            <w:r>
              <w:rPr>
                <w:rFonts w:hint="default" w:ascii="Times New Roman" w:hAnsi="Times New Roman" w:eastAsia="宋体" w:cs="Times New Roman"/>
                <w:color w:val="auto"/>
                <w:kern w:val="0"/>
                <w:sz w:val="21"/>
                <w:szCs w:val="21"/>
                <w:lang w:val="en-US" w:eastAsia="zh-CN" w:bidi="ar-SA"/>
              </w:rPr>
              <w:t xml:space="preserve">电机房的墙壁和天花板采用吸声材料， </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厂房隔声，合理安排饲养时间、加强管理，设置绿化隔声带</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计入工程投资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固体</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废物</w:t>
            </w:r>
          </w:p>
        </w:tc>
        <w:tc>
          <w:tcPr>
            <w:tcW w:w="756"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一般固废</w:t>
            </w: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猪粪</w:t>
            </w:r>
          </w:p>
        </w:tc>
        <w:tc>
          <w:tcPr>
            <w:tcW w:w="1575"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收集后送至</w:t>
            </w:r>
            <w:r>
              <w:rPr>
                <w:rFonts w:hint="eastAsia" w:ascii="Times New Roman" w:hAnsi="Times New Roman" w:eastAsia="宋体" w:cs="Times New Roman"/>
                <w:color w:val="auto"/>
                <w:kern w:val="0"/>
                <w:sz w:val="21"/>
                <w:szCs w:val="21"/>
                <w:lang w:val="en-US" w:eastAsia="zh-CN" w:bidi="ar-SA"/>
              </w:rPr>
              <w:t>堆肥车间</w:t>
            </w:r>
            <w:r>
              <w:rPr>
                <w:rFonts w:hint="default" w:ascii="Times New Roman" w:hAnsi="Times New Roman" w:eastAsia="宋体" w:cs="Times New Roman"/>
                <w:color w:val="auto"/>
                <w:kern w:val="0"/>
                <w:sz w:val="21"/>
                <w:szCs w:val="21"/>
                <w:lang w:val="en-US" w:eastAsia="zh-CN" w:bidi="ar-SA"/>
              </w:rPr>
              <w:t>堆肥发酵后作为有机肥外售</w:t>
            </w:r>
          </w:p>
        </w:tc>
        <w:tc>
          <w:tcPr>
            <w:tcW w:w="685"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污水处理设施污泥及沼渣</w:t>
            </w:r>
          </w:p>
        </w:tc>
        <w:tc>
          <w:tcPr>
            <w:tcW w:w="1575"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bCs/>
                <w:color w:val="auto"/>
                <w:kern w:val="0"/>
                <w:sz w:val="21"/>
                <w:szCs w:val="21"/>
                <w:lang w:val="en-US" w:eastAsia="zh-CN" w:bidi="ar-SA"/>
              </w:rPr>
            </w:pPr>
          </w:p>
        </w:tc>
        <w:tc>
          <w:tcPr>
            <w:tcW w:w="685"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病死猪及胎盘</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采用无害化</w:t>
            </w:r>
            <w:r>
              <w:rPr>
                <w:rFonts w:hint="eastAsia" w:ascii="Times New Roman" w:hAnsi="Times New Roman" w:eastAsia="宋体" w:cs="Times New Roman"/>
                <w:bCs/>
                <w:color w:val="auto"/>
                <w:kern w:val="0"/>
                <w:sz w:val="21"/>
                <w:szCs w:val="21"/>
                <w:lang w:val="en-US" w:eastAsia="zh-CN" w:bidi="ar-SA"/>
              </w:rPr>
              <w:t>无害化降解处理机</w:t>
            </w:r>
            <w:r>
              <w:rPr>
                <w:rFonts w:hint="default" w:ascii="Times New Roman" w:hAnsi="Times New Roman" w:eastAsia="宋体" w:cs="Times New Roman"/>
                <w:bCs/>
                <w:color w:val="auto"/>
                <w:kern w:val="0"/>
                <w:sz w:val="21"/>
                <w:szCs w:val="21"/>
                <w:lang w:val="en-US" w:eastAsia="zh-CN" w:bidi="ar-SA"/>
              </w:rPr>
              <w:t>处理，处理后运至</w:t>
            </w:r>
            <w:r>
              <w:rPr>
                <w:rFonts w:hint="eastAsia" w:ascii="Times New Roman" w:hAnsi="Times New Roman" w:eastAsia="宋体" w:cs="Times New Roman"/>
                <w:bCs/>
                <w:color w:val="auto"/>
                <w:kern w:val="0"/>
                <w:sz w:val="21"/>
                <w:szCs w:val="21"/>
                <w:lang w:val="en-US" w:eastAsia="zh-CN" w:bidi="ar-SA"/>
              </w:rPr>
              <w:t>堆肥车间</w:t>
            </w:r>
            <w:r>
              <w:rPr>
                <w:rFonts w:hint="default" w:ascii="Times New Roman" w:hAnsi="Times New Roman" w:eastAsia="宋体" w:cs="Times New Roman"/>
                <w:bCs/>
                <w:color w:val="auto"/>
                <w:kern w:val="0"/>
                <w:sz w:val="21"/>
                <w:szCs w:val="21"/>
                <w:lang w:val="en-US" w:eastAsia="zh-CN" w:bidi="ar-SA"/>
              </w:rPr>
              <w:t>堆肥发酵后作为有机肥外售</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生活垃圾</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袋装收集后暂存于生活垃圾暂存间，及时运往垃圾中转站，由环卫部门统一清运处置</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废脱硫剂</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集中收集后交由原厂家回收再生利用</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废包装材料</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统一收集后送至废品回收站收购</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危险废物</w:t>
            </w: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畜禽</w:t>
            </w:r>
            <w:r>
              <w:rPr>
                <w:rFonts w:hint="default" w:ascii="Times New Roman" w:hAnsi="Times New Roman" w:eastAsia="宋体" w:cs="Times New Roman"/>
                <w:color w:val="auto"/>
                <w:kern w:val="0"/>
                <w:sz w:val="21"/>
                <w:szCs w:val="21"/>
                <w:lang w:val="en-US" w:eastAsia="zh-CN" w:bidi="ar-SA"/>
              </w:rPr>
              <w:t>医疗废物</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区内设置5处危险废物暂存间（单间建筑面积约5m</w:t>
            </w:r>
            <w:r>
              <w:rPr>
                <w:rFonts w:hint="eastAsia"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，暂存于危险废物暂存间，交由危险废物处置单位进行处置</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风险防范设施</w:t>
            </w: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事故应急池</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1座，</w:t>
            </w:r>
            <w:r>
              <w:rPr>
                <w:rFonts w:hint="eastAsia" w:ascii="Times New Roman" w:hAnsi="Times New Roman" w:eastAsia="宋体" w:cs="Times New Roman"/>
                <w:color w:val="auto"/>
                <w:kern w:val="0"/>
                <w:sz w:val="21"/>
                <w:szCs w:val="21"/>
                <w:lang w:val="en-US" w:eastAsia="zh-CN" w:bidi="ar-SA"/>
              </w:rPr>
              <w:t>位于厂区西侧，用于存放污水处理系统事故时废水，容积2000m</w:t>
            </w:r>
            <w:r>
              <w:rPr>
                <w:rFonts w:hint="eastAsia" w:ascii="Times New Roman" w:hAnsi="Times New Roman" w:eastAsia="宋体" w:cs="Times New Roman"/>
                <w:color w:val="auto"/>
                <w:kern w:val="0"/>
                <w:sz w:val="21"/>
                <w:szCs w:val="21"/>
                <w:vertAlign w:val="superscript"/>
                <w:lang w:val="en-US" w:eastAsia="zh-CN" w:bidi="ar-SA"/>
              </w:rPr>
              <w:t>3</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沼气泄漏</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加强设备的维护，按规定定期对储袋、管道系统进行密封性和压强测试；设置可燃气体泄漏报警器、火焰报警器和烟雾报警器各1套</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消防器材</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厂区设置消防灭火系统</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计入工程投资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风险管理措施</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编制应急预案，</w:t>
            </w:r>
            <w:r>
              <w:rPr>
                <w:rFonts w:hint="eastAsia" w:ascii="Times New Roman" w:hAnsi="Times New Roman" w:eastAsia="宋体" w:cs="Times New Roman"/>
                <w:color w:val="auto"/>
                <w:kern w:val="0"/>
                <w:sz w:val="21"/>
                <w:szCs w:val="21"/>
                <w:lang w:val="en-US" w:eastAsia="zh-CN" w:bidi="ar-SA"/>
              </w:rPr>
              <w:t>加强操作人员的技术培训和岗位责任制教育</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其他</w:t>
            </w: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环境管理及监测</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定期开展环境监测工作，加强环境保护管理工作</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生态</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厂区绿化、服务期满后土地复垦</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8"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合计</w:t>
            </w: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814.5</w:t>
            </w:r>
          </w:p>
        </w:tc>
      </w:tr>
    </w:tbl>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境保护措施及技术经济论证结果表明：工程拟采取的废水、废气、噪声治理措施技术成熟可靠、经济合理可行；固体废物去向明确，能得到妥善处置。建设项目环境保护措施选择合理，能够产生较好的环境效益。</w:t>
      </w:r>
    </w:p>
    <w:p>
      <w:pPr>
        <w:rPr>
          <w:rFonts w:hint="default" w:ascii="Times New Roman" w:hAnsi="Times New Roman" w:cs="Times New Roman"/>
          <w:color w:val="auto"/>
          <w:lang w:val="en-US" w:eastAsia="zh-CN"/>
        </w:rPr>
      </w:pPr>
      <w:r>
        <w:rPr>
          <w:color w:val="auto"/>
          <w:lang w:val="zh-CN"/>
        </w:rPr>
        <w:br w:type="page"/>
      </w:r>
    </w:p>
    <w:p>
      <w:pPr>
        <w:pStyle w:val="5"/>
        <w:rPr>
          <w:rFonts w:cs="Times New Roman"/>
          <w:color w:val="auto"/>
        </w:rPr>
      </w:pPr>
      <w:bookmarkStart w:id="281" w:name="_Toc25425"/>
      <w:r>
        <w:rPr>
          <w:rFonts w:cs="Times New Roman"/>
          <w:color w:val="auto"/>
        </w:rPr>
        <w:t>环境影响经济损益分析</w:t>
      </w:r>
      <w:bookmarkEnd w:id="281"/>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282" w:name="_Toc414180957"/>
      <w:bookmarkStart w:id="283" w:name="_Toc470789121"/>
      <w:bookmarkStart w:id="284" w:name="_Toc15134"/>
      <w:bookmarkStart w:id="285" w:name="_Toc163123437"/>
      <w:bookmarkStart w:id="286" w:name="_Toc145487169"/>
      <w:bookmarkStart w:id="287" w:name="_Toc154818638"/>
      <w:bookmarkStart w:id="288" w:name="_Toc319591304"/>
      <w:bookmarkStart w:id="289" w:name="_Toc123721620"/>
      <w:bookmarkStart w:id="290" w:name="_Toc319588993"/>
      <w:bookmarkStart w:id="291" w:name="_Toc154987416"/>
      <w:bookmarkStart w:id="292" w:name="_Toc261592346"/>
      <w:bookmarkStart w:id="293" w:name="_Toc369668391"/>
      <w:bookmarkStart w:id="294" w:name="_Toc214714330"/>
      <w:bookmarkStart w:id="295" w:name="_Toc145487288"/>
      <w:bookmarkStart w:id="296" w:name="_Toc362744370"/>
      <w:bookmarkStart w:id="297" w:name="_Toc295386679"/>
      <w:bookmarkStart w:id="298" w:name="_Toc241784544"/>
      <w:bookmarkStart w:id="299" w:name="_Toc154987658"/>
      <w:bookmarkStart w:id="300" w:name="_Toc405412947"/>
      <w:bookmarkStart w:id="301" w:name="_Toc154982520"/>
      <w:r>
        <w:rPr>
          <w:rFonts w:hint="eastAsia" w:ascii="Times New Roman" w:hAnsi="Times New Roman" w:eastAsia="宋体" w:cs="Times New Roman"/>
          <w:color w:val="auto"/>
          <w:lang w:val="en-US" w:eastAsia="zh-CN"/>
        </w:rPr>
        <w:t>概述</w:t>
      </w:r>
      <w:bookmarkEnd w:id="282"/>
      <w:bookmarkEnd w:id="283"/>
      <w:bookmarkEnd w:id="284"/>
    </w:p>
    <w:p>
      <w:pPr>
        <w:pStyle w:val="177"/>
        <w:spacing w:line="360" w:lineRule="auto"/>
        <w:ind w:firstLine="480"/>
        <w:rPr>
          <w:color w:val="auto"/>
        </w:rPr>
      </w:pPr>
      <w:r>
        <w:rPr>
          <w:color w:val="auto"/>
        </w:rPr>
        <w:t>环境影响经济损益分析是近年来环境影响评价的一项主要内容，设置的目的在于衡量建设项目所需投入的环保投资和能收到的环保效果，以评价拟建项目的环境经济可行性。环境影响经济损益分析是从环境经济角度对项目可行性进行评价，以货币形式定量表述建设项目对环境影响程度和相应的环境工程效益，从而为决策部门提供科学依据，使建设项目在营运后能更好地实现经济效益、环境效益和社会效益统一。</w:t>
      </w: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02" w:name="_Toc488738022"/>
      <w:bookmarkStart w:id="303" w:name="_Toc29221886"/>
      <w:bookmarkStart w:id="304" w:name="_Toc27627"/>
      <w:bookmarkStart w:id="305" w:name="_Toc436035714"/>
      <w:r>
        <w:rPr>
          <w:rFonts w:hint="eastAsia" w:ascii="Times New Roman" w:hAnsi="Times New Roman" w:eastAsia="宋体" w:cs="Times New Roman"/>
          <w:color w:val="auto"/>
          <w:lang w:val="en-US" w:eastAsia="zh-CN"/>
        </w:rPr>
        <w:t>环境经济损益分析的目的</w:t>
      </w:r>
      <w:bookmarkEnd w:id="302"/>
      <w:bookmarkEnd w:id="303"/>
      <w:bookmarkEnd w:id="304"/>
      <w:bookmarkEnd w:id="305"/>
    </w:p>
    <w:p>
      <w:pPr>
        <w:pStyle w:val="177"/>
        <w:spacing w:line="360" w:lineRule="auto"/>
        <w:ind w:firstLine="480"/>
        <w:rPr>
          <w:color w:val="auto"/>
        </w:rPr>
      </w:pPr>
      <w:r>
        <w:rPr>
          <w:rFonts w:hint="eastAsia"/>
          <w:color w:val="auto"/>
        </w:rPr>
        <w:t>环境影响经济损益分析是环境影响评价的重要环节之一，它的主要任务是衡量建设项目需要投入的环保投资和收到的环境保护效果，以及建设项目对外界产生的环境影响、经济影响和社会影响。</w:t>
      </w:r>
      <w:r>
        <w:rPr>
          <w:color w:val="auto"/>
        </w:rPr>
        <w:t>根据工程分析，本项目建设将不可避免的带来一些环境问题，对环境影响较大的主要施工期和运营期，特别是运营期，影响的范围大，因素多，为此工程将投入一定的经费，对所带来的环境问题进行治理。</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06" w:name="_Toc9564"/>
      <w:bookmarkStart w:id="307" w:name="_Toc29221887"/>
      <w:r>
        <w:rPr>
          <w:rFonts w:hint="eastAsia" w:ascii="Times New Roman" w:hAnsi="Times New Roman" w:eastAsia="宋体" w:cs="Times New Roman"/>
          <w:color w:val="auto"/>
          <w:lang w:val="en-US" w:eastAsia="zh-CN"/>
        </w:rPr>
        <w:t>环境经济损益分析的方法</w:t>
      </w:r>
      <w:bookmarkEnd w:id="306"/>
      <w:bookmarkEnd w:id="307"/>
    </w:p>
    <w:p>
      <w:pPr>
        <w:pStyle w:val="177"/>
        <w:spacing w:line="360" w:lineRule="auto"/>
        <w:ind w:firstLine="480"/>
        <w:rPr>
          <w:rFonts w:hint="eastAsia"/>
          <w:color w:val="auto"/>
        </w:rPr>
      </w:pPr>
      <w:r>
        <w:rPr>
          <w:rFonts w:hint="eastAsia"/>
          <w:color w:val="auto"/>
        </w:rPr>
        <w:t>环境经济损益分析采用国家环境保护总局推荐的《环境经济损益分析》的技术原则与方法进行，主要内容有：确定建设项目的环境保护投资费用；计算环境保护设施的运行、折旧、管理费用；确定项目无环保措施条件下的资源和社会损失；计算环保设施产生的经济效益；环境经济静态分析等。经济效益比较直观，很容易用货币直接计算，而环境污染影响带来的损失一般是间接的，很难用货币直接计算，因此环境影响经济具体定量化分析，目前难度还是较大的，多数是采用定性与半定量相结合的方法进行讨论。</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08" w:name="_Toc29221888"/>
      <w:bookmarkStart w:id="309" w:name="_Toc488738025"/>
      <w:bookmarkStart w:id="310" w:name="_Toc436035716"/>
      <w:bookmarkStart w:id="311" w:name="_Toc30767"/>
      <w:r>
        <w:rPr>
          <w:rFonts w:hint="eastAsia" w:ascii="Times New Roman" w:hAnsi="Times New Roman" w:eastAsia="宋体" w:cs="Times New Roman"/>
          <w:color w:val="auto"/>
          <w:lang w:val="en-US" w:eastAsia="zh-CN"/>
        </w:rPr>
        <w:t>项目经济效益分析</w:t>
      </w:r>
      <w:bookmarkEnd w:id="308"/>
      <w:bookmarkEnd w:id="309"/>
      <w:bookmarkEnd w:id="310"/>
      <w:bookmarkEnd w:id="311"/>
    </w:p>
    <w:p>
      <w:pPr>
        <w:pStyle w:val="177"/>
        <w:spacing w:line="360" w:lineRule="auto"/>
        <w:ind w:firstLine="480"/>
        <w:rPr>
          <w:rFonts w:hint="eastAsia"/>
          <w:color w:val="auto"/>
        </w:rPr>
      </w:pPr>
      <w:r>
        <w:rPr>
          <w:rFonts w:hint="eastAsia"/>
          <w:color w:val="auto"/>
        </w:rPr>
        <w:t>本项目总投资</w:t>
      </w:r>
      <w:r>
        <w:rPr>
          <w:rFonts w:hint="eastAsia"/>
          <w:color w:val="auto"/>
          <w:lang w:val="en-US" w:eastAsia="zh-CN"/>
        </w:rPr>
        <w:t>20</w:t>
      </w:r>
      <w:r>
        <w:rPr>
          <w:rFonts w:hint="eastAsia"/>
          <w:color w:val="auto"/>
        </w:rPr>
        <w:t>000万元，项目的建设将促进该地区农业的发展，从而拉动地方经济增长，提升区域的经济消费水平。本项目建成后，年出栏断奶小猪约</w:t>
      </w:r>
      <w:r>
        <w:rPr>
          <w:rFonts w:hint="eastAsia"/>
          <w:color w:val="auto"/>
          <w:lang w:val="en-US" w:eastAsia="zh-CN"/>
        </w:rPr>
        <w:t>312500</w:t>
      </w:r>
      <w:r>
        <w:rPr>
          <w:rFonts w:hint="eastAsia"/>
          <w:color w:val="auto"/>
        </w:rPr>
        <w:t>头，投资收益率较高。同进，本项目的建设具有产业链效益，能够带动当地经济的快速发展，并能促进饲料加工、种植业、养殖业等相关行业的发展。</w:t>
      </w:r>
    </w:p>
    <w:p>
      <w:pPr>
        <w:pStyle w:val="177"/>
        <w:spacing w:line="360" w:lineRule="auto"/>
        <w:ind w:firstLine="480"/>
        <w:rPr>
          <w:rFonts w:hint="eastAsia"/>
          <w:color w:val="auto"/>
        </w:rPr>
      </w:pPr>
      <w:r>
        <w:rPr>
          <w:rFonts w:hint="eastAsia"/>
          <w:color w:val="auto"/>
        </w:rPr>
        <w:t>因此，本项目的建设可促进区域畜牧业发展和产业结构的调整，增加当地的就业机会和人均收入，总体经济效益将会显著增长。</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12" w:name="_Toc6710"/>
      <w:bookmarkStart w:id="313" w:name="_Toc436035717"/>
      <w:bookmarkStart w:id="314" w:name="_Toc29221889"/>
      <w:bookmarkStart w:id="315" w:name="_Toc488738026"/>
      <w:r>
        <w:rPr>
          <w:rFonts w:hint="eastAsia" w:ascii="Times New Roman" w:hAnsi="Times New Roman" w:eastAsia="宋体" w:cs="Times New Roman"/>
          <w:color w:val="auto"/>
          <w:lang w:val="en-US" w:eastAsia="zh-CN"/>
        </w:rPr>
        <w:t>项目社会效益分析</w:t>
      </w:r>
      <w:bookmarkEnd w:id="312"/>
      <w:bookmarkEnd w:id="313"/>
      <w:bookmarkEnd w:id="314"/>
      <w:bookmarkEnd w:id="315"/>
    </w:p>
    <w:p>
      <w:pPr>
        <w:pStyle w:val="177"/>
        <w:spacing w:line="360" w:lineRule="auto"/>
        <w:ind w:firstLine="480"/>
        <w:rPr>
          <w:rFonts w:hint="eastAsia"/>
          <w:color w:val="auto"/>
        </w:rPr>
      </w:pPr>
      <w:r>
        <w:rPr>
          <w:rFonts w:hint="eastAsia"/>
          <w:color w:val="auto"/>
        </w:rPr>
        <w:t>本项目的实施，将大幅度提高企业生猪的生产能力，向着经济规模和规模经营的方向迈进，同时进一步加强企业的科技含量和实力，并增强企业的市场竞争力和提高自身的经济效益；实现了农村剩余劳动力转化和带动农民致富，对优化农村经济结构和增加农民收入有着重要意义。项目的社会效益主要表现在以下几个方面：</w:t>
      </w:r>
    </w:p>
    <w:p>
      <w:pPr>
        <w:pStyle w:val="177"/>
        <w:spacing w:line="360" w:lineRule="auto"/>
        <w:ind w:firstLine="480"/>
        <w:rPr>
          <w:rFonts w:hint="eastAsia"/>
          <w:color w:val="auto"/>
        </w:rPr>
      </w:pPr>
      <w:r>
        <w:rPr>
          <w:rFonts w:hint="eastAsia"/>
          <w:color w:val="auto"/>
        </w:rPr>
        <w:t>（1）项目的实施促进了养殖场的良性发展，增加了建设单位的市场竞争力。</w:t>
      </w:r>
    </w:p>
    <w:p>
      <w:pPr>
        <w:pStyle w:val="177"/>
        <w:spacing w:line="360" w:lineRule="auto"/>
        <w:ind w:firstLine="480"/>
        <w:rPr>
          <w:rFonts w:hint="eastAsia"/>
          <w:color w:val="auto"/>
        </w:rPr>
      </w:pPr>
      <w:r>
        <w:rPr>
          <w:rFonts w:hint="eastAsia"/>
          <w:color w:val="auto"/>
        </w:rPr>
        <w:t>（2）养殖场的废物得到资源化的利用，促进了项目单位循环经济和生态经济的良性发展。项目对污染物进行了治理，实现了清洁养殖，为生猪的良性繁育创造了较好环境，增强了市场竞争力。</w:t>
      </w:r>
    </w:p>
    <w:p>
      <w:pPr>
        <w:pStyle w:val="177"/>
        <w:spacing w:line="360" w:lineRule="auto"/>
        <w:ind w:firstLine="480"/>
        <w:rPr>
          <w:rFonts w:hint="eastAsia"/>
          <w:color w:val="auto"/>
        </w:rPr>
      </w:pPr>
      <w:r>
        <w:rPr>
          <w:rFonts w:hint="eastAsia"/>
          <w:color w:val="auto"/>
        </w:rPr>
        <w:t>（3）项目的清洁生产措施，很大程度上节约了资源和能源，起到了“节能、降耗、减污、增效”的作用，符合国家产业政策和环保治理要求。</w:t>
      </w:r>
    </w:p>
    <w:p>
      <w:pPr>
        <w:pStyle w:val="177"/>
        <w:spacing w:line="360" w:lineRule="auto"/>
        <w:ind w:firstLine="480"/>
        <w:rPr>
          <w:rFonts w:hint="eastAsia"/>
          <w:color w:val="auto"/>
        </w:rPr>
      </w:pPr>
      <w:r>
        <w:rPr>
          <w:rFonts w:hint="eastAsia"/>
          <w:color w:val="auto"/>
        </w:rPr>
        <w:t>（4）项目的标准化、规模化建设将形成农村能源产业，由此所需的技术、管理队伍可就地吸纳农村剩余劳动力，有利于维护农村社会稳定，对提高人民生活水平起到积极作用。</w:t>
      </w:r>
    </w:p>
    <w:p>
      <w:pPr>
        <w:pStyle w:val="177"/>
        <w:spacing w:line="360" w:lineRule="auto"/>
        <w:ind w:firstLine="480"/>
        <w:rPr>
          <w:rFonts w:hint="eastAsia"/>
          <w:color w:val="auto"/>
        </w:rPr>
      </w:pPr>
      <w:r>
        <w:rPr>
          <w:rFonts w:hint="eastAsia"/>
          <w:color w:val="auto"/>
        </w:rPr>
        <w:t>（5）项目的建设可拉动周边畜禽养殖业、肉制品加工业、饲料加工业、有机肥深加工等行业的快速发展，同时为周围种植业提供了大量优质有机肥，降低了化肥、农药在农产品生产中的使用量，为无害农产品生产提供了有利条件，有利于促进周围农村产业结构调整。</w:t>
      </w:r>
    </w:p>
    <w:p>
      <w:pPr>
        <w:pStyle w:val="177"/>
        <w:spacing w:line="360" w:lineRule="auto"/>
        <w:ind w:firstLine="480"/>
        <w:rPr>
          <w:rFonts w:hint="eastAsia"/>
          <w:color w:val="auto"/>
        </w:rPr>
      </w:pPr>
      <w:r>
        <w:rPr>
          <w:rFonts w:hint="eastAsia"/>
          <w:color w:val="auto"/>
        </w:rPr>
        <w:t>（6）项目投产后，可增加当地财政收入，提高当地社会经济发展水平，对区域社会稳定发挥了较强作用。</w:t>
      </w:r>
    </w:p>
    <w:p>
      <w:pPr>
        <w:pStyle w:val="177"/>
        <w:spacing w:line="360" w:lineRule="auto"/>
        <w:ind w:firstLine="480"/>
        <w:rPr>
          <w:rFonts w:hint="eastAsia"/>
          <w:color w:val="auto"/>
        </w:rPr>
      </w:pPr>
      <w:r>
        <w:rPr>
          <w:rFonts w:hint="eastAsia"/>
          <w:color w:val="auto"/>
        </w:rPr>
        <w:t>（7）在当前市场急需大量生猪的形势下，本项目的实施将对市场良种的需求也能更进一步的满足，促进四川省及周边地区种猪改良以及无公害猪的生产发展。</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16" w:name="_Toc29221890"/>
      <w:bookmarkStart w:id="317" w:name="_Toc23760"/>
      <w:r>
        <w:rPr>
          <w:rFonts w:hint="eastAsia" w:ascii="Times New Roman" w:hAnsi="Times New Roman" w:eastAsia="宋体" w:cs="Times New Roman"/>
          <w:color w:val="auto"/>
          <w:lang w:val="en-US" w:eastAsia="zh-CN"/>
        </w:rPr>
        <w:t>项目生态效益分析</w:t>
      </w:r>
      <w:bookmarkEnd w:id="316"/>
      <w:bookmarkEnd w:id="317"/>
    </w:p>
    <w:p>
      <w:pPr>
        <w:pStyle w:val="177"/>
        <w:spacing w:line="360" w:lineRule="auto"/>
        <w:ind w:firstLine="480"/>
        <w:rPr>
          <w:rFonts w:hint="eastAsia"/>
          <w:color w:val="auto"/>
        </w:rPr>
      </w:pPr>
      <w:r>
        <w:rPr>
          <w:rFonts w:hint="eastAsia"/>
          <w:color w:val="auto"/>
        </w:rPr>
        <w:t>本项目以生态平衡为宗旨，大力开展绿化造林，搞好道路、场区四旁绿化、美化环境，猪场的清粪工艺采用干清粪工艺，粪便堆肥发酵后作为有机肥外售，污水进行深度处理后综合利用，污粪未混合排出。猪粪用于有机肥生产，使猪粪变废为宝，为有机农业、绿色农业和设施农业的发展做出新的贡献。猪粪是优质有机肥可改良土壤、提高土壤中氧气通透性，杜绝使用化学肥料对土壤和果蔬产品的毒物质残留，确保了食品安全，同时提高农产品市场竞争和农产品价位。</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18" w:name="_Toc436035718"/>
      <w:bookmarkStart w:id="319" w:name="_Toc29283"/>
      <w:bookmarkStart w:id="320" w:name="_Toc29221891"/>
      <w:bookmarkStart w:id="321" w:name="_Toc488738027"/>
      <w:r>
        <w:rPr>
          <w:rFonts w:hint="eastAsia" w:ascii="Times New Roman" w:hAnsi="Times New Roman" w:eastAsia="宋体" w:cs="Times New Roman"/>
          <w:color w:val="auto"/>
          <w:lang w:val="en-US" w:eastAsia="zh-CN"/>
        </w:rPr>
        <w:t>环境经济损益分析</w:t>
      </w:r>
      <w:bookmarkEnd w:id="318"/>
      <w:bookmarkEnd w:id="319"/>
      <w:bookmarkEnd w:id="320"/>
      <w:bookmarkEnd w:id="321"/>
    </w:p>
    <w:p>
      <w:pPr>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根据工程分析，本项目建设将不可避免的带来一些环境问题，对环境影响较大的主要施工期和运营期，特别是运营期，影响的范围大，因素多，为此工程将投入一定的经费，对所带来的环境问题进行治理。</w:t>
      </w:r>
    </w:p>
    <w:p>
      <w:pPr>
        <w:pStyle w:val="7"/>
        <w:spacing w:before="0" w:after="0" w:line="360" w:lineRule="auto"/>
        <w:ind w:left="0" w:firstLine="0"/>
        <w:rPr>
          <w:rFonts w:hint="eastAsia" w:cs="Times New Roman"/>
          <w:color w:val="auto"/>
          <w:lang w:val="en-US" w:eastAsia="zh-CN"/>
        </w:rPr>
      </w:pPr>
      <w:bookmarkStart w:id="322" w:name="_Toc21300"/>
      <w:r>
        <w:rPr>
          <w:rFonts w:hint="eastAsia" w:cs="Times New Roman"/>
          <w:color w:val="auto"/>
          <w:lang w:val="en-US" w:eastAsia="zh-CN"/>
        </w:rPr>
        <w:t>环保投资</w:t>
      </w:r>
      <w:bookmarkEnd w:id="322"/>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1、环保设施建设投资</w:t>
      </w:r>
      <w:r>
        <w:rPr>
          <w:rFonts w:hint="default" w:ascii="Times New Roman" w:hAnsi="Times New Roman" w:eastAsia="宋体" w:cs="Times New Roman"/>
          <w:b/>
          <w:i/>
          <w:color w:val="auto"/>
          <w:sz w:val="24"/>
          <w:szCs w:val="24"/>
        </w:rPr>
        <w:t>C</w:t>
      </w:r>
      <w:r>
        <w:rPr>
          <w:rFonts w:hint="default" w:ascii="Times New Roman" w:hAnsi="Times New Roman" w:eastAsia="宋体" w:cs="Times New Roman"/>
          <w:b/>
          <w:i/>
          <w:color w:val="auto"/>
          <w:sz w:val="24"/>
          <w:szCs w:val="24"/>
          <w:vertAlign w:val="subscript"/>
        </w:rPr>
        <w:t>0</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为控制和减轻对周围环境的污染，本项目用于环保设施建设的一次性投资约</w:t>
      </w:r>
      <w:r>
        <w:rPr>
          <w:rFonts w:hint="eastAsia" w:ascii="Times New Roman" w:hAnsi="Times New Roman" w:eastAsia="宋体" w:cs="Times New Roman"/>
          <w:color w:val="auto"/>
          <w:sz w:val="24"/>
          <w:szCs w:val="24"/>
          <w:lang w:val="en-US" w:eastAsia="zh-CN"/>
        </w:rPr>
        <w:t>814.5</w:t>
      </w:r>
      <w:r>
        <w:rPr>
          <w:rFonts w:hint="default" w:ascii="Times New Roman" w:hAnsi="Times New Roman" w:eastAsia="宋体" w:cs="Times New Roman"/>
          <w:color w:val="auto"/>
          <w:sz w:val="24"/>
          <w:szCs w:val="24"/>
        </w:rPr>
        <w:t>万元，占项目总投资的</w:t>
      </w:r>
      <w:r>
        <w:rPr>
          <w:rFonts w:hint="eastAsia" w:ascii="Times New Roman" w:hAnsi="Times New Roman" w:eastAsia="宋体" w:cs="Times New Roman"/>
          <w:color w:val="auto"/>
          <w:sz w:val="24"/>
          <w:szCs w:val="24"/>
          <w:lang w:val="en-US" w:eastAsia="zh-CN"/>
        </w:rPr>
        <w:t>4.07</w:t>
      </w:r>
      <w:r>
        <w:rPr>
          <w:rFonts w:hint="default" w:ascii="Times New Roman" w:hAnsi="Times New Roman" w:eastAsia="宋体" w:cs="Times New Roman"/>
          <w:color w:val="auto"/>
          <w:sz w:val="24"/>
          <w:szCs w:val="24"/>
        </w:rPr>
        <w:t xml:space="preserve">%。本项目运营期废气治理设施投资 </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万元，占环保投资的</w:t>
      </w:r>
      <w:r>
        <w:rPr>
          <w:rFonts w:hint="eastAsia" w:ascii="Times New Roman" w:hAnsi="Times New Roman" w:eastAsia="宋体" w:cs="Times New Roman"/>
          <w:color w:val="auto"/>
          <w:sz w:val="24"/>
          <w:szCs w:val="24"/>
          <w:lang w:val="en-US" w:eastAsia="zh-CN"/>
        </w:rPr>
        <w:t>2.58</w:t>
      </w:r>
      <w:r>
        <w:rPr>
          <w:rFonts w:hint="default" w:ascii="Times New Roman" w:hAnsi="Times New Roman" w:eastAsia="宋体" w:cs="Times New Roman"/>
          <w:color w:val="auto"/>
          <w:sz w:val="24"/>
          <w:szCs w:val="24"/>
        </w:rPr>
        <w:t>%；废水治理设施</w:t>
      </w:r>
      <w:r>
        <w:rPr>
          <w:rFonts w:hint="eastAsia" w:ascii="Times New Roman" w:hAnsi="Times New Roman" w:eastAsia="宋体" w:cs="Times New Roman"/>
          <w:color w:val="auto"/>
          <w:sz w:val="24"/>
          <w:szCs w:val="24"/>
          <w:lang w:val="en-US" w:eastAsia="zh-CN"/>
        </w:rPr>
        <w:t>466</w:t>
      </w:r>
      <w:r>
        <w:rPr>
          <w:rFonts w:hint="default" w:ascii="Times New Roman" w:hAnsi="Times New Roman" w:eastAsia="宋体" w:cs="Times New Roman"/>
          <w:color w:val="auto"/>
          <w:sz w:val="24"/>
          <w:szCs w:val="24"/>
        </w:rPr>
        <w:t>万元，占环保投资的</w:t>
      </w:r>
      <w:r>
        <w:rPr>
          <w:rFonts w:hint="eastAsia" w:ascii="Times New Roman" w:hAnsi="Times New Roman" w:eastAsia="宋体" w:cs="Times New Roman"/>
          <w:color w:val="auto"/>
          <w:sz w:val="24"/>
          <w:szCs w:val="24"/>
          <w:lang w:val="en-US" w:eastAsia="zh-CN"/>
        </w:rPr>
        <w:t>57.21</w:t>
      </w:r>
      <w:r>
        <w:rPr>
          <w:rFonts w:hint="default" w:ascii="Times New Roman" w:hAnsi="Times New Roman" w:eastAsia="宋体" w:cs="Times New Roman"/>
          <w:color w:val="auto"/>
          <w:sz w:val="24"/>
          <w:szCs w:val="24"/>
        </w:rPr>
        <w:t>%；噪声防治措施投资7万元，占环保投资0.</w:t>
      </w:r>
      <w:r>
        <w:rPr>
          <w:rFonts w:hint="eastAsia" w:ascii="Times New Roman" w:hAnsi="Times New Roman" w:eastAsia="宋体" w:cs="Times New Roman"/>
          <w:color w:val="auto"/>
          <w:sz w:val="24"/>
          <w:szCs w:val="24"/>
          <w:lang w:val="en-US" w:eastAsia="zh-CN"/>
        </w:rPr>
        <w:t>85</w:t>
      </w:r>
      <w:r>
        <w:rPr>
          <w:rFonts w:hint="default" w:ascii="Times New Roman" w:hAnsi="Times New Roman" w:eastAsia="宋体" w:cs="Times New Roman"/>
          <w:color w:val="auto"/>
          <w:sz w:val="24"/>
          <w:szCs w:val="24"/>
        </w:rPr>
        <w:t>%；固废处置设施</w:t>
      </w:r>
      <w:r>
        <w:rPr>
          <w:rFonts w:hint="eastAsia" w:ascii="Times New Roman" w:hAnsi="Times New Roman" w:eastAsia="宋体" w:cs="Times New Roman"/>
          <w:color w:val="auto"/>
          <w:sz w:val="24"/>
          <w:szCs w:val="24"/>
          <w:lang w:val="en-US" w:eastAsia="zh-CN"/>
        </w:rPr>
        <w:t>198</w:t>
      </w:r>
      <w:r>
        <w:rPr>
          <w:rFonts w:hint="default" w:ascii="Times New Roman" w:hAnsi="Times New Roman" w:eastAsia="宋体" w:cs="Times New Roman"/>
          <w:color w:val="auto"/>
          <w:sz w:val="24"/>
          <w:szCs w:val="24"/>
        </w:rPr>
        <w:t>万元，占环保投资的</w:t>
      </w:r>
      <w:r>
        <w:rPr>
          <w:rFonts w:hint="eastAsia" w:ascii="Times New Roman" w:hAnsi="Times New Roman" w:eastAsia="宋体" w:cs="Times New Roman"/>
          <w:color w:val="auto"/>
          <w:sz w:val="24"/>
          <w:szCs w:val="24"/>
          <w:lang w:val="en-US" w:eastAsia="zh-CN"/>
        </w:rPr>
        <w:t>24.31</w:t>
      </w:r>
      <w:r>
        <w:rPr>
          <w:rFonts w:hint="default" w:ascii="Times New Roman" w:hAnsi="Times New Roman" w:eastAsia="宋体" w:cs="Times New Roman"/>
          <w:color w:val="auto"/>
          <w:sz w:val="24"/>
          <w:szCs w:val="24"/>
        </w:rPr>
        <w:t>%；地下水防治措施投资</w:t>
      </w:r>
      <w:r>
        <w:rPr>
          <w:rFonts w:hint="eastAsia"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rPr>
        <w:t>万元，占环保投资的</w:t>
      </w:r>
      <w:r>
        <w:rPr>
          <w:rFonts w:hint="eastAsia" w:ascii="Times New Roman" w:hAnsi="Times New Roman" w:eastAsia="宋体" w:cs="Times New Roman"/>
          <w:color w:val="auto"/>
          <w:sz w:val="24"/>
          <w:szCs w:val="24"/>
          <w:lang w:val="en-US" w:eastAsia="zh-CN"/>
        </w:rPr>
        <w:t>5.52</w:t>
      </w:r>
      <w:r>
        <w:rPr>
          <w:rFonts w:hint="default" w:ascii="Times New Roman" w:hAnsi="Times New Roman" w:eastAsia="宋体" w:cs="Times New Roman"/>
          <w:color w:val="auto"/>
          <w:sz w:val="24"/>
          <w:szCs w:val="24"/>
        </w:rPr>
        <w:t>%；风险防治措施投资</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万元，占环保投资</w:t>
      </w:r>
      <w:r>
        <w:rPr>
          <w:rFonts w:hint="eastAsia" w:ascii="Times New Roman" w:hAnsi="Times New Roman" w:eastAsia="宋体" w:cs="Times New Roman"/>
          <w:color w:val="auto"/>
          <w:sz w:val="24"/>
          <w:szCs w:val="24"/>
          <w:lang w:val="en-US" w:eastAsia="zh-CN"/>
        </w:rPr>
        <w:t>2.52</w:t>
      </w:r>
      <w:r>
        <w:rPr>
          <w:rFonts w:hint="default" w:ascii="Times New Roman" w:hAnsi="Times New Roman" w:eastAsia="宋体" w:cs="Times New Roman"/>
          <w:color w:val="auto"/>
          <w:sz w:val="24"/>
          <w:szCs w:val="24"/>
        </w:rPr>
        <w:t>%；生态保护措施投资</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万元，占环保投资</w:t>
      </w:r>
      <w:r>
        <w:rPr>
          <w:rFonts w:hint="eastAsia" w:ascii="Times New Roman" w:hAnsi="Times New Roman" w:eastAsia="宋体" w:cs="Times New Roman"/>
          <w:color w:val="auto"/>
          <w:sz w:val="24"/>
          <w:szCs w:val="24"/>
          <w:lang w:val="en-US" w:eastAsia="zh-CN"/>
        </w:rPr>
        <w:t>2.46</w:t>
      </w:r>
      <w:r>
        <w:rPr>
          <w:rFonts w:hint="default" w:ascii="Times New Roman" w:hAnsi="Times New Roman" w:eastAsia="宋体" w:cs="Times New Roman"/>
          <w:color w:val="auto"/>
          <w:sz w:val="24"/>
          <w:szCs w:val="24"/>
        </w:rPr>
        <w:t>%。</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根据工程的污染源与污染物排放情况，认为工程环保投资的分配使用突出了废水、固体废物治理力度，符合工程实际，有利于实现社会、经济与环境三个效益的统一。</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2、环保设施折旧费</w:t>
      </w:r>
      <w:r>
        <w:rPr>
          <w:rFonts w:hint="default" w:ascii="Times New Roman" w:hAnsi="Times New Roman" w:eastAsia="宋体" w:cs="Times New Roman"/>
          <w:b/>
          <w:i/>
          <w:color w:val="auto"/>
          <w:sz w:val="24"/>
          <w:szCs w:val="24"/>
        </w:rPr>
        <w:t>C</w:t>
      </w:r>
      <w:r>
        <w:rPr>
          <w:rFonts w:hint="default" w:ascii="Times New Roman" w:hAnsi="Times New Roman" w:eastAsia="宋体" w:cs="Times New Roman"/>
          <w:b/>
          <w:i/>
          <w:color w:val="auto"/>
          <w:sz w:val="24"/>
          <w:szCs w:val="24"/>
          <w:vertAlign w:val="subscript"/>
        </w:rPr>
        <w:t>1</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项目环保设施投资折旧费由下式计算：</w: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A</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0</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n</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51.585</w:t>
      </w:r>
      <w:r>
        <w:rPr>
          <w:rFonts w:hint="default" w:ascii="Times New Roman" w:hAnsi="Times New Roman" w:eastAsia="宋体" w:cs="Times New Roman"/>
          <w:color w:val="auto"/>
          <w:sz w:val="24"/>
          <w:szCs w:val="24"/>
        </w:rPr>
        <w:t>（万元/a）</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A</w:t>
      </w:r>
      <w:r>
        <w:rPr>
          <w:rFonts w:hint="default" w:ascii="Times New Roman" w:hAnsi="Times New Roman" w:eastAsia="宋体" w:cs="Times New Roman"/>
          <w:color w:val="auto"/>
          <w:sz w:val="24"/>
          <w:szCs w:val="24"/>
        </w:rPr>
        <w:t>——固定资产形成率，取95%；</w:t>
      </w:r>
    </w:p>
    <w:p>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0</w:t>
      </w:r>
      <w:r>
        <w:rPr>
          <w:rFonts w:hint="default" w:ascii="Times New Roman" w:hAnsi="Times New Roman" w:eastAsia="宋体" w:cs="Times New Roman"/>
          <w:color w:val="auto"/>
          <w:sz w:val="24"/>
          <w:szCs w:val="24"/>
        </w:rPr>
        <w:t>——环保总投资（万元）；</w:t>
      </w:r>
    </w:p>
    <w:p>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n</w:t>
      </w:r>
      <w:r>
        <w:rPr>
          <w:rFonts w:hint="default" w:ascii="Times New Roman" w:hAnsi="Times New Roman" w:eastAsia="宋体" w:cs="Times New Roman"/>
          <w:color w:val="auto"/>
          <w:sz w:val="24"/>
          <w:szCs w:val="24"/>
        </w:rPr>
        <w:t>——折旧年限，取15年。</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3、环保设施消耗费用</w:t>
      </w:r>
      <w:r>
        <w:rPr>
          <w:rFonts w:hint="default" w:ascii="Times New Roman" w:hAnsi="Times New Roman" w:eastAsia="宋体" w:cs="Times New Roman"/>
          <w:b/>
          <w:i/>
          <w:color w:val="auto"/>
          <w:sz w:val="24"/>
          <w:szCs w:val="24"/>
        </w:rPr>
        <w:t>C</w:t>
      </w:r>
      <w:r>
        <w:rPr>
          <w:rFonts w:hint="default" w:ascii="Times New Roman" w:hAnsi="Times New Roman" w:eastAsia="宋体" w:cs="Times New Roman"/>
          <w:b/>
          <w:i/>
          <w:color w:val="auto"/>
          <w:sz w:val="24"/>
          <w:szCs w:val="24"/>
          <w:vertAlign w:val="subscript"/>
        </w:rPr>
        <w:t>2</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本项目各污染物经过厂区污染治理设施治理达标后排放。</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项目废气处理运行费用主要源于通风设施运行、饲料配方改进等，运行费用约为</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万元/年。</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废水处理运行费用主要源于设备运行电费，根据废水污染防治措施分析，废水处理系统年运行费用约为</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万元/年。</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合计后，本项目环境污染治理设施工程的年运行费用</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2</w:t>
      </w:r>
      <w:r>
        <w:rPr>
          <w:rFonts w:hint="default" w:ascii="Times New Roman" w:hAnsi="Times New Roman" w:eastAsia="宋体" w:cs="Times New Roman"/>
          <w:color w:val="auto"/>
          <w:sz w:val="24"/>
          <w:szCs w:val="24"/>
        </w:rPr>
        <w:t>约为</w:t>
      </w:r>
      <w:r>
        <w:rPr>
          <w:rFonts w:hint="eastAsia"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万元/年。</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4、环保设施管理费</w:t>
      </w:r>
      <w:r>
        <w:rPr>
          <w:rFonts w:hint="default" w:ascii="Times New Roman" w:hAnsi="Times New Roman" w:eastAsia="宋体" w:cs="Times New Roman"/>
          <w:b/>
          <w:i/>
          <w:color w:val="auto"/>
          <w:sz w:val="24"/>
          <w:szCs w:val="24"/>
        </w:rPr>
        <w:t>C</w:t>
      </w:r>
      <w:r>
        <w:rPr>
          <w:rFonts w:hint="default" w:ascii="Times New Roman" w:hAnsi="Times New Roman" w:eastAsia="宋体" w:cs="Times New Roman"/>
          <w:b/>
          <w:i/>
          <w:color w:val="auto"/>
          <w:sz w:val="24"/>
          <w:szCs w:val="24"/>
          <w:vertAlign w:val="subscript"/>
        </w:rPr>
        <w:t>3</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环保管理费用包括管理部门、监测部门的人工费、办公费、监测费和技术咨询等费用，按环保设施折旧费和环保设施消耗费用总费用的3%计算。</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2</w:t>
      </w:r>
      <w:r>
        <w:rPr>
          <w:rFonts w:hint="default"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2.60</w:t>
      </w:r>
      <w:r>
        <w:rPr>
          <w:rFonts w:hint="default" w:ascii="Times New Roman" w:hAnsi="Times New Roman" w:eastAsia="宋体" w:cs="Times New Roman"/>
          <w:color w:val="auto"/>
          <w:sz w:val="24"/>
          <w:szCs w:val="24"/>
        </w:rPr>
        <w:t>万元/年。</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5、环保设施运行费</w:t>
      </w:r>
      <w:r>
        <w:rPr>
          <w:rFonts w:hint="default" w:ascii="Times New Roman" w:hAnsi="Times New Roman" w:eastAsia="宋体" w:cs="Times New Roman"/>
          <w:b/>
          <w:i/>
          <w:color w:val="auto"/>
          <w:sz w:val="24"/>
          <w:szCs w:val="24"/>
        </w:rPr>
        <w:t>C</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环保设施运行费为上述环保设施折旧费</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1</w:t>
      </w:r>
      <w:r>
        <w:rPr>
          <w:rFonts w:hint="default" w:ascii="Times New Roman" w:hAnsi="Times New Roman" w:eastAsia="宋体" w:cs="Times New Roman"/>
          <w:color w:val="auto"/>
          <w:sz w:val="24"/>
          <w:szCs w:val="24"/>
        </w:rPr>
        <w:t>、环保设施消耗费</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2</w:t>
      </w:r>
      <w:r>
        <w:rPr>
          <w:rFonts w:hint="default" w:ascii="Times New Roman" w:hAnsi="Times New Roman" w:eastAsia="宋体" w:cs="Times New Roman"/>
          <w:color w:val="auto"/>
          <w:sz w:val="24"/>
          <w:szCs w:val="24"/>
        </w:rPr>
        <w:t>、环保管理费</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3</w:t>
      </w:r>
      <w:r>
        <w:rPr>
          <w:rFonts w:hint="default" w:ascii="Times New Roman" w:hAnsi="Times New Roman" w:eastAsia="宋体" w:cs="Times New Roman"/>
          <w:color w:val="auto"/>
          <w:sz w:val="24"/>
          <w:szCs w:val="24"/>
        </w:rPr>
        <w:t>的三项费用之和，即：</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C</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3</w:t>
      </w:r>
      <w:r>
        <w:rPr>
          <w:rFonts w:hint="default" w:ascii="Times New Roman" w:hAnsi="Times New Roman" w:eastAsia="宋体" w:cs="Times New Roman"/>
          <w:color w:val="auto"/>
          <w:sz w:val="24"/>
          <w:szCs w:val="24"/>
        </w:rPr>
        <w:t>经上述计算后，项目环保设施运行费用为</w:t>
      </w:r>
      <w:r>
        <w:rPr>
          <w:rFonts w:hint="eastAsia" w:ascii="Times New Roman" w:hAnsi="Times New Roman" w:eastAsia="宋体" w:cs="Times New Roman"/>
          <w:color w:val="auto"/>
          <w:sz w:val="24"/>
          <w:szCs w:val="24"/>
          <w:lang w:val="en-US" w:eastAsia="zh-CN"/>
        </w:rPr>
        <w:t>89.185</w:t>
      </w:r>
      <w:r>
        <w:rPr>
          <w:rFonts w:hint="default" w:ascii="Times New Roman" w:hAnsi="Times New Roman" w:eastAsia="宋体" w:cs="Times New Roman"/>
          <w:color w:val="auto"/>
          <w:sz w:val="24"/>
          <w:szCs w:val="24"/>
        </w:rPr>
        <w:t>万元，详见表8.</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-1。</w:t>
      </w:r>
    </w:p>
    <w:p>
      <w:pPr>
        <w:pStyle w:val="2503"/>
        <w:numPr>
          <w:ilvl w:val="0"/>
          <w:numId w:val="41"/>
        </w:numPr>
        <w:spacing w:before="120" w:line="240" w:lineRule="auto"/>
        <w:ind w:left="425" w:leftChars="0" w:hanging="425"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环保设施运行费一览表</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455"/>
        <w:gridCol w:w="4332"/>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类型</w:t>
            </w:r>
          </w:p>
        </w:tc>
        <w:tc>
          <w:tcPr>
            <w:tcW w:w="4332" w:type="dxa"/>
            <w:noWrap w:val="0"/>
            <w:vAlign w:val="center"/>
          </w:tcPr>
          <w:p>
            <w:pPr>
              <w:pStyle w:val="163"/>
              <w:keepNext w:val="0"/>
              <w:keepLines w:val="0"/>
              <w:suppressLineNumbers w:val="0"/>
              <w:kinsoku w:val="0"/>
              <w:overflowPunct w:val="0"/>
              <w:spacing w:before="15" w:beforeAutospacing="0" w:after="0" w:afterAutospacing="0" w:line="240" w:lineRule="auto"/>
              <w:ind w:left="0" w:right="0" w:firstLine="394"/>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费用（万元）</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环保设施折旧费</w:t>
            </w:r>
          </w:p>
        </w:tc>
        <w:tc>
          <w:tcPr>
            <w:tcW w:w="4332"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51.585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环保设施消耗费</w:t>
            </w:r>
          </w:p>
        </w:tc>
        <w:tc>
          <w:tcPr>
            <w:tcW w:w="4332"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环保设施管理费</w:t>
            </w:r>
          </w:p>
        </w:tc>
        <w:tc>
          <w:tcPr>
            <w:tcW w:w="4332"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2.60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环保设施运行费</w:t>
            </w:r>
          </w:p>
        </w:tc>
        <w:tc>
          <w:tcPr>
            <w:tcW w:w="4332"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89.185</w:t>
            </w:r>
          </w:p>
        </w:tc>
      </w:tr>
    </w:tbl>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综上所述，本项目环保设施的建设、运行对项目投资成本及经济收益的影响甚微。</w:t>
      </w:r>
    </w:p>
    <w:p>
      <w:pPr>
        <w:pStyle w:val="7"/>
        <w:spacing w:before="0" w:after="0" w:line="360" w:lineRule="auto"/>
        <w:ind w:left="0" w:firstLine="0"/>
        <w:rPr>
          <w:rFonts w:hint="default" w:ascii="Times New Roman" w:hAnsi="Times New Roman" w:eastAsia="宋体" w:cs="Times New Roman"/>
          <w:color w:val="auto"/>
          <w:lang w:val="en-US" w:eastAsia="zh-CN"/>
        </w:rPr>
      </w:pPr>
      <w:bookmarkStart w:id="323" w:name="_Toc24345"/>
      <w:r>
        <w:rPr>
          <w:rFonts w:hint="default" w:ascii="Times New Roman" w:hAnsi="Times New Roman" w:eastAsia="宋体" w:cs="Times New Roman"/>
          <w:color w:val="auto"/>
          <w:lang w:val="en-US" w:eastAsia="zh-CN"/>
        </w:rPr>
        <w:t>环保设施经济效益估算</w:t>
      </w:r>
      <w:bookmarkEnd w:id="323"/>
    </w:p>
    <w:p>
      <w:pPr>
        <w:spacing w:line="360" w:lineRule="auto"/>
        <w:ind w:firstLine="480"/>
        <w:rPr>
          <w:color w:val="auto"/>
          <w:sz w:val="24"/>
          <w:szCs w:val="24"/>
        </w:rPr>
      </w:pPr>
      <w:r>
        <w:rPr>
          <w:rFonts w:hint="eastAsia"/>
          <w:color w:val="auto"/>
          <w:sz w:val="24"/>
          <w:szCs w:val="24"/>
        </w:rPr>
        <w:t>环保设施投入使用后，除了可减少污染物的排放外，还可回收部分可利用资源，因此具有一定的经济效益。由于间接经济收益难以估算，因而在此仅计算直接经济效益，主要是回收利用的各种废物和减少排污费所获得的经济收入。同时根据2003年2月国家颁布的《排污费征收标准管理办法》，对照本项目污染物排放情况，计算了由于环境保护设施的利用，减少需缴纳的排污费用。项目环保投资经济收入见表8.</w:t>
      </w:r>
      <w:r>
        <w:rPr>
          <w:color w:val="auto"/>
          <w:sz w:val="24"/>
          <w:szCs w:val="24"/>
        </w:rPr>
        <w:t>6</w:t>
      </w:r>
      <w:r>
        <w:rPr>
          <w:rFonts w:hint="eastAsia"/>
          <w:color w:val="auto"/>
          <w:sz w:val="24"/>
          <w:szCs w:val="24"/>
        </w:rPr>
        <w:t>-2。</w:t>
      </w:r>
    </w:p>
    <w:p>
      <w:pPr>
        <w:pStyle w:val="2503"/>
        <w:numPr>
          <w:ilvl w:val="0"/>
          <w:numId w:val="41"/>
        </w:numPr>
        <w:spacing w:before="120" w:line="240" w:lineRule="auto"/>
        <w:ind w:left="425" w:leftChars="0" w:hanging="425" w:firstLineChars="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rPr>
        <w:t>环保投资经济收入</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10"/>
        <w:gridCol w:w="1719"/>
        <w:gridCol w:w="4037"/>
        <w:gridCol w:w="2221"/>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5"/>
              <w:keepNext w:val="0"/>
              <w:keepLines w:val="0"/>
              <w:suppressLineNumbers w:val="0"/>
              <w:spacing w:beforeAutospacing="0" w:afterAutospacing="0" w:line="240" w:lineRule="auto"/>
              <w:ind w:left="0" w:right="0"/>
              <w:rPr>
                <w:rFonts w:hint="default"/>
                <w:b/>
                <w:bCs w:val="0"/>
                <w:color w:val="auto"/>
                <w:sz w:val="21"/>
                <w:szCs w:val="21"/>
              </w:rPr>
            </w:pPr>
            <w:r>
              <w:rPr>
                <w:rFonts w:hint="eastAsia"/>
                <w:b/>
                <w:bCs w:val="0"/>
                <w:color w:val="auto"/>
                <w:sz w:val="21"/>
                <w:szCs w:val="21"/>
              </w:rPr>
              <w:t>序号</w:t>
            </w:r>
          </w:p>
        </w:tc>
        <w:tc>
          <w:tcPr>
            <w:tcW w:w="1719" w:type="dxa"/>
            <w:noWrap w:val="0"/>
            <w:vAlign w:val="center"/>
          </w:tcPr>
          <w:p>
            <w:pPr>
              <w:pStyle w:val="1855"/>
              <w:keepNext w:val="0"/>
              <w:keepLines w:val="0"/>
              <w:suppressLineNumbers w:val="0"/>
              <w:spacing w:beforeAutospacing="0" w:afterAutospacing="0" w:line="240" w:lineRule="auto"/>
              <w:ind w:left="0" w:right="0"/>
              <w:rPr>
                <w:rFonts w:hint="default"/>
                <w:b/>
                <w:bCs w:val="0"/>
                <w:color w:val="auto"/>
                <w:sz w:val="21"/>
                <w:szCs w:val="21"/>
              </w:rPr>
            </w:pPr>
            <w:r>
              <w:rPr>
                <w:rFonts w:hint="eastAsia"/>
                <w:b/>
                <w:bCs w:val="0"/>
                <w:color w:val="auto"/>
                <w:sz w:val="21"/>
                <w:szCs w:val="21"/>
              </w:rPr>
              <w:t>名称</w:t>
            </w:r>
          </w:p>
        </w:tc>
        <w:tc>
          <w:tcPr>
            <w:tcW w:w="4037" w:type="dxa"/>
            <w:noWrap w:val="0"/>
            <w:vAlign w:val="center"/>
          </w:tcPr>
          <w:p>
            <w:pPr>
              <w:pStyle w:val="1855"/>
              <w:keepNext w:val="0"/>
              <w:keepLines w:val="0"/>
              <w:suppressLineNumbers w:val="0"/>
              <w:spacing w:beforeAutospacing="0" w:afterAutospacing="0" w:line="240" w:lineRule="auto"/>
              <w:ind w:left="0" w:right="0"/>
              <w:rPr>
                <w:rFonts w:hint="default"/>
                <w:b/>
                <w:bCs w:val="0"/>
                <w:color w:val="auto"/>
                <w:sz w:val="21"/>
                <w:szCs w:val="21"/>
              </w:rPr>
            </w:pPr>
            <w:r>
              <w:rPr>
                <w:rFonts w:hint="eastAsia"/>
                <w:b/>
                <w:bCs w:val="0"/>
                <w:color w:val="auto"/>
                <w:sz w:val="21"/>
                <w:szCs w:val="21"/>
              </w:rPr>
              <w:t>用途</w:t>
            </w:r>
          </w:p>
        </w:tc>
        <w:tc>
          <w:tcPr>
            <w:tcW w:w="2221" w:type="dxa"/>
            <w:noWrap w:val="0"/>
            <w:vAlign w:val="center"/>
          </w:tcPr>
          <w:p>
            <w:pPr>
              <w:pStyle w:val="1855"/>
              <w:keepNext w:val="0"/>
              <w:keepLines w:val="0"/>
              <w:suppressLineNumbers w:val="0"/>
              <w:spacing w:beforeAutospacing="0" w:afterAutospacing="0" w:line="240" w:lineRule="auto"/>
              <w:ind w:left="0" w:right="0"/>
              <w:rPr>
                <w:rFonts w:hint="default"/>
                <w:b/>
                <w:bCs w:val="0"/>
                <w:color w:val="auto"/>
                <w:sz w:val="21"/>
                <w:szCs w:val="21"/>
              </w:rPr>
            </w:pPr>
            <w:r>
              <w:rPr>
                <w:rFonts w:hint="eastAsia"/>
                <w:b/>
                <w:bCs w:val="0"/>
                <w:color w:val="auto"/>
                <w:sz w:val="21"/>
                <w:szCs w:val="21"/>
              </w:rPr>
              <w:t>经济收入（万元）</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1719"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猪粪、污泥</w:t>
            </w:r>
          </w:p>
        </w:tc>
        <w:tc>
          <w:tcPr>
            <w:tcW w:w="4037"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进行干湿分离，分离出的猪粪堆肥发酵后作为有机肥外售；分离出的污水进行深度处理后综合利用</w:t>
            </w:r>
          </w:p>
        </w:tc>
        <w:tc>
          <w:tcPr>
            <w:tcW w:w="2221"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120.0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1719"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废水综合利用</w:t>
            </w:r>
          </w:p>
        </w:tc>
        <w:tc>
          <w:tcPr>
            <w:tcW w:w="4037"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收集处理后作为项目周边耕地、林地农灌</w:t>
            </w:r>
          </w:p>
        </w:tc>
        <w:tc>
          <w:tcPr>
            <w:tcW w:w="2221"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50.0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w:t>
            </w:r>
          </w:p>
        </w:tc>
        <w:tc>
          <w:tcPr>
            <w:tcW w:w="1719"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减少排污费</w:t>
            </w:r>
          </w:p>
        </w:tc>
        <w:tc>
          <w:tcPr>
            <w:tcW w:w="4037"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2221"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w:t>
            </w:r>
          </w:p>
        </w:tc>
        <w:tc>
          <w:tcPr>
            <w:tcW w:w="1719"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合计</w:t>
            </w:r>
          </w:p>
        </w:tc>
        <w:tc>
          <w:tcPr>
            <w:tcW w:w="4037"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2221" w:type="dxa"/>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195.0</w:t>
            </w:r>
          </w:p>
        </w:tc>
      </w:tr>
    </w:tbl>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从表</w:t>
      </w:r>
      <w:r>
        <w:rPr>
          <w:rFonts w:hint="default" w:ascii="Times New Roman" w:hAnsi="Times New Roman" w:eastAsia="宋体" w:cs="Times New Roman"/>
          <w:color w:val="auto"/>
          <w:sz w:val="24"/>
          <w:szCs w:val="24"/>
          <w:lang w:val="en-US" w:eastAsia="zh-CN"/>
        </w:rPr>
        <w:t>8.7-</w:t>
      </w:r>
      <w:r>
        <w:rPr>
          <w:rFonts w:hint="default" w:ascii="Times New Roman" w:hAnsi="Times New Roman" w:eastAsia="宋体" w:cs="Times New Roman"/>
          <w:color w:val="auto"/>
          <w:sz w:val="24"/>
          <w:szCs w:val="24"/>
        </w:rPr>
        <w:t>2中可以看出，项目建成投产后，其环保设施所获取的年综合利用直接经济效益为195万元。</w:t>
      </w:r>
    </w:p>
    <w:p>
      <w:pPr>
        <w:pStyle w:val="7"/>
        <w:spacing w:before="0" w:after="0" w:line="360" w:lineRule="auto"/>
        <w:ind w:left="0" w:firstLine="0"/>
        <w:rPr>
          <w:rFonts w:hint="default" w:ascii="Times New Roman" w:hAnsi="Times New Roman" w:eastAsia="宋体" w:cs="Times New Roman"/>
          <w:color w:val="auto"/>
          <w:lang w:val="en-US" w:eastAsia="zh-CN"/>
        </w:rPr>
      </w:pPr>
      <w:bookmarkStart w:id="324" w:name="_Toc14224"/>
      <w:r>
        <w:rPr>
          <w:rFonts w:hint="eastAsia" w:ascii="Times New Roman" w:hAnsi="Times New Roman" w:eastAsia="宋体" w:cs="Times New Roman"/>
          <w:color w:val="auto"/>
          <w:lang w:val="en-US" w:eastAsia="zh-CN"/>
        </w:rPr>
        <w:t>工程</w:t>
      </w:r>
      <w:r>
        <w:rPr>
          <w:rFonts w:hint="default" w:ascii="Times New Roman" w:hAnsi="Times New Roman" w:eastAsia="宋体" w:cs="Times New Roman"/>
          <w:color w:val="auto"/>
          <w:lang w:val="en-US" w:eastAsia="zh-CN"/>
        </w:rPr>
        <w:t>环境经济损益指标分析</w:t>
      </w:r>
      <w:bookmarkEnd w:id="324"/>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本次评价主要从环境保护投资比例系数、产值环境系数、环境经济损益系数等几项指标进行环境经济损益分析。</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1、环保投资比例系数Hz</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环保投资比例系数是指环保建设投资与企业建设总投资的比值，它体现了企业对环保工作的重视程度。</w: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Hz＝（E0/ER）×100%</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式中：E0——环保建设投资，万元</w:t>
      </w:r>
    </w:p>
    <w:p>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ER——工程总投资，万元</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工程各项环保投资费用为</w:t>
      </w:r>
      <w:r>
        <w:rPr>
          <w:rFonts w:hint="eastAsia" w:ascii="Times New Roman" w:hAnsi="Times New Roman" w:eastAsia="宋体" w:cs="Times New Roman"/>
          <w:color w:val="auto"/>
          <w:sz w:val="24"/>
          <w:szCs w:val="24"/>
          <w:lang w:val="en-US" w:eastAsia="zh-CN"/>
        </w:rPr>
        <w:t>814.5</w:t>
      </w:r>
      <w:r>
        <w:rPr>
          <w:rFonts w:hint="default" w:ascii="Times New Roman" w:hAnsi="Times New Roman" w:eastAsia="宋体" w:cs="Times New Roman"/>
          <w:color w:val="auto"/>
          <w:sz w:val="24"/>
          <w:szCs w:val="24"/>
        </w:rPr>
        <w:t>万元，工程总投资为</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000万元，环保投资占工程总投资的</w:t>
      </w:r>
      <w:r>
        <w:rPr>
          <w:rFonts w:hint="eastAsia" w:ascii="Times New Roman" w:hAnsi="Times New Roman" w:eastAsia="宋体" w:cs="Times New Roman"/>
          <w:color w:val="auto"/>
          <w:sz w:val="24"/>
          <w:szCs w:val="24"/>
          <w:lang w:val="en-US" w:eastAsia="zh-CN"/>
        </w:rPr>
        <w:t>4.07</w:t>
      </w:r>
      <w:r>
        <w:rPr>
          <w:rFonts w:hint="default" w:ascii="Times New Roman" w:hAnsi="Times New Roman" w:eastAsia="宋体" w:cs="Times New Roman"/>
          <w:color w:val="auto"/>
          <w:sz w:val="24"/>
          <w:szCs w:val="24"/>
        </w:rPr>
        <w:t>%。本工程在采取相应的废气、废水、固废和噪声污染防治措施后，各种污染物达标排放，减轻污染物对对周围环境的影响。总体来说，项目的环保投资比例系数是基本合适的。</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2、产值环境系数Fg</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产值环境系数是指年环保运行费用与工业总产值的比值，年环保费用是指环保治理设施及综合利用装置的运行费用、折旧费、日常管理费等。</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产值环境系数的表达式为：</w: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Fg=（Ez/Es）×100%</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式中：Ez——年环保费用，万元</w:t>
      </w:r>
    </w:p>
    <w:p>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Es——年工业总产值，万元</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工程实施后，每年环保运行费用为</w:t>
      </w:r>
      <w:r>
        <w:rPr>
          <w:rFonts w:hint="eastAsia" w:ascii="Times New Roman" w:hAnsi="Times New Roman" w:eastAsia="宋体" w:cs="Times New Roman"/>
          <w:color w:val="auto"/>
          <w:sz w:val="24"/>
          <w:szCs w:val="24"/>
          <w:lang w:val="en-US" w:eastAsia="zh-CN"/>
        </w:rPr>
        <w:t>89.185</w:t>
      </w:r>
      <w:r>
        <w:rPr>
          <w:rFonts w:hint="default" w:ascii="Times New Roman" w:hAnsi="Times New Roman" w:eastAsia="宋体" w:cs="Times New Roman"/>
          <w:color w:val="auto"/>
          <w:sz w:val="24"/>
          <w:szCs w:val="24"/>
        </w:rPr>
        <w:t>万元，本项目年工业总产值</w:t>
      </w:r>
      <w:r>
        <w:rPr>
          <w:rFonts w:hint="eastAsia" w:ascii="Times New Roman" w:hAnsi="Times New Roman" w:eastAsia="宋体" w:cs="Times New Roman"/>
          <w:color w:val="auto"/>
          <w:sz w:val="24"/>
          <w:szCs w:val="24"/>
          <w:lang w:val="en-US" w:eastAsia="zh-CN"/>
        </w:rPr>
        <w:t>7000</w:t>
      </w:r>
      <w:r>
        <w:rPr>
          <w:rFonts w:hint="default" w:ascii="Times New Roman" w:hAnsi="Times New Roman" w:eastAsia="宋体" w:cs="Times New Roman"/>
          <w:color w:val="auto"/>
          <w:sz w:val="24"/>
          <w:szCs w:val="24"/>
        </w:rPr>
        <w:t>万元，则产值环境系数为1.</w:t>
      </w:r>
      <w:r>
        <w:rPr>
          <w:rFonts w:hint="eastAsia"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w:t>
      </w:r>
    </w:p>
    <w:p>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3、环境经济效益系数Jx</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环境经济效益系数Jx是指因有效的环境保护措施而挽回的经济价值与环境保护费用之比，其表达式为：</w:t>
      </w:r>
    </w:p>
    <w:p>
      <w:pPr>
        <w:spacing w:line="36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Jx =Ei/Ez</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式中：Ei——每年环保措施挽回的经济效益，万元</w:t>
      </w:r>
    </w:p>
    <w:p>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Ez——年环保费用，万元</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工程实施后，经估算，每年环境经济效益约为195万元，年环保费用为</w:t>
      </w:r>
      <w:r>
        <w:rPr>
          <w:rFonts w:hint="eastAsia" w:ascii="Times New Roman" w:hAnsi="Times New Roman" w:eastAsia="宋体" w:cs="Times New Roman"/>
          <w:color w:val="auto"/>
          <w:sz w:val="24"/>
          <w:szCs w:val="24"/>
          <w:lang w:val="en-US" w:eastAsia="zh-CN"/>
        </w:rPr>
        <w:t>89.185</w:t>
      </w:r>
      <w:r>
        <w:rPr>
          <w:rFonts w:hint="default" w:ascii="Times New Roman" w:hAnsi="Times New Roman" w:eastAsia="宋体" w:cs="Times New Roman"/>
          <w:color w:val="auto"/>
          <w:sz w:val="24"/>
          <w:szCs w:val="24"/>
        </w:rPr>
        <w:t>万元，则环境经济效益系数为</w:t>
      </w:r>
      <w:r>
        <w:rPr>
          <w:rFonts w:hint="eastAsia" w:ascii="Times New Roman" w:hAnsi="Times New Roman" w:eastAsia="宋体" w:cs="Times New Roman"/>
          <w:color w:val="auto"/>
          <w:sz w:val="24"/>
          <w:szCs w:val="24"/>
          <w:lang w:val="en-US" w:eastAsia="zh-CN"/>
        </w:rPr>
        <w:t>2.19</w:t>
      </w:r>
      <w:r>
        <w:rPr>
          <w:rFonts w:hint="default" w:ascii="Times New Roman" w:hAnsi="Times New Roman" w:eastAsia="宋体" w:cs="Times New Roman"/>
          <w:color w:val="auto"/>
          <w:sz w:val="24"/>
          <w:szCs w:val="24"/>
        </w:rPr>
        <w:t>。</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25" w:name="_Toc25637"/>
      <w:bookmarkStart w:id="326" w:name="_Toc29221892"/>
      <w:r>
        <w:rPr>
          <w:rFonts w:hint="eastAsia" w:ascii="Times New Roman" w:hAnsi="Times New Roman" w:eastAsia="宋体" w:cs="Times New Roman"/>
          <w:color w:val="auto"/>
          <w:lang w:val="en-US" w:eastAsia="zh-CN"/>
        </w:rPr>
        <w:t>环境综合效益分析</w:t>
      </w:r>
      <w:bookmarkEnd w:id="325"/>
      <w:bookmarkEnd w:id="326"/>
    </w:p>
    <w:p>
      <w:pPr>
        <w:spacing w:line="360" w:lineRule="auto"/>
        <w:ind w:firstLine="48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所述，由于本项目在建设时认真贯彻执行“清洁生产”、“污染物达标排放”、“污染物总量控制”等环保政策，项目采取污染治理措施后，各污染源均可实现达标排放，当地环境质量可维持现状水平，项目的环保投资环境效益是显著的。只要建设单位切实落实设计和评价提出的各项污染防治措施，使各类污染物均做到达标排放，则该项目的建设和营运对周围环境的影响是可以承受的，能够做到社会效益、环境效益和经济效益的统一，可达到三者协调发展的目的。</w:t>
      </w:r>
    </w:p>
    <w:p>
      <w:pPr>
        <w:rPr>
          <w:color w:val="auto"/>
        </w:rPr>
      </w:pPr>
      <w:r>
        <w:rPr>
          <w:color w:val="auto"/>
        </w:rPr>
        <w:br w:type="page"/>
      </w:r>
    </w:p>
    <w:p>
      <w:pPr>
        <w:pStyle w:val="5"/>
        <w:rPr>
          <w:rFonts w:cs="Times New Roman"/>
          <w:color w:val="auto"/>
        </w:rPr>
      </w:pPr>
      <w:bookmarkStart w:id="327" w:name="_Toc32044"/>
      <w:r>
        <w:rPr>
          <w:rFonts w:cs="Times New Roman"/>
          <w:color w:val="auto"/>
        </w:rPr>
        <w:t>环境管理与监测计划</w:t>
      </w:r>
      <w:bookmarkEnd w:id="327"/>
    </w:p>
    <w:p>
      <w:pPr>
        <w:spacing w:line="360" w:lineRule="auto"/>
        <w:ind w:firstLine="480" w:firstLineChars="200"/>
        <w:rPr>
          <w:rFonts w:ascii="Times New Roman" w:hAnsi="Times New Roman" w:eastAsia="宋体" w:cs="Times New Roman"/>
          <w:color w:val="auto"/>
          <w:sz w:val="24"/>
          <w:szCs w:val="24"/>
        </w:rPr>
      </w:pPr>
      <w:bookmarkStart w:id="328" w:name="_Toc414180963"/>
      <w:r>
        <w:rPr>
          <w:rFonts w:ascii="Times New Roman" w:hAnsi="Times New Roman" w:eastAsia="宋体" w:cs="Times New Roman"/>
          <w:color w:val="auto"/>
          <w:sz w:val="24"/>
          <w:szCs w:val="24"/>
        </w:rPr>
        <w:t>根据国家对有污染项目应严格控制污染源的要求，除对工程项目</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三废</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治理严格实行</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三同时</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制度外，并要求在工程项目的建设施工和建成后的运行阶段中，加强环境管理和环境监测工作，切实有效</w:t>
      </w:r>
      <w:r>
        <w:rPr>
          <w:rFonts w:hint="eastAsia" w:ascii="Times New Roman" w:hAnsi="Times New Roman" w:eastAsia="宋体" w:cs="Times New Roman"/>
          <w:color w:val="auto"/>
          <w:sz w:val="24"/>
          <w:szCs w:val="24"/>
        </w:rPr>
        <w:t>地</w:t>
      </w:r>
      <w:r>
        <w:rPr>
          <w:rFonts w:ascii="Times New Roman" w:hAnsi="Times New Roman" w:eastAsia="宋体" w:cs="Times New Roman"/>
          <w:color w:val="auto"/>
          <w:sz w:val="24"/>
          <w:szCs w:val="24"/>
        </w:rPr>
        <w:t>了解和控制工程污染物的排放量，促进污染治理工作，使治污设施达到最佳的效果，以保证工程最佳的环境效益、经济效益和社会效益。因此必须对工程</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三废</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源强、治污设施效果进行定期和不定期的监测，并同时制定各项环保措施，编制环境规划，以达到强化环境管理的目的。</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了贯彻国家环境保护有关规定，处理好发展生产与环境保护的关系，实现建设项目的经济效益、社会效益和环境效益的统一，更好地监控工程环保设施的运行，及时掌握并了解污染治理和控制措施的效果与周围地区的环境质量的变化情况，必须设置相应的环保机构，制定环境管理与监测实施计划。</w:t>
      </w:r>
      <w:r>
        <w:rPr>
          <w:rFonts w:ascii="Times New Roman" w:hAnsi="Times New Roman" w:eastAsia="宋体" w:cs="Times New Roman"/>
          <w:color w:val="auto"/>
          <w:sz w:val="24"/>
          <w:szCs w:val="24"/>
        </w:rPr>
        <w:t>基于此，本报告提出以下环境管理及环境监测建议，作为项目投产后环境保护和环境管理的依据。</w:t>
      </w:r>
    </w:p>
    <w:bookmarkEnd w:id="328"/>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29" w:name="_Toc29221894"/>
      <w:bookmarkStart w:id="330" w:name="_Toc458494428"/>
      <w:bookmarkStart w:id="331" w:name="_Toc21426"/>
      <w:r>
        <w:rPr>
          <w:rFonts w:hint="eastAsia" w:ascii="Times New Roman" w:hAnsi="Times New Roman" w:eastAsia="宋体" w:cs="Times New Roman"/>
          <w:color w:val="auto"/>
          <w:lang w:val="en-US" w:eastAsia="zh-CN"/>
        </w:rPr>
        <w:t>环境管理</w:t>
      </w:r>
      <w:bookmarkEnd w:id="329"/>
      <w:bookmarkEnd w:id="330"/>
      <w:bookmarkEnd w:id="331"/>
    </w:p>
    <w:p>
      <w:pPr>
        <w:pStyle w:val="7"/>
        <w:spacing w:before="0" w:after="0" w:line="360" w:lineRule="auto"/>
        <w:ind w:left="0" w:firstLine="0"/>
        <w:rPr>
          <w:rFonts w:hint="default" w:cs="Times New Roman"/>
          <w:color w:val="auto"/>
          <w:lang w:val="en-US" w:eastAsia="zh-CN"/>
        </w:rPr>
      </w:pPr>
      <w:bookmarkStart w:id="332" w:name="_Toc12669"/>
      <w:r>
        <w:rPr>
          <w:rFonts w:hint="default" w:cs="Times New Roman"/>
          <w:color w:val="auto"/>
          <w:lang w:val="en-US" w:eastAsia="zh-CN"/>
        </w:rPr>
        <w:t>环境管理的必要性</w:t>
      </w:r>
      <w:bookmarkEnd w:id="332"/>
    </w:p>
    <w:p>
      <w:pPr>
        <w:ind w:firstLine="480"/>
        <w:rPr>
          <w:rFonts w:hint="default" w:ascii="Times New Roman" w:hAnsi="Times New Roman" w:eastAsia="宋体" w:cs="Times New Roman"/>
          <w:color w:val="auto"/>
          <w:sz w:val="24"/>
          <w:szCs w:val="24"/>
        </w:rPr>
      </w:pPr>
      <w:bookmarkStart w:id="333" w:name="_Toc232995256"/>
      <w:bookmarkStart w:id="334" w:name="_Toc278188804"/>
      <w:r>
        <w:rPr>
          <w:rFonts w:hint="default" w:ascii="Times New Roman" w:hAnsi="Times New Roman" w:eastAsia="宋体" w:cs="Times New Roman"/>
          <w:color w:val="auto"/>
          <w:sz w:val="24"/>
          <w:szCs w:val="24"/>
        </w:rPr>
        <w:t>项目环境管理是指工程在施工期和运行期间，应严格按照国家、地方环境保护政策、法律和法规等进行环境管理工作，接受地方生态环境主管部门的管理监督、调查和制订环境规划和目标，协调同有关部门的关系以及一切与环境保护有关的管理活动，促使项目实现“三同时”目标。</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理是企业管理工作重要组成部分。其主要目的是通过环境管理工作的开展，提高全体员工环保意识，促进企业积极主动地预防和治理污染，避免因管理不善而可能产生环境污染。因此，企业要贯彻落实国家和地方有关法律和法规，正确处理企业发展与环境保护的关系，实现清洁生产，从而真正达到持续发展的战略目标。</w:t>
      </w:r>
      <w:bookmarkStart w:id="335" w:name="_Toc297620295"/>
      <w:bookmarkStart w:id="336" w:name="_Toc172538708"/>
      <w:bookmarkStart w:id="337" w:name="_Toc303281217"/>
      <w:bookmarkStart w:id="338" w:name="_Toc303675507"/>
      <w:bookmarkStart w:id="339" w:name="_Toc303280640"/>
      <w:bookmarkStart w:id="340" w:name="_Toc172719498"/>
    </w:p>
    <w:p>
      <w:pPr>
        <w:pStyle w:val="7"/>
        <w:spacing w:before="0" w:after="0" w:line="360" w:lineRule="auto"/>
        <w:ind w:left="0" w:firstLine="0"/>
        <w:rPr>
          <w:rFonts w:hint="default" w:cs="Times New Roman"/>
          <w:color w:val="auto"/>
          <w:lang w:val="en-US" w:eastAsia="zh-CN"/>
        </w:rPr>
      </w:pPr>
      <w:bookmarkStart w:id="341" w:name="_Toc24952"/>
      <w:r>
        <w:rPr>
          <w:rFonts w:hint="default" w:cs="Times New Roman"/>
          <w:color w:val="auto"/>
          <w:lang w:val="en-US" w:eastAsia="zh-CN"/>
        </w:rPr>
        <w:t>环境管理机构</w:t>
      </w:r>
      <w:bookmarkEnd w:id="335"/>
      <w:bookmarkEnd w:id="336"/>
      <w:bookmarkEnd w:id="337"/>
      <w:bookmarkEnd w:id="338"/>
      <w:bookmarkEnd w:id="339"/>
      <w:bookmarkEnd w:id="340"/>
      <w:r>
        <w:rPr>
          <w:rFonts w:hint="default" w:cs="Times New Roman"/>
          <w:color w:val="auto"/>
          <w:lang w:val="en-US" w:eastAsia="zh-CN"/>
        </w:rPr>
        <w:t>与职责</w:t>
      </w:r>
      <w:bookmarkEnd w:id="341"/>
    </w:p>
    <w:p>
      <w:pPr>
        <w:ind w:firstLine="480"/>
        <w:rPr>
          <w:rFonts w:hint="default" w:ascii="Times New Roman" w:hAnsi="Times New Roman" w:eastAsia="宋体" w:cs="Times New Roman"/>
          <w:color w:val="auto"/>
          <w:sz w:val="24"/>
          <w:szCs w:val="24"/>
        </w:rPr>
      </w:pPr>
      <w:bookmarkStart w:id="342" w:name="_Toc303280641"/>
      <w:bookmarkStart w:id="343" w:name="_Toc303281218"/>
      <w:bookmarkStart w:id="344" w:name="_Toc303675508"/>
      <w:bookmarkStart w:id="345" w:name="_Toc297620296"/>
      <w:r>
        <w:rPr>
          <w:rFonts w:hint="default" w:ascii="Times New Roman" w:hAnsi="Times New Roman" w:eastAsia="宋体" w:cs="Times New Roman"/>
          <w:color w:val="auto"/>
          <w:sz w:val="24"/>
          <w:szCs w:val="24"/>
        </w:rPr>
        <w:t>建立环境管理机构是使环境管理工作科学化、制度化、经常化的组织保障，是将环境保护纳入企业管理和生产计划并制定合理的污染控制指标，使企业排污符合国家和地方有关排放标准，并实现“一控双达标”，企业内部必须建立环境管理机构。</w:t>
      </w:r>
    </w:p>
    <w:p>
      <w:pPr>
        <w:pStyle w:val="8"/>
        <w:rPr>
          <w:rFonts w:hint="default" w:cs="Times New Roman"/>
          <w:color w:val="auto"/>
          <w:lang w:val="en-US" w:eastAsia="zh-CN"/>
        </w:rPr>
      </w:pPr>
      <w:r>
        <w:rPr>
          <w:rFonts w:hint="default" w:cs="Times New Roman"/>
          <w:color w:val="auto"/>
          <w:lang w:val="en-US" w:eastAsia="zh-CN"/>
        </w:rPr>
        <w:t>环境管理机构设置</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项目实际情况，建设单位应当在公司层面设置环保督查人员，可由公司副经理或防疫、安全负责人兼职；设置项目环保总负责人，可由本项目的厂长负责；各区域设环保责任人，如配怀舍，分娩舍、污水处理站、</w:t>
      </w:r>
      <w:r>
        <w:rPr>
          <w:rFonts w:hint="eastAsia" w:ascii="Times New Roman" w:hAnsi="Times New Roman" w:eastAsia="宋体" w:cs="Times New Roman"/>
          <w:color w:val="auto"/>
          <w:sz w:val="24"/>
          <w:szCs w:val="24"/>
          <w:lang w:eastAsia="zh-CN"/>
        </w:rPr>
        <w:t>堆肥车间</w:t>
      </w:r>
      <w:r>
        <w:rPr>
          <w:rFonts w:hint="default" w:ascii="Times New Roman" w:hAnsi="Times New Roman" w:eastAsia="宋体" w:cs="Times New Roman"/>
          <w:color w:val="auto"/>
          <w:sz w:val="24"/>
          <w:szCs w:val="24"/>
        </w:rPr>
        <w:t>等负责人负责各自区域的环保问题。项目建立相关考核制度，制定各区域环保管理规程，落实一线工人的环保操作规程并落实负责人进行日常检查，实施环保奖惩制度，同时配备1名专职环保员，担负起全场环境管理考核工作，使各项环保措施、制度得以贯彻落实，负责处理对外环保事宜，如有周边居民环保投诉或公众的环保意见或建议，并负责对外宣传环保问题处理效果。</w:t>
      </w:r>
    </w:p>
    <w:p>
      <w:pPr>
        <w:pStyle w:val="8"/>
        <w:rPr>
          <w:rFonts w:hint="default" w:cs="Times New Roman"/>
          <w:color w:val="auto"/>
          <w:lang w:val="en-US" w:eastAsia="zh-CN"/>
        </w:rPr>
      </w:pPr>
      <w:r>
        <w:rPr>
          <w:rFonts w:hint="default" w:cs="Times New Roman"/>
          <w:color w:val="auto"/>
          <w:lang w:val="en-US" w:eastAsia="zh-CN"/>
        </w:rPr>
        <w:t>环境管理机构职责</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项目厂长、各区域环保负责人及项目环保专职人员应当认真落实各自的环保职责，并接受当地环保管理部门的指导和监督。其主要职责如下：</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（1）全面贯彻落实“保护和改善生产环境管理与生态环境，防治污染和其它公害”等环境保护基本国策的要求，做好本项目环境污染防治和生态环境保护工作。</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认真贯彻执行环境保护法律、法规和标准，按照地方政府给本企业下达的环境保护目标责任书，结合企业实际情况，制定出本企业环境保护目标和实施措施，落实到企业年度计划，并作为评定企业指标完成情况的依据之一。</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（3）做好环保设施运行管理和维修工作，保证各项环保设施正常运行，确保治理效果、建立并管理好环保设施档案资料，每日做好环保设备运行状态记录；做好每次环保设备维修记录。</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（4）负责建立和健全企业内部环境保护目标责任制度和考核制度，严格考核各环保设施处理效果，要有相应的奖惩制度。</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（5）督促帮助企业搞好污染治理和固体废物综合利用工作，真正做到污染物零排放。</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（6）负责与当地环境保护监测站联系进行本项目污染源监测工作，了解掌握本项目污染动态，发现异常要及时查找原因，并反馈给生产系统，防止污染事故发生。</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（7）加强企业所属区域绿化工作，认真贯彻“谁开发谁保护，谁破坏谁恢复，谁利用谁补偿”和“开发利用与保护并重”的环境保护方针。</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（8）企业领导应在环保经费上给予一定保证，每年有计划地拨出专项环保费用用于环保管理、业务培训。</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有计划地做好普及环境科学知识和环境法律知识的宣传教育工作，组织企业内各类人员进行环保知识的培训和环保知识竞赛，提高企业职工，尤其是场级干部的环保意识和环境法制观念；定期进行环保技术培训，不断提高工作人员业务水平。</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（10）建立企业环境管理指标体系，做好考核与统计工作。</w:t>
      </w:r>
    </w:p>
    <w:p>
      <w:pPr>
        <w:pStyle w:val="7"/>
        <w:spacing w:before="0" w:after="0" w:line="360" w:lineRule="auto"/>
        <w:ind w:left="0" w:firstLine="0"/>
        <w:rPr>
          <w:rFonts w:hint="default" w:cs="Times New Roman"/>
          <w:color w:val="auto"/>
          <w:lang w:val="en-US" w:eastAsia="zh-CN"/>
        </w:rPr>
      </w:pPr>
      <w:bookmarkStart w:id="346" w:name="_Toc27944"/>
      <w:r>
        <w:rPr>
          <w:rFonts w:hint="default" w:cs="Times New Roman"/>
          <w:color w:val="auto"/>
          <w:lang w:val="en-US" w:eastAsia="zh-CN"/>
        </w:rPr>
        <w:t>环境管理制度</w:t>
      </w:r>
      <w:bookmarkEnd w:id="346"/>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应建立健全必要的环境管理规章制度，并把它作为企业领导和全体职工必须严格遵守的一种规范和总则。“有规可循、执规必严”是环境管理得以顺利实施的重要保证。各项规章制度要体现环境管理的任务、内容和准则，使环境管理特点和要求渗透到企业的各项管理工作之中。</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最基本的环境管理制度有以下几方面：</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（1）环境保护管理条例；</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（2）环境质量管理规程；</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（3）环境管理的经济责任制；</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（4）环保业务的管理制度；</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（5）环境管理岗位责任制；</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（6）环境保护的考核制度；</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（7）环保设施管理制度；</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（8）场区防渗管理条例；</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（9）生态保护管理规定；</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（10）污染物防治、控制措施及达标排放实施办法；</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（11）清洁生产审计制度。</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通过对各项环境管理制度建立和严格执行，形成目标管理、监督反馈紧密配合的环保工作管理体系，可有效防止非正常生产和突发性事故造成的危害。</w:t>
      </w:r>
    </w:p>
    <w:p>
      <w:pPr>
        <w:pStyle w:val="7"/>
        <w:spacing w:before="0" w:after="0" w:line="360" w:lineRule="auto"/>
        <w:ind w:left="0" w:firstLine="0"/>
        <w:rPr>
          <w:rFonts w:hint="default" w:cs="Times New Roman"/>
          <w:color w:val="auto"/>
          <w:lang w:val="en-US" w:eastAsia="zh-CN"/>
        </w:rPr>
      </w:pPr>
      <w:bookmarkStart w:id="347" w:name="_Toc20515"/>
      <w:r>
        <w:rPr>
          <w:rFonts w:hint="default" w:cs="Times New Roman"/>
          <w:color w:val="auto"/>
          <w:lang w:val="en-US" w:eastAsia="zh-CN"/>
        </w:rPr>
        <w:t>环境管理手段和措施</w:t>
      </w:r>
      <w:bookmarkEnd w:id="347"/>
    </w:p>
    <w:p>
      <w:pPr>
        <w:pStyle w:val="8"/>
        <w:rPr>
          <w:rFonts w:hint="default" w:cs="Times New Roman"/>
          <w:color w:val="auto"/>
          <w:lang w:val="en-US" w:eastAsia="zh-CN"/>
        </w:rPr>
      </w:pPr>
      <w:r>
        <w:rPr>
          <w:rFonts w:hint="default" w:cs="Times New Roman"/>
          <w:color w:val="auto"/>
          <w:lang w:val="en-US" w:eastAsia="zh-CN"/>
        </w:rPr>
        <w:t>环境管理手段</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类比国内部分养殖企业环境管理经验，结合建设单位实际情况，可采用行政、经济、技术、教育等环境管理手段进行本项目的环境管理工作。</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行政手段：制定环境保护目标责任制，将环境保护列入岗位责任制及生产调度当中，不定期检查环境保护状况，以行政手段督促、检查、奖惩，促使生产岗位按要求完成环保任务；本项目制定各区域操作规程，如猪舍规定一线工人的每日干清粪时间，次数，粪便是否现场堆积，检查责任人；</w:t>
      </w:r>
      <w:r>
        <w:rPr>
          <w:rFonts w:hint="default" w:ascii="Times New Roman" w:hAnsi="Times New Roman" w:eastAsia="宋体" w:cs="Times New Roman"/>
          <w:color w:val="auto"/>
          <w:sz w:val="24"/>
          <w:szCs w:val="24"/>
          <w:lang w:eastAsia="zh-CN"/>
        </w:rPr>
        <w:t>堆肥车间</w:t>
      </w:r>
      <w:r>
        <w:rPr>
          <w:rFonts w:hint="default" w:ascii="Times New Roman" w:hAnsi="Times New Roman" w:eastAsia="宋体" w:cs="Times New Roman"/>
          <w:color w:val="auto"/>
          <w:sz w:val="24"/>
          <w:szCs w:val="24"/>
        </w:rPr>
        <w:t>是否按要求启动曝气供氧系统，堆料水分是否合适，是否按要求喷洒除臭剂，是否灭蚊蝇等等，检查责任人。</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技术手段：从项目设计、施工到运营全过程采取先进的工艺、设备，同环境保护措施密切结合，积极推广应用新技术，解决环境问题，实现清洁生产；本项目要求各区域安装水表，进行用水量统计，作为考核指标之一，定期对员工进行操作培训并做记录。</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（3）经济手段：制定并严格按照《环境保护奖惩办法》开展工作，促进环保工作的定量考核，切实将防治污染和保护环境落实到生产管理建设的各个工作环节，做到奖优罚劣，将环境保护与经济效益结合起来。</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（4）教育手段：通过环保宣传和教育，提高全体职工的环保意识，做到自觉保护环境。</w:t>
      </w:r>
    </w:p>
    <w:p>
      <w:pPr>
        <w:pStyle w:val="8"/>
        <w:rPr>
          <w:rFonts w:hint="default" w:cs="Times New Roman"/>
          <w:color w:val="auto"/>
          <w:lang w:val="en-US" w:eastAsia="zh-CN"/>
        </w:rPr>
      </w:pPr>
      <w:r>
        <w:rPr>
          <w:rFonts w:hint="default" w:cs="Times New Roman"/>
          <w:color w:val="auto"/>
          <w:lang w:val="en-US" w:eastAsia="zh-CN"/>
        </w:rPr>
        <w:t>环境管理措施</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（1）建立ISO14000环境管理体系，建议同时进行QHSE（质量、健康、安全、环保）审核；</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（2）制订环境保护岗位目标责任制，将环境管理纳入生产管理体系，环保评估与经济效益评估相结合，建立严格的奖惩机制；</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加强环境保护宣传教育工作，将环保意识融入企业文化，进行培训，使全体职工能够意识到环境保护的重要意义，包括与企业生产、生存和发展的关系，全公司应有危机感和责任感，把环保工作落实到实处，落实到每一位员工；</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（4）加强环境监测数据的统计工作，建立全场完善的污染源及物料流失档案，严格控制污染物排放总量，确保污染物排放指标达到设计要求；</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（5）强化对环保设施运行监督、管理的职能，建立全场完善的环保设施运行、维护、维修等技术档案，以及加强对环保设施操作人员的技术培训，确保环保设施处于正常运行情况，污染物排放连续达标；</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（6）制订应急系统。</w:t>
      </w:r>
    </w:p>
    <w:p>
      <w:pPr>
        <w:pStyle w:val="8"/>
        <w:rPr>
          <w:rFonts w:hint="default" w:cs="Times New Roman"/>
          <w:color w:val="auto"/>
          <w:lang w:val="en-US" w:eastAsia="zh-CN"/>
        </w:rPr>
      </w:pPr>
      <w:r>
        <w:rPr>
          <w:rFonts w:hint="default" w:cs="Times New Roman"/>
          <w:color w:val="auto"/>
          <w:lang w:val="en-US" w:eastAsia="zh-CN"/>
        </w:rPr>
        <w:t>环境风险防范措施</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风险防范措施的目的是从事故源头开始管理，消除产生事故的诱因，从而降低事故概率。根据建设单位提供的资料和现场调查，项目建成后，全厂主要采取如下风险防范措施。</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①定期对设备进行安全检测，检测内容、时间、人员应有记录保存，安全检测应根据设备的安全性、危险性设定检测频次。</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②对储气柜、进出水管线进行适当的整体试验、外观检查，检查记录应存档备查。定期对储气柜外部检查，及时发现破损和漏处。</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③加强沼气安全知识的宣传，加强对有关人员的培训教育和考核；</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④严格规章制度和安全操作规程，强化安全监督检查和管理；</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⑤沼气工程外设专职人员进行监理和维护，严禁其他人员进入。</w:t>
      </w:r>
    </w:p>
    <w:p>
      <w:pPr>
        <w:pStyle w:val="7"/>
        <w:spacing w:before="0" w:after="0" w:line="360" w:lineRule="auto"/>
        <w:ind w:left="0" w:firstLine="0"/>
        <w:rPr>
          <w:rFonts w:hint="default" w:cs="Times New Roman"/>
          <w:color w:val="auto"/>
          <w:lang w:val="en-US" w:eastAsia="zh-CN"/>
        </w:rPr>
      </w:pPr>
      <w:bookmarkStart w:id="348" w:name="_Toc19007"/>
      <w:r>
        <w:rPr>
          <w:rFonts w:hint="default" w:cs="Times New Roman"/>
          <w:color w:val="auto"/>
          <w:lang w:val="en-US" w:eastAsia="zh-CN"/>
        </w:rPr>
        <w:t>环境管理计划</w:t>
      </w:r>
      <w:bookmarkEnd w:id="348"/>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根据本工程不同的工作阶段，制定有关的环境管理计划。</w:t>
      </w:r>
    </w:p>
    <w:p>
      <w:pPr>
        <w:pStyle w:val="8"/>
        <w:rPr>
          <w:rFonts w:hint="default" w:cs="Times New Roman"/>
          <w:color w:val="auto"/>
          <w:lang w:val="en-US" w:eastAsia="zh-CN"/>
        </w:rPr>
      </w:pPr>
      <w:r>
        <w:rPr>
          <w:rFonts w:hint="default" w:cs="Times New Roman"/>
          <w:color w:val="auto"/>
          <w:lang w:val="en-US" w:eastAsia="zh-CN"/>
        </w:rPr>
        <w:t>施工期环境管理</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设单位与施工单位签定工程承包合同中，应包括有关工程施工期间环境保护条款，包括工程施工生态环境保护（水土保持）、施工期间环境污染控制，污染物排放管理，施工人员环保教育及相关奖惩条款。</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单位应提高环保意识，加强驻地和施工现场的环境管理，合理安排施工计划，切实做到组织计划严谨，文明施工。环保措施逐项落实到位，环保工程与主体工程同时实施、同时运行，环保工程费用专款专用，不偷工减料，延误工期。</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（3）施工单位应特别注意工程施工中的水土保持，尽可能保护好沿线土壤、植被，弃土、弃渣须运至设计中指定地点弃置，严禁随意堆置，防止对地表水环境产生影响。</w:t>
      </w:r>
    </w:p>
    <w:p>
      <w:pPr>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各施工现场、施工单位驻地及其他施工临时设施，应加强环境管理，施工污水避免无组织排放，尽可能集中排放到施工期设立的沉淀池；施工区域应采取降尘措施，工程施工完毕后施工单位及时清理和恢复施工现场，妥善处理生活垃圾与施工弃碴，减少扬尘；施工现场应执行《建筑施工场界环境噪声排放标准》（GB12523-2011）中的有关规定和要求。</w:t>
      </w:r>
    </w:p>
    <w:p>
      <w:pPr>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（5）认真落实各项补偿措施，做好工程各项环保设施的施工监理与验收，保证环保工程质量，真正做到环保工程“三同时”。</w:t>
      </w:r>
    </w:p>
    <w:p>
      <w:pPr>
        <w:pStyle w:val="2503"/>
        <w:numPr>
          <w:ilvl w:val="0"/>
          <w:numId w:val="42"/>
        </w:numPr>
        <w:spacing w:before="120"/>
        <w:ind w:left="425" w:leftChars="0" w:hanging="425" w:firstLineChars="0"/>
        <w:jc w:val="center"/>
        <w:rPr>
          <w:b/>
          <w:bCs w:val="0"/>
          <w:color w:val="auto"/>
          <w:sz w:val="8"/>
          <w:szCs w:val="8"/>
        </w:rPr>
      </w:pPr>
      <w:r>
        <w:rPr>
          <w:rFonts w:hint="eastAsia"/>
          <w:b/>
          <w:bCs w:val="0"/>
          <w:color w:val="auto"/>
          <w:lang w:val="en-US" w:eastAsia="zh-CN"/>
        </w:rPr>
        <w:t xml:space="preserve">   </w:t>
      </w:r>
      <w:r>
        <w:rPr>
          <w:rFonts w:hint="eastAsia"/>
          <w:b/>
          <w:bCs w:val="0"/>
          <w:color w:val="auto"/>
        </w:rPr>
        <w:t>施工期环境管理及监督主要内容</w:t>
      </w:r>
    </w:p>
    <w:tbl>
      <w:tblPr>
        <w:tblStyle w:val="88"/>
        <w:tblW w:w="4998" w:type="pct"/>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893"/>
        <w:gridCol w:w="4200"/>
        <w:gridCol w:w="1276"/>
        <w:gridCol w:w="1934"/>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eastAsia"/>
                <w:b/>
                <w:color w:val="auto"/>
                <w:sz w:val="21"/>
                <w:szCs w:val="21"/>
              </w:rPr>
              <w:t>防治对象</w:t>
            </w:r>
          </w:p>
        </w:tc>
        <w:tc>
          <w:tcPr>
            <w:tcW w:w="252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eastAsia"/>
                <w:b/>
                <w:color w:val="auto"/>
                <w:sz w:val="21"/>
                <w:szCs w:val="21"/>
              </w:rPr>
              <w:t>防治措施</w:t>
            </w:r>
          </w:p>
        </w:tc>
        <w:tc>
          <w:tcPr>
            <w:tcW w:w="768"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eastAsia"/>
                <w:b/>
                <w:color w:val="auto"/>
                <w:sz w:val="21"/>
                <w:szCs w:val="21"/>
              </w:rPr>
              <w:t>环境管理</w:t>
            </w:r>
          </w:p>
        </w:tc>
        <w:tc>
          <w:tcPr>
            <w:tcW w:w="1164" w:type="pct"/>
            <w:noWrap w:val="0"/>
            <w:vAlign w:val="center"/>
          </w:tcPr>
          <w:p>
            <w:pPr>
              <w:pStyle w:val="163"/>
              <w:keepNext w:val="0"/>
              <w:keepLines w:val="0"/>
              <w:suppressLineNumbers w:val="0"/>
              <w:kinsoku w:val="0"/>
              <w:overflowPunct w:val="0"/>
              <w:spacing w:before="0" w:beforeAutospacing="0" w:after="0" w:afterAutospacing="0"/>
              <w:ind w:left="0" w:right="0"/>
              <w:jc w:val="center"/>
              <w:rPr>
                <w:rFonts w:hint="default"/>
                <w:b/>
                <w:color w:val="auto"/>
                <w:sz w:val="21"/>
                <w:szCs w:val="21"/>
              </w:rPr>
            </w:pPr>
            <w:r>
              <w:rPr>
                <w:rFonts w:hint="eastAsia"/>
                <w:b/>
                <w:color w:val="auto"/>
                <w:sz w:val="21"/>
                <w:szCs w:val="21"/>
              </w:rPr>
              <w:t>环境监理</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restar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施工扬尘</w:t>
            </w:r>
          </w:p>
        </w:tc>
        <w:tc>
          <w:tcPr>
            <w:tcW w:w="2528" w:type="pct"/>
            <w:noWrap w:val="0"/>
            <w:vAlign w:val="center"/>
          </w:tcPr>
          <w:p>
            <w:pPr>
              <w:pStyle w:val="1855"/>
              <w:keepNext w:val="0"/>
              <w:keepLines w:val="0"/>
              <w:suppressLineNumbers w:val="0"/>
              <w:spacing w:beforeAutospacing="0" w:afterAutospacing="0" w:line="240" w:lineRule="auto"/>
              <w:ind w:left="0" w:right="0" w:firstLine="420" w:firstLineChars="200"/>
              <w:jc w:val="both"/>
              <w:rPr>
                <w:rFonts w:hint="default"/>
                <w:b w:val="0"/>
                <w:bCs/>
                <w:color w:val="auto"/>
                <w:sz w:val="21"/>
                <w:szCs w:val="21"/>
              </w:rPr>
            </w:pPr>
            <w:r>
              <w:rPr>
                <w:rFonts w:hint="eastAsia"/>
                <w:b w:val="0"/>
                <w:bCs/>
                <w:color w:val="auto"/>
                <w:sz w:val="21"/>
                <w:szCs w:val="21"/>
              </w:rPr>
              <w:t>施工场地设置围挡，如用瓦楞板或聚丙烯布在施工区四周围屏以防扬尘扩散；</w:t>
            </w:r>
          </w:p>
        </w:tc>
        <w:tc>
          <w:tcPr>
            <w:tcW w:w="768" w:type="pct"/>
            <w:vMerge w:val="restar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施工单位环保措施上墙，落实</w:t>
            </w:r>
            <w:r>
              <w:rPr>
                <w:rFonts w:hint="default"/>
                <w:b w:val="0"/>
                <w:bCs/>
                <w:color w:val="auto"/>
                <w:sz w:val="21"/>
                <w:szCs w:val="21"/>
              </w:rPr>
              <w:t xml:space="preserve"> </w:t>
            </w:r>
            <w:r>
              <w:rPr>
                <w:rFonts w:hint="eastAsia"/>
                <w:b w:val="0"/>
                <w:bCs/>
                <w:color w:val="auto"/>
                <w:sz w:val="21"/>
                <w:szCs w:val="21"/>
              </w:rPr>
              <w:t>到人，做好施工</w:t>
            </w:r>
            <w:r>
              <w:rPr>
                <w:rFonts w:hint="default"/>
                <w:b w:val="0"/>
                <w:bCs/>
                <w:color w:val="auto"/>
                <w:sz w:val="21"/>
                <w:szCs w:val="21"/>
              </w:rPr>
              <w:t xml:space="preserve"> </w:t>
            </w:r>
            <w:r>
              <w:rPr>
                <w:rFonts w:hint="eastAsia"/>
                <w:b w:val="0"/>
                <w:bCs/>
                <w:color w:val="auto"/>
                <w:sz w:val="21"/>
                <w:szCs w:val="21"/>
              </w:rPr>
              <w:t>场地环境管理和保洁工作</w:t>
            </w:r>
          </w:p>
        </w:tc>
        <w:tc>
          <w:tcPr>
            <w:tcW w:w="1164" w:type="pct"/>
            <w:vMerge w:val="restar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建设行政管理部门及环境管理部门进行定期检查，如违反相关条例，应进行处罚并整改。</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2528" w:type="pct"/>
            <w:noWrap w:val="0"/>
            <w:vAlign w:val="center"/>
          </w:tcPr>
          <w:p>
            <w:pPr>
              <w:pStyle w:val="1855"/>
              <w:keepNext w:val="0"/>
              <w:keepLines w:val="0"/>
              <w:suppressLineNumbers w:val="0"/>
              <w:spacing w:beforeAutospacing="0" w:afterAutospacing="0" w:line="240" w:lineRule="auto"/>
              <w:ind w:left="0" w:right="0" w:firstLine="420" w:firstLineChars="200"/>
              <w:jc w:val="both"/>
              <w:rPr>
                <w:rFonts w:hint="default"/>
                <w:b w:val="0"/>
                <w:bCs/>
                <w:color w:val="auto"/>
                <w:sz w:val="21"/>
                <w:szCs w:val="21"/>
              </w:rPr>
            </w:pPr>
            <w:r>
              <w:rPr>
                <w:rFonts w:hint="eastAsia"/>
                <w:b w:val="0"/>
                <w:bCs/>
                <w:color w:val="auto"/>
                <w:sz w:val="21"/>
                <w:szCs w:val="21"/>
              </w:rPr>
              <w:t>定期对路面和施工场区洒水，保持下垫面和空气湿润，减少起尘量；</w:t>
            </w:r>
          </w:p>
        </w:tc>
        <w:tc>
          <w:tcPr>
            <w:tcW w:w="76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1164"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2528" w:type="pct"/>
            <w:noWrap w:val="0"/>
            <w:vAlign w:val="center"/>
          </w:tcPr>
          <w:p>
            <w:pPr>
              <w:pStyle w:val="1855"/>
              <w:keepNext w:val="0"/>
              <w:keepLines w:val="0"/>
              <w:suppressLineNumbers w:val="0"/>
              <w:spacing w:beforeAutospacing="0" w:afterAutospacing="0" w:line="240" w:lineRule="auto"/>
              <w:ind w:left="0" w:right="0" w:firstLine="420" w:firstLineChars="200"/>
              <w:jc w:val="both"/>
              <w:rPr>
                <w:rFonts w:hint="default"/>
                <w:b w:val="0"/>
                <w:bCs/>
                <w:color w:val="auto"/>
                <w:sz w:val="21"/>
                <w:szCs w:val="21"/>
              </w:rPr>
            </w:pPr>
            <w:r>
              <w:rPr>
                <w:rFonts w:hint="eastAsia"/>
                <w:b w:val="0"/>
                <w:bCs/>
                <w:color w:val="auto"/>
                <w:sz w:val="21"/>
                <w:szCs w:val="21"/>
              </w:rPr>
              <w:t>施工过程使用的水泥及其它易飞扬的细颗粒散体材料，储存在库房内或密闭存放，运输时尽量防止散料漏洒和飞扬；</w:t>
            </w:r>
          </w:p>
        </w:tc>
        <w:tc>
          <w:tcPr>
            <w:tcW w:w="76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1164"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2528" w:type="pct"/>
            <w:noWrap w:val="0"/>
            <w:vAlign w:val="center"/>
          </w:tcPr>
          <w:p>
            <w:pPr>
              <w:pStyle w:val="1855"/>
              <w:keepNext w:val="0"/>
              <w:keepLines w:val="0"/>
              <w:suppressLineNumbers w:val="0"/>
              <w:spacing w:beforeAutospacing="0" w:afterAutospacing="0" w:line="240" w:lineRule="auto"/>
              <w:ind w:left="0" w:right="0" w:firstLine="420" w:firstLineChars="200"/>
              <w:jc w:val="both"/>
              <w:rPr>
                <w:rFonts w:hint="default"/>
                <w:b w:val="0"/>
                <w:bCs/>
                <w:color w:val="auto"/>
                <w:sz w:val="21"/>
                <w:szCs w:val="21"/>
              </w:rPr>
            </w:pPr>
            <w:r>
              <w:rPr>
                <w:rFonts w:hint="eastAsia"/>
                <w:b w:val="0"/>
                <w:bCs/>
                <w:color w:val="auto"/>
                <w:sz w:val="21"/>
                <w:szCs w:val="21"/>
              </w:rPr>
              <w:t>施工渣土必须覆盖，严禁将施工产生的渣土带入交通道路；</w:t>
            </w:r>
          </w:p>
        </w:tc>
        <w:tc>
          <w:tcPr>
            <w:tcW w:w="76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1164"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restar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施工噪声</w:t>
            </w:r>
          </w:p>
        </w:tc>
        <w:tc>
          <w:tcPr>
            <w:tcW w:w="2528" w:type="pct"/>
            <w:noWrap w:val="0"/>
            <w:vAlign w:val="center"/>
          </w:tcPr>
          <w:p>
            <w:pPr>
              <w:pStyle w:val="1855"/>
              <w:keepNext w:val="0"/>
              <w:keepLines w:val="0"/>
              <w:suppressLineNumbers w:val="0"/>
              <w:spacing w:beforeAutospacing="0" w:afterAutospacing="0" w:line="240" w:lineRule="auto"/>
              <w:ind w:left="0" w:right="0" w:firstLine="420" w:firstLineChars="200"/>
              <w:jc w:val="both"/>
              <w:rPr>
                <w:rFonts w:hint="default"/>
                <w:b w:val="0"/>
                <w:bCs/>
                <w:color w:val="auto"/>
                <w:sz w:val="21"/>
                <w:szCs w:val="21"/>
              </w:rPr>
            </w:pPr>
            <w:r>
              <w:rPr>
                <w:rFonts w:hint="eastAsia"/>
                <w:b w:val="0"/>
                <w:bCs/>
                <w:color w:val="auto"/>
                <w:sz w:val="21"/>
                <w:szCs w:val="21"/>
              </w:rPr>
              <w:t>施工单位开工前申报《建设施工环保审批表》，经批准后方可施工；</w:t>
            </w:r>
          </w:p>
        </w:tc>
        <w:tc>
          <w:tcPr>
            <w:tcW w:w="76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1164" w:type="pct"/>
            <w:vMerge w:val="restar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环保监理部门对夜间施</w:t>
            </w:r>
            <w:r>
              <w:rPr>
                <w:rFonts w:hint="default"/>
                <w:b w:val="0"/>
                <w:bCs/>
                <w:color w:val="auto"/>
                <w:sz w:val="21"/>
                <w:szCs w:val="21"/>
              </w:rPr>
              <w:t xml:space="preserve"> </w:t>
            </w:r>
            <w:r>
              <w:rPr>
                <w:rFonts w:hint="eastAsia"/>
                <w:b w:val="0"/>
                <w:bCs/>
                <w:color w:val="auto"/>
                <w:sz w:val="21"/>
                <w:szCs w:val="21"/>
              </w:rPr>
              <w:t>工噪声进行监督检查，</w:t>
            </w:r>
            <w:r>
              <w:rPr>
                <w:rFonts w:hint="default"/>
                <w:b w:val="0"/>
                <w:bCs/>
                <w:color w:val="auto"/>
                <w:sz w:val="21"/>
                <w:szCs w:val="21"/>
              </w:rPr>
              <w:t xml:space="preserve"> </w:t>
            </w:r>
            <w:r>
              <w:rPr>
                <w:rFonts w:hint="eastAsia"/>
                <w:b w:val="0"/>
                <w:bCs/>
                <w:color w:val="auto"/>
                <w:sz w:val="21"/>
                <w:szCs w:val="21"/>
              </w:rPr>
              <w:t>违反相关条例，应进行</w:t>
            </w:r>
            <w:r>
              <w:rPr>
                <w:rFonts w:hint="default"/>
                <w:b w:val="0"/>
                <w:bCs/>
                <w:color w:val="auto"/>
                <w:sz w:val="21"/>
                <w:szCs w:val="21"/>
              </w:rPr>
              <w:t xml:space="preserve"> </w:t>
            </w:r>
            <w:r>
              <w:rPr>
                <w:rFonts w:hint="eastAsia"/>
                <w:b w:val="0"/>
                <w:bCs/>
                <w:color w:val="auto"/>
                <w:sz w:val="21"/>
                <w:szCs w:val="21"/>
              </w:rPr>
              <w:t>处罚并整改。</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2528" w:type="pct"/>
            <w:noWrap w:val="0"/>
            <w:vAlign w:val="center"/>
          </w:tcPr>
          <w:p>
            <w:pPr>
              <w:pStyle w:val="1855"/>
              <w:keepNext w:val="0"/>
              <w:keepLines w:val="0"/>
              <w:suppressLineNumbers w:val="0"/>
              <w:spacing w:beforeAutospacing="0" w:afterAutospacing="0" w:line="240" w:lineRule="auto"/>
              <w:ind w:left="0" w:right="0" w:firstLine="420" w:firstLineChars="200"/>
              <w:jc w:val="both"/>
              <w:rPr>
                <w:rFonts w:hint="default"/>
                <w:b w:val="0"/>
                <w:bCs/>
                <w:color w:val="auto"/>
                <w:sz w:val="21"/>
                <w:szCs w:val="21"/>
              </w:rPr>
            </w:pPr>
            <w:r>
              <w:rPr>
                <w:rFonts w:hint="default"/>
                <w:b w:val="0"/>
                <w:bCs/>
                <w:color w:val="auto"/>
                <w:sz w:val="21"/>
                <w:szCs w:val="21"/>
              </w:rPr>
              <w:t>禁止在12：00~14：00、22：00~6：00进行产生噪声污染的施工作业；</w:t>
            </w:r>
          </w:p>
        </w:tc>
        <w:tc>
          <w:tcPr>
            <w:tcW w:w="76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1164"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施工废水</w:t>
            </w:r>
          </w:p>
        </w:tc>
        <w:tc>
          <w:tcPr>
            <w:tcW w:w="2528" w:type="pct"/>
            <w:noWrap w:val="0"/>
            <w:vAlign w:val="center"/>
          </w:tcPr>
          <w:p>
            <w:pPr>
              <w:pStyle w:val="1855"/>
              <w:keepNext w:val="0"/>
              <w:keepLines w:val="0"/>
              <w:suppressLineNumbers w:val="0"/>
              <w:spacing w:beforeAutospacing="0" w:afterAutospacing="0" w:line="240" w:lineRule="auto"/>
              <w:ind w:left="0" w:right="0" w:firstLine="420" w:firstLineChars="200"/>
              <w:jc w:val="both"/>
              <w:rPr>
                <w:rFonts w:hint="default"/>
                <w:b w:val="0"/>
                <w:bCs/>
                <w:color w:val="auto"/>
                <w:sz w:val="21"/>
                <w:szCs w:val="21"/>
              </w:rPr>
            </w:pPr>
            <w:r>
              <w:rPr>
                <w:rFonts w:hint="eastAsia"/>
                <w:b w:val="0"/>
                <w:bCs/>
                <w:color w:val="auto"/>
                <w:sz w:val="21"/>
                <w:szCs w:val="21"/>
              </w:rPr>
              <w:t>避免在雨季进行基础开挖施工，设置沉淀池，</w:t>
            </w:r>
            <w:r>
              <w:rPr>
                <w:rFonts w:hint="default"/>
                <w:b w:val="0"/>
                <w:bCs/>
                <w:color w:val="auto"/>
                <w:sz w:val="21"/>
                <w:szCs w:val="21"/>
              </w:rPr>
              <w:t xml:space="preserve"> </w:t>
            </w:r>
            <w:r>
              <w:rPr>
                <w:rFonts w:hint="eastAsia"/>
                <w:b w:val="0"/>
                <w:bCs/>
                <w:color w:val="auto"/>
                <w:sz w:val="21"/>
                <w:szCs w:val="21"/>
              </w:rPr>
              <w:t>废水不外排；</w:t>
            </w:r>
          </w:p>
        </w:tc>
        <w:tc>
          <w:tcPr>
            <w:tcW w:w="768" w:type="pct"/>
            <w:vMerge w:val="continue"/>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p>
        </w:tc>
        <w:tc>
          <w:tcPr>
            <w:tcW w:w="1164" w:type="pc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环保监理部门</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建筑及生</w:t>
            </w:r>
            <w:r>
              <w:rPr>
                <w:rFonts w:hint="default"/>
                <w:b w:val="0"/>
                <w:bCs/>
                <w:color w:val="auto"/>
                <w:sz w:val="21"/>
                <w:szCs w:val="21"/>
              </w:rPr>
              <w:t xml:space="preserve"> </w:t>
            </w:r>
            <w:r>
              <w:rPr>
                <w:rFonts w:hint="eastAsia"/>
                <w:b w:val="0"/>
                <w:bCs/>
                <w:color w:val="auto"/>
                <w:sz w:val="21"/>
                <w:szCs w:val="21"/>
              </w:rPr>
              <w:t>活垃圾</w:t>
            </w:r>
          </w:p>
        </w:tc>
        <w:tc>
          <w:tcPr>
            <w:tcW w:w="2528" w:type="pct"/>
            <w:noWrap w:val="0"/>
            <w:vAlign w:val="center"/>
          </w:tcPr>
          <w:p>
            <w:pPr>
              <w:pStyle w:val="1855"/>
              <w:keepNext w:val="0"/>
              <w:keepLines w:val="0"/>
              <w:suppressLineNumbers w:val="0"/>
              <w:spacing w:beforeAutospacing="0" w:afterAutospacing="0" w:line="240" w:lineRule="auto"/>
              <w:ind w:left="0" w:right="0" w:firstLine="420" w:firstLineChars="200"/>
              <w:jc w:val="both"/>
              <w:rPr>
                <w:rFonts w:hint="default"/>
                <w:b w:val="0"/>
                <w:bCs/>
                <w:color w:val="auto"/>
                <w:sz w:val="21"/>
                <w:szCs w:val="21"/>
              </w:rPr>
            </w:pPr>
            <w:r>
              <w:rPr>
                <w:rFonts w:hint="eastAsia"/>
                <w:b w:val="0"/>
                <w:bCs/>
                <w:color w:val="auto"/>
                <w:sz w:val="21"/>
                <w:szCs w:val="21"/>
              </w:rPr>
              <w:t>建筑垃圾及多余弃土及时清运，本项目土石方不外运，场内平衡；建筑垃圾使用车辆运输，用毡布遮盖，防止沿途散落；生活垃圾做到日产日清</w:t>
            </w:r>
          </w:p>
        </w:tc>
        <w:tc>
          <w:tcPr>
            <w:tcW w:w="768" w:type="pc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建筑垃圾运至</w:t>
            </w:r>
            <w:r>
              <w:rPr>
                <w:rFonts w:hint="default"/>
                <w:b w:val="0"/>
                <w:bCs/>
                <w:color w:val="auto"/>
                <w:sz w:val="21"/>
                <w:szCs w:val="21"/>
              </w:rPr>
              <w:t xml:space="preserve"> </w:t>
            </w:r>
            <w:r>
              <w:rPr>
                <w:rFonts w:hint="eastAsia"/>
                <w:b w:val="0"/>
                <w:bCs/>
                <w:color w:val="auto"/>
                <w:sz w:val="21"/>
                <w:szCs w:val="21"/>
              </w:rPr>
              <w:t>指定地点</w:t>
            </w:r>
          </w:p>
        </w:tc>
        <w:tc>
          <w:tcPr>
            <w:tcW w:w="1164" w:type="pct"/>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环保监理部门</w:t>
            </w:r>
          </w:p>
        </w:tc>
      </w:tr>
    </w:tbl>
    <w:p>
      <w:pPr>
        <w:pStyle w:val="8"/>
        <w:rPr>
          <w:rFonts w:hint="eastAsia" w:cs="Times New Roman"/>
          <w:color w:val="auto"/>
          <w:lang w:val="en-US" w:eastAsia="zh-CN"/>
        </w:rPr>
      </w:pPr>
      <w:r>
        <w:rPr>
          <w:rFonts w:hint="eastAsia" w:cs="Times New Roman"/>
          <w:color w:val="auto"/>
          <w:lang w:val="en-US" w:eastAsia="zh-CN"/>
        </w:rPr>
        <w:t>运营期环境管理</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（1）管理机构</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实行厂长总管理，各区域负责人负责制度，设1名环保专职人员，统筹负责运营期的环境管理工作，与当地环保部门及其授权监测部门直接监管项目污染物的排放情况；对超标排放及污染事故、纠纷进行处理。</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（2）运营期环境管理职责</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项目厂长负责环保指标的落实，将环保指标逐级分解到各区域，车间、班组、个人，下属具体负责其附属环保设备的运转和维护，确保其正常运转和达标排放，充分发挥其作用；记录并及时上报污染源及环保措施运转状态。在项目实施全过程中，本工程都应以《中华人民共和国环境保护法》及相关环保法律、法规为依据，通过对项目前后的环境审核，设定环境方针，建立环境目标和指标，设计环境方案，以达到“清洁生产”的良好效果，求得环境的长远的持久的发展。因此，它应建立以下环境管理制度：</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①内部环境审核制度；</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②清洁生产教育及培训制度；</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③建立环境目标和确定指标制度；</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④内部环境管理监督、检查制度。</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本项目工程针对不同工作阶段，制定环境管理工作计划，工程建设管理工作计划见表9.1-2。</w:t>
      </w:r>
    </w:p>
    <w:p>
      <w:pPr>
        <w:pStyle w:val="2503"/>
        <w:numPr>
          <w:ilvl w:val="0"/>
          <w:numId w:val="42"/>
        </w:numPr>
        <w:spacing w:before="120"/>
        <w:ind w:left="425" w:leftChars="0" w:hanging="425" w:firstLineChars="0"/>
        <w:jc w:val="center"/>
        <w:rPr>
          <w:rFonts w:hint="eastAsia"/>
          <w:b/>
          <w:bCs w:val="0"/>
          <w:color w:val="auto"/>
          <w:lang w:val="en-US" w:eastAsia="zh-CN"/>
        </w:rPr>
      </w:pPr>
      <w:r>
        <w:rPr>
          <w:rFonts w:hint="eastAsia"/>
          <w:b/>
          <w:bCs w:val="0"/>
          <w:color w:val="auto"/>
          <w:lang w:val="en-US" w:eastAsia="zh-CN"/>
        </w:rPr>
        <w:t xml:space="preserve">     环境管理工作计划</w:t>
      </w:r>
    </w:p>
    <w:tbl>
      <w:tblPr>
        <w:tblStyle w:val="88"/>
        <w:tblW w:w="4999"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950"/>
        <w:gridCol w:w="735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eastAsia"/>
                <w:b/>
                <w:color w:val="auto"/>
                <w:sz w:val="21"/>
                <w:szCs w:val="21"/>
              </w:rPr>
              <w:t>阶段</w:t>
            </w:r>
          </w:p>
        </w:tc>
        <w:tc>
          <w:tcPr>
            <w:tcW w:w="4427" w:type="pc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eastAsia"/>
                <w:b/>
                <w:color w:val="auto"/>
                <w:sz w:val="21"/>
                <w:szCs w:val="21"/>
              </w:rPr>
              <w:t>环境管理工作主要内容</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管理</w:t>
            </w:r>
          </w:p>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机构</w:t>
            </w:r>
          </w:p>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职能</w:t>
            </w:r>
          </w:p>
        </w:tc>
        <w:tc>
          <w:tcPr>
            <w:tcW w:w="4427" w:type="pct"/>
            <w:tcBorders>
              <w:tl2br w:val="nil"/>
              <w:tr2bl w:val="nil"/>
            </w:tcBorders>
            <w:noWrap w:val="0"/>
            <w:vAlign w:val="center"/>
          </w:tcPr>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eastAsia"/>
                <w:b w:val="0"/>
                <w:bCs/>
                <w:color w:val="auto"/>
                <w:sz w:val="21"/>
                <w:szCs w:val="21"/>
              </w:rPr>
              <w:t>根据国家建设项目环境管理规定，认真落实各项环保手续，完成各级主管部门对本企业提出的环境管理要求，对本企业内部各项管理计划的执行及完成情况进行监督、控制，</w:t>
            </w:r>
            <w:r>
              <w:rPr>
                <w:rFonts w:hint="default"/>
                <w:b w:val="0"/>
                <w:bCs/>
                <w:color w:val="auto"/>
                <w:sz w:val="21"/>
                <w:szCs w:val="21"/>
              </w:rPr>
              <w:t xml:space="preserve"> </w:t>
            </w:r>
            <w:r>
              <w:rPr>
                <w:rFonts w:hint="eastAsia"/>
                <w:b w:val="0"/>
                <w:bCs/>
                <w:color w:val="auto"/>
                <w:sz w:val="21"/>
                <w:szCs w:val="21"/>
              </w:rPr>
              <w:t>确保环境管理工作真正发挥作用。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项目</w:t>
            </w:r>
          </w:p>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建设</w:t>
            </w:r>
          </w:p>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前期</w:t>
            </w:r>
          </w:p>
        </w:tc>
        <w:tc>
          <w:tcPr>
            <w:tcW w:w="4427" w:type="pct"/>
            <w:tcBorders>
              <w:tl2br w:val="nil"/>
              <w:tr2bl w:val="nil"/>
            </w:tcBorders>
            <w:noWrap w:val="0"/>
            <w:vAlign w:val="center"/>
          </w:tcPr>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1</w:t>
            </w:r>
            <w:r>
              <w:rPr>
                <w:rFonts w:hint="eastAsia"/>
                <w:b w:val="0"/>
                <w:bCs/>
                <w:color w:val="auto"/>
                <w:sz w:val="21"/>
                <w:szCs w:val="21"/>
              </w:rPr>
              <w:t>、与项目可行性研究同期，委托评价单位进行项目的环境影响评价工作；</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2</w:t>
            </w:r>
            <w:r>
              <w:rPr>
                <w:rFonts w:hint="eastAsia"/>
                <w:b w:val="0"/>
                <w:bCs/>
                <w:color w:val="auto"/>
                <w:sz w:val="21"/>
                <w:szCs w:val="21"/>
              </w:rPr>
              <w:t>、积极配合可研及环评单位所需进行的现场调研；</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3</w:t>
            </w:r>
            <w:r>
              <w:rPr>
                <w:rFonts w:hint="eastAsia"/>
                <w:b w:val="0"/>
                <w:bCs/>
                <w:color w:val="auto"/>
                <w:sz w:val="21"/>
                <w:szCs w:val="21"/>
              </w:rPr>
              <w:t>、针对项目的具体情况，建立企业内部必要的环境管理与监测制度；</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4</w:t>
            </w:r>
            <w:r>
              <w:rPr>
                <w:rFonts w:hint="eastAsia"/>
                <w:b w:val="0"/>
                <w:bCs/>
                <w:color w:val="auto"/>
                <w:sz w:val="21"/>
                <w:szCs w:val="21"/>
              </w:rPr>
              <w:t>、对全厂职工进行岗位宣传和培训。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设计</w:t>
            </w:r>
          </w:p>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阶段</w:t>
            </w:r>
          </w:p>
        </w:tc>
        <w:tc>
          <w:tcPr>
            <w:tcW w:w="4427" w:type="pct"/>
            <w:tcBorders>
              <w:tl2br w:val="nil"/>
              <w:tr2bl w:val="nil"/>
            </w:tcBorders>
            <w:noWrap w:val="0"/>
            <w:vAlign w:val="center"/>
          </w:tcPr>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1</w:t>
            </w:r>
            <w:r>
              <w:rPr>
                <w:rFonts w:hint="eastAsia"/>
                <w:b w:val="0"/>
                <w:bCs/>
                <w:color w:val="auto"/>
                <w:sz w:val="21"/>
                <w:szCs w:val="21"/>
              </w:rPr>
              <w:t>、委托设计单位对项目的环保工程进行设计，与主体工程同步进行；</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2</w:t>
            </w:r>
            <w:r>
              <w:rPr>
                <w:rFonts w:hint="eastAsia"/>
                <w:b w:val="0"/>
                <w:bCs/>
                <w:color w:val="auto"/>
                <w:sz w:val="21"/>
                <w:szCs w:val="21"/>
              </w:rPr>
              <w:t>、协助设计单位弄清楚现阶段的环境问题；</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3</w:t>
            </w:r>
            <w:r>
              <w:rPr>
                <w:rFonts w:hint="eastAsia"/>
                <w:b w:val="0"/>
                <w:bCs/>
                <w:color w:val="auto"/>
                <w:sz w:val="21"/>
                <w:szCs w:val="21"/>
              </w:rPr>
              <w:t>、对治污区，应严格按照环保规范布置在场区主导风向的下风向；</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4</w:t>
            </w:r>
            <w:r>
              <w:rPr>
                <w:rFonts w:hint="eastAsia"/>
                <w:b w:val="0"/>
                <w:bCs/>
                <w:color w:val="auto"/>
                <w:sz w:val="21"/>
                <w:szCs w:val="21"/>
              </w:rPr>
              <w:t>、在设计中落实环境影响报告中提出的环保对策措施。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施工</w:t>
            </w:r>
          </w:p>
          <w:p>
            <w:pPr>
              <w:pStyle w:val="1855"/>
              <w:keepNext w:val="0"/>
              <w:keepLines w:val="0"/>
              <w:suppressLineNumbers w:val="0"/>
              <w:spacing w:beforeAutospacing="0" w:afterAutospacing="0" w:line="240" w:lineRule="auto"/>
              <w:ind w:left="0" w:right="0"/>
              <w:rPr>
                <w:rFonts w:hint="eastAsia"/>
                <w:b w:val="0"/>
                <w:bCs/>
                <w:color w:val="auto"/>
                <w:sz w:val="21"/>
                <w:szCs w:val="21"/>
              </w:rPr>
            </w:pPr>
            <w:r>
              <w:rPr>
                <w:rFonts w:hint="eastAsia"/>
                <w:b w:val="0"/>
                <w:bCs/>
                <w:color w:val="auto"/>
                <w:sz w:val="21"/>
                <w:szCs w:val="21"/>
              </w:rPr>
              <w:t>阶段</w:t>
            </w:r>
          </w:p>
        </w:tc>
        <w:tc>
          <w:tcPr>
            <w:tcW w:w="4427" w:type="pct"/>
            <w:tcBorders>
              <w:tl2br w:val="nil"/>
              <w:tr2bl w:val="nil"/>
            </w:tcBorders>
            <w:noWrap w:val="0"/>
            <w:vAlign w:val="center"/>
          </w:tcPr>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1</w:t>
            </w:r>
            <w:r>
              <w:rPr>
                <w:rFonts w:hint="eastAsia"/>
                <w:b w:val="0"/>
                <w:bCs/>
                <w:color w:val="auto"/>
                <w:sz w:val="21"/>
                <w:szCs w:val="21"/>
              </w:rPr>
              <w:t>、严格执行“三同时”制度；</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2</w:t>
            </w:r>
            <w:r>
              <w:rPr>
                <w:rFonts w:hint="eastAsia"/>
                <w:b w:val="0"/>
                <w:bCs/>
                <w:color w:val="auto"/>
                <w:sz w:val="21"/>
                <w:szCs w:val="21"/>
              </w:rPr>
              <w:t>、按照环评报告中提出的要求，制定出建设项目施工措施实施计划表，并与当地环保部环境管理工作主要内容门签定落实计划内的目标责任书；</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3</w:t>
            </w:r>
            <w:r>
              <w:rPr>
                <w:rFonts w:hint="eastAsia"/>
                <w:b w:val="0"/>
                <w:bCs/>
                <w:color w:val="auto"/>
                <w:sz w:val="21"/>
                <w:szCs w:val="21"/>
              </w:rPr>
              <w:t>、认真监督主体工程与环保设施的同步建设；建立环保设施施工进度档案，确保环保工作的正常实施运行；</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4</w:t>
            </w:r>
            <w:r>
              <w:rPr>
                <w:rFonts w:hint="eastAsia"/>
                <w:b w:val="0"/>
                <w:bCs/>
                <w:color w:val="auto"/>
                <w:sz w:val="21"/>
                <w:szCs w:val="21"/>
              </w:rPr>
              <w:t>、施工噪声与振动要符合《中华人民共和国环境噪声污染防治法》有关规定，不得干扰周围群众的正常生活和工作；</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5</w:t>
            </w:r>
            <w:r>
              <w:rPr>
                <w:rFonts w:hint="eastAsia"/>
                <w:b w:val="0"/>
                <w:bCs/>
                <w:color w:val="auto"/>
                <w:sz w:val="21"/>
                <w:szCs w:val="21"/>
              </w:rPr>
              <w:t>、施工造成的地表破坏、土地、植物毁坏应在竣工后及时恢复；</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6</w:t>
            </w:r>
            <w:r>
              <w:rPr>
                <w:rFonts w:hint="eastAsia"/>
                <w:b w:val="0"/>
                <w:bCs/>
                <w:color w:val="auto"/>
                <w:sz w:val="21"/>
                <w:szCs w:val="21"/>
              </w:rPr>
              <w:t>、设立施工期环境监理制度，监督环保工程的实施情况，施工阶段的环保工程进展情况和环保投资落实情况定期（每季度）向环保主管部门汇报一次。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生产</w:t>
            </w:r>
          </w:p>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运行</w:t>
            </w:r>
          </w:p>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期</w:t>
            </w:r>
          </w:p>
        </w:tc>
        <w:tc>
          <w:tcPr>
            <w:tcW w:w="4427" w:type="pct"/>
            <w:tcBorders>
              <w:tl2br w:val="nil"/>
              <w:tr2bl w:val="nil"/>
            </w:tcBorders>
            <w:noWrap w:val="0"/>
            <w:vAlign w:val="center"/>
          </w:tcPr>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1</w:t>
            </w:r>
            <w:r>
              <w:rPr>
                <w:rFonts w:hint="eastAsia"/>
                <w:b w:val="0"/>
                <w:bCs/>
                <w:color w:val="auto"/>
                <w:sz w:val="21"/>
                <w:szCs w:val="21"/>
              </w:rPr>
              <w:t>、严格执行各项生产及环境管理制度，保证生产的正常进行；</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2</w:t>
            </w:r>
            <w:r>
              <w:rPr>
                <w:rFonts w:hint="eastAsia"/>
                <w:b w:val="0"/>
                <w:bCs/>
                <w:color w:val="auto"/>
                <w:sz w:val="21"/>
                <w:szCs w:val="21"/>
              </w:rPr>
              <w:t>、设立环保设施运行卡，对环保设施定期进行检查、维护，做到勤查、勤记、勤养护，</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eastAsia"/>
                <w:b w:val="0"/>
                <w:bCs/>
                <w:color w:val="auto"/>
                <w:sz w:val="21"/>
                <w:szCs w:val="21"/>
              </w:rPr>
              <w:t>按照监测计划定期组织进行全厂内的污染源监测，对不达标环保设施立即进行寻找原</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eastAsia"/>
                <w:b w:val="0"/>
                <w:bCs/>
                <w:color w:val="auto"/>
                <w:sz w:val="21"/>
                <w:szCs w:val="21"/>
              </w:rPr>
              <w:t>因，及时处理；</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3</w:t>
            </w:r>
            <w:r>
              <w:rPr>
                <w:rFonts w:hint="eastAsia"/>
                <w:b w:val="0"/>
                <w:bCs/>
                <w:color w:val="auto"/>
                <w:sz w:val="21"/>
                <w:szCs w:val="21"/>
              </w:rPr>
              <w:t>、不断加强技术培训，组织企业内部之间的技术交流，提高业务水平，保持企业内部职工素质稳定；</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4</w:t>
            </w:r>
            <w:r>
              <w:rPr>
                <w:rFonts w:hint="eastAsia"/>
                <w:b w:val="0"/>
                <w:bCs/>
                <w:color w:val="auto"/>
                <w:sz w:val="21"/>
                <w:szCs w:val="21"/>
              </w:rPr>
              <w:t>、重视群众监督作用，提高企业职工环境意识，鼓励职工及外部人员对生产状况提出意见，并通过积极吸收宝贵意见，提高企业环境管理水平；</w:t>
            </w:r>
          </w:p>
          <w:p>
            <w:pPr>
              <w:pStyle w:val="1855"/>
              <w:keepNext w:val="0"/>
              <w:keepLines w:val="0"/>
              <w:suppressLineNumbers w:val="0"/>
              <w:spacing w:beforeAutospacing="0" w:afterAutospacing="0" w:line="240" w:lineRule="auto"/>
              <w:ind w:left="0" w:right="0"/>
              <w:jc w:val="both"/>
              <w:rPr>
                <w:rFonts w:hint="default"/>
                <w:b w:val="0"/>
                <w:bCs/>
                <w:color w:val="auto"/>
                <w:sz w:val="21"/>
                <w:szCs w:val="21"/>
              </w:rPr>
            </w:pPr>
            <w:r>
              <w:rPr>
                <w:rFonts w:hint="default"/>
                <w:b w:val="0"/>
                <w:bCs/>
                <w:color w:val="auto"/>
                <w:sz w:val="21"/>
                <w:szCs w:val="21"/>
              </w:rPr>
              <w:t>5</w:t>
            </w:r>
            <w:r>
              <w:rPr>
                <w:rFonts w:hint="eastAsia"/>
                <w:b w:val="0"/>
                <w:bCs/>
                <w:color w:val="auto"/>
                <w:sz w:val="21"/>
                <w:szCs w:val="21"/>
              </w:rPr>
              <w:t>、积极配合环保部门的检查、验收。</w:t>
            </w:r>
          </w:p>
        </w:tc>
      </w:tr>
    </w:tbl>
    <w:p>
      <w:pPr>
        <w:pStyle w:val="7"/>
        <w:spacing w:before="0" w:after="0" w:line="360" w:lineRule="auto"/>
        <w:ind w:left="0" w:firstLine="0"/>
        <w:rPr>
          <w:rFonts w:hint="default" w:cs="Times New Roman"/>
          <w:color w:val="auto"/>
          <w:lang w:val="en-US" w:eastAsia="zh-CN"/>
        </w:rPr>
      </w:pPr>
      <w:bookmarkStart w:id="349" w:name="_Toc4916"/>
      <w:r>
        <w:rPr>
          <w:rFonts w:hint="default" w:cs="Times New Roman"/>
          <w:color w:val="auto"/>
          <w:lang w:val="en-US" w:eastAsia="zh-CN"/>
        </w:rPr>
        <w:t>环境管理人员的培训计划</w:t>
      </w:r>
      <w:bookmarkEnd w:id="349"/>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从事环保工作的专职人员，应进行上岗前和日常的专业培训，要求其了解公司各种产品的生产工艺和产生的废水、废气、噪声等污染的治理技术，确保废水、废气、噪声等污染物的达标排放和处理设备的正常运转。加强对从事环保工作的专职人员的环境保护法律、法规教育，提高工作责任感，杜绝人为因素造成的环</w:t>
      </w:r>
      <w:r>
        <w:rPr>
          <w:rFonts w:hint="eastAsia" w:ascii="Times New Roman" w:hAnsi="Times New Roman" w:eastAsia="宋体" w:cs="Times New Roman"/>
          <w:color w:val="auto"/>
          <w:sz w:val="24"/>
          <w:szCs w:val="24"/>
        </w:rPr>
        <w:t>境</w:t>
      </w:r>
      <w:r>
        <w:rPr>
          <w:rFonts w:hint="default" w:ascii="Times New Roman" w:hAnsi="Times New Roman" w:eastAsia="宋体" w:cs="Times New Roman"/>
          <w:color w:val="auto"/>
          <w:sz w:val="24"/>
          <w:szCs w:val="24"/>
        </w:rPr>
        <w:t>污染事故发生。</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50" w:name="_Toc458494429"/>
      <w:bookmarkStart w:id="351" w:name="_Toc29221895"/>
      <w:bookmarkStart w:id="352" w:name="_Toc28972"/>
      <w:r>
        <w:rPr>
          <w:rFonts w:hint="eastAsia" w:ascii="Times New Roman" w:hAnsi="Times New Roman" w:eastAsia="宋体" w:cs="Times New Roman"/>
          <w:color w:val="auto"/>
          <w:lang w:val="en-US" w:eastAsia="zh-CN"/>
        </w:rPr>
        <w:t>环境监测</w:t>
      </w:r>
      <w:bookmarkEnd w:id="350"/>
      <w:bookmarkEnd w:id="351"/>
      <w:bookmarkEnd w:id="352"/>
    </w:p>
    <w:p>
      <w:pPr>
        <w:pStyle w:val="7"/>
        <w:spacing w:before="0" w:after="0" w:line="360" w:lineRule="auto"/>
        <w:ind w:left="0" w:firstLine="0"/>
        <w:rPr>
          <w:rFonts w:hint="default" w:cs="Times New Roman"/>
          <w:color w:val="auto"/>
          <w:lang w:val="en-US" w:eastAsia="zh-CN"/>
        </w:rPr>
      </w:pPr>
      <w:bookmarkStart w:id="353" w:name="_Toc20652"/>
      <w:r>
        <w:rPr>
          <w:rFonts w:hint="default" w:cs="Times New Roman"/>
          <w:color w:val="auto"/>
          <w:lang w:val="en-US" w:eastAsia="zh-CN"/>
        </w:rPr>
        <w:t>环境监测</w:t>
      </w:r>
      <w:r>
        <w:rPr>
          <w:rFonts w:hint="eastAsia" w:cs="Times New Roman"/>
          <w:color w:val="auto"/>
          <w:lang w:val="en-US" w:eastAsia="zh-CN"/>
        </w:rPr>
        <w:t>的</w:t>
      </w:r>
      <w:r>
        <w:rPr>
          <w:rFonts w:hint="default" w:cs="Times New Roman"/>
          <w:color w:val="auto"/>
          <w:lang w:val="en-US" w:eastAsia="zh-CN"/>
        </w:rPr>
        <w:t>意义</w:t>
      </w:r>
      <w:bookmarkEnd w:id="353"/>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境监测（包括污染源监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pPr>
        <w:pStyle w:val="7"/>
        <w:spacing w:before="0" w:after="0" w:line="360" w:lineRule="auto"/>
        <w:ind w:left="0" w:firstLine="0"/>
        <w:rPr>
          <w:rFonts w:hint="eastAsia" w:cs="Times New Roman"/>
          <w:color w:val="auto"/>
          <w:lang w:val="en-US" w:eastAsia="zh-CN"/>
        </w:rPr>
      </w:pPr>
      <w:bookmarkStart w:id="354" w:name="_Toc6694"/>
      <w:r>
        <w:rPr>
          <w:rFonts w:hint="eastAsia" w:cs="Times New Roman"/>
          <w:color w:val="auto"/>
          <w:lang w:val="en-US" w:eastAsia="zh-CN"/>
        </w:rPr>
        <w:t>环境监测机构</w:t>
      </w:r>
      <w:bookmarkEnd w:id="354"/>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企业环境管理机构负责厂区环保设施日常监管工作，但是不履行监测职责。</w:t>
      </w:r>
      <w:r>
        <w:rPr>
          <w:rFonts w:ascii="Times New Roman" w:hAnsi="Times New Roman" w:eastAsia="宋体" w:cs="Times New Roman"/>
          <w:color w:val="auto"/>
          <w:sz w:val="24"/>
          <w:szCs w:val="24"/>
        </w:rPr>
        <w:t>为及时了解和掌握建设项目营运期主要污染源的污染物的排放状况，建设单位应定期委托有资质的环境监测</w:t>
      </w:r>
      <w:r>
        <w:rPr>
          <w:rFonts w:hint="eastAsia" w:ascii="Times New Roman" w:hAnsi="Times New Roman" w:eastAsia="宋体" w:cs="Times New Roman"/>
          <w:color w:val="auto"/>
          <w:sz w:val="24"/>
          <w:szCs w:val="24"/>
        </w:rPr>
        <w:t>机构</w:t>
      </w:r>
      <w:r>
        <w:rPr>
          <w:rFonts w:ascii="Times New Roman" w:hAnsi="Times New Roman" w:eastAsia="宋体" w:cs="Times New Roman"/>
          <w:color w:val="auto"/>
          <w:sz w:val="24"/>
          <w:szCs w:val="24"/>
        </w:rPr>
        <w:t>对主要污染源的污染物排放情况进行监测。</w:t>
      </w:r>
    </w:p>
    <w:p>
      <w:pPr>
        <w:pStyle w:val="7"/>
        <w:spacing w:before="0" w:after="0" w:line="360" w:lineRule="auto"/>
        <w:ind w:left="0" w:firstLine="0"/>
        <w:rPr>
          <w:rFonts w:hint="eastAsia" w:cs="Times New Roman"/>
          <w:color w:val="auto"/>
          <w:lang w:val="en-US" w:eastAsia="zh-CN"/>
        </w:rPr>
      </w:pPr>
      <w:bookmarkStart w:id="355" w:name="_Toc18746"/>
      <w:r>
        <w:rPr>
          <w:rFonts w:hint="eastAsia" w:cs="Times New Roman"/>
          <w:color w:val="auto"/>
          <w:lang w:val="en-US" w:eastAsia="zh-CN"/>
        </w:rPr>
        <w:t>环境监测机构的职责和任务</w:t>
      </w:r>
      <w:bookmarkEnd w:id="355"/>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（1）编制各类有关环境监测的报表负责呈报；</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（2）负责本企业范围内的污染事故调查，弄清和掌握污染状况；</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（3）定期开展环境监测，并负责各类监测设备的使用，维护和检修工作；</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（4）制定本企业的环境监测计划，并完成主管部门布置的各项监测任务；</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（5）参加本企业所属范围内的重大污染事故调查，组织检查各项环境法规和环境标准的执行情况。</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上述工作可与厂区环保科或当地环境监测机构协商、配合完成。</w:t>
      </w:r>
    </w:p>
    <w:p>
      <w:pPr>
        <w:pStyle w:val="7"/>
        <w:spacing w:before="0" w:after="0" w:line="360" w:lineRule="auto"/>
        <w:ind w:left="0" w:firstLine="0"/>
        <w:rPr>
          <w:rFonts w:hint="eastAsia" w:cs="Times New Roman"/>
          <w:color w:val="auto"/>
          <w:lang w:val="en-US" w:eastAsia="zh-CN"/>
        </w:rPr>
      </w:pPr>
      <w:bookmarkStart w:id="356" w:name="_Toc3880"/>
      <w:r>
        <w:rPr>
          <w:rFonts w:hint="eastAsia" w:cs="Times New Roman"/>
          <w:color w:val="auto"/>
          <w:lang w:val="en-US" w:eastAsia="zh-CN"/>
        </w:rPr>
        <w:t>环境监测计划</w:t>
      </w:r>
      <w:bookmarkEnd w:id="356"/>
    </w:p>
    <w:p>
      <w:pPr>
        <w:pStyle w:val="8"/>
        <w:rPr>
          <w:rFonts w:hint="eastAsia" w:cs="Times New Roman"/>
          <w:color w:val="auto"/>
          <w:lang w:val="en-US" w:eastAsia="zh-CN"/>
        </w:rPr>
      </w:pPr>
      <w:r>
        <w:rPr>
          <w:rFonts w:hint="eastAsia" w:cs="Times New Roman"/>
          <w:color w:val="auto"/>
          <w:lang w:val="en-US" w:eastAsia="zh-CN"/>
        </w:rPr>
        <w:t>施工期环境监测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施工期主要关注施工噪声和施工扬尘对环境的影响。施工期的噪声监测主要是对施工场界噪声排放和周边敏感目标声环境质量的达标情况进行监控性监测。施工期的大气监测主要是对周边敏感目标环境空气质量TSP因子的达标情况进行监控性监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施工期环境监测的点位、项目、时间、频次应根据施工现场的实际情况，由环境保护主管部门确定。</w:t>
      </w:r>
    </w:p>
    <w:p>
      <w:pPr>
        <w:pStyle w:val="8"/>
        <w:rPr>
          <w:rFonts w:hint="eastAsia" w:cs="Times New Roman"/>
          <w:color w:val="auto"/>
          <w:lang w:val="en-US" w:eastAsia="zh-CN"/>
        </w:rPr>
      </w:pPr>
      <w:r>
        <w:rPr>
          <w:rFonts w:hint="eastAsia" w:cs="Times New Roman"/>
          <w:color w:val="auto"/>
          <w:lang w:val="en-US" w:eastAsia="zh-CN"/>
        </w:rPr>
        <w:t>运营期环境监测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为了有效监控建设项目对环境的影响，管理部门应建立环境监测制度，定期自测并委托有资质的环境监测机构开展污染源及环境质量监测，以便及时掌握产排污规律，加强污染治理。</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根据《排污单位自行监测技术指南 总则》(HJ 819-2017)，结合《排污许可证申请与核发技术规范畜禽养殖行业》（HJ 1029—2019），污染源监测计划</w:t>
      </w:r>
      <w:r>
        <w:rPr>
          <w:rFonts w:hint="eastAsia" w:ascii="Times New Roman" w:hAnsi="Times New Roman" w:eastAsia="宋体" w:cs="Times New Roman"/>
          <w:color w:val="auto"/>
          <w:sz w:val="24"/>
          <w:szCs w:val="24"/>
          <w:lang w:eastAsia="zh-CN"/>
        </w:rPr>
        <w:t>见表</w:t>
      </w:r>
      <w:r>
        <w:rPr>
          <w:rFonts w:hint="eastAsia" w:ascii="Times New Roman" w:hAnsi="Times New Roman" w:eastAsia="宋体" w:cs="Times New Roman"/>
          <w:color w:val="auto"/>
          <w:sz w:val="24"/>
          <w:szCs w:val="24"/>
          <w:lang w:val="en-US" w:eastAsia="zh-CN"/>
        </w:rPr>
        <w:t>9.2-1。</w:t>
      </w:r>
    </w:p>
    <w:p>
      <w:pPr>
        <w:widowControl w:val="0"/>
        <w:numPr>
          <w:ilvl w:val="0"/>
          <w:numId w:val="43"/>
        </w:numPr>
        <w:spacing w:before="120" w:beforeLines="50" w:line="240" w:lineRule="exact"/>
        <w:ind w:left="0" w:leftChars="0" w:firstLine="403" w:firstLineChars="0"/>
        <w:jc w:val="center"/>
        <w:rPr>
          <w:rFonts w:ascii="Times New Roman" w:hAnsi="Times New Roman" w:eastAsia="宋体" w:cs="Times New Roman"/>
          <w:b/>
          <w:bCs w:val="0"/>
          <w:color w:val="auto"/>
          <w:kern w:val="2"/>
          <w:sz w:val="9"/>
          <w:szCs w:val="9"/>
          <w:lang w:val="en-US" w:eastAsia="zh-CN" w:bidi="ar-SA"/>
        </w:rPr>
      </w:pPr>
      <w:r>
        <w:rPr>
          <w:rFonts w:ascii="Times New Roman" w:hAnsi="Times New Roman" w:eastAsia="宋体" w:cs="Times New Roman"/>
          <w:b/>
          <w:bCs w:val="0"/>
          <w:color w:val="auto"/>
          <w:kern w:val="2"/>
          <w:sz w:val="21"/>
          <w:szCs w:val="24"/>
          <w:lang w:val="en-US" w:eastAsia="zh-CN" w:bidi="ar-SA"/>
        </w:rPr>
        <w:tab/>
      </w:r>
      <w:r>
        <w:rPr>
          <w:rFonts w:ascii="Times New Roman" w:hAnsi="Times New Roman" w:eastAsia="宋体" w:cs="Times New Roman"/>
          <w:b/>
          <w:bCs w:val="0"/>
          <w:color w:val="auto"/>
          <w:kern w:val="2"/>
          <w:sz w:val="21"/>
          <w:szCs w:val="24"/>
          <w:lang w:val="en-US" w:eastAsia="zh-CN" w:bidi="ar-SA"/>
        </w:rPr>
        <w:t xml:space="preserve">   </w:t>
      </w:r>
      <w:r>
        <w:rPr>
          <w:rFonts w:hint="eastAsia" w:ascii="Times New Roman" w:hAnsi="Times New Roman" w:eastAsia="宋体" w:cs="Times New Roman"/>
          <w:b/>
          <w:bCs w:val="0"/>
          <w:color w:val="auto"/>
          <w:kern w:val="2"/>
          <w:sz w:val="21"/>
          <w:szCs w:val="24"/>
          <w:lang w:val="en-US" w:eastAsia="zh-CN" w:bidi="ar-SA"/>
        </w:rPr>
        <w:t>环境监测计划一览表</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4"/>
        <w:gridCol w:w="3162"/>
        <w:gridCol w:w="2473"/>
        <w:gridCol w:w="199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环境要素</w:t>
            </w:r>
          </w:p>
        </w:tc>
        <w:tc>
          <w:tcPr>
            <w:tcW w:w="3162"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监测项目</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监测布点</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监测频率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废气</w:t>
            </w:r>
          </w:p>
        </w:tc>
        <w:tc>
          <w:tcPr>
            <w:tcW w:w="3162"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H</w:t>
            </w:r>
            <w:r>
              <w:rPr>
                <w:rFonts w:hint="default" w:ascii="Times New Roman" w:hAnsi="Times New Roman" w:eastAsia="宋体" w:cs="Times New Roman"/>
                <w:color w:val="auto"/>
                <w:kern w:val="0"/>
                <w:sz w:val="21"/>
                <w:szCs w:val="21"/>
                <w:vertAlign w:val="subscript"/>
                <w:lang w:val="en-US" w:eastAsia="zh-CN" w:bidi="ar-SA"/>
              </w:rPr>
              <w:t>2</w:t>
            </w:r>
            <w:r>
              <w:rPr>
                <w:rFonts w:hint="default" w:ascii="Times New Roman" w:hAnsi="Times New Roman" w:eastAsia="宋体" w:cs="Times New Roman"/>
                <w:color w:val="auto"/>
                <w:kern w:val="0"/>
                <w:sz w:val="21"/>
                <w:szCs w:val="21"/>
                <w:lang w:val="en-US" w:eastAsia="zh-CN" w:bidi="ar-SA"/>
              </w:rPr>
              <w:t>S</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NH</w:t>
            </w:r>
            <w:r>
              <w:rPr>
                <w:rFonts w:hint="default" w:ascii="Times New Roman" w:hAnsi="Times New Roman" w:eastAsia="宋体" w:cs="Times New Roman"/>
                <w:color w:val="auto"/>
                <w:kern w:val="0"/>
                <w:sz w:val="21"/>
                <w:szCs w:val="21"/>
                <w:vertAlign w:val="subscript"/>
                <w:lang w:val="en-US" w:eastAsia="zh-CN" w:bidi="ar-SA"/>
              </w:rPr>
              <w:t>3</w:t>
            </w:r>
            <w:r>
              <w:rPr>
                <w:rFonts w:hint="default" w:ascii="Times New Roman" w:hAnsi="Times New Roman" w:eastAsia="宋体" w:cs="Times New Roman"/>
                <w:color w:val="auto"/>
                <w:kern w:val="0"/>
                <w:sz w:val="21"/>
                <w:szCs w:val="21"/>
                <w:lang w:val="en-US" w:eastAsia="zh-CN" w:bidi="ar-SA"/>
              </w:rPr>
              <w:t>、臭气浓度</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在项目区上风向、下风向各</w:t>
            </w:r>
            <w:r>
              <w:rPr>
                <w:rFonts w:hint="default" w:ascii="Times New Roman" w:hAnsi="Times New Roman" w:eastAsia="宋体" w:cs="Times New Roman"/>
                <w:color w:val="auto"/>
                <w:kern w:val="0"/>
                <w:sz w:val="21"/>
                <w:szCs w:val="21"/>
                <w:lang w:val="en-US" w:eastAsia="zh-CN" w:bidi="ar-SA"/>
              </w:rPr>
              <w:t xml:space="preserve"> </w:t>
            </w:r>
            <w:r>
              <w:rPr>
                <w:rFonts w:hint="eastAsia" w:ascii="Times New Roman" w:hAnsi="Times New Roman" w:eastAsia="宋体" w:cs="Times New Roman"/>
                <w:color w:val="auto"/>
                <w:kern w:val="0"/>
                <w:sz w:val="21"/>
                <w:szCs w:val="21"/>
                <w:lang w:val="en-US" w:eastAsia="zh-CN" w:bidi="ar-SA"/>
              </w:rPr>
              <w:t>设一个监测点；</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每年监测</w:t>
            </w:r>
            <w:r>
              <w:rPr>
                <w:rFonts w:hint="default" w:ascii="Times New Roman" w:hAnsi="Times New Roman" w:eastAsia="宋体"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废水</w:t>
            </w:r>
          </w:p>
        </w:tc>
        <w:tc>
          <w:tcPr>
            <w:tcW w:w="3162"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pH</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COD</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BOD</w:t>
            </w:r>
            <w:r>
              <w:rPr>
                <w:rFonts w:hint="default" w:ascii="Times New Roman" w:hAnsi="Times New Roman" w:eastAsia="宋体" w:cs="Times New Roman"/>
                <w:color w:val="auto"/>
                <w:kern w:val="0"/>
                <w:sz w:val="21"/>
                <w:szCs w:val="21"/>
                <w:vertAlign w:val="subscript"/>
                <w:lang w:val="en-US" w:eastAsia="zh-CN" w:bidi="ar-SA"/>
              </w:rPr>
              <w:t>5</w:t>
            </w:r>
            <w:r>
              <w:rPr>
                <w:rFonts w:hint="eastAsia" w:ascii="Times New Roman" w:hAnsi="Times New Roman" w:eastAsia="宋体" w:cs="Times New Roman"/>
                <w:color w:val="auto"/>
                <w:kern w:val="0"/>
                <w:sz w:val="21"/>
                <w:szCs w:val="21"/>
                <w:lang w:val="en-US" w:eastAsia="zh-CN" w:bidi="ar-SA"/>
              </w:rPr>
              <w:t>、氨氮、总磷、</w:t>
            </w:r>
            <w:r>
              <w:rPr>
                <w:rFonts w:hint="default" w:ascii="Times New Roman" w:hAnsi="Times New Roman" w:eastAsia="宋体" w:cs="Times New Roman"/>
                <w:color w:val="auto"/>
                <w:kern w:val="0"/>
                <w:sz w:val="21"/>
                <w:szCs w:val="21"/>
                <w:lang w:val="en-US" w:eastAsia="zh-CN" w:bidi="ar-SA"/>
              </w:rPr>
              <w:t xml:space="preserve"> SS</w:t>
            </w:r>
            <w:r>
              <w:rPr>
                <w:rFonts w:hint="eastAsia" w:ascii="Times New Roman" w:hAnsi="Times New Roman" w:eastAsia="宋体" w:cs="Times New Roman"/>
                <w:color w:val="auto"/>
                <w:kern w:val="0"/>
                <w:sz w:val="21"/>
                <w:szCs w:val="21"/>
                <w:lang w:val="en-US" w:eastAsia="zh-CN" w:bidi="ar-SA"/>
              </w:rPr>
              <w:t>、粪大肠菌群</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污水处理站出口</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每半年监测</w:t>
            </w:r>
            <w:r>
              <w:rPr>
                <w:rFonts w:hint="default" w:ascii="Times New Roman" w:hAnsi="Times New Roman" w:eastAsia="宋体"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地下水</w:t>
            </w:r>
          </w:p>
        </w:tc>
        <w:tc>
          <w:tcPr>
            <w:tcW w:w="3162"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pH</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BOD</w:t>
            </w:r>
            <w:r>
              <w:rPr>
                <w:rFonts w:hint="default" w:ascii="Times New Roman" w:hAnsi="Times New Roman" w:eastAsia="宋体" w:cs="Times New Roman"/>
                <w:color w:val="auto"/>
                <w:kern w:val="0"/>
                <w:sz w:val="21"/>
                <w:szCs w:val="21"/>
                <w:vertAlign w:val="subscript"/>
                <w:lang w:val="en-US" w:eastAsia="zh-CN" w:bidi="ar-SA"/>
              </w:rPr>
              <w:t>5</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COD</w:t>
            </w:r>
            <w:r>
              <w:rPr>
                <w:rFonts w:hint="default" w:ascii="Times New Roman" w:hAnsi="Times New Roman" w:eastAsia="宋体" w:cs="Times New Roman"/>
                <w:color w:val="auto"/>
                <w:kern w:val="0"/>
                <w:sz w:val="21"/>
                <w:szCs w:val="21"/>
                <w:vertAlign w:val="subscript"/>
                <w:lang w:val="en-US" w:eastAsia="zh-CN" w:bidi="ar-SA"/>
              </w:rPr>
              <w:t>Cr</w:t>
            </w:r>
            <w:r>
              <w:rPr>
                <w:rFonts w:hint="eastAsia" w:ascii="Times New Roman" w:hAnsi="Times New Roman" w:eastAsia="宋体" w:cs="Times New Roman"/>
                <w:color w:val="auto"/>
                <w:kern w:val="0"/>
                <w:sz w:val="21"/>
                <w:szCs w:val="21"/>
                <w:lang w:val="en-US" w:eastAsia="zh-CN" w:bidi="ar-SA"/>
              </w:rPr>
              <w:t>、总磷、色度</w:t>
            </w:r>
            <w:r>
              <w:rPr>
                <w:rFonts w:hint="default" w:ascii="Times New Roman" w:hAnsi="Times New Roman" w:eastAsia="宋体" w:cs="Times New Roman"/>
                <w:color w:val="auto"/>
                <w:kern w:val="0"/>
                <w:sz w:val="21"/>
                <w:szCs w:val="21"/>
                <w:lang w:val="en-US" w:eastAsia="zh-CN" w:bidi="ar-SA"/>
              </w:rPr>
              <w:t xml:space="preserve"> </w:t>
            </w:r>
            <w:r>
              <w:rPr>
                <w:rFonts w:hint="eastAsia" w:ascii="Times New Roman" w:hAnsi="Times New Roman" w:eastAsia="宋体" w:cs="Times New Roman"/>
                <w:color w:val="auto"/>
                <w:kern w:val="0"/>
                <w:sz w:val="21"/>
                <w:szCs w:val="21"/>
                <w:lang w:val="en-US" w:eastAsia="zh-CN" w:bidi="ar-SA"/>
              </w:rPr>
              <w:t>氨氮、硝酸盐、亚硝酸盐、总硬度、溶解性总固体、耗氧量、总大肠菌</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数、细菌总数</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项目所在地下游取水井</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每年监测</w:t>
            </w:r>
            <w:r>
              <w:rPr>
                <w:rFonts w:hint="default" w:ascii="Times New Roman" w:hAnsi="Times New Roman" w:eastAsia="宋体"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声环境</w:t>
            </w:r>
          </w:p>
        </w:tc>
        <w:tc>
          <w:tcPr>
            <w:tcW w:w="3162"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环境噪声</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厂界噪声</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每半年监测</w:t>
            </w:r>
            <w:r>
              <w:rPr>
                <w:rFonts w:hint="default" w:ascii="Times New Roman" w:hAnsi="Times New Roman" w:eastAsia="宋体"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次，昼</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夜各监测</w:t>
            </w:r>
            <w:r>
              <w:rPr>
                <w:rFonts w:hint="default" w:ascii="Times New Roman" w:hAnsi="Times New Roman" w:eastAsia="宋体"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固废</w:t>
            </w:r>
          </w:p>
        </w:tc>
        <w:tc>
          <w:tcPr>
            <w:tcW w:w="7633" w:type="dxa"/>
            <w:gridSpan w:val="3"/>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固体废物排放情况应向相关固废管理部门申报，按照要求妥善处置，必要时取样分</w:t>
            </w:r>
            <w:r>
              <w:rPr>
                <w:rFonts w:hint="default" w:ascii="Times New Roman" w:hAnsi="Times New Roman" w:eastAsia="宋体" w:cs="Times New Roman"/>
                <w:color w:val="auto"/>
                <w:kern w:val="0"/>
                <w:sz w:val="21"/>
                <w:szCs w:val="21"/>
                <w:lang w:val="en-US" w:eastAsia="zh-CN" w:bidi="ar-SA"/>
              </w:rPr>
              <w:t xml:space="preserve">   </w:t>
            </w:r>
            <w:r>
              <w:rPr>
                <w:rFonts w:hint="eastAsia" w:ascii="Times New Roman" w:hAnsi="Times New Roman" w:eastAsia="宋体" w:cs="Times New Roman"/>
                <w:color w:val="auto"/>
                <w:kern w:val="0"/>
                <w:sz w:val="21"/>
                <w:szCs w:val="21"/>
                <w:lang w:val="en-US" w:eastAsia="zh-CN" w:bidi="ar-SA"/>
              </w:rPr>
              <w:t>析</w:t>
            </w:r>
          </w:p>
        </w:tc>
      </w:tr>
    </w:tbl>
    <w:p>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1、废气监测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根据本工程的污染特点，结合本企业具体情况，选择下列项目作为监测项目。</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①监测项目：H2S、NH3、臭气浓度。</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②监测布点：主要对污染源进行监测，在项目区上风方向、下风方向各设置一个监测点。</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③监测时间：每年监测一次，每次监测1天，每天取样4次。</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2、废水监测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废水不外排，在污水处理站出口设置规范化采样口并进行日常监管性监测。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①监测项目：pH、COD、BOD</w:t>
      </w:r>
      <w:r>
        <w:rPr>
          <w:rFonts w:hint="eastAsia"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、氨氮、总磷、SS、粪大肠菌群。</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②监测布点：污水处理站出口。</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③监测时间：每半年取样1次。</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3、噪声监测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①监测项目：场界噪声。</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②监测布点：主要在场区四周厂界外北、东、南、西各布置一个点。</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③监测时间：场界噪声每半年进行一次监测，监测按昼夜各监测一次。</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4、地下水监测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①监测项目：pH、BOD</w:t>
      </w:r>
      <w:r>
        <w:rPr>
          <w:rFonts w:hint="eastAsia"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、COD</w:t>
      </w:r>
      <w:r>
        <w:rPr>
          <w:rFonts w:hint="eastAsia" w:ascii="Times New Roman" w:hAnsi="Times New Roman" w:eastAsia="宋体" w:cs="Times New Roman"/>
          <w:color w:val="auto"/>
          <w:sz w:val="24"/>
          <w:szCs w:val="24"/>
          <w:vertAlign w:val="subscript"/>
        </w:rPr>
        <w:t>Cr</w:t>
      </w:r>
      <w:r>
        <w:rPr>
          <w:rFonts w:hint="eastAsia" w:ascii="Times New Roman" w:hAnsi="Times New Roman" w:eastAsia="宋体" w:cs="Times New Roman"/>
          <w:color w:val="auto"/>
          <w:sz w:val="24"/>
          <w:szCs w:val="24"/>
        </w:rPr>
        <w:t>、总磷、色度、氨氮、硝酸盐、亚硝酸盐、总硬度、溶解性总固体、耗氧量、总大肠菌数、细菌总数。</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②监测布点：项目所在地下游取水井作为监测点。</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③监测时间：每年1次，遇到非正常生产情况及事故性排放应另外增加检测频次。</w:t>
      </w:r>
    </w:p>
    <w:p>
      <w:pPr>
        <w:spacing w:line="360" w:lineRule="auto"/>
        <w:ind w:firstLine="482" w:firstLineChars="200"/>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5、固体废物</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固体废物排放情况应向相关固废管理部门申报，按照要求安排处置，必要时取样分析。</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对以上监测结果应及时统计汇总，呈报有关领导和上级环保主管部门，监测结果如有异常，应及时反馈生产管理部门，查找原因，及时解决。</w:t>
      </w:r>
    </w:p>
    <w:p>
      <w:pPr>
        <w:pStyle w:val="8"/>
        <w:rPr>
          <w:rFonts w:hint="eastAsia" w:cs="Times New Roman"/>
          <w:color w:val="auto"/>
          <w:lang w:val="en-US" w:eastAsia="zh-CN"/>
        </w:rPr>
      </w:pPr>
      <w:r>
        <w:rPr>
          <w:rFonts w:hint="eastAsia" w:cs="Times New Roman"/>
          <w:color w:val="auto"/>
          <w:lang w:val="en-US" w:eastAsia="zh-CN"/>
        </w:rPr>
        <w:t>监测计划的实施及档案管理</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根据表9.</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-1的环境监测计划，所有项目监测分析方法均按国家环保局颁布的《环境监测技术》规范中相应项目的监测分析方法执行，评价标准执行环评批复的国家标准。</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对自身污染源及污染物排放实行例行监测、控制污染是企业做好环境保护职责之一。监测资料应进行技术分析、分类存档、科学管理为企业防治环境污染途径和治理措施提供必要的依据；同时也是企业的环境保护资料统计上报、查阅、目标管理等必须要做的工作内容之一。</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57" w:name="_Toc458494430"/>
      <w:bookmarkStart w:id="358" w:name="_Toc29221896"/>
      <w:bookmarkStart w:id="359" w:name="_Toc8910"/>
      <w:r>
        <w:rPr>
          <w:rFonts w:hint="eastAsia" w:ascii="Times New Roman" w:hAnsi="Times New Roman" w:eastAsia="宋体" w:cs="Times New Roman"/>
          <w:color w:val="auto"/>
          <w:lang w:val="en-US" w:eastAsia="zh-CN"/>
        </w:rPr>
        <w:t>排污口规范化管理</w:t>
      </w:r>
      <w:bookmarkEnd w:id="357"/>
      <w:bookmarkEnd w:id="358"/>
      <w:bookmarkEnd w:id="359"/>
    </w:p>
    <w:p>
      <w:pPr>
        <w:pStyle w:val="7"/>
        <w:spacing w:before="0" w:after="0" w:line="360" w:lineRule="auto"/>
        <w:ind w:left="0" w:firstLine="0"/>
        <w:rPr>
          <w:rFonts w:hint="eastAsia" w:cs="Times New Roman"/>
          <w:color w:val="auto"/>
          <w:lang w:val="en-US" w:eastAsia="zh-CN"/>
        </w:rPr>
      </w:pPr>
      <w:bookmarkStart w:id="360" w:name="_Toc23230"/>
      <w:r>
        <w:rPr>
          <w:rFonts w:hint="eastAsia" w:cs="Times New Roman"/>
          <w:color w:val="auto"/>
          <w:lang w:val="en-US" w:eastAsia="zh-CN"/>
        </w:rPr>
        <w:t>排污口规范化设置</w:t>
      </w:r>
      <w:bookmarkEnd w:id="360"/>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根据国家标准《环境保护图形标志——排放口（源）》和国家环保总局《排污口规范化整治要求（试行）》的技术要求，企业所有排污口</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包括水、气、声、固体废物</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必须按照</w:t>
      </w:r>
      <w:r>
        <w:rPr>
          <w:rFonts w:hint="eastAsia" w:ascii="Times New Roman" w:hAnsi="Times New Roman" w:eastAsia="宋体" w:cs="Times New Roman"/>
          <w:color w:val="auto"/>
          <w:sz w:val="24"/>
          <w:szCs w:val="24"/>
        </w:rPr>
        <w:t>“便于采样、</w:t>
      </w:r>
      <w:r>
        <w:rPr>
          <w:rFonts w:ascii="Times New Roman" w:hAnsi="Times New Roman" w:eastAsia="宋体" w:cs="Times New Roman"/>
          <w:color w:val="auto"/>
          <w:sz w:val="24"/>
          <w:szCs w:val="24"/>
        </w:rPr>
        <w:t>便于计量监测、便于日常现场监督检查</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的原则和规范化要求，设置与之相适应的环境保护图形标志牌，绘制企业排污口分布图，同时对污水排放口安装流量计，对治理设施安装运行监控装置。排污口的规范化要符合环境监</w:t>
      </w:r>
      <w:r>
        <w:rPr>
          <w:rFonts w:hint="eastAsia" w:ascii="Times New Roman" w:hAnsi="Times New Roman" w:eastAsia="宋体" w:cs="Times New Roman"/>
          <w:color w:val="auto"/>
          <w:sz w:val="24"/>
          <w:szCs w:val="24"/>
        </w:rPr>
        <w:t>管</w:t>
      </w:r>
      <w:r>
        <w:rPr>
          <w:rFonts w:ascii="Times New Roman" w:hAnsi="Times New Roman" w:eastAsia="宋体" w:cs="Times New Roman"/>
          <w:color w:val="auto"/>
          <w:sz w:val="24"/>
          <w:szCs w:val="24"/>
        </w:rPr>
        <w:t>部门的有关要求。</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建设项目污（废）水排放口、废气排放口、固体废物贮存（处置）场所规范化设置应符合《环境保护图形标志实施细则（试行）》（环监【1996】463号文）有关规定。</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（1）废水排放口：本项目实行雨污分流制。雨水外排进入周边沟渠，污水经场内污水处理站处理后用于农灌，不外排，不设置排放口。</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（2）废气排放口：本项目废气有组织</w:t>
      </w:r>
      <w:r>
        <w:rPr>
          <w:rFonts w:ascii="Times New Roman" w:hAnsi="Times New Roman" w:eastAsia="宋体" w:cs="Times New Roman"/>
          <w:color w:val="auto"/>
          <w:sz w:val="24"/>
          <w:szCs w:val="24"/>
        </w:rPr>
        <w:t>排放口必须要</w:t>
      </w:r>
      <w:r>
        <w:rPr>
          <w:rFonts w:hint="eastAsia" w:ascii="Times New Roman" w:hAnsi="Times New Roman" w:eastAsia="宋体" w:cs="Times New Roman"/>
          <w:color w:val="auto"/>
          <w:sz w:val="24"/>
          <w:szCs w:val="24"/>
        </w:rPr>
        <w:t>符</w:t>
      </w:r>
      <w:r>
        <w:rPr>
          <w:rFonts w:ascii="Times New Roman" w:hAnsi="Times New Roman" w:eastAsia="宋体" w:cs="Times New Roman"/>
          <w:color w:val="auto"/>
          <w:sz w:val="24"/>
          <w:szCs w:val="24"/>
        </w:rPr>
        <w:t>合规定的高度和《污染源监测技术规范》便于采样、监测的要求，设置直径不小于75mm的采样口。如无法满足要求的，其采样口与环境监测部门共同确认。</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固体废弃物：各种固体废物处置设施和堆放场所必须有防火、防扬散、防流失、防渗漏或者其他防止污染环境的措施，贮存（堆放）处进出路口应设置标示牌。危险废物经厂内暂存后，定期交由具有相应资质类别的危险废物处置单位处置。</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（4）排污口立标</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环境保护图形标志牌按国家环保总局统一规范要求定点制作，各建设单位排污口分布图由环境监理部门统一绘制。排放一般污染物排污口（源），设置提示式标志牌，排放有毒有害等污染物的排污口设置警告</w:t>
      </w:r>
      <w:r>
        <w:rPr>
          <w:rFonts w:hint="eastAsia" w:ascii="Times New Roman" w:hAnsi="Times New Roman" w:eastAsia="宋体" w:cs="Times New Roman"/>
          <w:color w:val="auto"/>
          <w:sz w:val="24"/>
          <w:szCs w:val="24"/>
        </w:rPr>
        <w:t>式</w:t>
      </w:r>
      <w:r>
        <w:rPr>
          <w:rFonts w:ascii="Times New Roman" w:hAnsi="Times New Roman" w:eastAsia="宋体" w:cs="Times New Roman"/>
          <w:color w:val="auto"/>
          <w:sz w:val="24"/>
          <w:szCs w:val="24"/>
        </w:rPr>
        <w:t>标志牌。</w:t>
      </w:r>
      <w:r>
        <w:rPr>
          <w:rFonts w:hint="eastAsia" w:ascii="Times New Roman" w:hAnsi="Times New Roman" w:eastAsia="宋体" w:cs="Times New Roman"/>
          <w:color w:val="auto"/>
          <w:sz w:val="24"/>
          <w:szCs w:val="24"/>
        </w:rPr>
        <w:t>环境保护图形标志见表</w:t>
      </w:r>
      <w:r>
        <w:rPr>
          <w:rFonts w:ascii="Times New Roman" w:hAnsi="Times New Roman" w:eastAsia="宋体" w:cs="Times New Roman"/>
          <w:color w:val="auto"/>
          <w:sz w:val="24"/>
          <w:szCs w:val="24"/>
        </w:rPr>
        <w:t>9</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w:t>
      </w:r>
    </w:p>
    <w:p>
      <w:pPr>
        <w:widowControl w:val="0"/>
        <w:numPr>
          <w:ilvl w:val="0"/>
          <w:numId w:val="44"/>
        </w:numPr>
        <w:spacing w:before="120" w:beforeLines="50" w:line="240" w:lineRule="exact"/>
        <w:ind w:left="425" w:leftChars="0" w:hanging="425" w:firstLineChars="0"/>
        <w:jc w:val="center"/>
        <w:rPr>
          <w:rFonts w:ascii="Times New Roman" w:hAnsi="Times New Roman" w:eastAsia="宋体" w:cs="Times New Roman"/>
          <w:b/>
          <w:color w:val="auto"/>
          <w:kern w:val="2"/>
          <w:sz w:val="21"/>
          <w:szCs w:val="24"/>
          <w:lang w:val="en-US" w:eastAsia="zh-CN" w:bidi="ar-SA"/>
        </w:rPr>
      </w:pPr>
      <w:r>
        <w:rPr>
          <w:rFonts w:ascii="Times New Roman" w:hAnsi="Times New Roman" w:eastAsia="宋体" w:cs="Times New Roman"/>
          <w:b/>
          <w:color w:val="auto"/>
          <w:kern w:val="2"/>
          <w:sz w:val="21"/>
          <w:szCs w:val="24"/>
          <w:lang w:val="en-US" w:eastAsia="zh-CN" w:bidi="ar-SA"/>
        </w:rPr>
        <w:t xml:space="preserve">   </w:t>
      </w:r>
      <w:r>
        <w:rPr>
          <w:rFonts w:ascii="Times New Roman" w:hAnsi="Times New Roman" w:eastAsia="宋体" w:cs="Times New Roman"/>
          <w:b/>
          <w:color w:val="auto"/>
          <w:kern w:val="2"/>
          <w:sz w:val="21"/>
          <w:szCs w:val="24"/>
          <w:lang w:val="en-US" w:eastAsia="zh-CN" w:bidi="ar-SA"/>
        </w:rPr>
        <w:tab/>
      </w:r>
      <w:r>
        <w:rPr>
          <w:rFonts w:hint="eastAsia" w:ascii="Times New Roman" w:hAnsi="Times New Roman" w:eastAsia="宋体" w:cs="Times New Roman"/>
          <w:b/>
          <w:color w:val="auto"/>
          <w:kern w:val="2"/>
          <w:sz w:val="21"/>
          <w:szCs w:val="24"/>
          <w:lang w:val="en-US" w:eastAsia="zh-CN" w:bidi="ar-SA"/>
        </w:rPr>
        <w:t>环境保护图形标志表</w:t>
      </w:r>
    </w:p>
    <w:tbl>
      <w:tblPr>
        <w:tblStyle w:val="88"/>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026"/>
        <w:gridCol w:w="2026"/>
        <w:gridCol w:w="1496"/>
        <w:gridCol w:w="248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51"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序号</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提示图像符号</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背景颜色：绿色</w:t>
            </w:r>
            <w:r>
              <w:rPr>
                <w:rFonts w:hint="default" w:ascii="Times New Roman" w:hAnsi="Times New Roman" w:eastAsia="宋体" w:cs="Times New Roman"/>
                <w:b/>
                <w:color w:val="auto"/>
                <w:kern w:val="0"/>
                <w:sz w:val="21"/>
                <w:szCs w:val="21"/>
                <w:lang w:val="en-US" w:eastAsia="zh-CN" w:bidi="ar-SA"/>
              </w:rPr>
              <w:t xml:space="preserve"> </w:t>
            </w:r>
            <w:r>
              <w:rPr>
                <w:rFonts w:hint="eastAsia" w:ascii="Times New Roman" w:hAnsi="Times New Roman" w:eastAsia="宋体" w:cs="Times New Roman"/>
                <w:b/>
                <w:color w:val="auto"/>
                <w:kern w:val="0"/>
                <w:sz w:val="21"/>
                <w:szCs w:val="21"/>
                <w:lang w:val="en-US" w:eastAsia="zh-CN" w:bidi="ar-SA"/>
              </w:rPr>
              <w:t>图形颜色：白色</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警告图像符号</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背景颜色：黄色</w:t>
            </w:r>
            <w:r>
              <w:rPr>
                <w:rFonts w:hint="default" w:ascii="Times New Roman" w:hAnsi="Times New Roman" w:eastAsia="宋体" w:cs="Times New Roman"/>
                <w:b/>
                <w:color w:val="auto"/>
                <w:kern w:val="0"/>
                <w:sz w:val="21"/>
                <w:szCs w:val="21"/>
                <w:lang w:val="en-US" w:eastAsia="zh-CN" w:bidi="ar-SA"/>
              </w:rPr>
              <w:t xml:space="preserve"> </w:t>
            </w:r>
            <w:r>
              <w:rPr>
                <w:rFonts w:hint="eastAsia" w:ascii="Times New Roman" w:hAnsi="Times New Roman" w:eastAsia="宋体" w:cs="Times New Roman"/>
                <w:b/>
                <w:color w:val="auto"/>
                <w:kern w:val="0"/>
                <w:sz w:val="21"/>
                <w:szCs w:val="21"/>
                <w:lang w:val="en-US" w:eastAsia="zh-CN" w:bidi="ar-SA"/>
              </w:rPr>
              <w:t>图形颜色：黑色</w:t>
            </w:r>
          </w:p>
        </w:tc>
        <w:tc>
          <w:tcPr>
            <w:tcW w:w="149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名称</w:t>
            </w:r>
          </w:p>
        </w:tc>
        <w:tc>
          <w:tcPr>
            <w:tcW w:w="248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功能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51"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drawing>
                <wp:inline distT="0" distB="0" distL="114300" distR="114300">
                  <wp:extent cx="952500" cy="933450"/>
                  <wp:effectExtent l="0" t="0" r="0"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65"/>
                          <a:stretch>
                            <a:fillRect/>
                          </a:stretch>
                        </pic:blipFill>
                        <pic:spPr>
                          <a:xfrm>
                            <a:off x="0" y="0"/>
                            <a:ext cx="952500" cy="933450"/>
                          </a:xfrm>
                          <a:prstGeom prst="rect">
                            <a:avLst/>
                          </a:prstGeom>
                          <a:noFill/>
                          <a:ln>
                            <a:noFill/>
                          </a:ln>
                        </pic:spPr>
                      </pic:pic>
                    </a:graphicData>
                  </a:graphic>
                </wp:inline>
              </w:drawing>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drawing>
                <wp:inline distT="0" distB="0" distL="114300" distR="114300">
                  <wp:extent cx="1057275" cy="929005"/>
                  <wp:effectExtent l="0" t="0" r="9525" b="444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66"/>
                          <a:stretch>
                            <a:fillRect/>
                          </a:stretch>
                        </pic:blipFill>
                        <pic:spPr>
                          <a:xfrm>
                            <a:off x="0" y="0"/>
                            <a:ext cx="1057275" cy="929005"/>
                          </a:xfrm>
                          <a:prstGeom prst="rect">
                            <a:avLst/>
                          </a:prstGeom>
                          <a:noFill/>
                          <a:ln>
                            <a:noFill/>
                          </a:ln>
                        </pic:spPr>
                      </pic:pic>
                    </a:graphicData>
                  </a:graphic>
                </wp:inline>
              </w:drawing>
            </w:r>
          </w:p>
        </w:tc>
        <w:tc>
          <w:tcPr>
            <w:tcW w:w="149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一般固体</w:t>
            </w:r>
            <w:r>
              <w:rPr>
                <w:rFonts w:hint="default" w:ascii="Times New Roman" w:hAnsi="Times New Roman" w:eastAsia="宋体" w:cs="Times New Roman"/>
                <w:color w:val="auto"/>
                <w:kern w:val="0"/>
                <w:sz w:val="21"/>
                <w:szCs w:val="21"/>
                <w:lang w:val="en-US" w:eastAsia="zh-CN" w:bidi="ar-SA"/>
              </w:rPr>
              <w:t xml:space="preserve"> </w:t>
            </w:r>
            <w:r>
              <w:rPr>
                <w:rFonts w:hint="eastAsia" w:ascii="Times New Roman" w:hAnsi="Times New Roman" w:eastAsia="宋体" w:cs="Times New Roman"/>
                <w:color w:val="auto"/>
                <w:kern w:val="0"/>
                <w:sz w:val="21"/>
                <w:szCs w:val="21"/>
                <w:lang w:val="en-US" w:eastAsia="zh-CN" w:bidi="ar-SA"/>
              </w:rPr>
              <w:t>废物储存</w:t>
            </w:r>
          </w:p>
        </w:tc>
        <w:tc>
          <w:tcPr>
            <w:tcW w:w="248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表示固废储存处置场所</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51"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drawing>
                <wp:inline distT="0" distB="0" distL="114300" distR="114300">
                  <wp:extent cx="1117600" cy="1029335"/>
                  <wp:effectExtent l="0" t="0" r="6350" b="1841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67"/>
                          <a:stretch>
                            <a:fillRect/>
                          </a:stretch>
                        </pic:blipFill>
                        <pic:spPr>
                          <a:xfrm>
                            <a:off x="0" y="0"/>
                            <a:ext cx="1117600" cy="1029335"/>
                          </a:xfrm>
                          <a:prstGeom prst="rect">
                            <a:avLst/>
                          </a:prstGeom>
                          <a:noFill/>
                          <a:ln>
                            <a:noFill/>
                          </a:ln>
                        </pic:spPr>
                      </pic:pic>
                    </a:graphicData>
                  </a:graphic>
                </wp:inline>
              </w:drawing>
            </w:r>
          </w:p>
        </w:tc>
        <w:tc>
          <w:tcPr>
            <w:tcW w:w="149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危险废物</w:t>
            </w:r>
          </w:p>
        </w:tc>
        <w:tc>
          <w:tcPr>
            <w:tcW w:w="248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标示危险废物贮存、处置场</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51"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drawing>
                <wp:inline distT="0" distB="0" distL="114300" distR="114300">
                  <wp:extent cx="952500" cy="952500"/>
                  <wp:effectExtent l="0" t="0" r="0" b="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68"/>
                          <a:stretch>
                            <a:fillRect/>
                          </a:stretch>
                        </pic:blipFill>
                        <pic:spPr>
                          <a:xfrm>
                            <a:off x="0" y="0"/>
                            <a:ext cx="952500" cy="952500"/>
                          </a:xfrm>
                          <a:prstGeom prst="rect">
                            <a:avLst/>
                          </a:prstGeom>
                          <a:noFill/>
                          <a:ln>
                            <a:noFill/>
                          </a:ln>
                        </pic:spPr>
                      </pic:pic>
                    </a:graphicData>
                  </a:graphic>
                </wp:inline>
              </w:drawing>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drawing>
                <wp:inline distT="0" distB="0" distL="114300" distR="114300">
                  <wp:extent cx="1038225" cy="954405"/>
                  <wp:effectExtent l="0" t="0" r="9525" b="1714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69"/>
                          <a:stretch>
                            <a:fillRect/>
                          </a:stretch>
                        </pic:blipFill>
                        <pic:spPr>
                          <a:xfrm>
                            <a:off x="0" y="0"/>
                            <a:ext cx="1038225" cy="954405"/>
                          </a:xfrm>
                          <a:prstGeom prst="rect">
                            <a:avLst/>
                          </a:prstGeom>
                          <a:noFill/>
                          <a:ln>
                            <a:noFill/>
                          </a:ln>
                        </pic:spPr>
                      </pic:pic>
                    </a:graphicData>
                  </a:graphic>
                </wp:inline>
              </w:drawing>
            </w:r>
          </w:p>
        </w:tc>
        <w:tc>
          <w:tcPr>
            <w:tcW w:w="149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噪声源</w:t>
            </w:r>
          </w:p>
        </w:tc>
        <w:tc>
          <w:tcPr>
            <w:tcW w:w="248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表示噪声向外环境</w:t>
            </w:r>
            <w:r>
              <w:rPr>
                <w:rFonts w:hint="default" w:ascii="Times New Roman" w:hAnsi="Times New Roman" w:eastAsia="宋体" w:cs="Times New Roman"/>
                <w:color w:val="auto"/>
                <w:kern w:val="0"/>
                <w:sz w:val="21"/>
                <w:szCs w:val="21"/>
                <w:lang w:val="en-US" w:eastAsia="zh-CN" w:bidi="ar-SA"/>
              </w:rPr>
              <w:t xml:space="preserve"> </w:t>
            </w:r>
            <w:r>
              <w:rPr>
                <w:rFonts w:hint="eastAsia" w:ascii="Times New Roman" w:hAnsi="Times New Roman" w:eastAsia="宋体" w:cs="Times New Roman"/>
                <w:color w:val="auto"/>
                <w:kern w:val="0"/>
                <w:sz w:val="21"/>
                <w:szCs w:val="21"/>
                <w:lang w:val="en-US" w:eastAsia="zh-CN" w:bidi="ar-SA"/>
              </w:rPr>
              <w:t>排放</w:t>
            </w:r>
          </w:p>
        </w:tc>
      </w:tr>
    </w:tbl>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①污染物排放口的环保图形标志牌应设置</w:t>
      </w:r>
      <w:r>
        <w:rPr>
          <w:rFonts w:ascii="Times New Roman" w:hAnsi="Times New Roman" w:eastAsia="宋体" w:cs="Times New Roman"/>
          <w:color w:val="auto"/>
          <w:sz w:val="24"/>
          <w:szCs w:val="24"/>
        </w:rPr>
        <w:t>在排污口（采样点）附近且醒目处，高度为标志牌上缘离地面</w:t>
      </w:r>
      <w:r>
        <w:rPr>
          <w:rFonts w:hint="eastAsia" w:ascii="Times New Roman" w:hAnsi="Times New Roman" w:eastAsia="宋体" w:cs="Times New Roman"/>
          <w:color w:val="auto"/>
          <w:sz w:val="24"/>
          <w:szCs w:val="24"/>
        </w:rPr>
        <w:t>约2m。</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w:t>
      </w:r>
      <w:r>
        <w:rPr>
          <w:rFonts w:ascii="Times New Roman" w:hAnsi="Times New Roman" w:eastAsia="宋体" w:cs="Times New Roman"/>
          <w:color w:val="auto"/>
          <w:sz w:val="24"/>
          <w:szCs w:val="24"/>
        </w:rPr>
        <w:t>排污口附近1m范围内有建筑物的，设平面式标志牌，无建筑物的设立式标志牌。</w:t>
      </w:r>
      <w:r>
        <w:rPr>
          <w:rFonts w:hint="eastAsia" w:ascii="Times New Roman" w:hAnsi="Times New Roman" w:eastAsia="宋体" w:cs="Times New Roman"/>
          <w:color w:val="auto"/>
          <w:sz w:val="24"/>
          <w:szCs w:val="24"/>
        </w:rPr>
        <w:t>一般排污单位的污染物排放口，可根据情况设置立式或平面固定式标志牌。</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w:t>
      </w:r>
      <w:r>
        <w:rPr>
          <w:rFonts w:ascii="Times New Roman" w:hAnsi="Times New Roman" w:eastAsia="宋体" w:cs="Times New Roman"/>
          <w:color w:val="auto"/>
          <w:sz w:val="24"/>
          <w:szCs w:val="24"/>
        </w:rPr>
        <w:t>规范化排污口的有关设置（如图形标志牌、计量装置、监控装置等）属于环保设施，排污单位必须负责日常的维护保养，任何单位和个人不得擅自拆除，如需要变更的需报环境监</w:t>
      </w:r>
      <w:r>
        <w:rPr>
          <w:rFonts w:hint="eastAsia" w:ascii="Times New Roman" w:hAnsi="Times New Roman" w:eastAsia="宋体" w:cs="Times New Roman"/>
          <w:color w:val="auto"/>
          <w:sz w:val="24"/>
          <w:szCs w:val="24"/>
        </w:rPr>
        <w:t>管</w:t>
      </w:r>
      <w:r>
        <w:rPr>
          <w:rFonts w:ascii="Times New Roman" w:hAnsi="Times New Roman" w:eastAsia="宋体" w:cs="Times New Roman"/>
          <w:color w:val="auto"/>
          <w:sz w:val="24"/>
          <w:szCs w:val="24"/>
        </w:rPr>
        <w:t>部门同意并办理相关变更手续。</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（5）排污口管理</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①管理原则</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排污口是企业污染物进入环境，污染环境的通道，强化排污口的管理是实施污染物总量控制的基础工作之一，也是区域环境管理逐步实现污染物排放科学化、定量化的重要手段。</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具体管理原则如下：</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a、向环境排放的污染物的排放口必须规范化。</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b、列入总量控制的污染物排放源列为管理的重点。</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c、如实向环保管理部门申报排污口数量、位置及所排放的主要污染物种类、数量、浓度、排放去向等情况。</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d、废气排气装置应设置便于采样、监测的采样孔和采样平台，设置应符合《污染源监测技术规范》。</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e、工程固废堆存时，应设置专用堆放场地，并有防扬散、防流失、对有毒有害固废采取防渗漏措施。</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②排放源建档</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a、本项目应使用国家环保局统一印制的《中华人民共和国规范化排污口标志登记证》，并按要求填写有关内容。</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b、根据排污口管理内容要求，项目建成投产后，应将主要污染物种类、数量、浓度、排放去向，立标情况及设施运行情况记录于档案。</w:t>
      </w:r>
    </w:p>
    <w:p>
      <w:pPr>
        <w:pStyle w:val="7"/>
        <w:spacing w:before="0" w:after="0" w:line="360" w:lineRule="auto"/>
        <w:ind w:left="0" w:firstLine="0"/>
        <w:rPr>
          <w:rFonts w:hint="eastAsia" w:cs="Times New Roman"/>
          <w:color w:val="auto"/>
          <w:lang w:val="en-US" w:eastAsia="zh-CN"/>
        </w:rPr>
      </w:pPr>
      <w:bookmarkStart w:id="361" w:name="_Toc12469"/>
      <w:r>
        <w:rPr>
          <w:rFonts w:hint="eastAsia" w:cs="Times New Roman"/>
          <w:color w:val="auto"/>
          <w:lang w:val="en-US" w:eastAsia="zh-CN"/>
        </w:rPr>
        <w:t>企业信息公开</w:t>
      </w:r>
      <w:bookmarkEnd w:id="361"/>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根据《企业事业单位环境信息公开办法》（环保部令第 31号）的规定，企业事业单位应当按照强制公开和自愿公开相结合的原则，及时、如实地公开其环境信息。如环境信息涉及国家秘密、商业秘密或者个人隐私的，依法可以不公开；法律、法规另有规定的，从其规定。企业事业单位应当建立健全本单位环境信息公开制度，指定机构负责本单位环境信息公开日常工作。公开的信息应包括：</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（1）单位名称、组织机构代码、法定代表人、生产地址、联系方式以及生产经营和管理服务的主要内容、产品及规模等基础信息；</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（2）主要污染物名称、排放方式、排放口数量和分布情况、排放浓度、总量、超标情况等排污信息。</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建设单位环境信息公开平台或者当地报刊等便于公众知晓的方式公开环境信息，同时可以采取以下一种或者几种方式予以公开：</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（1）公告或者公开发行的信息专刊；</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（2）广播、电视等新闻媒体；</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（3）信息公开服务、监督热线电话；</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（4）本单位的资料索取点、信息公开栏、信息亭、电子屏幕、电子触摸屏等场所或者设施。</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62" w:name="_Toc29221897"/>
      <w:bookmarkStart w:id="363" w:name="_Toc29225"/>
      <w:r>
        <w:rPr>
          <w:rFonts w:hint="eastAsia" w:ascii="Times New Roman" w:hAnsi="Times New Roman" w:eastAsia="宋体" w:cs="Times New Roman"/>
          <w:color w:val="auto"/>
          <w:lang w:val="en-US" w:eastAsia="zh-CN"/>
        </w:rPr>
        <w:t>总量控制</w:t>
      </w:r>
      <w:bookmarkEnd w:id="362"/>
      <w:bookmarkEnd w:id="363"/>
    </w:p>
    <w:p>
      <w:pPr>
        <w:pStyle w:val="7"/>
        <w:spacing w:before="0" w:after="0" w:line="360" w:lineRule="auto"/>
        <w:ind w:left="0" w:firstLine="0"/>
        <w:rPr>
          <w:rFonts w:hint="eastAsia" w:cs="Times New Roman"/>
          <w:color w:val="auto"/>
          <w:lang w:val="en-US" w:eastAsia="zh-CN"/>
        </w:rPr>
      </w:pPr>
      <w:bookmarkStart w:id="364" w:name="_Toc28080"/>
      <w:r>
        <w:rPr>
          <w:rFonts w:hint="eastAsia" w:cs="Times New Roman"/>
          <w:color w:val="auto"/>
          <w:lang w:val="en-US" w:eastAsia="zh-CN"/>
        </w:rPr>
        <w:t>总量控制原则</w:t>
      </w:r>
      <w:bookmarkEnd w:id="364"/>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总量控制是控制污染、实现区域可持续发展的重要措施，环境污染物总量控制的目的是根据环境质量标准，通过调控污染源分布状况和污染排放方式，把污染物负荷总量控制在自然环境的承载能力范围之内。</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实施污染物排放总量控制是保证实施环境保护目标的需要。我国环境污染已经十分严重，在不少地区污染物排放总量已明显超过环境承载能力。随着经济和人口的增长，污染物排放总量还会增加。为了实现环境保护目标，必须严格控制污染物排放总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实施污染物排放总量控制是落实两个根本性转变的需要。我国环境污染严重的症结在于经济增长和经营粗放。实施污染物排放总量控制，将促进资源节约、产生结构调整、技术进步和污染治理，推动经济增长方式的转变。</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实施污染物总量控制是推行可持续发展战略的需要。实施可持续发展战略已被列为我国未来15年内国民经济和社会发展的重要知道方针。运用环境保护法律和行政手段实施污染物排放总量控制，便于操作和考核，有利于推动可持续发展在我国的实施。</w:t>
      </w:r>
    </w:p>
    <w:p>
      <w:pPr>
        <w:pStyle w:val="7"/>
        <w:spacing w:before="0" w:after="0" w:line="360" w:lineRule="auto"/>
        <w:ind w:left="0" w:firstLine="0"/>
        <w:rPr>
          <w:rFonts w:hint="eastAsia" w:cs="Times New Roman"/>
          <w:color w:val="auto"/>
          <w:lang w:val="en-US" w:eastAsia="zh-CN"/>
        </w:rPr>
      </w:pPr>
      <w:bookmarkStart w:id="365" w:name="_Toc23972"/>
      <w:r>
        <w:rPr>
          <w:rFonts w:hint="eastAsia" w:cs="Times New Roman"/>
          <w:color w:val="auto"/>
          <w:lang w:val="en-US" w:eastAsia="zh-CN"/>
        </w:rPr>
        <w:t>总量控制因子</w:t>
      </w:r>
      <w:bookmarkEnd w:id="365"/>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根据工程分析和国家总量控制指标，本项目确定需要进行总量控制的主要污染物为COD、NH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-N。由于废水经污水处理设施处理后全部有效利用，不外排。因此，本项目COD、NH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-N排放量为0，不对COD、NH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-N进行总量调剂。</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66" w:name="_Toc29221898"/>
      <w:bookmarkStart w:id="367" w:name="_Toc16288"/>
      <w:r>
        <w:rPr>
          <w:rFonts w:hint="eastAsia" w:ascii="Times New Roman" w:hAnsi="Times New Roman" w:eastAsia="宋体" w:cs="Times New Roman"/>
          <w:color w:val="auto"/>
          <w:lang w:val="en-US" w:eastAsia="zh-CN"/>
        </w:rPr>
        <w:t>竣工环境保护验收</w:t>
      </w:r>
      <w:bookmarkEnd w:id="366"/>
      <w:bookmarkEnd w:id="367"/>
    </w:p>
    <w:p>
      <w:pPr>
        <w:spacing w:line="360" w:lineRule="auto"/>
        <w:ind w:firstLine="480" w:firstLineChars="200"/>
        <w:rPr>
          <w:rFonts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根据《建设项目竣工环境保护验收暂行办法》规定：建设项目竣工后，建设单位应当如实查验、监测、记载建设项目环境保护设施的建设和调试情况，编制验收监测（调查）报告。验收监测（调查）报告编制完成后，建设单位应当根据验收监测（调查）报告结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pPr>
        <w:pStyle w:val="7"/>
        <w:spacing w:before="0" w:after="0" w:line="360" w:lineRule="auto"/>
        <w:ind w:left="0" w:firstLine="0"/>
        <w:rPr>
          <w:rFonts w:hint="default" w:cs="Times New Roman"/>
          <w:color w:val="auto"/>
          <w:lang w:val="en-US" w:eastAsia="zh-CN"/>
        </w:rPr>
      </w:pPr>
      <w:bookmarkStart w:id="368" w:name="_Toc14289"/>
      <w:r>
        <w:rPr>
          <w:rFonts w:hint="default" w:cs="Times New Roman"/>
          <w:color w:val="auto"/>
          <w:lang w:val="en-US" w:eastAsia="zh-CN"/>
        </w:rPr>
        <w:t>竣工验收主要内容</w:t>
      </w:r>
      <w:bookmarkEnd w:id="368"/>
    </w:p>
    <w:p>
      <w:pPr>
        <w:spacing w:line="360" w:lineRule="auto"/>
        <w:ind w:firstLine="480" w:firstLineChars="200"/>
        <w:rPr>
          <w:rFonts w:hint="eastAsia" w:ascii="Times New Roman" w:hAnsi="Times New Roman" w:eastAsia="宋体" w:cs="Times New Roman"/>
          <w:snapToGrid w:val="0"/>
          <w:color w:val="auto"/>
          <w:sz w:val="24"/>
          <w:szCs w:val="24"/>
        </w:rPr>
      </w:pPr>
      <w:r>
        <w:rPr>
          <w:rFonts w:ascii="Times New Roman" w:hAnsi="Times New Roman" w:eastAsia="宋体" w:cs="Times New Roman"/>
          <w:snapToGrid w:val="0"/>
          <w:color w:val="auto"/>
          <w:sz w:val="24"/>
          <w:szCs w:val="24"/>
        </w:rPr>
        <w:t>工程建成后应及时组织竣工环境保护验收，对各项环保工程措施的落实情况、效果以及工程建设对环境的影响进行评估</w:t>
      </w:r>
      <w:r>
        <w:rPr>
          <w:rFonts w:hint="eastAsia" w:ascii="Times New Roman" w:hAnsi="Times New Roman" w:eastAsia="宋体" w:cs="Times New Roman"/>
          <w:snapToGrid w:val="0"/>
          <w:color w:val="auto"/>
          <w:sz w:val="24"/>
          <w:szCs w:val="24"/>
        </w:rPr>
        <w:t>。</w:t>
      </w:r>
      <w:r>
        <w:rPr>
          <w:rFonts w:ascii="Times New Roman" w:hAnsi="Times New Roman" w:eastAsia="宋体" w:cs="Times New Roman"/>
          <w:snapToGrid w:val="0"/>
          <w:color w:val="auto"/>
          <w:sz w:val="24"/>
          <w:szCs w:val="24"/>
        </w:rPr>
        <w:t>验收小组应由</w:t>
      </w:r>
      <w:r>
        <w:rPr>
          <w:rFonts w:hint="eastAsia" w:ascii="Times New Roman" w:hAnsi="Times New Roman" w:eastAsia="宋体" w:cs="Times New Roman"/>
          <w:snapToGrid w:val="0"/>
          <w:color w:val="auto"/>
          <w:sz w:val="24"/>
          <w:szCs w:val="24"/>
        </w:rPr>
        <w:t>设计单位、施工单位、环评单位、验收监测报告编制机构等单位代表以及专业技术专家等组成。</w:t>
      </w:r>
    </w:p>
    <w:p>
      <w:pPr>
        <w:spacing w:line="360" w:lineRule="auto"/>
        <w:ind w:firstLine="480" w:firstLineChars="200"/>
        <w:rPr>
          <w:rFonts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根据《建设项目环境保护管理条例》（2017.10.1）国务院第682号令、《建设项目竣工环境保护验收暂行办法》（2017.11.20）的有关规定，本项目的水污染防治措施、大气污染防治措施、噪声污染防治措施由建设单位自主验收。新《中华人民共和国固体废物污染环境防治法》修改完成前应依法由环境保护部门对建设项目固体废物污染防治设施进行验收。</w:t>
      </w:r>
    </w:p>
    <w:p>
      <w:pPr>
        <w:pStyle w:val="7"/>
        <w:spacing w:before="0" w:after="0" w:line="360" w:lineRule="auto"/>
        <w:ind w:left="0" w:firstLine="0"/>
        <w:rPr>
          <w:rFonts w:hint="eastAsia" w:cs="Times New Roman"/>
          <w:color w:val="auto"/>
          <w:lang w:val="en-US" w:eastAsia="zh-CN"/>
        </w:rPr>
      </w:pPr>
      <w:bookmarkStart w:id="369" w:name="_Toc6593"/>
      <w:r>
        <w:rPr>
          <w:rFonts w:hint="eastAsia" w:cs="Times New Roman"/>
          <w:color w:val="auto"/>
          <w:lang w:val="en-US" w:eastAsia="zh-CN"/>
        </w:rPr>
        <w:t>建设单位自主验收相关规定</w:t>
      </w:r>
      <w:bookmarkEnd w:id="369"/>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1）竣工环境保护验收实行由企业法人负责的自行验收管理。企业自行验收严格按照环境保护主管部门制定的规定程序执行，验收过程完整，验收程序合法。企业自行验收严格落实环境影响报告书（表）及其批复文件要求，验收材料齐全，验收内容全面，适用标准规范，内容不缺项，标准不降低。建设项目主体工程竣工后、正式投产或运行前，企业应自行组织开展建设项目竣工环境保护验收，并编制建设项目竣工环境保护验收调查（监测）报告。</w:t>
      </w:r>
    </w:p>
    <w:p>
      <w:pPr>
        <w:spacing w:line="360" w:lineRule="auto"/>
        <w:ind w:firstLine="480" w:firstLineChars="200"/>
        <w:rPr>
          <w:rFonts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（2）建设项目竣工环境保护企业自行验收范围：</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①环境影响报告书及其批复文件规定的与建设项目有关的各项环境保护设施，包括为防治污染和保护环境所建成或配备的工程、设备、装置和监测手段，各项生态保护设施。</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②环境影响报告书及其批复文件和有关项目设计文件规定应采取的其他各项环境保护措施。</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③与建设项目有关的各项环境保护设施、环境保护措施运行效果。</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（3）建设项目竣工环境保护企业自行验收依据：</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①《建设项目环境保护管理条例》等相关法律规定。</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②环境影响报告书及其批复文件。</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③工程《初步设计》环保篇。</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④建设项目竣工环境保护技术规范等相关标准。</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⑤环境保护主管部门印发的其他相关文件要求。</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（4）建设项目竣工环境保护企业自行验收工作程序：</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①在建设项目竣工后、正式投入生产或运行前，企业按照环境影响报告书及其批复文件要求，对与主体工程配套建设的环境保护设施落实情况进行查验。</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②按照环境保护主管部门制定的竣工环境保护验收技术规范，企业自行编制或委托具备相应技术能力的机构，对建设项目环境保护设施落实情况进行调查，开展相关环境监测，编制竣工环境保护验收监测报告。企业、验收监测机构及其相关人员对验收监测报告结论终身负责。</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③验收监测报告编制完成后，由企业法人组织对建设项目环境保护设施和环境保护措施进行验收，形成书面报告备查，并向社会公开。</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④企业自行组织竣工环境保护验收时，应成立验收组，对建设项目环境保护设施及其他环境保护措施进行资料审查、现场踏勘，形成验收意见，验收组成员名单附后。验收组应由建设单位、设计单位、施工单位、环境监理单位、环境监测单位、环境影响报告书编制单位、变更环境影响报告书编制单位、验收监测报告编制单位代表，以及专业技术专家组成。</w:t>
      </w:r>
    </w:p>
    <w:p>
      <w:pPr>
        <w:spacing w:line="360" w:lineRule="auto"/>
        <w:ind w:firstLine="480" w:firstLineChars="200"/>
        <w:rPr>
          <w:rFonts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⑤企业应对验收意见中提出的环保问题进行整改。环境保护设施未经验收或者验收不合格的，建设项目主体工程不得投入生产或者使用。</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⑥企业应自验收通过之日起30个工作日内，制作竣工环境保护验收意见书，并将验收意见书、验收监测报告和“三同时”验收登记表上传至建设项目竣工环境保护企业自行验收信息平台，并如实向社会公开。</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（5）企业应通过网站以及报纸、媒体平台，向社会及时建设项目环境保护设施和环境保护措施落实情况、竣工环境保护验收情况，并接受社会监督。</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①在施工建设期间应主动公开下列信息：主要环境保护设施实施情况；施工期环境保护措施落实情况；施工期环境监测情况及监测结果。</w:t>
      </w:r>
    </w:p>
    <w:p>
      <w:pPr>
        <w:spacing w:line="360" w:lineRule="auto"/>
        <w:ind w:firstLine="480" w:firstLineChars="200"/>
        <w:rPr>
          <w:rFonts w:hint="eastAsia" w:ascii="Times New Roman" w:hAnsi="Times New Roman" w:eastAsia="宋体" w:cs="Times New Roman"/>
          <w:snapToGrid w:val="0"/>
          <w:color w:val="auto"/>
          <w:sz w:val="24"/>
          <w:szCs w:val="24"/>
        </w:rPr>
      </w:pPr>
      <w:r>
        <w:rPr>
          <w:rFonts w:hint="eastAsia" w:ascii="Times New Roman" w:hAnsi="Times New Roman" w:eastAsia="宋体" w:cs="Times New Roman"/>
          <w:snapToGrid w:val="0"/>
          <w:color w:val="auto"/>
          <w:sz w:val="24"/>
          <w:szCs w:val="24"/>
        </w:rPr>
        <w:t>②在投入生产或者使用前应主动公开下列信息：各项环境保护设施落实情况；环境保护措施落实情况；环境监测和监理报告；突发环境事件应急预案及备案情况；竣工环境保护验收监测报告；竣工环境保护企业自行验收意见。</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snapToGrid w:val="0"/>
          <w:color w:val="auto"/>
          <w:sz w:val="24"/>
          <w:szCs w:val="24"/>
        </w:rPr>
        <w:t>③在运行期间应定期公开下列信息：各项环境保护设施运行情况；主要污染物排放情况；突发环境事件应急演练和应急预案完善情况；环境影响后评价开展情况。</w:t>
      </w:r>
    </w:p>
    <w:p>
      <w:pPr>
        <w:pStyle w:val="7"/>
        <w:spacing w:before="0" w:after="0" w:line="360" w:lineRule="auto"/>
        <w:ind w:left="0" w:firstLine="0"/>
        <w:rPr>
          <w:rFonts w:hint="eastAsia" w:cs="Times New Roman"/>
          <w:color w:val="auto"/>
          <w:lang w:val="en-US" w:eastAsia="zh-CN"/>
        </w:rPr>
      </w:pPr>
      <w:bookmarkStart w:id="370" w:name="_Toc436035726"/>
      <w:bookmarkStart w:id="371" w:name="_Toc26009"/>
      <w:r>
        <w:rPr>
          <w:rFonts w:hint="eastAsia" w:cs="Times New Roman"/>
          <w:color w:val="auto"/>
          <w:lang w:val="en-US" w:eastAsia="zh-CN"/>
        </w:rPr>
        <w:t>竣工</w:t>
      </w:r>
      <w:bookmarkEnd w:id="370"/>
      <w:r>
        <w:rPr>
          <w:rFonts w:hint="eastAsia" w:cs="Times New Roman"/>
          <w:color w:val="auto"/>
          <w:lang w:val="en-US" w:eastAsia="zh-CN"/>
        </w:rPr>
        <w:t>验收一览表</w:t>
      </w:r>
      <w:bookmarkEnd w:id="371"/>
    </w:p>
    <w:p>
      <w:pPr>
        <w:pStyle w:val="110"/>
        <w:rPr>
          <w:rFonts w:ascii="Times New Roman" w:hAnsi="Times New Roman" w:eastAsia="宋体" w:cs="Times New Roman"/>
          <w:color w:val="auto"/>
          <w:sz w:val="24"/>
          <w:szCs w:val="24"/>
        </w:rPr>
        <w:sectPr>
          <w:headerReference r:id="rId9" w:type="default"/>
          <w:footerReference r:id="rId10" w:type="default"/>
          <w:pgSz w:w="11906" w:h="16838"/>
          <w:pgMar w:top="1440" w:right="1800" w:bottom="1440" w:left="1800" w:header="992"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color w:val="auto"/>
          <w:sz w:val="24"/>
          <w:szCs w:val="24"/>
        </w:rPr>
        <w:t>本</w:t>
      </w:r>
      <w:r>
        <w:rPr>
          <w:rFonts w:ascii="Times New Roman" w:hAnsi="Times New Roman" w:eastAsia="宋体" w:cs="Times New Roman"/>
          <w:color w:val="auto"/>
          <w:sz w:val="24"/>
          <w:szCs w:val="24"/>
        </w:rPr>
        <w:t>项目竣工环境保护验收一览表见表</w:t>
      </w:r>
      <w:r>
        <w:rPr>
          <w:rFonts w:hint="eastAsia" w:ascii="Times New Roman" w:hAnsi="Times New Roman" w:eastAsia="宋体" w:cs="Times New Roman"/>
          <w:color w:val="auto"/>
          <w:sz w:val="24"/>
          <w:szCs w:val="24"/>
        </w:rPr>
        <w:t>9</w:t>
      </w:r>
      <w:r>
        <w:rPr>
          <w:rFonts w:ascii="Times New Roman" w:hAnsi="Times New Roman" w:eastAsia="宋体" w:cs="Times New Roman"/>
          <w:color w:val="auto"/>
          <w:sz w:val="24"/>
          <w:szCs w:val="24"/>
        </w:rPr>
        <w:t>.5-1。</w:t>
      </w:r>
    </w:p>
    <w:p>
      <w:pPr>
        <w:pStyle w:val="2503"/>
        <w:numPr>
          <w:ilvl w:val="0"/>
          <w:numId w:val="45"/>
        </w:numPr>
        <w:spacing w:before="120"/>
        <w:ind w:left="425" w:leftChars="0" w:hanging="425" w:firstLineChars="0"/>
        <w:rPr>
          <w:color w:val="auto"/>
        </w:rPr>
      </w:pPr>
      <w:r>
        <w:rPr>
          <w:rFonts w:hint="eastAsia"/>
          <w:color w:val="auto"/>
          <w:lang w:val="en-US" w:eastAsia="zh-CN"/>
        </w:rPr>
        <w:t xml:space="preserve">   </w:t>
      </w:r>
      <w:r>
        <w:rPr>
          <w:rFonts w:hint="eastAsia"/>
          <w:color w:val="auto"/>
        </w:rPr>
        <w:t>建设项目竣工环境保护验收一览表</w:t>
      </w:r>
    </w:p>
    <w:tbl>
      <w:tblPr>
        <w:tblStyle w:val="88"/>
        <w:tblW w:w="1400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71"/>
        <w:gridCol w:w="1140"/>
        <w:gridCol w:w="983"/>
        <w:gridCol w:w="3523"/>
        <w:gridCol w:w="2100"/>
        <w:gridCol w:w="2820"/>
        <w:gridCol w:w="2857"/>
        <w:gridCol w:w="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571"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b/>
                <w:color w:val="auto"/>
                <w:sz w:val="21"/>
                <w:szCs w:val="21"/>
              </w:rPr>
            </w:pPr>
            <w:r>
              <w:rPr>
                <w:rFonts w:hint="eastAsia"/>
                <w:b/>
                <w:color w:val="auto"/>
                <w:sz w:val="21"/>
                <w:szCs w:val="21"/>
              </w:rPr>
              <w:t>环境</w:t>
            </w:r>
            <w:r>
              <w:rPr>
                <w:rFonts w:hint="default"/>
                <w:b/>
                <w:color w:val="auto"/>
                <w:sz w:val="21"/>
                <w:szCs w:val="21"/>
              </w:rPr>
              <w:t xml:space="preserve"> </w:t>
            </w:r>
            <w:r>
              <w:rPr>
                <w:rFonts w:hint="eastAsia"/>
                <w:b/>
                <w:color w:val="auto"/>
                <w:sz w:val="21"/>
                <w:szCs w:val="21"/>
              </w:rPr>
              <w:t>因子</w:t>
            </w: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污染源</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污染物名称</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防治措施</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排放情况</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验收内容</w:t>
            </w:r>
          </w:p>
        </w:tc>
        <w:tc>
          <w:tcPr>
            <w:tcW w:w="2865" w:type="dxa"/>
            <w:gridSpan w:val="2"/>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验收标准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36" w:hRule="atLeast"/>
        </w:trPr>
        <w:tc>
          <w:tcPr>
            <w:tcW w:w="571"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大</w:t>
            </w:r>
          </w:p>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气</w:t>
            </w:r>
          </w:p>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环</w:t>
            </w:r>
          </w:p>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境</w:t>
            </w: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食堂</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油烟</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安装处理效率为75%的油烟净化器</w:t>
            </w:r>
          </w:p>
        </w:tc>
        <w:tc>
          <w:tcPr>
            <w:tcW w:w="2100" w:type="dxa"/>
            <w:tcBorders>
              <w:tl2br w:val="nil"/>
              <w:tr2bl w:val="nil"/>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0.0045kg/h</w:t>
            </w:r>
          </w:p>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rPr>
              <w:t>0.9mg/m</w:t>
            </w:r>
            <w:r>
              <w:rPr>
                <w:rFonts w:hint="default" w:ascii="Times New Roman" w:hAnsi="Times New Roman" w:eastAsia="宋体" w:cs="Times New Roman"/>
                <w:b w:val="0"/>
                <w:bCs/>
                <w:color w:val="auto"/>
                <w:kern w:val="2"/>
                <w:sz w:val="21"/>
                <w:szCs w:val="21"/>
                <w:vertAlign w:val="superscript"/>
              </w:rPr>
              <w:t>3</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油烟净化器</w:t>
            </w:r>
          </w:p>
        </w:tc>
        <w:tc>
          <w:tcPr>
            <w:tcW w:w="2865" w:type="dxa"/>
            <w:gridSpan w:val="2"/>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油烟执行《饮食业油烟排放标准（试行）》（GB18483-2001）中相关标准，最高允许排放浓度2.0mg/m</w:t>
            </w:r>
            <w:r>
              <w:rPr>
                <w:rFonts w:hint="default" w:ascii="Times New Roman" w:hAnsi="Times New Roman" w:eastAsia="宋体" w:cs="Times New Roman"/>
                <w:b w:val="0"/>
                <w:bCs/>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猪舍</w:t>
            </w:r>
          </w:p>
        </w:tc>
        <w:tc>
          <w:tcPr>
            <w:tcW w:w="983"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NH</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rPr>
              <w:t>、H</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S、臭气浓度</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猪粪日产日清、加强通风、饲料中添加EM菌、喷洒除臭剂</w:t>
            </w:r>
          </w:p>
        </w:tc>
        <w:tc>
          <w:tcPr>
            <w:tcW w:w="2100" w:type="dxa"/>
            <w:tcBorders>
              <w:tl2br w:val="nil"/>
              <w:tr2bl w:val="nil"/>
            </w:tcBorders>
            <w:noWrap w:val="0"/>
            <w:vAlign w:val="center"/>
          </w:tcPr>
          <w:p>
            <w:pPr>
              <w:pStyle w:val="163"/>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NH</w:t>
            </w:r>
            <w:r>
              <w:rPr>
                <w:rFonts w:hint="default" w:ascii="Times New Roman" w:hAnsi="Times New Roman" w:eastAsia="宋体" w:cs="Times New Roman"/>
                <w:b w:val="0"/>
                <w:bCs/>
                <w:color w:val="auto"/>
                <w:kern w:val="2"/>
                <w:sz w:val="21"/>
                <w:szCs w:val="21"/>
                <w:vertAlign w:val="subscript"/>
              </w:rPr>
              <w:t>3</w:t>
            </w:r>
            <w:r>
              <w:rPr>
                <w:rFonts w:hint="default" w:ascii="Times New Roman" w:hAnsi="Times New Roman" w:eastAsia="宋体" w:cs="Times New Roman"/>
                <w:b w:val="0"/>
                <w:bCs/>
                <w:color w:val="auto"/>
                <w:kern w:val="2"/>
                <w:sz w:val="21"/>
                <w:szCs w:val="21"/>
              </w:rPr>
              <w:t>：</w:t>
            </w:r>
            <w:r>
              <w:rPr>
                <w:rFonts w:hint="default" w:ascii="Times New Roman" w:hAnsi="Times New Roman" w:eastAsia="宋体" w:cs="Times New Roman"/>
                <w:b w:val="0"/>
                <w:bCs/>
                <w:color w:val="auto"/>
                <w:kern w:val="2"/>
                <w:sz w:val="21"/>
                <w:szCs w:val="21"/>
                <w:lang w:val="en-US" w:eastAsia="zh-CN"/>
              </w:rPr>
              <w:t>0.03</w:t>
            </w:r>
            <w:r>
              <w:rPr>
                <w:rFonts w:hint="default" w:ascii="Times New Roman" w:hAnsi="Times New Roman" w:eastAsia="宋体" w:cs="Times New Roman"/>
                <w:b w:val="0"/>
                <w:bCs/>
                <w:color w:val="auto"/>
                <w:kern w:val="2"/>
                <w:sz w:val="21"/>
                <w:szCs w:val="21"/>
              </w:rPr>
              <w:t>kg/h</w:t>
            </w:r>
          </w:p>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rPr>
              <w:t>H</w:t>
            </w:r>
            <w:r>
              <w:rPr>
                <w:rFonts w:hint="default" w:ascii="Times New Roman" w:hAnsi="Times New Roman" w:eastAsia="宋体" w:cs="Times New Roman"/>
                <w:b w:val="0"/>
                <w:bCs/>
                <w:color w:val="auto"/>
                <w:kern w:val="2"/>
                <w:sz w:val="21"/>
                <w:szCs w:val="21"/>
                <w:vertAlign w:val="subscript"/>
              </w:rPr>
              <w:t>2</w:t>
            </w:r>
            <w:r>
              <w:rPr>
                <w:rFonts w:hint="default" w:ascii="Times New Roman" w:hAnsi="Times New Roman" w:eastAsia="宋体" w:cs="Times New Roman"/>
                <w:b w:val="0"/>
                <w:bCs/>
                <w:color w:val="auto"/>
                <w:kern w:val="2"/>
                <w:sz w:val="21"/>
                <w:szCs w:val="21"/>
              </w:rPr>
              <w:t>S</w:t>
            </w:r>
            <w:r>
              <w:rPr>
                <w:rFonts w:hint="default" w:ascii="Times New Roman" w:hAnsi="Times New Roman" w:eastAsia="宋体" w:cs="Times New Roman"/>
                <w:b w:val="0"/>
                <w:bCs/>
                <w:color w:val="auto"/>
                <w:kern w:val="2"/>
                <w:sz w:val="21"/>
                <w:szCs w:val="21"/>
                <w:lang w:val="en-US" w:eastAsia="zh-CN"/>
              </w:rPr>
              <w:t>0.0007</w:t>
            </w:r>
            <w:r>
              <w:rPr>
                <w:rFonts w:hint="default" w:ascii="Times New Roman" w:hAnsi="Times New Roman" w:eastAsia="宋体" w:cs="Times New Roman"/>
                <w:b w:val="0"/>
                <w:bCs/>
                <w:color w:val="auto"/>
                <w:kern w:val="2"/>
                <w:sz w:val="21"/>
                <w:szCs w:val="21"/>
              </w:rPr>
              <w:t>kg/h</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漏缝地板、除臭剂、添加EM菌饲料、猪舍风机</w:t>
            </w:r>
          </w:p>
        </w:tc>
        <w:tc>
          <w:tcPr>
            <w:tcW w:w="2865" w:type="dxa"/>
            <w:gridSpan w:val="2"/>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NH</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rPr>
              <w:t>、H</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S执行《恶臭污染物排放标准》（GB14554-93）表1恶臭污染物厂界标准值的规定；臭气浓度执行《畜禽养殖 业污染物排放标准》（GB18596-2001）中表7集约化畜禽养殖业恶臭污染物排放标准的规定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污水处理 站</w:t>
            </w:r>
          </w:p>
        </w:tc>
        <w:tc>
          <w:tcPr>
            <w:tcW w:w="983"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3523"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rPr>
              <w:t>“碱液喷淋+生物过滤法”处理后经15m高排气筒排放</w:t>
            </w:r>
            <w:r>
              <w:rPr>
                <w:rFonts w:hint="default" w:ascii="Times New Roman" w:hAnsi="Times New Roman" w:eastAsia="宋体" w:cs="Times New Roman"/>
                <w:b w:val="0"/>
                <w:bCs/>
                <w:color w:val="auto"/>
                <w:kern w:val="2"/>
                <w:sz w:val="21"/>
                <w:szCs w:val="21"/>
                <w:lang w:eastAsia="zh-CN"/>
              </w:rPr>
              <w:t>、</w:t>
            </w:r>
            <w:r>
              <w:rPr>
                <w:rFonts w:hint="default" w:ascii="Times New Roman" w:hAnsi="Times New Roman" w:eastAsia="宋体" w:cs="Times New Roman"/>
                <w:b w:val="0"/>
                <w:bCs/>
                <w:color w:val="auto"/>
                <w:sz w:val="21"/>
                <w:szCs w:val="21"/>
              </w:rPr>
              <w:t>喷洒除臭剂</w:t>
            </w:r>
          </w:p>
        </w:tc>
        <w:tc>
          <w:tcPr>
            <w:tcW w:w="2100" w:type="dxa"/>
            <w:vMerge w:val="restart"/>
            <w:tcBorders>
              <w:tl2br w:val="nil"/>
              <w:tr2bl w:val="nil"/>
            </w:tcBorders>
            <w:noWrap w:val="0"/>
            <w:vAlign w:val="center"/>
          </w:tcPr>
          <w:p>
            <w:pPr>
              <w:pStyle w:val="163"/>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rPr>
              <w:t>NH</w:t>
            </w:r>
            <w:r>
              <w:rPr>
                <w:rFonts w:hint="default" w:ascii="Times New Roman" w:hAnsi="Times New Roman" w:eastAsia="宋体" w:cs="Times New Roman"/>
                <w:b w:val="0"/>
                <w:bCs/>
                <w:color w:val="auto"/>
                <w:kern w:val="2"/>
                <w:sz w:val="21"/>
                <w:szCs w:val="21"/>
                <w:vertAlign w:val="subscript"/>
              </w:rPr>
              <w:t>3</w:t>
            </w:r>
            <w:r>
              <w:rPr>
                <w:rFonts w:hint="default" w:ascii="Times New Roman" w:hAnsi="Times New Roman" w:eastAsia="宋体" w:cs="Times New Roman"/>
                <w:b w:val="0"/>
                <w:bCs/>
                <w:color w:val="auto"/>
                <w:kern w:val="2"/>
                <w:sz w:val="21"/>
                <w:szCs w:val="21"/>
              </w:rPr>
              <w:t>：</w:t>
            </w:r>
            <w:r>
              <w:rPr>
                <w:rFonts w:hint="eastAsia" w:ascii="Times New Roman" w:hAnsi="Times New Roman" w:cs="Times New Roman"/>
                <w:b w:val="0"/>
                <w:bCs/>
                <w:color w:val="auto"/>
                <w:kern w:val="2"/>
                <w:sz w:val="21"/>
                <w:szCs w:val="21"/>
                <w:lang w:val="en-US" w:eastAsia="zh-CN"/>
              </w:rPr>
              <w:t>0.0288</w:t>
            </w:r>
            <w:r>
              <w:rPr>
                <w:rFonts w:hint="default" w:ascii="Times New Roman" w:hAnsi="Times New Roman" w:eastAsia="宋体" w:cs="Times New Roman"/>
                <w:b w:val="0"/>
                <w:bCs/>
                <w:color w:val="auto"/>
                <w:kern w:val="2"/>
                <w:sz w:val="21"/>
                <w:szCs w:val="21"/>
              </w:rPr>
              <w:t>t/a</w:t>
            </w:r>
          </w:p>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rPr>
              <w:t>H</w:t>
            </w:r>
            <w:r>
              <w:rPr>
                <w:rFonts w:hint="default" w:ascii="Times New Roman" w:hAnsi="Times New Roman" w:eastAsia="宋体" w:cs="Times New Roman"/>
                <w:b w:val="0"/>
                <w:bCs/>
                <w:color w:val="auto"/>
                <w:kern w:val="2"/>
                <w:sz w:val="21"/>
                <w:szCs w:val="21"/>
                <w:vertAlign w:val="subscript"/>
              </w:rPr>
              <w:t>2</w:t>
            </w:r>
            <w:r>
              <w:rPr>
                <w:rFonts w:hint="default" w:ascii="Times New Roman" w:hAnsi="Times New Roman" w:eastAsia="宋体" w:cs="Times New Roman"/>
                <w:b w:val="0"/>
                <w:bCs/>
                <w:color w:val="auto"/>
                <w:kern w:val="2"/>
                <w:sz w:val="21"/>
                <w:szCs w:val="21"/>
              </w:rPr>
              <w:t>S：</w:t>
            </w:r>
            <w:r>
              <w:rPr>
                <w:rFonts w:hint="eastAsia" w:ascii="Times New Roman" w:hAnsi="Times New Roman" w:cs="Times New Roman"/>
                <w:b w:val="0"/>
                <w:bCs/>
                <w:color w:val="auto"/>
                <w:kern w:val="2"/>
                <w:sz w:val="21"/>
                <w:szCs w:val="21"/>
                <w:lang w:val="en-US" w:eastAsia="zh-CN"/>
              </w:rPr>
              <w:t>0.0016</w:t>
            </w:r>
            <w:r>
              <w:rPr>
                <w:rFonts w:hint="default" w:ascii="Times New Roman" w:hAnsi="Times New Roman" w:eastAsia="宋体" w:cs="Times New Roman"/>
                <w:b w:val="0"/>
                <w:bCs/>
                <w:color w:val="auto"/>
                <w:kern w:val="2"/>
                <w:sz w:val="21"/>
                <w:szCs w:val="21"/>
              </w:rPr>
              <w:t>t/a</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集污池、A/O池加盖，固液分离设施置于房间内，除臭剂</w:t>
            </w:r>
          </w:p>
        </w:tc>
        <w:tc>
          <w:tcPr>
            <w:tcW w:w="2865" w:type="dxa"/>
            <w:gridSpan w:val="2"/>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lang w:eastAsia="zh-CN"/>
              </w:rPr>
              <w:t>堆肥车间</w:t>
            </w:r>
          </w:p>
        </w:tc>
        <w:tc>
          <w:tcPr>
            <w:tcW w:w="983"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3523"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2100"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rPr>
              <w:t>“碱液喷淋+生物过滤法”处理后经15m高排气筒排放</w:t>
            </w:r>
            <w:r>
              <w:rPr>
                <w:rFonts w:hint="default" w:ascii="Times New Roman" w:hAnsi="Times New Roman" w:eastAsia="宋体" w:cs="Times New Roman"/>
                <w:b w:val="0"/>
                <w:bCs/>
                <w:color w:val="auto"/>
                <w:kern w:val="2"/>
                <w:sz w:val="21"/>
                <w:szCs w:val="21"/>
                <w:lang w:eastAsia="zh-CN"/>
              </w:rPr>
              <w:t>、</w:t>
            </w:r>
            <w:r>
              <w:rPr>
                <w:rFonts w:hint="default" w:ascii="Times New Roman" w:hAnsi="Times New Roman" w:eastAsia="宋体" w:cs="Times New Roman"/>
                <w:b w:val="0"/>
                <w:bCs/>
                <w:color w:val="auto"/>
                <w:sz w:val="21"/>
                <w:szCs w:val="21"/>
              </w:rPr>
              <w:t>喷洒除臭剂</w:t>
            </w:r>
          </w:p>
        </w:tc>
        <w:tc>
          <w:tcPr>
            <w:tcW w:w="2865" w:type="dxa"/>
            <w:gridSpan w:val="2"/>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86" w:hRule="atLeast"/>
        </w:trPr>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无害化处 理车间</w:t>
            </w:r>
          </w:p>
        </w:tc>
        <w:tc>
          <w:tcPr>
            <w:tcW w:w="983"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无害化降解处理机设备密闭运行，废气经自带净化装置处理后外排，</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少量</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配套废气处理设施</w:t>
            </w:r>
          </w:p>
        </w:tc>
        <w:tc>
          <w:tcPr>
            <w:tcW w:w="2865" w:type="dxa"/>
            <w:gridSpan w:val="2"/>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运输车辆</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恶臭、尾气</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加强车辆管理、每天清洗</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少量</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车辆冲洗设施/</w:t>
            </w:r>
          </w:p>
        </w:tc>
        <w:tc>
          <w:tcPr>
            <w:tcW w:w="2857"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550" w:hRule="atLeast"/>
        </w:trPr>
        <w:tc>
          <w:tcPr>
            <w:tcW w:w="571"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水环</w:t>
            </w:r>
            <w:r>
              <w:rPr>
                <w:rFonts w:hint="default"/>
                <w:color w:val="auto"/>
                <w:sz w:val="21"/>
                <w:szCs w:val="21"/>
              </w:rPr>
              <w:t xml:space="preserve"> </w:t>
            </w:r>
            <w:r>
              <w:rPr>
                <w:rFonts w:hint="eastAsia"/>
                <w:color w:val="auto"/>
                <w:sz w:val="21"/>
                <w:szCs w:val="21"/>
              </w:rPr>
              <w:t>境</w:t>
            </w: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猪舍</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猪尿、冲洗废水</w:t>
            </w:r>
          </w:p>
        </w:tc>
        <w:tc>
          <w:tcPr>
            <w:tcW w:w="3523"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食堂含油废水经隔油处理后汇入化粪池（生活污水预处理），与养殖废水一起进入污水处理站</w:t>
            </w:r>
          </w:p>
        </w:tc>
        <w:tc>
          <w:tcPr>
            <w:tcW w:w="2100"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不外排，用于</w:t>
            </w:r>
            <w:r>
              <w:rPr>
                <w:rFonts w:hint="eastAsia" w:ascii="Times New Roman" w:hAnsi="Times New Roman" w:cs="Times New Roman"/>
                <w:b w:val="0"/>
                <w:bCs/>
                <w:color w:val="auto"/>
                <w:sz w:val="21"/>
                <w:szCs w:val="21"/>
                <w:lang w:eastAsia="zh-CN"/>
              </w:rPr>
              <w:t>林地灌溉</w:t>
            </w:r>
            <w:r>
              <w:rPr>
                <w:rFonts w:hint="default" w:ascii="Times New Roman" w:hAnsi="Times New Roman" w:eastAsia="宋体" w:cs="Times New Roman"/>
                <w:b w:val="0"/>
                <w:bCs/>
                <w:color w:val="auto"/>
                <w:sz w:val="21"/>
                <w:szCs w:val="21"/>
              </w:rPr>
              <w:t>。</w:t>
            </w:r>
          </w:p>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COD</w:t>
            </w:r>
            <w:r>
              <w:rPr>
                <w:rFonts w:hint="default" w:ascii="Times New Roman" w:hAnsi="Times New Roman" w:eastAsia="宋体" w:cs="Times New Roman"/>
                <w:b w:val="0"/>
                <w:bCs/>
                <w:color w:val="auto"/>
                <w:sz w:val="21"/>
                <w:szCs w:val="21"/>
                <w:vertAlign w:val="subscript"/>
              </w:rPr>
              <w:t>Cr</w:t>
            </w:r>
            <w:r>
              <w:rPr>
                <w:rFonts w:hint="default" w:ascii="Times New Roman" w:hAnsi="Times New Roman" w:eastAsia="宋体" w:cs="Times New Roman"/>
                <w:b w:val="0"/>
                <w:bCs/>
                <w:color w:val="auto"/>
                <w:sz w:val="21"/>
                <w:szCs w:val="21"/>
              </w:rPr>
              <w:t>200mg/L，</w:t>
            </w:r>
            <w:r>
              <w:rPr>
                <w:rFonts w:hint="default" w:ascii="Times New Roman" w:hAnsi="Times New Roman" w:eastAsia="宋体" w:cs="Times New Roman"/>
                <w:b w:val="0"/>
                <w:bCs/>
                <w:color w:val="auto"/>
                <w:sz w:val="21"/>
                <w:szCs w:val="21"/>
                <w:lang w:val="en-US" w:eastAsia="zh-CN"/>
              </w:rPr>
              <w:t>17.06</w:t>
            </w:r>
            <w:r>
              <w:rPr>
                <w:rFonts w:hint="default" w:ascii="Times New Roman" w:hAnsi="Times New Roman" w:eastAsia="宋体" w:cs="Times New Roman"/>
                <w:b w:val="0"/>
                <w:bCs/>
                <w:color w:val="auto"/>
                <w:sz w:val="21"/>
                <w:szCs w:val="21"/>
              </w:rPr>
              <w:t>t/a；</w:t>
            </w:r>
          </w:p>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BOD</w:t>
            </w:r>
            <w:r>
              <w:rPr>
                <w:rFonts w:hint="default" w:ascii="Times New Roman" w:hAnsi="Times New Roman" w:eastAsia="宋体" w:cs="Times New Roman"/>
                <w:b w:val="0"/>
                <w:bCs/>
                <w:color w:val="auto"/>
                <w:sz w:val="21"/>
                <w:szCs w:val="21"/>
                <w:vertAlign w:val="subscript"/>
              </w:rPr>
              <w:t>5</w:t>
            </w:r>
            <w:r>
              <w:rPr>
                <w:rFonts w:hint="default" w:ascii="Times New Roman" w:hAnsi="Times New Roman" w:eastAsia="宋体" w:cs="Times New Roman"/>
                <w:b w:val="0"/>
                <w:bCs/>
                <w:color w:val="auto"/>
                <w:sz w:val="21"/>
                <w:szCs w:val="21"/>
              </w:rPr>
              <w:t>100mg/L，</w:t>
            </w:r>
            <w:r>
              <w:rPr>
                <w:rFonts w:hint="default" w:ascii="Times New Roman" w:hAnsi="Times New Roman" w:eastAsia="宋体" w:cs="Times New Roman"/>
                <w:b w:val="0"/>
                <w:bCs/>
                <w:color w:val="auto"/>
                <w:sz w:val="21"/>
                <w:szCs w:val="21"/>
                <w:lang w:val="en-US" w:eastAsia="zh-CN"/>
              </w:rPr>
              <w:t>8.53</w:t>
            </w:r>
            <w:r>
              <w:rPr>
                <w:rFonts w:hint="default" w:ascii="Times New Roman" w:hAnsi="Times New Roman" w:eastAsia="宋体" w:cs="Times New Roman"/>
                <w:b w:val="0"/>
                <w:bCs/>
                <w:color w:val="auto"/>
                <w:sz w:val="21"/>
                <w:szCs w:val="21"/>
              </w:rPr>
              <w:t>t/a；</w:t>
            </w:r>
          </w:p>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SS100mg/L，</w:t>
            </w:r>
            <w:r>
              <w:rPr>
                <w:rFonts w:hint="default" w:ascii="Times New Roman" w:hAnsi="Times New Roman" w:eastAsia="宋体" w:cs="Times New Roman"/>
                <w:b w:val="0"/>
                <w:bCs/>
                <w:color w:val="auto"/>
                <w:sz w:val="21"/>
                <w:szCs w:val="21"/>
                <w:lang w:val="en-US" w:eastAsia="zh-CN"/>
              </w:rPr>
              <w:t>8.53</w:t>
            </w:r>
            <w:r>
              <w:rPr>
                <w:rFonts w:hint="default" w:ascii="Times New Roman" w:hAnsi="Times New Roman" w:eastAsia="宋体" w:cs="Times New Roman"/>
                <w:b w:val="0"/>
                <w:bCs/>
                <w:color w:val="auto"/>
                <w:sz w:val="21"/>
                <w:szCs w:val="21"/>
              </w:rPr>
              <w:t>t/a；</w:t>
            </w:r>
          </w:p>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NH</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rPr>
              <w:t>-N80mg/L，</w:t>
            </w:r>
            <w:r>
              <w:rPr>
                <w:rFonts w:hint="default" w:ascii="Times New Roman" w:hAnsi="Times New Roman" w:eastAsia="宋体" w:cs="Times New Roman"/>
                <w:b w:val="0"/>
                <w:bCs/>
                <w:color w:val="auto"/>
                <w:sz w:val="21"/>
                <w:szCs w:val="21"/>
                <w:lang w:val="en-US" w:eastAsia="zh-CN"/>
              </w:rPr>
              <w:t>6.83</w:t>
            </w:r>
            <w:r>
              <w:rPr>
                <w:rFonts w:hint="default" w:ascii="Times New Roman" w:hAnsi="Times New Roman" w:eastAsia="宋体" w:cs="Times New Roman"/>
                <w:b w:val="0"/>
                <w:bCs/>
                <w:color w:val="auto"/>
                <w:sz w:val="21"/>
                <w:szCs w:val="21"/>
              </w:rPr>
              <w:t>t/a；</w:t>
            </w:r>
          </w:p>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总磷8.0mg/L，</w:t>
            </w:r>
            <w:r>
              <w:rPr>
                <w:rFonts w:hint="default" w:ascii="Times New Roman" w:hAnsi="Times New Roman" w:eastAsia="宋体" w:cs="Times New Roman"/>
                <w:b w:val="0"/>
                <w:bCs/>
                <w:color w:val="auto"/>
                <w:sz w:val="21"/>
                <w:szCs w:val="21"/>
                <w:lang w:val="en-US" w:eastAsia="zh-CN"/>
              </w:rPr>
              <w:t>0.68</w:t>
            </w:r>
            <w:r>
              <w:rPr>
                <w:rFonts w:hint="default" w:ascii="Times New Roman" w:hAnsi="Times New Roman" w:eastAsia="宋体" w:cs="Times New Roman"/>
                <w:b w:val="0"/>
                <w:bCs/>
                <w:color w:val="auto"/>
                <w:sz w:val="21"/>
                <w:szCs w:val="21"/>
              </w:rPr>
              <w:t>t/a</w:t>
            </w:r>
          </w:p>
        </w:tc>
        <w:tc>
          <w:tcPr>
            <w:tcW w:w="2820"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隔油池（6m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）、化粪池</w:t>
            </w:r>
            <w:r>
              <w:rPr>
                <w:rFonts w:hint="eastAsia" w:ascii="Times New Roman" w:hAnsi="Times New Roman" w:cs="Times New Roman"/>
                <w:b w:val="0"/>
                <w:bCs/>
                <w:color w:val="auto"/>
                <w:sz w:val="21"/>
                <w:szCs w:val="21"/>
                <w:lang w:val="en-US" w:eastAsia="zh-CN"/>
              </w:rPr>
              <w:t>6</w:t>
            </w:r>
            <w:r>
              <w:rPr>
                <w:rFonts w:hint="default" w:ascii="Times New Roman" w:hAnsi="Times New Roman" w:eastAsia="宋体" w:cs="Times New Roman"/>
                <w:b w:val="0"/>
                <w:bCs/>
                <w:color w:val="auto"/>
                <w:sz w:val="21"/>
                <w:szCs w:val="21"/>
                <w:lang w:val="en-US" w:eastAsia="zh-CN"/>
              </w:rPr>
              <w:t>座</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2-4m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rPr>
              <w:t>）、污水处理站（固液分离+UASB厌氧+絮凝沉淀+两级A/O系统+混凝絮凝沉淀+消毒，处理能力</w:t>
            </w:r>
            <w:r>
              <w:rPr>
                <w:rFonts w:hint="default" w:ascii="Times New Roman" w:hAnsi="Times New Roman" w:eastAsia="宋体" w:cs="Times New Roman"/>
                <w:b w:val="0"/>
                <w:bCs/>
                <w:color w:val="auto"/>
                <w:sz w:val="21"/>
                <w:szCs w:val="21"/>
                <w:lang w:val="en-US" w:eastAsia="zh-CN"/>
              </w:rPr>
              <w:t>70</w:t>
            </w:r>
            <w:r>
              <w:rPr>
                <w:rFonts w:hint="default" w:ascii="Times New Roman" w:hAnsi="Times New Roman" w:eastAsia="宋体" w:cs="Times New Roman"/>
                <w:b w:val="0"/>
                <w:bCs/>
                <w:color w:val="auto"/>
                <w:sz w:val="21"/>
                <w:szCs w:val="21"/>
              </w:rPr>
              <w:t>0m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/d），事故应急池（</w:t>
            </w:r>
            <w:r>
              <w:rPr>
                <w:rFonts w:hint="eastAsia" w:ascii="Times New Roman" w:hAnsi="Times New Roman" w:cs="Times New Roman"/>
                <w:b w:val="0"/>
                <w:bCs/>
                <w:color w:val="auto"/>
                <w:sz w:val="21"/>
                <w:szCs w:val="21"/>
                <w:lang w:val="en-US" w:eastAsia="zh-CN"/>
              </w:rPr>
              <w:t>20</w:t>
            </w:r>
            <w:r>
              <w:rPr>
                <w:rFonts w:hint="default" w:ascii="Times New Roman" w:hAnsi="Times New Roman" w:eastAsia="宋体" w:cs="Times New Roman"/>
                <w:b w:val="0"/>
                <w:bCs/>
                <w:color w:val="auto"/>
                <w:sz w:val="21"/>
                <w:szCs w:val="21"/>
              </w:rPr>
              <w:t>00m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），储存池</w:t>
            </w:r>
            <w:r>
              <w:rPr>
                <w:rFonts w:hint="default" w:ascii="Times New Roman" w:hAnsi="Times New Roman" w:eastAsia="宋体"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rPr>
              <w:t>座，</w:t>
            </w:r>
            <w:r>
              <w:rPr>
                <w:rFonts w:hint="default" w:ascii="Times New Roman" w:hAnsi="Times New Roman" w:eastAsia="宋体" w:cs="Times New Roman"/>
                <w:b w:val="0"/>
                <w:bCs/>
                <w:color w:val="auto"/>
                <w:sz w:val="21"/>
                <w:szCs w:val="21"/>
                <w:lang w:eastAsia="zh-CN"/>
              </w:rPr>
              <w:t>单个</w:t>
            </w:r>
            <w:r>
              <w:rPr>
                <w:rFonts w:hint="default" w:ascii="Times New Roman" w:hAnsi="Times New Roman" w:eastAsia="宋体" w:cs="Times New Roman"/>
                <w:b w:val="0"/>
                <w:bCs/>
                <w:color w:val="auto"/>
                <w:sz w:val="21"/>
                <w:szCs w:val="21"/>
              </w:rPr>
              <w:t>容积</w:t>
            </w:r>
            <w:r>
              <w:rPr>
                <w:rFonts w:hint="default"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000m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w:t>
            </w:r>
          </w:p>
        </w:tc>
        <w:tc>
          <w:tcPr>
            <w:tcW w:w="2857"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废水处理后达《农田灌溉水质标准》（GB 5084-2005）旱作标准后用于耕地、林地农灌，不外排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272" w:hRule="atLeast"/>
        </w:trPr>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食堂</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食堂废水</w:t>
            </w:r>
          </w:p>
        </w:tc>
        <w:tc>
          <w:tcPr>
            <w:tcW w:w="3523"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2100"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2820"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2857"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534" w:hRule="atLeast"/>
        </w:trPr>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职工生活</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生活污水</w:t>
            </w:r>
          </w:p>
        </w:tc>
        <w:tc>
          <w:tcPr>
            <w:tcW w:w="3523"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2100"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2820"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c>
          <w:tcPr>
            <w:tcW w:w="2857"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声环境</w:t>
            </w: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猪叫声、风机、水泵等</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噪声</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选用低噪声设备，设备安装减震 垫，加强场区绿化</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昼间场界41.3～49.1dB(A)；夜间场界：40.2～48.6dB(A)</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设备安装减震垫、消声装置</w:t>
            </w:r>
          </w:p>
        </w:tc>
        <w:tc>
          <w:tcPr>
            <w:tcW w:w="2857"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《工业企业厂界环境噪声排放标准》（GB12348-2008）中2类：昼间60dB，夜间50dB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1148" w:hRule="atLeast"/>
        </w:trPr>
        <w:tc>
          <w:tcPr>
            <w:tcW w:w="571"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固体</w:t>
            </w:r>
            <w:r>
              <w:rPr>
                <w:rFonts w:hint="default"/>
                <w:color w:val="auto"/>
                <w:sz w:val="21"/>
                <w:szCs w:val="21"/>
              </w:rPr>
              <w:t xml:space="preserve"> </w:t>
            </w:r>
            <w:r>
              <w:rPr>
                <w:rFonts w:hint="eastAsia"/>
                <w:color w:val="auto"/>
                <w:sz w:val="21"/>
                <w:szCs w:val="21"/>
              </w:rPr>
              <w:t>废物</w:t>
            </w: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猪舍</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猪粪</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收集堆肥发酵后作为有机肥外售</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18549.3</w:t>
            </w:r>
            <w:r>
              <w:rPr>
                <w:rFonts w:hint="default" w:ascii="Times New Roman" w:hAnsi="Times New Roman" w:eastAsia="宋体" w:cs="Times New Roman"/>
                <w:b w:val="0"/>
                <w:bCs/>
                <w:color w:val="auto"/>
                <w:sz w:val="21"/>
                <w:szCs w:val="21"/>
              </w:rPr>
              <w:t>t/a</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2857"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《畜禽养殖业污染物排放标准》（GB18596-2001）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795" w:hRule="atLeast"/>
        </w:trPr>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猪舍</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病死猪及胎盘</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采用无害化降解处理机处理，处理后运至堆肥车间堆肥发酵后作为有机肥外售</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787.69</w:t>
            </w:r>
            <w:r>
              <w:rPr>
                <w:rFonts w:hint="default" w:ascii="Times New Roman" w:hAnsi="Times New Roman" w:eastAsia="宋体" w:cs="Times New Roman"/>
                <w:b w:val="0"/>
                <w:bCs/>
                <w:color w:val="auto"/>
                <w:sz w:val="21"/>
                <w:szCs w:val="21"/>
              </w:rPr>
              <w:t>t/a</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2857"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农业部《病死及病害动物无害化处理技术规范》中相关规定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猪舍</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畜禽医疗废物</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危废暂存间收集，交由具有相应资质类别的危险废物处置单位进行处置</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rPr>
              <w:t>t/a</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设置5处危险废物暂存间（单间建筑面积约5m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rPr>
              <w:t>），危险废物处置协议，转运联单</w:t>
            </w:r>
          </w:p>
        </w:tc>
        <w:tc>
          <w:tcPr>
            <w:tcW w:w="2857"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《危险废物贮存污染控制标准》（GB18597-2001）（2013年修改单）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生产区</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废包装材料</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出售物资部门回收再利用</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8</w:t>
            </w:r>
            <w:r>
              <w:rPr>
                <w:rFonts w:hint="default" w:ascii="Times New Roman" w:hAnsi="Times New Roman" w:eastAsia="宋体" w:cs="Times New Roman"/>
                <w:b w:val="0"/>
                <w:bCs/>
                <w:color w:val="auto"/>
                <w:sz w:val="21"/>
                <w:szCs w:val="21"/>
              </w:rPr>
              <w:t>t/a</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一般固废暂存间（</w:t>
            </w:r>
            <w:r>
              <w:rPr>
                <w:rFonts w:hint="default" w:ascii="Times New Roman" w:hAnsi="Times New Roman" w:eastAsia="宋体" w:cs="Times New Roman"/>
                <w:b w:val="0"/>
                <w:bCs/>
                <w:color w:val="auto"/>
                <w:sz w:val="21"/>
                <w:szCs w:val="21"/>
                <w:lang w:val="en-US" w:eastAsia="zh-CN"/>
              </w:rPr>
              <w:t>20</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rPr>
              <w:t>）</w:t>
            </w:r>
          </w:p>
        </w:tc>
        <w:tc>
          <w:tcPr>
            <w:tcW w:w="2865" w:type="dxa"/>
            <w:gridSpan w:val="2"/>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生活区</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生活垃圾</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收集后暂存于生活垃圾暂存间，及时运往垃圾中转站，由环卫部门统一清运处置</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21.9t/a</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生活垃圾暂存间，垃圾收集桶</w:t>
            </w:r>
          </w:p>
        </w:tc>
        <w:tc>
          <w:tcPr>
            <w:tcW w:w="2865" w:type="dxa"/>
            <w:gridSpan w:val="2"/>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污水处理 站</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水处理污泥及沼渣</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2"/>
                <w:sz w:val="21"/>
                <w:szCs w:val="21"/>
                <w:lang w:val="en-US" w:eastAsia="zh-CN" w:bidi="ar-SA"/>
              </w:rPr>
              <w:t>收集堆肥发酵后作为有机肥外售</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eastAsia" w:ascii="Times New Roman" w:hAnsi="Times New Roman" w:cs="Times New Roman"/>
                <w:b w:val="0"/>
                <w:bCs/>
                <w:color w:val="auto"/>
                <w:sz w:val="21"/>
                <w:szCs w:val="21"/>
                <w:lang w:val="en-US" w:eastAsia="zh-CN"/>
              </w:rPr>
              <w:t>433.5t</w:t>
            </w:r>
            <w:r>
              <w:rPr>
                <w:rFonts w:hint="default" w:ascii="Times New Roman" w:hAnsi="Times New Roman" w:eastAsia="宋体" w:cs="Times New Roman"/>
                <w:b w:val="0"/>
                <w:bCs/>
                <w:color w:val="auto"/>
                <w:sz w:val="21"/>
                <w:szCs w:val="21"/>
              </w:rPr>
              <w:t>/a</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w:t>
            </w:r>
          </w:p>
        </w:tc>
        <w:tc>
          <w:tcPr>
            <w:tcW w:w="2865" w:type="dxa"/>
            <w:gridSpan w:val="2"/>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污水处理 站（沼气利用）</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废脱硫剂</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交由原厂家回收再利用</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eastAsia" w:ascii="Times New Roman" w:hAnsi="Times New Roman" w:cs="Times New Roman"/>
                <w:b w:val="0"/>
                <w:bCs/>
                <w:color w:val="auto"/>
                <w:sz w:val="21"/>
                <w:szCs w:val="21"/>
                <w:lang w:val="en-US" w:eastAsia="zh-CN"/>
              </w:rPr>
              <w:t>0.5</w:t>
            </w:r>
            <w:r>
              <w:rPr>
                <w:rFonts w:hint="default" w:ascii="Times New Roman" w:hAnsi="Times New Roman" w:eastAsia="宋体" w:cs="Times New Roman"/>
                <w:b w:val="0"/>
                <w:bCs/>
                <w:color w:val="auto"/>
                <w:sz w:val="21"/>
                <w:szCs w:val="21"/>
              </w:rPr>
              <w:t>t/a</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一般固废暂存间（25m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rPr>
              <w:t>）</w:t>
            </w:r>
          </w:p>
        </w:tc>
        <w:tc>
          <w:tcPr>
            <w:tcW w:w="2865" w:type="dxa"/>
            <w:gridSpan w:val="2"/>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地下</w:t>
            </w:r>
            <w:r>
              <w:rPr>
                <w:rFonts w:hint="default"/>
                <w:color w:val="auto"/>
                <w:sz w:val="21"/>
                <w:szCs w:val="21"/>
              </w:rPr>
              <w:t xml:space="preserve"> </w:t>
            </w:r>
            <w:r>
              <w:rPr>
                <w:rFonts w:hint="eastAsia"/>
                <w:color w:val="auto"/>
                <w:sz w:val="21"/>
                <w:szCs w:val="21"/>
              </w:rPr>
              <w:t>水</w:t>
            </w:r>
          </w:p>
        </w:tc>
        <w:tc>
          <w:tcPr>
            <w:tcW w:w="114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全场</w:t>
            </w:r>
          </w:p>
        </w:tc>
        <w:tc>
          <w:tcPr>
            <w:tcW w:w="98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生产废 水、粪便、畜禽医疗废物等固废</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水处理区（污水处理设施）、粪便脱水间、危险废物暂存间、发电机房及储油间、兽药室、粪污管道、粪肥储存间等采取重点防渗处理；圈舍化粪池、隔油池等需采取一般防渗；办公区、食堂地面以及站内道路等一般路面硬化。</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防渗措施</w:t>
            </w:r>
          </w:p>
        </w:tc>
        <w:tc>
          <w:tcPr>
            <w:tcW w:w="2865" w:type="dxa"/>
            <w:gridSpan w:val="2"/>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参照《畜禽养殖污染防治管理办法》第十三条和GB18598中相关标准执行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环境</w:t>
            </w:r>
            <w:r>
              <w:rPr>
                <w:rFonts w:hint="default"/>
                <w:color w:val="auto"/>
                <w:sz w:val="21"/>
                <w:szCs w:val="21"/>
              </w:rPr>
              <w:t xml:space="preserve"> </w:t>
            </w:r>
            <w:r>
              <w:rPr>
                <w:rFonts w:hint="eastAsia"/>
                <w:color w:val="auto"/>
                <w:sz w:val="21"/>
                <w:szCs w:val="21"/>
              </w:rPr>
              <w:t>风险</w:t>
            </w:r>
          </w:p>
        </w:tc>
        <w:tc>
          <w:tcPr>
            <w:tcW w:w="2123" w:type="dxa"/>
            <w:gridSpan w:val="2"/>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废水的事故外排；医疗废弃物混入生活垃圾；沼气泄漏，柴油泄漏；</w:t>
            </w:r>
          </w:p>
        </w:tc>
        <w:tc>
          <w:tcPr>
            <w:tcW w:w="3523"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场区设有事故应急池1</w:t>
            </w:r>
            <w:r>
              <w:rPr>
                <w:rFonts w:hint="default" w:ascii="Times New Roman" w:hAnsi="Times New Roman" w:eastAsia="宋体" w:cs="Times New Roman"/>
                <w:b w:val="0"/>
                <w:bCs/>
                <w:color w:val="auto"/>
                <w:sz w:val="21"/>
                <w:szCs w:val="21"/>
                <w:lang w:val="en-US" w:eastAsia="zh-CN"/>
              </w:rPr>
              <w:t>8</w:t>
            </w:r>
            <w:r>
              <w:rPr>
                <w:rFonts w:hint="default" w:ascii="Times New Roman" w:hAnsi="Times New Roman" w:eastAsia="宋体" w:cs="Times New Roman"/>
                <w:b w:val="0"/>
                <w:bCs/>
                <w:color w:val="auto"/>
                <w:sz w:val="21"/>
                <w:szCs w:val="21"/>
              </w:rPr>
              <w:t>00m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，废水进入事故应急池，待设施恢复正 常运行再泵入污水处理站进行后 段处理；设置单独危废暂存间暂 存医疗废物，并定期交有资质单 位处理；沼气泄漏检测系统；柴油发电机房设围堰</w:t>
            </w:r>
          </w:p>
        </w:tc>
        <w:tc>
          <w:tcPr>
            <w:tcW w:w="210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2820"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事故应急池（</w:t>
            </w:r>
            <w:r>
              <w:rPr>
                <w:rFonts w:hint="eastAsia" w:ascii="Times New Roman" w:hAnsi="Times New Roman" w:cs="Times New Roman"/>
                <w:b w:val="0"/>
                <w:bCs/>
                <w:color w:val="auto"/>
                <w:sz w:val="21"/>
                <w:szCs w:val="21"/>
                <w:lang w:val="en-US" w:eastAsia="zh-CN"/>
              </w:rPr>
              <w:t>20</w:t>
            </w:r>
            <w:r>
              <w:rPr>
                <w:rFonts w:hint="default" w:ascii="Times New Roman" w:hAnsi="Times New Roman" w:eastAsia="宋体" w:cs="Times New Roman"/>
                <w:b w:val="0"/>
                <w:bCs/>
                <w:color w:val="auto"/>
                <w:sz w:val="21"/>
                <w:szCs w:val="21"/>
              </w:rPr>
              <w:t>00m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rPr>
              <w:t>）、危废暂存间、沼气泄漏检测系统、柴油发电机房设置围堰（重点防渗）</w:t>
            </w:r>
          </w:p>
        </w:tc>
        <w:tc>
          <w:tcPr>
            <w:tcW w:w="2857"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生态</w:t>
            </w:r>
            <w:r>
              <w:rPr>
                <w:rFonts w:hint="default"/>
                <w:color w:val="auto"/>
                <w:sz w:val="21"/>
                <w:szCs w:val="21"/>
              </w:rPr>
              <w:t xml:space="preserve"> </w:t>
            </w:r>
            <w:r>
              <w:rPr>
                <w:rFonts w:hint="eastAsia"/>
                <w:color w:val="auto"/>
                <w:sz w:val="21"/>
                <w:szCs w:val="21"/>
              </w:rPr>
              <w:t>保护</w:t>
            </w:r>
          </w:p>
        </w:tc>
        <w:tc>
          <w:tcPr>
            <w:tcW w:w="13423" w:type="dxa"/>
            <w:gridSpan w:val="6"/>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厂区周围设置乔木、灌木绿化，猪舍周围种植牧草绿化，厂区绿化面积为</w:t>
            </w:r>
            <w:r>
              <w:rPr>
                <w:rFonts w:hint="eastAsia" w:ascii="Times New Roman" w:hAnsi="Times New Roman" w:cs="Times New Roman"/>
                <w:b w:val="0"/>
                <w:bCs/>
                <w:color w:val="auto"/>
                <w:sz w:val="21"/>
                <w:szCs w:val="21"/>
                <w:lang w:val="en-US" w:eastAsia="zh-CN"/>
              </w:rPr>
              <w:t>544亩。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vMerge w:val="restart"/>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r>
              <w:rPr>
                <w:rFonts w:hint="eastAsia"/>
                <w:color w:val="auto"/>
                <w:sz w:val="21"/>
                <w:szCs w:val="21"/>
              </w:rPr>
              <w:t>环境</w:t>
            </w:r>
            <w:r>
              <w:rPr>
                <w:rFonts w:hint="default"/>
                <w:color w:val="auto"/>
                <w:sz w:val="21"/>
                <w:szCs w:val="21"/>
              </w:rPr>
              <w:t xml:space="preserve"> </w:t>
            </w:r>
            <w:r>
              <w:rPr>
                <w:rFonts w:hint="eastAsia"/>
                <w:color w:val="auto"/>
                <w:sz w:val="21"/>
                <w:szCs w:val="21"/>
              </w:rPr>
              <w:t>管理</w:t>
            </w:r>
          </w:p>
        </w:tc>
        <w:tc>
          <w:tcPr>
            <w:tcW w:w="13423" w:type="dxa"/>
            <w:gridSpan w:val="6"/>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施工过程中做好防腐、防渗、结构及隐蔽工程监理并做好交接及验收记录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vMerge w:val="continue"/>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color w:val="auto"/>
                <w:sz w:val="21"/>
                <w:szCs w:val="21"/>
              </w:rPr>
            </w:pPr>
          </w:p>
        </w:tc>
        <w:tc>
          <w:tcPr>
            <w:tcW w:w="13423" w:type="dxa"/>
            <w:gridSpan w:val="6"/>
            <w:tcBorders>
              <w:tl2br w:val="nil"/>
              <w:tr2bl w:val="nil"/>
            </w:tcBorders>
            <w:noWrap w:val="0"/>
            <w:vAlign w:val="center"/>
          </w:tcPr>
          <w:p>
            <w:pPr>
              <w:pStyle w:val="1855"/>
              <w:keepNext w:val="0"/>
              <w:keepLines w:val="0"/>
              <w:suppressLineNumbers w:val="0"/>
              <w:spacing w:beforeAutospacing="0" w:afterAutospacing="0" w:line="240" w:lineRule="auto"/>
              <w:ind w:left="0" w:right="0"/>
              <w:rPr>
                <w:rFonts w:hint="default"/>
                <w:b w:val="0"/>
                <w:bCs/>
                <w:color w:val="auto"/>
                <w:sz w:val="21"/>
                <w:szCs w:val="21"/>
              </w:rPr>
            </w:pPr>
            <w:r>
              <w:rPr>
                <w:rFonts w:hint="eastAsia"/>
                <w:b w:val="0"/>
                <w:bCs/>
                <w:color w:val="auto"/>
                <w:sz w:val="21"/>
                <w:szCs w:val="21"/>
              </w:rPr>
              <w:t>落实本报告对项目原料、工艺等提出的环保措施；建立完整的监理档案提高管理水平，严防操作事故发生；环境保护措施的设计必须由具有国家</w:t>
            </w:r>
            <w:r>
              <w:rPr>
                <w:rFonts w:hint="default"/>
                <w:b w:val="0"/>
                <w:bCs/>
                <w:color w:val="auto"/>
                <w:sz w:val="21"/>
                <w:szCs w:val="21"/>
              </w:rPr>
              <w:t xml:space="preserve"> </w:t>
            </w:r>
            <w:r>
              <w:rPr>
                <w:rFonts w:hint="eastAsia"/>
                <w:b w:val="0"/>
                <w:bCs/>
                <w:color w:val="auto"/>
                <w:sz w:val="21"/>
                <w:szCs w:val="21"/>
              </w:rPr>
              <w:t>认可资质的设计单位设计，材质的选用必须具备相应合格证明；建立一套完整规范的环境管理制度，并落实到具体人员；危废移交记录；堆肥制</w:t>
            </w:r>
            <w:r>
              <w:rPr>
                <w:rFonts w:hint="default"/>
                <w:b w:val="0"/>
                <w:bCs/>
                <w:color w:val="auto"/>
                <w:sz w:val="21"/>
                <w:szCs w:val="21"/>
              </w:rPr>
              <w:t xml:space="preserve"> </w:t>
            </w:r>
            <w:r>
              <w:rPr>
                <w:rFonts w:hint="eastAsia"/>
                <w:b w:val="0"/>
                <w:bCs/>
                <w:color w:val="auto"/>
                <w:sz w:val="21"/>
                <w:szCs w:val="21"/>
              </w:rPr>
              <w:t>品去向记录，落实区域负责人制度（如育肥舍、</w:t>
            </w:r>
            <w:r>
              <w:rPr>
                <w:rFonts w:hint="eastAsia"/>
                <w:b w:val="0"/>
                <w:bCs/>
                <w:color w:val="auto"/>
                <w:sz w:val="21"/>
                <w:szCs w:val="21"/>
                <w:lang w:eastAsia="zh-CN"/>
              </w:rPr>
              <w:t>堆肥车间</w:t>
            </w:r>
            <w:r>
              <w:rPr>
                <w:rFonts w:hint="eastAsia"/>
                <w:b w:val="0"/>
                <w:bCs/>
                <w:color w:val="auto"/>
                <w:sz w:val="21"/>
                <w:szCs w:val="21"/>
              </w:rPr>
              <w:t>、粪肥储存间、污水处理站等），落实环保奖惩制度，建议对各猪舍安装水表，对其</w:t>
            </w:r>
            <w:r>
              <w:rPr>
                <w:rFonts w:hint="default"/>
                <w:b w:val="0"/>
                <w:bCs/>
                <w:color w:val="auto"/>
                <w:sz w:val="21"/>
                <w:szCs w:val="21"/>
              </w:rPr>
              <w:t xml:space="preserve"> </w:t>
            </w:r>
            <w:r>
              <w:rPr>
                <w:rFonts w:hint="eastAsia"/>
                <w:b w:val="0"/>
                <w:bCs/>
                <w:color w:val="auto"/>
                <w:sz w:val="21"/>
                <w:szCs w:val="21"/>
              </w:rPr>
              <w:t>用水量进行统计，作为负责人环保考核的依据之一。</w:t>
            </w:r>
          </w:p>
        </w:tc>
      </w:tr>
    </w:tbl>
    <w:p>
      <w:pPr>
        <w:pStyle w:val="110"/>
        <w:rPr>
          <w:rFonts w:hint="default" w:ascii="Times New Roman" w:hAnsi="Times New Roman" w:eastAsia="宋体" w:cs="Times New Roman"/>
          <w:color w:val="auto"/>
          <w:sz w:val="24"/>
          <w:szCs w:val="24"/>
        </w:rPr>
        <w:sectPr>
          <w:pgSz w:w="16838" w:h="11906" w:orient="landscape"/>
          <w:pgMar w:top="1800" w:right="1440" w:bottom="1800" w:left="1440" w:header="992"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33"/>
    <w:bookmarkEnd w:id="334"/>
    <w:bookmarkEnd w:id="342"/>
    <w:bookmarkEnd w:id="343"/>
    <w:bookmarkEnd w:id="344"/>
    <w:bookmarkEnd w:id="345"/>
    <w:p>
      <w:pPr>
        <w:pStyle w:val="5"/>
        <w:rPr>
          <w:rFonts w:cs="Times New Roman"/>
          <w:color w:val="auto"/>
        </w:rPr>
      </w:pPr>
      <w:bookmarkStart w:id="372" w:name="_Toc31113"/>
      <w:r>
        <w:rPr>
          <w:rFonts w:cs="Times New Roman"/>
          <w:color w:val="auto"/>
        </w:rPr>
        <w:t>环境影响评价结论</w:t>
      </w:r>
      <w:bookmarkEnd w:id="372"/>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73" w:name="_Toc12805"/>
      <w:bookmarkStart w:id="374" w:name="_Toc405412960"/>
      <w:bookmarkStart w:id="375" w:name="_Toc222041521"/>
      <w:bookmarkStart w:id="376" w:name="_Toc376177334"/>
      <w:r>
        <w:rPr>
          <w:rFonts w:hint="eastAsia" w:ascii="Times New Roman" w:hAnsi="Times New Roman" w:eastAsia="宋体" w:cs="Times New Roman"/>
          <w:color w:val="auto"/>
          <w:lang w:val="en-US" w:eastAsia="zh-CN"/>
        </w:rPr>
        <w:t>项目概况</w:t>
      </w:r>
      <w:bookmarkEnd w:id="373"/>
    </w:p>
    <w:p>
      <w:pPr>
        <w:tabs>
          <w:tab w:val="left" w:pos="1220"/>
        </w:tabs>
        <w:ind w:firstLine="480" w:firstLineChars="200"/>
        <w:rPr>
          <w:rFonts w:ascii="Times New Roman" w:hAnsi="Times New Roman" w:cs="Times New Roman"/>
          <w:bCs/>
          <w:color w:val="auto"/>
          <w:sz w:val="24"/>
          <w:szCs w:val="24"/>
        </w:rPr>
      </w:pPr>
      <w:r>
        <w:rPr>
          <w:rFonts w:hint="eastAsia" w:ascii="Times New Roman" w:hAnsi="Times New Roman" w:cs="Times New Roman"/>
          <w:bCs/>
          <w:color w:val="auto"/>
          <w:sz w:val="24"/>
          <w:szCs w:val="24"/>
          <w:lang w:eastAsia="zh-CN"/>
        </w:rPr>
        <w:t>通江温氏畜牧有限公司</w:t>
      </w:r>
      <w:r>
        <w:rPr>
          <w:rFonts w:ascii="Times New Roman" w:hAnsi="Times New Roman" w:cs="Times New Roman"/>
          <w:bCs/>
          <w:color w:val="auto"/>
          <w:sz w:val="24"/>
          <w:szCs w:val="24"/>
        </w:rPr>
        <w:t>拟投资</w:t>
      </w:r>
      <w:r>
        <w:rPr>
          <w:rFonts w:hint="eastAsia" w:ascii="Times New Roman" w:hAnsi="Times New Roman" w:cs="Times New Roman"/>
          <w:bCs/>
          <w:color w:val="auto"/>
          <w:sz w:val="24"/>
          <w:szCs w:val="24"/>
          <w:lang w:val="en-US" w:eastAsia="zh-CN"/>
        </w:rPr>
        <w:t>200</w:t>
      </w:r>
      <w:r>
        <w:rPr>
          <w:rFonts w:ascii="Times New Roman" w:hAnsi="Times New Roman" w:cs="Times New Roman"/>
          <w:bCs/>
          <w:color w:val="auto"/>
          <w:sz w:val="24"/>
          <w:szCs w:val="24"/>
        </w:rPr>
        <w:t>00万元</w:t>
      </w:r>
      <w:r>
        <w:rPr>
          <w:rFonts w:hint="eastAsia" w:ascii="Times New Roman" w:hAnsi="Times New Roman" w:cs="Times New Roman"/>
          <w:bCs/>
          <w:color w:val="auto"/>
          <w:sz w:val="24"/>
          <w:szCs w:val="24"/>
          <w:lang w:eastAsia="zh-CN"/>
        </w:rPr>
        <w:t>在</w:t>
      </w:r>
      <w:r>
        <w:rPr>
          <w:rFonts w:ascii="Times New Roman" w:hAnsi="Times New Roman" w:cs="Times New Roman"/>
          <w:bCs/>
          <w:color w:val="auto"/>
          <w:sz w:val="24"/>
          <w:szCs w:val="24"/>
        </w:rPr>
        <w:t>四川省</w:t>
      </w:r>
      <w:r>
        <w:rPr>
          <w:rFonts w:hint="eastAsia" w:ascii="Times New Roman" w:hAnsi="Times New Roman" w:cs="Times New Roman"/>
          <w:bCs/>
          <w:color w:val="auto"/>
          <w:sz w:val="24"/>
          <w:szCs w:val="24"/>
          <w:lang w:eastAsia="zh-CN"/>
        </w:rPr>
        <w:t>巴中市通江县龙凤场镇环山村建设龙凤场镇种猪养殖项目</w:t>
      </w:r>
      <w:r>
        <w:rPr>
          <w:rFonts w:ascii="Times New Roman" w:hAnsi="Times New Roman" w:cs="Times New Roman"/>
          <w:bCs/>
          <w:color w:val="auto"/>
          <w:sz w:val="24"/>
          <w:szCs w:val="24"/>
        </w:rPr>
        <w:t>，</w:t>
      </w:r>
      <w:r>
        <w:rPr>
          <w:rFonts w:hint="eastAsia" w:ascii="Times New Roman" w:hAnsi="Times New Roman" w:cs="Times New Roman"/>
          <w:bCs/>
          <w:color w:val="auto"/>
          <w:sz w:val="24"/>
          <w:szCs w:val="24"/>
          <w:lang w:eastAsia="zh-CN"/>
        </w:rPr>
        <w:t>项目</w:t>
      </w:r>
      <w:r>
        <w:rPr>
          <w:rFonts w:hint="eastAsia" w:ascii="Times New Roman" w:hAnsi="Times New Roman" w:cs="Times New Roman"/>
          <w:bCs/>
          <w:color w:val="auto"/>
          <w:sz w:val="24"/>
        </w:rPr>
        <w:t>建设猪舍面积</w:t>
      </w:r>
      <w:r>
        <w:rPr>
          <w:rFonts w:hint="eastAsia" w:ascii="Times New Roman" w:hAnsi="Times New Roman" w:cs="Times New Roman"/>
          <w:bCs/>
          <w:color w:val="auto"/>
          <w:sz w:val="24"/>
          <w:lang w:val="en-US" w:eastAsia="zh-CN"/>
        </w:rPr>
        <w:t>58</w:t>
      </w:r>
      <w:r>
        <w:rPr>
          <w:rFonts w:hint="eastAsia" w:ascii="Times New Roman" w:hAnsi="Times New Roman" w:cs="Times New Roman"/>
          <w:bCs/>
          <w:color w:val="auto"/>
          <w:sz w:val="24"/>
        </w:rPr>
        <w:t>000平方米，建成后常年存栏母猪</w:t>
      </w:r>
      <w:r>
        <w:rPr>
          <w:rFonts w:hint="eastAsia" w:ascii="Times New Roman" w:hAnsi="Times New Roman" w:cs="Times New Roman"/>
          <w:bCs/>
          <w:color w:val="auto"/>
          <w:sz w:val="24"/>
          <w:lang w:val="en-US" w:eastAsia="zh-CN"/>
        </w:rPr>
        <w:t>15862</w:t>
      </w:r>
      <w:r>
        <w:rPr>
          <w:rFonts w:hint="eastAsia" w:ascii="Times New Roman" w:hAnsi="Times New Roman" w:cs="Times New Roman"/>
          <w:bCs/>
          <w:color w:val="auto"/>
          <w:sz w:val="24"/>
        </w:rPr>
        <w:t>头、公猪</w:t>
      </w:r>
      <w:r>
        <w:rPr>
          <w:rFonts w:hint="eastAsia" w:ascii="Times New Roman" w:hAnsi="Times New Roman" w:cs="Times New Roman"/>
          <w:bCs/>
          <w:color w:val="auto"/>
          <w:sz w:val="24"/>
          <w:lang w:val="en-US" w:eastAsia="zh-CN"/>
        </w:rPr>
        <w:t>11</w:t>
      </w:r>
      <w:r>
        <w:rPr>
          <w:rFonts w:hint="eastAsia" w:ascii="Times New Roman" w:hAnsi="Times New Roman" w:cs="Times New Roman"/>
          <w:bCs/>
          <w:color w:val="auto"/>
          <w:sz w:val="24"/>
        </w:rPr>
        <w:t>0头、仔猪17980头；建设标准化圈舍约58000平方米；建设厂内道路</w:t>
      </w:r>
      <w:r>
        <w:rPr>
          <w:rFonts w:hint="eastAsia" w:ascii="Times New Roman" w:hAnsi="Times New Roman" w:cs="Times New Roman"/>
          <w:bCs/>
          <w:color w:val="auto"/>
          <w:sz w:val="24"/>
          <w:lang w:val="en-US" w:eastAsia="zh-CN"/>
        </w:rPr>
        <w:t>9000</w:t>
      </w:r>
      <w:r>
        <w:rPr>
          <w:rFonts w:hint="eastAsia" w:ascii="Times New Roman" w:hAnsi="Times New Roman" w:cs="Times New Roman"/>
          <w:bCs/>
          <w:color w:val="auto"/>
          <w:sz w:val="24"/>
        </w:rPr>
        <w:t>平方米；建设生活区</w:t>
      </w:r>
      <w:r>
        <w:rPr>
          <w:rFonts w:hint="eastAsia" w:ascii="Times New Roman" w:hAnsi="Times New Roman" w:cs="Times New Roman"/>
          <w:bCs/>
          <w:color w:val="auto"/>
          <w:sz w:val="24"/>
          <w:lang w:val="en-US" w:eastAsia="zh-CN"/>
        </w:rPr>
        <w:t>8055</w:t>
      </w:r>
      <w:r>
        <w:rPr>
          <w:rFonts w:hint="eastAsia" w:ascii="Times New Roman" w:hAnsi="Times New Roman" w:cs="Times New Roman"/>
          <w:bCs/>
          <w:color w:val="auto"/>
          <w:sz w:val="24"/>
        </w:rPr>
        <w:t>平方米；建设年产</w:t>
      </w:r>
      <w:r>
        <w:rPr>
          <w:rFonts w:hint="eastAsia" w:ascii="Times New Roman" w:hAnsi="Times New Roman" w:cs="Times New Roman"/>
          <w:bCs/>
          <w:color w:val="auto"/>
          <w:sz w:val="24"/>
          <w:lang w:val="en-US" w:eastAsia="zh-CN"/>
        </w:rPr>
        <w:t>6720</w:t>
      </w:r>
      <w:r>
        <w:rPr>
          <w:rFonts w:hint="eastAsia" w:ascii="Times New Roman" w:hAnsi="Times New Roman" w:cs="Times New Roman"/>
          <w:bCs/>
          <w:color w:val="auto"/>
          <w:sz w:val="24"/>
        </w:rPr>
        <w:t>万吨有机肥项目。项目总</w:t>
      </w:r>
      <w:r>
        <w:rPr>
          <w:rFonts w:hint="eastAsia" w:ascii="Times New Roman" w:hAnsi="Times New Roman" w:cs="Times New Roman"/>
          <w:bCs/>
          <w:color w:val="auto"/>
          <w:sz w:val="24"/>
          <w:lang w:eastAsia="zh-CN"/>
        </w:rPr>
        <w:t>建设</w:t>
      </w:r>
      <w:r>
        <w:rPr>
          <w:rFonts w:hint="eastAsia" w:ascii="Times New Roman" w:hAnsi="Times New Roman" w:cs="Times New Roman"/>
          <w:bCs/>
          <w:color w:val="auto"/>
          <w:sz w:val="24"/>
        </w:rPr>
        <w:t>面积</w:t>
      </w:r>
      <w:r>
        <w:rPr>
          <w:rFonts w:hint="eastAsia" w:ascii="Times New Roman" w:hAnsi="Times New Roman" w:cs="Times New Roman"/>
          <w:bCs/>
          <w:color w:val="auto"/>
          <w:sz w:val="24"/>
          <w:lang w:val="en-US" w:eastAsia="zh-CN"/>
        </w:rPr>
        <w:t>160亩（约</w:t>
      </w:r>
      <w:r>
        <w:rPr>
          <w:rFonts w:hint="eastAsia" w:ascii="Times New Roman" w:hAnsi="Times New Roman" w:cs="Times New Roman"/>
          <w:bCs/>
          <w:color w:val="auto"/>
          <w:sz w:val="24"/>
        </w:rPr>
        <w:t>106666</w:t>
      </w:r>
      <w:r>
        <w:rPr>
          <w:rFonts w:hint="eastAsia" w:ascii="Times New Roman" w:hAnsi="Times New Roman" w:cs="Times New Roman"/>
          <w:bCs/>
          <w:color w:val="auto"/>
          <w:sz w:val="24"/>
          <w:lang w:val="en-US" w:eastAsia="zh-CN"/>
        </w:rPr>
        <w:t>.67</w:t>
      </w:r>
      <w:r>
        <w:rPr>
          <w:rFonts w:hint="eastAsia" w:ascii="Times New Roman" w:hAnsi="Times New Roman" w:cs="Times New Roman"/>
          <w:bCs/>
          <w:color w:val="auto"/>
          <w:sz w:val="24"/>
        </w:rPr>
        <w:t>平方米</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rPr>
        <w:t>。</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77" w:name="_Toc414180977"/>
      <w:bookmarkStart w:id="378" w:name="_Toc23455"/>
      <w:bookmarkStart w:id="379" w:name="_Toc470789141"/>
      <w:r>
        <w:rPr>
          <w:rFonts w:hint="eastAsia" w:ascii="Times New Roman" w:hAnsi="Times New Roman" w:eastAsia="宋体" w:cs="Times New Roman"/>
          <w:color w:val="auto"/>
          <w:lang w:val="en-US" w:eastAsia="zh-CN"/>
        </w:rPr>
        <w:t>环境影响评价结论</w:t>
      </w:r>
      <w:bookmarkEnd w:id="374"/>
      <w:bookmarkEnd w:id="375"/>
      <w:bookmarkEnd w:id="376"/>
      <w:bookmarkEnd w:id="377"/>
      <w:bookmarkEnd w:id="378"/>
      <w:bookmarkEnd w:id="379"/>
    </w:p>
    <w:p>
      <w:pPr>
        <w:pStyle w:val="7"/>
        <w:spacing w:before="0" w:after="0" w:line="360" w:lineRule="auto"/>
        <w:ind w:left="0" w:firstLine="0"/>
        <w:rPr>
          <w:rFonts w:hint="default" w:ascii="Times New Roman" w:hAnsi="Times New Roman" w:eastAsia="宋体" w:cs="Times New Roman"/>
          <w:color w:val="auto"/>
          <w:lang w:val="en-US" w:eastAsia="zh-CN"/>
        </w:rPr>
      </w:pPr>
      <w:bookmarkStart w:id="380" w:name="_Toc5589"/>
      <w:bookmarkStart w:id="381" w:name="_Toc348041447"/>
      <w:r>
        <w:rPr>
          <w:rFonts w:hint="default" w:ascii="Times New Roman" w:hAnsi="Times New Roman" w:eastAsia="宋体" w:cs="Times New Roman"/>
          <w:color w:val="auto"/>
          <w:lang w:val="en-US" w:eastAsia="zh-CN"/>
        </w:rPr>
        <w:t>产业政策符合性</w:t>
      </w:r>
      <w:bookmarkEnd w:id="380"/>
      <w:bookmarkEnd w:id="38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bookmarkStart w:id="382" w:name="_Toc348041448"/>
      <w:r>
        <w:rPr>
          <w:rFonts w:hint="eastAsia" w:ascii="Times New Roman" w:hAnsi="Times New Roman" w:eastAsia="宋体" w:cs="Times New Roman"/>
          <w:color w:val="auto"/>
          <w:kern w:val="2"/>
          <w:sz w:val="24"/>
          <w:szCs w:val="24"/>
          <w:lang w:val="en-US" w:eastAsia="zh-CN" w:bidi="ar-SA"/>
        </w:rPr>
        <w:t>本项目为通江温氏畜牧有限公司龙凤场镇种猪养殖项目。</w:t>
      </w:r>
      <w:r>
        <w:rPr>
          <w:rFonts w:ascii="Times New Roman" w:hAnsi="Times New Roman" w:eastAsia="宋体" w:cs="Times New Roman"/>
          <w:color w:val="auto"/>
          <w:kern w:val="2"/>
          <w:sz w:val="24"/>
          <w:szCs w:val="24"/>
          <w:lang w:val="en-US" w:eastAsia="zh-CN" w:bidi="ar-SA"/>
        </w:rPr>
        <w:t>根据国民经济行业分类和代码【GB/T4754-2017】，本项目代码为“</w:t>
      </w:r>
      <w:r>
        <w:rPr>
          <w:rFonts w:hint="eastAsia" w:ascii="Times New Roman" w:hAnsi="Times New Roman" w:eastAsia="宋体" w:cs="Times New Roman"/>
          <w:color w:val="auto"/>
          <w:kern w:val="2"/>
          <w:sz w:val="24"/>
          <w:szCs w:val="24"/>
          <w:lang w:val="en-US" w:eastAsia="zh-CN" w:bidi="ar-SA"/>
        </w:rPr>
        <w:t>0313</w:t>
      </w:r>
      <w:r>
        <w:rPr>
          <w:rFonts w:ascii="Times New Roman" w:hAnsi="Times New Roman" w:eastAsia="宋体"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猪</w:t>
      </w:r>
      <w:r>
        <w:rPr>
          <w:rFonts w:ascii="Times New Roman" w:hAnsi="Times New Roman" w:eastAsia="宋体" w:cs="Times New Roman"/>
          <w:color w:val="auto"/>
          <w:kern w:val="2"/>
          <w:sz w:val="24"/>
          <w:szCs w:val="24"/>
          <w:lang w:val="en-US" w:eastAsia="zh-CN" w:bidi="ar-SA"/>
        </w:rPr>
        <w:t>的饲养”。</w:t>
      </w:r>
      <w:r>
        <w:rPr>
          <w:rFonts w:hint="eastAsia" w:ascii="Times New Roman" w:hAnsi="Times New Roman" w:eastAsia="宋体" w:cs="Times New Roman"/>
          <w:color w:val="auto"/>
          <w:kern w:val="2"/>
          <w:sz w:val="24"/>
          <w:szCs w:val="24"/>
          <w:lang w:val="en-US" w:eastAsia="zh-CN" w:bidi="ar-SA"/>
        </w:rPr>
        <w:t>根据《产业结构调整指导目录（2019 年本）》，生猪养殖项目属于“第一类鼓励类”“一、农林业”中的“4、畜禽标准化规模养殖技术开发与应用”。</w:t>
      </w:r>
    </w:p>
    <w:p>
      <w:pPr>
        <w:pStyle w:val="154"/>
        <w:ind w:firstLine="480"/>
        <w:rPr>
          <w:color w:val="auto"/>
        </w:rPr>
      </w:pPr>
      <w:r>
        <w:rPr>
          <w:rFonts w:hint="eastAsia" w:ascii="Times New Roman" w:hAnsi="Times New Roman" w:eastAsia="宋体" w:cs="Times New Roman"/>
          <w:color w:val="auto"/>
          <w:kern w:val="2"/>
          <w:sz w:val="24"/>
          <w:szCs w:val="24"/>
          <w:lang w:val="en-US" w:eastAsia="zh-CN" w:bidi="ar-SA"/>
        </w:rPr>
        <w:t>同时，通江县发展和改革局以川投资备【2020-511921-03-03-472110】FGQB-0100号文对本项目进行了备案（见附件2）。</w:t>
      </w:r>
    </w:p>
    <w:p>
      <w:pPr>
        <w:pStyle w:val="7"/>
        <w:spacing w:before="0" w:after="0" w:line="360" w:lineRule="auto"/>
        <w:ind w:left="0" w:firstLine="0"/>
        <w:rPr>
          <w:rFonts w:hint="default" w:ascii="Times New Roman" w:hAnsi="Times New Roman" w:eastAsia="宋体" w:cs="Times New Roman"/>
          <w:color w:val="auto"/>
          <w:lang w:val="en-US" w:eastAsia="zh-CN"/>
        </w:rPr>
      </w:pPr>
      <w:bookmarkStart w:id="383" w:name="_Toc29076"/>
      <w:r>
        <w:rPr>
          <w:rFonts w:hint="default" w:ascii="Times New Roman" w:hAnsi="Times New Roman" w:eastAsia="宋体" w:cs="Times New Roman"/>
          <w:color w:val="auto"/>
          <w:lang w:val="en-US" w:eastAsia="zh-CN"/>
        </w:rPr>
        <w:t>规划符合性</w:t>
      </w:r>
      <w:bookmarkEnd w:id="382"/>
      <w:r>
        <w:rPr>
          <w:rFonts w:hint="default" w:ascii="Times New Roman" w:hAnsi="Times New Roman" w:eastAsia="宋体" w:cs="Times New Roman"/>
          <w:color w:val="auto"/>
          <w:lang w:val="en-US" w:eastAsia="zh-CN"/>
        </w:rPr>
        <w:t>及选址合理性</w:t>
      </w:r>
      <w:bookmarkEnd w:id="383"/>
    </w:p>
    <w:p>
      <w:pPr>
        <w:pStyle w:val="154"/>
        <w:ind w:firstLine="480"/>
        <w:rPr>
          <w:color w:val="auto"/>
        </w:rPr>
      </w:pPr>
      <w:r>
        <w:rPr>
          <w:rFonts w:hint="eastAsia"/>
          <w:color w:val="auto"/>
        </w:rPr>
        <w:t>本项目符合《水污染防治行动计划》（简称“水十条”）、《土壤污染防治行动计划》（简称“土十条”）和《土壤污染防治行动计划四川省工作方案》</w:t>
      </w:r>
      <w:r>
        <w:rPr>
          <w:rFonts w:hint="eastAsia"/>
          <w:bCs/>
          <w:color w:val="auto"/>
        </w:rPr>
        <w:t>、</w:t>
      </w:r>
      <w:r>
        <w:rPr>
          <w:rFonts w:hint="eastAsia"/>
          <w:color w:val="auto"/>
        </w:rPr>
        <w:t>《畜禽规模养殖污染防治条例》、《国务院办公厅关于加快推进畜禽养殖废弃物资源化利用的意见》、《畜禽粪污资源化利用行动方案（2017—2020年）》、《雅安市青衣江流域水环境保护条例》、《全国生猪生产发展规划（2016-2020年）》、《</w:t>
      </w:r>
      <w:r>
        <w:rPr>
          <w:color w:val="auto"/>
          <w:spacing w:val="-7"/>
        </w:rPr>
        <w:t>四川省畜牧业发展“十三五”规划（2016-202</w:t>
      </w:r>
      <w:r>
        <w:rPr>
          <w:rFonts w:hint="eastAsia"/>
          <w:color w:val="auto"/>
          <w:spacing w:val="-7"/>
        </w:rPr>
        <w:t>0</w:t>
      </w:r>
      <w:r>
        <w:rPr>
          <w:color w:val="auto"/>
          <w:spacing w:val="-7"/>
        </w:rPr>
        <w:t>）</w:t>
      </w:r>
      <w:r>
        <w:rPr>
          <w:rFonts w:hint="eastAsia"/>
          <w:color w:val="auto"/>
        </w:rPr>
        <w:t>》、《</w:t>
      </w:r>
      <w:r>
        <w:rPr>
          <w:rFonts w:ascii="ˎ̥" w:hAnsi="ˎ̥"/>
          <w:color w:val="auto"/>
        </w:rPr>
        <w:t>四川省“十三五”生态保护与建设规划</w:t>
      </w:r>
      <w:r>
        <w:rPr>
          <w:rFonts w:hint="eastAsia"/>
          <w:color w:val="auto"/>
        </w:rPr>
        <w:t>》、</w:t>
      </w:r>
      <w:r>
        <w:rPr>
          <w:rFonts w:hint="eastAsia"/>
          <w:bCs/>
          <w:color w:val="auto"/>
        </w:rPr>
        <w:t>《芦山县畜牧业“十三五”规划》、《通江县土地利用总体规划》（2006-2020年）》</w:t>
      </w:r>
      <w:r>
        <w:rPr>
          <w:rFonts w:hint="eastAsia"/>
          <w:color w:val="auto"/>
        </w:rPr>
        <w:t>等</w:t>
      </w:r>
      <w:r>
        <w:rPr>
          <w:bCs/>
          <w:color w:val="auto"/>
        </w:rPr>
        <w:t>相关要求</w:t>
      </w:r>
      <w:r>
        <w:rPr>
          <w:rFonts w:hint="eastAsia"/>
          <w:bCs/>
          <w:color w:val="auto"/>
        </w:rPr>
        <w:t>。本项目符合“三线一单”要求，不在生态红线，未突破环境质量底线，未突破资源利用上线，不在环境负面清单内。</w:t>
      </w:r>
    </w:p>
    <w:p>
      <w:pPr>
        <w:adjustRightInd w:val="0"/>
        <w:snapToGrid w:val="0"/>
        <w:ind w:firstLine="518" w:firstLineChars="216"/>
        <w:rPr>
          <w:color w:val="auto"/>
        </w:rPr>
      </w:pPr>
      <w:r>
        <w:rPr>
          <w:rFonts w:ascii="Times New Roman" w:hAnsi="Times New Roman" w:cs="Times New Roman"/>
          <w:bCs/>
          <w:color w:val="auto"/>
          <w:sz w:val="24"/>
          <w:szCs w:val="24"/>
        </w:rPr>
        <w:t>本项目选址于四川省</w:t>
      </w:r>
      <w:r>
        <w:rPr>
          <w:rFonts w:hint="eastAsia" w:ascii="Times New Roman" w:hAnsi="Times New Roman" w:cs="Times New Roman"/>
          <w:bCs/>
          <w:color w:val="auto"/>
          <w:sz w:val="24"/>
          <w:szCs w:val="24"/>
          <w:lang w:eastAsia="zh-CN"/>
        </w:rPr>
        <w:t>巴中市通江县龙凤场镇环山村</w:t>
      </w:r>
      <w:r>
        <w:rPr>
          <w:rFonts w:hint="eastAsia" w:ascii="Times New Roman" w:hAnsi="Times New Roman" w:cs="Times New Roman"/>
          <w:bCs/>
          <w:color w:val="auto"/>
          <w:sz w:val="24"/>
          <w:szCs w:val="24"/>
        </w:rPr>
        <w:t>，建设单位同</w:t>
      </w:r>
      <w:r>
        <w:rPr>
          <w:rFonts w:hint="eastAsia" w:ascii="Times New Roman" w:hAnsi="Times New Roman" w:cs="Times New Roman"/>
          <w:bCs/>
          <w:color w:val="auto"/>
          <w:sz w:val="24"/>
          <w:szCs w:val="24"/>
          <w:lang w:eastAsia="zh-CN"/>
        </w:rPr>
        <w:t>环山村</w:t>
      </w:r>
      <w:r>
        <w:rPr>
          <w:rFonts w:hint="eastAsia" w:ascii="Times New Roman" w:hAnsi="Times New Roman" w:cs="Times New Roman"/>
          <w:bCs/>
          <w:color w:val="auto"/>
          <w:sz w:val="24"/>
          <w:szCs w:val="24"/>
        </w:rPr>
        <w:t>签订了土地</w:t>
      </w:r>
      <w:r>
        <w:rPr>
          <w:rFonts w:hint="eastAsia" w:ascii="Times New Roman" w:hAnsi="Times New Roman" w:cs="Times New Roman"/>
          <w:bCs/>
          <w:color w:val="auto"/>
          <w:sz w:val="24"/>
          <w:szCs w:val="24"/>
          <w:lang w:eastAsia="zh-CN"/>
        </w:rPr>
        <w:t>承包合同</w:t>
      </w:r>
      <w:r>
        <w:rPr>
          <w:rFonts w:hint="eastAsia" w:ascii="Times New Roman" w:hAnsi="Times New Roman" w:cs="Times New Roman"/>
          <w:bCs/>
          <w:color w:val="auto"/>
          <w:sz w:val="24"/>
          <w:szCs w:val="24"/>
        </w:rPr>
        <w:t>，用地</w:t>
      </w:r>
      <w:r>
        <w:rPr>
          <w:rFonts w:hint="eastAsia" w:ascii="Times New Roman" w:hAnsi="Times New Roman" w:cs="Times New Roman"/>
          <w:bCs/>
          <w:color w:val="auto"/>
          <w:sz w:val="24"/>
          <w:szCs w:val="24"/>
          <w:lang w:val="en-US" w:eastAsia="zh-CN"/>
        </w:rPr>
        <w:t>704</w:t>
      </w:r>
      <w:r>
        <w:rPr>
          <w:rFonts w:hint="eastAsia" w:ascii="Times New Roman" w:hAnsi="Times New Roman" w:cs="Times New Roman"/>
          <w:bCs/>
          <w:color w:val="auto"/>
          <w:sz w:val="24"/>
          <w:szCs w:val="24"/>
        </w:rPr>
        <w:t>亩（详见附件3）。</w:t>
      </w:r>
      <w:r>
        <w:rPr>
          <w:rFonts w:hint="eastAsia" w:ascii="Times New Roman" w:hAnsi="Times New Roman" w:cs="Times New Roman"/>
          <w:color w:val="auto"/>
          <w:sz w:val="24"/>
        </w:rPr>
        <w:t>本项目</w:t>
      </w:r>
      <w:r>
        <w:rPr>
          <w:rFonts w:hint="eastAsia" w:ascii="Times New Roman" w:hAnsi="Times New Roman" w:cs="Times New Roman"/>
          <w:color w:val="auto"/>
          <w:sz w:val="24"/>
          <w:lang w:eastAsia="zh-CN"/>
        </w:rPr>
        <w:t>不在</w:t>
      </w:r>
      <w:r>
        <w:rPr>
          <w:rFonts w:hint="eastAsia" w:ascii="Times New Roman" w:hAnsi="Times New Roman" w:cs="Times New Roman"/>
          <w:color w:val="auto"/>
          <w:sz w:val="24"/>
        </w:rPr>
        <w:t>《通江县畜禽养殖禁养区划定方案》规定的</w:t>
      </w:r>
      <w:r>
        <w:rPr>
          <w:rFonts w:hint="eastAsia" w:ascii="Times New Roman" w:hAnsi="Times New Roman" w:cs="Times New Roman"/>
          <w:color w:val="auto"/>
          <w:sz w:val="24"/>
          <w:lang w:eastAsia="zh-CN"/>
        </w:rPr>
        <w:t>禁养</w:t>
      </w:r>
      <w:r>
        <w:rPr>
          <w:rFonts w:hint="eastAsia" w:ascii="Times New Roman" w:hAnsi="Times New Roman" w:cs="Times New Roman"/>
          <w:color w:val="auto"/>
          <w:sz w:val="24"/>
        </w:rPr>
        <w:t>区，符合</w:t>
      </w:r>
      <w:r>
        <w:rPr>
          <w:rFonts w:hint="eastAsia" w:ascii="Times New Roman" w:hAnsi="Times New Roman" w:cs="Times New Roman"/>
          <w:color w:val="auto"/>
          <w:sz w:val="24"/>
          <w:lang w:eastAsia="zh-CN"/>
        </w:rPr>
        <w:t>通江县</w:t>
      </w:r>
      <w:r>
        <w:rPr>
          <w:rFonts w:hint="eastAsia" w:ascii="Times New Roman" w:hAnsi="Times New Roman" w:cs="Times New Roman"/>
          <w:color w:val="auto"/>
          <w:sz w:val="24"/>
        </w:rPr>
        <w:t>养殖规划。本项目卫生防护距离范围内无人居住，本项目选址符合《村镇规划卫生规范》（</w:t>
      </w:r>
      <w:r>
        <w:rPr>
          <w:rFonts w:ascii="Times New Roman" w:hAnsi="Times New Roman" w:cs="Times New Roman"/>
          <w:color w:val="auto"/>
          <w:sz w:val="24"/>
        </w:rPr>
        <w:t>GB18055-20</w:t>
      </w:r>
      <w:r>
        <w:rPr>
          <w:rFonts w:hint="eastAsia" w:ascii="Times New Roman" w:hAnsi="Times New Roman" w:cs="Times New Roman"/>
          <w:color w:val="auto"/>
          <w:sz w:val="24"/>
        </w:rPr>
        <w:t>12）要求。</w:t>
      </w:r>
      <w:r>
        <w:rPr>
          <w:rFonts w:ascii="Times New Roman" w:hAnsi="Times New Roman" w:cs="Times New Roman"/>
          <w:bCs/>
          <w:color w:val="auto"/>
          <w:sz w:val="24"/>
        </w:rPr>
        <w:t>该项目选址符合</w:t>
      </w:r>
      <w:r>
        <w:rPr>
          <w:rFonts w:hint="eastAsia" w:ascii="Times New Roman" w:hAnsi="Times New Roman" w:cs="Times New Roman"/>
          <w:bCs/>
          <w:color w:val="auto"/>
          <w:sz w:val="24"/>
        </w:rPr>
        <w:t>《</w:t>
      </w:r>
      <w:r>
        <w:rPr>
          <w:rFonts w:hint="eastAsia" w:ascii="Times New Roman" w:hAnsi="Times New Roman" w:cs="Times New Roman"/>
          <w:color w:val="auto"/>
          <w:sz w:val="24"/>
        </w:rPr>
        <w:t>畜禽规模养殖污染防治条例</w:t>
      </w:r>
      <w:r>
        <w:rPr>
          <w:rFonts w:hint="eastAsia" w:ascii="Times New Roman" w:hAnsi="Times New Roman" w:cs="Times New Roman"/>
          <w:bCs/>
          <w:color w:val="auto"/>
          <w:sz w:val="24"/>
        </w:rPr>
        <w:t>》（</w:t>
      </w:r>
      <w:r>
        <w:rPr>
          <w:rFonts w:hint="eastAsia" w:ascii="Times New Roman" w:hAnsi="Times New Roman" w:cs="Times New Roman"/>
          <w:color w:val="auto"/>
          <w:sz w:val="24"/>
        </w:rPr>
        <w:t>国务院令</w:t>
      </w:r>
      <w:r>
        <w:rPr>
          <w:rFonts w:hint="eastAsia" w:ascii="Times New Roman" w:hAnsi="Times New Roman" w:cs="Times New Roman"/>
          <w:bCs/>
          <w:color w:val="auto"/>
          <w:sz w:val="24"/>
        </w:rPr>
        <w:t>第643号）、《畜禽养殖业污染防治技术规范》（HJ/T81-2001）中选址要求，不在当地农业部门划定禁养区内，选址基本合理可行。</w:t>
      </w:r>
    </w:p>
    <w:p>
      <w:pPr>
        <w:pStyle w:val="7"/>
        <w:spacing w:before="0" w:after="0" w:line="360" w:lineRule="auto"/>
        <w:ind w:left="0" w:firstLine="0"/>
        <w:rPr>
          <w:rFonts w:hint="default" w:ascii="Times New Roman" w:hAnsi="Times New Roman" w:eastAsia="宋体" w:cs="Times New Roman"/>
          <w:color w:val="auto"/>
        </w:rPr>
      </w:pPr>
      <w:bookmarkStart w:id="384" w:name="_Toc28901"/>
      <w:bookmarkStart w:id="385" w:name="_Toc26168"/>
      <w:bookmarkStart w:id="386" w:name="_Toc405412961"/>
      <w:r>
        <w:rPr>
          <w:rFonts w:hint="default" w:ascii="Times New Roman" w:hAnsi="Times New Roman" w:eastAsia="宋体" w:cs="Times New Roman"/>
          <w:color w:val="auto"/>
        </w:rPr>
        <w:t>项目所在区域环境质量现状</w:t>
      </w:r>
      <w:bookmarkEnd w:id="384"/>
    </w:p>
    <w:p>
      <w:pPr>
        <w:tabs>
          <w:tab w:val="left" w:pos="9540"/>
        </w:tabs>
        <w:ind w:right="42" w:rightChars="20" w:firstLine="516" w:firstLineChars="215"/>
        <w:jc w:val="left"/>
        <w:rPr>
          <w:rFonts w:ascii="Times New Roman" w:hAnsi="Times New Roman" w:cs="Times New Roman"/>
          <w:color w:val="auto"/>
          <w:kern w:val="0"/>
          <w:sz w:val="24"/>
        </w:rPr>
      </w:pPr>
      <w:r>
        <w:rPr>
          <w:rFonts w:ascii="Times New Roman" w:hAnsi="Times New Roman" w:cs="Times New Roman"/>
          <w:color w:val="auto"/>
          <w:kern w:val="0"/>
          <w:sz w:val="24"/>
        </w:rPr>
        <w:t>大气环境</w:t>
      </w:r>
      <w:r>
        <w:rPr>
          <w:rFonts w:hint="eastAsia" w:ascii="Times New Roman" w:hAnsi="Times New Roman" w:cs="Times New Roman"/>
          <w:color w:val="auto"/>
          <w:kern w:val="0"/>
          <w:sz w:val="24"/>
        </w:rPr>
        <w:t>：项目所在区域环境空气质量不达标，属于不达标区，为PM</w:t>
      </w:r>
      <w:r>
        <w:rPr>
          <w:rFonts w:hint="eastAsia" w:ascii="Times New Roman" w:hAnsi="Times New Roman" w:cs="Times New Roman"/>
          <w:color w:val="auto"/>
          <w:kern w:val="0"/>
          <w:sz w:val="24"/>
          <w:vertAlign w:val="subscript"/>
        </w:rPr>
        <w:t>10</w:t>
      </w:r>
      <w:r>
        <w:rPr>
          <w:rFonts w:hint="eastAsia" w:ascii="Times New Roman" w:hAnsi="Times New Roman" w:cs="Times New Roman"/>
          <w:color w:val="auto"/>
          <w:kern w:val="0"/>
          <w:sz w:val="24"/>
        </w:rPr>
        <w:t>、PM</w:t>
      </w:r>
      <w:r>
        <w:rPr>
          <w:rFonts w:hint="eastAsia" w:ascii="Times New Roman" w:hAnsi="Times New Roman" w:cs="Times New Roman"/>
          <w:color w:val="auto"/>
          <w:kern w:val="0"/>
          <w:sz w:val="24"/>
          <w:vertAlign w:val="subscript"/>
        </w:rPr>
        <w:t>2.5</w:t>
      </w:r>
      <w:r>
        <w:rPr>
          <w:rFonts w:hint="eastAsia" w:ascii="Times New Roman" w:hAnsi="Times New Roman" w:cs="Times New Roman"/>
          <w:color w:val="auto"/>
          <w:kern w:val="0"/>
          <w:sz w:val="24"/>
        </w:rPr>
        <w:t>不达标。</w:t>
      </w:r>
      <w:r>
        <w:rPr>
          <w:rFonts w:hint="eastAsia" w:ascii="Times New Roman" w:hAnsi="Times New Roman"/>
          <w:color w:val="auto"/>
          <w:sz w:val="24"/>
        </w:rPr>
        <w:t>项目所在区域环境空气中氨、硫化氢监测指标</w:t>
      </w:r>
      <w:r>
        <w:rPr>
          <w:rFonts w:hint="eastAsia" w:ascii="Times New Roman" w:hAnsi="Times New Roman"/>
          <w:bCs/>
          <w:color w:val="auto"/>
          <w:sz w:val="24"/>
        </w:rPr>
        <w:t>满足</w:t>
      </w:r>
      <w:r>
        <w:rPr>
          <w:rFonts w:hint="eastAsia" w:ascii="Times New Roman" w:hAnsi="Times New Roman"/>
          <w:color w:val="auto"/>
          <w:sz w:val="24"/>
        </w:rPr>
        <w:t>相关标准</w:t>
      </w:r>
      <w:r>
        <w:rPr>
          <w:rFonts w:hint="eastAsia" w:ascii="Times New Roman" w:hAnsi="Times New Roman"/>
          <w:bCs/>
          <w:color w:val="auto"/>
          <w:sz w:val="24"/>
        </w:rPr>
        <w:t>限值要求。</w:t>
      </w:r>
    </w:p>
    <w:p>
      <w:pPr>
        <w:ind w:firstLine="480" w:firstLineChars="200"/>
        <w:rPr>
          <w:rFonts w:ascii="Times New Roman" w:hAnsi="Times New Roman" w:cs="Times New Roman"/>
          <w:color w:val="auto"/>
          <w:sz w:val="24"/>
        </w:rPr>
      </w:pPr>
      <w:r>
        <w:rPr>
          <w:rFonts w:ascii="Times New Roman" w:hAnsi="Times New Roman" w:cs="Times New Roman"/>
          <w:color w:val="auto"/>
          <w:sz w:val="24"/>
        </w:rPr>
        <w:t>地表水环境</w:t>
      </w:r>
      <w:r>
        <w:rPr>
          <w:rFonts w:hint="eastAsia" w:ascii="Times New Roman" w:hAnsi="Times New Roman" w:cs="Times New Roman"/>
          <w:color w:val="auto"/>
          <w:sz w:val="24"/>
        </w:rPr>
        <w:t>：</w:t>
      </w:r>
      <w:r>
        <w:rPr>
          <w:rFonts w:hint="eastAsia" w:ascii="Times New Roman" w:hAnsi="Times New Roman" w:cs="Times New Roman"/>
          <w:color w:val="auto"/>
          <w:sz w:val="24"/>
          <w:lang w:eastAsia="zh-CN"/>
        </w:rPr>
        <w:t>小河沟</w:t>
      </w:r>
      <w:r>
        <w:rPr>
          <w:rFonts w:hint="eastAsia" w:ascii="Times New Roman" w:hAnsi="Times New Roman"/>
          <w:color w:val="auto"/>
          <w:sz w:val="24"/>
        </w:rPr>
        <w:t>各监测指标均满足《地表水环境质量标准》（</w:t>
      </w:r>
      <w:r>
        <w:rPr>
          <w:rFonts w:ascii="Times New Roman" w:hAnsi="Times New Roman"/>
          <w:color w:val="auto"/>
          <w:sz w:val="24"/>
        </w:rPr>
        <w:t>GB8978-2002</w:t>
      </w:r>
      <w:r>
        <w:rPr>
          <w:rFonts w:hint="eastAsia" w:ascii="Times New Roman" w:hAnsi="Times New Roman"/>
          <w:color w:val="auto"/>
          <w:sz w:val="24"/>
        </w:rPr>
        <w:t>）</w:t>
      </w:r>
      <w:r>
        <w:rPr>
          <w:rFonts w:ascii="Times New Roman" w:hAnsi="Times New Roman"/>
          <w:color w:val="auto"/>
          <w:sz w:val="24"/>
        </w:rPr>
        <w:t>III</w:t>
      </w:r>
      <w:r>
        <w:rPr>
          <w:rFonts w:hint="eastAsia" w:ascii="Times New Roman" w:hAnsi="Times New Roman"/>
          <w:color w:val="auto"/>
          <w:sz w:val="24"/>
        </w:rPr>
        <w:t>类标准，项目所在区域地表水环境质量较好。</w:t>
      </w:r>
    </w:p>
    <w:p>
      <w:pPr>
        <w:tabs>
          <w:tab w:val="left" w:pos="9540"/>
        </w:tabs>
        <w:ind w:right="42" w:rightChars="20" w:firstLine="516" w:firstLineChars="215"/>
        <w:rPr>
          <w:rFonts w:ascii="Times New Roman" w:hAnsi="Times New Roman"/>
          <w:color w:val="auto"/>
          <w:sz w:val="24"/>
        </w:rPr>
      </w:pPr>
      <w:r>
        <w:rPr>
          <w:rFonts w:hint="eastAsia" w:ascii="Times New Roman" w:hAnsi="Times New Roman" w:cs="Times New Roman"/>
          <w:color w:val="auto"/>
          <w:kern w:val="0"/>
          <w:sz w:val="24"/>
        </w:rPr>
        <w:t>地下水环境：</w:t>
      </w:r>
      <w:r>
        <w:rPr>
          <w:rFonts w:hint="eastAsia" w:ascii="Times New Roman" w:hAnsi="Times New Roman"/>
          <w:color w:val="auto"/>
          <w:sz w:val="24"/>
        </w:rPr>
        <w:t>各监测点位地下水中监测因子均满足《地下水质量标准》（</w:t>
      </w:r>
      <w:r>
        <w:rPr>
          <w:rFonts w:ascii="Times New Roman" w:hAnsi="Times New Roman"/>
          <w:color w:val="auto"/>
          <w:sz w:val="24"/>
        </w:rPr>
        <w:t>GB/T14848-2017</w:t>
      </w:r>
      <w:r>
        <w:rPr>
          <w:rFonts w:hint="eastAsia" w:ascii="Times New Roman" w:hAnsi="Times New Roman"/>
          <w:color w:val="auto"/>
          <w:sz w:val="24"/>
        </w:rPr>
        <w:t>）</w:t>
      </w:r>
      <w:r>
        <w:rPr>
          <w:rFonts w:hint="eastAsia" w:ascii="宋体" w:hAnsi="宋体"/>
          <w:color w:val="auto"/>
          <w:sz w:val="24"/>
        </w:rPr>
        <w:t>Ⅲ</w:t>
      </w:r>
      <w:r>
        <w:rPr>
          <w:rFonts w:hint="eastAsia" w:ascii="Times New Roman" w:hAnsi="Times New Roman"/>
          <w:color w:val="auto"/>
          <w:sz w:val="24"/>
        </w:rPr>
        <w:t>类标准。</w:t>
      </w:r>
    </w:p>
    <w:p>
      <w:pPr>
        <w:tabs>
          <w:tab w:val="left" w:pos="9540"/>
        </w:tabs>
        <w:ind w:right="42" w:rightChars="20" w:firstLine="516" w:firstLineChars="215"/>
        <w:rPr>
          <w:rFonts w:ascii="Times New Roman" w:hAnsi="Times New Roman" w:cs="Times New Roman"/>
          <w:color w:val="auto"/>
          <w:kern w:val="0"/>
          <w:sz w:val="24"/>
        </w:rPr>
      </w:pPr>
      <w:r>
        <w:rPr>
          <w:rFonts w:hint="eastAsia" w:ascii="Times New Roman" w:hAnsi="Times New Roman" w:cs="Times New Roman"/>
          <w:color w:val="auto"/>
          <w:kern w:val="0"/>
          <w:sz w:val="24"/>
        </w:rPr>
        <w:t>土壤环境：本项目厂址区域土壤中各污染物含量均低于《土壤环境质量-农用地土壤污染风险管控标准》（试行）（GB15618-2018）中表1规定的风险筛选值，说明本项目所在厂址处土壤污染风险低。</w:t>
      </w:r>
    </w:p>
    <w:p>
      <w:pPr>
        <w:tabs>
          <w:tab w:val="left" w:pos="9540"/>
        </w:tabs>
        <w:ind w:right="42" w:rightChars="20" w:firstLine="516" w:firstLineChars="215"/>
        <w:rPr>
          <w:rFonts w:ascii="Times New Roman" w:hAnsi="Times New Roman" w:cs="Times New Roman"/>
          <w:color w:val="auto"/>
          <w:kern w:val="0"/>
          <w:sz w:val="24"/>
        </w:rPr>
      </w:pPr>
      <w:r>
        <w:rPr>
          <w:rFonts w:hint="eastAsia" w:ascii="Times New Roman" w:hAnsi="Times New Roman" w:cs="Times New Roman"/>
          <w:color w:val="auto"/>
          <w:kern w:val="0"/>
          <w:sz w:val="24"/>
        </w:rPr>
        <w:t>声环境：本项目场界各监测点昼、夜环境噪声均低于《声环境质量标准》（GB3096-2008）中2类标准限值的要求；区域声环境质量较好。</w:t>
      </w:r>
    </w:p>
    <w:p>
      <w:pPr>
        <w:pStyle w:val="7"/>
        <w:spacing w:before="0" w:after="0" w:line="360" w:lineRule="auto"/>
        <w:ind w:left="0" w:firstLine="0"/>
        <w:rPr>
          <w:rFonts w:hint="default" w:ascii="Times New Roman" w:hAnsi="Times New Roman" w:eastAsia="宋体" w:cs="Times New Roman"/>
          <w:color w:val="auto"/>
        </w:rPr>
      </w:pPr>
      <w:r>
        <w:rPr>
          <w:rFonts w:hint="default" w:ascii="Times New Roman" w:hAnsi="Times New Roman" w:eastAsia="宋体" w:cs="Times New Roman"/>
          <w:color w:val="auto"/>
        </w:rPr>
        <w:t>环境影响评价</w:t>
      </w:r>
      <w:bookmarkEnd w:id="385"/>
    </w:p>
    <w:p>
      <w:pPr>
        <w:ind w:firstLine="482" w:firstLineChars="200"/>
        <w:rPr>
          <w:rFonts w:ascii="Times New Roman" w:hAnsi="Times New Roman" w:cs="Times New Roman"/>
          <w:b/>
          <w:color w:val="auto"/>
          <w:sz w:val="24"/>
          <w:szCs w:val="24"/>
        </w:rPr>
      </w:pPr>
      <w:bookmarkStart w:id="387" w:name="_Toc405412968"/>
      <w:r>
        <w:rPr>
          <w:rFonts w:ascii="Times New Roman" w:hAnsi="Times New Roman" w:cs="Times New Roman"/>
          <w:b/>
          <w:color w:val="auto"/>
          <w:sz w:val="24"/>
          <w:szCs w:val="24"/>
        </w:rPr>
        <w:t>1、施工期环境影响</w:t>
      </w:r>
    </w:p>
    <w:p>
      <w:pPr>
        <w:tabs>
          <w:tab w:val="left" w:pos="9540"/>
        </w:tabs>
        <w:ind w:firstLine="480" w:firstLineChars="200"/>
        <w:jc w:val="left"/>
        <w:rPr>
          <w:rFonts w:ascii="Times New Roman" w:hAnsi="Times New Roman" w:cs="Times New Roman"/>
          <w:color w:val="auto"/>
          <w:kern w:val="0"/>
          <w:sz w:val="24"/>
        </w:rPr>
      </w:pPr>
      <w:r>
        <w:rPr>
          <w:rFonts w:ascii="Times New Roman" w:hAnsi="Times New Roman" w:cs="Times New Roman"/>
          <w:color w:val="auto"/>
          <w:kern w:val="0"/>
          <w:sz w:val="24"/>
        </w:rPr>
        <w:t>本项目建设施工期环境因素主要为车辆运输和设备安装过程中产生的噪声，其将对区域声学环境产生短暂影响。施工期对环境的影响是属于局部、短期、可恢复性的。施工场地周围200m内无学校和集中居住区等敏感目标，对周围环境的影响较小。</w:t>
      </w:r>
    </w:p>
    <w:p>
      <w:pPr>
        <w:ind w:firstLine="482" w:firstLineChars="200"/>
        <w:rPr>
          <w:rFonts w:ascii="Times New Roman" w:hAnsi="Times New Roman" w:cs="Times New Roman"/>
          <w:b/>
          <w:color w:val="auto"/>
          <w:sz w:val="24"/>
        </w:rPr>
      </w:pPr>
      <w:r>
        <w:rPr>
          <w:rFonts w:ascii="Times New Roman" w:hAnsi="Times New Roman" w:cs="Times New Roman"/>
          <w:b/>
          <w:color w:val="auto"/>
          <w:sz w:val="24"/>
        </w:rPr>
        <w:t>2、运营期环境评价结论</w:t>
      </w:r>
    </w:p>
    <w:bookmarkEnd w:id="387"/>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（1）运营期大气环境影响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根据预测结果，本项目厂界H</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S、NH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的预测排放浓度均能满足《恶臭污染物排放标准》（GB14554-93）表1中二级标准要求，对环境空气影响很小。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根据计算，本项目的卫生防护距离确定以猪舍、污水处理站、堆肥车间边界起外扩200m包络线。根据现场踏勘调查，本项目卫生防护距离</w:t>
      </w:r>
      <w:r>
        <w:rPr>
          <w:rFonts w:ascii="Times New Roman" w:hAnsi="Times New Roman" w:eastAsia="宋体" w:cs="Times New Roman"/>
          <w:color w:val="auto"/>
          <w:sz w:val="24"/>
          <w:szCs w:val="24"/>
        </w:rPr>
        <w:t>200m</w:t>
      </w:r>
      <w:r>
        <w:rPr>
          <w:rFonts w:hint="eastAsia" w:ascii="Times New Roman" w:hAnsi="Times New Roman" w:eastAsia="宋体" w:cs="Times New Roman"/>
          <w:color w:val="auto"/>
          <w:sz w:val="24"/>
          <w:szCs w:val="24"/>
        </w:rPr>
        <w:t>范围内有</w:t>
      </w:r>
      <w:r>
        <w:rPr>
          <w:rFonts w:hint="eastAsia" w:ascii="Times New Roman" w:hAnsi="Times New Roman" w:eastAsia="宋体" w:cs="Times New Roman"/>
          <w:color w:val="auto"/>
          <w:sz w:val="24"/>
          <w:szCs w:val="24"/>
          <w:lang w:eastAsia="zh-CN"/>
        </w:rPr>
        <w:t>无敏感点居住</w:t>
      </w:r>
      <w:r>
        <w:rPr>
          <w:rFonts w:hint="eastAsia" w:ascii="Times New Roman" w:hAnsi="Times New Roman" w:eastAsia="宋体" w:cs="Times New Roman"/>
          <w:color w:val="auto"/>
          <w:sz w:val="24"/>
          <w:szCs w:val="24"/>
        </w:rPr>
        <w:t>；根据卫生防护距离计算结果，提出如下卫生防护距离设置要求：在卫生防护距离范围内</w:t>
      </w:r>
      <w:r>
        <w:rPr>
          <w:rFonts w:hint="eastAsia" w:ascii="Times New Roman" w:hAnsi="Times New Roman" w:eastAsia="宋体" w:cs="Times New Roman"/>
          <w:bCs/>
          <w:color w:val="auto"/>
          <w:sz w:val="24"/>
          <w:szCs w:val="24"/>
        </w:rPr>
        <w:t>不得规划新建集中居民区、医院、学校及食品医药加工企业等易受本项目恶臭影响的建设项目。</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沼气将用于养殖场内的燃烧使用，经净化后的沼气属于清洁能源，燃烧后的产物为二氧化碳和水，不会污染环境。食堂油烟经油烟净化装置处理后能满足《饮食业油烟排放标准》（GB18483-2001）中相关标准要求。柴油发电机废气经发电机配置的排风系统排放，排放口设置朝向绿化，对环境无明显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综上，项目运营期废气</w:t>
      </w:r>
      <w:r>
        <w:rPr>
          <w:rFonts w:ascii="Times New Roman" w:hAnsi="Times New Roman" w:eastAsia="宋体" w:cs="Times New Roman"/>
          <w:color w:val="auto"/>
          <w:sz w:val="24"/>
          <w:szCs w:val="24"/>
        </w:rPr>
        <w:t>不会对项目所在地环境空气质量造成明显不利影响。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（2）运营期水环境影响</w:t>
      </w:r>
    </w:p>
    <w:p>
      <w:pPr>
        <w:spacing w:line="44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猪场养殖废水和生活污水经收集后，进入拟建的“</w:t>
      </w:r>
      <w:r>
        <w:rPr>
          <w:rFonts w:hint="default" w:ascii="Times New Roman" w:hAnsi="Times New Roman" w:eastAsia="宋体" w:cs="Times New Roman"/>
          <w:color w:val="auto"/>
          <w:sz w:val="24"/>
          <w:szCs w:val="24"/>
        </w:rPr>
        <w:t>固液分离+UASB厌氧+絮凝沉淀+两级A/O系统+混凝絮凝沉淀+消毒</w:t>
      </w:r>
      <w:r>
        <w:rPr>
          <w:rFonts w:hint="eastAsia" w:ascii="Times New Roman" w:hAnsi="Times New Roman" w:eastAsia="宋体" w:cs="Times New Roman"/>
          <w:color w:val="auto"/>
          <w:sz w:val="24"/>
          <w:szCs w:val="24"/>
        </w:rPr>
        <w:t>”污水处理设施处理达《农田灌溉水质标准》（GB5084-2005）中旱作标准后暂存于储存池内，</w:t>
      </w:r>
      <w:r>
        <w:rPr>
          <w:rFonts w:hint="eastAsia" w:ascii="Times New Roman" w:hAnsi="Times New Roman" w:eastAsia="宋体" w:cs="Times New Roman"/>
          <w:color w:val="auto"/>
          <w:sz w:val="24"/>
          <w:szCs w:val="24"/>
          <w:lang w:eastAsia="zh-CN"/>
        </w:rPr>
        <w:t>用于周围林地灌溉，不外排，</w:t>
      </w:r>
      <w:r>
        <w:rPr>
          <w:rFonts w:hint="eastAsia" w:ascii="Times New Roman" w:hAnsi="Times New Roman" w:eastAsia="宋体" w:cs="Times New Roman"/>
          <w:color w:val="auto"/>
          <w:sz w:val="24"/>
          <w:szCs w:val="24"/>
        </w:rPr>
        <w:t>不会对周边地表水环境造成明显不利影响。</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建设单位做好污水处理站、粪便脱水间、危险废物暂存间、柴油发电机房、场区地面等防渗措施后，项目对地下水环境影响较小。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（3）运营期声环境影响</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本项目运营期对声环境的影响主要来自于猪叫声、风机、水泵等，针对声源特征，评价提出以下措施：选择低噪声的设备，</w:t>
      </w:r>
      <w:r>
        <w:rPr>
          <w:rFonts w:ascii="Times New Roman" w:hAnsi="Times New Roman" w:eastAsia="宋体" w:cs="Times New Roman"/>
          <w:color w:val="auto"/>
          <w:sz w:val="24"/>
          <w:szCs w:val="24"/>
        </w:rPr>
        <w:t>采用减振吊装、落地式安装设备采用弹簧减振器或橡胶减振垫</w:t>
      </w:r>
      <w:r>
        <w:rPr>
          <w:rFonts w:hint="eastAsia" w:ascii="Times New Roman" w:hAnsi="Times New Roman" w:eastAsia="宋体" w:cs="Times New Roman"/>
          <w:color w:val="auto"/>
          <w:sz w:val="24"/>
          <w:szCs w:val="24"/>
        </w:rPr>
        <w:t>；对设备进行定期检修，加强润滑作用，保持设备良好的运转状态，尽量降低噪声；要求给风机、污水处理站水泵等产噪设备安装减震垫，</w:t>
      </w:r>
      <w:r>
        <w:rPr>
          <w:rFonts w:ascii="Times New Roman" w:hAnsi="Times New Roman" w:eastAsia="宋体" w:cs="Times New Roman"/>
          <w:color w:val="auto"/>
          <w:sz w:val="24"/>
          <w:szCs w:val="24"/>
        </w:rPr>
        <w:t>风机进出口风管处安装消声设备</w:t>
      </w:r>
      <w:r>
        <w:rPr>
          <w:rFonts w:hint="eastAsia" w:ascii="Times New Roman" w:hAnsi="Times New Roman" w:eastAsia="宋体" w:cs="Times New Roman"/>
          <w:color w:val="auto"/>
          <w:sz w:val="24"/>
          <w:szCs w:val="24"/>
        </w:rPr>
        <w:t>。采取上述措施后，项目投产运营后厂界噪声值满足《工业企业厂界环境噪声排放标准》（GB12348-2008）2类标准要求；</w:t>
      </w:r>
      <w:r>
        <w:rPr>
          <w:rFonts w:ascii="Times New Roman" w:hAnsi="Times New Roman" w:eastAsia="宋体" w:cs="Times New Roman"/>
          <w:color w:val="auto"/>
          <w:sz w:val="24"/>
          <w:szCs w:val="24"/>
        </w:rPr>
        <w:t>不会改变区域声学环境质量。</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（4）运营期固体废物影响</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项目运营期产生的固体废物包括</w:t>
      </w:r>
      <w:r>
        <w:rPr>
          <w:rFonts w:ascii="Times New Roman" w:hAnsi="Times New Roman" w:eastAsia="宋体" w:cs="Times New Roman"/>
          <w:color w:val="auto"/>
          <w:sz w:val="24"/>
          <w:szCs w:val="24"/>
        </w:rPr>
        <w:t>猪粪、污水处理设施污泥及沼渣、病死猪及胎盘、畜禽医疗废物、生活垃圾、废脱硫剂和废包装材料</w:t>
      </w:r>
      <w:r>
        <w:rPr>
          <w:rFonts w:hint="eastAsia" w:ascii="Times New Roman" w:hAnsi="Times New Roman" w:eastAsia="宋体" w:cs="Times New Roman"/>
          <w:color w:val="auto"/>
          <w:sz w:val="24"/>
          <w:szCs w:val="24"/>
        </w:rPr>
        <w:t>等。其中</w:t>
      </w:r>
      <w:r>
        <w:rPr>
          <w:rFonts w:ascii="Times New Roman" w:hAnsi="Times New Roman" w:eastAsia="宋体" w:cs="Times New Roman"/>
          <w:color w:val="auto"/>
          <w:sz w:val="24"/>
          <w:szCs w:val="24"/>
        </w:rPr>
        <w:t>猪粪、污水处理设施污泥及沼渣收集堆肥发酵后作为有机肥外售；病死猪及胎盘采用</w:t>
      </w:r>
      <w:r>
        <w:rPr>
          <w:rFonts w:hint="eastAsia" w:ascii="Times New Roman" w:hAnsi="Times New Roman" w:eastAsia="宋体" w:cs="Times New Roman"/>
          <w:color w:val="auto"/>
          <w:sz w:val="24"/>
          <w:szCs w:val="24"/>
          <w:lang w:eastAsia="zh-CN"/>
        </w:rPr>
        <w:t>无害化降解处理机</w:t>
      </w:r>
      <w:r>
        <w:rPr>
          <w:rFonts w:ascii="Times New Roman" w:hAnsi="Times New Roman" w:eastAsia="宋体" w:cs="Times New Roman"/>
          <w:color w:val="auto"/>
          <w:sz w:val="24"/>
          <w:szCs w:val="24"/>
        </w:rPr>
        <w:t>处理，处理后运至</w:t>
      </w:r>
      <w:r>
        <w:rPr>
          <w:rFonts w:hint="eastAsia" w:ascii="Times New Roman" w:hAnsi="Times New Roman" w:eastAsia="宋体" w:cs="Times New Roman"/>
          <w:color w:val="auto"/>
          <w:sz w:val="24"/>
          <w:szCs w:val="24"/>
          <w:lang w:eastAsia="zh-CN"/>
        </w:rPr>
        <w:t>堆肥车间</w:t>
      </w:r>
      <w:r>
        <w:rPr>
          <w:rFonts w:ascii="Times New Roman" w:hAnsi="Times New Roman" w:eastAsia="宋体" w:cs="Times New Roman"/>
          <w:color w:val="auto"/>
          <w:sz w:val="24"/>
          <w:szCs w:val="24"/>
        </w:rPr>
        <w:t>发酵后作为有机肥外售；畜禽医疗废物暂存于危险废物暂存间，交由危险废物处置单位进行处置；生活垃圾袋装收集后暂存于生活垃圾暂存间，及时运往垃圾中转站，由环卫部门统一清运处置；废脱硫剂集中收集后交由原厂家回收再生利用；废包装材料统一收集后送至废品回收站收购。</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采取的各项固体废弃物处置措施可行，从一定程度上体现了固体废物无害化和资源化利用的原则，只要在生产运营中将各项处理措施落到实处，可有效防止固体废物的逸散和对环境的二次污染，不会对周围环境造成明显不利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rPr>
        <w:t>）运营期生态环境影响</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评价区生态系统受到本项目影响相对较小，在严格采取评价提出的生态保护措施后，其生态特征不会从根本上发生改变，体系仍然维持原有的稳定性和生态承载能力。项目虽然在对周围生态环境产生一定的影响，但是其处理达标的大量废水用于周边耕地灌溉，提高了农作物如玉米的灌溉保证率，有利于提高农作物的产量和质量，本工程的建设对周围农业环境有较大的有益作用。</w:t>
      </w:r>
    </w:p>
    <w:p>
      <w:pPr>
        <w:pStyle w:val="7"/>
        <w:spacing w:before="0" w:after="0" w:line="360" w:lineRule="auto"/>
        <w:ind w:left="0" w:firstLine="0"/>
        <w:rPr>
          <w:rFonts w:hint="default" w:ascii="Times New Roman" w:hAnsi="Times New Roman" w:eastAsia="宋体" w:cs="Times New Roman"/>
          <w:color w:val="auto"/>
        </w:rPr>
      </w:pPr>
      <w:bookmarkStart w:id="388" w:name="_Toc27549"/>
      <w:r>
        <w:rPr>
          <w:rFonts w:hint="default" w:ascii="Times New Roman" w:hAnsi="Times New Roman" w:eastAsia="宋体" w:cs="Times New Roman"/>
          <w:color w:val="auto"/>
        </w:rPr>
        <w:t>环境风险</w:t>
      </w:r>
      <w:bookmarkEnd w:id="388"/>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本项目营运期间涉及的主要危险物质包括柴油</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甲烷</w:t>
      </w:r>
      <w:r>
        <w:rPr>
          <w:rFonts w:hint="eastAsia" w:ascii="Times New Roman" w:hAnsi="Times New Roman" w:eastAsia="宋体" w:cs="Times New Roman"/>
          <w:color w:val="auto"/>
          <w:sz w:val="24"/>
          <w:szCs w:val="24"/>
          <w:lang w:eastAsia="zh-CN"/>
        </w:rPr>
        <w:t>、过氧乙酸</w:t>
      </w:r>
      <w:r>
        <w:rPr>
          <w:rFonts w:hint="eastAsia" w:ascii="Times New Roman" w:hAnsi="Times New Roman" w:eastAsia="宋体" w:cs="Times New Roman"/>
          <w:color w:val="auto"/>
          <w:sz w:val="24"/>
          <w:szCs w:val="24"/>
        </w:rPr>
        <w:t>，不构成重大危险源，项目环境风险事故的发生概率极小。建设单位通过采取一系列的风险防范措施，同时制定相应的事故应急预案，可有效地防止环境风险事故的发生；一旦发生事故，依靠安全防护设施和事故应急措施也能及时控制事故，防止事故的蔓延。减少事故带来的人员伤亡、财产损失和环境影响，项目的环境风险水平是可以接受的。综合分析，从环境风险角度分析本项目建设可行。</w:t>
      </w:r>
    </w:p>
    <w:p>
      <w:pPr>
        <w:pStyle w:val="7"/>
        <w:spacing w:before="0" w:after="0" w:line="360" w:lineRule="auto"/>
        <w:ind w:left="0" w:firstLine="0"/>
        <w:rPr>
          <w:rFonts w:hint="eastAsia" w:ascii="Times New Roman" w:hAnsi="Times New Roman" w:eastAsia="宋体" w:cs="Times New Roman"/>
          <w:color w:val="auto"/>
        </w:rPr>
      </w:pPr>
      <w:bookmarkStart w:id="389" w:name="_Toc11714"/>
      <w:r>
        <w:rPr>
          <w:rFonts w:hint="default" w:ascii="Times New Roman" w:hAnsi="Times New Roman" w:eastAsia="宋体" w:cs="Times New Roman"/>
          <w:color w:val="auto"/>
        </w:rPr>
        <w:t>环境保护措施及环境影响经济损益分析</w:t>
      </w:r>
      <w:bookmarkEnd w:id="389"/>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采取的污染防治措施和生态保护措施，技术上成熟可靠，治理效果较好，采取的环境保护措施在经济、技术上均可行。只要建设单位切实落实设计和评价提出的各项污染防治措施，使各类污染物均做到达标排放，则该项目的建设和营运对周围环境的影响是可以承受的，能够做到社会效益、环境效益和经济效益的统一，可达到三者协调发展的目的。</w:t>
      </w:r>
    </w:p>
    <w:p>
      <w:pPr>
        <w:pStyle w:val="7"/>
        <w:spacing w:before="0" w:after="0" w:line="360" w:lineRule="auto"/>
        <w:ind w:left="0" w:firstLine="0"/>
        <w:rPr>
          <w:rFonts w:hint="default" w:ascii="Times New Roman" w:hAnsi="Times New Roman" w:eastAsia="宋体" w:cs="Times New Roman"/>
          <w:color w:val="auto"/>
        </w:rPr>
      </w:pPr>
      <w:bookmarkStart w:id="390" w:name="_Toc10497"/>
      <w:r>
        <w:rPr>
          <w:rFonts w:hint="eastAsia" w:ascii="Times New Roman" w:hAnsi="Times New Roman" w:eastAsia="宋体" w:cs="Times New Roman"/>
          <w:color w:val="auto"/>
        </w:rPr>
        <w:t>环境</w:t>
      </w:r>
      <w:r>
        <w:rPr>
          <w:rFonts w:hint="default" w:ascii="Times New Roman" w:hAnsi="Times New Roman" w:eastAsia="宋体" w:cs="Times New Roman"/>
          <w:color w:val="auto"/>
        </w:rPr>
        <w:t>管理与监测计划</w:t>
      </w:r>
      <w:bookmarkEnd w:id="390"/>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建设单位根据工程的不同阶段，制定相关的环境管理计划并严格实施；项目施工期、运营期提供资金和设备保障，保证项目环境监测计划的执行。</w:t>
      </w:r>
    </w:p>
    <w:p>
      <w:pPr>
        <w:pStyle w:val="7"/>
        <w:spacing w:before="0" w:after="0" w:line="360" w:lineRule="auto"/>
        <w:ind w:left="0" w:firstLine="0"/>
        <w:rPr>
          <w:rFonts w:hint="eastAsia" w:ascii="Times New Roman" w:hAnsi="Times New Roman" w:eastAsia="宋体" w:cs="Times New Roman"/>
          <w:color w:val="auto"/>
        </w:rPr>
      </w:pPr>
      <w:bookmarkStart w:id="391" w:name="_Toc2095"/>
      <w:r>
        <w:rPr>
          <w:rFonts w:hint="eastAsia" w:ascii="Times New Roman" w:hAnsi="Times New Roman" w:eastAsia="宋体" w:cs="Times New Roman"/>
          <w:color w:val="auto"/>
        </w:rPr>
        <w:t>总量控制</w:t>
      </w:r>
      <w:bookmarkEnd w:id="391"/>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根据工程分析和国家总量控制指标，本项目确定需要进行总量控制的主要污染物为COD、NH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-N。由于废水经污水处理设施处理后全部有效利用，不外排。因此，本项目COD、NH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-N排放量为0，不对COD、NH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-N进行总量调剂。</w:t>
      </w:r>
    </w:p>
    <w:p>
      <w:pPr>
        <w:pStyle w:val="7"/>
        <w:spacing w:before="0" w:after="0" w:line="360" w:lineRule="auto"/>
        <w:ind w:left="0" w:firstLine="0"/>
        <w:rPr>
          <w:rFonts w:hint="eastAsia" w:ascii="Times New Roman" w:hAnsi="Times New Roman" w:eastAsia="宋体" w:cs="Times New Roman"/>
          <w:color w:val="auto"/>
        </w:rPr>
      </w:pPr>
      <w:bookmarkStart w:id="392" w:name="_Toc30232"/>
      <w:r>
        <w:rPr>
          <w:rFonts w:hint="eastAsia" w:ascii="Times New Roman" w:hAnsi="Times New Roman" w:eastAsia="宋体" w:cs="Times New Roman"/>
          <w:color w:val="auto"/>
        </w:rPr>
        <w:t>公众参与</w:t>
      </w:r>
      <w:bookmarkEnd w:id="392"/>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val="en"/>
        </w:rPr>
        <w:t>环境影响评价公众参与办法</w:t>
      </w:r>
      <w:r>
        <w:rPr>
          <w:rFonts w:hint="eastAsia" w:ascii="Times New Roman" w:hAnsi="Times New Roman" w:eastAsia="宋体" w:cs="Times New Roman"/>
          <w:color w:val="auto"/>
          <w:sz w:val="24"/>
          <w:szCs w:val="24"/>
        </w:rPr>
        <w:t>》（生态环境部令第4号）中的相关要求，</w:t>
      </w:r>
      <w:r>
        <w:rPr>
          <w:rFonts w:hint="eastAsia" w:ascii="Times New Roman" w:hAnsi="Times New Roman" w:eastAsia="宋体" w:cs="Times New Roman"/>
          <w:color w:val="auto"/>
          <w:sz w:val="24"/>
          <w:szCs w:val="24"/>
          <w:lang w:eastAsia="zh-CN"/>
        </w:rPr>
        <w:t>通江温氏畜牧有限公司</w:t>
      </w:r>
      <w:r>
        <w:rPr>
          <w:rFonts w:hint="eastAsia" w:ascii="Times New Roman" w:hAnsi="Times New Roman" w:eastAsia="宋体" w:cs="Times New Roman"/>
          <w:color w:val="auto"/>
          <w:sz w:val="24"/>
          <w:szCs w:val="24"/>
        </w:rPr>
        <w:t>通过网络、刊登报纸、现场张贴等方式进行了本项目环境影响评价公众参与信息公示，在公示期间未收到反对项目建设的反馈意见，项目建设得到了公众的广泛认同和支持。</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通江温氏畜牧有限公司</w:t>
      </w:r>
      <w:r>
        <w:rPr>
          <w:rFonts w:hint="eastAsia" w:ascii="Times New Roman" w:hAnsi="Times New Roman" w:eastAsia="宋体" w:cs="Times New Roman"/>
          <w:color w:val="auto"/>
          <w:sz w:val="24"/>
          <w:szCs w:val="24"/>
        </w:rPr>
        <w:t>应重视环境保护，严格执行国家有关规定及标准，落实各项环保治理措施，加强环境管理，减轻</w:t>
      </w:r>
      <w:r>
        <w:rPr>
          <w:rFonts w:hint="eastAsia" w:ascii="Times New Roman" w:hAnsi="Times New Roman" w:eastAsia="宋体" w:cs="Times New Roman"/>
          <w:color w:val="auto"/>
          <w:sz w:val="24"/>
          <w:szCs w:val="24"/>
          <w:lang w:eastAsia="zh-CN"/>
        </w:rPr>
        <w:t>通江温氏畜牧有限公司龙凤场镇种猪养殖项目</w:t>
      </w:r>
      <w:r>
        <w:rPr>
          <w:rFonts w:hint="eastAsia" w:ascii="Times New Roman" w:hAnsi="Times New Roman" w:eastAsia="宋体" w:cs="Times New Roman"/>
          <w:color w:val="auto"/>
          <w:sz w:val="24"/>
          <w:szCs w:val="24"/>
        </w:rPr>
        <w:t>对周围环境的影响。</w:t>
      </w:r>
    </w:p>
    <w:p>
      <w:pPr>
        <w:pStyle w:val="7"/>
        <w:spacing w:before="0" w:after="0" w:line="360" w:lineRule="auto"/>
        <w:ind w:left="0" w:firstLine="0"/>
        <w:rPr>
          <w:rFonts w:hint="eastAsia" w:ascii="Times New Roman" w:hAnsi="Times New Roman" w:eastAsia="宋体" w:cs="Times New Roman"/>
          <w:color w:val="auto"/>
        </w:rPr>
      </w:pPr>
      <w:bookmarkStart w:id="393" w:name="_Toc216236132"/>
      <w:bookmarkStart w:id="394" w:name="_Toc214882616"/>
      <w:bookmarkStart w:id="395" w:name="_Toc20339"/>
      <w:bookmarkStart w:id="396" w:name="_Toc217283834"/>
      <w:r>
        <w:rPr>
          <w:rFonts w:hint="eastAsia" w:ascii="Times New Roman" w:hAnsi="Times New Roman" w:eastAsia="宋体" w:cs="Times New Roman"/>
          <w:color w:val="auto"/>
        </w:rPr>
        <w:t>环境影响可行性结论</w:t>
      </w:r>
      <w:bookmarkEnd w:id="393"/>
      <w:bookmarkEnd w:id="394"/>
      <w:bookmarkEnd w:id="395"/>
      <w:bookmarkEnd w:id="396"/>
    </w:p>
    <w:p>
      <w:pPr>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本项目的建设符合国家现行产业政策，满足相关规划要求。项目采取的污染防治措施技术经济可行，可实现污染物达标排放，满足总量控制要求，项目的实施不会改变区域的环境功能。项目风险防范措施可靠有效，认真落实环境风险防范措施后，项目环境风险为可接受水平，从环境风险角度分析项目是可行的。在严格执行“三同时”制度、全面落实本评价提出的环保措施和风险防范措施的前提下，项目的建设不会改变当地的环境质量及生态环境现状；项目建设得到了公众的广泛认同和支持。因此，从环境保护的角度分析，本项目的建设可行。</w:t>
      </w:r>
    </w:p>
    <w:p>
      <w:pPr>
        <w:pStyle w:val="6"/>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lang w:val="en-US" w:eastAsia="zh-CN"/>
        </w:rPr>
      </w:pPr>
      <w:bookmarkStart w:id="397" w:name="_Toc29221901"/>
      <w:bookmarkStart w:id="398" w:name="_Toc18889"/>
      <w:r>
        <w:rPr>
          <w:rFonts w:hint="eastAsia" w:ascii="Times New Roman" w:hAnsi="Times New Roman" w:eastAsia="宋体" w:cs="Times New Roman"/>
          <w:color w:val="auto"/>
          <w:lang w:val="en-US" w:eastAsia="zh-CN"/>
        </w:rPr>
        <w:t>建议及要求</w:t>
      </w:r>
      <w:bookmarkEnd w:id="397"/>
      <w:bookmarkEnd w:id="398"/>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建设单位在生产过程中应严格控制风险，认真落实各项治理措施；加强项目环保设施的日常管理工作，强化环保设施的维修、保养，保证环保设施的正常稳定运行，确保污染物稳定达标排放；杜绝污染物非正常排放。</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建设项目在建设过程中，应严格执行环保设施与主体工程同时设计、同时施工、同时投产的“三同时”制度。建设项目实施后，应加强环境保护管理工作，制定必要的规章制度，实现各项污染物稳定达标排放。</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3、加强项目污染物排放的日常监测，建立污染源档案，接受当地环保部门监管，预防事故排放；定期为猪只作全面健康检查，避免疫情发生。</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4、项目建设应重视引进和建立先进的环保管理模式，完善管理机制，强化企业职工自身的环保意识和事故风险意识。</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color w:val="auto"/>
          <w:sz w:val="24"/>
          <w:szCs w:val="24"/>
        </w:rPr>
        <w:t>5、加强企业体系管理，开展清洁生产审核，提高员工的素质和能力，提高企业的管理水平和清洁生产水平；进一步优化养殖工艺，从源强上削减污染物的产生量。加强对职工环境保护的宣传教育工作，提高全体员工的环保意识，做到环境保护，人人有责，积极探索进一步提高清洁生</w:t>
      </w:r>
      <w:r>
        <w:rPr>
          <w:rFonts w:hint="eastAsia" w:ascii="Times New Roman" w:hAnsi="Times New Roman" w:eastAsia="宋体" w:cs="Times New Roman"/>
          <w:sz w:val="24"/>
          <w:szCs w:val="24"/>
        </w:rPr>
        <w:t>产水平。</w:t>
      </w:r>
      <w:bookmarkEnd w:id="386"/>
    </w:p>
    <w:sectPr>
      <w:pgSz w:w="11906" w:h="16838"/>
      <w:pgMar w:top="1440" w:right="1800" w:bottom="1440" w:left="1800" w:header="992"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Arial Black">
    <w:panose1 w:val="020B0A04020102020204"/>
    <w:charset w:val="00"/>
    <w:family w:val="swiss"/>
    <w:pitch w:val="default"/>
    <w:sig w:usb0="00000287" w:usb1="00000000" w:usb2="00000000" w:usb3="00000000" w:csb0="2000009F" w:csb1="DFD70000"/>
  </w:font>
  <w:font w:name="MHei-Medium">
    <w:altName w:val="微软雅黑"/>
    <w:panose1 w:val="00000000000000000000"/>
    <w:charset w:val="00"/>
    <w:family w:val="auto"/>
    <w:pitch w:val="default"/>
    <w:sig w:usb0="00000000" w:usb1="00000000" w:usb2="00000000" w:usb3="00000000" w:csb0="00040001" w:csb1="00000000"/>
  </w:font>
  <w:font w:name="Garamond">
    <w:panose1 w:val="02020404030301010803"/>
    <w:charset w:val="00"/>
    <w:family w:val="roman"/>
    <w:pitch w:val="default"/>
    <w:sig w:usb0="00000287" w:usb1="00000000" w:usb2="00000000" w:usb3="00000000" w:csb0="0000009F" w:csb1="DFD70000"/>
  </w:font>
  <w:font w:name="Times">
    <w:altName w:val="Times New Roman"/>
    <w:panose1 w:val="02020603050405020304"/>
    <w:charset w:val="00"/>
    <w:family w:val="roman"/>
    <w:pitch w:val="default"/>
    <w:sig w:usb0="00000000" w:usb1="00000000" w:usb2="00000009" w:usb3="00000000" w:csb0="000001FF"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TimesNewRoman">
    <w:altName w:val="Times New Roman"/>
    <w:panose1 w:val="00000000000000000000"/>
    <w:charset w:val="00"/>
    <w:family w:val="roman"/>
    <w:pitch w:val="default"/>
    <w:sig w:usb0="00000000" w:usb1="00000000" w:usb2="00000010" w:usb3="00000000" w:csb0="00060001" w:csb1="00000000"/>
  </w:font>
  <w:font w:name="幼圆">
    <w:panose1 w:val="0201050906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方正姚体">
    <w:panose1 w:val="02010601030101010101"/>
    <w:charset w:val="86"/>
    <w:family w:val="auto"/>
    <w:pitch w:val="default"/>
    <w:sig w:usb0="00000003"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CG Times (WN)">
    <w:altName w:val="Times New Roman"/>
    <w:panose1 w:val="00000000000000000000"/>
    <w:charset w:val="00"/>
    <w:family w:val="roman"/>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Constantia">
    <w:panose1 w:val="02030602050306030303"/>
    <w:charset w:val="00"/>
    <w:family w:val="roman"/>
    <w:pitch w:val="default"/>
    <w:sig w:usb0="A00002EF" w:usb1="4000204B" w:usb2="00000000" w:usb3="00000000" w:csb0="2000019F" w:csb1="00000000"/>
  </w:font>
  <w:font w:name="Bookman Old Style">
    <w:panose1 w:val="02050604050505020204"/>
    <w:charset w:val="00"/>
    <w:family w:val="roman"/>
    <w:pitch w:val="default"/>
    <w:sig w:usb0="00000287" w:usb1="00000000" w:usb2="00000000" w:usb3="00000000" w:csb0="2000009F" w:csb1="DFD70000"/>
  </w:font>
  <w:font w:name="AngsanaUPC">
    <w:panose1 w:val="02020603050405020304"/>
    <w:charset w:val="00"/>
    <w:family w:val="roman"/>
    <w:pitch w:val="default"/>
    <w:sig w:usb0="81000003" w:usb1="00000000" w:usb2="00000000" w:usb3="00000000" w:csb0="00010001" w:csb1="00000000"/>
  </w:font>
  <w:font w:name="Plotter">
    <w:altName w:val="Lucida Console"/>
    <w:panose1 w:val="00000000000000000000"/>
    <w:charset w:val="00"/>
    <w:family w:val="moder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Symusic">
    <w:panose1 w:val="00000400000000000000"/>
    <w:charset w:val="00"/>
    <w:family w:val="auto"/>
    <w:pitch w:val="default"/>
    <w:sig w:usb0="00000001" w:usb1="00000000" w:usb2="00000000" w:usb3="00000000" w:csb0="000001FF" w:csb1="00000000"/>
  </w:font>
  <w:font w:name="PMingLiU">
    <w:panose1 w:val="02020500000000000000"/>
    <w:charset w:val="88"/>
    <w:family w:val="roman"/>
    <w:pitch w:val="default"/>
    <w:sig w:usb0="A00002FF" w:usb1="28CFFCFA" w:usb2="00000016" w:usb3="00000000" w:csb0="00100001" w:csb1="00000000"/>
  </w:font>
  <w:font w:name="華康中楷體">
    <w:altName w:val="Microsoft JhengHei"/>
    <w:panose1 w:val="00000000000000000000"/>
    <w:charset w:val="88"/>
    <w:family w:val="modern"/>
    <w:pitch w:val="default"/>
    <w:sig w:usb0="00000000" w:usb1="00000000" w:usb2="00000010" w:usb3="00000000" w:csb0="00100000" w:csb1="00000000"/>
  </w:font>
  <w:font w:name="MS Gothic">
    <w:panose1 w:val="020B0609070205080204"/>
    <w:charset w:val="80"/>
    <w:family w:val="modern"/>
    <w:pitch w:val="default"/>
    <w:sig w:usb0="E00002FF" w:usb1="6AC7FDFB" w:usb2="00000012" w:usb3="00000000" w:csb0="4002009F" w:csb1="DFD70000"/>
  </w:font>
  <w:font w:name="汉鼎简书宋">
    <w:altName w:val="宋体"/>
    <w:panose1 w:val="00000000000000000000"/>
    <w:charset w:val="86"/>
    <w:family w:val="modern"/>
    <w:pitch w:val="default"/>
    <w:sig w:usb0="00000000" w:usb1="00000000" w:usb2="00000010" w:usb3="00000000" w:csb0="00040000" w:csb1="00000000"/>
  </w:font>
  <w:font w:name="经典叠圆体简">
    <w:altName w:val="宋体"/>
    <w:panose1 w:val="00000000000000000000"/>
    <w:charset w:val="86"/>
    <w:family w:val="modern"/>
    <w:pitch w:val="default"/>
    <w:sig w:usb0="00000000" w:usb1="00000000" w:usb2="0000001E" w:usb3="00000000" w:csb0="00040000" w:csb1="00000000"/>
  </w:font>
  <w:font w:name="DFKai-SB">
    <w:panose1 w:val="03000509000000000000"/>
    <w:charset w:val="88"/>
    <w:family w:val="script"/>
    <w:pitch w:val="default"/>
    <w:sig w:usb0="00000003" w:usb1="082E0000" w:usb2="00000016" w:usb3="00000000" w:csb0="00100001" w:csb1="00000000"/>
  </w:font>
  <w:font w:name="Batang">
    <w:panose1 w:val="02030600000101010101"/>
    <w:charset w:val="81"/>
    <w:family w:val="roman"/>
    <w:pitch w:val="default"/>
    <w:sig w:usb0="B00002AF" w:usb1="69D77CFB" w:usb2="00000030" w:usb3="00000000" w:csb0="4008009F" w:csb1="DFD70000"/>
  </w:font>
  <w:font w:name="方正宋三简体">
    <w:altName w:val="宋体"/>
    <w:panose1 w:val="00000000000000000000"/>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
    <w:altName w:val="Arial"/>
    <w:panose1 w:val="00000000000000000000"/>
    <w:charset w:val="00"/>
    <w:family w:val="modern"/>
    <w:pitch w:val="default"/>
    <w:sig w:usb0="00000000"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Gulim">
    <w:panose1 w:val="020B0600000101010101"/>
    <w:charset w:val="81"/>
    <w:family w:val="swiss"/>
    <w:pitch w:val="default"/>
    <w:sig w:usb0="B00002AF" w:usb1="69D77CFB" w:usb2="00000030" w:usb3="00000000" w:csb0="4008009F" w:csb1="DFD70000"/>
  </w:font>
  <w:font w:name="Microsoft JhengHei">
    <w:panose1 w:val="020B0604030504040204"/>
    <w:charset w:val="88"/>
    <w:family w:val="swiss"/>
    <w:pitch w:val="default"/>
    <w:sig w:usb0="00000087" w:usb1="28AF4000" w:usb2="00000016" w:usb3="00000000" w:csb0="00100009"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Lucida Console">
    <w:panose1 w:val="020B0609040504020204"/>
    <w:charset w:val="00"/>
    <w:family w:val="auto"/>
    <w:pitch w:val="default"/>
    <w:sig w:usb0="8000028F" w:usb1="00001800" w:usb2="00000000" w:usb3="00000000" w:csb0="0000001F" w:csb1="D7D7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w:pict>
        <v:shape id="_x0000_s3073" o:spid="_x0000_s3073" o:spt="202" type="#_x0000_t202" style="position:absolute;left:0pt;margin-left:207.8pt;margin-top:778.65pt;height:144pt;width:144pt;mso-position-horizontal-relative:margin;mso-position-vertical-relative:page;mso-wrap-style:none;z-index:251660288;mso-width-relative:page;mso-height-relative:page;" filled="f" stroked="f" coordsize="21600,21600">
          <v:path/>
          <v:fill on="f" focussize="0,0"/>
          <v:stroke on="f"/>
          <v:imagedata o:title=""/>
          <o:lock v:ext="edit" aspectratio="f"/>
          <v:textbox inset="0mm,0mm,0mm,0mm" style="mso-fit-shape-to-text:t;">
            <w:txbxContent>
              <w:sdt>
                <w:sdtPr>
                  <w:id w:val="1063152907"/>
                </w:sdtPr>
                <w:sdtContent>
                  <w:p>
                    <w:pPr>
                      <w:pStyle w:val="56"/>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vi</w:t>
                    </w:r>
                    <w:r>
                      <w:rPr>
                        <w:rFonts w:ascii="Times New Roman" w:hAnsi="Times New Roman" w:cs="Times New Roman"/>
                      </w:rPr>
                      <w:fldChar w:fldCharType="end"/>
                    </w:r>
                  </w:p>
                </w:sdtContent>
              </w:sdt>
              <w:p>
                <w:pPr>
                  <w:pStyle w:val="110"/>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1063152908"/>
                </w:sdtPr>
                <w:sdtContent>
                  <w:p>
                    <w:pPr>
                      <w:pStyle w:val="56"/>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107</w:t>
                    </w:r>
                    <w:r>
                      <w:rPr>
                        <w:rFonts w:ascii="Times New Roman" w:hAnsi="Times New Roman" w:cs="Times New Roman"/>
                      </w:rPr>
                      <w:fldChar w:fldCharType="end"/>
                    </w:r>
                  </w:p>
                </w:sdtContent>
              </w:sdt>
              <w:p>
                <w:pPr>
                  <w:pStyle w:val="2"/>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pict>
        <v:shape id="_x0000_s3077" o:spid="_x0000_s3077" o:spt="202" type="#_x0000_t202" style="position:absolute;left:0pt;margin-top:0pt;height:144pt;width:144pt;mso-position-horizontal:center;mso-position-horizontal-relative:margin;mso-wrap-style:none;z-index:251784192;mso-width-relative:page;mso-height-relative:page;" filled="f" stroked="f" coordsize="21600,21600">
          <v:path/>
          <v:fill on="f" focussize="0,0"/>
          <v:stroke on="f"/>
          <v:imagedata o:title=""/>
          <o:lock v:ext="edit" aspectratio="f"/>
          <v:textbox inset="0mm,0mm,0mm,0mm" style="mso-fit-shape-to-text:t;">
            <w:txbxContent>
              <w:p>
                <w:pPr>
                  <w:pStyle w:val="56"/>
                  <w:rPr>
                    <w:rFonts w:hint="eastAsia"/>
                  </w:rPr>
                </w:pPr>
                <w:r>
                  <w:rPr>
                    <w:rFonts w:hint="eastAsia"/>
                  </w:rPr>
                  <w:fldChar w:fldCharType="begin"/>
                </w:r>
                <w:r>
                  <w:rPr>
                    <w:rFonts w:hint="eastAsia"/>
                  </w:rPr>
                  <w:instrText xml:space="preserve"> PAGE  \* MERGEFORMAT </w:instrText>
                </w:r>
                <w:r>
                  <w:rPr>
                    <w:rFonts w:hint="eastAsia"/>
                  </w:rPr>
                  <w:fldChar w:fldCharType="separate"/>
                </w:r>
                <w:r>
                  <w:t>88</w:t>
                </w:r>
                <w:r>
                  <w:rPr>
                    <w:rFonts w:hint="eastAsia"/>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pict>
        <v:shape id="_x0000_s3075" o:spid="_x0000_s3075" o:spt="202" type="#_x0000_t202" style="position:absolute;left:0pt;margin-top:0pt;height:144pt;width:144pt;mso-position-horizontal:center;mso-position-horizontal-relative:margin;mso-wrap-style:none;z-index:251721728;mso-width-relative:page;mso-height-relative:page;" filled="f" stroked="f" coordsize="21600,21600">
          <v:path/>
          <v:fill on="f" focussize="0,0"/>
          <v:stroke on="f"/>
          <v:imagedata o:title=""/>
          <o:lock v:ext="edit" aspectratio="f"/>
          <v:textbox inset="0mm,0mm,0mm,0mm" style="mso-fit-shape-to-text:t;">
            <w:txbxContent>
              <w:p>
                <w:pPr>
                  <w:pStyle w:val="56"/>
                  <w:rPr>
                    <w:rFonts w:hint="eastAsia"/>
                  </w:rPr>
                </w:pPr>
                <w:r>
                  <w:rPr>
                    <w:rFonts w:hint="eastAsia"/>
                  </w:rPr>
                  <w:fldChar w:fldCharType="begin"/>
                </w:r>
                <w:r>
                  <w:rPr>
                    <w:rFonts w:hint="eastAsia"/>
                  </w:rPr>
                  <w:instrText xml:space="preserve"> PAGE  \* MERGEFORMAT </w:instrText>
                </w:r>
                <w:r>
                  <w:rPr>
                    <w:rFonts w:hint="eastAsia"/>
                  </w:rPr>
                  <w:fldChar w:fldCharType="separate"/>
                </w:r>
                <w:r>
                  <w:t>88</w:t>
                </w:r>
                <w:r>
                  <w:rPr>
                    <w:rFonts w:hint="eastAsia"/>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kinsoku w:val="0"/>
      <w:overflowPunct w:val="0"/>
      <w:spacing w:line="14" w:lineRule="auto"/>
      <w:rPr>
        <w:rFonts w:ascii="Times New Roman" w:cs="Times New Roman"/>
        <w:sz w:val="20"/>
        <w:szCs w:val="20"/>
      </w:rPr>
    </w:pPr>
    <w:r>
      <w:pict>
        <v:shape id="文本框 2" o:spid="_x0000_s3076" o:spt="202" type="#_x0000_t202" style="position:absolute;left:0pt;margin-left:207.8pt;margin-top:778.65pt;height:11.15pt;width:17.7pt;mso-position-horizontal-relative:margin;mso-position-vertical-relative:page;z-index:251658240;mso-width-relative:page;mso-height-relative:page;" filled="f" stroked="f" coordsize="21600,21600" o:allowincell="f" o:gfxdata="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eGZX&#10;2wAAAA0BAAAPAAAAAAAAAAEAIAAAACIAAABkcnMvZG93bnJldi54bWxQSwECFAAUAAAACACHTuJA&#10;nE3H+awBAAA7AwAADgAAAAAAAAABACAAAAAqAQAAZHJzL2Uyb0RvYy54bWxQSwUGAAAAAAYABgBZ&#10;AQAASAUAAAAA&#10;">
          <v:path/>
          <v:fill on="f" focussize="0,0"/>
          <v:stroke on="f" joinstyle="miter"/>
          <v:imagedata o:title=""/>
          <o:lock v:ext="edit"/>
          <v:textbox inset="0mm,0mm,0mm,0mm">
            <w:txbxContent>
              <w:p>
                <w:pPr>
                  <w:pStyle w:val="36"/>
                  <w:kinsoku w:val="0"/>
                  <w:overflowPunct w:val="0"/>
                  <w:spacing w:line="206" w:lineRule="exact"/>
                  <w:ind w:left="40"/>
                  <w:rPr>
                    <w:rFonts w:ascii="Times New Roman" w:cs="Times New Roman"/>
                    <w:sz w:val="18"/>
                    <w:szCs w:val="18"/>
                  </w:rPr>
                </w:pPr>
                <w:r>
                  <w:rPr>
                    <w:rFonts w:ascii="Times New Roman" w:cs="Times New Roman"/>
                    <w:w w:val="101"/>
                    <w:sz w:val="18"/>
                    <w:szCs w:val="18"/>
                  </w:rPr>
                  <w:fldChar w:fldCharType="begin"/>
                </w:r>
                <w:r>
                  <w:rPr>
                    <w:rFonts w:ascii="Times New Roman" w:cs="Times New Roman"/>
                    <w:w w:val="101"/>
                    <w:sz w:val="18"/>
                    <w:szCs w:val="18"/>
                  </w:rPr>
                  <w:instrText xml:space="preserve"> PAGE </w:instrText>
                </w:r>
                <w:r>
                  <w:rPr>
                    <w:rFonts w:ascii="Times New Roman" w:cs="Times New Roman"/>
                    <w:w w:val="101"/>
                    <w:sz w:val="18"/>
                    <w:szCs w:val="18"/>
                  </w:rPr>
                  <w:fldChar w:fldCharType="separate"/>
                </w:r>
                <w:r>
                  <w:rPr>
                    <w:rFonts w:ascii="Times New Roman" w:cs="Times New Roman"/>
                    <w:w w:val="101"/>
                    <w:sz w:val="18"/>
                    <w:szCs w:val="18"/>
                  </w:rPr>
                  <w:t>130</w:t>
                </w:r>
                <w:r>
                  <w:rPr>
                    <w:rFonts w:ascii="Times New Roman" w:cs="Times New Roman"/>
                    <w:w w:val="101"/>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ascii="黑体" w:hAnsi="黑体" w:eastAsia="黑体" w:cs="Times New Roman"/>
        <w:b/>
        <w:sz w:val="21"/>
        <w:szCs w:val="21"/>
      </w:rPr>
    </w:pPr>
    <w:r>
      <w:rPr>
        <w:rFonts w:hint="eastAsia"/>
        <w:sz w:val="21"/>
        <w:szCs w:val="21"/>
        <w:lang w:eastAsia="zh-CN"/>
      </w:rPr>
      <w:t>通江温氏畜牧有限公司龙凤场镇种猪养殖项目</w:t>
    </w:r>
    <w:r>
      <w:rPr>
        <w:sz w:val="21"/>
        <w:szCs w:val="21"/>
      </w:rPr>
      <w:t>环境影响报告</w:t>
    </w:r>
    <w:r>
      <w:rPr>
        <w:rFonts w:hint="eastAsia"/>
        <w:sz w:val="21"/>
        <w:szCs w:val="21"/>
      </w:rPr>
      <w:t>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hint="eastAsia" w:ascii="宋体" w:hAnsi="宋体"/>
        <w:sz w:val="32"/>
        <w:szCs w:val="32"/>
      </w:rPr>
    </w:pPr>
    <w:r>
      <w:rPr>
        <w:rFonts w:hint="eastAsia"/>
        <w:sz w:val="21"/>
        <w:szCs w:val="21"/>
        <w:lang w:eastAsia="zh-CN"/>
      </w:rPr>
      <w:t>通江温氏畜牧有限公司龙凤场镇种猪养殖项目</w:t>
    </w:r>
    <w:r>
      <w:rPr>
        <w:sz w:val="21"/>
        <w:szCs w:val="21"/>
      </w:rPr>
      <w:t>环境影响报告</w:t>
    </w:r>
    <w:r>
      <w:rPr>
        <w:rFonts w:hint="eastAsia"/>
        <w:sz w:val="21"/>
        <w:szCs w:val="21"/>
        <w:lang w:eastAsia="zh-CN"/>
      </w:rPr>
      <w:t>书</w:t>
    </w:r>
    <w:r>
      <w:rPr>
        <w:rFonts w:hint="eastAsia" w:ascii="宋体" w:hAnsi="宋体"/>
      </w:rPr>
      <w:t xml:space="preserve">  </w:t>
    </w:r>
    <w:r>
      <w:rPr>
        <w:rFonts w:ascii="宋体" w:hAnsi="宋体"/>
      </w:rPr>
      <w:t xml:space="preserve">                     </w:t>
    </w:r>
    <w:r>
      <w:rPr>
        <w:rFonts w:hint="eastAsia" w:ascii="宋体" w:hAnsi="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1BA4B3"/>
    <w:multiLevelType w:val="singleLevel"/>
    <w:tmpl w:val="8A1BA4B3"/>
    <w:lvl w:ilvl="0" w:tentative="0">
      <w:start w:val="1"/>
      <w:numFmt w:val="decimal"/>
      <w:suff w:val="nothing"/>
      <w:lvlText w:val="（%1）"/>
      <w:lvlJc w:val="left"/>
    </w:lvl>
  </w:abstractNum>
  <w:abstractNum w:abstractNumId="1">
    <w:nsid w:val="8BCF9EE3"/>
    <w:multiLevelType w:val="singleLevel"/>
    <w:tmpl w:val="8BCF9EE3"/>
    <w:lvl w:ilvl="0" w:tentative="0">
      <w:start w:val="1"/>
      <w:numFmt w:val="chineseCounting"/>
      <w:suff w:val="nothing"/>
      <w:lvlText w:val="（%1）"/>
      <w:lvlJc w:val="left"/>
      <w:rPr>
        <w:rFonts w:hint="eastAsia"/>
      </w:rPr>
    </w:lvl>
  </w:abstractNum>
  <w:abstractNum w:abstractNumId="2">
    <w:nsid w:val="8CB3D2AF"/>
    <w:multiLevelType w:val="singleLevel"/>
    <w:tmpl w:val="8CB3D2AF"/>
    <w:lvl w:ilvl="0" w:tentative="0">
      <w:start w:val="3"/>
      <w:numFmt w:val="decimal"/>
      <w:suff w:val="nothing"/>
      <w:lvlText w:val="%1、"/>
      <w:lvlJc w:val="left"/>
    </w:lvl>
  </w:abstractNum>
  <w:abstractNum w:abstractNumId="3">
    <w:nsid w:val="8F1899C7"/>
    <w:multiLevelType w:val="singleLevel"/>
    <w:tmpl w:val="8F1899C7"/>
    <w:lvl w:ilvl="0" w:tentative="0">
      <w:start w:val="1"/>
      <w:numFmt w:val="decimal"/>
      <w:lvlText w:val="表2.4-%1"/>
      <w:lvlJc w:val="left"/>
      <w:pPr>
        <w:tabs>
          <w:tab w:val="left" w:pos="420"/>
        </w:tabs>
        <w:ind w:left="425" w:leftChars="0" w:hanging="425" w:firstLineChars="0"/>
      </w:pPr>
      <w:rPr>
        <w:rFonts w:hint="default"/>
      </w:rPr>
    </w:lvl>
  </w:abstractNum>
  <w:abstractNum w:abstractNumId="4">
    <w:nsid w:val="96822B05"/>
    <w:multiLevelType w:val="singleLevel"/>
    <w:tmpl w:val="96822B05"/>
    <w:lvl w:ilvl="0" w:tentative="0">
      <w:start w:val="1"/>
      <w:numFmt w:val="decimal"/>
      <w:suff w:val="nothing"/>
      <w:lvlText w:val="图3.2-%1"/>
      <w:lvlJc w:val="left"/>
      <w:pPr>
        <w:ind w:left="0" w:firstLine="403"/>
      </w:pPr>
      <w:rPr>
        <w:rFonts w:hint="default"/>
      </w:rPr>
    </w:lvl>
  </w:abstractNum>
  <w:abstractNum w:abstractNumId="5">
    <w:nsid w:val="9E005768"/>
    <w:multiLevelType w:val="singleLevel"/>
    <w:tmpl w:val="9E005768"/>
    <w:lvl w:ilvl="0" w:tentative="0">
      <w:start w:val="1"/>
      <w:numFmt w:val="decimal"/>
      <w:lvlText w:val="表6.7-%1"/>
      <w:lvlJc w:val="left"/>
      <w:pPr>
        <w:tabs>
          <w:tab w:val="left" w:pos="420"/>
        </w:tabs>
        <w:ind w:left="425" w:leftChars="0" w:hanging="425" w:firstLineChars="0"/>
      </w:pPr>
      <w:rPr>
        <w:rFonts w:hint="default"/>
      </w:rPr>
    </w:lvl>
  </w:abstractNum>
  <w:abstractNum w:abstractNumId="6">
    <w:nsid w:val="9E448740"/>
    <w:multiLevelType w:val="singleLevel"/>
    <w:tmpl w:val="9E448740"/>
    <w:lvl w:ilvl="0" w:tentative="0">
      <w:start w:val="1"/>
      <w:numFmt w:val="decimal"/>
      <w:lvlText w:val="表8.7-%1"/>
      <w:lvlJc w:val="left"/>
      <w:pPr>
        <w:tabs>
          <w:tab w:val="left" w:pos="420"/>
        </w:tabs>
        <w:ind w:left="425" w:leftChars="0" w:hanging="425" w:firstLineChars="0"/>
      </w:pPr>
      <w:rPr>
        <w:rFonts w:hint="default"/>
      </w:rPr>
    </w:lvl>
  </w:abstractNum>
  <w:abstractNum w:abstractNumId="7">
    <w:nsid w:val="AA32CCE3"/>
    <w:multiLevelType w:val="singleLevel"/>
    <w:tmpl w:val="AA32CCE3"/>
    <w:lvl w:ilvl="0" w:tentative="0">
      <w:start w:val="5"/>
      <w:numFmt w:val="decimal"/>
      <w:suff w:val="nothing"/>
      <w:lvlText w:val="%1、"/>
      <w:lvlJc w:val="left"/>
    </w:lvl>
  </w:abstractNum>
  <w:abstractNum w:abstractNumId="8">
    <w:nsid w:val="B29342E2"/>
    <w:multiLevelType w:val="singleLevel"/>
    <w:tmpl w:val="B29342E2"/>
    <w:lvl w:ilvl="0" w:tentative="0">
      <w:start w:val="1"/>
      <w:numFmt w:val="decimal"/>
      <w:lvlText w:val="表7.2-%1"/>
      <w:lvlJc w:val="left"/>
      <w:pPr>
        <w:tabs>
          <w:tab w:val="left" w:pos="420"/>
        </w:tabs>
        <w:ind w:left="425" w:leftChars="0" w:hanging="425" w:firstLineChars="0"/>
      </w:pPr>
      <w:rPr>
        <w:rFonts w:hint="default"/>
      </w:rPr>
    </w:lvl>
  </w:abstractNum>
  <w:abstractNum w:abstractNumId="9">
    <w:nsid w:val="C3243188"/>
    <w:multiLevelType w:val="singleLevel"/>
    <w:tmpl w:val="C3243188"/>
    <w:lvl w:ilvl="0" w:tentative="0">
      <w:start w:val="1"/>
      <w:numFmt w:val="decimal"/>
      <w:suff w:val="nothing"/>
      <w:lvlText w:val="（%1）"/>
      <w:lvlJc w:val="left"/>
    </w:lvl>
  </w:abstractNum>
  <w:abstractNum w:abstractNumId="10">
    <w:nsid w:val="C76B68F8"/>
    <w:multiLevelType w:val="singleLevel"/>
    <w:tmpl w:val="C76B68F8"/>
    <w:lvl w:ilvl="0" w:tentative="0">
      <w:start w:val="1"/>
      <w:numFmt w:val="decimal"/>
      <w:suff w:val="nothing"/>
      <w:lvlText w:val="图3.2-%1"/>
      <w:lvlJc w:val="left"/>
      <w:pPr>
        <w:tabs>
          <w:tab w:val="left" w:pos="0"/>
        </w:tabs>
        <w:ind w:left="0" w:firstLine="403"/>
      </w:pPr>
      <w:rPr>
        <w:rFonts w:hint="default" w:ascii="宋体" w:hAnsi="宋体" w:eastAsia="宋体" w:cs="宋体"/>
        <w:sz w:val="21"/>
        <w:szCs w:val="21"/>
      </w:rPr>
    </w:lvl>
  </w:abstractNum>
  <w:abstractNum w:abstractNumId="11">
    <w:nsid w:val="D57CEFDE"/>
    <w:multiLevelType w:val="singleLevel"/>
    <w:tmpl w:val="D57CEFDE"/>
    <w:lvl w:ilvl="0" w:tentative="0">
      <w:start w:val="1"/>
      <w:numFmt w:val="decimal"/>
      <w:lvlText w:val="表6.2-%1"/>
      <w:lvlJc w:val="left"/>
      <w:pPr>
        <w:tabs>
          <w:tab w:val="left" w:pos="420"/>
        </w:tabs>
        <w:ind w:left="425" w:leftChars="0" w:hanging="425" w:firstLineChars="0"/>
      </w:pPr>
      <w:rPr>
        <w:rFonts w:hint="default"/>
      </w:rPr>
    </w:lvl>
  </w:abstractNum>
  <w:abstractNum w:abstractNumId="12">
    <w:nsid w:val="E60480BF"/>
    <w:multiLevelType w:val="singleLevel"/>
    <w:tmpl w:val="E60480BF"/>
    <w:lvl w:ilvl="0" w:tentative="0">
      <w:start w:val="1"/>
      <w:numFmt w:val="chineseCounting"/>
      <w:suff w:val="nothing"/>
      <w:lvlText w:val="（%1）"/>
      <w:lvlJc w:val="left"/>
      <w:rPr>
        <w:rFonts w:hint="eastAsia"/>
      </w:rPr>
    </w:lvl>
  </w:abstractNum>
  <w:abstractNum w:abstractNumId="13">
    <w:nsid w:val="F154CA4A"/>
    <w:multiLevelType w:val="singleLevel"/>
    <w:tmpl w:val="F154CA4A"/>
    <w:lvl w:ilvl="0" w:tentative="0">
      <w:start w:val="1"/>
      <w:numFmt w:val="chineseCounting"/>
      <w:suff w:val="nothing"/>
      <w:lvlText w:val="（%1）"/>
      <w:lvlJc w:val="left"/>
      <w:rPr>
        <w:rFonts w:hint="eastAsia"/>
      </w:rPr>
    </w:lvl>
  </w:abstractNum>
  <w:abstractNum w:abstractNumId="14">
    <w:nsid w:val="F77E3899"/>
    <w:multiLevelType w:val="singleLevel"/>
    <w:tmpl w:val="F77E3899"/>
    <w:lvl w:ilvl="0" w:tentative="0">
      <w:start w:val="1"/>
      <w:numFmt w:val="decimal"/>
      <w:lvlText w:val="表2.7-%1"/>
      <w:lvlJc w:val="left"/>
      <w:pPr>
        <w:tabs>
          <w:tab w:val="left" w:pos="420"/>
        </w:tabs>
        <w:ind w:left="425" w:leftChars="0" w:hanging="425" w:firstLineChars="0"/>
      </w:pPr>
      <w:rPr>
        <w:rFonts w:hint="default"/>
      </w:rPr>
    </w:lvl>
  </w:abstractNum>
  <w:abstractNum w:abstractNumId="15">
    <w:nsid w:val="FF28115D"/>
    <w:multiLevelType w:val="singleLevel"/>
    <w:tmpl w:val="FF28115D"/>
    <w:lvl w:ilvl="0" w:tentative="0">
      <w:start w:val="1"/>
      <w:numFmt w:val="decimal"/>
      <w:suff w:val="nothing"/>
      <w:lvlText w:val="表9.2-%1"/>
      <w:lvlJc w:val="left"/>
      <w:pPr>
        <w:ind w:left="0" w:firstLine="403"/>
      </w:pPr>
      <w:rPr>
        <w:rFonts w:hint="default"/>
        <w:sz w:val="21"/>
      </w:rPr>
    </w:lvl>
  </w:abstractNum>
  <w:abstractNum w:abstractNumId="16">
    <w:nsid w:val="0DE03F97"/>
    <w:multiLevelType w:val="singleLevel"/>
    <w:tmpl w:val="0DE03F97"/>
    <w:lvl w:ilvl="0" w:tentative="0">
      <w:start w:val="3"/>
      <w:numFmt w:val="decimal"/>
      <w:suff w:val="nothing"/>
      <w:lvlText w:val="%1、"/>
      <w:lvlJc w:val="left"/>
    </w:lvl>
  </w:abstractNum>
  <w:abstractNum w:abstractNumId="17">
    <w:nsid w:val="0EC00732"/>
    <w:multiLevelType w:val="singleLevel"/>
    <w:tmpl w:val="0EC00732"/>
    <w:lvl w:ilvl="0" w:tentative="0">
      <w:start w:val="2"/>
      <w:numFmt w:val="chineseCounting"/>
      <w:suff w:val="nothing"/>
      <w:lvlText w:val="（%1）"/>
      <w:lvlJc w:val="left"/>
      <w:rPr>
        <w:rFonts w:hint="eastAsia"/>
      </w:rPr>
    </w:lvl>
  </w:abstractNum>
  <w:abstractNum w:abstractNumId="18">
    <w:nsid w:val="0F886F00"/>
    <w:multiLevelType w:val="singleLevel"/>
    <w:tmpl w:val="0F886F00"/>
    <w:lvl w:ilvl="0" w:tentative="0">
      <w:start w:val="16"/>
      <w:numFmt w:val="decimal"/>
      <w:suff w:val="nothing"/>
      <w:lvlText w:val="（%1）"/>
      <w:lvlJc w:val="left"/>
    </w:lvl>
  </w:abstractNum>
  <w:abstractNum w:abstractNumId="19">
    <w:nsid w:val="185E64FB"/>
    <w:multiLevelType w:val="multilevel"/>
    <w:tmpl w:val="185E64FB"/>
    <w:lvl w:ilvl="0" w:tentative="0">
      <w:start w:val="1"/>
      <w:numFmt w:val="decimal"/>
      <w:lvlText w:val="表5.2-%1"/>
      <w:lvlJc w:val="center"/>
      <w:pPr>
        <w:tabs>
          <w:tab w:val="left" w:pos="567"/>
        </w:tabs>
        <w:ind w:left="0" w:firstLine="0"/>
      </w:pPr>
      <w:rPr>
        <w:rFonts w:hint="default" w:ascii="宋体" w:hAnsi="宋体" w:eastAsia="宋体"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1C1E0FF1"/>
    <w:multiLevelType w:val="singleLevel"/>
    <w:tmpl w:val="1C1E0FF1"/>
    <w:lvl w:ilvl="0" w:tentative="0">
      <w:start w:val="1"/>
      <w:numFmt w:val="decimal"/>
      <w:suff w:val="nothing"/>
      <w:lvlText w:val="表3.2-%1"/>
      <w:lvlJc w:val="left"/>
      <w:pPr>
        <w:ind w:left="0" w:firstLine="403"/>
      </w:pPr>
      <w:rPr>
        <w:rFonts w:hint="default"/>
      </w:rPr>
    </w:lvl>
  </w:abstractNum>
  <w:abstractNum w:abstractNumId="21">
    <w:nsid w:val="2276CE06"/>
    <w:multiLevelType w:val="singleLevel"/>
    <w:tmpl w:val="2276CE06"/>
    <w:lvl w:ilvl="0" w:tentative="0">
      <w:start w:val="1"/>
      <w:numFmt w:val="decimal"/>
      <w:suff w:val="nothing"/>
      <w:lvlText w:val="（%1）"/>
      <w:lvlJc w:val="left"/>
    </w:lvl>
  </w:abstractNum>
  <w:abstractNum w:abstractNumId="22">
    <w:nsid w:val="265D4F52"/>
    <w:multiLevelType w:val="singleLevel"/>
    <w:tmpl w:val="265D4F52"/>
    <w:lvl w:ilvl="0" w:tentative="0">
      <w:start w:val="1"/>
      <w:numFmt w:val="decimal"/>
      <w:lvlText w:val="表9.3-%1"/>
      <w:lvlJc w:val="left"/>
      <w:pPr>
        <w:tabs>
          <w:tab w:val="left" w:pos="420"/>
        </w:tabs>
        <w:ind w:left="425" w:leftChars="0" w:hanging="425" w:firstLineChars="0"/>
      </w:pPr>
      <w:rPr>
        <w:rFonts w:hint="default"/>
        <w:sz w:val="21"/>
      </w:rPr>
    </w:lvl>
  </w:abstractNum>
  <w:abstractNum w:abstractNumId="23">
    <w:nsid w:val="2D6D70D3"/>
    <w:multiLevelType w:val="multilevel"/>
    <w:tmpl w:val="2D6D70D3"/>
    <w:lvl w:ilvl="0" w:tentative="0">
      <w:start w:val="1"/>
      <w:numFmt w:val="decimal"/>
      <w:pStyle w:val="5"/>
      <w:lvlText w:val="%1"/>
      <w:lvlJc w:val="left"/>
      <w:pPr>
        <w:ind w:left="432" w:hanging="432"/>
      </w:pPr>
    </w:lvl>
    <w:lvl w:ilvl="1" w:tentative="0">
      <w:start w:val="1"/>
      <w:numFmt w:val="decimal"/>
      <w:pStyle w:val="6"/>
      <w:lvlText w:val="%1.%2"/>
      <w:lvlJc w:val="left"/>
      <w:pPr>
        <w:ind w:left="576" w:hanging="576"/>
      </w:pPr>
    </w:lvl>
    <w:lvl w:ilvl="2" w:tentative="0">
      <w:start w:val="1"/>
      <w:numFmt w:val="decimal"/>
      <w:pStyle w:val="7"/>
      <w:lvlText w:val="%1.%2.%3"/>
      <w:lvlJc w:val="left"/>
      <w:pPr>
        <w:ind w:left="1146" w:hanging="720"/>
      </w:pPr>
    </w:lvl>
    <w:lvl w:ilvl="3" w:tentative="0">
      <w:start w:val="1"/>
      <w:numFmt w:val="decimal"/>
      <w:pStyle w:val="8"/>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4">
    <w:nsid w:val="33AAE1F2"/>
    <w:multiLevelType w:val="singleLevel"/>
    <w:tmpl w:val="33AAE1F2"/>
    <w:lvl w:ilvl="0" w:tentative="0">
      <w:start w:val="1"/>
      <w:numFmt w:val="decimal"/>
      <w:suff w:val="nothing"/>
      <w:lvlText w:val="（%1）"/>
      <w:lvlJc w:val="left"/>
    </w:lvl>
  </w:abstractNum>
  <w:abstractNum w:abstractNumId="25">
    <w:nsid w:val="3446EEEC"/>
    <w:multiLevelType w:val="singleLevel"/>
    <w:tmpl w:val="3446EEEC"/>
    <w:lvl w:ilvl="0" w:tentative="0">
      <w:start w:val="1"/>
      <w:numFmt w:val="upperLetter"/>
      <w:suff w:val="nothing"/>
      <w:lvlText w:val="%1、"/>
      <w:lvlJc w:val="left"/>
    </w:lvl>
  </w:abstractNum>
  <w:abstractNum w:abstractNumId="26">
    <w:nsid w:val="34EA49FE"/>
    <w:multiLevelType w:val="singleLevel"/>
    <w:tmpl w:val="34EA49FE"/>
    <w:lvl w:ilvl="0" w:tentative="0">
      <w:start w:val="1"/>
      <w:numFmt w:val="decimal"/>
      <w:suff w:val="nothing"/>
      <w:lvlText w:val="（%1）"/>
      <w:lvlJc w:val="left"/>
    </w:lvl>
  </w:abstractNum>
  <w:abstractNum w:abstractNumId="27">
    <w:nsid w:val="35884B79"/>
    <w:multiLevelType w:val="singleLevel"/>
    <w:tmpl w:val="35884B79"/>
    <w:lvl w:ilvl="0" w:tentative="0">
      <w:start w:val="1"/>
      <w:numFmt w:val="decimal"/>
      <w:suff w:val="nothing"/>
      <w:lvlText w:val="（%1）"/>
      <w:lvlJc w:val="left"/>
    </w:lvl>
  </w:abstractNum>
  <w:abstractNum w:abstractNumId="28">
    <w:nsid w:val="38E7A645"/>
    <w:multiLevelType w:val="singleLevel"/>
    <w:tmpl w:val="38E7A645"/>
    <w:lvl w:ilvl="0" w:tentative="0">
      <w:start w:val="1"/>
      <w:numFmt w:val="decimal"/>
      <w:lvlText w:val="表2.6-%1"/>
      <w:lvlJc w:val="left"/>
      <w:pPr>
        <w:tabs>
          <w:tab w:val="left" w:pos="420"/>
        </w:tabs>
        <w:ind w:left="425" w:leftChars="0" w:hanging="425" w:firstLineChars="0"/>
      </w:pPr>
      <w:rPr>
        <w:rFonts w:hint="default"/>
      </w:rPr>
    </w:lvl>
  </w:abstractNum>
  <w:abstractNum w:abstractNumId="29">
    <w:nsid w:val="3960623C"/>
    <w:multiLevelType w:val="singleLevel"/>
    <w:tmpl w:val="3960623C"/>
    <w:lvl w:ilvl="0" w:tentative="0">
      <w:start w:val="1"/>
      <w:numFmt w:val="decimal"/>
      <w:lvlText w:val="表9.5-%1"/>
      <w:lvlJc w:val="left"/>
      <w:pPr>
        <w:tabs>
          <w:tab w:val="left" w:pos="420"/>
        </w:tabs>
        <w:ind w:left="425" w:leftChars="0" w:hanging="425" w:firstLineChars="0"/>
      </w:pPr>
      <w:rPr>
        <w:rFonts w:hint="default"/>
        <w:sz w:val="21"/>
      </w:rPr>
    </w:lvl>
  </w:abstractNum>
  <w:abstractNum w:abstractNumId="30">
    <w:nsid w:val="3B3643B0"/>
    <w:multiLevelType w:val="singleLevel"/>
    <w:tmpl w:val="3B3643B0"/>
    <w:lvl w:ilvl="0" w:tentative="0">
      <w:start w:val="1"/>
      <w:numFmt w:val="decimal"/>
      <w:lvlText w:val="表2.5-%1"/>
      <w:lvlJc w:val="left"/>
      <w:pPr>
        <w:tabs>
          <w:tab w:val="left" w:pos="420"/>
        </w:tabs>
        <w:ind w:left="425" w:leftChars="0" w:hanging="425" w:firstLineChars="0"/>
      </w:pPr>
      <w:rPr>
        <w:rFonts w:hint="default"/>
      </w:rPr>
    </w:lvl>
  </w:abstractNum>
  <w:abstractNum w:abstractNumId="31">
    <w:nsid w:val="3BB04226"/>
    <w:multiLevelType w:val="singleLevel"/>
    <w:tmpl w:val="3BB04226"/>
    <w:lvl w:ilvl="0" w:tentative="0">
      <w:start w:val="1"/>
      <w:numFmt w:val="decimal"/>
      <w:suff w:val="nothing"/>
      <w:lvlText w:val="图3.5-%1"/>
      <w:lvlJc w:val="left"/>
      <w:pPr>
        <w:ind w:left="0" w:firstLine="403"/>
      </w:pPr>
      <w:rPr>
        <w:rFonts w:hint="default"/>
      </w:rPr>
    </w:lvl>
  </w:abstractNum>
  <w:abstractNum w:abstractNumId="32">
    <w:nsid w:val="40466041"/>
    <w:multiLevelType w:val="singleLevel"/>
    <w:tmpl w:val="40466041"/>
    <w:lvl w:ilvl="0" w:tentative="0">
      <w:start w:val="1"/>
      <w:numFmt w:val="decimal"/>
      <w:lvlText w:val="表3.1-%1"/>
      <w:lvlJc w:val="left"/>
      <w:pPr>
        <w:tabs>
          <w:tab w:val="left" w:pos="420"/>
        </w:tabs>
        <w:ind w:left="425" w:leftChars="0" w:hanging="425" w:firstLineChars="0"/>
      </w:pPr>
      <w:rPr>
        <w:rFonts w:hint="default"/>
      </w:rPr>
    </w:lvl>
  </w:abstractNum>
  <w:abstractNum w:abstractNumId="33">
    <w:nsid w:val="4C58F4B8"/>
    <w:multiLevelType w:val="singleLevel"/>
    <w:tmpl w:val="4C58F4B8"/>
    <w:lvl w:ilvl="0" w:tentative="0">
      <w:start w:val="2"/>
      <w:numFmt w:val="decimal"/>
      <w:lvlText w:val="(%1)"/>
      <w:lvlJc w:val="left"/>
      <w:pPr>
        <w:tabs>
          <w:tab w:val="left" w:pos="312"/>
        </w:tabs>
      </w:pPr>
    </w:lvl>
  </w:abstractNum>
  <w:abstractNum w:abstractNumId="34">
    <w:nsid w:val="53A3138B"/>
    <w:multiLevelType w:val="singleLevel"/>
    <w:tmpl w:val="53A3138B"/>
    <w:lvl w:ilvl="0" w:tentative="0">
      <w:start w:val="2"/>
      <w:numFmt w:val="decimal"/>
      <w:suff w:val="nothing"/>
      <w:lvlText w:val="（%1）"/>
      <w:lvlJc w:val="left"/>
    </w:lvl>
  </w:abstractNum>
  <w:abstractNum w:abstractNumId="35">
    <w:nsid w:val="5E7FD30D"/>
    <w:multiLevelType w:val="singleLevel"/>
    <w:tmpl w:val="5E7FD30D"/>
    <w:lvl w:ilvl="0" w:tentative="0">
      <w:start w:val="1"/>
      <w:numFmt w:val="decimal"/>
      <w:lvlText w:val="表9.1-%1"/>
      <w:lvlJc w:val="left"/>
      <w:pPr>
        <w:tabs>
          <w:tab w:val="left" w:pos="420"/>
        </w:tabs>
        <w:ind w:left="425" w:leftChars="0" w:hanging="425" w:firstLineChars="0"/>
      </w:pPr>
      <w:rPr>
        <w:rFonts w:hint="default"/>
        <w:sz w:val="21"/>
      </w:rPr>
    </w:lvl>
  </w:abstractNum>
  <w:abstractNum w:abstractNumId="36">
    <w:nsid w:val="683D0D93"/>
    <w:multiLevelType w:val="singleLevel"/>
    <w:tmpl w:val="683D0D93"/>
    <w:lvl w:ilvl="0" w:tentative="0">
      <w:start w:val="1"/>
      <w:numFmt w:val="decimal"/>
      <w:lvlText w:val="表6.4-%1"/>
      <w:lvlJc w:val="left"/>
      <w:pPr>
        <w:tabs>
          <w:tab w:val="left" w:pos="420"/>
        </w:tabs>
        <w:ind w:left="425" w:leftChars="0" w:hanging="425" w:firstLineChars="0"/>
      </w:pPr>
      <w:rPr>
        <w:rFonts w:hint="default"/>
      </w:rPr>
    </w:lvl>
  </w:abstractNum>
  <w:abstractNum w:abstractNumId="37">
    <w:nsid w:val="6B53967F"/>
    <w:multiLevelType w:val="singleLevel"/>
    <w:tmpl w:val="6B53967F"/>
    <w:lvl w:ilvl="0" w:tentative="0">
      <w:start w:val="1"/>
      <w:numFmt w:val="decimal"/>
      <w:lvlText w:val="图5-%1"/>
      <w:lvlJc w:val="left"/>
      <w:pPr>
        <w:tabs>
          <w:tab w:val="left" w:pos="420"/>
        </w:tabs>
        <w:ind w:left="425" w:leftChars="0" w:hanging="425" w:firstLineChars="0"/>
      </w:pPr>
      <w:rPr>
        <w:rFonts w:hint="default"/>
      </w:rPr>
    </w:lvl>
  </w:abstractNum>
  <w:abstractNum w:abstractNumId="38">
    <w:nsid w:val="6B810809"/>
    <w:multiLevelType w:val="multilevel"/>
    <w:tmpl w:val="6B810809"/>
    <w:lvl w:ilvl="0" w:tentative="0">
      <w:start w:val="1"/>
      <w:numFmt w:val="decimal"/>
      <w:pStyle w:val="2498"/>
      <w:lvlText w:val="表3-%1"/>
      <w:lvlJc w:val="left"/>
      <w:pPr>
        <w:ind w:left="4530" w:hanging="42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9">
    <w:nsid w:val="70324077"/>
    <w:multiLevelType w:val="singleLevel"/>
    <w:tmpl w:val="70324077"/>
    <w:lvl w:ilvl="0" w:tentative="0">
      <w:start w:val="1"/>
      <w:numFmt w:val="chineseCounting"/>
      <w:suff w:val="nothing"/>
      <w:lvlText w:val="（%1）"/>
      <w:lvlJc w:val="left"/>
      <w:rPr>
        <w:rFonts w:hint="eastAsia"/>
      </w:rPr>
    </w:lvl>
  </w:abstractNum>
  <w:abstractNum w:abstractNumId="40">
    <w:nsid w:val="738A05CC"/>
    <w:multiLevelType w:val="singleLevel"/>
    <w:tmpl w:val="738A05CC"/>
    <w:lvl w:ilvl="0" w:tentative="0">
      <w:start w:val="1"/>
      <w:numFmt w:val="decimal"/>
      <w:lvlText w:val="表4.2-%1"/>
      <w:lvlJc w:val="left"/>
      <w:pPr>
        <w:tabs>
          <w:tab w:val="left" w:pos="420"/>
        </w:tabs>
        <w:ind w:left="425" w:leftChars="0" w:hanging="425" w:firstLineChars="0"/>
      </w:pPr>
      <w:rPr>
        <w:rFonts w:hint="default"/>
      </w:rPr>
    </w:lvl>
  </w:abstractNum>
  <w:abstractNum w:abstractNumId="41">
    <w:nsid w:val="78E6BBFD"/>
    <w:multiLevelType w:val="singleLevel"/>
    <w:tmpl w:val="78E6BBFD"/>
    <w:lvl w:ilvl="0" w:tentative="0">
      <w:start w:val="1"/>
      <w:numFmt w:val="decimal"/>
      <w:suff w:val="nothing"/>
      <w:lvlText w:val="表2.3-%1"/>
      <w:lvlJc w:val="left"/>
      <w:pPr>
        <w:tabs>
          <w:tab w:val="left" w:pos="0"/>
        </w:tabs>
        <w:ind w:left="0" w:firstLine="403"/>
      </w:pPr>
      <w:rPr>
        <w:rFonts w:hint="default" w:ascii="宋体" w:hAnsi="宋体" w:eastAsia="宋体" w:cs="宋体"/>
      </w:rPr>
    </w:lvl>
  </w:abstractNum>
  <w:abstractNum w:abstractNumId="42">
    <w:nsid w:val="7C9A9436"/>
    <w:multiLevelType w:val="singleLevel"/>
    <w:tmpl w:val="7C9A9436"/>
    <w:lvl w:ilvl="0" w:tentative="0">
      <w:start w:val="6"/>
      <w:numFmt w:val="decimal"/>
      <w:suff w:val="nothing"/>
      <w:lvlText w:val="%1、"/>
      <w:lvlJc w:val="left"/>
    </w:lvl>
  </w:abstractNum>
  <w:abstractNum w:abstractNumId="43">
    <w:nsid w:val="7F494D18"/>
    <w:multiLevelType w:val="singleLevel"/>
    <w:tmpl w:val="7F494D18"/>
    <w:lvl w:ilvl="0" w:tentative="0">
      <w:start w:val="1"/>
      <w:numFmt w:val="decimal"/>
      <w:suff w:val="nothing"/>
      <w:lvlText w:val="%1、"/>
      <w:lvlJc w:val="left"/>
    </w:lvl>
  </w:abstractNum>
  <w:num w:numId="1">
    <w:abstractNumId w:val="23"/>
  </w:num>
  <w:num w:numId="2">
    <w:abstractNumId w:val="38"/>
  </w:num>
  <w:num w:numId="3">
    <w:abstractNumId w:val="24"/>
  </w:num>
  <w:num w:numId="4">
    <w:abstractNumId w:val="26"/>
  </w:num>
  <w:num w:numId="5">
    <w:abstractNumId w:val="41"/>
  </w:num>
  <w:num w:numId="6">
    <w:abstractNumId w:val="3"/>
  </w:num>
  <w:num w:numId="7">
    <w:abstractNumId w:val="30"/>
  </w:num>
  <w:num w:numId="8">
    <w:abstractNumId w:val="42"/>
  </w:num>
  <w:num w:numId="9">
    <w:abstractNumId w:val="33"/>
  </w:num>
  <w:num w:numId="10">
    <w:abstractNumId w:val="28"/>
  </w:num>
  <w:num w:numId="11">
    <w:abstractNumId w:val="12"/>
  </w:num>
  <w:num w:numId="12">
    <w:abstractNumId w:val="1"/>
  </w:num>
  <w:num w:numId="13">
    <w:abstractNumId w:val="13"/>
  </w:num>
  <w:num w:numId="14">
    <w:abstractNumId w:val="17"/>
  </w:num>
  <w:num w:numId="15">
    <w:abstractNumId w:val="14"/>
  </w:num>
  <w:num w:numId="16">
    <w:abstractNumId w:val="32"/>
  </w:num>
  <w:num w:numId="17">
    <w:abstractNumId w:val="4"/>
  </w:num>
  <w:num w:numId="18">
    <w:abstractNumId w:val="43"/>
  </w:num>
  <w:num w:numId="19">
    <w:abstractNumId w:val="20"/>
  </w:num>
  <w:num w:numId="20">
    <w:abstractNumId w:val="39"/>
  </w:num>
  <w:num w:numId="21">
    <w:abstractNumId w:val="10"/>
  </w:num>
  <w:num w:numId="22">
    <w:abstractNumId w:val="34"/>
  </w:num>
  <w:num w:numId="23">
    <w:abstractNumId w:val="0"/>
  </w:num>
  <w:num w:numId="24">
    <w:abstractNumId w:val="18"/>
  </w:num>
  <w:num w:numId="25">
    <w:abstractNumId w:val="31"/>
  </w:num>
  <w:num w:numId="26">
    <w:abstractNumId w:val="7"/>
  </w:num>
  <w:num w:numId="27">
    <w:abstractNumId w:val="21"/>
  </w:num>
  <w:num w:numId="28">
    <w:abstractNumId w:val="27"/>
  </w:num>
  <w:num w:numId="29">
    <w:abstractNumId w:val="9"/>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2"/>
  </w:num>
  <w:num w:numId="33">
    <w:abstractNumId w:val="19"/>
  </w:num>
  <w:num w:numId="34">
    <w:abstractNumId w:val="37"/>
  </w:num>
  <w:num w:numId="35">
    <w:abstractNumId w:val="25"/>
  </w:num>
  <w:num w:numId="36">
    <w:abstractNumId w:val="11"/>
  </w:num>
  <w:num w:numId="37">
    <w:abstractNumId w:val="36"/>
  </w:num>
  <w:num w:numId="38">
    <w:abstractNumId w:val="16"/>
  </w:num>
  <w:num w:numId="39">
    <w:abstractNumId w:val="5"/>
  </w:num>
  <w:num w:numId="40">
    <w:abstractNumId w:val="8"/>
  </w:num>
  <w:num w:numId="41">
    <w:abstractNumId w:val="6"/>
  </w:num>
  <w:num w:numId="42">
    <w:abstractNumId w:val="35"/>
  </w:num>
  <w:num w:numId="43">
    <w:abstractNumId w:val="15"/>
  </w:num>
  <w:num w:numId="44">
    <w:abstractNumId w:val="22"/>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10CEB"/>
    <w:rsid w:val="00000921"/>
    <w:rsid w:val="00000C36"/>
    <w:rsid w:val="00000E4D"/>
    <w:rsid w:val="000012BC"/>
    <w:rsid w:val="00001EA9"/>
    <w:rsid w:val="00002780"/>
    <w:rsid w:val="00002D0C"/>
    <w:rsid w:val="000030FB"/>
    <w:rsid w:val="0000345E"/>
    <w:rsid w:val="00003EE2"/>
    <w:rsid w:val="0000462C"/>
    <w:rsid w:val="00004ECA"/>
    <w:rsid w:val="00005259"/>
    <w:rsid w:val="00005ADC"/>
    <w:rsid w:val="0000666E"/>
    <w:rsid w:val="00007F7D"/>
    <w:rsid w:val="000104F2"/>
    <w:rsid w:val="000116BB"/>
    <w:rsid w:val="00011B56"/>
    <w:rsid w:val="00011DD1"/>
    <w:rsid w:val="00012383"/>
    <w:rsid w:val="00012C74"/>
    <w:rsid w:val="00012DE5"/>
    <w:rsid w:val="00013677"/>
    <w:rsid w:val="00013D10"/>
    <w:rsid w:val="000145A3"/>
    <w:rsid w:val="00014817"/>
    <w:rsid w:val="00014A3C"/>
    <w:rsid w:val="0001541B"/>
    <w:rsid w:val="0001544E"/>
    <w:rsid w:val="00015C7D"/>
    <w:rsid w:val="00016AD2"/>
    <w:rsid w:val="00016ED8"/>
    <w:rsid w:val="0001710E"/>
    <w:rsid w:val="00017AEA"/>
    <w:rsid w:val="00021240"/>
    <w:rsid w:val="0002173D"/>
    <w:rsid w:val="00021DBA"/>
    <w:rsid w:val="000223A5"/>
    <w:rsid w:val="00022851"/>
    <w:rsid w:val="00022AC1"/>
    <w:rsid w:val="00022B1A"/>
    <w:rsid w:val="00022E68"/>
    <w:rsid w:val="000231FF"/>
    <w:rsid w:val="00023305"/>
    <w:rsid w:val="0002354A"/>
    <w:rsid w:val="000235BA"/>
    <w:rsid w:val="000243A7"/>
    <w:rsid w:val="00026075"/>
    <w:rsid w:val="000269E6"/>
    <w:rsid w:val="00026E2C"/>
    <w:rsid w:val="000276D9"/>
    <w:rsid w:val="0003015F"/>
    <w:rsid w:val="00030360"/>
    <w:rsid w:val="00030D16"/>
    <w:rsid w:val="00031976"/>
    <w:rsid w:val="000325DD"/>
    <w:rsid w:val="00032770"/>
    <w:rsid w:val="0003317E"/>
    <w:rsid w:val="0003364E"/>
    <w:rsid w:val="000348D3"/>
    <w:rsid w:val="0003492E"/>
    <w:rsid w:val="00034DBB"/>
    <w:rsid w:val="000351AF"/>
    <w:rsid w:val="0003547D"/>
    <w:rsid w:val="00035721"/>
    <w:rsid w:val="00035BC5"/>
    <w:rsid w:val="00035C56"/>
    <w:rsid w:val="00040CFC"/>
    <w:rsid w:val="00041C2E"/>
    <w:rsid w:val="00041CC2"/>
    <w:rsid w:val="00042B94"/>
    <w:rsid w:val="00042F1F"/>
    <w:rsid w:val="000436C0"/>
    <w:rsid w:val="000437C1"/>
    <w:rsid w:val="0004387A"/>
    <w:rsid w:val="000438B5"/>
    <w:rsid w:val="00043F4E"/>
    <w:rsid w:val="000443B2"/>
    <w:rsid w:val="00044476"/>
    <w:rsid w:val="00044EB4"/>
    <w:rsid w:val="00045170"/>
    <w:rsid w:val="0004576B"/>
    <w:rsid w:val="00045BB8"/>
    <w:rsid w:val="000464C9"/>
    <w:rsid w:val="00047746"/>
    <w:rsid w:val="00047935"/>
    <w:rsid w:val="000505F7"/>
    <w:rsid w:val="000510FB"/>
    <w:rsid w:val="00051740"/>
    <w:rsid w:val="0005195B"/>
    <w:rsid w:val="00051E21"/>
    <w:rsid w:val="00052442"/>
    <w:rsid w:val="00053CC1"/>
    <w:rsid w:val="00053F82"/>
    <w:rsid w:val="00054473"/>
    <w:rsid w:val="00054F32"/>
    <w:rsid w:val="000552A4"/>
    <w:rsid w:val="00055DB6"/>
    <w:rsid w:val="000577C4"/>
    <w:rsid w:val="00057A99"/>
    <w:rsid w:val="000602CB"/>
    <w:rsid w:val="0006050D"/>
    <w:rsid w:val="00060DE5"/>
    <w:rsid w:val="000611F8"/>
    <w:rsid w:val="00061CEA"/>
    <w:rsid w:val="0006211B"/>
    <w:rsid w:val="00062DB5"/>
    <w:rsid w:val="00062DEA"/>
    <w:rsid w:val="00064095"/>
    <w:rsid w:val="00064F72"/>
    <w:rsid w:val="00065D71"/>
    <w:rsid w:val="00065F81"/>
    <w:rsid w:val="000663A1"/>
    <w:rsid w:val="00066905"/>
    <w:rsid w:val="00067A2A"/>
    <w:rsid w:val="00067C50"/>
    <w:rsid w:val="00070378"/>
    <w:rsid w:val="00070644"/>
    <w:rsid w:val="00071A2C"/>
    <w:rsid w:val="00071CA0"/>
    <w:rsid w:val="000723F8"/>
    <w:rsid w:val="00072F14"/>
    <w:rsid w:val="0007334F"/>
    <w:rsid w:val="00074B27"/>
    <w:rsid w:val="00075620"/>
    <w:rsid w:val="00075885"/>
    <w:rsid w:val="0007600D"/>
    <w:rsid w:val="0007660D"/>
    <w:rsid w:val="00077AD2"/>
    <w:rsid w:val="00080963"/>
    <w:rsid w:val="00080D17"/>
    <w:rsid w:val="0008117A"/>
    <w:rsid w:val="000812E4"/>
    <w:rsid w:val="000813C5"/>
    <w:rsid w:val="00081CD2"/>
    <w:rsid w:val="000827CF"/>
    <w:rsid w:val="00084686"/>
    <w:rsid w:val="00086157"/>
    <w:rsid w:val="00091197"/>
    <w:rsid w:val="000918F6"/>
    <w:rsid w:val="00092BAB"/>
    <w:rsid w:val="00092C18"/>
    <w:rsid w:val="000931CB"/>
    <w:rsid w:val="000935B3"/>
    <w:rsid w:val="000938AA"/>
    <w:rsid w:val="00093FF8"/>
    <w:rsid w:val="00096CC6"/>
    <w:rsid w:val="00096CFD"/>
    <w:rsid w:val="000A07DA"/>
    <w:rsid w:val="000A08D6"/>
    <w:rsid w:val="000A0EFC"/>
    <w:rsid w:val="000A12B9"/>
    <w:rsid w:val="000A1BC7"/>
    <w:rsid w:val="000A2D95"/>
    <w:rsid w:val="000A2F4C"/>
    <w:rsid w:val="000A3866"/>
    <w:rsid w:val="000A43CD"/>
    <w:rsid w:val="000A509C"/>
    <w:rsid w:val="000A5462"/>
    <w:rsid w:val="000A5C25"/>
    <w:rsid w:val="000A5DA2"/>
    <w:rsid w:val="000A64C1"/>
    <w:rsid w:val="000B0232"/>
    <w:rsid w:val="000B0E09"/>
    <w:rsid w:val="000B0F18"/>
    <w:rsid w:val="000B1B65"/>
    <w:rsid w:val="000B22D3"/>
    <w:rsid w:val="000B3127"/>
    <w:rsid w:val="000B4669"/>
    <w:rsid w:val="000B47EA"/>
    <w:rsid w:val="000B6317"/>
    <w:rsid w:val="000B6458"/>
    <w:rsid w:val="000B6F5D"/>
    <w:rsid w:val="000C0AB5"/>
    <w:rsid w:val="000C1875"/>
    <w:rsid w:val="000C1FC8"/>
    <w:rsid w:val="000C2D39"/>
    <w:rsid w:val="000C2E16"/>
    <w:rsid w:val="000C3D2C"/>
    <w:rsid w:val="000C44F7"/>
    <w:rsid w:val="000C609F"/>
    <w:rsid w:val="000C62D7"/>
    <w:rsid w:val="000C6B39"/>
    <w:rsid w:val="000C6DB3"/>
    <w:rsid w:val="000C7082"/>
    <w:rsid w:val="000C7252"/>
    <w:rsid w:val="000D0435"/>
    <w:rsid w:val="000D0FD9"/>
    <w:rsid w:val="000D1465"/>
    <w:rsid w:val="000D25F1"/>
    <w:rsid w:val="000D26E0"/>
    <w:rsid w:val="000D2F2B"/>
    <w:rsid w:val="000D3039"/>
    <w:rsid w:val="000D3178"/>
    <w:rsid w:val="000D3204"/>
    <w:rsid w:val="000D4372"/>
    <w:rsid w:val="000D468F"/>
    <w:rsid w:val="000D511A"/>
    <w:rsid w:val="000D5276"/>
    <w:rsid w:val="000D5D98"/>
    <w:rsid w:val="000E23C7"/>
    <w:rsid w:val="000E2E03"/>
    <w:rsid w:val="000E31C3"/>
    <w:rsid w:val="000E33C6"/>
    <w:rsid w:val="000E3EF0"/>
    <w:rsid w:val="000E4A15"/>
    <w:rsid w:val="000E6DC9"/>
    <w:rsid w:val="000E71BB"/>
    <w:rsid w:val="000E73A9"/>
    <w:rsid w:val="000E743B"/>
    <w:rsid w:val="000E79B3"/>
    <w:rsid w:val="000E7CED"/>
    <w:rsid w:val="000F0BFB"/>
    <w:rsid w:val="000F1009"/>
    <w:rsid w:val="000F1219"/>
    <w:rsid w:val="000F1336"/>
    <w:rsid w:val="000F1C53"/>
    <w:rsid w:val="000F218E"/>
    <w:rsid w:val="000F4156"/>
    <w:rsid w:val="000F4917"/>
    <w:rsid w:val="000F57D9"/>
    <w:rsid w:val="000F5921"/>
    <w:rsid w:val="000F5D89"/>
    <w:rsid w:val="000F662D"/>
    <w:rsid w:val="000F6CBC"/>
    <w:rsid w:val="000F6FE2"/>
    <w:rsid w:val="000F7745"/>
    <w:rsid w:val="000F7BAF"/>
    <w:rsid w:val="00101606"/>
    <w:rsid w:val="00101A2F"/>
    <w:rsid w:val="00101B93"/>
    <w:rsid w:val="001024D6"/>
    <w:rsid w:val="00102CC2"/>
    <w:rsid w:val="0010387D"/>
    <w:rsid w:val="00104FBD"/>
    <w:rsid w:val="001054CF"/>
    <w:rsid w:val="001057AF"/>
    <w:rsid w:val="001059E7"/>
    <w:rsid w:val="00105A36"/>
    <w:rsid w:val="00106330"/>
    <w:rsid w:val="00106D40"/>
    <w:rsid w:val="00107888"/>
    <w:rsid w:val="001108DB"/>
    <w:rsid w:val="00111554"/>
    <w:rsid w:val="00111B5B"/>
    <w:rsid w:val="001122B6"/>
    <w:rsid w:val="0011266D"/>
    <w:rsid w:val="00112F6D"/>
    <w:rsid w:val="001139ED"/>
    <w:rsid w:val="00115CD7"/>
    <w:rsid w:val="00115E20"/>
    <w:rsid w:val="0011665C"/>
    <w:rsid w:val="00116824"/>
    <w:rsid w:val="00116F1E"/>
    <w:rsid w:val="00117284"/>
    <w:rsid w:val="001173F5"/>
    <w:rsid w:val="00117822"/>
    <w:rsid w:val="00117F73"/>
    <w:rsid w:val="00120419"/>
    <w:rsid w:val="00120E02"/>
    <w:rsid w:val="0012114C"/>
    <w:rsid w:val="00121DEA"/>
    <w:rsid w:val="0012241F"/>
    <w:rsid w:val="0012243B"/>
    <w:rsid w:val="001227C4"/>
    <w:rsid w:val="001228EA"/>
    <w:rsid w:val="00122A65"/>
    <w:rsid w:val="00123782"/>
    <w:rsid w:val="00123E4C"/>
    <w:rsid w:val="00124515"/>
    <w:rsid w:val="001245E6"/>
    <w:rsid w:val="0012508F"/>
    <w:rsid w:val="00125172"/>
    <w:rsid w:val="0012645D"/>
    <w:rsid w:val="00126776"/>
    <w:rsid w:val="00126B09"/>
    <w:rsid w:val="00126C51"/>
    <w:rsid w:val="001271BD"/>
    <w:rsid w:val="00127435"/>
    <w:rsid w:val="00130002"/>
    <w:rsid w:val="001307D8"/>
    <w:rsid w:val="001312EC"/>
    <w:rsid w:val="00132174"/>
    <w:rsid w:val="001321A5"/>
    <w:rsid w:val="00132D30"/>
    <w:rsid w:val="00132F2F"/>
    <w:rsid w:val="00134A14"/>
    <w:rsid w:val="00134AF1"/>
    <w:rsid w:val="00135ECD"/>
    <w:rsid w:val="00135FB5"/>
    <w:rsid w:val="00136B21"/>
    <w:rsid w:val="00136C4C"/>
    <w:rsid w:val="001370A9"/>
    <w:rsid w:val="00137F83"/>
    <w:rsid w:val="00140C68"/>
    <w:rsid w:val="00140C83"/>
    <w:rsid w:val="00141587"/>
    <w:rsid w:val="00141651"/>
    <w:rsid w:val="00142879"/>
    <w:rsid w:val="00143123"/>
    <w:rsid w:val="0014329E"/>
    <w:rsid w:val="00143660"/>
    <w:rsid w:val="0014398A"/>
    <w:rsid w:val="00143C8D"/>
    <w:rsid w:val="0014417E"/>
    <w:rsid w:val="0014458C"/>
    <w:rsid w:val="00144EFD"/>
    <w:rsid w:val="00145B39"/>
    <w:rsid w:val="001469BD"/>
    <w:rsid w:val="00146F99"/>
    <w:rsid w:val="00147711"/>
    <w:rsid w:val="00147A20"/>
    <w:rsid w:val="00147BF7"/>
    <w:rsid w:val="00150EA2"/>
    <w:rsid w:val="00152590"/>
    <w:rsid w:val="00152AA6"/>
    <w:rsid w:val="00152D3D"/>
    <w:rsid w:val="00152F26"/>
    <w:rsid w:val="00154645"/>
    <w:rsid w:val="0015737B"/>
    <w:rsid w:val="00157F12"/>
    <w:rsid w:val="001604A9"/>
    <w:rsid w:val="00160852"/>
    <w:rsid w:val="00160BE7"/>
    <w:rsid w:val="0016136D"/>
    <w:rsid w:val="00161E28"/>
    <w:rsid w:val="00163781"/>
    <w:rsid w:val="0016454D"/>
    <w:rsid w:val="001647D2"/>
    <w:rsid w:val="00164A3E"/>
    <w:rsid w:val="00165229"/>
    <w:rsid w:val="00166C3A"/>
    <w:rsid w:val="001720DD"/>
    <w:rsid w:val="00172C33"/>
    <w:rsid w:val="00173047"/>
    <w:rsid w:val="00175424"/>
    <w:rsid w:val="001763FD"/>
    <w:rsid w:val="00176504"/>
    <w:rsid w:val="00176C37"/>
    <w:rsid w:val="00176F51"/>
    <w:rsid w:val="001800C0"/>
    <w:rsid w:val="001805F4"/>
    <w:rsid w:val="00180854"/>
    <w:rsid w:val="00180BD4"/>
    <w:rsid w:val="00181488"/>
    <w:rsid w:val="00181841"/>
    <w:rsid w:val="00181EA7"/>
    <w:rsid w:val="00182E39"/>
    <w:rsid w:val="00183110"/>
    <w:rsid w:val="00183418"/>
    <w:rsid w:val="001837C0"/>
    <w:rsid w:val="00183D84"/>
    <w:rsid w:val="00184790"/>
    <w:rsid w:val="00184831"/>
    <w:rsid w:val="0018525F"/>
    <w:rsid w:val="00185EB6"/>
    <w:rsid w:val="00186B34"/>
    <w:rsid w:val="00187138"/>
    <w:rsid w:val="00187A7D"/>
    <w:rsid w:val="00190246"/>
    <w:rsid w:val="001907FA"/>
    <w:rsid w:val="00191A8B"/>
    <w:rsid w:val="00192DEF"/>
    <w:rsid w:val="00193873"/>
    <w:rsid w:val="00193E96"/>
    <w:rsid w:val="001940D7"/>
    <w:rsid w:val="001941D7"/>
    <w:rsid w:val="0019448E"/>
    <w:rsid w:val="00195897"/>
    <w:rsid w:val="00196E98"/>
    <w:rsid w:val="00197B75"/>
    <w:rsid w:val="00197EBB"/>
    <w:rsid w:val="001A0652"/>
    <w:rsid w:val="001A0AA1"/>
    <w:rsid w:val="001A1024"/>
    <w:rsid w:val="001A1CAB"/>
    <w:rsid w:val="001A213A"/>
    <w:rsid w:val="001A23AE"/>
    <w:rsid w:val="001A2BDE"/>
    <w:rsid w:val="001A2FBF"/>
    <w:rsid w:val="001A31B5"/>
    <w:rsid w:val="001A33CF"/>
    <w:rsid w:val="001A35A7"/>
    <w:rsid w:val="001A3D39"/>
    <w:rsid w:val="001A3E03"/>
    <w:rsid w:val="001A4A73"/>
    <w:rsid w:val="001A5452"/>
    <w:rsid w:val="001A582F"/>
    <w:rsid w:val="001A5A9C"/>
    <w:rsid w:val="001A7F1E"/>
    <w:rsid w:val="001A7FE4"/>
    <w:rsid w:val="001B035A"/>
    <w:rsid w:val="001B0CD3"/>
    <w:rsid w:val="001B1BB7"/>
    <w:rsid w:val="001B524E"/>
    <w:rsid w:val="001B541C"/>
    <w:rsid w:val="001B5850"/>
    <w:rsid w:val="001B66BB"/>
    <w:rsid w:val="001B705F"/>
    <w:rsid w:val="001C0296"/>
    <w:rsid w:val="001C0C3F"/>
    <w:rsid w:val="001C10A5"/>
    <w:rsid w:val="001C1AD1"/>
    <w:rsid w:val="001C37A1"/>
    <w:rsid w:val="001C4A37"/>
    <w:rsid w:val="001C4B35"/>
    <w:rsid w:val="001C51D2"/>
    <w:rsid w:val="001C5E36"/>
    <w:rsid w:val="001C5F4C"/>
    <w:rsid w:val="001C5FC4"/>
    <w:rsid w:val="001C617D"/>
    <w:rsid w:val="001C671F"/>
    <w:rsid w:val="001C7034"/>
    <w:rsid w:val="001C7739"/>
    <w:rsid w:val="001C7F99"/>
    <w:rsid w:val="001D088E"/>
    <w:rsid w:val="001D156F"/>
    <w:rsid w:val="001D2A62"/>
    <w:rsid w:val="001D2B7A"/>
    <w:rsid w:val="001D35FE"/>
    <w:rsid w:val="001D3DFC"/>
    <w:rsid w:val="001D3F21"/>
    <w:rsid w:val="001D45C9"/>
    <w:rsid w:val="001D4DF2"/>
    <w:rsid w:val="001D51F2"/>
    <w:rsid w:val="001D69A7"/>
    <w:rsid w:val="001D729A"/>
    <w:rsid w:val="001D7A1C"/>
    <w:rsid w:val="001E008F"/>
    <w:rsid w:val="001E0874"/>
    <w:rsid w:val="001E385A"/>
    <w:rsid w:val="001E4AE5"/>
    <w:rsid w:val="001E5514"/>
    <w:rsid w:val="001E562A"/>
    <w:rsid w:val="001E62BD"/>
    <w:rsid w:val="001E6F8A"/>
    <w:rsid w:val="001E7840"/>
    <w:rsid w:val="001F007E"/>
    <w:rsid w:val="001F0697"/>
    <w:rsid w:val="001F178F"/>
    <w:rsid w:val="001F2A4F"/>
    <w:rsid w:val="001F2E68"/>
    <w:rsid w:val="001F30F1"/>
    <w:rsid w:val="001F3118"/>
    <w:rsid w:val="001F3443"/>
    <w:rsid w:val="001F3FC2"/>
    <w:rsid w:val="001F541D"/>
    <w:rsid w:val="001F56F0"/>
    <w:rsid w:val="001F5A70"/>
    <w:rsid w:val="001F60C4"/>
    <w:rsid w:val="001F7554"/>
    <w:rsid w:val="001F79C1"/>
    <w:rsid w:val="00200F39"/>
    <w:rsid w:val="00201060"/>
    <w:rsid w:val="002017EF"/>
    <w:rsid w:val="00201AC0"/>
    <w:rsid w:val="00201DDD"/>
    <w:rsid w:val="00204443"/>
    <w:rsid w:val="00206970"/>
    <w:rsid w:val="00207C68"/>
    <w:rsid w:val="00210055"/>
    <w:rsid w:val="00210597"/>
    <w:rsid w:val="002107E2"/>
    <w:rsid w:val="00210A48"/>
    <w:rsid w:val="00210C0B"/>
    <w:rsid w:val="00210F5E"/>
    <w:rsid w:val="00211615"/>
    <w:rsid w:val="00214CC2"/>
    <w:rsid w:val="0021520D"/>
    <w:rsid w:val="00215457"/>
    <w:rsid w:val="002156C3"/>
    <w:rsid w:val="002168F9"/>
    <w:rsid w:val="00217448"/>
    <w:rsid w:val="00217638"/>
    <w:rsid w:val="00217740"/>
    <w:rsid w:val="00217DEE"/>
    <w:rsid w:val="00217FB1"/>
    <w:rsid w:val="00221102"/>
    <w:rsid w:val="00221452"/>
    <w:rsid w:val="00222036"/>
    <w:rsid w:val="00222294"/>
    <w:rsid w:val="0022480E"/>
    <w:rsid w:val="002252BF"/>
    <w:rsid w:val="00227BFC"/>
    <w:rsid w:val="002306D2"/>
    <w:rsid w:val="002311C3"/>
    <w:rsid w:val="00231EB0"/>
    <w:rsid w:val="00232048"/>
    <w:rsid w:val="00232070"/>
    <w:rsid w:val="002322D6"/>
    <w:rsid w:val="0023249A"/>
    <w:rsid w:val="00232583"/>
    <w:rsid w:val="002327FC"/>
    <w:rsid w:val="00233105"/>
    <w:rsid w:val="00233714"/>
    <w:rsid w:val="00233813"/>
    <w:rsid w:val="00233975"/>
    <w:rsid w:val="00234093"/>
    <w:rsid w:val="00234171"/>
    <w:rsid w:val="0023559A"/>
    <w:rsid w:val="002363B7"/>
    <w:rsid w:val="00236A95"/>
    <w:rsid w:val="00236C9A"/>
    <w:rsid w:val="00236DEF"/>
    <w:rsid w:val="0023745C"/>
    <w:rsid w:val="00237AF3"/>
    <w:rsid w:val="00237CC1"/>
    <w:rsid w:val="002404B1"/>
    <w:rsid w:val="00240B70"/>
    <w:rsid w:val="00240E0F"/>
    <w:rsid w:val="00241143"/>
    <w:rsid w:val="00241D53"/>
    <w:rsid w:val="0024341D"/>
    <w:rsid w:val="00243A6F"/>
    <w:rsid w:val="00243D3C"/>
    <w:rsid w:val="0024428B"/>
    <w:rsid w:val="002442B9"/>
    <w:rsid w:val="002455A2"/>
    <w:rsid w:val="00247CEC"/>
    <w:rsid w:val="00250094"/>
    <w:rsid w:val="00250A62"/>
    <w:rsid w:val="00252551"/>
    <w:rsid w:val="002525C8"/>
    <w:rsid w:val="0025478E"/>
    <w:rsid w:val="00254DF9"/>
    <w:rsid w:val="00255562"/>
    <w:rsid w:val="00256960"/>
    <w:rsid w:val="002569CB"/>
    <w:rsid w:val="0026055D"/>
    <w:rsid w:val="00260D9A"/>
    <w:rsid w:val="002614C5"/>
    <w:rsid w:val="002614F2"/>
    <w:rsid w:val="00261AFF"/>
    <w:rsid w:val="00262586"/>
    <w:rsid w:val="00263025"/>
    <w:rsid w:val="00263EF4"/>
    <w:rsid w:val="00263FB8"/>
    <w:rsid w:val="00264424"/>
    <w:rsid w:val="00265351"/>
    <w:rsid w:val="002656F4"/>
    <w:rsid w:val="002663C8"/>
    <w:rsid w:val="002666A3"/>
    <w:rsid w:val="0026675F"/>
    <w:rsid w:val="002702A5"/>
    <w:rsid w:val="00270F31"/>
    <w:rsid w:val="002711D5"/>
    <w:rsid w:val="00271A2A"/>
    <w:rsid w:val="00271A94"/>
    <w:rsid w:val="002730BB"/>
    <w:rsid w:val="002739B5"/>
    <w:rsid w:val="00273D1B"/>
    <w:rsid w:val="00274279"/>
    <w:rsid w:val="00274CB8"/>
    <w:rsid w:val="0027533D"/>
    <w:rsid w:val="0027569B"/>
    <w:rsid w:val="00276225"/>
    <w:rsid w:val="002766C8"/>
    <w:rsid w:val="002768E4"/>
    <w:rsid w:val="00277021"/>
    <w:rsid w:val="00280101"/>
    <w:rsid w:val="0028024E"/>
    <w:rsid w:val="00280CB9"/>
    <w:rsid w:val="0028139D"/>
    <w:rsid w:val="002817D1"/>
    <w:rsid w:val="0028333B"/>
    <w:rsid w:val="00283749"/>
    <w:rsid w:val="0028546F"/>
    <w:rsid w:val="00285A18"/>
    <w:rsid w:val="00286D76"/>
    <w:rsid w:val="00286EF4"/>
    <w:rsid w:val="002872BB"/>
    <w:rsid w:val="00287710"/>
    <w:rsid w:val="00290784"/>
    <w:rsid w:val="00290B85"/>
    <w:rsid w:val="00291BF3"/>
    <w:rsid w:val="00291C6B"/>
    <w:rsid w:val="00291EA6"/>
    <w:rsid w:val="002929C6"/>
    <w:rsid w:val="002938D4"/>
    <w:rsid w:val="00294473"/>
    <w:rsid w:val="0029479A"/>
    <w:rsid w:val="00295C03"/>
    <w:rsid w:val="00295D51"/>
    <w:rsid w:val="00295E5A"/>
    <w:rsid w:val="002967F2"/>
    <w:rsid w:val="00296E0F"/>
    <w:rsid w:val="002977A5"/>
    <w:rsid w:val="00297CEE"/>
    <w:rsid w:val="002A0386"/>
    <w:rsid w:val="002A1292"/>
    <w:rsid w:val="002A1411"/>
    <w:rsid w:val="002A1548"/>
    <w:rsid w:val="002A22D3"/>
    <w:rsid w:val="002A30EE"/>
    <w:rsid w:val="002A31DB"/>
    <w:rsid w:val="002A3CB2"/>
    <w:rsid w:val="002A49ED"/>
    <w:rsid w:val="002A4CAE"/>
    <w:rsid w:val="002A5BA3"/>
    <w:rsid w:val="002A6338"/>
    <w:rsid w:val="002A6F76"/>
    <w:rsid w:val="002A7877"/>
    <w:rsid w:val="002B0FBA"/>
    <w:rsid w:val="002B133B"/>
    <w:rsid w:val="002B1B91"/>
    <w:rsid w:val="002B2A14"/>
    <w:rsid w:val="002B3757"/>
    <w:rsid w:val="002B3D1C"/>
    <w:rsid w:val="002B3EB0"/>
    <w:rsid w:val="002B400F"/>
    <w:rsid w:val="002B57D1"/>
    <w:rsid w:val="002B5BB7"/>
    <w:rsid w:val="002B6786"/>
    <w:rsid w:val="002B6B14"/>
    <w:rsid w:val="002B6E5A"/>
    <w:rsid w:val="002B708A"/>
    <w:rsid w:val="002B737F"/>
    <w:rsid w:val="002B75A3"/>
    <w:rsid w:val="002C0655"/>
    <w:rsid w:val="002C0D54"/>
    <w:rsid w:val="002C1467"/>
    <w:rsid w:val="002C1B1E"/>
    <w:rsid w:val="002C1B60"/>
    <w:rsid w:val="002C2B43"/>
    <w:rsid w:val="002C3399"/>
    <w:rsid w:val="002C35B2"/>
    <w:rsid w:val="002C35E9"/>
    <w:rsid w:val="002C36D5"/>
    <w:rsid w:val="002C4110"/>
    <w:rsid w:val="002C5C27"/>
    <w:rsid w:val="002C5D1E"/>
    <w:rsid w:val="002C6430"/>
    <w:rsid w:val="002C68AD"/>
    <w:rsid w:val="002C6F5E"/>
    <w:rsid w:val="002C7C38"/>
    <w:rsid w:val="002C7EBC"/>
    <w:rsid w:val="002D040B"/>
    <w:rsid w:val="002D07A5"/>
    <w:rsid w:val="002D0F14"/>
    <w:rsid w:val="002D10C4"/>
    <w:rsid w:val="002D10FE"/>
    <w:rsid w:val="002D1D73"/>
    <w:rsid w:val="002D3509"/>
    <w:rsid w:val="002D47C1"/>
    <w:rsid w:val="002D53F3"/>
    <w:rsid w:val="002D5B23"/>
    <w:rsid w:val="002D5FD3"/>
    <w:rsid w:val="002D67BD"/>
    <w:rsid w:val="002D7546"/>
    <w:rsid w:val="002D764B"/>
    <w:rsid w:val="002D77C5"/>
    <w:rsid w:val="002E0197"/>
    <w:rsid w:val="002E030A"/>
    <w:rsid w:val="002E24ED"/>
    <w:rsid w:val="002E2589"/>
    <w:rsid w:val="002E285A"/>
    <w:rsid w:val="002E368C"/>
    <w:rsid w:val="002E4200"/>
    <w:rsid w:val="002E5132"/>
    <w:rsid w:val="002E5250"/>
    <w:rsid w:val="002E5985"/>
    <w:rsid w:val="002E64D0"/>
    <w:rsid w:val="002E77B6"/>
    <w:rsid w:val="002F0119"/>
    <w:rsid w:val="002F05ED"/>
    <w:rsid w:val="002F1A78"/>
    <w:rsid w:val="002F1BF3"/>
    <w:rsid w:val="002F21D2"/>
    <w:rsid w:val="002F2698"/>
    <w:rsid w:val="002F2B29"/>
    <w:rsid w:val="002F318A"/>
    <w:rsid w:val="002F31A2"/>
    <w:rsid w:val="002F329B"/>
    <w:rsid w:val="002F38DC"/>
    <w:rsid w:val="002F40C9"/>
    <w:rsid w:val="002F5363"/>
    <w:rsid w:val="002F5AE3"/>
    <w:rsid w:val="002F666C"/>
    <w:rsid w:val="002F71D7"/>
    <w:rsid w:val="002F7ACF"/>
    <w:rsid w:val="002F7FBF"/>
    <w:rsid w:val="00301054"/>
    <w:rsid w:val="0030224D"/>
    <w:rsid w:val="00302492"/>
    <w:rsid w:val="00303F89"/>
    <w:rsid w:val="0030429E"/>
    <w:rsid w:val="00304DAA"/>
    <w:rsid w:val="00305EC3"/>
    <w:rsid w:val="00306546"/>
    <w:rsid w:val="00310852"/>
    <w:rsid w:val="00310F8E"/>
    <w:rsid w:val="00311F0D"/>
    <w:rsid w:val="00312843"/>
    <w:rsid w:val="003131BA"/>
    <w:rsid w:val="00314983"/>
    <w:rsid w:val="00315748"/>
    <w:rsid w:val="0031585E"/>
    <w:rsid w:val="00315E05"/>
    <w:rsid w:val="00316A87"/>
    <w:rsid w:val="00316E5F"/>
    <w:rsid w:val="00317449"/>
    <w:rsid w:val="00317D73"/>
    <w:rsid w:val="00322089"/>
    <w:rsid w:val="003220CA"/>
    <w:rsid w:val="0032225D"/>
    <w:rsid w:val="00322994"/>
    <w:rsid w:val="00323562"/>
    <w:rsid w:val="00323B93"/>
    <w:rsid w:val="00324DB6"/>
    <w:rsid w:val="003250D5"/>
    <w:rsid w:val="00325150"/>
    <w:rsid w:val="00325CB3"/>
    <w:rsid w:val="003261DE"/>
    <w:rsid w:val="0032629E"/>
    <w:rsid w:val="003274F0"/>
    <w:rsid w:val="0032780D"/>
    <w:rsid w:val="00327A7A"/>
    <w:rsid w:val="003311F5"/>
    <w:rsid w:val="0033120A"/>
    <w:rsid w:val="003312AD"/>
    <w:rsid w:val="00331AF3"/>
    <w:rsid w:val="00331E66"/>
    <w:rsid w:val="003326BB"/>
    <w:rsid w:val="00333C22"/>
    <w:rsid w:val="00333F0A"/>
    <w:rsid w:val="00334C53"/>
    <w:rsid w:val="00335023"/>
    <w:rsid w:val="00335523"/>
    <w:rsid w:val="003360AD"/>
    <w:rsid w:val="00336863"/>
    <w:rsid w:val="00336DCB"/>
    <w:rsid w:val="00341A9B"/>
    <w:rsid w:val="00341F16"/>
    <w:rsid w:val="003421E2"/>
    <w:rsid w:val="00342775"/>
    <w:rsid w:val="00343342"/>
    <w:rsid w:val="003437AF"/>
    <w:rsid w:val="00343D0A"/>
    <w:rsid w:val="0034438F"/>
    <w:rsid w:val="0034481E"/>
    <w:rsid w:val="00344A64"/>
    <w:rsid w:val="003452E7"/>
    <w:rsid w:val="003453E4"/>
    <w:rsid w:val="0034589D"/>
    <w:rsid w:val="00345BA3"/>
    <w:rsid w:val="00345BC5"/>
    <w:rsid w:val="00345F0E"/>
    <w:rsid w:val="00345F7A"/>
    <w:rsid w:val="003464C6"/>
    <w:rsid w:val="00346631"/>
    <w:rsid w:val="003468AA"/>
    <w:rsid w:val="00347D9C"/>
    <w:rsid w:val="003501A9"/>
    <w:rsid w:val="00351064"/>
    <w:rsid w:val="00351D66"/>
    <w:rsid w:val="00352240"/>
    <w:rsid w:val="00352B60"/>
    <w:rsid w:val="0035375E"/>
    <w:rsid w:val="003548F1"/>
    <w:rsid w:val="00354C7B"/>
    <w:rsid w:val="00355AF5"/>
    <w:rsid w:val="00355DD5"/>
    <w:rsid w:val="003575D5"/>
    <w:rsid w:val="00360547"/>
    <w:rsid w:val="00360EEA"/>
    <w:rsid w:val="00361371"/>
    <w:rsid w:val="00361DC8"/>
    <w:rsid w:val="00362842"/>
    <w:rsid w:val="00363355"/>
    <w:rsid w:val="00364F29"/>
    <w:rsid w:val="00365950"/>
    <w:rsid w:val="00370055"/>
    <w:rsid w:val="00371507"/>
    <w:rsid w:val="003715F1"/>
    <w:rsid w:val="0037192D"/>
    <w:rsid w:val="00371AED"/>
    <w:rsid w:val="00371C2B"/>
    <w:rsid w:val="00372BA8"/>
    <w:rsid w:val="0037388B"/>
    <w:rsid w:val="003738D0"/>
    <w:rsid w:val="00373C03"/>
    <w:rsid w:val="00374287"/>
    <w:rsid w:val="00374845"/>
    <w:rsid w:val="00374A33"/>
    <w:rsid w:val="00374B3B"/>
    <w:rsid w:val="00374F02"/>
    <w:rsid w:val="00376323"/>
    <w:rsid w:val="00377488"/>
    <w:rsid w:val="00380046"/>
    <w:rsid w:val="00380EA6"/>
    <w:rsid w:val="0038180A"/>
    <w:rsid w:val="00382649"/>
    <w:rsid w:val="003827EC"/>
    <w:rsid w:val="00382B30"/>
    <w:rsid w:val="00382BC0"/>
    <w:rsid w:val="0038333D"/>
    <w:rsid w:val="00385033"/>
    <w:rsid w:val="003859BF"/>
    <w:rsid w:val="00385B0F"/>
    <w:rsid w:val="003864D8"/>
    <w:rsid w:val="0038692F"/>
    <w:rsid w:val="0038697F"/>
    <w:rsid w:val="00386C01"/>
    <w:rsid w:val="00387364"/>
    <w:rsid w:val="00387B6B"/>
    <w:rsid w:val="003908B9"/>
    <w:rsid w:val="00390CB8"/>
    <w:rsid w:val="00391261"/>
    <w:rsid w:val="003940E9"/>
    <w:rsid w:val="00394B9D"/>
    <w:rsid w:val="003952E1"/>
    <w:rsid w:val="00395500"/>
    <w:rsid w:val="00397E41"/>
    <w:rsid w:val="003A0B2F"/>
    <w:rsid w:val="003A0E8E"/>
    <w:rsid w:val="003A1975"/>
    <w:rsid w:val="003A205A"/>
    <w:rsid w:val="003A29AE"/>
    <w:rsid w:val="003A2C12"/>
    <w:rsid w:val="003A300C"/>
    <w:rsid w:val="003A3AED"/>
    <w:rsid w:val="003A3E1A"/>
    <w:rsid w:val="003A4233"/>
    <w:rsid w:val="003A4760"/>
    <w:rsid w:val="003A507A"/>
    <w:rsid w:val="003A5680"/>
    <w:rsid w:val="003B014B"/>
    <w:rsid w:val="003B055F"/>
    <w:rsid w:val="003B0708"/>
    <w:rsid w:val="003B07C8"/>
    <w:rsid w:val="003B15E5"/>
    <w:rsid w:val="003B1755"/>
    <w:rsid w:val="003B1986"/>
    <w:rsid w:val="003B1E45"/>
    <w:rsid w:val="003B23B7"/>
    <w:rsid w:val="003B3654"/>
    <w:rsid w:val="003B36F1"/>
    <w:rsid w:val="003B3BDD"/>
    <w:rsid w:val="003B47AC"/>
    <w:rsid w:val="003B509D"/>
    <w:rsid w:val="003B5731"/>
    <w:rsid w:val="003B68A6"/>
    <w:rsid w:val="003B6BE9"/>
    <w:rsid w:val="003B6E1B"/>
    <w:rsid w:val="003B7229"/>
    <w:rsid w:val="003B747E"/>
    <w:rsid w:val="003B7523"/>
    <w:rsid w:val="003B7E4F"/>
    <w:rsid w:val="003C0991"/>
    <w:rsid w:val="003C0BDE"/>
    <w:rsid w:val="003C0FBF"/>
    <w:rsid w:val="003C141D"/>
    <w:rsid w:val="003C1A51"/>
    <w:rsid w:val="003C3C40"/>
    <w:rsid w:val="003C4887"/>
    <w:rsid w:val="003C515F"/>
    <w:rsid w:val="003C5528"/>
    <w:rsid w:val="003C5C67"/>
    <w:rsid w:val="003C615F"/>
    <w:rsid w:val="003C7C37"/>
    <w:rsid w:val="003D0BEF"/>
    <w:rsid w:val="003D0C8A"/>
    <w:rsid w:val="003D0F4F"/>
    <w:rsid w:val="003D17C9"/>
    <w:rsid w:val="003D224E"/>
    <w:rsid w:val="003D2302"/>
    <w:rsid w:val="003D23A5"/>
    <w:rsid w:val="003D27DE"/>
    <w:rsid w:val="003D3B12"/>
    <w:rsid w:val="003D4362"/>
    <w:rsid w:val="003D5186"/>
    <w:rsid w:val="003D5394"/>
    <w:rsid w:val="003D6685"/>
    <w:rsid w:val="003D67DE"/>
    <w:rsid w:val="003D6983"/>
    <w:rsid w:val="003D6C93"/>
    <w:rsid w:val="003D7250"/>
    <w:rsid w:val="003D727E"/>
    <w:rsid w:val="003D746D"/>
    <w:rsid w:val="003D7666"/>
    <w:rsid w:val="003D794B"/>
    <w:rsid w:val="003E0272"/>
    <w:rsid w:val="003E04A3"/>
    <w:rsid w:val="003E1ADD"/>
    <w:rsid w:val="003E2D0E"/>
    <w:rsid w:val="003E2D86"/>
    <w:rsid w:val="003E3342"/>
    <w:rsid w:val="003E3885"/>
    <w:rsid w:val="003E49D9"/>
    <w:rsid w:val="003E596E"/>
    <w:rsid w:val="003E5A02"/>
    <w:rsid w:val="003E5B79"/>
    <w:rsid w:val="003E7679"/>
    <w:rsid w:val="003F1652"/>
    <w:rsid w:val="003F1E86"/>
    <w:rsid w:val="003F292F"/>
    <w:rsid w:val="003F29F6"/>
    <w:rsid w:val="003F3055"/>
    <w:rsid w:val="003F3564"/>
    <w:rsid w:val="003F3ECF"/>
    <w:rsid w:val="003F437B"/>
    <w:rsid w:val="003F54F3"/>
    <w:rsid w:val="003F7240"/>
    <w:rsid w:val="003F74DF"/>
    <w:rsid w:val="0040072F"/>
    <w:rsid w:val="00401795"/>
    <w:rsid w:val="00401CAF"/>
    <w:rsid w:val="00402567"/>
    <w:rsid w:val="00402907"/>
    <w:rsid w:val="004046FA"/>
    <w:rsid w:val="00404940"/>
    <w:rsid w:val="004052B7"/>
    <w:rsid w:val="0040591E"/>
    <w:rsid w:val="00406F84"/>
    <w:rsid w:val="004073C5"/>
    <w:rsid w:val="00407503"/>
    <w:rsid w:val="00407858"/>
    <w:rsid w:val="00407BEC"/>
    <w:rsid w:val="004108A4"/>
    <w:rsid w:val="00410A01"/>
    <w:rsid w:val="00410A29"/>
    <w:rsid w:val="00411F9A"/>
    <w:rsid w:val="0041206E"/>
    <w:rsid w:val="0041257F"/>
    <w:rsid w:val="00412756"/>
    <w:rsid w:val="004130AB"/>
    <w:rsid w:val="0041383C"/>
    <w:rsid w:val="00413A94"/>
    <w:rsid w:val="00413B22"/>
    <w:rsid w:val="00414095"/>
    <w:rsid w:val="004150E1"/>
    <w:rsid w:val="00416F65"/>
    <w:rsid w:val="004178B6"/>
    <w:rsid w:val="0042004A"/>
    <w:rsid w:val="004206D3"/>
    <w:rsid w:val="00420F84"/>
    <w:rsid w:val="004218EC"/>
    <w:rsid w:val="00421B13"/>
    <w:rsid w:val="0042256F"/>
    <w:rsid w:val="004239BF"/>
    <w:rsid w:val="00423EEE"/>
    <w:rsid w:val="004242EC"/>
    <w:rsid w:val="00426870"/>
    <w:rsid w:val="00427E28"/>
    <w:rsid w:val="00430256"/>
    <w:rsid w:val="00430BF3"/>
    <w:rsid w:val="00433CFB"/>
    <w:rsid w:val="00434C46"/>
    <w:rsid w:val="004355CB"/>
    <w:rsid w:val="00435698"/>
    <w:rsid w:val="00435AF9"/>
    <w:rsid w:val="00437337"/>
    <w:rsid w:val="00437742"/>
    <w:rsid w:val="004378F9"/>
    <w:rsid w:val="00437F0B"/>
    <w:rsid w:val="00441181"/>
    <w:rsid w:val="0044153C"/>
    <w:rsid w:val="00441D96"/>
    <w:rsid w:val="004420EE"/>
    <w:rsid w:val="0044452B"/>
    <w:rsid w:val="004447F2"/>
    <w:rsid w:val="00445163"/>
    <w:rsid w:val="00445B02"/>
    <w:rsid w:val="00446608"/>
    <w:rsid w:val="00446FE2"/>
    <w:rsid w:val="004471CA"/>
    <w:rsid w:val="00447593"/>
    <w:rsid w:val="004476B2"/>
    <w:rsid w:val="00447A4D"/>
    <w:rsid w:val="0045026E"/>
    <w:rsid w:val="00450378"/>
    <w:rsid w:val="00450A1E"/>
    <w:rsid w:val="004514C6"/>
    <w:rsid w:val="00451945"/>
    <w:rsid w:val="00451D41"/>
    <w:rsid w:val="00451E70"/>
    <w:rsid w:val="00451EBB"/>
    <w:rsid w:val="004520DF"/>
    <w:rsid w:val="0045281F"/>
    <w:rsid w:val="00452C84"/>
    <w:rsid w:val="00452C88"/>
    <w:rsid w:val="00453ADB"/>
    <w:rsid w:val="00453BF8"/>
    <w:rsid w:val="00453DBC"/>
    <w:rsid w:val="00454CF2"/>
    <w:rsid w:val="004558E5"/>
    <w:rsid w:val="00456D7A"/>
    <w:rsid w:val="00457469"/>
    <w:rsid w:val="004576E2"/>
    <w:rsid w:val="004609C5"/>
    <w:rsid w:val="00460DB2"/>
    <w:rsid w:val="00460F6F"/>
    <w:rsid w:val="004619A2"/>
    <w:rsid w:val="0046248B"/>
    <w:rsid w:val="00462B29"/>
    <w:rsid w:val="00463DF9"/>
    <w:rsid w:val="00463E46"/>
    <w:rsid w:val="00464377"/>
    <w:rsid w:val="00464E3D"/>
    <w:rsid w:val="00465197"/>
    <w:rsid w:val="00465D1E"/>
    <w:rsid w:val="00465E12"/>
    <w:rsid w:val="00466131"/>
    <w:rsid w:val="004664C8"/>
    <w:rsid w:val="00467224"/>
    <w:rsid w:val="0047004D"/>
    <w:rsid w:val="00470259"/>
    <w:rsid w:val="0047221E"/>
    <w:rsid w:val="00472333"/>
    <w:rsid w:val="004723A3"/>
    <w:rsid w:val="0047276C"/>
    <w:rsid w:val="0047404A"/>
    <w:rsid w:val="00474740"/>
    <w:rsid w:val="004749ED"/>
    <w:rsid w:val="00475297"/>
    <w:rsid w:val="00476101"/>
    <w:rsid w:val="00476152"/>
    <w:rsid w:val="004769C3"/>
    <w:rsid w:val="0047709F"/>
    <w:rsid w:val="0047745A"/>
    <w:rsid w:val="00477E7A"/>
    <w:rsid w:val="00481F22"/>
    <w:rsid w:val="00482F5C"/>
    <w:rsid w:val="00483DC6"/>
    <w:rsid w:val="00484913"/>
    <w:rsid w:val="00485618"/>
    <w:rsid w:val="0049102F"/>
    <w:rsid w:val="00491854"/>
    <w:rsid w:val="00491BE3"/>
    <w:rsid w:val="00491F0B"/>
    <w:rsid w:val="004924C5"/>
    <w:rsid w:val="004928BB"/>
    <w:rsid w:val="004928CC"/>
    <w:rsid w:val="0049294A"/>
    <w:rsid w:val="00492AB9"/>
    <w:rsid w:val="00492C5B"/>
    <w:rsid w:val="00493DAD"/>
    <w:rsid w:val="004942F9"/>
    <w:rsid w:val="0049475E"/>
    <w:rsid w:val="0049482C"/>
    <w:rsid w:val="00494870"/>
    <w:rsid w:val="004950A5"/>
    <w:rsid w:val="00497295"/>
    <w:rsid w:val="00497E03"/>
    <w:rsid w:val="004A0730"/>
    <w:rsid w:val="004A1A2F"/>
    <w:rsid w:val="004A2202"/>
    <w:rsid w:val="004A2E67"/>
    <w:rsid w:val="004A2FA5"/>
    <w:rsid w:val="004A2FBF"/>
    <w:rsid w:val="004A326B"/>
    <w:rsid w:val="004A3811"/>
    <w:rsid w:val="004A433E"/>
    <w:rsid w:val="004A4599"/>
    <w:rsid w:val="004A5258"/>
    <w:rsid w:val="004A64C1"/>
    <w:rsid w:val="004A6537"/>
    <w:rsid w:val="004A7557"/>
    <w:rsid w:val="004A7A72"/>
    <w:rsid w:val="004A7EDE"/>
    <w:rsid w:val="004B0D6B"/>
    <w:rsid w:val="004B204C"/>
    <w:rsid w:val="004B20BF"/>
    <w:rsid w:val="004B29C0"/>
    <w:rsid w:val="004B33AF"/>
    <w:rsid w:val="004B4D01"/>
    <w:rsid w:val="004B65DE"/>
    <w:rsid w:val="004B65ED"/>
    <w:rsid w:val="004B68F3"/>
    <w:rsid w:val="004B7A1C"/>
    <w:rsid w:val="004B7ACD"/>
    <w:rsid w:val="004B7D40"/>
    <w:rsid w:val="004C0385"/>
    <w:rsid w:val="004C0436"/>
    <w:rsid w:val="004C0481"/>
    <w:rsid w:val="004C19CB"/>
    <w:rsid w:val="004C1BC5"/>
    <w:rsid w:val="004C1E04"/>
    <w:rsid w:val="004C20E4"/>
    <w:rsid w:val="004C217D"/>
    <w:rsid w:val="004C24D3"/>
    <w:rsid w:val="004C32B6"/>
    <w:rsid w:val="004C39DE"/>
    <w:rsid w:val="004C3BE0"/>
    <w:rsid w:val="004C4AE6"/>
    <w:rsid w:val="004C59CC"/>
    <w:rsid w:val="004C6181"/>
    <w:rsid w:val="004C6B93"/>
    <w:rsid w:val="004C6E49"/>
    <w:rsid w:val="004D007A"/>
    <w:rsid w:val="004D1284"/>
    <w:rsid w:val="004D1786"/>
    <w:rsid w:val="004D2E05"/>
    <w:rsid w:val="004D3304"/>
    <w:rsid w:val="004D357E"/>
    <w:rsid w:val="004D3674"/>
    <w:rsid w:val="004D539F"/>
    <w:rsid w:val="004D6224"/>
    <w:rsid w:val="004D6AA7"/>
    <w:rsid w:val="004D6E5D"/>
    <w:rsid w:val="004D7605"/>
    <w:rsid w:val="004D778B"/>
    <w:rsid w:val="004E0A53"/>
    <w:rsid w:val="004E1C7E"/>
    <w:rsid w:val="004E22CB"/>
    <w:rsid w:val="004E233C"/>
    <w:rsid w:val="004E2E09"/>
    <w:rsid w:val="004E43E1"/>
    <w:rsid w:val="004E4AF1"/>
    <w:rsid w:val="004E53D7"/>
    <w:rsid w:val="004E5781"/>
    <w:rsid w:val="004E5F54"/>
    <w:rsid w:val="004E64A4"/>
    <w:rsid w:val="004E672B"/>
    <w:rsid w:val="004E7BA3"/>
    <w:rsid w:val="004F0590"/>
    <w:rsid w:val="004F0754"/>
    <w:rsid w:val="004F0BE5"/>
    <w:rsid w:val="004F0D63"/>
    <w:rsid w:val="004F0EAA"/>
    <w:rsid w:val="004F1A4D"/>
    <w:rsid w:val="004F2ED0"/>
    <w:rsid w:val="004F3403"/>
    <w:rsid w:val="004F4821"/>
    <w:rsid w:val="004F4A5E"/>
    <w:rsid w:val="004F4F7A"/>
    <w:rsid w:val="004F4FDF"/>
    <w:rsid w:val="004F571A"/>
    <w:rsid w:val="004F5DA4"/>
    <w:rsid w:val="004F6092"/>
    <w:rsid w:val="004F6310"/>
    <w:rsid w:val="004F6695"/>
    <w:rsid w:val="004F6855"/>
    <w:rsid w:val="004F6BF0"/>
    <w:rsid w:val="004F7374"/>
    <w:rsid w:val="00500DF6"/>
    <w:rsid w:val="00501773"/>
    <w:rsid w:val="00501B29"/>
    <w:rsid w:val="00502345"/>
    <w:rsid w:val="00503067"/>
    <w:rsid w:val="00503125"/>
    <w:rsid w:val="00503640"/>
    <w:rsid w:val="005045B7"/>
    <w:rsid w:val="0050489B"/>
    <w:rsid w:val="00504B82"/>
    <w:rsid w:val="0050767D"/>
    <w:rsid w:val="005079E9"/>
    <w:rsid w:val="00511475"/>
    <w:rsid w:val="0051332F"/>
    <w:rsid w:val="0051363D"/>
    <w:rsid w:val="0051418E"/>
    <w:rsid w:val="00514554"/>
    <w:rsid w:val="005146F5"/>
    <w:rsid w:val="00515887"/>
    <w:rsid w:val="00516D88"/>
    <w:rsid w:val="005174BB"/>
    <w:rsid w:val="0052208A"/>
    <w:rsid w:val="0052292F"/>
    <w:rsid w:val="00523000"/>
    <w:rsid w:val="005231A7"/>
    <w:rsid w:val="0052346A"/>
    <w:rsid w:val="00523F11"/>
    <w:rsid w:val="00524D25"/>
    <w:rsid w:val="00524FFE"/>
    <w:rsid w:val="005252F9"/>
    <w:rsid w:val="00525688"/>
    <w:rsid w:val="00525C30"/>
    <w:rsid w:val="00525E7D"/>
    <w:rsid w:val="005263F6"/>
    <w:rsid w:val="0052672D"/>
    <w:rsid w:val="00526D89"/>
    <w:rsid w:val="00527457"/>
    <w:rsid w:val="00527721"/>
    <w:rsid w:val="00527CDC"/>
    <w:rsid w:val="005302A7"/>
    <w:rsid w:val="005305F4"/>
    <w:rsid w:val="0053083D"/>
    <w:rsid w:val="00530F33"/>
    <w:rsid w:val="00531567"/>
    <w:rsid w:val="00531825"/>
    <w:rsid w:val="00531CD4"/>
    <w:rsid w:val="00531E88"/>
    <w:rsid w:val="00532753"/>
    <w:rsid w:val="00532F66"/>
    <w:rsid w:val="005346AB"/>
    <w:rsid w:val="005368CA"/>
    <w:rsid w:val="00537476"/>
    <w:rsid w:val="005402AA"/>
    <w:rsid w:val="00540C9D"/>
    <w:rsid w:val="00540E62"/>
    <w:rsid w:val="005411AD"/>
    <w:rsid w:val="005414F7"/>
    <w:rsid w:val="00541F99"/>
    <w:rsid w:val="005427EF"/>
    <w:rsid w:val="00542CAB"/>
    <w:rsid w:val="005440C0"/>
    <w:rsid w:val="005449E4"/>
    <w:rsid w:val="0054560A"/>
    <w:rsid w:val="00545BA8"/>
    <w:rsid w:val="0054724E"/>
    <w:rsid w:val="00547576"/>
    <w:rsid w:val="00547663"/>
    <w:rsid w:val="0054788E"/>
    <w:rsid w:val="00547AD2"/>
    <w:rsid w:val="00550508"/>
    <w:rsid w:val="0055082C"/>
    <w:rsid w:val="00550B7E"/>
    <w:rsid w:val="00550C1A"/>
    <w:rsid w:val="00550D37"/>
    <w:rsid w:val="00552C83"/>
    <w:rsid w:val="00553B77"/>
    <w:rsid w:val="00553DE7"/>
    <w:rsid w:val="005553CA"/>
    <w:rsid w:val="00555E4C"/>
    <w:rsid w:val="00557042"/>
    <w:rsid w:val="00557A54"/>
    <w:rsid w:val="00560345"/>
    <w:rsid w:val="00561B34"/>
    <w:rsid w:val="00561E5A"/>
    <w:rsid w:val="0056204F"/>
    <w:rsid w:val="0056237A"/>
    <w:rsid w:val="005623E6"/>
    <w:rsid w:val="0056311B"/>
    <w:rsid w:val="0056478A"/>
    <w:rsid w:val="0056490F"/>
    <w:rsid w:val="00564C75"/>
    <w:rsid w:val="00564F2C"/>
    <w:rsid w:val="00565A81"/>
    <w:rsid w:val="00565C92"/>
    <w:rsid w:val="00566FAB"/>
    <w:rsid w:val="00567413"/>
    <w:rsid w:val="0056787F"/>
    <w:rsid w:val="00570A54"/>
    <w:rsid w:val="00570AAE"/>
    <w:rsid w:val="00570B6E"/>
    <w:rsid w:val="00572236"/>
    <w:rsid w:val="00572371"/>
    <w:rsid w:val="00572B27"/>
    <w:rsid w:val="00573BB1"/>
    <w:rsid w:val="00573EFA"/>
    <w:rsid w:val="00574580"/>
    <w:rsid w:val="00574CB6"/>
    <w:rsid w:val="0057560B"/>
    <w:rsid w:val="0057766F"/>
    <w:rsid w:val="005777BA"/>
    <w:rsid w:val="005812DD"/>
    <w:rsid w:val="005817BC"/>
    <w:rsid w:val="00581AC5"/>
    <w:rsid w:val="005827E9"/>
    <w:rsid w:val="0058292E"/>
    <w:rsid w:val="00582CA2"/>
    <w:rsid w:val="00583516"/>
    <w:rsid w:val="00584016"/>
    <w:rsid w:val="0058418B"/>
    <w:rsid w:val="0058428F"/>
    <w:rsid w:val="00584D6A"/>
    <w:rsid w:val="00584D71"/>
    <w:rsid w:val="005854D1"/>
    <w:rsid w:val="00585D25"/>
    <w:rsid w:val="00587548"/>
    <w:rsid w:val="00587EB2"/>
    <w:rsid w:val="005902C3"/>
    <w:rsid w:val="00590EAF"/>
    <w:rsid w:val="00591D3A"/>
    <w:rsid w:val="00591EE0"/>
    <w:rsid w:val="005929BF"/>
    <w:rsid w:val="00592F3F"/>
    <w:rsid w:val="00593C4F"/>
    <w:rsid w:val="005941F4"/>
    <w:rsid w:val="00594702"/>
    <w:rsid w:val="005949AB"/>
    <w:rsid w:val="005953B5"/>
    <w:rsid w:val="00595770"/>
    <w:rsid w:val="0059645C"/>
    <w:rsid w:val="005966C4"/>
    <w:rsid w:val="00597FAF"/>
    <w:rsid w:val="005A0AE5"/>
    <w:rsid w:val="005A0CB3"/>
    <w:rsid w:val="005A1D09"/>
    <w:rsid w:val="005A32B1"/>
    <w:rsid w:val="005A3F35"/>
    <w:rsid w:val="005A492C"/>
    <w:rsid w:val="005A4DC0"/>
    <w:rsid w:val="005A5420"/>
    <w:rsid w:val="005A7204"/>
    <w:rsid w:val="005A7653"/>
    <w:rsid w:val="005A783E"/>
    <w:rsid w:val="005A7CEB"/>
    <w:rsid w:val="005A7DDA"/>
    <w:rsid w:val="005B033A"/>
    <w:rsid w:val="005B04FF"/>
    <w:rsid w:val="005B1602"/>
    <w:rsid w:val="005B1BA1"/>
    <w:rsid w:val="005B2012"/>
    <w:rsid w:val="005B2B19"/>
    <w:rsid w:val="005B2DD6"/>
    <w:rsid w:val="005B3FF7"/>
    <w:rsid w:val="005B41DA"/>
    <w:rsid w:val="005B468C"/>
    <w:rsid w:val="005B4856"/>
    <w:rsid w:val="005B609C"/>
    <w:rsid w:val="005B61D5"/>
    <w:rsid w:val="005B6A73"/>
    <w:rsid w:val="005B6C56"/>
    <w:rsid w:val="005B7AAA"/>
    <w:rsid w:val="005C00F0"/>
    <w:rsid w:val="005C097D"/>
    <w:rsid w:val="005C1A7B"/>
    <w:rsid w:val="005C2BFC"/>
    <w:rsid w:val="005C3289"/>
    <w:rsid w:val="005C3685"/>
    <w:rsid w:val="005C38F1"/>
    <w:rsid w:val="005C39EF"/>
    <w:rsid w:val="005C3D7D"/>
    <w:rsid w:val="005C4D93"/>
    <w:rsid w:val="005C53C3"/>
    <w:rsid w:val="005C56F8"/>
    <w:rsid w:val="005C580F"/>
    <w:rsid w:val="005C6B12"/>
    <w:rsid w:val="005C6CB7"/>
    <w:rsid w:val="005C6E8F"/>
    <w:rsid w:val="005C6EA6"/>
    <w:rsid w:val="005C7123"/>
    <w:rsid w:val="005D002B"/>
    <w:rsid w:val="005D0590"/>
    <w:rsid w:val="005D183B"/>
    <w:rsid w:val="005D18E6"/>
    <w:rsid w:val="005D2BD8"/>
    <w:rsid w:val="005D4B52"/>
    <w:rsid w:val="005D5680"/>
    <w:rsid w:val="005D5730"/>
    <w:rsid w:val="005D573A"/>
    <w:rsid w:val="005D57AA"/>
    <w:rsid w:val="005D6E02"/>
    <w:rsid w:val="005D7A32"/>
    <w:rsid w:val="005D7A63"/>
    <w:rsid w:val="005E0244"/>
    <w:rsid w:val="005E0842"/>
    <w:rsid w:val="005E228F"/>
    <w:rsid w:val="005E24B1"/>
    <w:rsid w:val="005E26BE"/>
    <w:rsid w:val="005E353D"/>
    <w:rsid w:val="005E3E77"/>
    <w:rsid w:val="005E3FEA"/>
    <w:rsid w:val="005E40FA"/>
    <w:rsid w:val="005E4164"/>
    <w:rsid w:val="005E4926"/>
    <w:rsid w:val="005E4B18"/>
    <w:rsid w:val="005E4D6F"/>
    <w:rsid w:val="005E4EDA"/>
    <w:rsid w:val="005E508F"/>
    <w:rsid w:val="005E6654"/>
    <w:rsid w:val="005E708F"/>
    <w:rsid w:val="005E75E6"/>
    <w:rsid w:val="005E7D18"/>
    <w:rsid w:val="005F0052"/>
    <w:rsid w:val="005F09F1"/>
    <w:rsid w:val="005F22FD"/>
    <w:rsid w:val="005F23A1"/>
    <w:rsid w:val="005F2B71"/>
    <w:rsid w:val="005F35A8"/>
    <w:rsid w:val="005F3CE3"/>
    <w:rsid w:val="005F45EE"/>
    <w:rsid w:val="005F5F8A"/>
    <w:rsid w:val="005F6805"/>
    <w:rsid w:val="005F6A1E"/>
    <w:rsid w:val="005F73FE"/>
    <w:rsid w:val="005F74C3"/>
    <w:rsid w:val="005F77E3"/>
    <w:rsid w:val="00600461"/>
    <w:rsid w:val="00601522"/>
    <w:rsid w:val="00602FA9"/>
    <w:rsid w:val="00603975"/>
    <w:rsid w:val="006043FA"/>
    <w:rsid w:val="00604512"/>
    <w:rsid w:val="00604613"/>
    <w:rsid w:val="006050AC"/>
    <w:rsid w:val="0060566E"/>
    <w:rsid w:val="00605897"/>
    <w:rsid w:val="00605B39"/>
    <w:rsid w:val="00606123"/>
    <w:rsid w:val="006078D3"/>
    <w:rsid w:val="00610383"/>
    <w:rsid w:val="00610CEB"/>
    <w:rsid w:val="0061263C"/>
    <w:rsid w:val="00612855"/>
    <w:rsid w:val="00613352"/>
    <w:rsid w:val="00613760"/>
    <w:rsid w:val="0061408F"/>
    <w:rsid w:val="006152F9"/>
    <w:rsid w:val="00617D4C"/>
    <w:rsid w:val="00620990"/>
    <w:rsid w:val="00620A09"/>
    <w:rsid w:val="00620F49"/>
    <w:rsid w:val="0062245F"/>
    <w:rsid w:val="00622658"/>
    <w:rsid w:val="00623315"/>
    <w:rsid w:val="0062482C"/>
    <w:rsid w:val="00624BCD"/>
    <w:rsid w:val="00624E62"/>
    <w:rsid w:val="006253CD"/>
    <w:rsid w:val="0062589A"/>
    <w:rsid w:val="00626ADA"/>
    <w:rsid w:val="00626B2F"/>
    <w:rsid w:val="00626E7D"/>
    <w:rsid w:val="006301AD"/>
    <w:rsid w:val="00631D1E"/>
    <w:rsid w:val="006323CF"/>
    <w:rsid w:val="00632670"/>
    <w:rsid w:val="0063466F"/>
    <w:rsid w:val="0063732A"/>
    <w:rsid w:val="00640F25"/>
    <w:rsid w:val="006410F9"/>
    <w:rsid w:val="006414C2"/>
    <w:rsid w:val="00642629"/>
    <w:rsid w:val="00642A71"/>
    <w:rsid w:val="00643681"/>
    <w:rsid w:val="006437EF"/>
    <w:rsid w:val="006439C9"/>
    <w:rsid w:val="00646267"/>
    <w:rsid w:val="006466F7"/>
    <w:rsid w:val="00646994"/>
    <w:rsid w:val="00647500"/>
    <w:rsid w:val="006518BF"/>
    <w:rsid w:val="006518C3"/>
    <w:rsid w:val="00651B6D"/>
    <w:rsid w:val="00651EA1"/>
    <w:rsid w:val="0065374D"/>
    <w:rsid w:val="00653C04"/>
    <w:rsid w:val="00654660"/>
    <w:rsid w:val="00654848"/>
    <w:rsid w:val="0065595B"/>
    <w:rsid w:val="00655FCB"/>
    <w:rsid w:val="0065666F"/>
    <w:rsid w:val="006569CE"/>
    <w:rsid w:val="00656FE1"/>
    <w:rsid w:val="00662875"/>
    <w:rsid w:val="0066317C"/>
    <w:rsid w:val="0066402D"/>
    <w:rsid w:val="00664E8B"/>
    <w:rsid w:val="00665630"/>
    <w:rsid w:val="00665EE0"/>
    <w:rsid w:val="0066608F"/>
    <w:rsid w:val="006667D0"/>
    <w:rsid w:val="00666AA2"/>
    <w:rsid w:val="00666B3F"/>
    <w:rsid w:val="006676EF"/>
    <w:rsid w:val="00667A5A"/>
    <w:rsid w:val="0067034A"/>
    <w:rsid w:val="006705A0"/>
    <w:rsid w:val="00671454"/>
    <w:rsid w:val="006718B6"/>
    <w:rsid w:val="00671BED"/>
    <w:rsid w:val="00671D92"/>
    <w:rsid w:val="006721FF"/>
    <w:rsid w:val="0067260B"/>
    <w:rsid w:val="00673889"/>
    <w:rsid w:val="006738D8"/>
    <w:rsid w:val="00673D17"/>
    <w:rsid w:val="00673E53"/>
    <w:rsid w:val="0067415F"/>
    <w:rsid w:val="00675585"/>
    <w:rsid w:val="00675A25"/>
    <w:rsid w:val="00677018"/>
    <w:rsid w:val="0067709B"/>
    <w:rsid w:val="00680258"/>
    <w:rsid w:val="00681644"/>
    <w:rsid w:val="00683EEF"/>
    <w:rsid w:val="0068414A"/>
    <w:rsid w:val="006853FB"/>
    <w:rsid w:val="006856B8"/>
    <w:rsid w:val="00685E96"/>
    <w:rsid w:val="0068611D"/>
    <w:rsid w:val="00686ECD"/>
    <w:rsid w:val="0068750C"/>
    <w:rsid w:val="0068762C"/>
    <w:rsid w:val="00687715"/>
    <w:rsid w:val="0069034E"/>
    <w:rsid w:val="0069040D"/>
    <w:rsid w:val="00693542"/>
    <w:rsid w:val="006936BC"/>
    <w:rsid w:val="00695148"/>
    <w:rsid w:val="00696A3D"/>
    <w:rsid w:val="00696A90"/>
    <w:rsid w:val="0069733D"/>
    <w:rsid w:val="00697921"/>
    <w:rsid w:val="006A3F12"/>
    <w:rsid w:val="006A4668"/>
    <w:rsid w:val="006A49A5"/>
    <w:rsid w:val="006B0482"/>
    <w:rsid w:val="006B0EA6"/>
    <w:rsid w:val="006B1365"/>
    <w:rsid w:val="006B1D31"/>
    <w:rsid w:val="006B29A2"/>
    <w:rsid w:val="006B2F39"/>
    <w:rsid w:val="006B3278"/>
    <w:rsid w:val="006B345A"/>
    <w:rsid w:val="006B3522"/>
    <w:rsid w:val="006B3CA0"/>
    <w:rsid w:val="006B41D9"/>
    <w:rsid w:val="006B4434"/>
    <w:rsid w:val="006B50D4"/>
    <w:rsid w:val="006B5780"/>
    <w:rsid w:val="006B5C5A"/>
    <w:rsid w:val="006B6C93"/>
    <w:rsid w:val="006B7189"/>
    <w:rsid w:val="006C05A1"/>
    <w:rsid w:val="006C06EC"/>
    <w:rsid w:val="006C0963"/>
    <w:rsid w:val="006C1B34"/>
    <w:rsid w:val="006C2635"/>
    <w:rsid w:val="006C2DA0"/>
    <w:rsid w:val="006C38BE"/>
    <w:rsid w:val="006C6001"/>
    <w:rsid w:val="006C76ED"/>
    <w:rsid w:val="006D0B11"/>
    <w:rsid w:val="006D0BB7"/>
    <w:rsid w:val="006D0C42"/>
    <w:rsid w:val="006D4497"/>
    <w:rsid w:val="006D558E"/>
    <w:rsid w:val="006D6C0A"/>
    <w:rsid w:val="006D6FB1"/>
    <w:rsid w:val="006D79B6"/>
    <w:rsid w:val="006E126A"/>
    <w:rsid w:val="006E13C5"/>
    <w:rsid w:val="006E164D"/>
    <w:rsid w:val="006E33FD"/>
    <w:rsid w:val="006E51CC"/>
    <w:rsid w:val="006E5250"/>
    <w:rsid w:val="006E6096"/>
    <w:rsid w:val="006E66EE"/>
    <w:rsid w:val="006E6CBC"/>
    <w:rsid w:val="006E7911"/>
    <w:rsid w:val="006F0412"/>
    <w:rsid w:val="006F063A"/>
    <w:rsid w:val="006F1205"/>
    <w:rsid w:val="006F27D8"/>
    <w:rsid w:val="006F2E50"/>
    <w:rsid w:val="006F3514"/>
    <w:rsid w:val="006F363A"/>
    <w:rsid w:val="006F4280"/>
    <w:rsid w:val="006F460B"/>
    <w:rsid w:val="006F523A"/>
    <w:rsid w:val="006F55D7"/>
    <w:rsid w:val="006F5B9B"/>
    <w:rsid w:val="006F5F55"/>
    <w:rsid w:val="006F5F87"/>
    <w:rsid w:val="006F6CD5"/>
    <w:rsid w:val="00700985"/>
    <w:rsid w:val="00702344"/>
    <w:rsid w:val="00702403"/>
    <w:rsid w:val="00702E40"/>
    <w:rsid w:val="0070332E"/>
    <w:rsid w:val="00703650"/>
    <w:rsid w:val="00703D5D"/>
    <w:rsid w:val="007047FD"/>
    <w:rsid w:val="0070505B"/>
    <w:rsid w:val="0070518E"/>
    <w:rsid w:val="00706460"/>
    <w:rsid w:val="0070647F"/>
    <w:rsid w:val="007103E9"/>
    <w:rsid w:val="0071117E"/>
    <w:rsid w:val="00712A3E"/>
    <w:rsid w:val="00712A4D"/>
    <w:rsid w:val="00713042"/>
    <w:rsid w:val="007134E1"/>
    <w:rsid w:val="0071372E"/>
    <w:rsid w:val="00713A87"/>
    <w:rsid w:val="00713F36"/>
    <w:rsid w:val="00714166"/>
    <w:rsid w:val="00714525"/>
    <w:rsid w:val="00715019"/>
    <w:rsid w:val="00715427"/>
    <w:rsid w:val="0071552F"/>
    <w:rsid w:val="00715BAC"/>
    <w:rsid w:val="00715C60"/>
    <w:rsid w:val="00715F42"/>
    <w:rsid w:val="00716A28"/>
    <w:rsid w:val="00717467"/>
    <w:rsid w:val="0071752E"/>
    <w:rsid w:val="00717705"/>
    <w:rsid w:val="00717F7F"/>
    <w:rsid w:val="00720292"/>
    <w:rsid w:val="00722147"/>
    <w:rsid w:val="0072252C"/>
    <w:rsid w:val="00722717"/>
    <w:rsid w:val="00722A64"/>
    <w:rsid w:val="00723C30"/>
    <w:rsid w:val="0072469A"/>
    <w:rsid w:val="00724D1A"/>
    <w:rsid w:val="007251A2"/>
    <w:rsid w:val="007259B3"/>
    <w:rsid w:val="007263CA"/>
    <w:rsid w:val="007266C4"/>
    <w:rsid w:val="007270AA"/>
    <w:rsid w:val="00727D2B"/>
    <w:rsid w:val="00730D54"/>
    <w:rsid w:val="00731466"/>
    <w:rsid w:val="0073151B"/>
    <w:rsid w:val="007326D5"/>
    <w:rsid w:val="00732851"/>
    <w:rsid w:val="00732C15"/>
    <w:rsid w:val="00733132"/>
    <w:rsid w:val="00735A51"/>
    <w:rsid w:val="00737062"/>
    <w:rsid w:val="0073780F"/>
    <w:rsid w:val="007407F9"/>
    <w:rsid w:val="00740EE4"/>
    <w:rsid w:val="00742A5D"/>
    <w:rsid w:val="007434BC"/>
    <w:rsid w:val="00744230"/>
    <w:rsid w:val="00744D3A"/>
    <w:rsid w:val="00745C2F"/>
    <w:rsid w:val="00745E05"/>
    <w:rsid w:val="00746BFF"/>
    <w:rsid w:val="00746FCE"/>
    <w:rsid w:val="00747DE2"/>
    <w:rsid w:val="00750059"/>
    <w:rsid w:val="00750642"/>
    <w:rsid w:val="00751082"/>
    <w:rsid w:val="007512C1"/>
    <w:rsid w:val="007533A4"/>
    <w:rsid w:val="007534FB"/>
    <w:rsid w:val="007536F5"/>
    <w:rsid w:val="00753703"/>
    <w:rsid w:val="00754822"/>
    <w:rsid w:val="00755846"/>
    <w:rsid w:val="0075634B"/>
    <w:rsid w:val="00756C18"/>
    <w:rsid w:val="00756C7B"/>
    <w:rsid w:val="00757DBF"/>
    <w:rsid w:val="00760444"/>
    <w:rsid w:val="00761095"/>
    <w:rsid w:val="007615EB"/>
    <w:rsid w:val="0076160C"/>
    <w:rsid w:val="00762669"/>
    <w:rsid w:val="007635FC"/>
    <w:rsid w:val="00763620"/>
    <w:rsid w:val="0076454D"/>
    <w:rsid w:val="00765A50"/>
    <w:rsid w:val="00766048"/>
    <w:rsid w:val="00766812"/>
    <w:rsid w:val="00767A0A"/>
    <w:rsid w:val="0077033B"/>
    <w:rsid w:val="007704D6"/>
    <w:rsid w:val="007706ED"/>
    <w:rsid w:val="00770A29"/>
    <w:rsid w:val="00771FC7"/>
    <w:rsid w:val="00772765"/>
    <w:rsid w:val="00772C33"/>
    <w:rsid w:val="00774CCB"/>
    <w:rsid w:val="0077552C"/>
    <w:rsid w:val="0077611D"/>
    <w:rsid w:val="007768B9"/>
    <w:rsid w:val="00776914"/>
    <w:rsid w:val="00777BDB"/>
    <w:rsid w:val="00782091"/>
    <w:rsid w:val="007821E4"/>
    <w:rsid w:val="007822CB"/>
    <w:rsid w:val="00782772"/>
    <w:rsid w:val="00782C09"/>
    <w:rsid w:val="00784635"/>
    <w:rsid w:val="007849F9"/>
    <w:rsid w:val="00784C12"/>
    <w:rsid w:val="00785158"/>
    <w:rsid w:val="00785640"/>
    <w:rsid w:val="0078584B"/>
    <w:rsid w:val="00786BFF"/>
    <w:rsid w:val="00786E5F"/>
    <w:rsid w:val="00787317"/>
    <w:rsid w:val="00787464"/>
    <w:rsid w:val="00787E1C"/>
    <w:rsid w:val="00787E83"/>
    <w:rsid w:val="00791B53"/>
    <w:rsid w:val="00792E88"/>
    <w:rsid w:val="00793135"/>
    <w:rsid w:val="00793B73"/>
    <w:rsid w:val="00794164"/>
    <w:rsid w:val="007944FC"/>
    <w:rsid w:val="007949DD"/>
    <w:rsid w:val="0079560D"/>
    <w:rsid w:val="0079568E"/>
    <w:rsid w:val="00796198"/>
    <w:rsid w:val="00796F26"/>
    <w:rsid w:val="0079732C"/>
    <w:rsid w:val="00797B65"/>
    <w:rsid w:val="007A033F"/>
    <w:rsid w:val="007A08FD"/>
    <w:rsid w:val="007A096B"/>
    <w:rsid w:val="007A1232"/>
    <w:rsid w:val="007A1322"/>
    <w:rsid w:val="007A1854"/>
    <w:rsid w:val="007A1945"/>
    <w:rsid w:val="007A20F8"/>
    <w:rsid w:val="007A2B70"/>
    <w:rsid w:val="007A36E4"/>
    <w:rsid w:val="007A3C2D"/>
    <w:rsid w:val="007A3F80"/>
    <w:rsid w:val="007A4108"/>
    <w:rsid w:val="007A4515"/>
    <w:rsid w:val="007A5BBA"/>
    <w:rsid w:val="007A7AB9"/>
    <w:rsid w:val="007B026F"/>
    <w:rsid w:val="007B0620"/>
    <w:rsid w:val="007B062A"/>
    <w:rsid w:val="007B0D0A"/>
    <w:rsid w:val="007B0E75"/>
    <w:rsid w:val="007B4287"/>
    <w:rsid w:val="007B457F"/>
    <w:rsid w:val="007B7210"/>
    <w:rsid w:val="007C0708"/>
    <w:rsid w:val="007C0B69"/>
    <w:rsid w:val="007C0C0E"/>
    <w:rsid w:val="007C0F76"/>
    <w:rsid w:val="007C2CCF"/>
    <w:rsid w:val="007C32EC"/>
    <w:rsid w:val="007C4190"/>
    <w:rsid w:val="007C540D"/>
    <w:rsid w:val="007C5485"/>
    <w:rsid w:val="007C6497"/>
    <w:rsid w:val="007C6CC5"/>
    <w:rsid w:val="007C6F32"/>
    <w:rsid w:val="007D09E4"/>
    <w:rsid w:val="007D4883"/>
    <w:rsid w:val="007D5181"/>
    <w:rsid w:val="007D5388"/>
    <w:rsid w:val="007D5C2D"/>
    <w:rsid w:val="007D6FFD"/>
    <w:rsid w:val="007D7D63"/>
    <w:rsid w:val="007E0C54"/>
    <w:rsid w:val="007E1275"/>
    <w:rsid w:val="007E1A52"/>
    <w:rsid w:val="007E38A7"/>
    <w:rsid w:val="007E4899"/>
    <w:rsid w:val="007E5AF9"/>
    <w:rsid w:val="007E6C95"/>
    <w:rsid w:val="007E6FD2"/>
    <w:rsid w:val="007E75CF"/>
    <w:rsid w:val="007E7C34"/>
    <w:rsid w:val="007F109A"/>
    <w:rsid w:val="007F18CD"/>
    <w:rsid w:val="007F1C7B"/>
    <w:rsid w:val="007F2BF4"/>
    <w:rsid w:val="007F2DF4"/>
    <w:rsid w:val="007F3433"/>
    <w:rsid w:val="007F42FC"/>
    <w:rsid w:val="007F4369"/>
    <w:rsid w:val="007F4593"/>
    <w:rsid w:val="007F46B6"/>
    <w:rsid w:val="007F507E"/>
    <w:rsid w:val="007F5427"/>
    <w:rsid w:val="007F593A"/>
    <w:rsid w:val="007F5E02"/>
    <w:rsid w:val="007F6107"/>
    <w:rsid w:val="007F7090"/>
    <w:rsid w:val="007F71B8"/>
    <w:rsid w:val="007F7B68"/>
    <w:rsid w:val="008011BB"/>
    <w:rsid w:val="00801428"/>
    <w:rsid w:val="008015E1"/>
    <w:rsid w:val="008015F8"/>
    <w:rsid w:val="00801875"/>
    <w:rsid w:val="00801997"/>
    <w:rsid w:val="008021A9"/>
    <w:rsid w:val="00802A12"/>
    <w:rsid w:val="0080322C"/>
    <w:rsid w:val="00803564"/>
    <w:rsid w:val="00803ECD"/>
    <w:rsid w:val="00804309"/>
    <w:rsid w:val="0080454F"/>
    <w:rsid w:val="00805B06"/>
    <w:rsid w:val="008078BD"/>
    <w:rsid w:val="00807AA9"/>
    <w:rsid w:val="00811444"/>
    <w:rsid w:val="0081193E"/>
    <w:rsid w:val="00812462"/>
    <w:rsid w:val="0081293F"/>
    <w:rsid w:val="00812CFE"/>
    <w:rsid w:val="00812DEE"/>
    <w:rsid w:val="00812FCC"/>
    <w:rsid w:val="00813A02"/>
    <w:rsid w:val="00813B1D"/>
    <w:rsid w:val="0081444F"/>
    <w:rsid w:val="0081657F"/>
    <w:rsid w:val="00816901"/>
    <w:rsid w:val="00821A31"/>
    <w:rsid w:val="008221C4"/>
    <w:rsid w:val="008226DD"/>
    <w:rsid w:val="008230EC"/>
    <w:rsid w:val="008234C6"/>
    <w:rsid w:val="00823C38"/>
    <w:rsid w:val="00823E54"/>
    <w:rsid w:val="00824C91"/>
    <w:rsid w:val="00824CE2"/>
    <w:rsid w:val="00824EF0"/>
    <w:rsid w:val="0082625E"/>
    <w:rsid w:val="008267C4"/>
    <w:rsid w:val="00826E49"/>
    <w:rsid w:val="00826E54"/>
    <w:rsid w:val="00826F08"/>
    <w:rsid w:val="00830770"/>
    <w:rsid w:val="00830868"/>
    <w:rsid w:val="00830C77"/>
    <w:rsid w:val="00832004"/>
    <w:rsid w:val="00832232"/>
    <w:rsid w:val="008326B1"/>
    <w:rsid w:val="00832D8B"/>
    <w:rsid w:val="00833109"/>
    <w:rsid w:val="0083422C"/>
    <w:rsid w:val="008351C9"/>
    <w:rsid w:val="008366C0"/>
    <w:rsid w:val="00836719"/>
    <w:rsid w:val="00836B44"/>
    <w:rsid w:val="00836EFE"/>
    <w:rsid w:val="008372BF"/>
    <w:rsid w:val="008402FD"/>
    <w:rsid w:val="00840A5C"/>
    <w:rsid w:val="008414D1"/>
    <w:rsid w:val="00842C4D"/>
    <w:rsid w:val="00842E1C"/>
    <w:rsid w:val="00843E12"/>
    <w:rsid w:val="00845746"/>
    <w:rsid w:val="0084665C"/>
    <w:rsid w:val="0084689A"/>
    <w:rsid w:val="00846C3D"/>
    <w:rsid w:val="00846EE6"/>
    <w:rsid w:val="00847C70"/>
    <w:rsid w:val="00847D47"/>
    <w:rsid w:val="00850206"/>
    <w:rsid w:val="00851592"/>
    <w:rsid w:val="008525AF"/>
    <w:rsid w:val="0085301E"/>
    <w:rsid w:val="00854936"/>
    <w:rsid w:val="00855493"/>
    <w:rsid w:val="008567D8"/>
    <w:rsid w:val="00856C01"/>
    <w:rsid w:val="00856CF7"/>
    <w:rsid w:val="00857A31"/>
    <w:rsid w:val="00857ADD"/>
    <w:rsid w:val="00857C31"/>
    <w:rsid w:val="0086094E"/>
    <w:rsid w:val="00860A01"/>
    <w:rsid w:val="00860AE9"/>
    <w:rsid w:val="00860B34"/>
    <w:rsid w:val="00860CAB"/>
    <w:rsid w:val="00862A52"/>
    <w:rsid w:val="00862AA3"/>
    <w:rsid w:val="00863053"/>
    <w:rsid w:val="0086355C"/>
    <w:rsid w:val="008637D4"/>
    <w:rsid w:val="00864BB8"/>
    <w:rsid w:val="00864C56"/>
    <w:rsid w:val="00864FA7"/>
    <w:rsid w:val="00865ABE"/>
    <w:rsid w:val="00865F49"/>
    <w:rsid w:val="0086663E"/>
    <w:rsid w:val="00866A43"/>
    <w:rsid w:val="00867077"/>
    <w:rsid w:val="00867C4D"/>
    <w:rsid w:val="0087218A"/>
    <w:rsid w:val="008722BC"/>
    <w:rsid w:val="0087249E"/>
    <w:rsid w:val="00872884"/>
    <w:rsid w:val="00873B5B"/>
    <w:rsid w:val="00874A1A"/>
    <w:rsid w:val="00874A41"/>
    <w:rsid w:val="008751AF"/>
    <w:rsid w:val="008753C4"/>
    <w:rsid w:val="008764E0"/>
    <w:rsid w:val="00876791"/>
    <w:rsid w:val="008768D4"/>
    <w:rsid w:val="00876BA6"/>
    <w:rsid w:val="008772A3"/>
    <w:rsid w:val="008773F1"/>
    <w:rsid w:val="00880020"/>
    <w:rsid w:val="00881B11"/>
    <w:rsid w:val="00882E15"/>
    <w:rsid w:val="00884379"/>
    <w:rsid w:val="00884518"/>
    <w:rsid w:val="008849E2"/>
    <w:rsid w:val="00884A15"/>
    <w:rsid w:val="00885012"/>
    <w:rsid w:val="00885438"/>
    <w:rsid w:val="008863E4"/>
    <w:rsid w:val="00890060"/>
    <w:rsid w:val="00891605"/>
    <w:rsid w:val="00891CAD"/>
    <w:rsid w:val="00892ADF"/>
    <w:rsid w:val="00893031"/>
    <w:rsid w:val="008944E6"/>
    <w:rsid w:val="008949CA"/>
    <w:rsid w:val="00894A30"/>
    <w:rsid w:val="008959DA"/>
    <w:rsid w:val="00896788"/>
    <w:rsid w:val="0089698A"/>
    <w:rsid w:val="00896F9F"/>
    <w:rsid w:val="008972E9"/>
    <w:rsid w:val="008A007A"/>
    <w:rsid w:val="008A04AF"/>
    <w:rsid w:val="008A08A1"/>
    <w:rsid w:val="008A0919"/>
    <w:rsid w:val="008A0C90"/>
    <w:rsid w:val="008A0FA8"/>
    <w:rsid w:val="008A25FF"/>
    <w:rsid w:val="008A2F25"/>
    <w:rsid w:val="008A33D9"/>
    <w:rsid w:val="008A4E1D"/>
    <w:rsid w:val="008A5951"/>
    <w:rsid w:val="008A5E3E"/>
    <w:rsid w:val="008A6557"/>
    <w:rsid w:val="008A6B26"/>
    <w:rsid w:val="008A7131"/>
    <w:rsid w:val="008A7BF7"/>
    <w:rsid w:val="008B17FC"/>
    <w:rsid w:val="008B3201"/>
    <w:rsid w:val="008B3F21"/>
    <w:rsid w:val="008B452D"/>
    <w:rsid w:val="008B4F4E"/>
    <w:rsid w:val="008B5331"/>
    <w:rsid w:val="008B59D2"/>
    <w:rsid w:val="008B5C29"/>
    <w:rsid w:val="008B5DDC"/>
    <w:rsid w:val="008B620F"/>
    <w:rsid w:val="008B69C6"/>
    <w:rsid w:val="008B6ABA"/>
    <w:rsid w:val="008B7CEF"/>
    <w:rsid w:val="008C2B54"/>
    <w:rsid w:val="008C3414"/>
    <w:rsid w:val="008C3539"/>
    <w:rsid w:val="008C56BA"/>
    <w:rsid w:val="008C5873"/>
    <w:rsid w:val="008D0425"/>
    <w:rsid w:val="008D05BB"/>
    <w:rsid w:val="008D186B"/>
    <w:rsid w:val="008D2722"/>
    <w:rsid w:val="008D32BA"/>
    <w:rsid w:val="008D3346"/>
    <w:rsid w:val="008D36E8"/>
    <w:rsid w:val="008D396D"/>
    <w:rsid w:val="008D3FA9"/>
    <w:rsid w:val="008D5438"/>
    <w:rsid w:val="008D6C58"/>
    <w:rsid w:val="008E0325"/>
    <w:rsid w:val="008E1E1A"/>
    <w:rsid w:val="008E4DBD"/>
    <w:rsid w:val="008E5B51"/>
    <w:rsid w:val="008E6132"/>
    <w:rsid w:val="008E6F54"/>
    <w:rsid w:val="008E7A14"/>
    <w:rsid w:val="008E7B73"/>
    <w:rsid w:val="008F0694"/>
    <w:rsid w:val="008F1149"/>
    <w:rsid w:val="008F1650"/>
    <w:rsid w:val="008F27ED"/>
    <w:rsid w:val="008F297B"/>
    <w:rsid w:val="008F3148"/>
    <w:rsid w:val="008F3F7A"/>
    <w:rsid w:val="008F4164"/>
    <w:rsid w:val="008F4679"/>
    <w:rsid w:val="008F56BB"/>
    <w:rsid w:val="008F60E1"/>
    <w:rsid w:val="008F6122"/>
    <w:rsid w:val="008F7C6F"/>
    <w:rsid w:val="00900E6D"/>
    <w:rsid w:val="009014A9"/>
    <w:rsid w:val="00903C7D"/>
    <w:rsid w:val="00903D6A"/>
    <w:rsid w:val="00904029"/>
    <w:rsid w:val="00904249"/>
    <w:rsid w:val="009048D5"/>
    <w:rsid w:val="0091021E"/>
    <w:rsid w:val="00910879"/>
    <w:rsid w:val="009151DA"/>
    <w:rsid w:val="00915ABD"/>
    <w:rsid w:val="00915C62"/>
    <w:rsid w:val="00916089"/>
    <w:rsid w:val="0091640E"/>
    <w:rsid w:val="00916F28"/>
    <w:rsid w:val="00917493"/>
    <w:rsid w:val="009176E3"/>
    <w:rsid w:val="00917953"/>
    <w:rsid w:val="00917D36"/>
    <w:rsid w:val="00920140"/>
    <w:rsid w:val="009212F3"/>
    <w:rsid w:val="00921A74"/>
    <w:rsid w:val="00921EDC"/>
    <w:rsid w:val="00922F97"/>
    <w:rsid w:val="00923568"/>
    <w:rsid w:val="009235FC"/>
    <w:rsid w:val="0092410C"/>
    <w:rsid w:val="0092479B"/>
    <w:rsid w:val="00924F59"/>
    <w:rsid w:val="009254D5"/>
    <w:rsid w:val="00926338"/>
    <w:rsid w:val="00927536"/>
    <w:rsid w:val="00930566"/>
    <w:rsid w:val="00930F62"/>
    <w:rsid w:val="009313C4"/>
    <w:rsid w:val="009313D4"/>
    <w:rsid w:val="00931EF0"/>
    <w:rsid w:val="0093379A"/>
    <w:rsid w:val="0093546D"/>
    <w:rsid w:val="00937099"/>
    <w:rsid w:val="00940878"/>
    <w:rsid w:val="00940CDF"/>
    <w:rsid w:val="00941812"/>
    <w:rsid w:val="00941843"/>
    <w:rsid w:val="00941DF8"/>
    <w:rsid w:val="00942345"/>
    <w:rsid w:val="00943AA2"/>
    <w:rsid w:val="00944A60"/>
    <w:rsid w:val="00946E67"/>
    <w:rsid w:val="0094704C"/>
    <w:rsid w:val="00947B45"/>
    <w:rsid w:val="0095016F"/>
    <w:rsid w:val="009503A9"/>
    <w:rsid w:val="0095077B"/>
    <w:rsid w:val="00950788"/>
    <w:rsid w:val="0095162E"/>
    <w:rsid w:val="00951704"/>
    <w:rsid w:val="009519E8"/>
    <w:rsid w:val="00951C67"/>
    <w:rsid w:val="00952D62"/>
    <w:rsid w:val="009535BD"/>
    <w:rsid w:val="00954380"/>
    <w:rsid w:val="00954CB7"/>
    <w:rsid w:val="0095546C"/>
    <w:rsid w:val="00955630"/>
    <w:rsid w:val="00955960"/>
    <w:rsid w:val="009563D0"/>
    <w:rsid w:val="00957475"/>
    <w:rsid w:val="0096201B"/>
    <w:rsid w:val="0096364E"/>
    <w:rsid w:val="00963DA4"/>
    <w:rsid w:val="009640CD"/>
    <w:rsid w:val="00964C23"/>
    <w:rsid w:val="0096632F"/>
    <w:rsid w:val="00966D08"/>
    <w:rsid w:val="00967C5D"/>
    <w:rsid w:val="00967C9D"/>
    <w:rsid w:val="009703A0"/>
    <w:rsid w:val="009705EC"/>
    <w:rsid w:val="0097074D"/>
    <w:rsid w:val="0097280A"/>
    <w:rsid w:val="00972C78"/>
    <w:rsid w:val="00972D3E"/>
    <w:rsid w:val="009730B8"/>
    <w:rsid w:val="00973634"/>
    <w:rsid w:val="00973C4A"/>
    <w:rsid w:val="00973CC0"/>
    <w:rsid w:val="00974CCB"/>
    <w:rsid w:val="00974F63"/>
    <w:rsid w:val="009756C7"/>
    <w:rsid w:val="009759A3"/>
    <w:rsid w:val="00975B53"/>
    <w:rsid w:val="00975EF4"/>
    <w:rsid w:val="00976AEE"/>
    <w:rsid w:val="00976C40"/>
    <w:rsid w:val="00977A59"/>
    <w:rsid w:val="0098025E"/>
    <w:rsid w:val="00980527"/>
    <w:rsid w:val="00980E5B"/>
    <w:rsid w:val="00981C1C"/>
    <w:rsid w:val="00981CBF"/>
    <w:rsid w:val="00982B82"/>
    <w:rsid w:val="00982D15"/>
    <w:rsid w:val="009837A6"/>
    <w:rsid w:val="00983822"/>
    <w:rsid w:val="0098386F"/>
    <w:rsid w:val="009841E6"/>
    <w:rsid w:val="00984B89"/>
    <w:rsid w:val="009850A2"/>
    <w:rsid w:val="00985537"/>
    <w:rsid w:val="0098559F"/>
    <w:rsid w:val="00985703"/>
    <w:rsid w:val="00986FA6"/>
    <w:rsid w:val="009873A1"/>
    <w:rsid w:val="00987D5D"/>
    <w:rsid w:val="00990387"/>
    <w:rsid w:val="00990462"/>
    <w:rsid w:val="00990AD8"/>
    <w:rsid w:val="009914D5"/>
    <w:rsid w:val="00991AC5"/>
    <w:rsid w:val="0099217E"/>
    <w:rsid w:val="00992407"/>
    <w:rsid w:val="00993015"/>
    <w:rsid w:val="00995DAB"/>
    <w:rsid w:val="00996074"/>
    <w:rsid w:val="0099665C"/>
    <w:rsid w:val="00996EEA"/>
    <w:rsid w:val="00997E50"/>
    <w:rsid w:val="00997FC9"/>
    <w:rsid w:val="009A0852"/>
    <w:rsid w:val="009A0ABF"/>
    <w:rsid w:val="009A0B80"/>
    <w:rsid w:val="009A0FFC"/>
    <w:rsid w:val="009A2762"/>
    <w:rsid w:val="009A2941"/>
    <w:rsid w:val="009A32F6"/>
    <w:rsid w:val="009A3327"/>
    <w:rsid w:val="009A362B"/>
    <w:rsid w:val="009A3D16"/>
    <w:rsid w:val="009A3D3D"/>
    <w:rsid w:val="009A4A4B"/>
    <w:rsid w:val="009A4BA7"/>
    <w:rsid w:val="009A61B3"/>
    <w:rsid w:val="009A65C3"/>
    <w:rsid w:val="009A6D4B"/>
    <w:rsid w:val="009A7040"/>
    <w:rsid w:val="009B0C1F"/>
    <w:rsid w:val="009B18FE"/>
    <w:rsid w:val="009B1963"/>
    <w:rsid w:val="009B236F"/>
    <w:rsid w:val="009B2535"/>
    <w:rsid w:val="009B2669"/>
    <w:rsid w:val="009B37C9"/>
    <w:rsid w:val="009B4153"/>
    <w:rsid w:val="009B4C8C"/>
    <w:rsid w:val="009B6C49"/>
    <w:rsid w:val="009B73D4"/>
    <w:rsid w:val="009C016C"/>
    <w:rsid w:val="009C0467"/>
    <w:rsid w:val="009C04BE"/>
    <w:rsid w:val="009C0BEC"/>
    <w:rsid w:val="009C137F"/>
    <w:rsid w:val="009C35F9"/>
    <w:rsid w:val="009C3A94"/>
    <w:rsid w:val="009C3CF7"/>
    <w:rsid w:val="009C4055"/>
    <w:rsid w:val="009C47CD"/>
    <w:rsid w:val="009C4CE8"/>
    <w:rsid w:val="009C67A0"/>
    <w:rsid w:val="009C692B"/>
    <w:rsid w:val="009C7478"/>
    <w:rsid w:val="009C760B"/>
    <w:rsid w:val="009C7883"/>
    <w:rsid w:val="009C7A04"/>
    <w:rsid w:val="009C7B7A"/>
    <w:rsid w:val="009D01C2"/>
    <w:rsid w:val="009D1A20"/>
    <w:rsid w:val="009D2232"/>
    <w:rsid w:val="009D3538"/>
    <w:rsid w:val="009D42CA"/>
    <w:rsid w:val="009D47E6"/>
    <w:rsid w:val="009D4BB8"/>
    <w:rsid w:val="009D4D39"/>
    <w:rsid w:val="009D53B7"/>
    <w:rsid w:val="009D5EBF"/>
    <w:rsid w:val="009D61BD"/>
    <w:rsid w:val="009D70C9"/>
    <w:rsid w:val="009E13D8"/>
    <w:rsid w:val="009E1B29"/>
    <w:rsid w:val="009E3040"/>
    <w:rsid w:val="009E39CC"/>
    <w:rsid w:val="009E4488"/>
    <w:rsid w:val="009E45A4"/>
    <w:rsid w:val="009E5064"/>
    <w:rsid w:val="009E5A38"/>
    <w:rsid w:val="009E63D5"/>
    <w:rsid w:val="009E661B"/>
    <w:rsid w:val="009E74E2"/>
    <w:rsid w:val="009E7889"/>
    <w:rsid w:val="009E7B92"/>
    <w:rsid w:val="009F039C"/>
    <w:rsid w:val="009F0CB0"/>
    <w:rsid w:val="009F224B"/>
    <w:rsid w:val="009F2DE6"/>
    <w:rsid w:val="009F2E71"/>
    <w:rsid w:val="009F310E"/>
    <w:rsid w:val="009F3691"/>
    <w:rsid w:val="009F3D11"/>
    <w:rsid w:val="009F4CA4"/>
    <w:rsid w:val="009F5451"/>
    <w:rsid w:val="009F5755"/>
    <w:rsid w:val="009F5B1C"/>
    <w:rsid w:val="009F5EFD"/>
    <w:rsid w:val="009F61B5"/>
    <w:rsid w:val="009F62BF"/>
    <w:rsid w:val="009F6735"/>
    <w:rsid w:val="009F7A68"/>
    <w:rsid w:val="009F7ECB"/>
    <w:rsid w:val="00A01065"/>
    <w:rsid w:val="00A01BF0"/>
    <w:rsid w:val="00A01FCD"/>
    <w:rsid w:val="00A02008"/>
    <w:rsid w:val="00A028B9"/>
    <w:rsid w:val="00A03097"/>
    <w:rsid w:val="00A0415C"/>
    <w:rsid w:val="00A0464E"/>
    <w:rsid w:val="00A04F56"/>
    <w:rsid w:val="00A050C1"/>
    <w:rsid w:val="00A055F0"/>
    <w:rsid w:val="00A058F3"/>
    <w:rsid w:val="00A0595E"/>
    <w:rsid w:val="00A07371"/>
    <w:rsid w:val="00A07399"/>
    <w:rsid w:val="00A079BD"/>
    <w:rsid w:val="00A07C0D"/>
    <w:rsid w:val="00A101E9"/>
    <w:rsid w:val="00A1022E"/>
    <w:rsid w:val="00A10323"/>
    <w:rsid w:val="00A117FA"/>
    <w:rsid w:val="00A120F3"/>
    <w:rsid w:val="00A14DB0"/>
    <w:rsid w:val="00A150EA"/>
    <w:rsid w:val="00A154FD"/>
    <w:rsid w:val="00A15B87"/>
    <w:rsid w:val="00A16231"/>
    <w:rsid w:val="00A1750F"/>
    <w:rsid w:val="00A2060B"/>
    <w:rsid w:val="00A21E57"/>
    <w:rsid w:val="00A2201E"/>
    <w:rsid w:val="00A227C5"/>
    <w:rsid w:val="00A22932"/>
    <w:rsid w:val="00A22BB2"/>
    <w:rsid w:val="00A22CEA"/>
    <w:rsid w:val="00A22D84"/>
    <w:rsid w:val="00A23209"/>
    <w:rsid w:val="00A23A49"/>
    <w:rsid w:val="00A24000"/>
    <w:rsid w:val="00A24E0D"/>
    <w:rsid w:val="00A24FD4"/>
    <w:rsid w:val="00A27077"/>
    <w:rsid w:val="00A272BE"/>
    <w:rsid w:val="00A3105C"/>
    <w:rsid w:val="00A3108B"/>
    <w:rsid w:val="00A313DE"/>
    <w:rsid w:val="00A31B4C"/>
    <w:rsid w:val="00A31E97"/>
    <w:rsid w:val="00A32572"/>
    <w:rsid w:val="00A342B9"/>
    <w:rsid w:val="00A344A0"/>
    <w:rsid w:val="00A3581A"/>
    <w:rsid w:val="00A35EF0"/>
    <w:rsid w:val="00A36178"/>
    <w:rsid w:val="00A361A1"/>
    <w:rsid w:val="00A362BD"/>
    <w:rsid w:val="00A36851"/>
    <w:rsid w:val="00A36A04"/>
    <w:rsid w:val="00A3735B"/>
    <w:rsid w:val="00A3778C"/>
    <w:rsid w:val="00A40377"/>
    <w:rsid w:val="00A409AF"/>
    <w:rsid w:val="00A40B65"/>
    <w:rsid w:val="00A40EDE"/>
    <w:rsid w:val="00A41412"/>
    <w:rsid w:val="00A41B5B"/>
    <w:rsid w:val="00A41BFD"/>
    <w:rsid w:val="00A426F1"/>
    <w:rsid w:val="00A43285"/>
    <w:rsid w:val="00A43595"/>
    <w:rsid w:val="00A4659C"/>
    <w:rsid w:val="00A46A8D"/>
    <w:rsid w:val="00A46AA9"/>
    <w:rsid w:val="00A46B74"/>
    <w:rsid w:val="00A50092"/>
    <w:rsid w:val="00A5092B"/>
    <w:rsid w:val="00A50CF0"/>
    <w:rsid w:val="00A51DB6"/>
    <w:rsid w:val="00A52AD9"/>
    <w:rsid w:val="00A5352C"/>
    <w:rsid w:val="00A53AC7"/>
    <w:rsid w:val="00A53B2B"/>
    <w:rsid w:val="00A55B65"/>
    <w:rsid w:val="00A56864"/>
    <w:rsid w:val="00A57C2F"/>
    <w:rsid w:val="00A600BC"/>
    <w:rsid w:val="00A61184"/>
    <w:rsid w:val="00A622AF"/>
    <w:rsid w:val="00A631E5"/>
    <w:rsid w:val="00A634FF"/>
    <w:rsid w:val="00A63A1A"/>
    <w:rsid w:val="00A63DEC"/>
    <w:rsid w:val="00A64B27"/>
    <w:rsid w:val="00A65122"/>
    <w:rsid w:val="00A653EC"/>
    <w:rsid w:val="00A65671"/>
    <w:rsid w:val="00A6588E"/>
    <w:rsid w:val="00A65DEE"/>
    <w:rsid w:val="00A66322"/>
    <w:rsid w:val="00A66B72"/>
    <w:rsid w:val="00A6707E"/>
    <w:rsid w:val="00A6753C"/>
    <w:rsid w:val="00A67BE6"/>
    <w:rsid w:val="00A67E51"/>
    <w:rsid w:val="00A70820"/>
    <w:rsid w:val="00A7162A"/>
    <w:rsid w:val="00A71876"/>
    <w:rsid w:val="00A71A84"/>
    <w:rsid w:val="00A73255"/>
    <w:rsid w:val="00A73533"/>
    <w:rsid w:val="00A73A03"/>
    <w:rsid w:val="00A73F95"/>
    <w:rsid w:val="00A74E9D"/>
    <w:rsid w:val="00A74EBE"/>
    <w:rsid w:val="00A758FE"/>
    <w:rsid w:val="00A767B7"/>
    <w:rsid w:val="00A80205"/>
    <w:rsid w:val="00A80EE7"/>
    <w:rsid w:val="00A8119E"/>
    <w:rsid w:val="00A8141D"/>
    <w:rsid w:val="00A81657"/>
    <w:rsid w:val="00A8374B"/>
    <w:rsid w:val="00A83B42"/>
    <w:rsid w:val="00A84553"/>
    <w:rsid w:val="00A85A05"/>
    <w:rsid w:val="00A85AAA"/>
    <w:rsid w:val="00A85EBA"/>
    <w:rsid w:val="00A86F0B"/>
    <w:rsid w:val="00A87AC2"/>
    <w:rsid w:val="00A909E9"/>
    <w:rsid w:val="00A911DA"/>
    <w:rsid w:val="00A91D68"/>
    <w:rsid w:val="00A92D63"/>
    <w:rsid w:val="00A92F11"/>
    <w:rsid w:val="00A94AEB"/>
    <w:rsid w:val="00A94DCF"/>
    <w:rsid w:val="00A95643"/>
    <w:rsid w:val="00A9633A"/>
    <w:rsid w:val="00A96DDC"/>
    <w:rsid w:val="00A97A27"/>
    <w:rsid w:val="00AA021B"/>
    <w:rsid w:val="00AA04E4"/>
    <w:rsid w:val="00AA0724"/>
    <w:rsid w:val="00AA1281"/>
    <w:rsid w:val="00AA3612"/>
    <w:rsid w:val="00AA39A4"/>
    <w:rsid w:val="00AA3BD4"/>
    <w:rsid w:val="00AA3F5F"/>
    <w:rsid w:val="00AA405C"/>
    <w:rsid w:val="00AA4092"/>
    <w:rsid w:val="00AA445D"/>
    <w:rsid w:val="00AA512E"/>
    <w:rsid w:val="00AA603A"/>
    <w:rsid w:val="00AA6EF1"/>
    <w:rsid w:val="00AA75E8"/>
    <w:rsid w:val="00AA7A0B"/>
    <w:rsid w:val="00AA7B29"/>
    <w:rsid w:val="00AA7E74"/>
    <w:rsid w:val="00AB0285"/>
    <w:rsid w:val="00AB075E"/>
    <w:rsid w:val="00AB1677"/>
    <w:rsid w:val="00AB1B95"/>
    <w:rsid w:val="00AB1DAC"/>
    <w:rsid w:val="00AB3503"/>
    <w:rsid w:val="00AB3CE1"/>
    <w:rsid w:val="00AB3E78"/>
    <w:rsid w:val="00AB4723"/>
    <w:rsid w:val="00AB55DE"/>
    <w:rsid w:val="00AB5C8F"/>
    <w:rsid w:val="00AB66DA"/>
    <w:rsid w:val="00AB7021"/>
    <w:rsid w:val="00AB7285"/>
    <w:rsid w:val="00AB793F"/>
    <w:rsid w:val="00AB7BF3"/>
    <w:rsid w:val="00AC0581"/>
    <w:rsid w:val="00AC08A3"/>
    <w:rsid w:val="00AC1194"/>
    <w:rsid w:val="00AC143C"/>
    <w:rsid w:val="00AC2B48"/>
    <w:rsid w:val="00AC3123"/>
    <w:rsid w:val="00AC6137"/>
    <w:rsid w:val="00AC6396"/>
    <w:rsid w:val="00AC64D5"/>
    <w:rsid w:val="00AC6616"/>
    <w:rsid w:val="00AC678B"/>
    <w:rsid w:val="00AC6A82"/>
    <w:rsid w:val="00AD0118"/>
    <w:rsid w:val="00AD0628"/>
    <w:rsid w:val="00AD1A03"/>
    <w:rsid w:val="00AD2548"/>
    <w:rsid w:val="00AD297B"/>
    <w:rsid w:val="00AD2D16"/>
    <w:rsid w:val="00AD3460"/>
    <w:rsid w:val="00AD36A3"/>
    <w:rsid w:val="00AD473C"/>
    <w:rsid w:val="00AD5167"/>
    <w:rsid w:val="00AD5D55"/>
    <w:rsid w:val="00AD6B29"/>
    <w:rsid w:val="00AD7F50"/>
    <w:rsid w:val="00AD7F65"/>
    <w:rsid w:val="00AE07B7"/>
    <w:rsid w:val="00AE0B85"/>
    <w:rsid w:val="00AE0E73"/>
    <w:rsid w:val="00AE23DF"/>
    <w:rsid w:val="00AE2BC7"/>
    <w:rsid w:val="00AE3EB5"/>
    <w:rsid w:val="00AE5A86"/>
    <w:rsid w:val="00AE5B5C"/>
    <w:rsid w:val="00AE5F13"/>
    <w:rsid w:val="00AE6629"/>
    <w:rsid w:val="00AE6A8D"/>
    <w:rsid w:val="00AE6D6B"/>
    <w:rsid w:val="00AF08A1"/>
    <w:rsid w:val="00AF08AE"/>
    <w:rsid w:val="00AF0B7D"/>
    <w:rsid w:val="00AF169A"/>
    <w:rsid w:val="00AF1FC6"/>
    <w:rsid w:val="00AF243A"/>
    <w:rsid w:val="00AF2A6A"/>
    <w:rsid w:val="00AF60DA"/>
    <w:rsid w:val="00AF615F"/>
    <w:rsid w:val="00AF75A8"/>
    <w:rsid w:val="00AF7645"/>
    <w:rsid w:val="00B0060D"/>
    <w:rsid w:val="00B008FA"/>
    <w:rsid w:val="00B01568"/>
    <w:rsid w:val="00B01C15"/>
    <w:rsid w:val="00B029D0"/>
    <w:rsid w:val="00B02A8D"/>
    <w:rsid w:val="00B02D36"/>
    <w:rsid w:val="00B030EB"/>
    <w:rsid w:val="00B0349C"/>
    <w:rsid w:val="00B03AFC"/>
    <w:rsid w:val="00B042BC"/>
    <w:rsid w:val="00B0493B"/>
    <w:rsid w:val="00B04C52"/>
    <w:rsid w:val="00B05042"/>
    <w:rsid w:val="00B054B5"/>
    <w:rsid w:val="00B0565F"/>
    <w:rsid w:val="00B0613D"/>
    <w:rsid w:val="00B062DC"/>
    <w:rsid w:val="00B06912"/>
    <w:rsid w:val="00B06CCA"/>
    <w:rsid w:val="00B07626"/>
    <w:rsid w:val="00B076F8"/>
    <w:rsid w:val="00B117CB"/>
    <w:rsid w:val="00B11982"/>
    <w:rsid w:val="00B11D3E"/>
    <w:rsid w:val="00B132E9"/>
    <w:rsid w:val="00B14284"/>
    <w:rsid w:val="00B15379"/>
    <w:rsid w:val="00B15EC7"/>
    <w:rsid w:val="00B16133"/>
    <w:rsid w:val="00B16BB8"/>
    <w:rsid w:val="00B16DDB"/>
    <w:rsid w:val="00B17044"/>
    <w:rsid w:val="00B179DB"/>
    <w:rsid w:val="00B202F5"/>
    <w:rsid w:val="00B20823"/>
    <w:rsid w:val="00B21049"/>
    <w:rsid w:val="00B2217A"/>
    <w:rsid w:val="00B2244A"/>
    <w:rsid w:val="00B24260"/>
    <w:rsid w:val="00B2443F"/>
    <w:rsid w:val="00B249D0"/>
    <w:rsid w:val="00B24A4A"/>
    <w:rsid w:val="00B25463"/>
    <w:rsid w:val="00B25ECB"/>
    <w:rsid w:val="00B269E1"/>
    <w:rsid w:val="00B26D7C"/>
    <w:rsid w:val="00B26FDB"/>
    <w:rsid w:val="00B27501"/>
    <w:rsid w:val="00B30A39"/>
    <w:rsid w:val="00B31A61"/>
    <w:rsid w:val="00B31DE9"/>
    <w:rsid w:val="00B33781"/>
    <w:rsid w:val="00B33B00"/>
    <w:rsid w:val="00B33E36"/>
    <w:rsid w:val="00B34982"/>
    <w:rsid w:val="00B358B6"/>
    <w:rsid w:val="00B36165"/>
    <w:rsid w:val="00B37087"/>
    <w:rsid w:val="00B37439"/>
    <w:rsid w:val="00B374C9"/>
    <w:rsid w:val="00B37C23"/>
    <w:rsid w:val="00B42B14"/>
    <w:rsid w:val="00B4391A"/>
    <w:rsid w:val="00B43C2F"/>
    <w:rsid w:val="00B44788"/>
    <w:rsid w:val="00B456EC"/>
    <w:rsid w:val="00B4672E"/>
    <w:rsid w:val="00B475C9"/>
    <w:rsid w:val="00B47821"/>
    <w:rsid w:val="00B47952"/>
    <w:rsid w:val="00B47B7D"/>
    <w:rsid w:val="00B47D06"/>
    <w:rsid w:val="00B50B85"/>
    <w:rsid w:val="00B51227"/>
    <w:rsid w:val="00B512FC"/>
    <w:rsid w:val="00B51E4C"/>
    <w:rsid w:val="00B52469"/>
    <w:rsid w:val="00B542F3"/>
    <w:rsid w:val="00B55409"/>
    <w:rsid w:val="00B556F8"/>
    <w:rsid w:val="00B557B4"/>
    <w:rsid w:val="00B55E7D"/>
    <w:rsid w:val="00B56608"/>
    <w:rsid w:val="00B56E72"/>
    <w:rsid w:val="00B57C34"/>
    <w:rsid w:val="00B57EC0"/>
    <w:rsid w:val="00B6018C"/>
    <w:rsid w:val="00B608EA"/>
    <w:rsid w:val="00B60C3D"/>
    <w:rsid w:val="00B6159F"/>
    <w:rsid w:val="00B617FE"/>
    <w:rsid w:val="00B624D3"/>
    <w:rsid w:val="00B63648"/>
    <w:rsid w:val="00B64045"/>
    <w:rsid w:val="00B64891"/>
    <w:rsid w:val="00B64B78"/>
    <w:rsid w:val="00B65E70"/>
    <w:rsid w:val="00B66802"/>
    <w:rsid w:val="00B669EB"/>
    <w:rsid w:val="00B67142"/>
    <w:rsid w:val="00B70378"/>
    <w:rsid w:val="00B7077B"/>
    <w:rsid w:val="00B70887"/>
    <w:rsid w:val="00B70917"/>
    <w:rsid w:val="00B70DB3"/>
    <w:rsid w:val="00B70EEF"/>
    <w:rsid w:val="00B7149F"/>
    <w:rsid w:val="00B72408"/>
    <w:rsid w:val="00B72614"/>
    <w:rsid w:val="00B72670"/>
    <w:rsid w:val="00B72792"/>
    <w:rsid w:val="00B73598"/>
    <w:rsid w:val="00B7389E"/>
    <w:rsid w:val="00B738BA"/>
    <w:rsid w:val="00B738FF"/>
    <w:rsid w:val="00B739BC"/>
    <w:rsid w:val="00B74127"/>
    <w:rsid w:val="00B74CEA"/>
    <w:rsid w:val="00B75EBC"/>
    <w:rsid w:val="00B75F56"/>
    <w:rsid w:val="00B7646E"/>
    <w:rsid w:val="00B76E96"/>
    <w:rsid w:val="00B771F5"/>
    <w:rsid w:val="00B77E28"/>
    <w:rsid w:val="00B8043A"/>
    <w:rsid w:val="00B80D06"/>
    <w:rsid w:val="00B814A5"/>
    <w:rsid w:val="00B821E5"/>
    <w:rsid w:val="00B8407D"/>
    <w:rsid w:val="00B855EF"/>
    <w:rsid w:val="00B86DD9"/>
    <w:rsid w:val="00B87854"/>
    <w:rsid w:val="00B8794C"/>
    <w:rsid w:val="00B90703"/>
    <w:rsid w:val="00B91057"/>
    <w:rsid w:val="00B91315"/>
    <w:rsid w:val="00B913DA"/>
    <w:rsid w:val="00B91A53"/>
    <w:rsid w:val="00B9249A"/>
    <w:rsid w:val="00B92718"/>
    <w:rsid w:val="00B92802"/>
    <w:rsid w:val="00B93231"/>
    <w:rsid w:val="00B93A42"/>
    <w:rsid w:val="00B94910"/>
    <w:rsid w:val="00B949BC"/>
    <w:rsid w:val="00B94C64"/>
    <w:rsid w:val="00B95DB0"/>
    <w:rsid w:val="00B96D23"/>
    <w:rsid w:val="00BA0199"/>
    <w:rsid w:val="00BA0260"/>
    <w:rsid w:val="00BA1230"/>
    <w:rsid w:val="00BA1627"/>
    <w:rsid w:val="00BA261B"/>
    <w:rsid w:val="00BA3CF2"/>
    <w:rsid w:val="00BA3DE3"/>
    <w:rsid w:val="00BA43C9"/>
    <w:rsid w:val="00BA4B47"/>
    <w:rsid w:val="00BA58F9"/>
    <w:rsid w:val="00BA5948"/>
    <w:rsid w:val="00BA6039"/>
    <w:rsid w:val="00BA6BA2"/>
    <w:rsid w:val="00BA6E34"/>
    <w:rsid w:val="00BA7774"/>
    <w:rsid w:val="00BB08CE"/>
    <w:rsid w:val="00BB0946"/>
    <w:rsid w:val="00BB0AB7"/>
    <w:rsid w:val="00BB151E"/>
    <w:rsid w:val="00BB153D"/>
    <w:rsid w:val="00BB18F9"/>
    <w:rsid w:val="00BB2B35"/>
    <w:rsid w:val="00BB2D12"/>
    <w:rsid w:val="00BB2D80"/>
    <w:rsid w:val="00BB2E6F"/>
    <w:rsid w:val="00BB5698"/>
    <w:rsid w:val="00BB5D20"/>
    <w:rsid w:val="00BB5D6F"/>
    <w:rsid w:val="00BB5F83"/>
    <w:rsid w:val="00BB6773"/>
    <w:rsid w:val="00BB711E"/>
    <w:rsid w:val="00BC009F"/>
    <w:rsid w:val="00BC0524"/>
    <w:rsid w:val="00BC0E02"/>
    <w:rsid w:val="00BC1062"/>
    <w:rsid w:val="00BC114E"/>
    <w:rsid w:val="00BC123D"/>
    <w:rsid w:val="00BC144C"/>
    <w:rsid w:val="00BC2A30"/>
    <w:rsid w:val="00BC3466"/>
    <w:rsid w:val="00BC4750"/>
    <w:rsid w:val="00BC5123"/>
    <w:rsid w:val="00BC57F3"/>
    <w:rsid w:val="00BC5918"/>
    <w:rsid w:val="00BC5E91"/>
    <w:rsid w:val="00BC5E93"/>
    <w:rsid w:val="00BC6B20"/>
    <w:rsid w:val="00BC6EF3"/>
    <w:rsid w:val="00BC714F"/>
    <w:rsid w:val="00BC7670"/>
    <w:rsid w:val="00BC7E76"/>
    <w:rsid w:val="00BC7FFB"/>
    <w:rsid w:val="00BD09E8"/>
    <w:rsid w:val="00BD11B4"/>
    <w:rsid w:val="00BD449F"/>
    <w:rsid w:val="00BD472B"/>
    <w:rsid w:val="00BD572B"/>
    <w:rsid w:val="00BD575D"/>
    <w:rsid w:val="00BD5DA0"/>
    <w:rsid w:val="00BE0626"/>
    <w:rsid w:val="00BE0ACB"/>
    <w:rsid w:val="00BE1311"/>
    <w:rsid w:val="00BE1487"/>
    <w:rsid w:val="00BE2BF6"/>
    <w:rsid w:val="00BE35B3"/>
    <w:rsid w:val="00BE4562"/>
    <w:rsid w:val="00BE497E"/>
    <w:rsid w:val="00BE56FB"/>
    <w:rsid w:val="00BE7502"/>
    <w:rsid w:val="00BE772D"/>
    <w:rsid w:val="00BF0329"/>
    <w:rsid w:val="00BF13ED"/>
    <w:rsid w:val="00BF18E6"/>
    <w:rsid w:val="00BF21D4"/>
    <w:rsid w:val="00BF3B44"/>
    <w:rsid w:val="00BF57D2"/>
    <w:rsid w:val="00BF5D5E"/>
    <w:rsid w:val="00C00FDA"/>
    <w:rsid w:val="00C0105E"/>
    <w:rsid w:val="00C02844"/>
    <w:rsid w:val="00C02B1F"/>
    <w:rsid w:val="00C0332E"/>
    <w:rsid w:val="00C03FE2"/>
    <w:rsid w:val="00C040F8"/>
    <w:rsid w:val="00C058D6"/>
    <w:rsid w:val="00C05CE0"/>
    <w:rsid w:val="00C06888"/>
    <w:rsid w:val="00C06BC2"/>
    <w:rsid w:val="00C06C7C"/>
    <w:rsid w:val="00C07AD1"/>
    <w:rsid w:val="00C07C4F"/>
    <w:rsid w:val="00C106D7"/>
    <w:rsid w:val="00C1140A"/>
    <w:rsid w:val="00C118C6"/>
    <w:rsid w:val="00C11BBB"/>
    <w:rsid w:val="00C12E7F"/>
    <w:rsid w:val="00C12F9D"/>
    <w:rsid w:val="00C13685"/>
    <w:rsid w:val="00C138E0"/>
    <w:rsid w:val="00C149CD"/>
    <w:rsid w:val="00C14CF1"/>
    <w:rsid w:val="00C15DD9"/>
    <w:rsid w:val="00C16604"/>
    <w:rsid w:val="00C17290"/>
    <w:rsid w:val="00C1744D"/>
    <w:rsid w:val="00C17D1A"/>
    <w:rsid w:val="00C2041B"/>
    <w:rsid w:val="00C206DC"/>
    <w:rsid w:val="00C2092F"/>
    <w:rsid w:val="00C20DCD"/>
    <w:rsid w:val="00C20F39"/>
    <w:rsid w:val="00C22B11"/>
    <w:rsid w:val="00C230A7"/>
    <w:rsid w:val="00C23282"/>
    <w:rsid w:val="00C239C2"/>
    <w:rsid w:val="00C23E3A"/>
    <w:rsid w:val="00C24251"/>
    <w:rsid w:val="00C24742"/>
    <w:rsid w:val="00C24E83"/>
    <w:rsid w:val="00C26C56"/>
    <w:rsid w:val="00C31001"/>
    <w:rsid w:val="00C3194A"/>
    <w:rsid w:val="00C31BEA"/>
    <w:rsid w:val="00C33517"/>
    <w:rsid w:val="00C3373D"/>
    <w:rsid w:val="00C33B1D"/>
    <w:rsid w:val="00C34505"/>
    <w:rsid w:val="00C353EE"/>
    <w:rsid w:val="00C36879"/>
    <w:rsid w:val="00C37263"/>
    <w:rsid w:val="00C409E8"/>
    <w:rsid w:val="00C43308"/>
    <w:rsid w:val="00C44176"/>
    <w:rsid w:val="00C449C9"/>
    <w:rsid w:val="00C469D7"/>
    <w:rsid w:val="00C469DC"/>
    <w:rsid w:val="00C46FD7"/>
    <w:rsid w:val="00C4760B"/>
    <w:rsid w:val="00C509F2"/>
    <w:rsid w:val="00C50FBE"/>
    <w:rsid w:val="00C51643"/>
    <w:rsid w:val="00C51C83"/>
    <w:rsid w:val="00C51E46"/>
    <w:rsid w:val="00C5224A"/>
    <w:rsid w:val="00C5279F"/>
    <w:rsid w:val="00C52CFE"/>
    <w:rsid w:val="00C535AE"/>
    <w:rsid w:val="00C5368A"/>
    <w:rsid w:val="00C5412D"/>
    <w:rsid w:val="00C57331"/>
    <w:rsid w:val="00C61439"/>
    <w:rsid w:val="00C61941"/>
    <w:rsid w:val="00C61981"/>
    <w:rsid w:val="00C62634"/>
    <w:rsid w:val="00C63548"/>
    <w:rsid w:val="00C659A1"/>
    <w:rsid w:val="00C65C09"/>
    <w:rsid w:val="00C66345"/>
    <w:rsid w:val="00C668DB"/>
    <w:rsid w:val="00C66924"/>
    <w:rsid w:val="00C7025D"/>
    <w:rsid w:val="00C71622"/>
    <w:rsid w:val="00C717BB"/>
    <w:rsid w:val="00C71C70"/>
    <w:rsid w:val="00C72124"/>
    <w:rsid w:val="00C72CD3"/>
    <w:rsid w:val="00C72DD5"/>
    <w:rsid w:val="00C73586"/>
    <w:rsid w:val="00C73C3E"/>
    <w:rsid w:val="00C74085"/>
    <w:rsid w:val="00C7419B"/>
    <w:rsid w:val="00C74260"/>
    <w:rsid w:val="00C74667"/>
    <w:rsid w:val="00C74693"/>
    <w:rsid w:val="00C75581"/>
    <w:rsid w:val="00C7570B"/>
    <w:rsid w:val="00C75A05"/>
    <w:rsid w:val="00C764EA"/>
    <w:rsid w:val="00C76ECA"/>
    <w:rsid w:val="00C7789A"/>
    <w:rsid w:val="00C8007B"/>
    <w:rsid w:val="00C810E0"/>
    <w:rsid w:val="00C82253"/>
    <w:rsid w:val="00C828F0"/>
    <w:rsid w:val="00C83C75"/>
    <w:rsid w:val="00C847C8"/>
    <w:rsid w:val="00C85586"/>
    <w:rsid w:val="00C865F3"/>
    <w:rsid w:val="00C90A03"/>
    <w:rsid w:val="00C9170A"/>
    <w:rsid w:val="00C93AB6"/>
    <w:rsid w:val="00C9490B"/>
    <w:rsid w:val="00C952F1"/>
    <w:rsid w:val="00C953BC"/>
    <w:rsid w:val="00C95694"/>
    <w:rsid w:val="00C956AE"/>
    <w:rsid w:val="00C95E24"/>
    <w:rsid w:val="00C96403"/>
    <w:rsid w:val="00C96802"/>
    <w:rsid w:val="00C96F4A"/>
    <w:rsid w:val="00C97348"/>
    <w:rsid w:val="00C977AC"/>
    <w:rsid w:val="00CA079E"/>
    <w:rsid w:val="00CA10C9"/>
    <w:rsid w:val="00CA1287"/>
    <w:rsid w:val="00CA1455"/>
    <w:rsid w:val="00CA1C42"/>
    <w:rsid w:val="00CA3B31"/>
    <w:rsid w:val="00CA4E82"/>
    <w:rsid w:val="00CA50EC"/>
    <w:rsid w:val="00CA6330"/>
    <w:rsid w:val="00CA748F"/>
    <w:rsid w:val="00CA7B7B"/>
    <w:rsid w:val="00CA7FD7"/>
    <w:rsid w:val="00CB06FC"/>
    <w:rsid w:val="00CB14A0"/>
    <w:rsid w:val="00CB18FE"/>
    <w:rsid w:val="00CB2113"/>
    <w:rsid w:val="00CB23AC"/>
    <w:rsid w:val="00CB2DFF"/>
    <w:rsid w:val="00CB45E2"/>
    <w:rsid w:val="00CB48C2"/>
    <w:rsid w:val="00CB4AA6"/>
    <w:rsid w:val="00CB5088"/>
    <w:rsid w:val="00CB5565"/>
    <w:rsid w:val="00CB556E"/>
    <w:rsid w:val="00CB558C"/>
    <w:rsid w:val="00CB611E"/>
    <w:rsid w:val="00CB7837"/>
    <w:rsid w:val="00CB7EDD"/>
    <w:rsid w:val="00CC0322"/>
    <w:rsid w:val="00CC0DA6"/>
    <w:rsid w:val="00CC2B83"/>
    <w:rsid w:val="00CC32B6"/>
    <w:rsid w:val="00CC32C8"/>
    <w:rsid w:val="00CC3C90"/>
    <w:rsid w:val="00CC406F"/>
    <w:rsid w:val="00CC528B"/>
    <w:rsid w:val="00CC6CA2"/>
    <w:rsid w:val="00CC7D06"/>
    <w:rsid w:val="00CD0CB2"/>
    <w:rsid w:val="00CD13D6"/>
    <w:rsid w:val="00CD17EA"/>
    <w:rsid w:val="00CD1905"/>
    <w:rsid w:val="00CD2187"/>
    <w:rsid w:val="00CD27E5"/>
    <w:rsid w:val="00CD290B"/>
    <w:rsid w:val="00CD3124"/>
    <w:rsid w:val="00CD312F"/>
    <w:rsid w:val="00CD34F2"/>
    <w:rsid w:val="00CD3F81"/>
    <w:rsid w:val="00CD40DB"/>
    <w:rsid w:val="00CD4EF7"/>
    <w:rsid w:val="00CD5CC4"/>
    <w:rsid w:val="00CD5FCC"/>
    <w:rsid w:val="00CD682C"/>
    <w:rsid w:val="00CD6AB7"/>
    <w:rsid w:val="00CE02D5"/>
    <w:rsid w:val="00CE173E"/>
    <w:rsid w:val="00CE1FEC"/>
    <w:rsid w:val="00CE2831"/>
    <w:rsid w:val="00CE2F3C"/>
    <w:rsid w:val="00CE3542"/>
    <w:rsid w:val="00CE3CA8"/>
    <w:rsid w:val="00CE3F2F"/>
    <w:rsid w:val="00CE6695"/>
    <w:rsid w:val="00CE6E70"/>
    <w:rsid w:val="00CE710B"/>
    <w:rsid w:val="00CE76AA"/>
    <w:rsid w:val="00CF24D0"/>
    <w:rsid w:val="00CF2D8B"/>
    <w:rsid w:val="00CF3B17"/>
    <w:rsid w:val="00CF3B3F"/>
    <w:rsid w:val="00CF4CBF"/>
    <w:rsid w:val="00CF5348"/>
    <w:rsid w:val="00CF5CA3"/>
    <w:rsid w:val="00CF7299"/>
    <w:rsid w:val="00CF7303"/>
    <w:rsid w:val="00CF78A1"/>
    <w:rsid w:val="00CF78AD"/>
    <w:rsid w:val="00D00937"/>
    <w:rsid w:val="00D01501"/>
    <w:rsid w:val="00D023A5"/>
    <w:rsid w:val="00D030F8"/>
    <w:rsid w:val="00D03579"/>
    <w:rsid w:val="00D03A9B"/>
    <w:rsid w:val="00D03B35"/>
    <w:rsid w:val="00D03F7C"/>
    <w:rsid w:val="00D044FE"/>
    <w:rsid w:val="00D0565D"/>
    <w:rsid w:val="00D0588E"/>
    <w:rsid w:val="00D06D50"/>
    <w:rsid w:val="00D06FCA"/>
    <w:rsid w:val="00D07F08"/>
    <w:rsid w:val="00D109D6"/>
    <w:rsid w:val="00D10E73"/>
    <w:rsid w:val="00D110A9"/>
    <w:rsid w:val="00D11B70"/>
    <w:rsid w:val="00D121B3"/>
    <w:rsid w:val="00D14118"/>
    <w:rsid w:val="00D15B1A"/>
    <w:rsid w:val="00D16223"/>
    <w:rsid w:val="00D162CB"/>
    <w:rsid w:val="00D1679D"/>
    <w:rsid w:val="00D172EB"/>
    <w:rsid w:val="00D17F48"/>
    <w:rsid w:val="00D17FD9"/>
    <w:rsid w:val="00D21194"/>
    <w:rsid w:val="00D21B75"/>
    <w:rsid w:val="00D23618"/>
    <w:rsid w:val="00D246C1"/>
    <w:rsid w:val="00D25424"/>
    <w:rsid w:val="00D2542E"/>
    <w:rsid w:val="00D2647E"/>
    <w:rsid w:val="00D2674F"/>
    <w:rsid w:val="00D27304"/>
    <w:rsid w:val="00D31A2C"/>
    <w:rsid w:val="00D32ADA"/>
    <w:rsid w:val="00D32AE1"/>
    <w:rsid w:val="00D331CD"/>
    <w:rsid w:val="00D347AB"/>
    <w:rsid w:val="00D35293"/>
    <w:rsid w:val="00D35B8F"/>
    <w:rsid w:val="00D35C47"/>
    <w:rsid w:val="00D35EC4"/>
    <w:rsid w:val="00D36A32"/>
    <w:rsid w:val="00D37B9B"/>
    <w:rsid w:val="00D37C88"/>
    <w:rsid w:val="00D4027A"/>
    <w:rsid w:val="00D40CCF"/>
    <w:rsid w:val="00D4109E"/>
    <w:rsid w:val="00D41154"/>
    <w:rsid w:val="00D413A9"/>
    <w:rsid w:val="00D41722"/>
    <w:rsid w:val="00D4242C"/>
    <w:rsid w:val="00D42BF7"/>
    <w:rsid w:val="00D42CE7"/>
    <w:rsid w:val="00D42FD5"/>
    <w:rsid w:val="00D441C4"/>
    <w:rsid w:val="00D444DB"/>
    <w:rsid w:val="00D45274"/>
    <w:rsid w:val="00D45387"/>
    <w:rsid w:val="00D479C9"/>
    <w:rsid w:val="00D511A6"/>
    <w:rsid w:val="00D511D6"/>
    <w:rsid w:val="00D5207B"/>
    <w:rsid w:val="00D5250D"/>
    <w:rsid w:val="00D52DC7"/>
    <w:rsid w:val="00D52F14"/>
    <w:rsid w:val="00D53BBC"/>
    <w:rsid w:val="00D53D76"/>
    <w:rsid w:val="00D53ECB"/>
    <w:rsid w:val="00D53F5D"/>
    <w:rsid w:val="00D55AFB"/>
    <w:rsid w:val="00D55B2F"/>
    <w:rsid w:val="00D55C06"/>
    <w:rsid w:val="00D56852"/>
    <w:rsid w:val="00D56DE3"/>
    <w:rsid w:val="00D57EEB"/>
    <w:rsid w:val="00D57F88"/>
    <w:rsid w:val="00D600FC"/>
    <w:rsid w:val="00D60D91"/>
    <w:rsid w:val="00D619AB"/>
    <w:rsid w:val="00D62684"/>
    <w:rsid w:val="00D63350"/>
    <w:rsid w:val="00D635BA"/>
    <w:rsid w:val="00D6439C"/>
    <w:rsid w:val="00D64BA1"/>
    <w:rsid w:val="00D64C65"/>
    <w:rsid w:val="00D65612"/>
    <w:rsid w:val="00D6643F"/>
    <w:rsid w:val="00D66C2E"/>
    <w:rsid w:val="00D6731A"/>
    <w:rsid w:val="00D702FA"/>
    <w:rsid w:val="00D72068"/>
    <w:rsid w:val="00D7227F"/>
    <w:rsid w:val="00D741F5"/>
    <w:rsid w:val="00D7451D"/>
    <w:rsid w:val="00D74D2A"/>
    <w:rsid w:val="00D757F1"/>
    <w:rsid w:val="00D75C83"/>
    <w:rsid w:val="00D769BD"/>
    <w:rsid w:val="00D769F3"/>
    <w:rsid w:val="00D8024A"/>
    <w:rsid w:val="00D80C22"/>
    <w:rsid w:val="00D81A02"/>
    <w:rsid w:val="00D81F22"/>
    <w:rsid w:val="00D82FBB"/>
    <w:rsid w:val="00D834B0"/>
    <w:rsid w:val="00D83779"/>
    <w:rsid w:val="00D84426"/>
    <w:rsid w:val="00D84A22"/>
    <w:rsid w:val="00D861D3"/>
    <w:rsid w:val="00D8779B"/>
    <w:rsid w:val="00D87E8F"/>
    <w:rsid w:val="00D9122E"/>
    <w:rsid w:val="00D91934"/>
    <w:rsid w:val="00D92CA3"/>
    <w:rsid w:val="00D933F6"/>
    <w:rsid w:val="00D93572"/>
    <w:rsid w:val="00D9368C"/>
    <w:rsid w:val="00D938C0"/>
    <w:rsid w:val="00D9392F"/>
    <w:rsid w:val="00D93E42"/>
    <w:rsid w:val="00D94417"/>
    <w:rsid w:val="00D94FD6"/>
    <w:rsid w:val="00D95E2C"/>
    <w:rsid w:val="00D95EE2"/>
    <w:rsid w:val="00D95F85"/>
    <w:rsid w:val="00D96104"/>
    <w:rsid w:val="00DA00F3"/>
    <w:rsid w:val="00DA0403"/>
    <w:rsid w:val="00DA061B"/>
    <w:rsid w:val="00DA1952"/>
    <w:rsid w:val="00DA1BFA"/>
    <w:rsid w:val="00DA1F89"/>
    <w:rsid w:val="00DA3E22"/>
    <w:rsid w:val="00DA466C"/>
    <w:rsid w:val="00DA5728"/>
    <w:rsid w:val="00DA5FEA"/>
    <w:rsid w:val="00DA605D"/>
    <w:rsid w:val="00DA7664"/>
    <w:rsid w:val="00DA773C"/>
    <w:rsid w:val="00DA7AF4"/>
    <w:rsid w:val="00DA7CD4"/>
    <w:rsid w:val="00DB0590"/>
    <w:rsid w:val="00DB13FC"/>
    <w:rsid w:val="00DB1591"/>
    <w:rsid w:val="00DB15B3"/>
    <w:rsid w:val="00DB346D"/>
    <w:rsid w:val="00DB4247"/>
    <w:rsid w:val="00DB4BD7"/>
    <w:rsid w:val="00DB5382"/>
    <w:rsid w:val="00DB563C"/>
    <w:rsid w:val="00DB715D"/>
    <w:rsid w:val="00DB77D5"/>
    <w:rsid w:val="00DB7E4C"/>
    <w:rsid w:val="00DB7FF1"/>
    <w:rsid w:val="00DC0CDA"/>
    <w:rsid w:val="00DC189A"/>
    <w:rsid w:val="00DC2A4E"/>
    <w:rsid w:val="00DC5C89"/>
    <w:rsid w:val="00DC73A0"/>
    <w:rsid w:val="00DD1063"/>
    <w:rsid w:val="00DD1074"/>
    <w:rsid w:val="00DD1167"/>
    <w:rsid w:val="00DD283C"/>
    <w:rsid w:val="00DD3FFD"/>
    <w:rsid w:val="00DD4DDF"/>
    <w:rsid w:val="00DD5A59"/>
    <w:rsid w:val="00DD6F42"/>
    <w:rsid w:val="00DD76E0"/>
    <w:rsid w:val="00DD7F11"/>
    <w:rsid w:val="00DE030B"/>
    <w:rsid w:val="00DE10DC"/>
    <w:rsid w:val="00DE1B59"/>
    <w:rsid w:val="00DE35AA"/>
    <w:rsid w:val="00DE3636"/>
    <w:rsid w:val="00DE41D9"/>
    <w:rsid w:val="00DE54F9"/>
    <w:rsid w:val="00DE5B6B"/>
    <w:rsid w:val="00DE5FAF"/>
    <w:rsid w:val="00DE662C"/>
    <w:rsid w:val="00DE6741"/>
    <w:rsid w:val="00DE722D"/>
    <w:rsid w:val="00DE7DBC"/>
    <w:rsid w:val="00DF05D1"/>
    <w:rsid w:val="00DF0B08"/>
    <w:rsid w:val="00DF0E70"/>
    <w:rsid w:val="00DF1481"/>
    <w:rsid w:val="00DF22FD"/>
    <w:rsid w:val="00DF2F3D"/>
    <w:rsid w:val="00DF37C8"/>
    <w:rsid w:val="00DF5C4A"/>
    <w:rsid w:val="00DF6640"/>
    <w:rsid w:val="00DF758C"/>
    <w:rsid w:val="00E01137"/>
    <w:rsid w:val="00E01376"/>
    <w:rsid w:val="00E01919"/>
    <w:rsid w:val="00E03482"/>
    <w:rsid w:val="00E039E8"/>
    <w:rsid w:val="00E042D8"/>
    <w:rsid w:val="00E045F9"/>
    <w:rsid w:val="00E04907"/>
    <w:rsid w:val="00E04B82"/>
    <w:rsid w:val="00E04D4F"/>
    <w:rsid w:val="00E0654A"/>
    <w:rsid w:val="00E072D2"/>
    <w:rsid w:val="00E07546"/>
    <w:rsid w:val="00E07EE4"/>
    <w:rsid w:val="00E100D4"/>
    <w:rsid w:val="00E10125"/>
    <w:rsid w:val="00E118F7"/>
    <w:rsid w:val="00E1217C"/>
    <w:rsid w:val="00E1364E"/>
    <w:rsid w:val="00E137B5"/>
    <w:rsid w:val="00E13C63"/>
    <w:rsid w:val="00E14B5B"/>
    <w:rsid w:val="00E15389"/>
    <w:rsid w:val="00E15B9E"/>
    <w:rsid w:val="00E1696C"/>
    <w:rsid w:val="00E16F4B"/>
    <w:rsid w:val="00E176FA"/>
    <w:rsid w:val="00E17B4B"/>
    <w:rsid w:val="00E17BAB"/>
    <w:rsid w:val="00E2015E"/>
    <w:rsid w:val="00E20B62"/>
    <w:rsid w:val="00E20D35"/>
    <w:rsid w:val="00E20F9A"/>
    <w:rsid w:val="00E217E4"/>
    <w:rsid w:val="00E23909"/>
    <w:rsid w:val="00E2685C"/>
    <w:rsid w:val="00E26999"/>
    <w:rsid w:val="00E273CD"/>
    <w:rsid w:val="00E274C9"/>
    <w:rsid w:val="00E3096D"/>
    <w:rsid w:val="00E30A79"/>
    <w:rsid w:val="00E30E8F"/>
    <w:rsid w:val="00E31AD7"/>
    <w:rsid w:val="00E322F7"/>
    <w:rsid w:val="00E33795"/>
    <w:rsid w:val="00E337FA"/>
    <w:rsid w:val="00E34277"/>
    <w:rsid w:val="00E34E5F"/>
    <w:rsid w:val="00E36080"/>
    <w:rsid w:val="00E362D4"/>
    <w:rsid w:val="00E3650A"/>
    <w:rsid w:val="00E37A6D"/>
    <w:rsid w:val="00E40B8D"/>
    <w:rsid w:val="00E40FAB"/>
    <w:rsid w:val="00E42AC0"/>
    <w:rsid w:val="00E4300C"/>
    <w:rsid w:val="00E43D67"/>
    <w:rsid w:val="00E45625"/>
    <w:rsid w:val="00E457EA"/>
    <w:rsid w:val="00E46754"/>
    <w:rsid w:val="00E4696D"/>
    <w:rsid w:val="00E47068"/>
    <w:rsid w:val="00E474CC"/>
    <w:rsid w:val="00E47634"/>
    <w:rsid w:val="00E502DC"/>
    <w:rsid w:val="00E511DC"/>
    <w:rsid w:val="00E534D0"/>
    <w:rsid w:val="00E53C9B"/>
    <w:rsid w:val="00E544C6"/>
    <w:rsid w:val="00E549DE"/>
    <w:rsid w:val="00E54EC4"/>
    <w:rsid w:val="00E54FFA"/>
    <w:rsid w:val="00E55F74"/>
    <w:rsid w:val="00E5615F"/>
    <w:rsid w:val="00E564B0"/>
    <w:rsid w:val="00E56ADA"/>
    <w:rsid w:val="00E56EAB"/>
    <w:rsid w:val="00E57397"/>
    <w:rsid w:val="00E6180A"/>
    <w:rsid w:val="00E618AE"/>
    <w:rsid w:val="00E61961"/>
    <w:rsid w:val="00E622F7"/>
    <w:rsid w:val="00E638CE"/>
    <w:rsid w:val="00E63D98"/>
    <w:rsid w:val="00E64DEB"/>
    <w:rsid w:val="00E64EED"/>
    <w:rsid w:val="00E65B7D"/>
    <w:rsid w:val="00E67FB4"/>
    <w:rsid w:val="00E70188"/>
    <w:rsid w:val="00E70C46"/>
    <w:rsid w:val="00E752D9"/>
    <w:rsid w:val="00E75934"/>
    <w:rsid w:val="00E75A06"/>
    <w:rsid w:val="00E762A9"/>
    <w:rsid w:val="00E76498"/>
    <w:rsid w:val="00E7737E"/>
    <w:rsid w:val="00E774CC"/>
    <w:rsid w:val="00E80775"/>
    <w:rsid w:val="00E81BFF"/>
    <w:rsid w:val="00E81DBD"/>
    <w:rsid w:val="00E81F1B"/>
    <w:rsid w:val="00E83070"/>
    <w:rsid w:val="00E83584"/>
    <w:rsid w:val="00E84E0A"/>
    <w:rsid w:val="00E8549E"/>
    <w:rsid w:val="00E85A4E"/>
    <w:rsid w:val="00E85C0D"/>
    <w:rsid w:val="00E8625D"/>
    <w:rsid w:val="00E8628D"/>
    <w:rsid w:val="00E86AD6"/>
    <w:rsid w:val="00E8727A"/>
    <w:rsid w:val="00E87B7E"/>
    <w:rsid w:val="00E87F52"/>
    <w:rsid w:val="00E9008C"/>
    <w:rsid w:val="00E90F8F"/>
    <w:rsid w:val="00E9106D"/>
    <w:rsid w:val="00E913D8"/>
    <w:rsid w:val="00E9199D"/>
    <w:rsid w:val="00E91A5F"/>
    <w:rsid w:val="00E91BB3"/>
    <w:rsid w:val="00E922C1"/>
    <w:rsid w:val="00E933A3"/>
    <w:rsid w:val="00E95D37"/>
    <w:rsid w:val="00E96AF8"/>
    <w:rsid w:val="00E97042"/>
    <w:rsid w:val="00EA004C"/>
    <w:rsid w:val="00EA1C5B"/>
    <w:rsid w:val="00EA1CE4"/>
    <w:rsid w:val="00EA571C"/>
    <w:rsid w:val="00EA5E8A"/>
    <w:rsid w:val="00EA64B0"/>
    <w:rsid w:val="00EA76C9"/>
    <w:rsid w:val="00EA7714"/>
    <w:rsid w:val="00EB0BE6"/>
    <w:rsid w:val="00EB0CC6"/>
    <w:rsid w:val="00EB1125"/>
    <w:rsid w:val="00EB1F65"/>
    <w:rsid w:val="00EB20F6"/>
    <w:rsid w:val="00EB28F1"/>
    <w:rsid w:val="00EB2B26"/>
    <w:rsid w:val="00EB3FC1"/>
    <w:rsid w:val="00EB4EAC"/>
    <w:rsid w:val="00EB5ABA"/>
    <w:rsid w:val="00EB5EB5"/>
    <w:rsid w:val="00EB680B"/>
    <w:rsid w:val="00EB6FB4"/>
    <w:rsid w:val="00EB7173"/>
    <w:rsid w:val="00EB7B05"/>
    <w:rsid w:val="00EB7C5B"/>
    <w:rsid w:val="00EC0399"/>
    <w:rsid w:val="00EC0949"/>
    <w:rsid w:val="00EC1E50"/>
    <w:rsid w:val="00EC227B"/>
    <w:rsid w:val="00EC257D"/>
    <w:rsid w:val="00EC26B6"/>
    <w:rsid w:val="00EC2AB3"/>
    <w:rsid w:val="00EC479F"/>
    <w:rsid w:val="00EC4A2D"/>
    <w:rsid w:val="00EC5F02"/>
    <w:rsid w:val="00EC6322"/>
    <w:rsid w:val="00EC6832"/>
    <w:rsid w:val="00EC78A7"/>
    <w:rsid w:val="00ED1216"/>
    <w:rsid w:val="00ED195C"/>
    <w:rsid w:val="00ED200E"/>
    <w:rsid w:val="00ED26A9"/>
    <w:rsid w:val="00ED2818"/>
    <w:rsid w:val="00ED2EBA"/>
    <w:rsid w:val="00ED2FD1"/>
    <w:rsid w:val="00ED2FE4"/>
    <w:rsid w:val="00ED3016"/>
    <w:rsid w:val="00ED35D2"/>
    <w:rsid w:val="00ED3BB9"/>
    <w:rsid w:val="00ED3F7E"/>
    <w:rsid w:val="00ED4C44"/>
    <w:rsid w:val="00ED6D50"/>
    <w:rsid w:val="00ED7959"/>
    <w:rsid w:val="00EE1466"/>
    <w:rsid w:val="00EE1ABC"/>
    <w:rsid w:val="00EE1B76"/>
    <w:rsid w:val="00EE257F"/>
    <w:rsid w:val="00EE30E8"/>
    <w:rsid w:val="00EE37C2"/>
    <w:rsid w:val="00EE4134"/>
    <w:rsid w:val="00EE4189"/>
    <w:rsid w:val="00EE4C44"/>
    <w:rsid w:val="00EE4E1B"/>
    <w:rsid w:val="00EE5463"/>
    <w:rsid w:val="00EE55CA"/>
    <w:rsid w:val="00EE56F8"/>
    <w:rsid w:val="00EE5874"/>
    <w:rsid w:val="00EE5D19"/>
    <w:rsid w:val="00EE6C7C"/>
    <w:rsid w:val="00EE6D09"/>
    <w:rsid w:val="00EE6E4B"/>
    <w:rsid w:val="00EE7327"/>
    <w:rsid w:val="00EE7B64"/>
    <w:rsid w:val="00EF0058"/>
    <w:rsid w:val="00EF0BF4"/>
    <w:rsid w:val="00EF13F0"/>
    <w:rsid w:val="00EF286B"/>
    <w:rsid w:val="00EF36C7"/>
    <w:rsid w:val="00EF3EAA"/>
    <w:rsid w:val="00EF4C42"/>
    <w:rsid w:val="00EF515A"/>
    <w:rsid w:val="00EF64BB"/>
    <w:rsid w:val="00EF67FB"/>
    <w:rsid w:val="00EF69B5"/>
    <w:rsid w:val="00EF6E89"/>
    <w:rsid w:val="00EF7664"/>
    <w:rsid w:val="00EF7B9B"/>
    <w:rsid w:val="00EF7CF8"/>
    <w:rsid w:val="00EF7F48"/>
    <w:rsid w:val="00F00079"/>
    <w:rsid w:val="00F00C76"/>
    <w:rsid w:val="00F00CEC"/>
    <w:rsid w:val="00F016A4"/>
    <w:rsid w:val="00F01F90"/>
    <w:rsid w:val="00F02B8D"/>
    <w:rsid w:val="00F02C00"/>
    <w:rsid w:val="00F0387A"/>
    <w:rsid w:val="00F03F3C"/>
    <w:rsid w:val="00F048D7"/>
    <w:rsid w:val="00F04C61"/>
    <w:rsid w:val="00F050A4"/>
    <w:rsid w:val="00F06D00"/>
    <w:rsid w:val="00F075F8"/>
    <w:rsid w:val="00F07FC6"/>
    <w:rsid w:val="00F10370"/>
    <w:rsid w:val="00F10A96"/>
    <w:rsid w:val="00F10B8B"/>
    <w:rsid w:val="00F11070"/>
    <w:rsid w:val="00F11E0E"/>
    <w:rsid w:val="00F12327"/>
    <w:rsid w:val="00F12D70"/>
    <w:rsid w:val="00F13B0A"/>
    <w:rsid w:val="00F14326"/>
    <w:rsid w:val="00F14A76"/>
    <w:rsid w:val="00F15957"/>
    <w:rsid w:val="00F16C8F"/>
    <w:rsid w:val="00F16FB5"/>
    <w:rsid w:val="00F17007"/>
    <w:rsid w:val="00F170DA"/>
    <w:rsid w:val="00F17326"/>
    <w:rsid w:val="00F206D2"/>
    <w:rsid w:val="00F2173F"/>
    <w:rsid w:val="00F22134"/>
    <w:rsid w:val="00F22655"/>
    <w:rsid w:val="00F23285"/>
    <w:rsid w:val="00F23299"/>
    <w:rsid w:val="00F23F9C"/>
    <w:rsid w:val="00F25DB9"/>
    <w:rsid w:val="00F262B9"/>
    <w:rsid w:val="00F2636E"/>
    <w:rsid w:val="00F26B61"/>
    <w:rsid w:val="00F26EC2"/>
    <w:rsid w:val="00F3009D"/>
    <w:rsid w:val="00F311FE"/>
    <w:rsid w:val="00F31281"/>
    <w:rsid w:val="00F319B0"/>
    <w:rsid w:val="00F32C3D"/>
    <w:rsid w:val="00F33128"/>
    <w:rsid w:val="00F33641"/>
    <w:rsid w:val="00F338CC"/>
    <w:rsid w:val="00F33A0F"/>
    <w:rsid w:val="00F341A0"/>
    <w:rsid w:val="00F34635"/>
    <w:rsid w:val="00F34A54"/>
    <w:rsid w:val="00F35EBC"/>
    <w:rsid w:val="00F36DEA"/>
    <w:rsid w:val="00F36E2A"/>
    <w:rsid w:val="00F37E56"/>
    <w:rsid w:val="00F400BB"/>
    <w:rsid w:val="00F4087A"/>
    <w:rsid w:val="00F40DB7"/>
    <w:rsid w:val="00F41567"/>
    <w:rsid w:val="00F4230E"/>
    <w:rsid w:val="00F42D1C"/>
    <w:rsid w:val="00F42FB8"/>
    <w:rsid w:val="00F440B0"/>
    <w:rsid w:val="00F44BCE"/>
    <w:rsid w:val="00F44C94"/>
    <w:rsid w:val="00F4617C"/>
    <w:rsid w:val="00F46215"/>
    <w:rsid w:val="00F4630F"/>
    <w:rsid w:val="00F4642E"/>
    <w:rsid w:val="00F46FEA"/>
    <w:rsid w:val="00F47419"/>
    <w:rsid w:val="00F5025F"/>
    <w:rsid w:val="00F509D9"/>
    <w:rsid w:val="00F5161B"/>
    <w:rsid w:val="00F52F82"/>
    <w:rsid w:val="00F54012"/>
    <w:rsid w:val="00F540E5"/>
    <w:rsid w:val="00F55C64"/>
    <w:rsid w:val="00F56193"/>
    <w:rsid w:val="00F57040"/>
    <w:rsid w:val="00F5793A"/>
    <w:rsid w:val="00F602B8"/>
    <w:rsid w:val="00F60303"/>
    <w:rsid w:val="00F61236"/>
    <w:rsid w:val="00F615A2"/>
    <w:rsid w:val="00F61FA7"/>
    <w:rsid w:val="00F620A8"/>
    <w:rsid w:val="00F62D87"/>
    <w:rsid w:val="00F637E6"/>
    <w:rsid w:val="00F658A5"/>
    <w:rsid w:val="00F65DB9"/>
    <w:rsid w:val="00F6618F"/>
    <w:rsid w:val="00F670A8"/>
    <w:rsid w:val="00F67160"/>
    <w:rsid w:val="00F67447"/>
    <w:rsid w:val="00F703AF"/>
    <w:rsid w:val="00F703E7"/>
    <w:rsid w:val="00F71190"/>
    <w:rsid w:val="00F73047"/>
    <w:rsid w:val="00F800B3"/>
    <w:rsid w:val="00F8107B"/>
    <w:rsid w:val="00F81B9F"/>
    <w:rsid w:val="00F81ED4"/>
    <w:rsid w:val="00F8243A"/>
    <w:rsid w:val="00F82E7C"/>
    <w:rsid w:val="00F83E08"/>
    <w:rsid w:val="00F84147"/>
    <w:rsid w:val="00F85F3B"/>
    <w:rsid w:val="00F86746"/>
    <w:rsid w:val="00F869D4"/>
    <w:rsid w:val="00F87847"/>
    <w:rsid w:val="00F90B15"/>
    <w:rsid w:val="00F90C17"/>
    <w:rsid w:val="00F90C89"/>
    <w:rsid w:val="00F90E2A"/>
    <w:rsid w:val="00F90FD6"/>
    <w:rsid w:val="00F91C68"/>
    <w:rsid w:val="00F93261"/>
    <w:rsid w:val="00F93C07"/>
    <w:rsid w:val="00F9453E"/>
    <w:rsid w:val="00F957FD"/>
    <w:rsid w:val="00F96226"/>
    <w:rsid w:val="00F96BC7"/>
    <w:rsid w:val="00F96FC3"/>
    <w:rsid w:val="00F972DB"/>
    <w:rsid w:val="00FA0894"/>
    <w:rsid w:val="00FA0AE4"/>
    <w:rsid w:val="00FA0ED6"/>
    <w:rsid w:val="00FA2165"/>
    <w:rsid w:val="00FA27E2"/>
    <w:rsid w:val="00FA32AF"/>
    <w:rsid w:val="00FA3785"/>
    <w:rsid w:val="00FA54C2"/>
    <w:rsid w:val="00FA586B"/>
    <w:rsid w:val="00FA5A81"/>
    <w:rsid w:val="00FA5AB1"/>
    <w:rsid w:val="00FA5CB1"/>
    <w:rsid w:val="00FA6400"/>
    <w:rsid w:val="00FA77EE"/>
    <w:rsid w:val="00FA78FD"/>
    <w:rsid w:val="00FA7E70"/>
    <w:rsid w:val="00FB1B83"/>
    <w:rsid w:val="00FB2728"/>
    <w:rsid w:val="00FB3CCD"/>
    <w:rsid w:val="00FB3D8D"/>
    <w:rsid w:val="00FB3F84"/>
    <w:rsid w:val="00FB71B0"/>
    <w:rsid w:val="00FC0957"/>
    <w:rsid w:val="00FC137B"/>
    <w:rsid w:val="00FC1897"/>
    <w:rsid w:val="00FC1F26"/>
    <w:rsid w:val="00FC2162"/>
    <w:rsid w:val="00FC216B"/>
    <w:rsid w:val="00FC2F6F"/>
    <w:rsid w:val="00FC3B37"/>
    <w:rsid w:val="00FC4CB9"/>
    <w:rsid w:val="00FC4D8F"/>
    <w:rsid w:val="00FC53C0"/>
    <w:rsid w:val="00FC549E"/>
    <w:rsid w:val="00FD0715"/>
    <w:rsid w:val="00FD1554"/>
    <w:rsid w:val="00FD156F"/>
    <w:rsid w:val="00FD189D"/>
    <w:rsid w:val="00FD2335"/>
    <w:rsid w:val="00FD234A"/>
    <w:rsid w:val="00FD2434"/>
    <w:rsid w:val="00FD2E3B"/>
    <w:rsid w:val="00FD2E46"/>
    <w:rsid w:val="00FD3748"/>
    <w:rsid w:val="00FD47E2"/>
    <w:rsid w:val="00FD5C3A"/>
    <w:rsid w:val="00FD5D8E"/>
    <w:rsid w:val="00FD5E1C"/>
    <w:rsid w:val="00FD6236"/>
    <w:rsid w:val="00FD69F8"/>
    <w:rsid w:val="00FD6F51"/>
    <w:rsid w:val="00FD6F5A"/>
    <w:rsid w:val="00FD76DC"/>
    <w:rsid w:val="00FE0003"/>
    <w:rsid w:val="00FE058A"/>
    <w:rsid w:val="00FE09B5"/>
    <w:rsid w:val="00FE0BEA"/>
    <w:rsid w:val="00FE0E5E"/>
    <w:rsid w:val="00FE0E69"/>
    <w:rsid w:val="00FE1ACA"/>
    <w:rsid w:val="00FE1CB9"/>
    <w:rsid w:val="00FE3E7E"/>
    <w:rsid w:val="00FE4F32"/>
    <w:rsid w:val="00FE500F"/>
    <w:rsid w:val="00FE593D"/>
    <w:rsid w:val="00FE59C8"/>
    <w:rsid w:val="00FE6685"/>
    <w:rsid w:val="00FE6A62"/>
    <w:rsid w:val="00FE7BF7"/>
    <w:rsid w:val="00FF03EF"/>
    <w:rsid w:val="00FF1465"/>
    <w:rsid w:val="00FF356D"/>
    <w:rsid w:val="00FF3EB4"/>
    <w:rsid w:val="00FF555C"/>
    <w:rsid w:val="00FF609C"/>
    <w:rsid w:val="00FF6327"/>
    <w:rsid w:val="016E3B18"/>
    <w:rsid w:val="025C47FF"/>
    <w:rsid w:val="027D0C3D"/>
    <w:rsid w:val="02AD100F"/>
    <w:rsid w:val="02D257AF"/>
    <w:rsid w:val="032A0537"/>
    <w:rsid w:val="041C6993"/>
    <w:rsid w:val="04561323"/>
    <w:rsid w:val="04620455"/>
    <w:rsid w:val="05185B62"/>
    <w:rsid w:val="05D276D3"/>
    <w:rsid w:val="06E97934"/>
    <w:rsid w:val="07AA4089"/>
    <w:rsid w:val="086309E9"/>
    <w:rsid w:val="08EE7F64"/>
    <w:rsid w:val="091E3B20"/>
    <w:rsid w:val="092C0E75"/>
    <w:rsid w:val="096D559A"/>
    <w:rsid w:val="09C71544"/>
    <w:rsid w:val="09C72A0C"/>
    <w:rsid w:val="09E84B85"/>
    <w:rsid w:val="0AB97B85"/>
    <w:rsid w:val="0AC81B6A"/>
    <w:rsid w:val="0AEF0161"/>
    <w:rsid w:val="0B9C63CF"/>
    <w:rsid w:val="0C464B88"/>
    <w:rsid w:val="0CD17FEB"/>
    <w:rsid w:val="0D812A4E"/>
    <w:rsid w:val="0DA035B0"/>
    <w:rsid w:val="0E2C0984"/>
    <w:rsid w:val="0E6340F9"/>
    <w:rsid w:val="0F016A56"/>
    <w:rsid w:val="0F220556"/>
    <w:rsid w:val="0F6F2BCB"/>
    <w:rsid w:val="0FB322F8"/>
    <w:rsid w:val="107723F4"/>
    <w:rsid w:val="10C70CE8"/>
    <w:rsid w:val="13200D17"/>
    <w:rsid w:val="13CD67D5"/>
    <w:rsid w:val="13F71842"/>
    <w:rsid w:val="1423673F"/>
    <w:rsid w:val="142E15BB"/>
    <w:rsid w:val="15AF4809"/>
    <w:rsid w:val="16FD647E"/>
    <w:rsid w:val="170E5A97"/>
    <w:rsid w:val="18744EAB"/>
    <w:rsid w:val="19E62888"/>
    <w:rsid w:val="1AFE5979"/>
    <w:rsid w:val="1BA33968"/>
    <w:rsid w:val="1BBC22F1"/>
    <w:rsid w:val="1C085726"/>
    <w:rsid w:val="1C1561D3"/>
    <w:rsid w:val="1C3C4702"/>
    <w:rsid w:val="1C715A02"/>
    <w:rsid w:val="1D1F6BF4"/>
    <w:rsid w:val="1DB82015"/>
    <w:rsid w:val="1E9A235F"/>
    <w:rsid w:val="1FF40490"/>
    <w:rsid w:val="20F471A0"/>
    <w:rsid w:val="21597410"/>
    <w:rsid w:val="21C112AB"/>
    <w:rsid w:val="22DB4828"/>
    <w:rsid w:val="22E42373"/>
    <w:rsid w:val="23C267FE"/>
    <w:rsid w:val="245E27F4"/>
    <w:rsid w:val="24642CD9"/>
    <w:rsid w:val="24D223F1"/>
    <w:rsid w:val="24E47652"/>
    <w:rsid w:val="25305952"/>
    <w:rsid w:val="253523C7"/>
    <w:rsid w:val="25A5605A"/>
    <w:rsid w:val="25B06E38"/>
    <w:rsid w:val="25CE5A82"/>
    <w:rsid w:val="25D3628F"/>
    <w:rsid w:val="25E3045A"/>
    <w:rsid w:val="26006009"/>
    <w:rsid w:val="262A65F2"/>
    <w:rsid w:val="26476B69"/>
    <w:rsid w:val="26A447A0"/>
    <w:rsid w:val="26E4113C"/>
    <w:rsid w:val="27C20538"/>
    <w:rsid w:val="28627C8F"/>
    <w:rsid w:val="28666479"/>
    <w:rsid w:val="2A1E3B99"/>
    <w:rsid w:val="2A891BDB"/>
    <w:rsid w:val="2B200AF4"/>
    <w:rsid w:val="2B20331D"/>
    <w:rsid w:val="2B3F3420"/>
    <w:rsid w:val="2B5A38BE"/>
    <w:rsid w:val="2BEA4516"/>
    <w:rsid w:val="2C866650"/>
    <w:rsid w:val="2EA337C5"/>
    <w:rsid w:val="2EEB7D55"/>
    <w:rsid w:val="301A3FE2"/>
    <w:rsid w:val="30495F23"/>
    <w:rsid w:val="30C16CE7"/>
    <w:rsid w:val="30E85AE1"/>
    <w:rsid w:val="30E96097"/>
    <w:rsid w:val="316C2899"/>
    <w:rsid w:val="31D322D3"/>
    <w:rsid w:val="32336A9D"/>
    <w:rsid w:val="3250729E"/>
    <w:rsid w:val="32920F3E"/>
    <w:rsid w:val="32F877CE"/>
    <w:rsid w:val="33A538E2"/>
    <w:rsid w:val="34891AE5"/>
    <w:rsid w:val="35F37CEA"/>
    <w:rsid w:val="3651483E"/>
    <w:rsid w:val="3687082A"/>
    <w:rsid w:val="37356E87"/>
    <w:rsid w:val="377D77BC"/>
    <w:rsid w:val="38246347"/>
    <w:rsid w:val="38746C99"/>
    <w:rsid w:val="38CE00D6"/>
    <w:rsid w:val="3B200C08"/>
    <w:rsid w:val="3B231BE0"/>
    <w:rsid w:val="3B5A7C2B"/>
    <w:rsid w:val="3C2E39FC"/>
    <w:rsid w:val="3C862C61"/>
    <w:rsid w:val="3C8B278A"/>
    <w:rsid w:val="3C9E5702"/>
    <w:rsid w:val="3CA2485E"/>
    <w:rsid w:val="3CE8319C"/>
    <w:rsid w:val="3DA53674"/>
    <w:rsid w:val="3DAB1C98"/>
    <w:rsid w:val="3DE93A52"/>
    <w:rsid w:val="3E1A4441"/>
    <w:rsid w:val="3EB05EBE"/>
    <w:rsid w:val="3EC61D8E"/>
    <w:rsid w:val="3ECB3264"/>
    <w:rsid w:val="3F0E7824"/>
    <w:rsid w:val="3F154A68"/>
    <w:rsid w:val="3F2F1B9A"/>
    <w:rsid w:val="3F3E4C62"/>
    <w:rsid w:val="3FE54ABD"/>
    <w:rsid w:val="40677E2B"/>
    <w:rsid w:val="408C722F"/>
    <w:rsid w:val="40DC6923"/>
    <w:rsid w:val="424242C0"/>
    <w:rsid w:val="42B77567"/>
    <w:rsid w:val="43C61169"/>
    <w:rsid w:val="44461677"/>
    <w:rsid w:val="44970581"/>
    <w:rsid w:val="46D41322"/>
    <w:rsid w:val="46EB5E7D"/>
    <w:rsid w:val="4760057D"/>
    <w:rsid w:val="47DC5B9C"/>
    <w:rsid w:val="47E67AA4"/>
    <w:rsid w:val="4809126A"/>
    <w:rsid w:val="4822392B"/>
    <w:rsid w:val="484B5F49"/>
    <w:rsid w:val="49910275"/>
    <w:rsid w:val="49EB18A4"/>
    <w:rsid w:val="4A395BB0"/>
    <w:rsid w:val="4B2F1381"/>
    <w:rsid w:val="4BAB08B8"/>
    <w:rsid w:val="4BFF0119"/>
    <w:rsid w:val="4C45363F"/>
    <w:rsid w:val="4CD101CB"/>
    <w:rsid w:val="4CF9213E"/>
    <w:rsid w:val="4D0E1ED3"/>
    <w:rsid w:val="4D124AEA"/>
    <w:rsid w:val="4D7163A1"/>
    <w:rsid w:val="4D8139DF"/>
    <w:rsid w:val="4DD40065"/>
    <w:rsid w:val="4DD67431"/>
    <w:rsid w:val="4E375360"/>
    <w:rsid w:val="4E8705F1"/>
    <w:rsid w:val="4EA37FEA"/>
    <w:rsid w:val="4EB5751E"/>
    <w:rsid w:val="50D136C9"/>
    <w:rsid w:val="5124505C"/>
    <w:rsid w:val="51915800"/>
    <w:rsid w:val="51D335AE"/>
    <w:rsid w:val="520F3BC7"/>
    <w:rsid w:val="521565C1"/>
    <w:rsid w:val="521772B4"/>
    <w:rsid w:val="5348633E"/>
    <w:rsid w:val="539E7EA2"/>
    <w:rsid w:val="53CF54F7"/>
    <w:rsid w:val="548D60DF"/>
    <w:rsid w:val="55560932"/>
    <w:rsid w:val="56FE6EC0"/>
    <w:rsid w:val="578F2C75"/>
    <w:rsid w:val="583341F7"/>
    <w:rsid w:val="585B05A2"/>
    <w:rsid w:val="58D345E5"/>
    <w:rsid w:val="58D724A7"/>
    <w:rsid w:val="58E468E5"/>
    <w:rsid w:val="58EB435B"/>
    <w:rsid w:val="599973ED"/>
    <w:rsid w:val="5AA62399"/>
    <w:rsid w:val="5AF671CC"/>
    <w:rsid w:val="5BB97649"/>
    <w:rsid w:val="5BD023D0"/>
    <w:rsid w:val="5BDA24B8"/>
    <w:rsid w:val="5CC00B80"/>
    <w:rsid w:val="5CC15E0E"/>
    <w:rsid w:val="5DE663A3"/>
    <w:rsid w:val="5DF811F8"/>
    <w:rsid w:val="5E9D1006"/>
    <w:rsid w:val="5EDC2C1F"/>
    <w:rsid w:val="5F3D777D"/>
    <w:rsid w:val="600057E2"/>
    <w:rsid w:val="60AD6FB6"/>
    <w:rsid w:val="60E15135"/>
    <w:rsid w:val="61397A52"/>
    <w:rsid w:val="63212B3F"/>
    <w:rsid w:val="63504A6E"/>
    <w:rsid w:val="63695EA1"/>
    <w:rsid w:val="636C4886"/>
    <w:rsid w:val="637026BD"/>
    <w:rsid w:val="638D177C"/>
    <w:rsid w:val="63CF54C6"/>
    <w:rsid w:val="63F83CDE"/>
    <w:rsid w:val="64164412"/>
    <w:rsid w:val="647140BE"/>
    <w:rsid w:val="64DB6B9A"/>
    <w:rsid w:val="655A6A6A"/>
    <w:rsid w:val="6581565C"/>
    <w:rsid w:val="664D4441"/>
    <w:rsid w:val="66AA55DD"/>
    <w:rsid w:val="68721082"/>
    <w:rsid w:val="68AC1C32"/>
    <w:rsid w:val="68C86864"/>
    <w:rsid w:val="69425828"/>
    <w:rsid w:val="6A9378F2"/>
    <w:rsid w:val="6B92499D"/>
    <w:rsid w:val="6BB63BC0"/>
    <w:rsid w:val="6BDC66B3"/>
    <w:rsid w:val="6BF377DD"/>
    <w:rsid w:val="6C3720EC"/>
    <w:rsid w:val="6D2D7B8A"/>
    <w:rsid w:val="6DE84D3B"/>
    <w:rsid w:val="6EAE67D2"/>
    <w:rsid w:val="6F145630"/>
    <w:rsid w:val="6FD219A1"/>
    <w:rsid w:val="702D104B"/>
    <w:rsid w:val="710A0163"/>
    <w:rsid w:val="7136393E"/>
    <w:rsid w:val="71980598"/>
    <w:rsid w:val="71DE48DC"/>
    <w:rsid w:val="72546094"/>
    <w:rsid w:val="72590905"/>
    <w:rsid w:val="7337422A"/>
    <w:rsid w:val="73EB4EEE"/>
    <w:rsid w:val="74027672"/>
    <w:rsid w:val="744D0800"/>
    <w:rsid w:val="74D530AD"/>
    <w:rsid w:val="75DC17FB"/>
    <w:rsid w:val="763B619E"/>
    <w:rsid w:val="77041749"/>
    <w:rsid w:val="77684BFD"/>
    <w:rsid w:val="7773319A"/>
    <w:rsid w:val="785B3BD7"/>
    <w:rsid w:val="78C27C4E"/>
    <w:rsid w:val="78EB1D5F"/>
    <w:rsid w:val="796B02F5"/>
    <w:rsid w:val="7A123FC3"/>
    <w:rsid w:val="7A537EF0"/>
    <w:rsid w:val="7AF36174"/>
    <w:rsid w:val="7B372913"/>
    <w:rsid w:val="7B7961B8"/>
    <w:rsid w:val="7B8F0ADB"/>
    <w:rsid w:val="7BBF131E"/>
    <w:rsid w:val="7BC751D4"/>
    <w:rsid w:val="7CA378AD"/>
    <w:rsid w:val="7EB438EC"/>
    <w:rsid w:val="7EC04061"/>
    <w:rsid w:val="7F48179A"/>
    <w:rsid w:val="7F4F78C2"/>
    <w:rsid w:val="7F56184D"/>
    <w:rsid w:val="7FA838C7"/>
    <w:rsid w:val="7FDE40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rules v:ext="edit">
        <o:r id="V:Rule1" type="connector" idref="#自选图形 288"/>
        <o:r id="V:Rule2" type="connector" idref="#自选图形 289"/>
        <o:r id="V:Rule3" type="connector" idref="#自选图形 290"/>
        <o:r id="V:Rule4" type="connector" idref="#自选图形 291"/>
        <o:r id="V:Rule5" type="connector" idref="#_x0000_s206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name="Body Text First Indent"/>
    <w:lsdException w:qFormat="1" w:unhideWhenUsed="0" w:uiPriority="0" w:semiHidden="0" w:name="Body Text First Indent 2"/>
    <w:lsdException w:qFormat="1" w:unhideWhenUsed="0" w:uiPriority="0" w:semiHidden="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semiHidden="0" w:name="Block Text"/>
    <w:lsdException w:qFormat="1" w:uiPriority="99" w:semiHidden="0" w:name="Hyperlink"/>
    <w:lsdException w:qFormat="1" w:unhideWhenUsed="0"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heme="minorHAnsi" w:hAnsiTheme="minorHAnsi" w:eastAsiaTheme="minorEastAsia" w:cstheme="minorBidi"/>
      <w:kern w:val="2"/>
      <w:sz w:val="21"/>
      <w:szCs w:val="21"/>
      <w:lang w:val="en-US" w:eastAsia="zh-CN" w:bidi="ar-SA"/>
    </w:rPr>
  </w:style>
  <w:style w:type="paragraph" w:styleId="5">
    <w:name w:val="heading 1"/>
    <w:basedOn w:val="1"/>
    <w:next w:val="1"/>
    <w:link w:val="111"/>
    <w:qFormat/>
    <w:uiPriority w:val="0"/>
    <w:pPr>
      <w:keepNext/>
      <w:keepLines/>
      <w:numPr>
        <w:ilvl w:val="0"/>
        <w:numId w:val="1"/>
      </w:numPr>
      <w:spacing w:before="340" w:after="330" w:line="578" w:lineRule="auto"/>
      <w:jc w:val="center"/>
      <w:outlineLvl w:val="0"/>
    </w:pPr>
    <w:rPr>
      <w:rFonts w:ascii="Times New Roman" w:hAnsi="Times New Roman"/>
      <w:b/>
      <w:bCs/>
      <w:kern w:val="44"/>
      <w:sz w:val="32"/>
      <w:szCs w:val="44"/>
    </w:rPr>
  </w:style>
  <w:style w:type="paragraph" w:styleId="6">
    <w:name w:val="heading 2"/>
    <w:basedOn w:val="1"/>
    <w:next w:val="1"/>
    <w:link w:val="112"/>
    <w:unhideWhenUsed/>
    <w:qFormat/>
    <w:uiPriority w:val="0"/>
    <w:pPr>
      <w:keepNext/>
      <w:keepLines/>
      <w:numPr>
        <w:ilvl w:val="1"/>
        <w:numId w:val="1"/>
      </w:numPr>
      <w:spacing w:before="260" w:after="260" w:line="416" w:lineRule="auto"/>
      <w:jc w:val="left"/>
      <w:outlineLvl w:val="1"/>
    </w:pPr>
    <w:rPr>
      <w:rFonts w:ascii="Times New Roman" w:hAnsi="Times New Roman" w:eastAsiaTheme="majorEastAsia" w:cstheme="majorBidi"/>
      <w:b/>
      <w:bCs/>
      <w:sz w:val="28"/>
      <w:szCs w:val="32"/>
    </w:rPr>
  </w:style>
  <w:style w:type="paragraph" w:styleId="7">
    <w:name w:val="heading 3"/>
    <w:basedOn w:val="1"/>
    <w:next w:val="1"/>
    <w:link w:val="113"/>
    <w:unhideWhenUsed/>
    <w:qFormat/>
    <w:uiPriority w:val="0"/>
    <w:pPr>
      <w:keepNext/>
      <w:keepLines/>
      <w:numPr>
        <w:ilvl w:val="2"/>
        <w:numId w:val="1"/>
      </w:numPr>
      <w:spacing w:before="260" w:after="260" w:line="415" w:lineRule="auto"/>
      <w:contextualSpacing/>
      <w:jc w:val="left"/>
      <w:outlineLvl w:val="2"/>
    </w:pPr>
    <w:rPr>
      <w:rFonts w:ascii="Times New Roman" w:hAnsi="Times New Roman"/>
      <w:b/>
      <w:bCs/>
      <w:sz w:val="24"/>
      <w:szCs w:val="32"/>
    </w:rPr>
  </w:style>
  <w:style w:type="paragraph" w:styleId="8">
    <w:name w:val="heading 4"/>
    <w:basedOn w:val="1"/>
    <w:next w:val="1"/>
    <w:link w:val="114"/>
    <w:unhideWhenUsed/>
    <w:qFormat/>
    <w:uiPriority w:val="0"/>
    <w:pPr>
      <w:keepNext/>
      <w:keepLines/>
      <w:numPr>
        <w:ilvl w:val="3"/>
        <w:numId w:val="1"/>
      </w:numPr>
      <w:spacing w:before="40" w:after="50" w:line="376" w:lineRule="auto"/>
      <w:jc w:val="left"/>
      <w:outlineLvl w:val="3"/>
    </w:pPr>
    <w:rPr>
      <w:rFonts w:ascii="Times New Roman" w:hAnsi="Times New Roman" w:eastAsiaTheme="majorEastAsia" w:cstheme="majorBidi"/>
      <w:b/>
      <w:bCs/>
      <w:sz w:val="24"/>
      <w:szCs w:val="28"/>
    </w:rPr>
  </w:style>
  <w:style w:type="paragraph" w:styleId="9">
    <w:name w:val="heading 5"/>
    <w:basedOn w:val="1"/>
    <w:next w:val="1"/>
    <w:link w:val="109"/>
    <w:unhideWhenUsed/>
    <w:qFormat/>
    <w:uiPriority w:val="0"/>
    <w:pPr>
      <w:keepNext/>
      <w:keepLines/>
      <w:spacing w:before="280" w:after="290" w:line="376" w:lineRule="auto"/>
      <w:outlineLvl w:val="4"/>
    </w:pPr>
    <w:rPr>
      <w:rFonts w:ascii="Times New Roman" w:hAnsi="Times New Roman"/>
      <w:b/>
      <w:bCs/>
      <w:sz w:val="24"/>
      <w:szCs w:val="28"/>
    </w:rPr>
  </w:style>
  <w:style w:type="paragraph" w:styleId="10">
    <w:name w:val="heading 6"/>
    <w:basedOn w:val="1"/>
    <w:next w:val="1"/>
    <w:link w:val="115"/>
    <w:unhideWhenUsed/>
    <w:qFormat/>
    <w:uiPriority w:val="0"/>
    <w:pPr>
      <w:keepNext/>
      <w:keepLines/>
      <w:spacing w:before="240" w:after="64" w:line="320" w:lineRule="auto"/>
      <w:outlineLvl w:val="5"/>
    </w:pPr>
    <w:rPr>
      <w:rFonts w:ascii="Times New Roman" w:hAnsi="Times New Roman" w:eastAsiaTheme="majorEastAsia" w:cstheme="majorBidi"/>
      <w:b/>
      <w:bCs/>
      <w:sz w:val="24"/>
      <w:szCs w:val="24"/>
    </w:rPr>
  </w:style>
  <w:style w:type="paragraph" w:styleId="11">
    <w:name w:val="heading 7"/>
    <w:basedOn w:val="1"/>
    <w:next w:val="1"/>
    <w:link w:val="116"/>
    <w:qFormat/>
    <w:uiPriority w:val="0"/>
    <w:pPr>
      <w:keepNext/>
      <w:keepLines/>
      <w:tabs>
        <w:tab w:val="left" w:pos="1296"/>
      </w:tabs>
      <w:spacing w:before="240" w:after="64" w:line="320" w:lineRule="auto"/>
      <w:ind w:left="1296" w:hanging="1296" w:firstLineChars="200"/>
      <w:outlineLvl w:val="6"/>
    </w:pPr>
    <w:rPr>
      <w:rFonts w:ascii="Times New Roman" w:hAnsi="Times New Roman" w:eastAsia="宋体" w:cs="Times New Roman"/>
      <w:b/>
      <w:bCs/>
      <w:sz w:val="24"/>
      <w:szCs w:val="24"/>
    </w:rPr>
  </w:style>
  <w:style w:type="paragraph" w:styleId="12">
    <w:name w:val="heading 8"/>
    <w:basedOn w:val="1"/>
    <w:next w:val="1"/>
    <w:link w:val="117"/>
    <w:qFormat/>
    <w:uiPriority w:val="0"/>
    <w:pPr>
      <w:keepNext/>
      <w:keepLines/>
      <w:tabs>
        <w:tab w:val="left" w:pos="1440"/>
      </w:tabs>
      <w:spacing w:before="240" w:after="64" w:line="320" w:lineRule="auto"/>
      <w:ind w:left="1440" w:hanging="1440" w:firstLineChars="200"/>
      <w:outlineLvl w:val="7"/>
    </w:pPr>
    <w:rPr>
      <w:rFonts w:ascii="Arial" w:hAnsi="Arial" w:eastAsia="黑体" w:cs="Times New Roman"/>
      <w:sz w:val="24"/>
      <w:szCs w:val="24"/>
    </w:rPr>
  </w:style>
  <w:style w:type="paragraph" w:styleId="13">
    <w:name w:val="heading 9"/>
    <w:basedOn w:val="1"/>
    <w:next w:val="1"/>
    <w:link w:val="118"/>
    <w:qFormat/>
    <w:uiPriority w:val="0"/>
    <w:pPr>
      <w:keepNext/>
      <w:keepLines/>
      <w:tabs>
        <w:tab w:val="left" w:pos="1584"/>
      </w:tabs>
      <w:spacing w:before="240" w:after="64" w:line="320" w:lineRule="auto"/>
      <w:ind w:left="1584" w:hanging="1584" w:firstLineChars="200"/>
      <w:outlineLvl w:val="8"/>
    </w:pPr>
    <w:rPr>
      <w:rFonts w:ascii="Arial" w:hAnsi="Arial" w:eastAsia="黑体" w:cs="Times New Roman"/>
      <w:sz w:val="24"/>
    </w:rPr>
  </w:style>
  <w:style w:type="character" w:default="1" w:styleId="91">
    <w:name w:val="Default Paragraph Font"/>
    <w:semiHidden/>
    <w:unhideWhenUsed/>
    <w:qFormat/>
    <w:uiPriority w:val="1"/>
  </w:style>
  <w:style w:type="table" w:default="1" w:styleId="8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link w:val="151"/>
    <w:qFormat/>
    <w:uiPriority w:val="0"/>
    <w:pPr>
      <w:spacing w:line="440" w:lineRule="exact"/>
      <w:ind w:left="200" w:leftChars="200" w:firstLine="200"/>
    </w:pPr>
    <w:rPr>
      <w:rFonts w:asciiTheme="minorHAnsi" w:hAnsiTheme="minorHAnsi" w:eastAsiaTheme="minorEastAsia" w:cstheme="minorBidi"/>
      <w:sz w:val="24"/>
      <w:szCs w:val="21"/>
    </w:rPr>
  </w:style>
  <w:style w:type="paragraph" w:styleId="3">
    <w:name w:val="Body Text Indent"/>
    <w:basedOn w:val="1"/>
    <w:link w:val="130"/>
    <w:semiHidden/>
    <w:qFormat/>
    <w:uiPriority w:val="0"/>
    <w:pPr>
      <w:ind w:firstLine="720" w:firstLineChars="200"/>
    </w:pPr>
    <w:rPr>
      <w:rFonts w:ascii="仿宋_GB2312" w:hAnsi="Times New Roman" w:eastAsia="仿宋_GB2312" w:cs="Times New Roman"/>
      <w:sz w:val="32"/>
      <w:szCs w:val="32"/>
    </w:rPr>
  </w:style>
  <w:style w:type="paragraph" w:styleId="4">
    <w:name w:val="macro"/>
    <w:link w:val="119"/>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Times New Roman" w:cstheme="minorBidi"/>
      <w:kern w:val="2"/>
      <w:sz w:val="24"/>
      <w:szCs w:val="24"/>
      <w:lang w:val="en-US" w:eastAsia="zh-CN" w:bidi="ar-SA"/>
    </w:rPr>
  </w:style>
  <w:style w:type="paragraph" w:styleId="14">
    <w:name w:val="List 3"/>
    <w:basedOn w:val="1"/>
    <w:qFormat/>
    <w:uiPriority w:val="0"/>
    <w:pPr>
      <w:adjustRightInd w:val="0"/>
      <w:spacing w:beforeLines="50"/>
      <w:ind w:left="1260" w:hanging="420"/>
      <w:textAlignment w:val="baseline"/>
    </w:pPr>
    <w:rPr>
      <w:rFonts w:ascii="Times New Roman" w:hAnsi="Times New Roman" w:eastAsia="宋体" w:cs="Times New Roman"/>
      <w:kern w:val="0"/>
      <w:sz w:val="24"/>
      <w:szCs w:val="20"/>
    </w:rPr>
  </w:style>
  <w:style w:type="paragraph" w:styleId="15">
    <w:name w:val="toc 7"/>
    <w:basedOn w:val="1"/>
    <w:next w:val="1"/>
    <w:qFormat/>
    <w:uiPriority w:val="39"/>
    <w:pPr>
      <w:ind w:left="1260"/>
      <w:jc w:val="left"/>
    </w:pPr>
    <w:rPr>
      <w:rFonts w:cstheme="minorHAnsi"/>
      <w:sz w:val="18"/>
      <w:szCs w:val="18"/>
    </w:rPr>
  </w:style>
  <w:style w:type="paragraph" w:styleId="16">
    <w:name w:val="List Number 2"/>
    <w:basedOn w:val="1"/>
    <w:qFormat/>
    <w:uiPriority w:val="0"/>
    <w:pPr>
      <w:tabs>
        <w:tab w:val="left" w:pos="780"/>
      </w:tabs>
      <w:spacing w:line="240" w:lineRule="auto"/>
      <w:ind w:left="780" w:leftChars="200" w:hanging="360" w:hangingChars="200"/>
    </w:pPr>
    <w:rPr>
      <w:rFonts w:ascii="Times New Roman" w:hAnsi="Times New Roman" w:eastAsia="宋体" w:cs="Times New Roman"/>
      <w:szCs w:val="24"/>
    </w:rPr>
  </w:style>
  <w:style w:type="paragraph" w:styleId="17">
    <w:name w:val="table of authorities"/>
    <w:basedOn w:val="1"/>
    <w:next w:val="1"/>
    <w:qFormat/>
    <w:uiPriority w:val="0"/>
    <w:pPr>
      <w:spacing w:line="480" w:lineRule="exact"/>
      <w:ind w:left="420" w:leftChars="200"/>
    </w:pPr>
    <w:rPr>
      <w:rFonts w:ascii="Times New Roman" w:hAnsi="Times New Roman" w:eastAsia="宋体" w:cs="Times New Roman"/>
      <w:sz w:val="24"/>
      <w:szCs w:val="24"/>
    </w:rPr>
  </w:style>
  <w:style w:type="paragraph" w:styleId="18">
    <w:name w:val="Note Heading"/>
    <w:basedOn w:val="1"/>
    <w:next w:val="1"/>
    <w:link w:val="120"/>
    <w:qFormat/>
    <w:uiPriority w:val="0"/>
    <w:pPr>
      <w:spacing w:line="240" w:lineRule="auto"/>
      <w:jc w:val="center"/>
    </w:pPr>
    <w:rPr>
      <w:rFonts w:ascii="Times New Roman" w:hAnsi="Times New Roman" w:eastAsia="宋体" w:cs="Times New Roman"/>
      <w:szCs w:val="20"/>
    </w:rPr>
  </w:style>
  <w:style w:type="paragraph" w:styleId="19">
    <w:name w:val="List Bullet 4"/>
    <w:basedOn w:val="1"/>
    <w:qFormat/>
    <w:uiPriority w:val="0"/>
    <w:pPr>
      <w:tabs>
        <w:tab w:val="left" w:pos="1620"/>
      </w:tabs>
      <w:spacing w:line="240" w:lineRule="auto"/>
      <w:ind w:left="1620" w:hanging="360"/>
    </w:pPr>
    <w:rPr>
      <w:rFonts w:ascii="Times New Roman" w:hAnsi="Times New Roman" w:eastAsia="宋体" w:cs="Times New Roman"/>
      <w:sz w:val="24"/>
      <w:szCs w:val="20"/>
    </w:rPr>
  </w:style>
  <w:style w:type="paragraph" w:styleId="20">
    <w:name w:val="index 8"/>
    <w:basedOn w:val="1"/>
    <w:next w:val="1"/>
    <w:qFormat/>
    <w:uiPriority w:val="0"/>
    <w:pPr>
      <w:spacing w:line="240" w:lineRule="auto"/>
      <w:ind w:left="1400" w:leftChars="1400"/>
    </w:pPr>
    <w:rPr>
      <w:rFonts w:ascii="Times New Roman" w:hAnsi="Times New Roman" w:eastAsia="宋体" w:cs="Times New Roman"/>
      <w:szCs w:val="24"/>
    </w:rPr>
  </w:style>
  <w:style w:type="paragraph" w:styleId="21">
    <w:name w:val="E-mail Signature"/>
    <w:basedOn w:val="1"/>
    <w:link w:val="121"/>
    <w:qFormat/>
    <w:uiPriority w:val="0"/>
    <w:pPr>
      <w:widowControl/>
      <w:spacing w:line="520" w:lineRule="exact"/>
      <w:ind w:firstLine="700" w:firstLineChars="250"/>
      <w:jc w:val="left"/>
    </w:pPr>
    <w:rPr>
      <w:rFonts w:ascii="Verdana" w:hAnsi="Verdana"/>
      <w:sz w:val="32"/>
    </w:rPr>
  </w:style>
  <w:style w:type="paragraph" w:styleId="22">
    <w:name w:val="List Number"/>
    <w:basedOn w:val="1"/>
    <w:qFormat/>
    <w:uiPriority w:val="0"/>
    <w:pPr>
      <w:widowControl/>
      <w:tabs>
        <w:tab w:val="left" w:pos="360"/>
      </w:tabs>
      <w:spacing w:line="240" w:lineRule="auto"/>
      <w:ind w:left="360" w:hanging="360"/>
      <w:jc w:val="left"/>
    </w:pPr>
    <w:rPr>
      <w:rFonts w:ascii="宋体" w:hAnsi="Times New Roman" w:eastAsia="宋体" w:cs="Times New Roman"/>
      <w:kern w:val="28"/>
      <w:sz w:val="24"/>
      <w:szCs w:val="20"/>
    </w:rPr>
  </w:style>
  <w:style w:type="paragraph" w:styleId="23">
    <w:name w:val="Normal Indent"/>
    <w:basedOn w:val="1"/>
    <w:link w:val="122"/>
    <w:qFormat/>
    <w:uiPriority w:val="0"/>
    <w:pPr>
      <w:ind w:firstLine="420" w:firstLineChars="200"/>
    </w:pPr>
    <w:rPr>
      <w:rFonts w:ascii="Times New Roman" w:hAnsi="Times New Roman" w:eastAsia="宋体" w:cs="Times New Roman"/>
      <w:sz w:val="24"/>
      <w:szCs w:val="24"/>
    </w:rPr>
  </w:style>
  <w:style w:type="paragraph" w:styleId="24">
    <w:name w:val="caption"/>
    <w:basedOn w:val="1"/>
    <w:next w:val="1"/>
    <w:link w:val="123"/>
    <w:unhideWhenUsed/>
    <w:qFormat/>
    <w:uiPriority w:val="0"/>
    <w:pPr>
      <w:jc w:val="center"/>
      <w:outlineLvl w:val="5"/>
    </w:pPr>
    <w:rPr>
      <w:rFonts w:ascii="Times New Roman" w:hAnsi="Times New Roman" w:eastAsia="宋体" w:cstheme="majorBidi"/>
      <w:b/>
      <w:szCs w:val="20"/>
    </w:rPr>
  </w:style>
  <w:style w:type="paragraph" w:styleId="25">
    <w:name w:val="index 5"/>
    <w:basedOn w:val="1"/>
    <w:next w:val="1"/>
    <w:qFormat/>
    <w:uiPriority w:val="0"/>
    <w:pPr>
      <w:spacing w:line="240" w:lineRule="auto"/>
      <w:ind w:left="800" w:leftChars="800"/>
    </w:pPr>
    <w:rPr>
      <w:rFonts w:ascii="Times New Roman" w:hAnsi="Times New Roman" w:eastAsia="宋体" w:cs="Times New Roman"/>
      <w:szCs w:val="24"/>
    </w:rPr>
  </w:style>
  <w:style w:type="paragraph" w:styleId="26">
    <w:name w:val="List Bullet"/>
    <w:basedOn w:val="1"/>
    <w:qFormat/>
    <w:uiPriority w:val="0"/>
    <w:pPr>
      <w:tabs>
        <w:tab w:val="left" w:pos="425"/>
      </w:tabs>
      <w:spacing w:beforeLines="50"/>
      <w:ind w:left="200" w:hanging="200" w:hangingChars="200"/>
      <w:jc w:val="left"/>
    </w:pPr>
    <w:rPr>
      <w:rFonts w:ascii="Times New Roman" w:hAnsi="Times New Roman" w:eastAsia="宋体" w:cs="Times New Roman"/>
      <w:sz w:val="24"/>
      <w:szCs w:val="20"/>
    </w:rPr>
  </w:style>
  <w:style w:type="paragraph" w:styleId="27">
    <w:name w:val="envelope address"/>
    <w:basedOn w:val="1"/>
    <w:qFormat/>
    <w:uiPriority w:val="0"/>
    <w:pPr>
      <w:widowControl/>
      <w:snapToGrid w:val="0"/>
      <w:spacing w:line="520" w:lineRule="exact"/>
      <w:ind w:left="100" w:leftChars="1400" w:firstLine="700" w:firstLineChars="250"/>
      <w:jc w:val="left"/>
    </w:pPr>
    <w:rPr>
      <w:rFonts w:ascii="Courier New" w:hAnsi="Courier New" w:eastAsia="宋体" w:cs="Courier New"/>
      <w:bCs/>
      <w:kern w:val="0"/>
      <w:sz w:val="24"/>
      <w:szCs w:val="24"/>
    </w:rPr>
  </w:style>
  <w:style w:type="paragraph" w:styleId="28">
    <w:name w:val="Document Map"/>
    <w:basedOn w:val="1"/>
    <w:link w:val="124"/>
    <w:unhideWhenUsed/>
    <w:qFormat/>
    <w:uiPriority w:val="99"/>
    <w:rPr>
      <w:rFonts w:ascii="宋体" w:eastAsia="宋体"/>
      <w:sz w:val="18"/>
      <w:szCs w:val="18"/>
    </w:rPr>
  </w:style>
  <w:style w:type="paragraph" w:styleId="29">
    <w:name w:val="toa heading"/>
    <w:basedOn w:val="1"/>
    <w:next w:val="1"/>
    <w:qFormat/>
    <w:uiPriority w:val="0"/>
    <w:pPr>
      <w:spacing w:before="120" w:line="480" w:lineRule="exact"/>
    </w:pPr>
    <w:rPr>
      <w:rFonts w:ascii="Arial" w:hAnsi="Arial" w:eastAsia="宋体" w:cs="Times New Roman"/>
      <w:b/>
      <w:bCs/>
      <w:sz w:val="24"/>
      <w:szCs w:val="24"/>
    </w:rPr>
  </w:style>
  <w:style w:type="paragraph" w:styleId="30">
    <w:name w:val="annotation text"/>
    <w:basedOn w:val="1"/>
    <w:link w:val="125"/>
    <w:qFormat/>
    <w:uiPriority w:val="0"/>
    <w:pPr>
      <w:ind w:firstLine="200" w:firstLineChars="200"/>
      <w:jc w:val="left"/>
    </w:pPr>
    <w:rPr>
      <w:rFonts w:ascii="Times New Roman" w:hAnsi="Times New Roman" w:eastAsia="宋体" w:cs="Times New Roman"/>
      <w:sz w:val="24"/>
      <w:szCs w:val="24"/>
    </w:rPr>
  </w:style>
  <w:style w:type="paragraph" w:styleId="31">
    <w:name w:val="index 6"/>
    <w:basedOn w:val="1"/>
    <w:next w:val="1"/>
    <w:qFormat/>
    <w:uiPriority w:val="0"/>
    <w:pPr>
      <w:spacing w:line="240" w:lineRule="auto"/>
      <w:ind w:left="1000" w:leftChars="1000"/>
    </w:pPr>
    <w:rPr>
      <w:rFonts w:ascii="Times New Roman" w:hAnsi="Times New Roman" w:eastAsia="宋体" w:cs="Times New Roman"/>
      <w:szCs w:val="24"/>
    </w:rPr>
  </w:style>
  <w:style w:type="paragraph" w:styleId="32">
    <w:name w:val="Salutation"/>
    <w:basedOn w:val="1"/>
    <w:next w:val="1"/>
    <w:link w:val="126"/>
    <w:qFormat/>
    <w:uiPriority w:val="0"/>
    <w:pPr>
      <w:widowControl/>
      <w:spacing w:line="240" w:lineRule="auto"/>
      <w:jc w:val="left"/>
    </w:pPr>
    <w:rPr>
      <w:sz w:val="24"/>
    </w:rPr>
  </w:style>
  <w:style w:type="paragraph" w:styleId="33">
    <w:name w:val="Body Text 3"/>
    <w:basedOn w:val="1"/>
    <w:link w:val="127"/>
    <w:semiHidden/>
    <w:qFormat/>
    <w:uiPriority w:val="0"/>
    <w:pPr>
      <w:ind w:firstLine="200" w:firstLineChars="200"/>
    </w:pPr>
    <w:rPr>
      <w:rFonts w:ascii="Times New Roman" w:hAnsi="Times New Roman" w:eastAsia="宋体" w:cs="Times New Roman"/>
      <w:b/>
      <w:bCs/>
      <w:sz w:val="24"/>
      <w:szCs w:val="24"/>
    </w:rPr>
  </w:style>
  <w:style w:type="paragraph" w:styleId="34">
    <w:name w:val="Closing"/>
    <w:basedOn w:val="1"/>
    <w:link w:val="128"/>
    <w:qFormat/>
    <w:uiPriority w:val="0"/>
    <w:pPr>
      <w:widowControl/>
      <w:spacing w:line="240" w:lineRule="auto"/>
      <w:ind w:left="100" w:leftChars="2100"/>
      <w:jc w:val="left"/>
    </w:pPr>
    <w:rPr>
      <w:rFonts w:ascii="仿宋_GB2312" w:eastAsia="仿宋_GB2312"/>
      <w:sz w:val="24"/>
    </w:rPr>
  </w:style>
  <w:style w:type="paragraph" w:styleId="35">
    <w:name w:val="List Bullet 3"/>
    <w:basedOn w:val="1"/>
    <w:qFormat/>
    <w:uiPriority w:val="0"/>
    <w:pPr>
      <w:tabs>
        <w:tab w:val="left" w:pos="1200"/>
      </w:tabs>
      <w:spacing w:line="240" w:lineRule="auto"/>
      <w:ind w:left="1200" w:hanging="360"/>
    </w:pPr>
    <w:rPr>
      <w:rFonts w:ascii="Times New Roman" w:hAnsi="Times New Roman" w:eastAsia="宋体" w:cs="Times New Roman"/>
      <w:sz w:val="24"/>
      <w:szCs w:val="20"/>
    </w:rPr>
  </w:style>
  <w:style w:type="paragraph" w:styleId="36">
    <w:name w:val="Body Text"/>
    <w:basedOn w:val="1"/>
    <w:link w:val="129"/>
    <w:unhideWhenUsed/>
    <w:qFormat/>
    <w:uiPriority w:val="0"/>
    <w:pPr>
      <w:spacing w:after="120"/>
    </w:pPr>
  </w:style>
  <w:style w:type="paragraph" w:styleId="37">
    <w:name w:val="List Number 3"/>
    <w:basedOn w:val="1"/>
    <w:qFormat/>
    <w:uiPriority w:val="0"/>
    <w:pPr>
      <w:widowControl/>
      <w:tabs>
        <w:tab w:val="left" w:pos="1200"/>
      </w:tabs>
      <w:spacing w:line="520" w:lineRule="exact"/>
      <w:ind w:left="1200" w:leftChars="400" w:hanging="360" w:hangingChars="200"/>
      <w:jc w:val="left"/>
    </w:pPr>
    <w:rPr>
      <w:rFonts w:ascii="Verdana" w:hAnsi="Verdana" w:eastAsia="宋体" w:cs="Verdana"/>
      <w:bCs/>
      <w:kern w:val="0"/>
      <w:sz w:val="28"/>
      <w:szCs w:val="32"/>
    </w:rPr>
  </w:style>
  <w:style w:type="paragraph" w:styleId="38">
    <w:name w:val="List 2"/>
    <w:basedOn w:val="1"/>
    <w:qFormat/>
    <w:uiPriority w:val="0"/>
    <w:pPr>
      <w:adjustRightInd w:val="0"/>
      <w:spacing w:beforeLines="50"/>
      <w:ind w:left="840" w:hanging="420"/>
      <w:textAlignment w:val="baseline"/>
    </w:pPr>
    <w:rPr>
      <w:rFonts w:ascii="Times New Roman" w:hAnsi="Times New Roman" w:eastAsia="宋体" w:cs="Times New Roman"/>
      <w:kern w:val="0"/>
      <w:sz w:val="24"/>
      <w:szCs w:val="20"/>
    </w:rPr>
  </w:style>
  <w:style w:type="paragraph" w:styleId="39">
    <w:name w:val="List Continue"/>
    <w:basedOn w:val="1"/>
    <w:qFormat/>
    <w:uiPriority w:val="0"/>
    <w:pPr>
      <w:spacing w:after="120" w:line="240" w:lineRule="auto"/>
      <w:ind w:left="420" w:leftChars="200"/>
    </w:pPr>
    <w:rPr>
      <w:rFonts w:ascii="Times New Roman" w:hAnsi="Times New Roman" w:eastAsia="宋体" w:cs="Times New Roman"/>
      <w:szCs w:val="24"/>
    </w:rPr>
  </w:style>
  <w:style w:type="paragraph" w:styleId="40">
    <w:name w:val="Block Text"/>
    <w:basedOn w:val="1"/>
    <w:qFormat/>
    <w:uiPriority w:val="0"/>
    <w:pPr>
      <w:spacing w:after="120" w:line="440" w:lineRule="exact"/>
      <w:ind w:left="1440" w:leftChars="700" w:right="1440" w:rightChars="700" w:firstLine="200" w:firstLineChars="200"/>
    </w:pPr>
    <w:rPr>
      <w:rFonts w:ascii="Times New Roman" w:hAnsi="Times New Roman" w:eastAsia="宋体" w:cs="Times New Roman"/>
      <w:sz w:val="24"/>
    </w:rPr>
  </w:style>
  <w:style w:type="paragraph" w:styleId="41">
    <w:name w:val="List Bullet 2"/>
    <w:basedOn w:val="1"/>
    <w:qFormat/>
    <w:uiPriority w:val="0"/>
    <w:pPr>
      <w:tabs>
        <w:tab w:val="left" w:pos="780"/>
      </w:tabs>
      <w:spacing w:line="240" w:lineRule="auto"/>
      <w:ind w:left="780" w:hanging="360"/>
    </w:pPr>
    <w:rPr>
      <w:rFonts w:ascii="Times New Roman" w:hAnsi="Times New Roman" w:eastAsia="宋体" w:cs="Times New Roman"/>
      <w:sz w:val="24"/>
      <w:szCs w:val="20"/>
    </w:rPr>
  </w:style>
  <w:style w:type="paragraph" w:styleId="42">
    <w:name w:val="HTML Address"/>
    <w:basedOn w:val="1"/>
    <w:link w:val="131"/>
    <w:qFormat/>
    <w:uiPriority w:val="0"/>
    <w:pPr>
      <w:widowControl/>
      <w:spacing w:line="520" w:lineRule="exact"/>
      <w:ind w:firstLine="700" w:firstLineChars="250"/>
      <w:jc w:val="left"/>
    </w:pPr>
    <w:rPr>
      <w:rFonts w:ascii="Verdana" w:hAnsi="Verdana"/>
      <w:i/>
      <w:sz w:val="32"/>
    </w:rPr>
  </w:style>
  <w:style w:type="paragraph" w:styleId="43">
    <w:name w:val="index 4"/>
    <w:basedOn w:val="1"/>
    <w:next w:val="1"/>
    <w:qFormat/>
    <w:uiPriority w:val="0"/>
    <w:pPr>
      <w:spacing w:line="240" w:lineRule="auto"/>
      <w:ind w:left="600" w:leftChars="600"/>
    </w:pPr>
    <w:rPr>
      <w:rFonts w:ascii="Times New Roman" w:hAnsi="Times New Roman" w:eastAsia="宋体" w:cs="Times New Roman"/>
      <w:szCs w:val="24"/>
    </w:rPr>
  </w:style>
  <w:style w:type="paragraph" w:styleId="44">
    <w:name w:val="toc 5"/>
    <w:basedOn w:val="1"/>
    <w:next w:val="1"/>
    <w:qFormat/>
    <w:uiPriority w:val="39"/>
    <w:pPr>
      <w:ind w:left="840"/>
      <w:jc w:val="left"/>
    </w:pPr>
    <w:rPr>
      <w:rFonts w:cstheme="minorHAnsi"/>
      <w:sz w:val="18"/>
      <w:szCs w:val="18"/>
    </w:rPr>
  </w:style>
  <w:style w:type="paragraph" w:styleId="45">
    <w:name w:val="toc 3"/>
    <w:basedOn w:val="1"/>
    <w:next w:val="1"/>
    <w:qFormat/>
    <w:uiPriority w:val="39"/>
    <w:pPr>
      <w:ind w:left="420"/>
      <w:jc w:val="left"/>
    </w:pPr>
    <w:rPr>
      <w:rFonts w:cstheme="minorHAnsi"/>
      <w:i/>
      <w:iCs/>
      <w:sz w:val="20"/>
      <w:szCs w:val="20"/>
    </w:rPr>
  </w:style>
  <w:style w:type="paragraph" w:styleId="46">
    <w:name w:val="Plain Text"/>
    <w:basedOn w:val="1"/>
    <w:link w:val="132"/>
    <w:qFormat/>
    <w:uiPriority w:val="0"/>
    <w:pPr>
      <w:ind w:firstLine="200" w:firstLineChars="200"/>
    </w:pPr>
    <w:rPr>
      <w:rFonts w:ascii="宋体" w:hAnsi="Courier New" w:eastAsia="宋体" w:cs="Times New Roman"/>
      <w:sz w:val="24"/>
      <w:szCs w:val="24"/>
    </w:rPr>
  </w:style>
  <w:style w:type="paragraph" w:styleId="47">
    <w:name w:val="List Bullet 5"/>
    <w:basedOn w:val="1"/>
    <w:qFormat/>
    <w:uiPriority w:val="0"/>
    <w:pPr>
      <w:tabs>
        <w:tab w:val="left" w:pos="2040"/>
      </w:tabs>
      <w:spacing w:line="240" w:lineRule="auto"/>
      <w:ind w:left="2040" w:leftChars="800" w:hanging="360" w:hangingChars="200"/>
    </w:pPr>
    <w:rPr>
      <w:rFonts w:ascii="Times New Roman" w:hAnsi="Times New Roman" w:eastAsia="宋体" w:cs="Times New Roman"/>
      <w:szCs w:val="24"/>
    </w:rPr>
  </w:style>
  <w:style w:type="paragraph" w:styleId="48">
    <w:name w:val="List Number 4"/>
    <w:basedOn w:val="1"/>
    <w:qFormat/>
    <w:uiPriority w:val="0"/>
    <w:pPr>
      <w:tabs>
        <w:tab w:val="left" w:pos="1620"/>
      </w:tabs>
      <w:spacing w:line="240" w:lineRule="auto"/>
      <w:ind w:left="1620" w:leftChars="600" w:hanging="360" w:hangingChars="200"/>
    </w:pPr>
    <w:rPr>
      <w:rFonts w:ascii="Times New Roman" w:hAnsi="Times New Roman" w:eastAsia="宋体" w:cs="Times New Roman"/>
      <w:szCs w:val="24"/>
    </w:rPr>
  </w:style>
  <w:style w:type="paragraph" w:styleId="49">
    <w:name w:val="toc 8"/>
    <w:basedOn w:val="1"/>
    <w:next w:val="1"/>
    <w:qFormat/>
    <w:uiPriority w:val="39"/>
    <w:pPr>
      <w:ind w:left="1470"/>
      <w:jc w:val="left"/>
    </w:pPr>
    <w:rPr>
      <w:rFonts w:cstheme="minorHAnsi"/>
      <w:sz w:val="18"/>
      <w:szCs w:val="18"/>
    </w:rPr>
  </w:style>
  <w:style w:type="paragraph" w:styleId="50">
    <w:name w:val="index 3"/>
    <w:basedOn w:val="1"/>
    <w:next w:val="1"/>
    <w:qFormat/>
    <w:uiPriority w:val="0"/>
    <w:pPr>
      <w:spacing w:line="240" w:lineRule="auto"/>
      <w:ind w:left="400" w:leftChars="400"/>
    </w:pPr>
    <w:rPr>
      <w:rFonts w:ascii="Times New Roman" w:hAnsi="Times New Roman" w:eastAsia="宋体" w:cs="Times New Roman"/>
      <w:szCs w:val="24"/>
    </w:rPr>
  </w:style>
  <w:style w:type="paragraph" w:styleId="51">
    <w:name w:val="Date"/>
    <w:basedOn w:val="1"/>
    <w:next w:val="1"/>
    <w:link w:val="133"/>
    <w:qFormat/>
    <w:uiPriority w:val="0"/>
    <w:pPr>
      <w:ind w:left="100" w:leftChars="2500" w:firstLine="200" w:firstLineChars="200"/>
    </w:pPr>
    <w:rPr>
      <w:rFonts w:ascii="Times New Roman" w:hAnsi="Times New Roman" w:eastAsia="宋体" w:cs="Times New Roman"/>
      <w:sz w:val="24"/>
      <w:szCs w:val="24"/>
    </w:rPr>
  </w:style>
  <w:style w:type="paragraph" w:styleId="52">
    <w:name w:val="Body Text Indent 2"/>
    <w:basedOn w:val="1"/>
    <w:link w:val="134"/>
    <w:semiHidden/>
    <w:qFormat/>
    <w:uiPriority w:val="0"/>
    <w:pPr>
      <w:ind w:firstLine="560" w:firstLineChars="200"/>
    </w:pPr>
    <w:rPr>
      <w:rFonts w:ascii="仿宋_GB2312" w:hAnsi="Times New Roman" w:eastAsia="仿宋_GB2312" w:cs="Times New Roman"/>
      <w:sz w:val="28"/>
      <w:szCs w:val="24"/>
    </w:rPr>
  </w:style>
  <w:style w:type="paragraph" w:styleId="53">
    <w:name w:val="endnote text"/>
    <w:basedOn w:val="1"/>
    <w:link w:val="135"/>
    <w:qFormat/>
    <w:uiPriority w:val="0"/>
    <w:pPr>
      <w:autoSpaceDE w:val="0"/>
      <w:autoSpaceDN w:val="0"/>
      <w:adjustRightInd w:val="0"/>
      <w:snapToGrid w:val="0"/>
      <w:spacing w:line="312" w:lineRule="auto"/>
      <w:ind w:firstLine="482"/>
      <w:jc w:val="left"/>
      <w:textAlignment w:val="baseline"/>
    </w:pPr>
    <w:rPr>
      <w:rFonts w:ascii="Times New Roman" w:hAnsi="Times New Roman" w:eastAsia="宋体" w:cs="Times New Roman"/>
      <w:kern w:val="0"/>
      <w:sz w:val="24"/>
      <w:szCs w:val="20"/>
    </w:rPr>
  </w:style>
  <w:style w:type="paragraph" w:styleId="54">
    <w:name w:val="List Continue 5"/>
    <w:basedOn w:val="1"/>
    <w:qFormat/>
    <w:uiPriority w:val="0"/>
    <w:pPr>
      <w:widowControl/>
      <w:spacing w:after="120" w:line="520" w:lineRule="exact"/>
      <w:ind w:left="2100" w:leftChars="1000" w:firstLine="700" w:firstLineChars="250"/>
      <w:jc w:val="left"/>
    </w:pPr>
    <w:rPr>
      <w:rFonts w:ascii="Verdana" w:hAnsi="Verdana" w:eastAsia="宋体" w:cs="Verdana"/>
      <w:bCs/>
      <w:kern w:val="0"/>
      <w:sz w:val="28"/>
      <w:szCs w:val="32"/>
    </w:rPr>
  </w:style>
  <w:style w:type="paragraph" w:styleId="55">
    <w:name w:val="Balloon Text"/>
    <w:basedOn w:val="1"/>
    <w:link w:val="136"/>
    <w:unhideWhenUsed/>
    <w:qFormat/>
    <w:uiPriority w:val="99"/>
    <w:pPr>
      <w:spacing w:line="240" w:lineRule="auto"/>
    </w:pPr>
    <w:rPr>
      <w:sz w:val="18"/>
      <w:szCs w:val="18"/>
    </w:rPr>
  </w:style>
  <w:style w:type="paragraph" w:styleId="56">
    <w:name w:val="footer"/>
    <w:basedOn w:val="1"/>
    <w:link w:val="137"/>
    <w:unhideWhenUsed/>
    <w:qFormat/>
    <w:uiPriority w:val="99"/>
    <w:pPr>
      <w:tabs>
        <w:tab w:val="center" w:pos="4153"/>
        <w:tab w:val="right" w:pos="8306"/>
      </w:tabs>
      <w:snapToGrid w:val="0"/>
      <w:spacing w:line="240" w:lineRule="auto"/>
      <w:jc w:val="left"/>
    </w:pPr>
    <w:rPr>
      <w:sz w:val="18"/>
      <w:szCs w:val="18"/>
    </w:rPr>
  </w:style>
  <w:style w:type="paragraph" w:styleId="57">
    <w:name w:val="envelope return"/>
    <w:basedOn w:val="1"/>
    <w:qFormat/>
    <w:uiPriority w:val="0"/>
    <w:pPr>
      <w:widowControl/>
      <w:snapToGrid w:val="0"/>
      <w:spacing w:line="520" w:lineRule="exact"/>
      <w:ind w:firstLine="700" w:firstLineChars="250"/>
      <w:jc w:val="left"/>
    </w:pPr>
    <w:rPr>
      <w:rFonts w:ascii="Courier New" w:hAnsi="Courier New" w:eastAsia="宋体" w:cs="Courier New"/>
      <w:bCs/>
      <w:kern w:val="0"/>
      <w:sz w:val="28"/>
      <w:szCs w:val="32"/>
    </w:rPr>
  </w:style>
  <w:style w:type="paragraph" w:styleId="58">
    <w:name w:val="header"/>
    <w:basedOn w:val="1"/>
    <w:link w:val="13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9">
    <w:name w:val="Signature"/>
    <w:basedOn w:val="1"/>
    <w:link w:val="139"/>
    <w:qFormat/>
    <w:uiPriority w:val="0"/>
    <w:pPr>
      <w:spacing w:line="240" w:lineRule="auto"/>
      <w:ind w:left="100" w:leftChars="2100"/>
    </w:pPr>
  </w:style>
  <w:style w:type="paragraph" w:styleId="60">
    <w:name w:val="toc 1"/>
    <w:basedOn w:val="1"/>
    <w:next w:val="1"/>
    <w:qFormat/>
    <w:uiPriority w:val="39"/>
    <w:pPr>
      <w:spacing w:before="120" w:after="120"/>
      <w:jc w:val="left"/>
    </w:pPr>
    <w:rPr>
      <w:rFonts w:cstheme="minorHAnsi"/>
      <w:b/>
      <w:bCs/>
      <w:caps/>
      <w:sz w:val="20"/>
      <w:szCs w:val="20"/>
    </w:rPr>
  </w:style>
  <w:style w:type="paragraph" w:styleId="61">
    <w:name w:val="List Continue 4"/>
    <w:basedOn w:val="1"/>
    <w:qFormat/>
    <w:uiPriority w:val="0"/>
    <w:pPr>
      <w:widowControl/>
      <w:spacing w:after="120" w:line="520" w:lineRule="exact"/>
      <w:ind w:left="1680" w:leftChars="800" w:firstLine="700" w:firstLineChars="250"/>
      <w:jc w:val="left"/>
    </w:pPr>
    <w:rPr>
      <w:rFonts w:ascii="Verdana" w:hAnsi="Verdana" w:eastAsia="宋体" w:cs="Verdana"/>
      <w:bCs/>
      <w:kern w:val="0"/>
      <w:sz w:val="28"/>
      <w:szCs w:val="32"/>
    </w:rPr>
  </w:style>
  <w:style w:type="paragraph" w:styleId="62">
    <w:name w:val="toc 4"/>
    <w:basedOn w:val="1"/>
    <w:next w:val="1"/>
    <w:qFormat/>
    <w:uiPriority w:val="39"/>
    <w:pPr>
      <w:ind w:left="630"/>
      <w:jc w:val="left"/>
    </w:pPr>
    <w:rPr>
      <w:rFonts w:cstheme="minorHAnsi"/>
      <w:sz w:val="18"/>
      <w:szCs w:val="18"/>
    </w:rPr>
  </w:style>
  <w:style w:type="paragraph" w:styleId="63">
    <w:name w:val="index heading"/>
    <w:basedOn w:val="1"/>
    <w:next w:val="64"/>
    <w:qFormat/>
    <w:uiPriority w:val="0"/>
    <w:pPr>
      <w:spacing w:line="240" w:lineRule="auto"/>
    </w:pPr>
    <w:rPr>
      <w:rFonts w:ascii="Times New Roman" w:hAnsi="Times New Roman" w:eastAsia="宋体" w:cs="Times New Roman"/>
      <w:szCs w:val="24"/>
    </w:rPr>
  </w:style>
  <w:style w:type="paragraph" w:styleId="64">
    <w:name w:val="index 1"/>
    <w:basedOn w:val="1"/>
    <w:next w:val="1"/>
    <w:qFormat/>
    <w:uiPriority w:val="0"/>
    <w:pPr>
      <w:spacing w:line="240" w:lineRule="auto"/>
      <w:jc w:val="center"/>
    </w:pPr>
    <w:rPr>
      <w:rFonts w:ascii="Times New Roman" w:hAnsi="Times New Roman" w:eastAsia="宋体" w:cs="Times New Roman"/>
      <w:szCs w:val="24"/>
    </w:rPr>
  </w:style>
  <w:style w:type="paragraph" w:styleId="65">
    <w:name w:val="Subtitle"/>
    <w:basedOn w:val="1"/>
    <w:next w:val="1"/>
    <w:link w:val="140"/>
    <w:qFormat/>
    <w:uiPriority w:val="0"/>
    <w:pPr>
      <w:spacing w:before="240" w:after="60" w:line="312" w:lineRule="auto"/>
      <w:jc w:val="center"/>
      <w:outlineLvl w:val="1"/>
    </w:pPr>
    <w:rPr>
      <w:rFonts w:ascii="Cambria" w:hAnsi="Cambria"/>
      <w:b/>
      <w:kern w:val="28"/>
      <w:sz w:val="32"/>
    </w:rPr>
  </w:style>
  <w:style w:type="paragraph" w:styleId="66">
    <w:name w:val="List Number 5"/>
    <w:basedOn w:val="1"/>
    <w:qFormat/>
    <w:uiPriority w:val="0"/>
    <w:pPr>
      <w:tabs>
        <w:tab w:val="left" w:pos="2040"/>
      </w:tabs>
      <w:spacing w:line="240" w:lineRule="auto"/>
      <w:ind w:left="2040" w:leftChars="800" w:hanging="360" w:hangingChars="200"/>
    </w:pPr>
    <w:rPr>
      <w:rFonts w:ascii="Times New Roman" w:hAnsi="Times New Roman" w:eastAsia="宋体" w:cs="Times New Roman"/>
      <w:szCs w:val="24"/>
    </w:rPr>
  </w:style>
  <w:style w:type="paragraph" w:styleId="67">
    <w:name w:val="List"/>
    <w:basedOn w:val="1"/>
    <w:link w:val="141"/>
    <w:qFormat/>
    <w:uiPriority w:val="0"/>
    <w:pPr>
      <w:adjustRightInd w:val="0"/>
      <w:spacing w:beforeLines="50"/>
      <w:ind w:left="420" w:hanging="420"/>
      <w:textAlignment w:val="baseline"/>
    </w:pPr>
    <w:rPr>
      <w:rFonts w:ascii="Times New Roman" w:hAnsi="Times New Roman" w:eastAsia="宋体" w:cs="Times New Roman"/>
      <w:kern w:val="0"/>
      <w:sz w:val="24"/>
      <w:szCs w:val="20"/>
    </w:rPr>
  </w:style>
  <w:style w:type="paragraph" w:styleId="68">
    <w:name w:val="footnote text"/>
    <w:basedOn w:val="1"/>
    <w:link w:val="142"/>
    <w:qFormat/>
    <w:uiPriority w:val="0"/>
    <w:pPr>
      <w:snapToGrid w:val="0"/>
      <w:spacing w:line="240" w:lineRule="auto"/>
      <w:jc w:val="left"/>
    </w:pPr>
    <w:rPr>
      <w:sz w:val="18"/>
      <w:szCs w:val="18"/>
    </w:rPr>
  </w:style>
  <w:style w:type="paragraph" w:styleId="69">
    <w:name w:val="toc 6"/>
    <w:basedOn w:val="1"/>
    <w:next w:val="1"/>
    <w:qFormat/>
    <w:uiPriority w:val="39"/>
    <w:pPr>
      <w:ind w:left="1050"/>
      <w:jc w:val="left"/>
    </w:pPr>
    <w:rPr>
      <w:rFonts w:cstheme="minorHAnsi"/>
      <w:sz w:val="18"/>
      <w:szCs w:val="18"/>
    </w:rPr>
  </w:style>
  <w:style w:type="paragraph" w:styleId="70">
    <w:name w:val="List 5"/>
    <w:basedOn w:val="1"/>
    <w:qFormat/>
    <w:uiPriority w:val="0"/>
    <w:pPr>
      <w:adjustRightInd w:val="0"/>
      <w:spacing w:beforeLines="50"/>
      <w:ind w:left="2100" w:hanging="420"/>
      <w:textAlignment w:val="baseline"/>
    </w:pPr>
    <w:rPr>
      <w:rFonts w:ascii="Times New Roman" w:hAnsi="Times New Roman" w:eastAsia="宋体" w:cs="Times New Roman"/>
      <w:kern w:val="0"/>
      <w:sz w:val="24"/>
      <w:szCs w:val="20"/>
    </w:rPr>
  </w:style>
  <w:style w:type="paragraph" w:styleId="71">
    <w:name w:val="Body Text Indent 3"/>
    <w:basedOn w:val="1"/>
    <w:link w:val="143"/>
    <w:semiHidden/>
    <w:qFormat/>
    <w:uiPriority w:val="0"/>
    <w:pPr>
      <w:spacing w:line="440" w:lineRule="exact"/>
      <w:ind w:left="200" w:firstLine="480" w:firstLineChars="200"/>
    </w:pPr>
    <w:rPr>
      <w:rFonts w:ascii="Times New Roman" w:hAnsi="Times New Roman" w:eastAsia="宋体" w:cs="Times New Roman"/>
      <w:sz w:val="24"/>
      <w:szCs w:val="24"/>
    </w:rPr>
  </w:style>
  <w:style w:type="paragraph" w:styleId="72">
    <w:name w:val="index 7"/>
    <w:basedOn w:val="1"/>
    <w:next w:val="1"/>
    <w:qFormat/>
    <w:uiPriority w:val="0"/>
    <w:pPr>
      <w:spacing w:line="240" w:lineRule="auto"/>
      <w:ind w:left="1200" w:leftChars="1200"/>
    </w:pPr>
    <w:rPr>
      <w:rFonts w:ascii="Times New Roman" w:hAnsi="Times New Roman" w:eastAsia="宋体" w:cs="Times New Roman"/>
      <w:szCs w:val="24"/>
    </w:rPr>
  </w:style>
  <w:style w:type="paragraph" w:styleId="73">
    <w:name w:val="index 9"/>
    <w:basedOn w:val="1"/>
    <w:next w:val="1"/>
    <w:qFormat/>
    <w:uiPriority w:val="0"/>
    <w:pPr>
      <w:spacing w:line="240" w:lineRule="auto"/>
      <w:ind w:left="1600" w:leftChars="1600"/>
    </w:pPr>
    <w:rPr>
      <w:rFonts w:ascii="Times New Roman" w:hAnsi="Times New Roman" w:eastAsia="宋体" w:cs="Times New Roman"/>
      <w:szCs w:val="24"/>
    </w:rPr>
  </w:style>
  <w:style w:type="paragraph" w:styleId="74">
    <w:name w:val="table of figures"/>
    <w:basedOn w:val="1"/>
    <w:next w:val="1"/>
    <w:qFormat/>
    <w:uiPriority w:val="0"/>
    <w:pPr>
      <w:adjustRightInd w:val="0"/>
      <w:spacing w:line="312" w:lineRule="atLeast"/>
      <w:ind w:left="840" w:leftChars="200" w:hanging="420" w:hangingChars="200"/>
      <w:textAlignment w:val="baseline"/>
    </w:pPr>
    <w:rPr>
      <w:rFonts w:ascii="Times New Roman" w:hAnsi="Times New Roman" w:eastAsia="宋体" w:cs="Times New Roman"/>
      <w:kern w:val="0"/>
      <w:szCs w:val="20"/>
    </w:rPr>
  </w:style>
  <w:style w:type="paragraph" w:styleId="75">
    <w:name w:val="toc 2"/>
    <w:basedOn w:val="1"/>
    <w:next w:val="1"/>
    <w:qFormat/>
    <w:uiPriority w:val="39"/>
    <w:pPr>
      <w:ind w:left="210"/>
      <w:jc w:val="left"/>
    </w:pPr>
    <w:rPr>
      <w:rFonts w:cstheme="minorHAnsi"/>
      <w:smallCaps/>
      <w:sz w:val="20"/>
      <w:szCs w:val="20"/>
    </w:rPr>
  </w:style>
  <w:style w:type="paragraph" w:styleId="76">
    <w:name w:val="toc 9"/>
    <w:basedOn w:val="1"/>
    <w:next w:val="1"/>
    <w:qFormat/>
    <w:uiPriority w:val="39"/>
    <w:pPr>
      <w:ind w:left="1680"/>
      <w:jc w:val="left"/>
    </w:pPr>
    <w:rPr>
      <w:rFonts w:cstheme="minorHAnsi"/>
      <w:sz w:val="18"/>
      <w:szCs w:val="18"/>
    </w:rPr>
  </w:style>
  <w:style w:type="paragraph" w:styleId="77">
    <w:name w:val="Body Text 2"/>
    <w:basedOn w:val="1"/>
    <w:link w:val="144"/>
    <w:semiHidden/>
    <w:qFormat/>
    <w:uiPriority w:val="0"/>
    <w:pPr>
      <w:ind w:firstLine="200" w:firstLineChars="200"/>
      <w:jc w:val="center"/>
    </w:pPr>
    <w:rPr>
      <w:rFonts w:ascii="Times New Roman" w:hAnsi="Times New Roman" w:eastAsia="宋体" w:cs="Times New Roman"/>
      <w:sz w:val="24"/>
      <w:szCs w:val="24"/>
    </w:rPr>
  </w:style>
  <w:style w:type="paragraph" w:styleId="78">
    <w:name w:val="List 4"/>
    <w:basedOn w:val="1"/>
    <w:qFormat/>
    <w:uiPriority w:val="0"/>
    <w:pPr>
      <w:adjustRightInd w:val="0"/>
      <w:spacing w:beforeLines="50"/>
      <w:ind w:left="1680" w:hanging="420"/>
      <w:textAlignment w:val="baseline"/>
    </w:pPr>
    <w:rPr>
      <w:rFonts w:ascii="Times New Roman" w:hAnsi="Times New Roman" w:eastAsia="宋体" w:cs="Times New Roman"/>
      <w:kern w:val="0"/>
      <w:sz w:val="24"/>
      <w:szCs w:val="20"/>
    </w:rPr>
  </w:style>
  <w:style w:type="paragraph" w:styleId="79">
    <w:name w:val="List Continue 2"/>
    <w:basedOn w:val="1"/>
    <w:qFormat/>
    <w:uiPriority w:val="0"/>
    <w:pPr>
      <w:spacing w:after="120" w:line="240" w:lineRule="auto"/>
      <w:ind w:left="840" w:leftChars="400"/>
    </w:pPr>
    <w:rPr>
      <w:rFonts w:ascii="Times New Roman" w:hAnsi="Times New Roman" w:eastAsia="宋体" w:cs="Times New Roman"/>
      <w:szCs w:val="20"/>
    </w:rPr>
  </w:style>
  <w:style w:type="paragraph" w:styleId="80">
    <w:name w:val="Message Header"/>
    <w:basedOn w:val="1"/>
    <w:link w:val="145"/>
    <w:qFormat/>
    <w:uiPriority w:val="0"/>
    <w:pPr>
      <w:widowControl/>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jc w:val="left"/>
    </w:pPr>
    <w:rPr>
      <w:rFonts w:ascii="Courier New" w:hAnsi="Courier New"/>
      <w:sz w:val="24"/>
      <w:shd w:val="pct20" w:color="auto" w:fill="auto"/>
    </w:rPr>
  </w:style>
  <w:style w:type="paragraph" w:styleId="81">
    <w:name w:val="HTML Preformatted"/>
    <w:basedOn w:val="1"/>
    <w:link w:val="146"/>
    <w:qFormat/>
    <w:uiPriority w:val="0"/>
    <w:pPr>
      <w:spacing w:line="240" w:lineRule="auto"/>
    </w:pPr>
    <w:rPr>
      <w:rFonts w:ascii="Courier New" w:hAnsi="Courier New" w:eastAsia="宋体" w:cs="Courier New"/>
      <w:sz w:val="20"/>
      <w:szCs w:val="20"/>
    </w:rPr>
  </w:style>
  <w:style w:type="paragraph" w:styleId="82">
    <w:name w:val="Normal (Web)"/>
    <w:basedOn w:val="1"/>
    <w:link w:val="147"/>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83">
    <w:name w:val="List Continue 3"/>
    <w:basedOn w:val="1"/>
    <w:qFormat/>
    <w:uiPriority w:val="0"/>
    <w:pPr>
      <w:widowControl/>
      <w:spacing w:after="120" w:line="520" w:lineRule="exact"/>
      <w:ind w:left="1260" w:leftChars="600" w:firstLine="700" w:firstLineChars="250"/>
      <w:jc w:val="left"/>
    </w:pPr>
    <w:rPr>
      <w:rFonts w:ascii="Verdana" w:hAnsi="Verdana" w:eastAsia="宋体" w:cs="Verdana"/>
      <w:bCs/>
      <w:kern w:val="0"/>
      <w:sz w:val="28"/>
      <w:szCs w:val="32"/>
    </w:rPr>
  </w:style>
  <w:style w:type="paragraph" w:styleId="84">
    <w:name w:val="index 2"/>
    <w:basedOn w:val="1"/>
    <w:next w:val="1"/>
    <w:qFormat/>
    <w:uiPriority w:val="0"/>
    <w:pPr>
      <w:spacing w:line="240" w:lineRule="auto"/>
      <w:ind w:left="200" w:leftChars="200"/>
    </w:pPr>
    <w:rPr>
      <w:rFonts w:ascii="Times New Roman" w:hAnsi="Times New Roman" w:eastAsia="宋体" w:cs="Times New Roman"/>
      <w:szCs w:val="24"/>
    </w:rPr>
  </w:style>
  <w:style w:type="paragraph" w:styleId="85">
    <w:name w:val="Title"/>
    <w:basedOn w:val="1"/>
    <w:link w:val="148"/>
    <w:qFormat/>
    <w:uiPriority w:val="0"/>
    <w:pPr>
      <w:spacing w:before="240" w:after="60" w:line="240" w:lineRule="auto"/>
      <w:jc w:val="center"/>
      <w:outlineLvl w:val="0"/>
    </w:pPr>
    <w:rPr>
      <w:rFonts w:ascii="Arial" w:hAnsi="Arial" w:eastAsia="宋体" w:cs="Arial"/>
      <w:b/>
      <w:bCs/>
      <w:sz w:val="32"/>
      <w:szCs w:val="32"/>
    </w:rPr>
  </w:style>
  <w:style w:type="paragraph" w:styleId="86">
    <w:name w:val="annotation subject"/>
    <w:basedOn w:val="30"/>
    <w:next w:val="30"/>
    <w:link w:val="149"/>
    <w:semiHidden/>
    <w:qFormat/>
    <w:uiPriority w:val="0"/>
    <w:rPr>
      <w:b/>
      <w:bCs/>
    </w:rPr>
  </w:style>
  <w:style w:type="paragraph" w:styleId="87">
    <w:name w:val="Body Text First Indent"/>
    <w:basedOn w:val="36"/>
    <w:link w:val="150"/>
    <w:semiHidden/>
    <w:qFormat/>
    <w:uiPriority w:val="0"/>
    <w:pPr>
      <w:spacing w:line="240" w:lineRule="auto"/>
      <w:ind w:firstLine="420" w:firstLineChars="100"/>
    </w:pPr>
    <w:rPr>
      <w:rFonts w:ascii="Times New Roman" w:hAnsi="Times New Roman" w:eastAsia="宋体" w:cs="Times New Roman"/>
      <w:szCs w:val="24"/>
    </w:rPr>
  </w:style>
  <w:style w:type="table" w:styleId="89">
    <w:name w:val="Table Grid"/>
    <w:basedOn w:val="8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90">
    <w:name w:val="Table Theme"/>
    <w:basedOn w:val="88"/>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2">
    <w:name w:val="Strong"/>
    <w:qFormat/>
    <w:uiPriority w:val="22"/>
    <w:rPr>
      <w:b/>
      <w:bCs/>
    </w:rPr>
  </w:style>
  <w:style w:type="character" w:styleId="93">
    <w:name w:val="endnote reference"/>
    <w:qFormat/>
    <w:uiPriority w:val="0"/>
    <w:rPr>
      <w:vertAlign w:val="superscript"/>
    </w:rPr>
  </w:style>
  <w:style w:type="character" w:styleId="94">
    <w:name w:val="page number"/>
    <w:basedOn w:val="91"/>
    <w:semiHidden/>
    <w:qFormat/>
    <w:uiPriority w:val="0"/>
    <w:rPr>
      <w:rFonts w:eastAsia="宋体"/>
      <w:kern w:val="2"/>
      <w:sz w:val="24"/>
      <w:szCs w:val="24"/>
      <w:lang w:val="en-US" w:eastAsia="zh-CN" w:bidi="ar-SA"/>
    </w:rPr>
  </w:style>
  <w:style w:type="character" w:styleId="95">
    <w:name w:val="FollowedHyperlink"/>
    <w:semiHidden/>
    <w:qFormat/>
    <w:uiPriority w:val="99"/>
    <w:rPr>
      <w:color w:val="800080"/>
      <w:u w:val="single"/>
    </w:rPr>
  </w:style>
  <w:style w:type="character" w:styleId="96">
    <w:name w:val="Emphasis"/>
    <w:basedOn w:val="91"/>
    <w:qFormat/>
    <w:uiPriority w:val="20"/>
    <w:rPr>
      <w:i/>
      <w:iCs/>
    </w:rPr>
  </w:style>
  <w:style w:type="character" w:styleId="97">
    <w:name w:val="line number"/>
    <w:qFormat/>
    <w:uiPriority w:val="0"/>
  </w:style>
  <w:style w:type="character" w:styleId="98">
    <w:name w:val="HTML Definition"/>
    <w:qFormat/>
    <w:uiPriority w:val="0"/>
    <w:rPr>
      <w:rFonts w:ascii="Arial Black" w:hAnsi="Arial Black" w:eastAsia="Times New Roman"/>
      <w:i/>
      <w:kern w:val="2"/>
      <w:sz w:val="21"/>
      <w:szCs w:val="24"/>
      <w:lang w:val="en-US" w:eastAsia="en-US" w:bidi="ar-SA"/>
    </w:rPr>
  </w:style>
  <w:style w:type="character" w:styleId="99">
    <w:name w:val="HTML Typewriter"/>
    <w:qFormat/>
    <w:uiPriority w:val="0"/>
    <w:rPr>
      <w:rFonts w:ascii="宋体" w:hAnsi="宋体" w:eastAsia="宋体" w:cs="宋体"/>
      <w:sz w:val="24"/>
      <w:szCs w:val="24"/>
    </w:rPr>
  </w:style>
  <w:style w:type="character" w:styleId="100">
    <w:name w:val="HTML Acronym"/>
    <w:qFormat/>
    <w:uiPriority w:val="0"/>
    <w:rPr>
      <w:rFonts w:ascii="Arial Black" w:hAnsi="Arial Black" w:eastAsia="Times New Roman"/>
      <w:kern w:val="2"/>
      <w:sz w:val="21"/>
      <w:szCs w:val="24"/>
      <w:lang w:val="en-US" w:eastAsia="en-US" w:bidi="ar-SA"/>
    </w:rPr>
  </w:style>
  <w:style w:type="character" w:styleId="101">
    <w:name w:val="HTML Variable"/>
    <w:qFormat/>
    <w:uiPriority w:val="0"/>
    <w:rPr>
      <w:rFonts w:ascii="Arial Black" w:hAnsi="Arial Black" w:eastAsia="Times New Roman"/>
      <w:i/>
      <w:kern w:val="2"/>
      <w:sz w:val="21"/>
      <w:szCs w:val="24"/>
      <w:lang w:val="en-US" w:eastAsia="en-US" w:bidi="ar-SA"/>
    </w:rPr>
  </w:style>
  <w:style w:type="character" w:styleId="102">
    <w:name w:val="Hyperlink"/>
    <w:basedOn w:val="91"/>
    <w:unhideWhenUsed/>
    <w:qFormat/>
    <w:uiPriority w:val="99"/>
    <w:rPr>
      <w:color w:val="0000FF"/>
      <w:u w:val="single"/>
    </w:rPr>
  </w:style>
  <w:style w:type="character" w:styleId="103">
    <w:name w:val="HTML Code"/>
    <w:qFormat/>
    <w:uiPriority w:val="0"/>
    <w:rPr>
      <w:rFonts w:ascii="黑体" w:hAnsi="Courier New" w:eastAsia="黑体"/>
      <w:kern w:val="2"/>
      <w:sz w:val="24"/>
      <w:szCs w:val="24"/>
      <w:lang w:val="en-US" w:eastAsia="zh-CN" w:bidi="ar-SA"/>
    </w:rPr>
  </w:style>
  <w:style w:type="character" w:styleId="104">
    <w:name w:val="annotation reference"/>
    <w:qFormat/>
    <w:uiPriority w:val="0"/>
    <w:rPr>
      <w:rFonts w:eastAsia="宋体"/>
      <w:kern w:val="2"/>
      <w:sz w:val="21"/>
      <w:szCs w:val="21"/>
      <w:lang w:val="en-US" w:eastAsia="zh-CN" w:bidi="ar-SA"/>
    </w:rPr>
  </w:style>
  <w:style w:type="character" w:styleId="105">
    <w:name w:val="HTML Cite"/>
    <w:qFormat/>
    <w:uiPriority w:val="0"/>
    <w:rPr>
      <w:rFonts w:ascii="Arial Black" w:hAnsi="Arial Black" w:eastAsia="Times New Roman"/>
      <w:i/>
      <w:kern w:val="2"/>
      <w:sz w:val="21"/>
      <w:szCs w:val="24"/>
      <w:lang w:val="en-US" w:eastAsia="en-US" w:bidi="ar-SA"/>
    </w:rPr>
  </w:style>
  <w:style w:type="character" w:styleId="106">
    <w:name w:val="footnote reference"/>
    <w:qFormat/>
    <w:uiPriority w:val="0"/>
    <w:rPr>
      <w:vertAlign w:val="superscript"/>
    </w:rPr>
  </w:style>
  <w:style w:type="character" w:styleId="107">
    <w:name w:val="HTML Keyboard"/>
    <w:qFormat/>
    <w:uiPriority w:val="0"/>
    <w:rPr>
      <w:rFonts w:ascii="MHei-Medium" w:hAnsi="MHei-Medium" w:eastAsia="Times New Roman"/>
      <w:kern w:val="2"/>
      <w:sz w:val="20"/>
      <w:szCs w:val="24"/>
      <w:lang w:val="en-US" w:eastAsia="en-US" w:bidi="ar-SA"/>
    </w:rPr>
  </w:style>
  <w:style w:type="character" w:styleId="108">
    <w:name w:val="HTML Sample"/>
    <w:qFormat/>
    <w:uiPriority w:val="0"/>
    <w:rPr>
      <w:rFonts w:ascii="MHei-Medium" w:hAnsi="MHei-Medium" w:eastAsia="Times New Roman"/>
      <w:kern w:val="2"/>
      <w:sz w:val="21"/>
      <w:szCs w:val="24"/>
      <w:lang w:val="en-US" w:eastAsia="en-US" w:bidi="ar-SA"/>
    </w:rPr>
  </w:style>
  <w:style w:type="character" w:customStyle="1" w:styleId="109">
    <w:name w:val="标题 5 Char"/>
    <w:basedOn w:val="91"/>
    <w:link w:val="9"/>
    <w:qFormat/>
    <w:uiPriority w:val="9"/>
    <w:rPr>
      <w:rFonts w:ascii="Times New Roman" w:hAnsi="Times New Roman"/>
      <w:b/>
      <w:bCs/>
      <w:sz w:val="24"/>
      <w:szCs w:val="28"/>
    </w:rPr>
  </w:style>
  <w:style w:type="paragraph" w:customStyle="1" w:styleId="110">
    <w:name w:val="正文样式"/>
    <w:basedOn w:val="1"/>
    <w:link w:val="1539"/>
    <w:qFormat/>
    <w:uiPriority w:val="0"/>
    <w:pPr>
      <w:widowControl/>
      <w:ind w:firstLine="480" w:firstLineChars="200"/>
      <w:jc w:val="left"/>
    </w:pPr>
    <w:rPr>
      <w:rFonts w:ascii="宋体" w:eastAsia="宋体"/>
      <w:color w:val="000000"/>
      <w:sz w:val="24"/>
    </w:rPr>
  </w:style>
  <w:style w:type="character" w:customStyle="1" w:styleId="111">
    <w:name w:val="标题 1 Char"/>
    <w:basedOn w:val="91"/>
    <w:link w:val="5"/>
    <w:qFormat/>
    <w:uiPriority w:val="0"/>
    <w:rPr>
      <w:rFonts w:ascii="Times New Roman" w:hAnsi="Times New Roman"/>
      <w:b/>
      <w:bCs/>
      <w:kern w:val="44"/>
      <w:sz w:val="32"/>
      <w:szCs w:val="44"/>
    </w:rPr>
  </w:style>
  <w:style w:type="character" w:customStyle="1" w:styleId="112">
    <w:name w:val="标题 2 Char"/>
    <w:basedOn w:val="91"/>
    <w:link w:val="6"/>
    <w:qFormat/>
    <w:uiPriority w:val="0"/>
    <w:rPr>
      <w:rFonts w:ascii="Times New Roman" w:hAnsi="Times New Roman" w:eastAsiaTheme="majorEastAsia" w:cstheme="majorBidi"/>
      <w:b/>
      <w:bCs/>
      <w:kern w:val="2"/>
      <w:sz w:val="28"/>
      <w:szCs w:val="32"/>
    </w:rPr>
  </w:style>
  <w:style w:type="character" w:customStyle="1" w:styleId="113">
    <w:name w:val="标题 3 Char"/>
    <w:basedOn w:val="91"/>
    <w:link w:val="7"/>
    <w:qFormat/>
    <w:uiPriority w:val="0"/>
    <w:rPr>
      <w:rFonts w:ascii="Times New Roman" w:hAnsi="Times New Roman"/>
      <w:b/>
      <w:bCs/>
      <w:kern w:val="2"/>
      <w:sz w:val="24"/>
      <w:szCs w:val="32"/>
    </w:rPr>
  </w:style>
  <w:style w:type="character" w:customStyle="1" w:styleId="114">
    <w:name w:val="标题 4 Char"/>
    <w:basedOn w:val="91"/>
    <w:link w:val="8"/>
    <w:qFormat/>
    <w:uiPriority w:val="0"/>
    <w:rPr>
      <w:rFonts w:ascii="Times New Roman" w:hAnsi="Times New Roman" w:eastAsiaTheme="majorEastAsia" w:cstheme="majorBidi"/>
      <w:b/>
      <w:bCs/>
      <w:kern w:val="2"/>
      <w:sz w:val="24"/>
      <w:szCs w:val="28"/>
    </w:rPr>
  </w:style>
  <w:style w:type="character" w:customStyle="1" w:styleId="115">
    <w:name w:val="标题 6 Char"/>
    <w:basedOn w:val="91"/>
    <w:link w:val="10"/>
    <w:qFormat/>
    <w:uiPriority w:val="0"/>
    <w:rPr>
      <w:rFonts w:ascii="Times New Roman" w:hAnsi="Times New Roman" w:eastAsiaTheme="majorEastAsia" w:cstheme="majorBidi"/>
      <w:b/>
      <w:bCs/>
      <w:sz w:val="24"/>
      <w:szCs w:val="24"/>
    </w:rPr>
  </w:style>
  <w:style w:type="character" w:customStyle="1" w:styleId="116">
    <w:name w:val="标题 7 Char1"/>
    <w:link w:val="11"/>
    <w:qFormat/>
    <w:uiPriority w:val="0"/>
    <w:rPr>
      <w:rFonts w:ascii="Times New Roman" w:hAnsi="Times New Roman" w:eastAsia="宋体" w:cs="Times New Roman"/>
      <w:b/>
      <w:bCs/>
      <w:sz w:val="24"/>
      <w:szCs w:val="24"/>
    </w:rPr>
  </w:style>
  <w:style w:type="character" w:customStyle="1" w:styleId="117">
    <w:name w:val="标题 8 Char1"/>
    <w:link w:val="12"/>
    <w:qFormat/>
    <w:uiPriority w:val="0"/>
    <w:rPr>
      <w:rFonts w:ascii="Arial" w:hAnsi="Arial" w:eastAsia="黑体" w:cs="Times New Roman"/>
      <w:sz w:val="24"/>
      <w:szCs w:val="24"/>
    </w:rPr>
  </w:style>
  <w:style w:type="character" w:customStyle="1" w:styleId="118">
    <w:name w:val="标题 9 Char2"/>
    <w:link w:val="13"/>
    <w:qFormat/>
    <w:uiPriority w:val="0"/>
    <w:rPr>
      <w:rFonts w:ascii="Arial" w:hAnsi="Arial" w:eastAsia="黑体" w:cs="Times New Roman"/>
      <w:sz w:val="24"/>
      <w:szCs w:val="21"/>
    </w:rPr>
  </w:style>
  <w:style w:type="character" w:customStyle="1" w:styleId="119">
    <w:name w:val="宏文本 Char1"/>
    <w:basedOn w:val="91"/>
    <w:link w:val="4"/>
    <w:semiHidden/>
    <w:qFormat/>
    <w:uiPriority w:val="99"/>
    <w:rPr>
      <w:rFonts w:ascii="Courier New" w:hAnsi="Courier New" w:eastAsia="宋体" w:cs="Courier New"/>
      <w:sz w:val="24"/>
      <w:szCs w:val="24"/>
    </w:rPr>
  </w:style>
  <w:style w:type="character" w:customStyle="1" w:styleId="120">
    <w:name w:val="注释标题 Char"/>
    <w:basedOn w:val="91"/>
    <w:link w:val="18"/>
    <w:qFormat/>
    <w:uiPriority w:val="0"/>
    <w:rPr>
      <w:rFonts w:ascii="Times New Roman" w:hAnsi="Times New Roman" w:eastAsia="宋体" w:cs="Times New Roman"/>
      <w:szCs w:val="20"/>
    </w:rPr>
  </w:style>
  <w:style w:type="character" w:customStyle="1" w:styleId="121">
    <w:name w:val="电子邮件签名 Char1"/>
    <w:basedOn w:val="91"/>
    <w:link w:val="21"/>
    <w:semiHidden/>
    <w:qFormat/>
    <w:uiPriority w:val="99"/>
  </w:style>
  <w:style w:type="character" w:customStyle="1" w:styleId="122">
    <w:name w:val="正文缩进 Char"/>
    <w:link w:val="23"/>
    <w:qFormat/>
    <w:uiPriority w:val="0"/>
    <w:rPr>
      <w:rFonts w:ascii="Times New Roman" w:hAnsi="Times New Roman" w:eastAsia="宋体" w:cs="Times New Roman"/>
      <w:sz w:val="24"/>
      <w:szCs w:val="24"/>
    </w:rPr>
  </w:style>
  <w:style w:type="character" w:customStyle="1" w:styleId="123">
    <w:name w:val="题注 Char"/>
    <w:link w:val="24"/>
    <w:qFormat/>
    <w:uiPriority w:val="0"/>
    <w:rPr>
      <w:rFonts w:ascii="Times New Roman" w:hAnsi="Times New Roman" w:eastAsia="宋体" w:cstheme="majorBidi"/>
      <w:b/>
      <w:szCs w:val="20"/>
    </w:rPr>
  </w:style>
  <w:style w:type="character" w:customStyle="1" w:styleId="124">
    <w:name w:val="文档结构图 Char"/>
    <w:basedOn w:val="91"/>
    <w:link w:val="28"/>
    <w:qFormat/>
    <w:uiPriority w:val="99"/>
    <w:rPr>
      <w:rFonts w:ascii="宋体" w:eastAsia="宋体"/>
      <w:sz w:val="18"/>
      <w:szCs w:val="18"/>
    </w:rPr>
  </w:style>
  <w:style w:type="character" w:customStyle="1" w:styleId="125">
    <w:name w:val="批注文字 Char3"/>
    <w:link w:val="30"/>
    <w:qFormat/>
    <w:uiPriority w:val="0"/>
    <w:rPr>
      <w:rFonts w:ascii="Times New Roman" w:hAnsi="Times New Roman" w:eastAsia="宋体" w:cs="Times New Roman"/>
      <w:sz w:val="24"/>
      <w:szCs w:val="24"/>
    </w:rPr>
  </w:style>
  <w:style w:type="character" w:customStyle="1" w:styleId="126">
    <w:name w:val="称呼 Char1"/>
    <w:basedOn w:val="91"/>
    <w:link w:val="32"/>
    <w:semiHidden/>
    <w:qFormat/>
    <w:uiPriority w:val="99"/>
  </w:style>
  <w:style w:type="character" w:customStyle="1" w:styleId="127">
    <w:name w:val="正文文本 3 Char4"/>
    <w:link w:val="33"/>
    <w:qFormat/>
    <w:uiPriority w:val="0"/>
    <w:rPr>
      <w:rFonts w:ascii="Times New Roman" w:hAnsi="Times New Roman" w:eastAsia="宋体" w:cs="Times New Roman"/>
      <w:b/>
      <w:bCs/>
      <w:sz w:val="24"/>
      <w:szCs w:val="24"/>
    </w:rPr>
  </w:style>
  <w:style w:type="character" w:customStyle="1" w:styleId="128">
    <w:name w:val="结束语 Char1"/>
    <w:basedOn w:val="91"/>
    <w:link w:val="34"/>
    <w:semiHidden/>
    <w:qFormat/>
    <w:uiPriority w:val="99"/>
  </w:style>
  <w:style w:type="character" w:customStyle="1" w:styleId="129">
    <w:name w:val="正文文本 Char"/>
    <w:basedOn w:val="91"/>
    <w:link w:val="36"/>
    <w:qFormat/>
    <w:uiPriority w:val="0"/>
  </w:style>
  <w:style w:type="character" w:customStyle="1" w:styleId="130">
    <w:name w:val="正文文本缩进 Char4"/>
    <w:link w:val="3"/>
    <w:qFormat/>
    <w:uiPriority w:val="0"/>
    <w:rPr>
      <w:rFonts w:ascii="仿宋_GB2312" w:hAnsi="Times New Roman" w:eastAsia="仿宋_GB2312" w:cs="Times New Roman"/>
      <w:sz w:val="32"/>
      <w:szCs w:val="32"/>
    </w:rPr>
  </w:style>
  <w:style w:type="character" w:customStyle="1" w:styleId="131">
    <w:name w:val="HTML 地址 Char1"/>
    <w:basedOn w:val="91"/>
    <w:link w:val="42"/>
    <w:semiHidden/>
    <w:qFormat/>
    <w:uiPriority w:val="99"/>
    <w:rPr>
      <w:i/>
      <w:iCs/>
    </w:rPr>
  </w:style>
  <w:style w:type="character" w:customStyle="1" w:styleId="132">
    <w:name w:val="纯文本 Char3"/>
    <w:link w:val="46"/>
    <w:qFormat/>
    <w:uiPriority w:val="0"/>
    <w:rPr>
      <w:rFonts w:ascii="宋体" w:hAnsi="Courier New" w:eastAsia="宋体" w:cs="Times New Roman"/>
      <w:sz w:val="24"/>
      <w:szCs w:val="24"/>
    </w:rPr>
  </w:style>
  <w:style w:type="character" w:customStyle="1" w:styleId="133">
    <w:name w:val="日期 Char4"/>
    <w:link w:val="51"/>
    <w:qFormat/>
    <w:uiPriority w:val="0"/>
    <w:rPr>
      <w:rFonts w:ascii="Times New Roman" w:hAnsi="Times New Roman" w:eastAsia="宋体" w:cs="Times New Roman"/>
      <w:sz w:val="24"/>
      <w:szCs w:val="24"/>
    </w:rPr>
  </w:style>
  <w:style w:type="character" w:customStyle="1" w:styleId="134">
    <w:name w:val="正文文本缩进 2 Char3"/>
    <w:link w:val="52"/>
    <w:qFormat/>
    <w:uiPriority w:val="0"/>
    <w:rPr>
      <w:rFonts w:ascii="仿宋_GB2312" w:hAnsi="Times New Roman" w:eastAsia="仿宋_GB2312" w:cs="Times New Roman"/>
      <w:sz w:val="28"/>
      <w:szCs w:val="24"/>
    </w:rPr>
  </w:style>
  <w:style w:type="character" w:customStyle="1" w:styleId="135">
    <w:name w:val="尾注文本 Char3"/>
    <w:link w:val="53"/>
    <w:qFormat/>
    <w:uiPriority w:val="0"/>
    <w:rPr>
      <w:rFonts w:ascii="Times New Roman" w:hAnsi="Times New Roman" w:eastAsia="宋体" w:cs="Times New Roman"/>
      <w:kern w:val="0"/>
      <w:sz w:val="24"/>
      <w:szCs w:val="20"/>
    </w:rPr>
  </w:style>
  <w:style w:type="character" w:customStyle="1" w:styleId="136">
    <w:name w:val="批注框文本 Char"/>
    <w:basedOn w:val="91"/>
    <w:link w:val="55"/>
    <w:qFormat/>
    <w:uiPriority w:val="99"/>
    <w:rPr>
      <w:sz w:val="18"/>
      <w:szCs w:val="18"/>
    </w:rPr>
  </w:style>
  <w:style w:type="character" w:customStyle="1" w:styleId="137">
    <w:name w:val="页脚 Char"/>
    <w:basedOn w:val="91"/>
    <w:link w:val="56"/>
    <w:qFormat/>
    <w:uiPriority w:val="99"/>
    <w:rPr>
      <w:sz w:val="18"/>
      <w:szCs w:val="18"/>
    </w:rPr>
  </w:style>
  <w:style w:type="character" w:customStyle="1" w:styleId="138">
    <w:name w:val="页眉 Char"/>
    <w:basedOn w:val="91"/>
    <w:link w:val="58"/>
    <w:qFormat/>
    <w:uiPriority w:val="99"/>
    <w:rPr>
      <w:sz w:val="18"/>
      <w:szCs w:val="18"/>
    </w:rPr>
  </w:style>
  <w:style w:type="character" w:customStyle="1" w:styleId="139">
    <w:name w:val="签名 Char"/>
    <w:basedOn w:val="91"/>
    <w:link w:val="59"/>
    <w:qFormat/>
    <w:uiPriority w:val="0"/>
  </w:style>
  <w:style w:type="character" w:customStyle="1" w:styleId="140">
    <w:name w:val="副标题 Char"/>
    <w:basedOn w:val="91"/>
    <w:link w:val="65"/>
    <w:qFormat/>
    <w:uiPriority w:val="0"/>
    <w:rPr>
      <w:rFonts w:eastAsia="宋体" w:asciiTheme="majorHAnsi" w:hAnsiTheme="majorHAnsi" w:cstheme="majorBidi"/>
      <w:b/>
      <w:bCs/>
      <w:kern w:val="28"/>
      <w:sz w:val="32"/>
      <w:szCs w:val="32"/>
    </w:rPr>
  </w:style>
  <w:style w:type="character" w:customStyle="1" w:styleId="141">
    <w:name w:val="列表 Char"/>
    <w:link w:val="67"/>
    <w:qFormat/>
    <w:uiPriority w:val="0"/>
    <w:rPr>
      <w:rFonts w:ascii="Times New Roman" w:hAnsi="Times New Roman" w:eastAsia="宋体" w:cs="Times New Roman"/>
      <w:kern w:val="0"/>
      <w:sz w:val="24"/>
      <w:szCs w:val="20"/>
    </w:rPr>
  </w:style>
  <w:style w:type="character" w:customStyle="1" w:styleId="142">
    <w:name w:val="脚注文本 Char1"/>
    <w:basedOn w:val="91"/>
    <w:link w:val="68"/>
    <w:semiHidden/>
    <w:qFormat/>
    <w:uiPriority w:val="99"/>
    <w:rPr>
      <w:sz w:val="18"/>
      <w:szCs w:val="18"/>
    </w:rPr>
  </w:style>
  <w:style w:type="character" w:customStyle="1" w:styleId="143">
    <w:name w:val="正文文本缩进 3 Char3"/>
    <w:link w:val="71"/>
    <w:qFormat/>
    <w:uiPriority w:val="0"/>
    <w:rPr>
      <w:rFonts w:ascii="Times New Roman" w:hAnsi="Times New Roman" w:eastAsia="宋体" w:cs="Times New Roman"/>
      <w:sz w:val="24"/>
      <w:szCs w:val="24"/>
    </w:rPr>
  </w:style>
  <w:style w:type="character" w:customStyle="1" w:styleId="144">
    <w:name w:val="正文文本 2 Char3"/>
    <w:link w:val="77"/>
    <w:qFormat/>
    <w:uiPriority w:val="0"/>
    <w:rPr>
      <w:rFonts w:ascii="Times New Roman" w:hAnsi="Times New Roman" w:eastAsia="宋体" w:cs="Times New Roman"/>
      <w:sz w:val="24"/>
      <w:szCs w:val="24"/>
    </w:rPr>
  </w:style>
  <w:style w:type="character" w:customStyle="1" w:styleId="145">
    <w:name w:val="信息标题 Char1"/>
    <w:basedOn w:val="91"/>
    <w:link w:val="80"/>
    <w:semiHidden/>
    <w:qFormat/>
    <w:uiPriority w:val="99"/>
    <w:rPr>
      <w:rFonts w:asciiTheme="majorHAnsi" w:hAnsiTheme="majorHAnsi" w:eastAsiaTheme="majorEastAsia" w:cstheme="majorBidi"/>
      <w:sz w:val="24"/>
      <w:szCs w:val="24"/>
      <w:shd w:val="pct20" w:color="auto" w:fill="auto"/>
    </w:rPr>
  </w:style>
  <w:style w:type="character" w:customStyle="1" w:styleId="146">
    <w:name w:val="HTML 预设格式 Char"/>
    <w:basedOn w:val="91"/>
    <w:link w:val="81"/>
    <w:qFormat/>
    <w:uiPriority w:val="0"/>
    <w:rPr>
      <w:rFonts w:ascii="Courier New" w:hAnsi="Courier New" w:eastAsia="宋体" w:cs="Courier New"/>
      <w:sz w:val="20"/>
      <w:szCs w:val="20"/>
    </w:rPr>
  </w:style>
  <w:style w:type="character" w:customStyle="1" w:styleId="147">
    <w:name w:val="普通(网站) Char"/>
    <w:link w:val="82"/>
    <w:qFormat/>
    <w:uiPriority w:val="0"/>
    <w:rPr>
      <w:rFonts w:ascii="宋体" w:hAnsi="宋体" w:eastAsia="宋体" w:cs="宋体"/>
      <w:sz w:val="24"/>
      <w:szCs w:val="24"/>
    </w:rPr>
  </w:style>
  <w:style w:type="character" w:customStyle="1" w:styleId="148">
    <w:name w:val="标题 Char2"/>
    <w:link w:val="85"/>
    <w:qFormat/>
    <w:uiPriority w:val="0"/>
    <w:rPr>
      <w:rFonts w:ascii="Arial" w:hAnsi="Arial" w:eastAsia="宋体" w:cs="Arial"/>
      <w:b/>
      <w:bCs/>
      <w:sz w:val="32"/>
      <w:szCs w:val="32"/>
    </w:rPr>
  </w:style>
  <w:style w:type="character" w:customStyle="1" w:styleId="149">
    <w:name w:val="批注主题 Char2"/>
    <w:link w:val="86"/>
    <w:qFormat/>
    <w:uiPriority w:val="0"/>
    <w:rPr>
      <w:rFonts w:ascii="Times New Roman" w:hAnsi="Times New Roman" w:eastAsia="宋体" w:cs="Times New Roman"/>
      <w:b/>
      <w:bCs/>
      <w:sz w:val="24"/>
      <w:szCs w:val="24"/>
    </w:rPr>
  </w:style>
  <w:style w:type="character" w:customStyle="1" w:styleId="150">
    <w:name w:val="正文首行缩进 Char1"/>
    <w:link w:val="87"/>
    <w:qFormat/>
    <w:uiPriority w:val="0"/>
    <w:rPr>
      <w:rFonts w:ascii="Times New Roman" w:hAnsi="Times New Roman" w:eastAsia="宋体" w:cs="Times New Roman"/>
      <w:szCs w:val="24"/>
    </w:rPr>
  </w:style>
  <w:style w:type="character" w:customStyle="1" w:styleId="151">
    <w:name w:val="正文首行缩进 2 Char"/>
    <w:basedOn w:val="152"/>
    <w:link w:val="2"/>
    <w:qFormat/>
    <w:uiPriority w:val="0"/>
  </w:style>
  <w:style w:type="character" w:customStyle="1" w:styleId="152">
    <w:name w:val="正文文本缩进 Char"/>
    <w:basedOn w:val="91"/>
    <w:link w:val="153"/>
    <w:qFormat/>
    <w:uiPriority w:val="0"/>
  </w:style>
  <w:style w:type="paragraph" w:customStyle="1" w:styleId="153">
    <w:name w:val="正文文本缩进1"/>
    <w:basedOn w:val="1"/>
    <w:link w:val="152"/>
    <w:qFormat/>
    <w:uiPriority w:val="0"/>
    <w:pPr>
      <w:tabs>
        <w:tab w:val="left" w:pos="840"/>
      </w:tabs>
      <w:adjustRightInd w:val="0"/>
      <w:snapToGrid w:val="0"/>
      <w:ind w:firstLine="560" w:firstLineChars="200"/>
    </w:pPr>
    <w:rPr>
      <w:rFonts w:ascii="Times New Roman" w:hAnsi="Times New Roman" w:eastAsia="宋体" w:cs="Times New Roman"/>
      <w:color w:val="FF00FF"/>
      <w:kern w:val="0"/>
      <w:sz w:val="28"/>
      <w:szCs w:val="20"/>
    </w:rPr>
  </w:style>
  <w:style w:type="paragraph" w:customStyle="1" w:styleId="154">
    <w:name w:val="磷矿正文"/>
    <w:basedOn w:val="1"/>
    <w:link w:val="155"/>
    <w:qFormat/>
    <w:uiPriority w:val="0"/>
    <w:pPr>
      <w:autoSpaceDE w:val="0"/>
      <w:autoSpaceDN w:val="0"/>
      <w:adjustRightInd w:val="0"/>
      <w:ind w:firstLine="200" w:firstLineChars="200"/>
    </w:pPr>
    <w:rPr>
      <w:rFonts w:ascii="Times New Roman" w:hAnsi="Times New Roman" w:eastAsia="宋体" w:cs="Times New Roman"/>
      <w:sz w:val="24"/>
      <w:szCs w:val="24"/>
    </w:rPr>
  </w:style>
  <w:style w:type="character" w:customStyle="1" w:styleId="155">
    <w:name w:val="磷矿正文 Char"/>
    <w:link w:val="154"/>
    <w:qFormat/>
    <w:uiPriority w:val="0"/>
    <w:rPr>
      <w:rFonts w:ascii="Times New Roman" w:hAnsi="Times New Roman" w:eastAsia="宋体" w:cs="Times New Roman"/>
      <w:sz w:val="24"/>
      <w:szCs w:val="24"/>
    </w:rPr>
  </w:style>
  <w:style w:type="character" w:customStyle="1" w:styleId="156">
    <w:name w:val="页脚 Char3"/>
    <w:qFormat/>
    <w:uiPriority w:val="0"/>
    <w:rPr>
      <w:rFonts w:eastAsia="宋体"/>
      <w:kern w:val="2"/>
      <w:sz w:val="18"/>
      <w:szCs w:val="18"/>
      <w:lang w:val="en-US" w:eastAsia="zh-CN" w:bidi="ar-SA"/>
    </w:rPr>
  </w:style>
  <w:style w:type="paragraph" w:customStyle="1" w:styleId="157">
    <w:name w:val="+++++1.1.1"/>
    <w:basedOn w:val="1"/>
    <w:link w:val="158"/>
    <w:qFormat/>
    <w:uiPriority w:val="0"/>
    <w:pPr>
      <w:spacing w:beforeLines="50" w:afterLines="50"/>
      <w:outlineLvl w:val="2"/>
    </w:pPr>
    <w:rPr>
      <w:rFonts w:ascii="Times New Roman" w:hAnsi="Times New Roman" w:eastAsia="黑体" w:cs="宋体"/>
      <w:b/>
      <w:color w:val="0000FF"/>
      <w:sz w:val="28"/>
      <w:szCs w:val="28"/>
    </w:rPr>
  </w:style>
  <w:style w:type="character" w:customStyle="1" w:styleId="158">
    <w:name w:val="+++++1.1.1 Char"/>
    <w:link w:val="157"/>
    <w:qFormat/>
    <w:uiPriority w:val="0"/>
    <w:rPr>
      <w:rFonts w:ascii="Times New Roman" w:hAnsi="Times New Roman" w:eastAsia="黑体" w:cs="宋体"/>
      <w:b/>
      <w:color w:val="0000FF"/>
      <w:sz w:val="28"/>
      <w:szCs w:val="28"/>
    </w:rPr>
  </w:style>
  <w:style w:type="paragraph" w:customStyle="1" w:styleId="159">
    <w:name w:val="+++ 表头"/>
    <w:basedOn w:val="1"/>
    <w:link w:val="160"/>
    <w:qFormat/>
    <w:uiPriority w:val="0"/>
    <w:pPr>
      <w:jc w:val="center"/>
    </w:pPr>
    <w:rPr>
      <w:rFonts w:ascii="Times New Roman" w:hAnsi="Times New Roman" w:eastAsia="宋体" w:cs="宋体"/>
      <w:b/>
      <w:bCs/>
      <w:color w:val="0000FF"/>
      <w:sz w:val="24"/>
      <w:szCs w:val="24"/>
    </w:rPr>
  </w:style>
  <w:style w:type="character" w:customStyle="1" w:styleId="160">
    <w:name w:val="+++ 表头 Char"/>
    <w:link w:val="159"/>
    <w:qFormat/>
    <w:uiPriority w:val="0"/>
    <w:rPr>
      <w:rFonts w:ascii="Times New Roman" w:hAnsi="Times New Roman" w:eastAsia="宋体" w:cs="宋体"/>
      <w:b/>
      <w:bCs/>
      <w:color w:val="0000FF"/>
      <w:sz w:val="24"/>
      <w:szCs w:val="24"/>
    </w:rPr>
  </w:style>
  <w:style w:type="paragraph" w:customStyle="1" w:styleId="161">
    <w:name w:val="表体"/>
    <w:basedOn w:val="1"/>
    <w:link w:val="162"/>
    <w:qFormat/>
    <w:uiPriority w:val="0"/>
    <w:pPr>
      <w:overflowPunct w:val="0"/>
      <w:adjustRightInd w:val="0"/>
      <w:snapToGrid w:val="0"/>
      <w:spacing w:line="240" w:lineRule="auto"/>
      <w:jc w:val="center"/>
      <w:textAlignment w:val="baseline"/>
    </w:pPr>
    <w:rPr>
      <w:rFonts w:ascii="Times New Roman" w:hAnsi="Times New Roman" w:eastAsia="仿宋_GB2312" w:cs="Times New Roman"/>
      <w:color w:val="000000"/>
      <w:kern w:val="24"/>
    </w:rPr>
  </w:style>
  <w:style w:type="character" w:customStyle="1" w:styleId="162">
    <w:name w:val="表体 Char"/>
    <w:link w:val="161"/>
    <w:qFormat/>
    <w:uiPriority w:val="0"/>
    <w:rPr>
      <w:rFonts w:ascii="Times New Roman" w:hAnsi="Times New Roman" w:eastAsia="仿宋_GB2312" w:cs="Times New Roman"/>
      <w:color w:val="000000"/>
      <w:kern w:val="24"/>
      <w:szCs w:val="21"/>
    </w:rPr>
  </w:style>
  <w:style w:type="paragraph" w:customStyle="1" w:styleId="163">
    <w:name w:val="Table Paragraph"/>
    <w:basedOn w:val="1"/>
    <w:qFormat/>
    <w:uiPriority w:val="1"/>
    <w:pPr>
      <w:spacing w:line="240" w:lineRule="auto"/>
      <w:jc w:val="left"/>
    </w:pPr>
    <w:rPr>
      <w:rFonts w:ascii="Calibri" w:hAnsi="Calibri" w:eastAsia="宋体" w:cs="Calibri"/>
      <w:kern w:val="0"/>
      <w:sz w:val="22"/>
      <w:lang w:eastAsia="en-US"/>
    </w:rPr>
  </w:style>
  <w:style w:type="paragraph" w:customStyle="1" w:styleId="164">
    <w:name w:val="++++1.1"/>
    <w:basedOn w:val="1"/>
    <w:link w:val="165"/>
    <w:qFormat/>
    <w:uiPriority w:val="0"/>
    <w:pPr>
      <w:spacing w:beforeLines="50" w:afterLines="50"/>
      <w:outlineLvl w:val="1"/>
    </w:pPr>
    <w:rPr>
      <w:rFonts w:ascii="Times New Roman" w:hAnsi="Times New Roman" w:eastAsia="黑体" w:cs="宋体"/>
      <w:b/>
      <w:color w:val="FF0000"/>
      <w:sz w:val="32"/>
      <w:szCs w:val="32"/>
    </w:rPr>
  </w:style>
  <w:style w:type="character" w:customStyle="1" w:styleId="165">
    <w:name w:val="++++1.1 Char"/>
    <w:link w:val="164"/>
    <w:qFormat/>
    <w:uiPriority w:val="0"/>
    <w:rPr>
      <w:rFonts w:ascii="Times New Roman" w:hAnsi="Times New Roman" w:eastAsia="黑体" w:cs="宋体"/>
      <w:b/>
      <w:color w:val="FF0000"/>
      <w:sz w:val="32"/>
      <w:szCs w:val="32"/>
    </w:rPr>
  </w:style>
  <w:style w:type="character" w:customStyle="1" w:styleId="166">
    <w:name w:val="正文首行缩进 Char"/>
    <w:basedOn w:val="129"/>
    <w:link w:val="167"/>
    <w:qFormat/>
    <w:uiPriority w:val="0"/>
  </w:style>
  <w:style w:type="paragraph" w:customStyle="1" w:styleId="167">
    <w:name w:val="正文首行缩进1"/>
    <w:basedOn w:val="36"/>
    <w:link w:val="166"/>
    <w:qFormat/>
    <w:uiPriority w:val="0"/>
    <w:pPr>
      <w:spacing w:line="240" w:lineRule="auto"/>
      <w:ind w:firstLine="420" w:firstLineChars="100"/>
    </w:pPr>
    <w:rPr>
      <w:rFonts w:ascii="Times New Roman" w:hAnsi="Times New Roman" w:eastAsia="宋体" w:cs="Times New Roman"/>
      <w:kern w:val="0"/>
      <w:sz w:val="24"/>
      <w:szCs w:val="24"/>
    </w:rPr>
  </w:style>
  <w:style w:type="paragraph" w:customStyle="1" w:styleId="168">
    <w:name w:val="表内容"/>
    <w:basedOn w:val="1"/>
    <w:link w:val="169"/>
    <w:qFormat/>
    <w:uiPriority w:val="99"/>
    <w:pPr>
      <w:autoSpaceDE w:val="0"/>
      <w:autoSpaceDN w:val="0"/>
      <w:spacing w:line="240" w:lineRule="auto"/>
      <w:jc w:val="center"/>
    </w:pPr>
    <w:rPr>
      <w:rFonts w:ascii="Times New Roman" w:hAnsi="Times New Roman" w:eastAsia="宋体" w:cs="Times New Roman"/>
    </w:rPr>
  </w:style>
  <w:style w:type="character" w:customStyle="1" w:styleId="169">
    <w:name w:val="表内容 Char"/>
    <w:link w:val="168"/>
    <w:qFormat/>
    <w:uiPriority w:val="0"/>
    <w:rPr>
      <w:rFonts w:ascii="Times New Roman" w:hAnsi="Times New Roman" w:eastAsia="宋体" w:cs="Times New Roman"/>
      <w:szCs w:val="21"/>
    </w:rPr>
  </w:style>
  <w:style w:type="character" w:customStyle="1" w:styleId="170">
    <w:name w:val="文档结构图 Char2"/>
    <w:qFormat/>
    <w:uiPriority w:val="0"/>
    <w:rPr>
      <w:rFonts w:eastAsia="宋体"/>
      <w:kern w:val="2"/>
      <w:sz w:val="24"/>
      <w:szCs w:val="24"/>
      <w:lang w:val="en-US" w:eastAsia="zh-CN" w:bidi="ar-SA"/>
    </w:rPr>
  </w:style>
  <w:style w:type="paragraph" w:customStyle="1" w:styleId="171">
    <w:name w:val="表格文字"/>
    <w:basedOn w:val="1"/>
    <w:next w:val="1"/>
    <w:link w:val="1007"/>
    <w:qFormat/>
    <w:uiPriority w:val="0"/>
    <w:pPr>
      <w:tabs>
        <w:tab w:val="left" w:pos="540"/>
        <w:tab w:val="left" w:pos="1080"/>
        <w:tab w:val="left" w:pos="1260"/>
        <w:tab w:val="left" w:pos="1440"/>
      </w:tabs>
      <w:adjustRightInd w:val="0"/>
      <w:snapToGrid w:val="0"/>
      <w:spacing w:line="240" w:lineRule="auto"/>
      <w:jc w:val="center"/>
    </w:pPr>
    <w:rPr>
      <w:rFonts w:ascii="Times New Roman" w:hAnsi="Times New Roman" w:eastAsia="宋体" w:cs="Times New Roman"/>
      <w:bCs/>
    </w:rPr>
  </w:style>
  <w:style w:type="character" w:customStyle="1" w:styleId="172">
    <w:name w:val="表格文字 Char"/>
    <w:link w:val="171"/>
    <w:qFormat/>
    <w:uiPriority w:val="0"/>
    <w:rPr>
      <w:rFonts w:ascii="Times New Roman" w:hAnsi="Times New Roman" w:eastAsia="宋体" w:cs="Times New Roman"/>
      <w:bCs/>
    </w:rPr>
  </w:style>
  <w:style w:type="character" w:customStyle="1" w:styleId="173">
    <w:name w:val="apple-converted-space"/>
    <w:basedOn w:val="91"/>
    <w:qFormat/>
    <w:uiPriority w:val="0"/>
  </w:style>
  <w:style w:type="paragraph" w:customStyle="1" w:styleId="174">
    <w:name w:val="列出段落1"/>
    <w:basedOn w:val="1"/>
    <w:qFormat/>
    <w:uiPriority w:val="1"/>
    <w:pPr>
      <w:spacing w:line="240" w:lineRule="auto"/>
      <w:ind w:firstLine="420" w:firstLineChars="200"/>
    </w:pPr>
    <w:rPr>
      <w:rFonts w:ascii="Calibri" w:hAnsi="Calibri" w:eastAsia="宋体" w:cs="Times New Roman"/>
    </w:rPr>
  </w:style>
  <w:style w:type="paragraph" w:customStyle="1" w:styleId="175">
    <w:name w:val="段落"/>
    <w:basedOn w:val="1"/>
    <w:next w:val="1"/>
    <w:qFormat/>
    <w:uiPriority w:val="0"/>
    <w:pPr>
      <w:autoSpaceDE w:val="0"/>
      <w:autoSpaceDN w:val="0"/>
      <w:adjustRightInd w:val="0"/>
      <w:spacing w:line="240" w:lineRule="auto"/>
      <w:jc w:val="left"/>
    </w:pPr>
    <w:rPr>
      <w:rFonts w:ascii="仿宋_GB2312" w:eastAsia="仿宋_GB2312"/>
      <w:kern w:val="0"/>
      <w:sz w:val="24"/>
      <w:szCs w:val="24"/>
    </w:rPr>
  </w:style>
  <w:style w:type="paragraph" w:customStyle="1" w:styleId="176">
    <w:name w:val="样式 标题 2 + 小三"/>
    <w:basedOn w:val="1"/>
    <w:next w:val="1"/>
    <w:qFormat/>
    <w:uiPriority w:val="99"/>
    <w:pPr>
      <w:autoSpaceDE w:val="0"/>
      <w:autoSpaceDN w:val="0"/>
      <w:adjustRightInd w:val="0"/>
      <w:spacing w:line="240" w:lineRule="auto"/>
      <w:jc w:val="left"/>
    </w:pPr>
    <w:rPr>
      <w:rFonts w:ascii="仿宋_GB2312" w:eastAsia="仿宋_GB2312"/>
      <w:kern w:val="0"/>
      <w:sz w:val="24"/>
      <w:szCs w:val="24"/>
    </w:rPr>
  </w:style>
  <w:style w:type="paragraph" w:customStyle="1" w:styleId="177">
    <w:name w:val="++++++++正文"/>
    <w:basedOn w:val="1"/>
    <w:link w:val="178"/>
    <w:qFormat/>
    <w:uiPriority w:val="0"/>
    <w:pPr>
      <w:autoSpaceDE w:val="0"/>
      <w:autoSpaceDN w:val="0"/>
      <w:adjustRightInd w:val="0"/>
      <w:ind w:firstLine="200" w:firstLineChars="200"/>
    </w:pPr>
    <w:rPr>
      <w:rFonts w:ascii="Times New Roman" w:hAnsi="Times New Roman" w:eastAsia="宋体" w:cs="Times New Roman"/>
      <w:sz w:val="24"/>
      <w:szCs w:val="24"/>
    </w:rPr>
  </w:style>
  <w:style w:type="character" w:customStyle="1" w:styleId="178">
    <w:name w:val="++++++++正文 Char"/>
    <w:link w:val="177"/>
    <w:qFormat/>
    <w:uiPriority w:val="0"/>
    <w:rPr>
      <w:rFonts w:ascii="Times New Roman" w:hAnsi="Times New Roman" w:eastAsia="宋体" w:cs="Times New Roman"/>
      <w:sz w:val="24"/>
      <w:szCs w:val="24"/>
    </w:rPr>
  </w:style>
  <w:style w:type="character" w:customStyle="1" w:styleId="179">
    <w:name w:val="标题 7 Char"/>
    <w:basedOn w:val="91"/>
    <w:qFormat/>
    <w:uiPriority w:val="0"/>
    <w:rPr>
      <w:b/>
      <w:bCs/>
      <w:sz w:val="24"/>
      <w:szCs w:val="24"/>
    </w:rPr>
  </w:style>
  <w:style w:type="character" w:customStyle="1" w:styleId="180">
    <w:name w:val="标题 8 Char"/>
    <w:basedOn w:val="91"/>
    <w:qFormat/>
    <w:uiPriority w:val="0"/>
    <w:rPr>
      <w:rFonts w:asciiTheme="majorHAnsi" w:hAnsiTheme="majorHAnsi" w:eastAsiaTheme="majorEastAsia" w:cstheme="majorBidi"/>
      <w:sz w:val="24"/>
      <w:szCs w:val="24"/>
    </w:rPr>
  </w:style>
  <w:style w:type="character" w:customStyle="1" w:styleId="181">
    <w:name w:val="标题 9 Char"/>
    <w:basedOn w:val="91"/>
    <w:qFormat/>
    <w:uiPriority w:val="0"/>
    <w:rPr>
      <w:rFonts w:asciiTheme="majorHAnsi" w:hAnsiTheme="majorHAnsi" w:eastAsiaTheme="majorEastAsia" w:cstheme="majorBidi"/>
      <w:szCs w:val="21"/>
    </w:rPr>
  </w:style>
  <w:style w:type="character" w:customStyle="1" w:styleId="182">
    <w:name w:val="标题 1 Char2"/>
    <w:qFormat/>
    <w:uiPriority w:val="0"/>
    <w:rPr>
      <w:b/>
      <w:bCs/>
      <w:kern w:val="2"/>
      <w:sz w:val="32"/>
      <w:szCs w:val="32"/>
      <w:lang w:val="en-US" w:eastAsia="zh-CN" w:bidi="ar-SA"/>
    </w:rPr>
  </w:style>
  <w:style w:type="paragraph" w:customStyle="1" w:styleId="183">
    <w:name w:val="+++++正文"/>
    <w:basedOn w:val="1"/>
    <w:qFormat/>
    <w:uiPriority w:val="0"/>
    <w:pPr>
      <w:ind w:firstLine="200" w:firstLineChars="200"/>
    </w:pPr>
    <w:rPr>
      <w:rFonts w:ascii="Times New Roman" w:hAnsi="Times New Roman" w:eastAsia="宋体" w:cs="Times New Roman"/>
      <w:sz w:val="24"/>
      <w:szCs w:val="24"/>
    </w:rPr>
  </w:style>
  <w:style w:type="character" w:customStyle="1" w:styleId="184">
    <w:name w:val="标题 2 Char2"/>
    <w:qFormat/>
    <w:uiPriority w:val="0"/>
    <w:rPr>
      <w:b/>
      <w:kern w:val="2"/>
      <w:sz w:val="24"/>
      <w:szCs w:val="30"/>
      <w:lang w:val="en-US" w:eastAsia="zh-CN" w:bidi="ar-SA"/>
    </w:rPr>
  </w:style>
  <w:style w:type="character" w:customStyle="1" w:styleId="185">
    <w:name w:val="标题 3 Char4"/>
    <w:semiHidden/>
    <w:qFormat/>
    <w:uiPriority w:val="0"/>
    <w:rPr>
      <w:rFonts w:eastAsia="宋体"/>
      <w:kern w:val="2"/>
      <w:sz w:val="28"/>
      <w:szCs w:val="24"/>
      <w:lang w:val="en-US" w:eastAsia="zh-CN" w:bidi="ar-SA"/>
    </w:rPr>
  </w:style>
  <w:style w:type="character" w:customStyle="1" w:styleId="186">
    <w:name w:val="标题 4 Char2"/>
    <w:qFormat/>
    <w:uiPriority w:val="0"/>
    <w:rPr>
      <w:bCs/>
      <w:kern w:val="2"/>
      <w:sz w:val="24"/>
      <w:szCs w:val="30"/>
      <w:lang w:val="en-US" w:eastAsia="zh-CN" w:bidi="ar-SA"/>
    </w:rPr>
  </w:style>
  <w:style w:type="character" w:customStyle="1" w:styleId="187">
    <w:name w:val="标题 5 Char2"/>
    <w:basedOn w:val="91"/>
    <w:semiHidden/>
    <w:qFormat/>
    <w:uiPriority w:val="0"/>
    <w:rPr>
      <w:rFonts w:eastAsia="宋体"/>
      <w:kern w:val="2"/>
      <w:sz w:val="24"/>
      <w:szCs w:val="24"/>
      <w:lang w:val="en-US" w:eastAsia="zh-CN" w:bidi="ar-SA"/>
    </w:rPr>
  </w:style>
  <w:style w:type="character" w:customStyle="1" w:styleId="188">
    <w:name w:val="标题 6 Char1"/>
    <w:semiHidden/>
    <w:qFormat/>
    <w:uiPriority w:val="0"/>
    <w:rPr>
      <w:rFonts w:ascii="Arial" w:hAnsi="Arial" w:eastAsia="黑体"/>
      <w:b/>
      <w:bCs/>
      <w:kern w:val="2"/>
      <w:sz w:val="24"/>
      <w:szCs w:val="24"/>
      <w:lang w:val="en-US" w:eastAsia="zh-CN" w:bidi="ar-SA"/>
    </w:rPr>
  </w:style>
  <w:style w:type="character" w:customStyle="1" w:styleId="189">
    <w:name w:val="正文文本缩进 2 Char"/>
    <w:basedOn w:val="91"/>
    <w:qFormat/>
    <w:uiPriority w:val="0"/>
  </w:style>
  <w:style w:type="character" w:customStyle="1" w:styleId="190">
    <w:name w:val="style31"/>
    <w:semiHidden/>
    <w:qFormat/>
    <w:uiPriority w:val="0"/>
    <w:rPr>
      <w:color w:val="0033FF"/>
    </w:rPr>
  </w:style>
  <w:style w:type="character" w:customStyle="1" w:styleId="191">
    <w:name w:val="页眉 Char3"/>
    <w:qFormat/>
    <w:uiPriority w:val="0"/>
    <w:rPr>
      <w:rFonts w:eastAsia="宋体"/>
      <w:kern w:val="2"/>
      <w:sz w:val="18"/>
      <w:szCs w:val="18"/>
      <w:lang w:val="en-US" w:eastAsia="zh-CN" w:bidi="ar-SA"/>
    </w:rPr>
  </w:style>
  <w:style w:type="paragraph" w:customStyle="1" w:styleId="192">
    <w:name w:val="1"/>
    <w:basedOn w:val="1"/>
    <w:next w:val="23"/>
    <w:semiHidden/>
    <w:qFormat/>
    <w:uiPriority w:val="0"/>
    <w:pPr>
      <w:ind w:firstLine="420" w:firstLineChars="200"/>
    </w:pPr>
    <w:rPr>
      <w:rFonts w:ascii="宋体" w:hAnsi="Garamond" w:eastAsia="宋体" w:cs="Times New Roman"/>
      <w:sz w:val="28"/>
      <w:szCs w:val="20"/>
    </w:rPr>
  </w:style>
  <w:style w:type="paragraph" w:customStyle="1" w:styleId="193">
    <w:name w:val="xl25"/>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Times New Roman"/>
      <w:kern w:val="0"/>
      <w:sz w:val="24"/>
      <w:szCs w:val="24"/>
    </w:rPr>
  </w:style>
  <w:style w:type="character" w:customStyle="1" w:styleId="194">
    <w:name w:val="正文文本缩进 3 Char"/>
    <w:basedOn w:val="91"/>
    <w:qFormat/>
    <w:uiPriority w:val="0"/>
    <w:rPr>
      <w:sz w:val="16"/>
      <w:szCs w:val="16"/>
    </w:rPr>
  </w:style>
  <w:style w:type="paragraph" w:customStyle="1" w:styleId="195">
    <w:name w:val="表文"/>
    <w:next w:val="1"/>
    <w:link w:val="196"/>
    <w:semiHidden/>
    <w:qFormat/>
    <w:uiPriority w:val="0"/>
    <w:pPr>
      <w:spacing w:line="340" w:lineRule="exact"/>
      <w:jc w:val="center"/>
    </w:pPr>
    <w:rPr>
      <w:rFonts w:ascii="宋体" w:hAnsi="宋体" w:eastAsia="宋体" w:cs="Times New Roman"/>
      <w:kern w:val="2"/>
      <w:sz w:val="21"/>
      <w:szCs w:val="24"/>
      <w:lang w:val="en-US" w:eastAsia="zh-CN" w:bidi="ar-SA"/>
    </w:rPr>
  </w:style>
  <w:style w:type="character" w:customStyle="1" w:styleId="196">
    <w:name w:val="表文 Char2"/>
    <w:link w:val="195"/>
    <w:semiHidden/>
    <w:qFormat/>
    <w:uiPriority w:val="0"/>
    <w:rPr>
      <w:rFonts w:ascii="宋体" w:hAnsi="宋体" w:eastAsia="宋体" w:cs="Times New Roman"/>
      <w:szCs w:val="24"/>
    </w:rPr>
  </w:style>
  <w:style w:type="character" w:customStyle="1" w:styleId="197">
    <w:name w:val="正文文本 Char3"/>
    <w:semiHidden/>
    <w:qFormat/>
    <w:uiPriority w:val="0"/>
    <w:rPr>
      <w:rFonts w:ascii="宋体" w:hAnsi="宋体" w:eastAsia="宋体"/>
      <w:kern w:val="2"/>
      <w:sz w:val="24"/>
      <w:szCs w:val="28"/>
      <w:lang w:val="en-US" w:eastAsia="zh-CN" w:bidi="ar-SA"/>
    </w:rPr>
  </w:style>
  <w:style w:type="character" w:customStyle="1" w:styleId="198">
    <w:name w:val="纯文本 Char"/>
    <w:basedOn w:val="91"/>
    <w:qFormat/>
    <w:uiPriority w:val="0"/>
    <w:rPr>
      <w:rFonts w:ascii="宋体" w:hAnsi="Courier New" w:eastAsia="宋体" w:cs="Courier New"/>
      <w:szCs w:val="21"/>
    </w:rPr>
  </w:style>
  <w:style w:type="character" w:customStyle="1" w:styleId="199">
    <w:name w:val="正文文本 2 Char"/>
    <w:basedOn w:val="91"/>
    <w:qFormat/>
    <w:uiPriority w:val="0"/>
  </w:style>
  <w:style w:type="character" w:customStyle="1" w:styleId="200">
    <w:name w:val="正文文本 3 Char"/>
    <w:basedOn w:val="91"/>
    <w:link w:val="201"/>
    <w:qFormat/>
    <w:uiPriority w:val="0"/>
    <w:rPr>
      <w:sz w:val="16"/>
      <w:szCs w:val="16"/>
    </w:rPr>
  </w:style>
  <w:style w:type="paragraph" w:customStyle="1" w:styleId="201">
    <w:name w:val="正文文本 31"/>
    <w:basedOn w:val="1"/>
    <w:link w:val="200"/>
    <w:qFormat/>
    <w:uiPriority w:val="0"/>
    <w:pPr>
      <w:spacing w:after="120" w:line="240" w:lineRule="auto"/>
    </w:pPr>
    <w:rPr>
      <w:sz w:val="16"/>
      <w:szCs w:val="16"/>
    </w:rPr>
  </w:style>
  <w:style w:type="character" w:customStyle="1" w:styleId="202">
    <w:name w:val="text2"/>
    <w:basedOn w:val="91"/>
    <w:semiHidden/>
    <w:qFormat/>
    <w:uiPriority w:val="0"/>
    <w:rPr>
      <w:rFonts w:eastAsia="宋体"/>
      <w:kern w:val="2"/>
      <w:sz w:val="24"/>
      <w:szCs w:val="24"/>
      <w:lang w:val="en-US" w:eastAsia="zh-CN" w:bidi="ar-SA"/>
    </w:rPr>
  </w:style>
  <w:style w:type="paragraph" w:customStyle="1" w:styleId="203">
    <w:name w:val="标题3"/>
    <w:next w:val="1"/>
    <w:qFormat/>
    <w:uiPriority w:val="0"/>
    <w:pPr>
      <w:spacing w:line="360" w:lineRule="auto"/>
      <w:ind w:firstLine="480" w:firstLineChars="200"/>
      <w:outlineLvl w:val="2"/>
    </w:pPr>
    <w:rPr>
      <w:rFonts w:ascii="Times New Roman" w:hAnsi="Times New Roman" w:eastAsia="宋体" w:cs="Times New Roman"/>
      <w:color w:val="0070C0"/>
      <w:kern w:val="2"/>
      <w:sz w:val="24"/>
      <w:szCs w:val="24"/>
      <w:lang w:val="en-US" w:eastAsia="zh-CN" w:bidi="ar-SA"/>
    </w:rPr>
  </w:style>
  <w:style w:type="character" w:customStyle="1" w:styleId="204">
    <w:name w:val="正文首行缩进 Char4"/>
    <w:qFormat/>
    <w:uiPriority w:val="0"/>
    <w:rPr>
      <w:rFonts w:eastAsia="宋体"/>
      <w:kern w:val="2"/>
      <w:sz w:val="21"/>
      <w:szCs w:val="24"/>
      <w:lang w:val="en-US" w:eastAsia="zh-CN" w:bidi="ar-SA"/>
    </w:rPr>
  </w:style>
  <w:style w:type="paragraph" w:customStyle="1" w:styleId="205">
    <w:name w:val="表头"/>
    <w:link w:val="206"/>
    <w:qFormat/>
    <w:uiPriority w:val="0"/>
    <w:pPr>
      <w:spacing w:line="440" w:lineRule="exact"/>
      <w:ind w:firstLine="198"/>
      <w:jc w:val="center"/>
    </w:pPr>
    <w:rPr>
      <w:rFonts w:ascii="Times New Roman" w:hAnsi="Times New Roman" w:eastAsia="宋体" w:cs="Times New Roman"/>
      <w:b/>
      <w:bCs/>
      <w:kern w:val="2"/>
      <w:sz w:val="21"/>
      <w:szCs w:val="21"/>
      <w:lang w:val="en-US" w:eastAsia="zh-CN" w:bidi="ar-SA"/>
    </w:rPr>
  </w:style>
  <w:style w:type="character" w:customStyle="1" w:styleId="206">
    <w:name w:val="表头 Char"/>
    <w:link w:val="205"/>
    <w:qFormat/>
    <w:uiPriority w:val="0"/>
    <w:rPr>
      <w:rFonts w:ascii="Times New Roman" w:hAnsi="Times New Roman" w:eastAsia="宋体" w:cs="Times New Roman"/>
      <w:b/>
      <w:bCs/>
      <w:szCs w:val="21"/>
    </w:rPr>
  </w:style>
  <w:style w:type="paragraph" w:customStyle="1" w:styleId="207">
    <w:name w:val="表号"/>
    <w:basedOn w:val="87"/>
    <w:link w:val="208"/>
    <w:qFormat/>
    <w:uiPriority w:val="0"/>
    <w:pPr>
      <w:spacing w:after="0"/>
      <w:ind w:firstLine="0" w:firstLineChars="0"/>
    </w:pPr>
    <w:rPr>
      <w:sz w:val="18"/>
      <w:szCs w:val="18"/>
    </w:rPr>
  </w:style>
  <w:style w:type="character" w:customStyle="1" w:styleId="208">
    <w:name w:val="表号 Char3"/>
    <w:link w:val="207"/>
    <w:qFormat/>
    <w:uiPriority w:val="0"/>
    <w:rPr>
      <w:rFonts w:ascii="Times New Roman" w:hAnsi="Times New Roman" w:eastAsia="宋体" w:cs="Times New Roman"/>
      <w:sz w:val="18"/>
      <w:szCs w:val="18"/>
    </w:rPr>
  </w:style>
  <w:style w:type="paragraph" w:customStyle="1" w:styleId="209">
    <w:name w:val="表文居中"/>
    <w:basedOn w:val="1"/>
    <w:semiHidden/>
    <w:qFormat/>
    <w:uiPriority w:val="0"/>
    <w:pPr>
      <w:autoSpaceDE w:val="0"/>
      <w:autoSpaceDN w:val="0"/>
      <w:adjustRightInd w:val="0"/>
      <w:spacing w:before="20"/>
      <w:ind w:firstLine="200" w:firstLineChars="200"/>
      <w:jc w:val="center"/>
      <w:textAlignment w:val="baseline"/>
    </w:pPr>
    <w:rPr>
      <w:rFonts w:ascii="Times New Roman" w:hAnsi="Times New Roman" w:eastAsia="宋体" w:cs="Times New Roman"/>
      <w:kern w:val="0"/>
      <w:sz w:val="24"/>
      <w:szCs w:val="20"/>
    </w:rPr>
  </w:style>
  <w:style w:type="paragraph" w:customStyle="1" w:styleId="210">
    <w:name w:val="表名 Char Char Char Char"/>
    <w:basedOn w:val="1"/>
    <w:link w:val="211"/>
    <w:semiHidden/>
    <w:qFormat/>
    <w:uiPriority w:val="0"/>
    <w:pPr>
      <w:autoSpaceDE w:val="0"/>
      <w:autoSpaceDN w:val="0"/>
      <w:adjustRightInd w:val="0"/>
      <w:snapToGrid w:val="0"/>
      <w:spacing w:before="163"/>
      <w:ind w:firstLine="200" w:firstLineChars="200"/>
      <w:jc w:val="center"/>
      <w:textAlignment w:val="baseline"/>
    </w:pPr>
    <w:rPr>
      <w:rFonts w:ascii="Arial" w:hAnsi="Arial" w:eastAsia="黑体" w:cs="Times New Roman"/>
      <w:sz w:val="24"/>
    </w:rPr>
  </w:style>
  <w:style w:type="character" w:customStyle="1" w:styleId="211">
    <w:name w:val="表名 Char Char Char Char Char2"/>
    <w:link w:val="210"/>
    <w:qFormat/>
    <w:uiPriority w:val="0"/>
    <w:rPr>
      <w:rFonts w:ascii="Arial" w:hAnsi="Arial" w:eastAsia="黑体" w:cs="Times New Roman"/>
      <w:sz w:val="24"/>
      <w:szCs w:val="21"/>
    </w:rPr>
  </w:style>
  <w:style w:type="paragraph" w:customStyle="1" w:styleId="212">
    <w:name w:val="样式 标题 3标题 3 Char Char Char + Times New Roman Char"/>
    <w:basedOn w:val="7"/>
    <w:link w:val="213"/>
    <w:semiHidden/>
    <w:qFormat/>
    <w:uiPriority w:val="0"/>
    <w:pPr>
      <w:numPr>
        <w:ilvl w:val="0"/>
        <w:numId w:val="0"/>
      </w:numPr>
      <w:tabs>
        <w:tab w:val="left" w:pos="4156"/>
      </w:tabs>
      <w:autoSpaceDE w:val="0"/>
      <w:autoSpaceDN w:val="0"/>
      <w:adjustRightInd w:val="0"/>
      <w:spacing w:before="120" w:after="120" w:line="360" w:lineRule="auto"/>
      <w:ind w:left="4156" w:hanging="420"/>
      <w:jc w:val="both"/>
      <w:textAlignment w:val="baseline"/>
    </w:pPr>
    <w:rPr>
      <w:rFonts w:ascii="Times" w:hAnsi="Times" w:eastAsia="黑体" w:cs="Times New Roman"/>
      <w:b w:val="0"/>
      <w:szCs w:val="24"/>
    </w:rPr>
  </w:style>
  <w:style w:type="character" w:customStyle="1" w:styleId="213">
    <w:name w:val="样式 标题 3标题 3 Char Char Char + Times New Roman Char Char"/>
    <w:link w:val="212"/>
    <w:qFormat/>
    <w:uiPriority w:val="0"/>
    <w:rPr>
      <w:rFonts w:ascii="Times" w:hAnsi="Times" w:eastAsia="黑体" w:cs="Times New Roman"/>
      <w:bCs/>
      <w:sz w:val="24"/>
      <w:szCs w:val="24"/>
    </w:rPr>
  </w:style>
  <w:style w:type="character" w:customStyle="1" w:styleId="214">
    <w:name w:val="批注框文本 Char2"/>
    <w:qFormat/>
    <w:uiPriority w:val="0"/>
    <w:rPr>
      <w:rFonts w:eastAsia="宋体"/>
      <w:kern w:val="2"/>
      <w:sz w:val="18"/>
      <w:szCs w:val="18"/>
      <w:lang w:val="en-US" w:eastAsia="zh-CN" w:bidi="ar-SA"/>
    </w:rPr>
  </w:style>
  <w:style w:type="character" w:customStyle="1" w:styleId="215">
    <w:name w:val="批注文字 Char"/>
    <w:basedOn w:val="91"/>
    <w:qFormat/>
    <w:uiPriority w:val="0"/>
  </w:style>
  <w:style w:type="character" w:customStyle="1" w:styleId="216">
    <w:name w:val="批注主题 Char"/>
    <w:basedOn w:val="215"/>
    <w:qFormat/>
    <w:uiPriority w:val="0"/>
    <w:rPr>
      <w:b/>
      <w:bCs/>
    </w:rPr>
  </w:style>
  <w:style w:type="paragraph" w:customStyle="1" w:styleId="217">
    <w:name w:val="默认段落字体 Para Char"/>
    <w:basedOn w:val="1"/>
    <w:next w:val="1"/>
    <w:link w:val="218"/>
    <w:qFormat/>
    <w:uiPriority w:val="0"/>
    <w:pPr>
      <w:ind w:firstLine="200" w:firstLineChars="200"/>
    </w:pPr>
    <w:rPr>
      <w:rFonts w:ascii="宋体" w:hAnsi="宋体" w:eastAsia="宋体" w:cs="宋体"/>
      <w:sz w:val="24"/>
      <w:szCs w:val="24"/>
    </w:rPr>
  </w:style>
  <w:style w:type="character" w:customStyle="1" w:styleId="218">
    <w:name w:val="默认段落字体 Para Char Char"/>
    <w:link w:val="217"/>
    <w:qFormat/>
    <w:uiPriority w:val="0"/>
    <w:rPr>
      <w:rFonts w:ascii="宋体" w:hAnsi="宋体" w:eastAsia="宋体" w:cs="宋体"/>
      <w:sz w:val="24"/>
      <w:szCs w:val="24"/>
    </w:rPr>
  </w:style>
  <w:style w:type="paragraph" w:customStyle="1" w:styleId="219">
    <w:name w:val="Char4 Char Char Char"/>
    <w:basedOn w:val="1"/>
    <w:qFormat/>
    <w:uiPriority w:val="0"/>
    <w:pPr>
      <w:adjustRightInd w:val="0"/>
      <w:snapToGrid w:val="0"/>
      <w:ind w:firstLine="200" w:firstLineChars="200"/>
    </w:pPr>
    <w:rPr>
      <w:rFonts w:ascii="Times New Roman" w:hAnsi="Times New Roman" w:eastAsia="宋体" w:cs="Times New Roman"/>
      <w:sz w:val="24"/>
      <w:szCs w:val="20"/>
    </w:rPr>
  </w:style>
  <w:style w:type="paragraph" w:customStyle="1" w:styleId="220">
    <w:name w:val="正文文字1"/>
    <w:basedOn w:val="1"/>
    <w:link w:val="221"/>
    <w:qFormat/>
    <w:uiPriority w:val="0"/>
    <w:pPr>
      <w:ind w:firstLine="480" w:firstLineChars="200"/>
    </w:pPr>
    <w:rPr>
      <w:rFonts w:ascii="Times New Roman" w:hAnsi="Times New Roman" w:eastAsia="宋体" w:cs="Times New Roman"/>
      <w:sz w:val="24"/>
      <w:szCs w:val="24"/>
    </w:rPr>
  </w:style>
  <w:style w:type="character" w:customStyle="1" w:styleId="221">
    <w:name w:val="正文文字1 Char"/>
    <w:link w:val="220"/>
    <w:qFormat/>
    <w:uiPriority w:val="0"/>
    <w:rPr>
      <w:rFonts w:ascii="Times New Roman" w:hAnsi="Times New Roman" w:eastAsia="宋体" w:cs="Times New Roman"/>
      <w:sz w:val="24"/>
      <w:szCs w:val="24"/>
    </w:rPr>
  </w:style>
  <w:style w:type="paragraph" w:customStyle="1" w:styleId="222">
    <w:name w:val="图名表名"/>
    <w:basedOn w:val="1"/>
    <w:qFormat/>
    <w:uiPriority w:val="0"/>
    <w:pPr>
      <w:jc w:val="center"/>
    </w:pPr>
    <w:rPr>
      <w:rFonts w:ascii="宋体" w:hAnsi="宋体" w:eastAsia="宋体" w:cs="Times New Roman"/>
      <w:b/>
      <w:iCs/>
      <w:szCs w:val="24"/>
    </w:rPr>
  </w:style>
  <w:style w:type="paragraph" w:customStyle="1" w:styleId="223">
    <w:name w:val="Char2 Char Char Char Char Char Char1 Char Char Char Char Char Char"/>
    <w:basedOn w:val="1"/>
    <w:qFormat/>
    <w:uiPriority w:val="0"/>
    <w:pPr>
      <w:ind w:firstLine="200" w:firstLineChars="200"/>
    </w:pPr>
    <w:rPr>
      <w:rFonts w:ascii="宋体" w:hAnsi="宋体" w:eastAsia="宋体" w:cs="宋体"/>
      <w:sz w:val="24"/>
      <w:szCs w:val="24"/>
    </w:rPr>
  </w:style>
  <w:style w:type="character" w:customStyle="1" w:styleId="224">
    <w:name w:val="日期 Char"/>
    <w:basedOn w:val="91"/>
    <w:link w:val="225"/>
    <w:qFormat/>
    <w:uiPriority w:val="0"/>
  </w:style>
  <w:style w:type="paragraph" w:customStyle="1" w:styleId="225">
    <w:name w:val="日期111"/>
    <w:basedOn w:val="1"/>
    <w:next w:val="1"/>
    <w:link w:val="224"/>
    <w:qFormat/>
    <w:uiPriority w:val="0"/>
    <w:pPr>
      <w:ind w:left="100" w:leftChars="2500" w:firstLine="200" w:firstLineChars="200"/>
    </w:pPr>
    <w:rPr>
      <w:rFonts w:ascii="Calibri" w:hAnsi="Calibri" w:eastAsia="宋体" w:cs="Times New Roman"/>
      <w:kern w:val="0"/>
      <w:sz w:val="24"/>
      <w:szCs w:val="20"/>
    </w:rPr>
  </w:style>
  <w:style w:type="paragraph" w:customStyle="1" w:styleId="226">
    <w:name w:val="四级标题"/>
    <w:basedOn w:val="1"/>
    <w:link w:val="227"/>
    <w:qFormat/>
    <w:uiPriority w:val="0"/>
    <w:pPr>
      <w:adjustRightInd w:val="0"/>
      <w:snapToGrid w:val="0"/>
      <w:spacing w:before="120" w:after="120" w:line="300" w:lineRule="auto"/>
      <w:outlineLvl w:val="3"/>
    </w:pPr>
    <w:rPr>
      <w:rFonts w:ascii="Times New Roman" w:hAnsi="Times New Roman" w:eastAsia="黑体" w:cs="Times New Roman"/>
      <w:b/>
      <w:sz w:val="24"/>
      <w:szCs w:val="24"/>
    </w:rPr>
  </w:style>
  <w:style w:type="character" w:customStyle="1" w:styleId="227">
    <w:name w:val="四级标题 Char Char"/>
    <w:link w:val="226"/>
    <w:qFormat/>
    <w:uiPriority w:val="0"/>
    <w:rPr>
      <w:rFonts w:ascii="Times New Roman" w:hAnsi="Times New Roman" w:eastAsia="黑体" w:cs="Times New Roman"/>
      <w:b/>
      <w:sz w:val="24"/>
      <w:szCs w:val="24"/>
    </w:rPr>
  </w:style>
  <w:style w:type="paragraph" w:customStyle="1" w:styleId="228">
    <w:name w:val="Char Char1"/>
    <w:basedOn w:val="1"/>
    <w:qFormat/>
    <w:uiPriority w:val="0"/>
    <w:pPr>
      <w:widowControl/>
      <w:tabs>
        <w:tab w:val="left" w:pos="630"/>
      </w:tabs>
      <w:spacing w:before="100" w:beforeAutospacing="1" w:after="100" w:afterAutospacing="1" w:line="240" w:lineRule="auto"/>
      <w:ind w:firstLine="422" w:firstLineChars="200"/>
      <w:jc w:val="center"/>
    </w:pPr>
    <w:rPr>
      <w:rFonts w:ascii="Times New Roman" w:hAnsi="宋体" w:eastAsia="宋体" w:cs="Times New Roman"/>
      <w:b/>
      <w:kern w:val="0"/>
      <w:lang w:eastAsia="en-US"/>
    </w:rPr>
  </w:style>
  <w:style w:type="paragraph" w:customStyle="1" w:styleId="229">
    <w:name w:val="Char2"/>
    <w:basedOn w:val="1"/>
    <w:qFormat/>
    <w:uiPriority w:val="0"/>
    <w:pPr>
      <w:tabs>
        <w:tab w:val="left" w:pos="360"/>
        <w:tab w:val="left" w:pos="1545"/>
      </w:tabs>
      <w:spacing w:line="240" w:lineRule="auto"/>
    </w:pPr>
    <w:rPr>
      <w:rFonts w:ascii="Times New Roman" w:hAnsi="Times New Roman" w:eastAsia="宋体" w:cs="Times New Roman"/>
      <w:szCs w:val="24"/>
    </w:rPr>
  </w:style>
  <w:style w:type="paragraph" w:customStyle="1" w:styleId="230">
    <w:name w:val="表"/>
    <w:basedOn w:val="1"/>
    <w:link w:val="231"/>
    <w:qFormat/>
    <w:uiPriority w:val="0"/>
    <w:pPr>
      <w:adjustRightInd w:val="0"/>
      <w:snapToGrid w:val="0"/>
      <w:spacing w:line="240" w:lineRule="auto"/>
      <w:jc w:val="center"/>
    </w:pPr>
    <w:rPr>
      <w:rFonts w:ascii="Times New Roman" w:hAnsi="Times New Roman" w:eastAsia="宋体" w:cs="Times New Roman"/>
      <w:bCs/>
      <w:sz w:val="22"/>
    </w:rPr>
  </w:style>
  <w:style w:type="character" w:customStyle="1" w:styleId="231">
    <w:name w:val="表 Char Char"/>
    <w:link w:val="230"/>
    <w:qFormat/>
    <w:uiPriority w:val="0"/>
    <w:rPr>
      <w:rFonts w:ascii="Times New Roman" w:hAnsi="Times New Roman" w:eastAsia="宋体" w:cs="Times New Roman"/>
      <w:bCs/>
      <w:sz w:val="22"/>
    </w:rPr>
  </w:style>
  <w:style w:type="character" w:customStyle="1" w:styleId="232">
    <w:name w:val="表头 Char1"/>
    <w:qFormat/>
    <w:uiPriority w:val="0"/>
    <w:rPr>
      <w:rFonts w:eastAsia="宋体"/>
      <w:spacing w:val="2"/>
      <w:kern w:val="2"/>
      <w:sz w:val="26"/>
      <w:szCs w:val="26"/>
      <w:lang w:val="en-US" w:eastAsia="zh-CN" w:bidi="ar-SA"/>
    </w:rPr>
  </w:style>
  <w:style w:type="character" w:customStyle="1" w:styleId="233">
    <w:name w:val="环评证文 Char"/>
    <w:link w:val="234"/>
    <w:qFormat/>
    <w:uiPriority w:val="0"/>
    <w:rPr>
      <w:rFonts w:ascii="宋体" w:hAnsi="宋体" w:eastAsia="宋体"/>
      <w:color w:val="000000"/>
      <w:sz w:val="24"/>
      <w:szCs w:val="24"/>
    </w:rPr>
  </w:style>
  <w:style w:type="paragraph" w:customStyle="1" w:styleId="234">
    <w:name w:val="环评证文"/>
    <w:basedOn w:val="1"/>
    <w:link w:val="233"/>
    <w:qFormat/>
    <w:uiPriority w:val="0"/>
    <w:pPr>
      <w:spacing w:line="440" w:lineRule="exact"/>
      <w:ind w:firstLine="480" w:firstLineChars="200"/>
    </w:pPr>
    <w:rPr>
      <w:rFonts w:ascii="宋体" w:hAnsi="宋体" w:eastAsia="宋体"/>
      <w:color w:val="000000"/>
      <w:sz w:val="24"/>
      <w:szCs w:val="24"/>
    </w:rPr>
  </w:style>
  <w:style w:type="character" w:customStyle="1" w:styleId="235">
    <w:name w:val="环评正文 Char"/>
    <w:link w:val="236"/>
    <w:qFormat/>
    <w:uiPriority w:val="0"/>
    <w:rPr>
      <w:rFonts w:ascii="宋体" w:hAnsi="宋体" w:eastAsia="宋体"/>
      <w:color w:val="000000"/>
      <w:sz w:val="24"/>
      <w:szCs w:val="24"/>
    </w:rPr>
  </w:style>
  <w:style w:type="paragraph" w:customStyle="1" w:styleId="236">
    <w:name w:val="环评正文"/>
    <w:basedOn w:val="1"/>
    <w:link w:val="235"/>
    <w:qFormat/>
    <w:uiPriority w:val="0"/>
    <w:pPr>
      <w:adjustRightInd w:val="0"/>
      <w:snapToGrid w:val="0"/>
      <w:spacing w:line="440" w:lineRule="exact"/>
      <w:ind w:firstLine="200" w:firstLineChars="200"/>
    </w:pPr>
    <w:rPr>
      <w:rFonts w:ascii="宋体" w:hAnsi="宋体" w:eastAsia="宋体"/>
      <w:color w:val="000000"/>
      <w:sz w:val="24"/>
      <w:szCs w:val="24"/>
    </w:rPr>
  </w:style>
  <w:style w:type="paragraph" w:customStyle="1" w:styleId="237">
    <w:name w:val="正文1"/>
    <w:basedOn w:val="1"/>
    <w:link w:val="238"/>
    <w:qFormat/>
    <w:uiPriority w:val="0"/>
    <w:pPr>
      <w:adjustRightInd w:val="0"/>
      <w:snapToGrid w:val="0"/>
      <w:spacing w:line="500" w:lineRule="exact"/>
      <w:ind w:firstLine="520" w:firstLineChars="200"/>
    </w:pPr>
    <w:rPr>
      <w:rFonts w:ascii="Times New Roman" w:hAnsi="Times New Roman" w:eastAsia="宋体" w:cs="Times New Roman"/>
      <w:sz w:val="26"/>
      <w:szCs w:val="26"/>
    </w:rPr>
  </w:style>
  <w:style w:type="character" w:customStyle="1" w:styleId="238">
    <w:name w:val="正文1 Char"/>
    <w:link w:val="237"/>
    <w:qFormat/>
    <w:uiPriority w:val="0"/>
    <w:rPr>
      <w:rFonts w:ascii="Times New Roman" w:hAnsi="Times New Roman" w:eastAsia="宋体" w:cs="Times New Roman"/>
      <w:sz w:val="26"/>
      <w:szCs w:val="26"/>
    </w:rPr>
  </w:style>
  <w:style w:type="character" w:customStyle="1" w:styleId="239">
    <w:name w:val="样式 样式 小四 段前: 7.8 磅 段后: 7.8 磅 行距: 1.5 倍行距 + 首行缩进:  2 字符 Char Char"/>
    <w:link w:val="240"/>
    <w:qFormat/>
    <w:uiPriority w:val="0"/>
    <w:rPr>
      <w:rFonts w:eastAsia="宋体"/>
      <w:sz w:val="24"/>
      <w:szCs w:val="24"/>
    </w:rPr>
  </w:style>
  <w:style w:type="paragraph" w:customStyle="1" w:styleId="240">
    <w:name w:val="样式 样式 小四 段前: 7.8 磅 段后: 7.8 磅 行距: 1.5 倍行距 + 首行缩进:  2 字符"/>
    <w:basedOn w:val="1"/>
    <w:link w:val="239"/>
    <w:qFormat/>
    <w:uiPriority w:val="0"/>
    <w:pPr>
      <w:ind w:firstLine="480" w:firstLineChars="200"/>
    </w:pPr>
    <w:rPr>
      <w:rFonts w:eastAsia="宋体"/>
      <w:sz w:val="24"/>
      <w:szCs w:val="24"/>
    </w:rPr>
  </w:style>
  <w:style w:type="character" w:customStyle="1" w:styleId="241">
    <w:name w:val="apple-style-span"/>
    <w:basedOn w:val="91"/>
    <w:qFormat/>
    <w:uiPriority w:val="0"/>
    <w:rPr>
      <w:rFonts w:eastAsia="宋体"/>
      <w:kern w:val="2"/>
      <w:sz w:val="24"/>
      <w:szCs w:val="24"/>
      <w:lang w:val="en-US" w:eastAsia="zh-CN" w:bidi="ar-SA"/>
    </w:rPr>
  </w:style>
  <w:style w:type="paragraph" w:customStyle="1" w:styleId="242">
    <w:name w:val="正文四号"/>
    <w:basedOn w:val="1"/>
    <w:link w:val="243"/>
    <w:qFormat/>
    <w:uiPriority w:val="0"/>
    <w:pPr>
      <w:ind w:firstLine="200" w:firstLineChars="200"/>
    </w:pPr>
    <w:rPr>
      <w:rFonts w:ascii="Times New Roman" w:hAnsi="Times New Roman" w:eastAsia="宋体" w:cs="宋体"/>
      <w:sz w:val="28"/>
      <w:szCs w:val="24"/>
    </w:rPr>
  </w:style>
  <w:style w:type="character" w:customStyle="1" w:styleId="243">
    <w:name w:val="正文四号 Char"/>
    <w:link w:val="242"/>
    <w:qFormat/>
    <w:uiPriority w:val="0"/>
    <w:rPr>
      <w:rFonts w:ascii="Times New Roman" w:hAnsi="Times New Roman" w:eastAsia="宋体" w:cs="宋体"/>
      <w:sz w:val="28"/>
      <w:szCs w:val="24"/>
    </w:rPr>
  </w:style>
  <w:style w:type="paragraph" w:customStyle="1" w:styleId="244">
    <w:name w:val="样式2"/>
    <w:basedOn w:val="7"/>
    <w:link w:val="245"/>
    <w:qFormat/>
    <w:uiPriority w:val="0"/>
    <w:pPr>
      <w:numPr>
        <w:ilvl w:val="0"/>
        <w:numId w:val="0"/>
      </w:numPr>
      <w:tabs>
        <w:tab w:val="left" w:pos="1134"/>
      </w:tabs>
      <w:spacing w:beforeLines="50" w:after="120" w:line="360" w:lineRule="auto"/>
      <w:ind w:left="1134" w:hanging="1134"/>
      <w:jc w:val="both"/>
    </w:pPr>
    <w:rPr>
      <w:rFonts w:eastAsia="宋体" w:cs="Times New Roman"/>
      <w:b w:val="0"/>
      <w:bCs w:val="0"/>
      <w:kern w:val="44"/>
      <w:szCs w:val="28"/>
    </w:rPr>
  </w:style>
  <w:style w:type="character" w:customStyle="1" w:styleId="245">
    <w:name w:val="样式2 Char Char"/>
    <w:link w:val="244"/>
    <w:qFormat/>
    <w:uiPriority w:val="0"/>
    <w:rPr>
      <w:rFonts w:ascii="Times New Roman" w:hAnsi="Times New Roman" w:eastAsia="宋体" w:cs="Times New Roman"/>
      <w:kern w:val="44"/>
      <w:sz w:val="24"/>
      <w:szCs w:val="28"/>
    </w:rPr>
  </w:style>
  <w:style w:type="paragraph" w:customStyle="1" w:styleId="246">
    <w:name w:val="++++++++1"/>
    <w:basedOn w:val="1"/>
    <w:link w:val="247"/>
    <w:qFormat/>
    <w:uiPriority w:val="0"/>
    <w:pPr>
      <w:spacing w:beforeLines="100" w:afterLines="100"/>
      <w:jc w:val="center"/>
      <w:outlineLvl w:val="0"/>
    </w:pPr>
    <w:rPr>
      <w:rFonts w:ascii="Times New Roman" w:hAnsi="Times New Roman" w:eastAsia="宋体" w:cs="宋体"/>
      <w:color w:val="000000"/>
      <w:sz w:val="44"/>
      <w:szCs w:val="44"/>
    </w:rPr>
  </w:style>
  <w:style w:type="character" w:customStyle="1" w:styleId="247">
    <w:name w:val="++++++++1 Char"/>
    <w:link w:val="246"/>
    <w:qFormat/>
    <w:uiPriority w:val="0"/>
    <w:rPr>
      <w:rFonts w:ascii="Times New Roman" w:hAnsi="Times New Roman" w:eastAsia="宋体" w:cs="宋体"/>
      <w:color w:val="000000"/>
      <w:sz w:val="44"/>
      <w:szCs w:val="44"/>
    </w:rPr>
  </w:style>
  <w:style w:type="paragraph" w:customStyle="1" w:styleId="248">
    <w:name w:val="Char"/>
    <w:basedOn w:val="1"/>
    <w:qFormat/>
    <w:uiPriority w:val="0"/>
    <w:pPr>
      <w:spacing w:line="240" w:lineRule="auto"/>
    </w:pPr>
    <w:rPr>
      <w:rFonts w:ascii="Times New Roman" w:hAnsi="Times New Roman" w:eastAsia="宋体" w:cs="Times New Roman"/>
    </w:rPr>
  </w:style>
  <w:style w:type="paragraph" w:customStyle="1" w:styleId="249">
    <w:name w:val="Char Char Char"/>
    <w:basedOn w:val="1"/>
    <w:qFormat/>
    <w:uiPriority w:val="0"/>
    <w:pPr>
      <w:spacing w:line="240" w:lineRule="auto"/>
    </w:pPr>
    <w:rPr>
      <w:rFonts w:ascii="Times New Roman" w:hAnsi="Times New Roman" w:eastAsia="宋体" w:cs="Times New Roman"/>
      <w:sz w:val="24"/>
      <w:szCs w:val="24"/>
    </w:rPr>
  </w:style>
  <w:style w:type="paragraph" w:customStyle="1" w:styleId="250">
    <w:name w:val="Char Char Char Char Char Char Char Char Char Char"/>
    <w:basedOn w:val="1"/>
    <w:qFormat/>
    <w:uiPriority w:val="0"/>
    <w:pPr>
      <w:spacing w:line="240" w:lineRule="auto"/>
    </w:pPr>
    <w:rPr>
      <w:rFonts w:ascii="宋体" w:hAnsi="宋体" w:eastAsia="宋体" w:cs="Times New Roman"/>
      <w:sz w:val="24"/>
      <w:szCs w:val="20"/>
    </w:rPr>
  </w:style>
  <w:style w:type="paragraph" w:customStyle="1" w:styleId="251">
    <w:name w:val="报告表正文"/>
    <w:basedOn w:val="1"/>
    <w:link w:val="252"/>
    <w:qFormat/>
    <w:uiPriority w:val="0"/>
    <w:pPr>
      <w:adjustRightInd w:val="0"/>
      <w:spacing w:line="312" w:lineRule="auto"/>
      <w:ind w:left="113" w:right="113" w:firstLine="482"/>
      <w:jc w:val="left"/>
      <w:textAlignment w:val="baseline"/>
    </w:pPr>
    <w:rPr>
      <w:rFonts w:ascii="Times New Roman" w:hAnsi="Times New Roman" w:eastAsia="宋体" w:cs="Times New Roman"/>
      <w:sz w:val="24"/>
      <w:szCs w:val="24"/>
    </w:rPr>
  </w:style>
  <w:style w:type="character" w:customStyle="1" w:styleId="252">
    <w:name w:val="报告表正文 Char"/>
    <w:link w:val="251"/>
    <w:qFormat/>
    <w:uiPriority w:val="0"/>
    <w:rPr>
      <w:rFonts w:ascii="Times New Roman" w:hAnsi="Times New Roman" w:eastAsia="宋体" w:cs="Times New Roman"/>
      <w:sz w:val="24"/>
      <w:szCs w:val="24"/>
    </w:rPr>
  </w:style>
  <w:style w:type="character" w:customStyle="1" w:styleId="253">
    <w:name w:val="正文文本 (17)"/>
    <w:qFormat/>
    <w:uiPriority w:val="0"/>
    <w:rPr>
      <w:rFonts w:ascii="MingLiU" w:eastAsia="MingLiU"/>
      <w:kern w:val="2"/>
      <w:sz w:val="24"/>
      <w:szCs w:val="24"/>
      <w:lang w:val="en-US" w:eastAsia="zh-CN" w:bidi="ar-SA"/>
    </w:rPr>
  </w:style>
  <w:style w:type="character" w:customStyle="1" w:styleId="254">
    <w:name w:val="标题 #5 (4)"/>
    <w:qFormat/>
    <w:uiPriority w:val="0"/>
    <w:rPr>
      <w:rFonts w:ascii="MingLiU" w:eastAsia="MingLiU"/>
      <w:kern w:val="2"/>
      <w:sz w:val="28"/>
      <w:szCs w:val="28"/>
      <w:lang w:val="en-US" w:eastAsia="zh-CN" w:bidi="ar-SA"/>
    </w:rPr>
  </w:style>
  <w:style w:type="character" w:customStyle="1" w:styleId="255">
    <w:name w:val="标题4 Char"/>
    <w:link w:val="256"/>
    <w:qFormat/>
    <w:uiPriority w:val="0"/>
    <w:rPr>
      <w:rFonts w:eastAsia="Times New Roman"/>
      <w:b/>
      <w:bCs/>
      <w:kern w:val="44"/>
      <w:sz w:val="28"/>
      <w:szCs w:val="44"/>
    </w:rPr>
  </w:style>
  <w:style w:type="paragraph" w:customStyle="1" w:styleId="256">
    <w:name w:val="标题4"/>
    <w:link w:val="255"/>
    <w:qFormat/>
    <w:uiPriority w:val="0"/>
    <w:pPr>
      <w:spacing w:before="120" w:after="120" w:line="413" w:lineRule="auto"/>
      <w:jc w:val="both"/>
      <w:outlineLvl w:val="3"/>
    </w:pPr>
    <w:rPr>
      <w:rFonts w:eastAsia="Times New Roman" w:asciiTheme="minorHAnsi" w:hAnsiTheme="minorHAnsi" w:cstheme="minorBidi"/>
      <w:b/>
      <w:bCs/>
      <w:kern w:val="44"/>
      <w:sz w:val="28"/>
      <w:szCs w:val="44"/>
      <w:lang w:val="en-US" w:eastAsia="zh-CN" w:bidi="ar-SA"/>
    </w:rPr>
  </w:style>
  <w:style w:type="paragraph" w:customStyle="1" w:styleId="257">
    <w:name w:val="样式 样式 标题 3 + 宋体 四号 + (西文) Times New Roman"/>
    <w:basedOn w:val="1"/>
    <w:link w:val="258"/>
    <w:qFormat/>
    <w:uiPriority w:val="0"/>
    <w:pPr>
      <w:keepNext/>
      <w:keepLines/>
      <w:adjustRightInd w:val="0"/>
      <w:spacing w:line="500" w:lineRule="exact"/>
      <w:jc w:val="left"/>
      <w:textAlignment w:val="baseline"/>
      <w:outlineLvl w:val="2"/>
    </w:pPr>
    <w:rPr>
      <w:rFonts w:ascii="Times New Roman" w:hAnsi="Times New Roman" w:eastAsia="宋体" w:cs="Times New Roman"/>
      <w:b/>
      <w:bCs/>
      <w:sz w:val="28"/>
      <w:szCs w:val="24"/>
    </w:rPr>
  </w:style>
  <w:style w:type="character" w:customStyle="1" w:styleId="258">
    <w:name w:val="样式 样式 标题 3 + 宋体 四号 + (西文) Times New Roman Char"/>
    <w:link w:val="257"/>
    <w:qFormat/>
    <w:uiPriority w:val="0"/>
    <w:rPr>
      <w:rFonts w:ascii="Times New Roman" w:hAnsi="Times New Roman" w:eastAsia="宋体" w:cs="Times New Roman"/>
      <w:b/>
      <w:bCs/>
      <w:sz w:val="28"/>
      <w:szCs w:val="24"/>
    </w:rPr>
  </w:style>
  <w:style w:type="paragraph" w:customStyle="1" w:styleId="259">
    <w:name w:val="样式 纯文本普通文字 Char普通文字 Char Char Char普通文字 Char Char + Times New ..."/>
    <w:basedOn w:val="46"/>
    <w:qFormat/>
    <w:uiPriority w:val="0"/>
    <w:pPr>
      <w:ind w:firstLine="480"/>
    </w:pPr>
    <w:rPr>
      <w:rFonts w:ascii="Times New Roman" w:hAnsi="Times New Roman" w:cs="宋体"/>
      <w:kern w:val="0"/>
      <w:sz w:val="28"/>
    </w:rPr>
  </w:style>
  <w:style w:type="paragraph" w:customStyle="1" w:styleId="260">
    <w:name w:val="样式 纯文本普通文字 Char普通文字 Char Char Char普通文字 Char Char + 四号 行距: 固定..."/>
    <w:basedOn w:val="46"/>
    <w:qFormat/>
    <w:uiPriority w:val="0"/>
    <w:pPr>
      <w:spacing w:line="500" w:lineRule="exact"/>
      <w:ind w:firstLine="560"/>
    </w:pPr>
    <w:rPr>
      <w:rFonts w:ascii="Times New Roman" w:hAnsi="Times New Roman"/>
      <w:color w:val="0000CC"/>
      <w:sz w:val="28"/>
      <w:szCs w:val="28"/>
    </w:rPr>
  </w:style>
  <w:style w:type="character" w:customStyle="1" w:styleId="261">
    <w:name w:val="Char Char22"/>
    <w:qFormat/>
    <w:uiPriority w:val="0"/>
    <w:rPr>
      <w:rFonts w:ascii="宋体" w:hAnsi="宋体" w:eastAsia="仿宋_GB2312"/>
      <w:kern w:val="2"/>
      <w:sz w:val="28"/>
      <w:lang w:val="en-US" w:eastAsia="zh-CN" w:bidi="ar-SA"/>
    </w:rPr>
  </w:style>
  <w:style w:type="paragraph" w:customStyle="1" w:styleId="262">
    <w:name w:val="表格内容"/>
    <w:link w:val="263"/>
    <w:qFormat/>
    <w:uiPriority w:val="0"/>
    <w:pPr>
      <w:autoSpaceDE w:val="0"/>
      <w:autoSpaceDN w:val="0"/>
      <w:adjustRightInd w:val="0"/>
      <w:jc w:val="center"/>
    </w:pPr>
    <w:rPr>
      <w:rFonts w:ascii="Calibri" w:hAnsi="Calibri" w:eastAsia="宋体" w:cs="Times New Roman"/>
      <w:kern w:val="2"/>
      <w:sz w:val="18"/>
      <w:szCs w:val="21"/>
      <w:lang w:val="en-US" w:eastAsia="zh-CN" w:bidi="ar-SA"/>
    </w:rPr>
  </w:style>
  <w:style w:type="character" w:customStyle="1" w:styleId="263">
    <w:name w:val="表格内容 Char"/>
    <w:link w:val="262"/>
    <w:qFormat/>
    <w:uiPriority w:val="0"/>
    <w:rPr>
      <w:rFonts w:ascii="Calibri" w:hAnsi="Calibri" w:eastAsia="宋体" w:cs="Times New Roman"/>
      <w:sz w:val="18"/>
    </w:rPr>
  </w:style>
  <w:style w:type="paragraph" w:customStyle="1" w:styleId="264">
    <w:name w:val="列出段落112"/>
    <w:basedOn w:val="1"/>
    <w:qFormat/>
    <w:uiPriority w:val="0"/>
    <w:pPr>
      <w:spacing w:line="240" w:lineRule="auto"/>
      <w:jc w:val="left"/>
    </w:pPr>
    <w:rPr>
      <w:rFonts w:ascii="Calibri" w:hAnsi="Calibri" w:eastAsia="宋体" w:cs="Calibri"/>
      <w:kern w:val="0"/>
      <w:sz w:val="22"/>
      <w:lang w:eastAsia="en-US"/>
    </w:rPr>
  </w:style>
  <w:style w:type="paragraph" w:customStyle="1" w:styleId="265">
    <w:name w:val="Char1 Char Char Char Char Char Char Char Char"/>
    <w:basedOn w:val="1"/>
    <w:qFormat/>
    <w:uiPriority w:val="0"/>
    <w:pPr>
      <w:ind w:firstLine="200" w:firstLineChars="200"/>
    </w:pPr>
    <w:rPr>
      <w:rFonts w:ascii="Times New Roman" w:hAnsi="Times New Roman" w:eastAsia="宋体" w:cs="Times New Roman"/>
      <w:szCs w:val="24"/>
    </w:rPr>
  </w:style>
  <w:style w:type="paragraph" w:customStyle="1" w:styleId="266">
    <w:name w:val="Default"/>
    <w:link w:val="26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67">
    <w:name w:val="Default Char Char"/>
    <w:link w:val="266"/>
    <w:qFormat/>
    <w:uiPriority w:val="0"/>
    <w:rPr>
      <w:rFonts w:ascii="宋体" w:hAnsi="Times New Roman" w:eastAsia="宋体" w:cs="宋体"/>
      <w:color w:val="000000"/>
      <w:kern w:val="0"/>
      <w:sz w:val="24"/>
      <w:szCs w:val="24"/>
    </w:rPr>
  </w:style>
  <w:style w:type="character" w:customStyle="1" w:styleId="268">
    <w:name w:val="表 Char Char Char"/>
    <w:qFormat/>
    <w:uiPriority w:val="0"/>
    <w:rPr>
      <w:rFonts w:eastAsia="宋体"/>
      <w:kern w:val="2"/>
      <w:sz w:val="21"/>
      <w:szCs w:val="21"/>
    </w:rPr>
  </w:style>
  <w:style w:type="character" w:customStyle="1" w:styleId="269">
    <w:name w:val="日期 Char2"/>
    <w:qFormat/>
    <w:uiPriority w:val="0"/>
    <w:rPr>
      <w:rFonts w:ascii="Calibri" w:hAnsi="Calibri" w:eastAsia="宋体" w:cs="Times New Roman"/>
      <w:sz w:val="24"/>
    </w:rPr>
  </w:style>
  <w:style w:type="character" w:customStyle="1" w:styleId="270">
    <w:name w:val="段落 Char Char Char Char Char"/>
    <w:qFormat/>
    <w:uiPriority w:val="0"/>
    <w:rPr>
      <w:rFonts w:eastAsia="宋体"/>
      <w:kern w:val="2"/>
      <w:sz w:val="24"/>
      <w:szCs w:val="24"/>
    </w:rPr>
  </w:style>
  <w:style w:type="character" w:customStyle="1" w:styleId="271">
    <w:name w:val="报告书正文 Char Char Char Char Char Char Char"/>
    <w:qFormat/>
    <w:uiPriority w:val="0"/>
    <w:rPr>
      <w:rFonts w:ascii="宋体" w:eastAsia="宋体"/>
      <w:kern w:val="2"/>
      <w:sz w:val="24"/>
      <w:lang w:val="en-US" w:eastAsia="zh-CN" w:bidi="ar-SA"/>
    </w:rPr>
  </w:style>
  <w:style w:type="character" w:customStyle="1" w:styleId="272">
    <w:name w:val="签名 Char3"/>
    <w:qFormat/>
    <w:uiPriority w:val="0"/>
    <w:rPr>
      <w:szCs w:val="21"/>
    </w:rPr>
  </w:style>
  <w:style w:type="character" w:customStyle="1" w:styleId="273">
    <w:name w:val="我的正文 Char"/>
    <w:qFormat/>
    <w:uiPriority w:val="0"/>
    <w:rPr>
      <w:rFonts w:eastAsia="宋体"/>
      <w:kern w:val="2"/>
      <w:sz w:val="24"/>
      <w:lang w:val="en-US" w:eastAsia="zh-CN"/>
    </w:rPr>
  </w:style>
  <w:style w:type="character" w:customStyle="1" w:styleId="274">
    <w:name w:val="签名 Char2"/>
    <w:qFormat/>
    <w:uiPriority w:val="0"/>
    <w:rPr>
      <w:kern w:val="2"/>
      <w:sz w:val="21"/>
      <w:szCs w:val="24"/>
    </w:rPr>
  </w:style>
  <w:style w:type="character" w:customStyle="1" w:styleId="275">
    <w:name w:val="普通文字 Char1"/>
    <w:qFormat/>
    <w:uiPriority w:val="0"/>
    <w:rPr>
      <w:rFonts w:ascii="宋体" w:hAnsi="Times New Roman"/>
      <w:kern w:val="2"/>
      <w:sz w:val="24"/>
    </w:rPr>
  </w:style>
  <w:style w:type="character" w:customStyle="1" w:styleId="276">
    <w:name w:val="样式 标题 2 + 红色 Char Char Char"/>
    <w:qFormat/>
    <w:uiPriority w:val="0"/>
    <w:rPr>
      <w:rFonts w:ascii="Arial" w:hAnsi="Arial"/>
      <w:b/>
      <w:color w:val="FF0000"/>
      <w:spacing w:val="-8"/>
      <w:sz w:val="28"/>
    </w:rPr>
  </w:style>
  <w:style w:type="character" w:customStyle="1" w:styleId="277">
    <w:name w:val="尾注文本 Char1"/>
    <w:qFormat/>
    <w:uiPriority w:val="0"/>
    <w:rPr>
      <w:rFonts w:ascii="Calibri" w:hAnsi="Calibri" w:eastAsia="宋体" w:cs="Times New Roman"/>
      <w:sz w:val="24"/>
    </w:rPr>
  </w:style>
  <w:style w:type="character" w:customStyle="1" w:styleId="278">
    <w:name w:val="正文文字缩进 Char Char"/>
    <w:qFormat/>
    <w:uiPriority w:val="0"/>
    <w:rPr>
      <w:rFonts w:eastAsia="宋体"/>
      <w:kern w:val="2"/>
      <w:sz w:val="24"/>
      <w:szCs w:val="24"/>
      <w:lang w:val="en-US" w:eastAsia="zh-CN" w:bidi="ar-SA"/>
    </w:rPr>
  </w:style>
  <w:style w:type="character" w:customStyle="1" w:styleId="279">
    <w:name w:val="正文文本缩进 3 Char1"/>
    <w:qFormat/>
    <w:uiPriority w:val="0"/>
    <w:rPr>
      <w:rFonts w:ascii="Calibri" w:hAnsi="Calibri" w:eastAsia="宋体" w:cs="Times New Roman"/>
      <w:sz w:val="16"/>
      <w:szCs w:val="16"/>
    </w:rPr>
  </w:style>
  <w:style w:type="character" w:customStyle="1" w:styleId="280">
    <w:name w:val="样式 样式 小四 蓝色 行距: 固定值 30 磅 + 行距: 1.5 倍行距 Char Char Char"/>
    <w:qFormat/>
    <w:uiPriority w:val="0"/>
    <w:rPr>
      <w:color w:val="0000FF"/>
      <w:sz w:val="24"/>
    </w:rPr>
  </w:style>
  <w:style w:type="paragraph" w:customStyle="1" w:styleId="281">
    <w:name w:val="样式 标题 4 + 段前: 0.5 行 段后: 0.5 行"/>
    <w:basedOn w:val="8"/>
    <w:qFormat/>
    <w:uiPriority w:val="0"/>
    <w:pPr>
      <w:numPr>
        <w:ilvl w:val="0"/>
        <w:numId w:val="0"/>
      </w:numPr>
      <w:spacing w:before="0" w:after="0" w:line="440" w:lineRule="exact"/>
      <w:jc w:val="both"/>
    </w:pPr>
    <w:rPr>
      <w:rFonts w:eastAsia="华文中宋" w:cs="宋体"/>
      <w:szCs w:val="24"/>
    </w:rPr>
  </w:style>
  <w:style w:type="character" w:customStyle="1" w:styleId="282">
    <w:name w:val="Char Char36"/>
    <w:qFormat/>
    <w:uiPriority w:val="0"/>
    <w:rPr>
      <w:b/>
      <w:kern w:val="2"/>
      <w:sz w:val="28"/>
    </w:rPr>
  </w:style>
  <w:style w:type="character" w:customStyle="1" w:styleId="283">
    <w:name w:val="副标题 Char1"/>
    <w:qFormat/>
    <w:uiPriority w:val="0"/>
    <w:rPr>
      <w:rFonts w:ascii="Cambria" w:hAnsi="Cambria" w:cs="Times New Roman"/>
      <w:b/>
      <w:bCs/>
      <w:kern w:val="28"/>
      <w:sz w:val="32"/>
      <w:szCs w:val="32"/>
    </w:rPr>
  </w:style>
  <w:style w:type="character" w:customStyle="1" w:styleId="284">
    <w:name w:val="特点 Char Char"/>
    <w:qFormat/>
    <w:uiPriority w:val="0"/>
    <w:rPr>
      <w:rFonts w:eastAsia="宋体"/>
      <w:kern w:val="2"/>
      <w:sz w:val="24"/>
      <w:szCs w:val="24"/>
      <w:lang w:val="en-US" w:eastAsia="zh-CN" w:bidi="ar-SA"/>
    </w:rPr>
  </w:style>
  <w:style w:type="character" w:customStyle="1" w:styleId="285">
    <w:name w:val="Char Char14"/>
    <w:qFormat/>
    <w:uiPriority w:val="0"/>
    <w:rPr>
      <w:kern w:val="2"/>
      <w:sz w:val="18"/>
      <w:szCs w:val="18"/>
    </w:rPr>
  </w:style>
  <w:style w:type="character" w:customStyle="1" w:styleId="286">
    <w:name w:val="表头1 Char Char"/>
    <w:link w:val="287"/>
    <w:qFormat/>
    <w:uiPriority w:val="0"/>
    <w:rPr>
      <w:rFonts w:eastAsia="黑体"/>
      <w:szCs w:val="28"/>
    </w:rPr>
  </w:style>
  <w:style w:type="paragraph" w:customStyle="1" w:styleId="287">
    <w:name w:val="表头1"/>
    <w:basedOn w:val="1"/>
    <w:next w:val="1"/>
    <w:link w:val="286"/>
    <w:qFormat/>
    <w:uiPriority w:val="0"/>
    <w:pPr>
      <w:tabs>
        <w:tab w:val="left" w:pos="605"/>
      </w:tabs>
      <w:adjustRightInd w:val="0"/>
      <w:snapToGrid w:val="0"/>
      <w:spacing w:line="240" w:lineRule="auto"/>
      <w:jc w:val="center"/>
    </w:pPr>
    <w:rPr>
      <w:rFonts w:eastAsia="黑体"/>
      <w:szCs w:val="28"/>
    </w:rPr>
  </w:style>
  <w:style w:type="character" w:customStyle="1" w:styleId="288">
    <w:name w:val="样式7 Char Char"/>
    <w:qFormat/>
    <w:uiPriority w:val="0"/>
    <w:rPr>
      <w:rFonts w:eastAsia="宋体"/>
      <w:kern w:val="2"/>
      <w:sz w:val="21"/>
      <w:lang w:val="en-US" w:eastAsia="zh-CN"/>
    </w:rPr>
  </w:style>
  <w:style w:type="character" w:customStyle="1" w:styleId="289">
    <w:name w:val="样式 (中文) 黑体 四号 加粗"/>
    <w:qFormat/>
    <w:uiPriority w:val="0"/>
    <w:rPr>
      <w:rFonts w:eastAsia="黑体"/>
      <w:b/>
      <w:bCs/>
      <w:sz w:val="30"/>
    </w:rPr>
  </w:style>
  <w:style w:type="character" w:customStyle="1" w:styleId="290">
    <w:name w:val="脚注文本 Char"/>
    <w:qFormat/>
    <w:uiPriority w:val="0"/>
    <w:rPr>
      <w:sz w:val="18"/>
      <w:szCs w:val="18"/>
    </w:rPr>
  </w:style>
  <w:style w:type="character" w:customStyle="1" w:styleId="291">
    <w:name w:val="正文(首行缩进) Char"/>
    <w:qFormat/>
    <w:uiPriority w:val="0"/>
    <w:rPr>
      <w:snapToGrid w:val="0"/>
      <w:sz w:val="24"/>
      <w:szCs w:val="24"/>
    </w:rPr>
  </w:style>
  <w:style w:type="character" w:customStyle="1" w:styleId="292">
    <w:name w:val="二章正文 Char Char Char Char Char"/>
    <w:link w:val="293"/>
    <w:qFormat/>
    <w:uiPriority w:val="0"/>
    <w:rPr>
      <w:rFonts w:ascii="宋体" w:eastAsia="Times New Roman"/>
      <w:sz w:val="24"/>
    </w:rPr>
  </w:style>
  <w:style w:type="paragraph" w:customStyle="1" w:styleId="293">
    <w:name w:val="二章正文 Char Char"/>
    <w:next w:val="69"/>
    <w:link w:val="292"/>
    <w:qFormat/>
    <w:uiPriority w:val="0"/>
    <w:pPr>
      <w:widowControl w:val="0"/>
      <w:adjustRightInd w:val="0"/>
      <w:snapToGrid w:val="0"/>
      <w:spacing w:line="560" w:lineRule="exact"/>
      <w:ind w:firstLine="225" w:firstLineChars="225"/>
      <w:jc w:val="both"/>
    </w:pPr>
    <w:rPr>
      <w:rFonts w:ascii="宋体" w:eastAsia="Times New Roman" w:hAnsiTheme="minorHAnsi" w:cstheme="minorBidi"/>
      <w:kern w:val="2"/>
      <w:sz w:val="24"/>
      <w:szCs w:val="21"/>
      <w:lang w:val="en-US" w:eastAsia="zh-CN" w:bidi="ar-SA"/>
    </w:rPr>
  </w:style>
  <w:style w:type="character" w:customStyle="1" w:styleId="294">
    <w:name w:val="文本正文专用 Char"/>
    <w:qFormat/>
    <w:uiPriority w:val="0"/>
    <w:rPr>
      <w:rFonts w:eastAsia="宋体" w:cs="宋体"/>
      <w:kern w:val="2"/>
      <w:sz w:val="24"/>
      <w:szCs w:val="24"/>
      <w:lang w:val="en-US" w:eastAsia="zh-CN" w:bidi="ar-SA"/>
    </w:rPr>
  </w:style>
  <w:style w:type="character" w:customStyle="1" w:styleId="295">
    <w:name w:val="样式1 Char Char"/>
    <w:link w:val="296"/>
    <w:qFormat/>
    <w:uiPriority w:val="0"/>
    <w:rPr>
      <w:rFonts w:eastAsia="华文中宋"/>
      <w:bCs/>
      <w:sz w:val="24"/>
      <w:szCs w:val="24"/>
    </w:rPr>
  </w:style>
  <w:style w:type="paragraph" w:customStyle="1" w:styleId="296">
    <w:name w:val="样式1"/>
    <w:basedOn w:val="281"/>
    <w:link w:val="295"/>
    <w:qFormat/>
    <w:uiPriority w:val="99"/>
    <w:rPr>
      <w:rFonts w:asciiTheme="minorHAnsi" w:hAnsiTheme="minorHAnsi" w:cstheme="minorBidi"/>
      <w:b w:val="0"/>
    </w:rPr>
  </w:style>
  <w:style w:type="character" w:customStyle="1" w:styleId="297">
    <w:name w:val="样式5 Char Char"/>
    <w:qFormat/>
    <w:uiPriority w:val="0"/>
    <w:rPr>
      <w:rFonts w:eastAsia="宋体"/>
      <w:kern w:val="2"/>
      <w:sz w:val="24"/>
      <w:lang w:val="en-US" w:eastAsia="zh-CN"/>
    </w:rPr>
  </w:style>
  <w:style w:type="character" w:customStyle="1" w:styleId="298">
    <w:name w:val="【表头】 Char"/>
    <w:qFormat/>
    <w:uiPriority w:val="0"/>
    <w:rPr>
      <w:rFonts w:cs="宋体"/>
      <w:sz w:val="24"/>
    </w:rPr>
  </w:style>
  <w:style w:type="character" w:customStyle="1" w:styleId="299">
    <w:name w:val="样式 标题 2节名节 + (中文) 宋体 Char Char Char"/>
    <w:qFormat/>
    <w:uiPriority w:val="0"/>
    <w:rPr>
      <w:b/>
      <w:color w:val="000000"/>
      <w:kern w:val="2"/>
      <w:sz w:val="30"/>
      <w:szCs w:val="28"/>
    </w:rPr>
  </w:style>
  <w:style w:type="character" w:customStyle="1" w:styleId="300">
    <w:name w:val="内容 Char"/>
    <w:qFormat/>
    <w:uiPriority w:val="0"/>
    <w:rPr>
      <w:rFonts w:eastAsia="宋体"/>
      <w:kern w:val="2"/>
      <w:sz w:val="24"/>
    </w:rPr>
  </w:style>
  <w:style w:type="character" w:customStyle="1" w:styleId="301">
    <w:name w:val="正文文本 Char1"/>
    <w:qFormat/>
    <w:uiPriority w:val="0"/>
    <w:rPr>
      <w:kern w:val="2"/>
      <w:sz w:val="21"/>
      <w:szCs w:val="24"/>
    </w:rPr>
  </w:style>
  <w:style w:type="character" w:customStyle="1" w:styleId="302">
    <w:name w:val="Char Char40"/>
    <w:qFormat/>
    <w:uiPriority w:val="0"/>
    <w:rPr>
      <w:rFonts w:ascii="宋体" w:eastAsia="黑体"/>
      <w:b/>
      <w:kern w:val="44"/>
      <w:sz w:val="44"/>
      <w:lang w:val="en-US" w:eastAsia="zh-CN" w:bidi="ar-SA"/>
    </w:rPr>
  </w:style>
  <w:style w:type="character" w:customStyle="1" w:styleId="303">
    <w:name w:val="我的正文 Char Char Char Char Char"/>
    <w:qFormat/>
    <w:uiPriority w:val="0"/>
    <w:rPr>
      <w:rFonts w:eastAsia="宋体"/>
      <w:kern w:val="2"/>
      <w:sz w:val="24"/>
      <w:lang w:val="en-US" w:eastAsia="zh-CN"/>
    </w:rPr>
  </w:style>
  <w:style w:type="character" w:customStyle="1" w:styleId="304">
    <w:name w:val="正文文本 2 Char1"/>
    <w:qFormat/>
    <w:uiPriority w:val="0"/>
    <w:rPr>
      <w:rFonts w:ascii="Calibri" w:hAnsi="Calibri" w:eastAsia="宋体" w:cs="Times New Roman"/>
      <w:sz w:val="24"/>
    </w:rPr>
  </w:style>
  <w:style w:type="character" w:customStyle="1" w:styleId="305">
    <w:name w:val="正文(首行缩进) Char Char"/>
    <w:link w:val="306"/>
    <w:qFormat/>
    <w:uiPriority w:val="0"/>
    <w:rPr>
      <w:snapToGrid w:val="0"/>
      <w:sz w:val="24"/>
      <w:szCs w:val="24"/>
    </w:rPr>
  </w:style>
  <w:style w:type="paragraph" w:customStyle="1" w:styleId="306">
    <w:name w:val="正文(首行缩进)"/>
    <w:basedOn w:val="1"/>
    <w:link w:val="305"/>
    <w:qFormat/>
    <w:uiPriority w:val="0"/>
    <w:pPr>
      <w:adjustRightInd w:val="0"/>
      <w:snapToGrid w:val="0"/>
      <w:ind w:firstLine="200" w:firstLineChars="200"/>
    </w:pPr>
    <w:rPr>
      <w:snapToGrid w:val="0"/>
      <w:sz w:val="24"/>
      <w:szCs w:val="24"/>
    </w:rPr>
  </w:style>
  <w:style w:type="character" w:customStyle="1" w:styleId="307">
    <w:name w:val="9f1"/>
    <w:qFormat/>
    <w:uiPriority w:val="0"/>
    <w:rPr>
      <w:sz w:val="18"/>
    </w:rPr>
  </w:style>
  <w:style w:type="character" w:customStyle="1" w:styleId="308">
    <w:name w:val="自定义正文 Char Char Char Char Char Char"/>
    <w:link w:val="309"/>
    <w:qFormat/>
    <w:uiPriority w:val="0"/>
    <w:rPr>
      <w:rFonts w:eastAsia="Times New Roman"/>
      <w:position w:val="-28"/>
      <w:sz w:val="28"/>
    </w:rPr>
  </w:style>
  <w:style w:type="paragraph" w:customStyle="1" w:styleId="309">
    <w:name w:val="自定义正文 Char Char Char Char"/>
    <w:link w:val="308"/>
    <w:qFormat/>
    <w:uiPriority w:val="0"/>
    <w:pPr>
      <w:widowControl w:val="0"/>
      <w:topLinePunct/>
      <w:adjustRightInd w:val="0"/>
      <w:snapToGrid w:val="0"/>
      <w:spacing w:line="360" w:lineRule="auto"/>
      <w:ind w:firstLine="510"/>
      <w:jc w:val="both"/>
    </w:pPr>
    <w:rPr>
      <w:rFonts w:eastAsia="Times New Roman" w:asciiTheme="minorHAnsi" w:hAnsiTheme="minorHAnsi" w:cstheme="minorBidi"/>
      <w:kern w:val="2"/>
      <w:position w:val="-28"/>
      <w:sz w:val="28"/>
      <w:szCs w:val="21"/>
      <w:lang w:val="en-US" w:eastAsia="zh-CN" w:bidi="ar-SA"/>
    </w:rPr>
  </w:style>
  <w:style w:type="character" w:customStyle="1" w:styleId="310">
    <w:name w:val="日期 Char1"/>
    <w:qFormat/>
    <w:uiPriority w:val="0"/>
    <w:rPr>
      <w:szCs w:val="21"/>
    </w:rPr>
  </w:style>
  <w:style w:type="character" w:customStyle="1" w:styleId="311">
    <w:name w:val="我的正文 Char Char Char Char"/>
    <w:link w:val="312"/>
    <w:qFormat/>
    <w:uiPriority w:val="0"/>
    <w:rPr>
      <w:rFonts w:eastAsia="宋体"/>
      <w:sz w:val="24"/>
    </w:rPr>
  </w:style>
  <w:style w:type="paragraph" w:customStyle="1" w:styleId="312">
    <w:name w:val="我的正文"/>
    <w:basedOn w:val="1"/>
    <w:link w:val="311"/>
    <w:qFormat/>
    <w:uiPriority w:val="0"/>
    <w:pPr>
      <w:ind w:firstLine="200" w:firstLineChars="200"/>
    </w:pPr>
    <w:rPr>
      <w:rFonts w:eastAsia="宋体"/>
      <w:sz w:val="24"/>
    </w:rPr>
  </w:style>
  <w:style w:type="character" w:customStyle="1" w:styleId="313">
    <w:name w:val="表格 Char"/>
    <w:qFormat/>
    <w:uiPriority w:val="0"/>
    <w:rPr>
      <w:rFonts w:ascii="宋体" w:eastAsia="宋体"/>
      <w:snapToGrid w:val="0"/>
      <w:sz w:val="24"/>
    </w:rPr>
  </w:style>
  <w:style w:type="character" w:customStyle="1" w:styleId="314">
    <w:name w:val="xyb自建正文 Char Char Char Char Char Char"/>
    <w:qFormat/>
    <w:uiPriority w:val="0"/>
    <w:rPr>
      <w:rFonts w:ascii="宋体" w:eastAsia="宋体"/>
      <w:spacing w:val="-2"/>
      <w:kern w:val="2"/>
      <w:sz w:val="24"/>
      <w:lang w:val="en-US" w:eastAsia="zh-CN"/>
    </w:rPr>
  </w:style>
  <w:style w:type="character" w:customStyle="1" w:styleId="315">
    <w:name w:val="图名 Char"/>
    <w:link w:val="316"/>
    <w:qFormat/>
    <w:uiPriority w:val="0"/>
    <w:rPr>
      <w:rFonts w:eastAsia="黑体"/>
      <w:b/>
      <w:szCs w:val="24"/>
    </w:rPr>
  </w:style>
  <w:style w:type="paragraph" w:customStyle="1" w:styleId="316">
    <w:name w:val="图名"/>
    <w:link w:val="315"/>
    <w:qFormat/>
    <w:uiPriority w:val="0"/>
    <w:pPr>
      <w:spacing w:afterLines="50"/>
      <w:jc w:val="center"/>
    </w:pPr>
    <w:rPr>
      <w:rFonts w:eastAsia="黑体" w:asciiTheme="minorHAnsi" w:hAnsiTheme="minorHAnsi" w:cstheme="minorBidi"/>
      <w:b/>
      <w:kern w:val="2"/>
      <w:sz w:val="21"/>
      <w:szCs w:val="24"/>
      <w:lang w:val="en-US" w:eastAsia="zh-CN" w:bidi="ar-SA"/>
    </w:rPr>
  </w:style>
  <w:style w:type="character" w:customStyle="1" w:styleId="317">
    <w:name w:val="二章正文 Char Char Char Char"/>
    <w:link w:val="318"/>
    <w:qFormat/>
    <w:uiPriority w:val="0"/>
    <w:rPr>
      <w:rFonts w:eastAsia="Times New Roman"/>
      <w:sz w:val="24"/>
    </w:rPr>
  </w:style>
  <w:style w:type="paragraph" w:customStyle="1" w:styleId="318">
    <w:name w:val="二章正文"/>
    <w:next w:val="319"/>
    <w:link w:val="317"/>
    <w:qFormat/>
    <w:uiPriority w:val="0"/>
    <w:pPr>
      <w:widowControl w:val="0"/>
      <w:spacing w:before="156" w:line="360" w:lineRule="auto"/>
      <w:ind w:firstLine="482"/>
      <w:jc w:val="both"/>
    </w:pPr>
    <w:rPr>
      <w:rFonts w:eastAsia="Times New Roman" w:asciiTheme="minorHAnsi" w:hAnsiTheme="minorHAnsi" w:cstheme="minorBidi"/>
      <w:kern w:val="2"/>
      <w:sz w:val="24"/>
      <w:szCs w:val="21"/>
      <w:lang w:val="en-US" w:eastAsia="zh-CN" w:bidi="ar-SA"/>
    </w:rPr>
  </w:style>
  <w:style w:type="paragraph" w:customStyle="1" w:styleId="319">
    <w:name w:val="文本"/>
    <w:basedOn w:val="1"/>
    <w:next w:val="46"/>
    <w:qFormat/>
    <w:uiPriority w:val="0"/>
    <w:pPr>
      <w:spacing w:line="240" w:lineRule="auto"/>
    </w:pPr>
    <w:rPr>
      <w:rFonts w:ascii="宋体" w:hAnsi="Times New Roman" w:eastAsia="宋体" w:cs="Times New Roman"/>
      <w:sz w:val="24"/>
      <w:szCs w:val="20"/>
    </w:rPr>
  </w:style>
  <w:style w:type="character" w:customStyle="1" w:styleId="320">
    <w:name w:val="表格文字 Char Char Char Char"/>
    <w:qFormat/>
    <w:uiPriority w:val="0"/>
    <w:rPr>
      <w:rFonts w:eastAsia="宋体"/>
      <w:kern w:val="2"/>
      <w:sz w:val="21"/>
      <w:lang w:val="en-US" w:eastAsia="zh-CN" w:bidi="ar-SA"/>
    </w:rPr>
  </w:style>
  <w:style w:type="character" w:customStyle="1" w:styleId="321">
    <w:name w:val="Char Char38"/>
    <w:qFormat/>
    <w:uiPriority w:val="0"/>
    <w:rPr>
      <w:rFonts w:eastAsia="宋体"/>
      <w:b/>
      <w:bCs/>
      <w:kern w:val="2"/>
      <w:sz w:val="26"/>
      <w:szCs w:val="32"/>
      <w:lang w:val="en-US" w:eastAsia="zh-CN" w:bidi="ar-SA"/>
    </w:rPr>
  </w:style>
  <w:style w:type="character" w:customStyle="1" w:styleId="322">
    <w:name w:val="表号文字 Char Char"/>
    <w:link w:val="323"/>
    <w:qFormat/>
    <w:uiPriority w:val="0"/>
    <w:rPr>
      <w:rFonts w:eastAsia="黑体"/>
      <w:sz w:val="24"/>
      <w:szCs w:val="24"/>
    </w:rPr>
  </w:style>
  <w:style w:type="paragraph" w:customStyle="1" w:styleId="323">
    <w:name w:val="表号文字"/>
    <w:basedOn w:val="1"/>
    <w:link w:val="322"/>
    <w:qFormat/>
    <w:uiPriority w:val="0"/>
    <w:pPr>
      <w:adjustRightInd w:val="0"/>
      <w:snapToGrid w:val="0"/>
      <w:spacing w:before="120" w:line="300" w:lineRule="auto"/>
      <w:jc w:val="left"/>
    </w:pPr>
    <w:rPr>
      <w:rFonts w:eastAsia="黑体"/>
      <w:sz w:val="24"/>
      <w:szCs w:val="24"/>
    </w:rPr>
  </w:style>
  <w:style w:type="character" w:customStyle="1" w:styleId="324">
    <w:name w:val="header odd Char"/>
    <w:qFormat/>
    <w:uiPriority w:val="0"/>
    <w:rPr>
      <w:rFonts w:eastAsia="宋体"/>
      <w:kern w:val="2"/>
      <w:sz w:val="18"/>
      <w:szCs w:val="18"/>
      <w:lang w:bidi="ar-SA"/>
    </w:rPr>
  </w:style>
  <w:style w:type="character" w:customStyle="1" w:styleId="325">
    <w:name w:val="日期 Char3"/>
    <w:qFormat/>
    <w:uiPriority w:val="0"/>
    <w:rPr>
      <w:kern w:val="2"/>
      <w:sz w:val="21"/>
      <w:szCs w:val="22"/>
    </w:rPr>
  </w:style>
  <w:style w:type="character" w:customStyle="1" w:styleId="326">
    <w:name w:val="样式 样式 样式4 + 黑色 + 自动设置 Char Char"/>
    <w:qFormat/>
    <w:uiPriority w:val="0"/>
    <w:rPr>
      <w:rFonts w:eastAsia="华文中宋"/>
      <w:color w:val="000000"/>
      <w:kern w:val="2"/>
      <w:sz w:val="24"/>
      <w:szCs w:val="24"/>
      <w:lang w:val="en-US" w:eastAsia="zh-CN"/>
    </w:rPr>
  </w:style>
  <w:style w:type="character" w:customStyle="1" w:styleId="327">
    <w:name w:val="正文首行缩进 2 Char2"/>
    <w:qFormat/>
    <w:uiPriority w:val="0"/>
    <w:rPr>
      <w:kern w:val="2"/>
      <w:sz w:val="21"/>
      <w:szCs w:val="22"/>
    </w:rPr>
  </w:style>
  <w:style w:type="character" w:customStyle="1" w:styleId="328">
    <w:name w:val="二章正文 Char"/>
    <w:qFormat/>
    <w:uiPriority w:val="0"/>
    <w:rPr>
      <w:rFonts w:ascii="宋体" w:eastAsia="宋体"/>
      <w:kern w:val="2"/>
      <w:sz w:val="24"/>
      <w:lang w:val="en-US" w:eastAsia="zh-CN" w:bidi="ar-SA"/>
    </w:rPr>
  </w:style>
  <w:style w:type="character" w:customStyle="1" w:styleId="329">
    <w:name w:val="图片 Char Char"/>
    <w:qFormat/>
    <w:uiPriority w:val="0"/>
    <w:rPr>
      <w:rFonts w:eastAsia="黑体"/>
      <w:bCs/>
      <w:kern w:val="2"/>
      <w:sz w:val="24"/>
      <w:szCs w:val="24"/>
      <w:lang w:val="en-US" w:eastAsia="zh-CN" w:bidi="ar-SA"/>
    </w:rPr>
  </w:style>
  <w:style w:type="character" w:customStyle="1" w:styleId="330">
    <w:name w:val="title13"/>
    <w:qFormat/>
    <w:uiPriority w:val="0"/>
  </w:style>
  <w:style w:type="character" w:customStyle="1" w:styleId="331">
    <w:name w:val="页脚 Char2"/>
    <w:qFormat/>
    <w:uiPriority w:val="0"/>
    <w:rPr>
      <w:kern w:val="2"/>
      <w:sz w:val="18"/>
      <w:szCs w:val="18"/>
    </w:rPr>
  </w:style>
  <w:style w:type="character" w:customStyle="1" w:styleId="332">
    <w:name w:val="xyb自建正文 Char Char"/>
    <w:link w:val="333"/>
    <w:qFormat/>
    <w:uiPriority w:val="0"/>
    <w:rPr>
      <w:rFonts w:ascii="宋体" w:hAnsi="宋体" w:eastAsia="宋体" w:cs="宋体"/>
      <w:spacing w:val="-2"/>
      <w:sz w:val="24"/>
      <w:szCs w:val="24"/>
    </w:rPr>
  </w:style>
  <w:style w:type="paragraph" w:customStyle="1" w:styleId="333">
    <w:name w:val="xyb自建正文"/>
    <w:basedOn w:val="1"/>
    <w:link w:val="332"/>
    <w:qFormat/>
    <w:uiPriority w:val="0"/>
    <w:pPr>
      <w:tabs>
        <w:tab w:val="left" w:pos="1440"/>
        <w:tab w:val="left" w:pos="8280"/>
      </w:tabs>
      <w:ind w:firstLine="472" w:firstLineChars="200"/>
    </w:pPr>
    <w:rPr>
      <w:rFonts w:ascii="宋体" w:hAnsi="宋体" w:eastAsia="宋体" w:cs="宋体"/>
      <w:spacing w:val="-2"/>
      <w:sz w:val="24"/>
      <w:szCs w:val="24"/>
    </w:rPr>
  </w:style>
  <w:style w:type="character" w:customStyle="1" w:styleId="334">
    <w:name w:val="正文文本 2 Char2"/>
    <w:qFormat/>
    <w:uiPriority w:val="0"/>
    <w:rPr>
      <w:kern w:val="2"/>
      <w:sz w:val="21"/>
      <w:szCs w:val="22"/>
    </w:rPr>
  </w:style>
  <w:style w:type="character" w:customStyle="1" w:styleId="335">
    <w:name w:val="pt91"/>
    <w:qFormat/>
    <w:uiPriority w:val="0"/>
    <w:rPr>
      <w:sz w:val="18"/>
    </w:rPr>
  </w:style>
  <w:style w:type="character" w:customStyle="1" w:styleId="336">
    <w:name w:val="正文文本 3 Char3"/>
    <w:qFormat/>
    <w:uiPriority w:val="0"/>
    <w:rPr>
      <w:kern w:val="2"/>
      <w:sz w:val="16"/>
      <w:szCs w:val="16"/>
    </w:rPr>
  </w:style>
  <w:style w:type="character" w:customStyle="1" w:styleId="337">
    <w:name w:val="【表中文字】 Char Char"/>
    <w:link w:val="338"/>
    <w:qFormat/>
    <w:uiPriority w:val="0"/>
  </w:style>
  <w:style w:type="paragraph" w:customStyle="1" w:styleId="338">
    <w:name w:val="【表中文字】"/>
    <w:basedOn w:val="1"/>
    <w:link w:val="337"/>
    <w:qFormat/>
    <w:uiPriority w:val="0"/>
    <w:pPr>
      <w:spacing w:line="240" w:lineRule="auto"/>
      <w:jc w:val="center"/>
    </w:pPr>
  </w:style>
  <w:style w:type="character" w:customStyle="1" w:styleId="339">
    <w:name w:val="正文文字 Char"/>
    <w:link w:val="340"/>
    <w:qFormat/>
    <w:uiPriority w:val="0"/>
    <w:rPr>
      <w:rFonts w:ascii="Calibri" w:hAnsi="Calibri" w:eastAsia="Times New Roman"/>
    </w:rPr>
  </w:style>
  <w:style w:type="paragraph" w:customStyle="1" w:styleId="340">
    <w:name w:val="正文文字"/>
    <w:link w:val="339"/>
    <w:qFormat/>
    <w:uiPriority w:val="0"/>
    <w:pPr>
      <w:snapToGrid w:val="0"/>
      <w:spacing w:line="400" w:lineRule="exact"/>
      <w:ind w:firstLine="200" w:firstLineChars="200"/>
    </w:pPr>
    <w:rPr>
      <w:rFonts w:ascii="Calibri" w:hAnsi="Calibri" w:eastAsia="Times New Roman" w:cstheme="minorBidi"/>
      <w:kern w:val="2"/>
      <w:sz w:val="21"/>
      <w:szCs w:val="21"/>
      <w:lang w:val="en-US" w:eastAsia="zh-CN" w:bidi="ar-SA"/>
    </w:rPr>
  </w:style>
  <w:style w:type="character" w:customStyle="1" w:styleId="341">
    <w:name w:val="表名 Char Char"/>
    <w:qFormat/>
    <w:uiPriority w:val="0"/>
    <w:rPr>
      <w:rFonts w:ascii="黑体" w:eastAsia="黑体"/>
      <w:color w:val="000000"/>
      <w:kern w:val="2"/>
      <w:sz w:val="24"/>
      <w:lang w:val="en-US" w:eastAsia="zh-CN" w:bidi="ar-SA"/>
    </w:rPr>
  </w:style>
  <w:style w:type="character" w:customStyle="1" w:styleId="342">
    <w:name w:val="textcontents"/>
    <w:qFormat/>
    <w:uiPriority w:val="0"/>
  </w:style>
  <w:style w:type="character" w:customStyle="1" w:styleId="343">
    <w:name w:val="表格 Char Char Char Char Char"/>
    <w:qFormat/>
    <w:uiPriority w:val="0"/>
    <w:rPr>
      <w:rFonts w:ascii="宋体" w:eastAsia="宋体"/>
      <w:snapToGrid w:val="0"/>
      <w:sz w:val="24"/>
    </w:rPr>
  </w:style>
  <w:style w:type="character" w:customStyle="1" w:styleId="344">
    <w:name w:val="xyb自建正文 Char Char Char Char"/>
    <w:qFormat/>
    <w:uiPriority w:val="0"/>
    <w:rPr>
      <w:rFonts w:ascii="宋体" w:eastAsia="宋体"/>
      <w:spacing w:val="-2"/>
      <w:kern w:val="2"/>
      <w:sz w:val="24"/>
      <w:lang w:val="en-US" w:eastAsia="zh-CN"/>
    </w:rPr>
  </w:style>
  <w:style w:type="character" w:customStyle="1" w:styleId="345">
    <w:name w:val="标题 7 Char Char Char Char Char Char Char Char"/>
    <w:qFormat/>
    <w:uiPriority w:val="0"/>
    <w:rPr>
      <w:rFonts w:ascii="华文细黑" w:hAnsi="华文细黑" w:eastAsia="华文细黑"/>
      <w:i/>
      <w:snapToGrid w:val="0"/>
      <w:spacing w:val="10"/>
      <w:kern w:val="28"/>
      <w:sz w:val="28"/>
    </w:rPr>
  </w:style>
  <w:style w:type="character" w:customStyle="1" w:styleId="346">
    <w:name w:val="报告书正文 Char Char Char Char Char Char Char Char Char Char Char Char"/>
    <w:qFormat/>
    <w:uiPriority w:val="0"/>
    <w:rPr>
      <w:color w:val="000000"/>
      <w:sz w:val="24"/>
    </w:rPr>
  </w:style>
  <w:style w:type="character" w:customStyle="1" w:styleId="347">
    <w:name w:val="正22 Char Char"/>
    <w:link w:val="348"/>
    <w:qFormat/>
    <w:uiPriority w:val="0"/>
    <w:rPr>
      <w:rFonts w:ascii="Arial Narrow" w:hAnsi="Arial Narrow"/>
      <w:sz w:val="28"/>
    </w:rPr>
  </w:style>
  <w:style w:type="paragraph" w:customStyle="1" w:styleId="348">
    <w:name w:val="正22"/>
    <w:basedOn w:val="1"/>
    <w:link w:val="347"/>
    <w:qFormat/>
    <w:uiPriority w:val="0"/>
    <w:pPr>
      <w:spacing w:line="640" w:lineRule="exact"/>
      <w:ind w:firstLine="200" w:firstLineChars="200"/>
      <w:jc w:val="left"/>
    </w:pPr>
    <w:rPr>
      <w:rFonts w:ascii="Arial Narrow" w:hAnsi="Arial Narrow"/>
      <w:sz w:val="28"/>
    </w:rPr>
  </w:style>
  <w:style w:type="character" w:customStyle="1" w:styleId="349">
    <w:name w:val="表格标题 Char Char Char Char Char"/>
    <w:link w:val="350"/>
    <w:qFormat/>
    <w:uiPriority w:val="0"/>
    <w:rPr>
      <w:rFonts w:eastAsia="黑体"/>
      <w:sz w:val="24"/>
    </w:rPr>
  </w:style>
  <w:style w:type="paragraph" w:customStyle="1" w:styleId="350">
    <w:name w:val="表格标题 Char Char Char"/>
    <w:basedOn w:val="1"/>
    <w:link w:val="349"/>
    <w:qFormat/>
    <w:uiPriority w:val="0"/>
    <w:pPr>
      <w:adjustRightInd w:val="0"/>
      <w:snapToGrid w:val="0"/>
      <w:jc w:val="center"/>
    </w:pPr>
    <w:rPr>
      <w:rFonts w:eastAsia="黑体"/>
      <w:sz w:val="24"/>
    </w:rPr>
  </w:style>
  <w:style w:type="character" w:customStyle="1" w:styleId="351">
    <w:name w:val="time style7"/>
    <w:basedOn w:val="91"/>
    <w:qFormat/>
    <w:uiPriority w:val="0"/>
    <w:rPr>
      <w:rFonts w:eastAsia="宋体"/>
      <w:kern w:val="2"/>
      <w:sz w:val="24"/>
      <w:szCs w:val="24"/>
      <w:lang w:val="en-US" w:eastAsia="zh-CN" w:bidi="ar-SA"/>
    </w:rPr>
  </w:style>
  <w:style w:type="character" w:customStyle="1" w:styleId="352">
    <w:name w:val="正文首行缩进 Char3"/>
    <w:qFormat/>
    <w:uiPriority w:val="0"/>
    <w:rPr>
      <w:kern w:val="2"/>
      <w:sz w:val="21"/>
      <w:szCs w:val="22"/>
    </w:rPr>
  </w:style>
  <w:style w:type="character" w:customStyle="1" w:styleId="353">
    <w:name w:val="样式 标题 3条标题1.1.13h33rd levelH3l3CTHeading 3 - oldBold He... Char"/>
    <w:qFormat/>
    <w:uiPriority w:val="0"/>
    <w:rPr>
      <w:rFonts w:ascii="黑体" w:hAnsi="宋体" w:eastAsia="宋体"/>
      <w:b/>
      <w:color w:val="000000"/>
      <w:sz w:val="32"/>
      <w:lang w:val="en-US" w:eastAsia="zh-CN"/>
    </w:rPr>
  </w:style>
  <w:style w:type="character" w:customStyle="1" w:styleId="354">
    <w:name w:val="二章正文 Char Char Char Char Char Char Char"/>
    <w:qFormat/>
    <w:uiPriority w:val="0"/>
    <w:rPr>
      <w:rFonts w:ascii="宋体" w:eastAsia="宋体"/>
      <w:kern w:val="2"/>
      <w:sz w:val="24"/>
      <w:lang w:val="en-US" w:eastAsia="zh-CN" w:bidi="ar-SA"/>
    </w:rPr>
  </w:style>
  <w:style w:type="character" w:customStyle="1" w:styleId="355">
    <w:name w:val="表 Char"/>
    <w:qFormat/>
    <w:uiPriority w:val="0"/>
    <w:rPr>
      <w:rFonts w:eastAsia="宋体"/>
      <w:kern w:val="2"/>
      <w:sz w:val="21"/>
      <w:szCs w:val="21"/>
    </w:rPr>
  </w:style>
  <w:style w:type="character" w:customStyle="1" w:styleId="356">
    <w:name w:val="正文文本缩进 Char2"/>
    <w:qFormat/>
    <w:uiPriority w:val="0"/>
    <w:rPr>
      <w:rFonts w:ascii="Calibri" w:hAnsi="Calibri" w:eastAsia="宋体" w:cs="Times New Roman"/>
      <w:sz w:val="24"/>
    </w:rPr>
  </w:style>
  <w:style w:type="character" w:customStyle="1" w:styleId="357">
    <w:name w:val="正文文本缩进 3 Char2"/>
    <w:qFormat/>
    <w:uiPriority w:val="0"/>
    <w:rPr>
      <w:kern w:val="2"/>
      <w:sz w:val="16"/>
      <w:szCs w:val="16"/>
    </w:rPr>
  </w:style>
  <w:style w:type="character" w:customStyle="1" w:styleId="358">
    <w:name w:val="尾注文本 Char2"/>
    <w:qFormat/>
    <w:uiPriority w:val="0"/>
    <w:rPr>
      <w:kern w:val="2"/>
      <w:sz w:val="21"/>
      <w:szCs w:val="22"/>
    </w:rPr>
  </w:style>
  <w:style w:type="character" w:customStyle="1" w:styleId="359">
    <w:name w:val="纯文本 Char2"/>
    <w:qFormat/>
    <w:uiPriority w:val="0"/>
    <w:rPr>
      <w:rFonts w:ascii="宋体" w:hAnsi="Courier New" w:cs="Courier New"/>
      <w:kern w:val="2"/>
      <w:sz w:val="21"/>
      <w:szCs w:val="21"/>
    </w:rPr>
  </w:style>
  <w:style w:type="character" w:customStyle="1" w:styleId="360">
    <w:name w:val="【表头】 Char Char Char"/>
    <w:qFormat/>
    <w:uiPriority w:val="0"/>
    <w:rPr>
      <w:rFonts w:cs="宋体"/>
      <w:sz w:val="24"/>
    </w:rPr>
  </w:style>
  <w:style w:type="character" w:customStyle="1" w:styleId="361">
    <w:name w:val="ENFI表体 Char Char"/>
    <w:link w:val="362"/>
    <w:qFormat/>
    <w:uiPriority w:val="0"/>
    <w:rPr>
      <w:rFonts w:ascii="Calibri" w:hAnsi="Calibri" w:eastAsia="仿宋_GB2312"/>
      <w:sz w:val="24"/>
    </w:rPr>
  </w:style>
  <w:style w:type="paragraph" w:customStyle="1" w:styleId="362">
    <w:name w:val="ENFI表体"/>
    <w:basedOn w:val="1"/>
    <w:link w:val="361"/>
    <w:qFormat/>
    <w:uiPriority w:val="0"/>
    <w:pPr>
      <w:widowControl/>
      <w:adjustRightInd w:val="0"/>
      <w:snapToGrid w:val="0"/>
      <w:spacing w:line="240" w:lineRule="atLeast"/>
      <w:jc w:val="center"/>
    </w:pPr>
    <w:rPr>
      <w:rFonts w:ascii="Calibri" w:hAnsi="Calibri" w:eastAsia="仿宋_GB2312"/>
      <w:sz w:val="24"/>
    </w:rPr>
  </w:style>
  <w:style w:type="character" w:customStyle="1" w:styleId="363">
    <w:name w:val="albumcount2"/>
    <w:qFormat/>
    <w:uiPriority w:val="0"/>
  </w:style>
  <w:style w:type="character" w:customStyle="1" w:styleId="364">
    <w:name w:val="lemmatitleh11"/>
    <w:qFormat/>
    <w:uiPriority w:val="0"/>
  </w:style>
  <w:style w:type="character" w:customStyle="1" w:styleId="365">
    <w:name w:val="font21"/>
    <w:qFormat/>
    <w:uiPriority w:val="0"/>
    <w:rPr>
      <w:rFonts w:hint="eastAsia" w:ascii="宋体" w:hAnsi="宋体" w:eastAsia="宋体" w:cs="宋体"/>
      <w:color w:val="000000"/>
      <w:kern w:val="2"/>
      <w:sz w:val="20"/>
      <w:szCs w:val="20"/>
      <w:lang w:val="en-US" w:eastAsia="zh-CN" w:bidi="ar-SA"/>
    </w:rPr>
  </w:style>
  <w:style w:type="character" w:customStyle="1" w:styleId="366">
    <w:name w:val="123YJ Char Char1"/>
    <w:qFormat/>
    <w:uiPriority w:val="0"/>
    <w:rPr>
      <w:rFonts w:eastAsia="宋体"/>
      <w:kern w:val="2"/>
      <w:sz w:val="18"/>
    </w:rPr>
  </w:style>
  <w:style w:type="character" w:customStyle="1" w:styleId="367">
    <w:name w:val="条标题1.1.1 Char"/>
    <w:qFormat/>
    <w:uiPriority w:val="0"/>
    <w:rPr>
      <w:rFonts w:eastAsia="华文中宋"/>
      <w:b/>
      <w:bCs/>
      <w:kern w:val="2"/>
      <w:sz w:val="28"/>
      <w:szCs w:val="28"/>
      <w:lang w:val="en-US" w:eastAsia="zh-CN" w:bidi="ar-SA"/>
    </w:rPr>
  </w:style>
  <w:style w:type="character" w:customStyle="1" w:styleId="368">
    <w:name w:val="样式 标题 2节名节 + (中文) 宋体 Char"/>
    <w:qFormat/>
    <w:uiPriority w:val="0"/>
    <w:rPr>
      <w:b/>
      <w:color w:val="000000"/>
      <w:kern w:val="2"/>
      <w:sz w:val="30"/>
      <w:szCs w:val="28"/>
    </w:rPr>
  </w:style>
  <w:style w:type="character" w:customStyle="1" w:styleId="369">
    <w:name w:val="标题2"/>
    <w:qFormat/>
    <w:uiPriority w:val="0"/>
  </w:style>
  <w:style w:type="character" w:customStyle="1" w:styleId="370">
    <w:name w:val="【正文】 Char"/>
    <w:qFormat/>
    <w:uiPriority w:val="0"/>
    <w:rPr>
      <w:rFonts w:eastAsia="宋体" w:cs="宋体"/>
      <w:kern w:val="2"/>
      <w:sz w:val="24"/>
    </w:rPr>
  </w:style>
  <w:style w:type="character" w:customStyle="1" w:styleId="371">
    <w:name w:val="内容 Char Char"/>
    <w:link w:val="372"/>
    <w:qFormat/>
    <w:uiPriority w:val="0"/>
    <w:rPr>
      <w:sz w:val="24"/>
    </w:rPr>
  </w:style>
  <w:style w:type="paragraph" w:customStyle="1" w:styleId="372">
    <w:name w:val="内容"/>
    <w:basedOn w:val="1"/>
    <w:link w:val="371"/>
    <w:qFormat/>
    <w:uiPriority w:val="0"/>
    <w:pPr>
      <w:spacing w:line="480" w:lineRule="exact"/>
      <w:ind w:firstLine="200" w:firstLineChars="200"/>
    </w:pPr>
    <w:rPr>
      <w:sz w:val="24"/>
    </w:rPr>
  </w:style>
  <w:style w:type="character" w:customStyle="1" w:styleId="373">
    <w:name w:val="段落 Char Char"/>
    <w:qFormat/>
    <w:uiPriority w:val="0"/>
    <w:rPr>
      <w:rFonts w:eastAsia="宋体"/>
      <w:kern w:val="2"/>
      <w:sz w:val="24"/>
      <w:szCs w:val="24"/>
    </w:rPr>
  </w:style>
  <w:style w:type="character" w:customStyle="1" w:styleId="374">
    <w:name w:val="表格内容 Char Char Char Char Char"/>
    <w:qFormat/>
    <w:uiPriority w:val="0"/>
    <w:rPr>
      <w:rFonts w:eastAsia="宋体"/>
      <w:snapToGrid w:val="0"/>
      <w:sz w:val="21"/>
      <w:szCs w:val="21"/>
      <w:lang w:val="en-US" w:eastAsia="zh-CN" w:bidi="ar-SA"/>
    </w:rPr>
  </w:style>
  <w:style w:type="character" w:customStyle="1" w:styleId="375">
    <w:name w:val="正22 Char"/>
    <w:qFormat/>
    <w:uiPriority w:val="0"/>
    <w:rPr>
      <w:rFonts w:ascii="Arial Narrow" w:hAnsi="Arial Narrow" w:eastAsia="宋体" w:cs="宋体"/>
      <w:kern w:val="2"/>
      <w:sz w:val="28"/>
    </w:rPr>
  </w:style>
  <w:style w:type="character" w:customStyle="1" w:styleId="376">
    <w:name w:val="表文 Char Char Char Char"/>
    <w:link w:val="377"/>
    <w:qFormat/>
    <w:uiPriority w:val="0"/>
  </w:style>
  <w:style w:type="paragraph" w:customStyle="1" w:styleId="377">
    <w:name w:val="表文 Char Char"/>
    <w:basedOn w:val="1"/>
    <w:link w:val="376"/>
    <w:qFormat/>
    <w:uiPriority w:val="0"/>
    <w:pPr>
      <w:overflowPunct w:val="0"/>
      <w:adjustRightInd w:val="0"/>
      <w:snapToGrid w:val="0"/>
      <w:spacing w:line="240" w:lineRule="auto"/>
      <w:jc w:val="center"/>
      <w:textAlignment w:val="baseline"/>
    </w:pPr>
  </w:style>
  <w:style w:type="character" w:customStyle="1" w:styleId="378">
    <w:name w:val="Char Char Char Char Char Char Char Char Char Char11"/>
    <w:qFormat/>
    <w:uiPriority w:val="0"/>
    <w:rPr>
      <w:rFonts w:ascii="宋体" w:hAnsi="宋体" w:eastAsia="宋体" w:cs="宋体"/>
      <w:kern w:val="2"/>
      <w:sz w:val="24"/>
      <w:szCs w:val="28"/>
    </w:rPr>
  </w:style>
  <w:style w:type="character" w:customStyle="1" w:styleId="379">
    <w:name w:val="Char Char Char Char Char Char Char Char Char Char Char Char"/>
    <w:qFormat/>
    <w:uiPriority w:val="0"/>
    <w:rPr>
      <w:rFonts w:ascii="宋体" w:hAnsi="宋体" w:eastAsia="宋体" w:cs="宋体"/>
      <w:kern w:val="2"/>
      <w:sz w:val="24"/>
      <w:szCs w:val="28"/>
    </w:rPr>
  </w:style>
  <w:style w:type="character" w:customStyle="1" w:styleId="380">
    <w:name w:val="表号 Char Char Char1"/>
    <w:qFormat/>
    <w:uiPriority w:val="0"/>
    <w:rPr>
      <w:rFonts w:eastAsia="宋体"/>
      <w:kern w:val="2"/>
      <w:sz w:val="21"/>
      <w:szCs w:val="24"/>
      <w:lang w:val="en-US" w:eastAsia="zh-CN" w:bidi="ar-SA"/>
    </w:rPr>
  </w:style>
  <w:style w:type="character" w:customStyle="1" w:styleId="381">
    <w:name w:val="样式 样式 小四 蓝色 行距: 固定值 30 磅 + 行距: 1.5 倍行距 Char"/>
    <w:qFormat/>
    <w:uiPriority w:val="0"/>
    <w:rPr>
      <w:color w:val="0000FF"/>
      <w:sz w:val="24"/>
    </w:rPr>
  </w:style>
  <w:style w:type="character" w:customStyle="1" w:styleId="382">
    <w:name w:val="Char Char Char Char Char Char Char Char Char Char Char"/>
    <w:link w:val="383"/>
    <w:qFormat/>
    <w:uiPriority w:val="0"/>
  </w:style>
  <w:style w:type="paragraph" w:customStyle="1" w:styleId="383">
    <w:name w:val="Char Char Char Char Char Char Char Char Char"/>
    <w:basedOn w:val="1"/>
    <w:link w:val="382"/>
    <w:qFormat/>
    <w:uiPriority w:val="0"/>
    <w:pPr>
      <w:spacing w:line="240" w:lineRule="auto"/>
    </w:pPr>
  </w:style>
  <w:style w:type="character" w:customStyle="1" w:styleId="384">
    <w:name w:val="自定义正文 Char Char Char Char Char"/>
    <w:qFormat/>
    <w:uiPriority w:val="0"/>
    <w:rPr>
      <w:position w:val="-28"/>
      <w:sz w:val="28"/>
      <w:lang w:val="en-US" w:eastAsia="zh-CN" w:bidi="ar-SA"/>
    </w:rPr>
  </w:style>
  <w:style w:type="character" w:customStyle="1" w:styleId="385">
    <w:name w:val="正文编号（1） Char"/>
    <w:qFormat/>
    <w:uiPriority w:val="0"/>
    <w:rPr>
      <w:rFonts w:eastAsia="宋体"/>
      <w:kern w:val="2"/>
      <w:sz w:val="28"/>
      <w:szCs w:val="24"/>
      <w:lang w:val="en-US" w:eastAsia="zh-CN" w:bidi="ar-SA"/>
    </w:rPr>
  </w:style>
  <w:style w:type="character" w:customStyle="1" w:styleId="386">
    <w:name w:val="报告书正文 Char Char Char Char"/>
    <w:qFormat/>
    <w:uiPriority w:val="0"/>
    <w:rPr>
      <w:rFonts w:eastAsia="宋体"/>
      <w:color w:val="000000"/>
      <w:kern w:val="2"/>
      <w:sz w:val="24"/>
      <w:szCs w:val="24"/>
      <w:lang w:val="en-US" w:eastAsia="zh-CN" w:bidi="ar-SA"/>
    </w:rPr>
  </w:style>
  <w:style w:type="character" w:customStyle="1" w:styleId="387">
    <w:name w:val="样式 样式 标题 2 + 红色 + 自动设置 Char Char1"/>
    <w:link w:val="388"/>
    <w:qFormat/>
    <w:uiPriority w:val="0"/>
    <w:rPr>
      <w:rFonts w:ascii="Arial" w:hAnsi="Arial" w:eastAsia="新宋体"/>
      <w:b/>
      <w:color w:val="FF0000"/>
      <w:spacing w:val="-8"/>
      <w:sz w:val="28"/>
    </w:rPr>
  </w:style>
  <w:style w:type="paragraph" w:customStyle="1" w:styleId="388">
    <w:name w:val="样式 样式 标题 2 + 红色 + 自动设置 Char"/>
    <w:basedOn w:val="389"/>
    <w:link w:val="387"/>
    <w:qFormat/>
    <w:uiPriority w:val="0"/>
    <w:pPr>
      <w:tabs>
        <w:tab w:val="left" w:pos="576"/>
      </w:tabs>
    </w:pPr>
    <w:rPr>
      <w:rFonts w:eastAsia="新宋体" w:cstheme="minorBidi"/>
      <w:kern w:val="2"/>
      <w:szCs w:val="22"/>
    </w:rPr>
  </w:style>
  <w:style w:type="paragraph" w:customStyle="1" w:styleId="389">
    <w:name w:val="样式 标题 2 + 红色"/>
    <w:basedOn w:val="6"/>
    <w:link w:val="390"/>
    <w:qFormat/>
    <w:uiPriority w:val="0"/>
    <w:pPr>
      <w:numPr>
        <w:ilvl w:val="0"/>
        <w:numId w:val="0"/>
      </w:numPr>
      <w:tabs>
        <w:tab w:val="left" w:pos="576"/>
      </w:tabs>
      <w:spacing w:line="413" w:lineRule="auto"/>
      <w:jc w:val="both"/>
    </w:pPr>
    <w:rPr>
      <w:rFonts w:ascii="Arial" w:hAnsi="Arial" w:eastAsia="宋体" w:cs="Times New Roman"/>
      <w:bCs w:val="0"/>
      <w:color w:val="FF0000"/>
      <w:spacing w:val="-8"/>
      <w:kern w:val="0"/>
      <w:szCs w:val="20"/>
    </w:rPr>
  </w:style>
  <w:style w:type="character" w:customStyle="1" w:styleId="390">
    <w:name w:val="样式 标题 2 + 红色 Char Char"/>
    <w:link w:val="389"/>
    <w:qFormat/>
    <w:uiPriority w:val="0"/>
    <w:rPr>
      <w:rFonts w:ascii="Arial" w:hAnsi="Arial" w:eastAsia="宋体" w:cs="Times New Roman"/>
      <w:b/>
      <w:color w:val="FF0000"/>
      <w:spacing w:val="-8"/>
      <w:kern w:val="0"/>
      <w:sz w:val="28"/>
      <w:szCs w:val="20"/>
    </w:rPr>
  </w:style>
  <w:style w:type="character" w:customStyle="1" w:styleId="391">
    <w:name w:val="报告 Char"/>
    <w:qFormat/>
    <w:uiPriority w:val="0"/>
    <w:rPr>
      <w:rFonts w:ascii="TimesNewRoman" w:hAnsi="TimesNewRoman"/>
      <w:sz w:val="24"/>
    </w:rPr>
  </w:style>
  <w:style w:type="character" w:customStyle="1" w:styleId="392">
    <w:name w:val="样式 标题 3条标题1.1.13h33rd levelH3l3CTHeading 3 - oldBold He... Char Char"/>
    <w:link w:val="393"/>
    <w:qFormat/>
    <w:uiPriority w:val="0"/>
    <w:rPr>
      <w:rFonts w:ascii="黑体" w:hAnsi="宋体"/>
      <w:b/>
      <w:color w:val="000000"/>
      <w:sz w:val="32"/>
    </w:rPr>
  </w:style>
  <w:style w:type="paragraph" w:customStyle="1" w:styleId="393">
    <w:name w:val="样式 标题 3条标题1.1.13h33rd levelH3l3CTHeading 3 - oldBold He..."/>
    <w:basedOn w:val="7"/>
    <w:link w:val="392"/>
    <w:qFormat/>
    <w:uiPriority w:val="0"/>
    <w:pPr>
      <w:widowControl/>
      <w:numPr>
        <w:ilvl w:val="0"/>
        <w:numId w:val="0"/>
      </w:numPr>
      <w:spacing w:before="0" w:after="0" w:line="360" w:lineRule="auto"/>
    </w:pPr>
    <w:rPr>
      <w:rFonts w:ascii="黑体" w:hAnsi="宋体"/>
      <w:bCs w:val="0"/>
      <w:color w:val="000000"/>
      <w:sz w:val="32"/>
      <w:szCs w:val="22"/>
    </w:rPr>
  </w:style>
  <w:style w:type="character" w:customStyle="1" w:styleId="394">
    <w:name w:val="xyb自建表格名称 Char Char Char Char Char Char"/>
    <w:qFormat/>
    <w:uiPriority w:val="0"/>
    <w:rPr>
      <w:rFonts w:ascii="宋体" w:eastAsia="宋体"/>
      <w:kern w:val="2"/>
      <w:sz w:val="24"/>
      <w:lang w:val="en-US" w:eastAsia="zh-CN"/>
    </w:rPr>
  </w:style>
  <w:style w:type="character" w:customStyle="1" w:styleId="395">
    <w:name w:val="【表格注释】"/>
    <w:qFormat/>
    <w:uiPriority w:val="0"/>
    <w:rPr>
      <w:rFonts w:eastAsia="宋体" w:cs="宋体"/>
      <w:kern w:val="0"/>
      <w:sz w:val="21"/>
    </w:rPr>
  </w:style>
  <w:style w:type="character" w:customStyle="1" w:styleId="396">
    <w:name w:val="【正文】 Char Char Char"/>
    <w:qFormat/>
    <w:uiPriority w:val="0"/>
    <w:rPr>
      <w:rFonts w:eastAsia="宋体" w:cs="宋体"/>
      <w:kern w:val="2"/>
      <w:sz w:val="24"/>
    </w:rPr>
  </w:style>
  <w:style w:type="character" w:customStyle="1" w:styleId="397">
    <w:name w:val="二章正文 Char Char Char Char Char Char"/>
    <w:qFormat/>
    <w:uiPriority w:val="0"/>
    <w:rPr>
      <w:rFonts w:ascii="宋体" w:eastAsia="宋体"/>
      <w:kern w:val="2"/>
      <w:sz w:val="24"/>
      <w:lang w:val="en-US" w:eastAsia="zh-CN" w:bidi="ar-SA"/>
    </w:rPr>
  </w:style>
  <w:style w:type="character" w:customStyle="1" w:styleId="398">
    <w:name w:val="内容 Char Char Char"/>
    <w:qFormat/>
    <w:uiPriority w:val="0"/>
    <w:rPr>
      <w:rFonts w:eastAsia="宋体"/>
      <w:kern w:val="2"/>
      <w:sz w:val="24"/>
    </w:rPr>
  </w:style>
  <w:style w:type="character" w:customStyle="1" w:styleId="399">
    <w:name w:val="Char Char37"/>
    <w:qFormat/>
    <w:uiPriority w:val="0"/>
    <w:rPr>
      <w:rFonts w:eastAsia="黑体"/>
      <w:kern w:val="2"/>
      <w:sz w:val="24"/>
      <w:lang w:val="en-US" w:eastAsia="zh-CN" w:bidi="ar-SA"/>
    </w:rPr>
  </w:style>
  <w:style w:type="character" w:customStyle="1" w:styleId="400">
    <w:name w:val="表格内容 Char Char Char Char Char Char Char"/>
    <w:qFormat/>
    <w:uiPriority w:val="0"/>
    <w:rPr>
      <w:rFonts w:ascii="宋体" w:eastAsia="宋体"/>
      <w:snapToGrid w:val="0"/>
      <w:sz w:val="24"/>
    </w:rPr>
  </w:style>
  <w:style w:type="character" w:customStyle="1" w:styleId="401">
    <w:name w:val="样式17 Char Char Char Char Char Char"/>
    <w:qFormat/>
    <w:uiPriority w:val="0"/>
    <w:rPr>
      <w:rFonts w:eastAsia="华文中宋"/>
      <w:kern w:val="2"/>
      <w:sz w:val="24"/>
      <w:szCs w:val="24"/>
      <w:lang w:val="en-US" w:eastAsia="zh-CN"/>
    </w:rPr>
  </w:style>
  <w:style w:type="character" w:customStyle="1" w:styleId="402">
    <w:name w:val="样式 标题 3条标题1.1.13h33rd levelH3l3CTHeading 3 - oldBold He... Char Char Char"/>
    <w:qFormat/>
    <w:uiPriority w:val="0"/>
    <w:rPr>
      <w:rFonts w:ascii="黑体" w:hAnsi="宋体" w:eastAsia="宋体"/>
      <w:b/>
      <w:color w:val="000000"/>
      <w:sz w:val="32"/>
      <w:lang w:val="en-US" w:eastAsia="zh-CN"/>
    </w:rPr>
  </w:style>
  <w:style w:type="character" w:customStyle="1" w:styleId="403">
    <w:name w:val="自定义正文 Char Char Char Char Char Char Char"/>
    <w:qFormat/>
    <w:uiPriority w:val="0"/>
    <w:rPr>
      <w:position w:val="-28"/>
      <w:sz w:val="28"/>
      <w:lang w:val="en-US" w:eastAsia="zh-CN" w:bidi="ar-SA"/>
    </w:rPr>
  </w:style>
  <w:style w:type="character" w:customStyle="1" w:styleId="404">
    <w:name w:val="t1"/>
    <w:basedOn w:val="91"/>
    <w:qFormat/>
    <w:uiPriority w:val="0"/>
    <w:rPr>
      <w:rFonts w:eastAsia="宋体"/>
      <w:kern w:val="2"/>
      <w:sz w:val="24"/>
      <w:szCs w:val="24"/>
      <w:lang w:val="en-US" w:eastAsia="zh-CN" w:bidi="ar-SA"/>
    </w:rPr>
  </w:style>
  <w:style w:type="character" w:customStyle="1" w:styleId="405">
    <w:name w:val="正22 Char Char Char"/>
    <w:qFormat/>
    <w:uiPriority w:val="0"/>
    <w:rPr>
      <w:rFonts w:ascii="Arial Narrow" w:hAnsi="Arial Narrow" w:eastAsia="宋体" w:cs="宋体"/>
      <w:kern w:val="2"/>
      <w:sz w:val="28"/>
    </w:rPr>
  </w:style>
  <w:style w:type="character" w:customStyle="1" w:styleId="406">
    <w:name w:val="表格文字 Char1"/>
    <w:qFormat/>
    <w:uiPriority w:val="0"/>
    <w:rPr>
      <w:rFonts w:ascii="Arial" w:hAnsi="Arial" w:eastAsia="宋体"/>
      <w:snapToGrid w:val="0"/>
      <w:kern w:val="21"/>
      <w:sz w:val="24"/>
      <w:lang w:val="en-US" w:eastAsia="zh-CN"/>
    </w:rPr>
  </w:style>
  <w:style w:type="character" w:customStyle="1" w:styleId="407">
    <w:name w:val="样式1 Char Char Char"/>
    <w:qFormat/>
    <w:uiPriority w:val="0"/>
    <w:rPr>
      <w:rFonts w:eastAsia="宋体"/>
      <w:kern w:val="2"/>
      <w:sz w:val="24"/>
    </w:rPr>
  </w:style>
  <w:style w:type="character" w:customStyle="1" w:styleId="408">
    <w:name w:val="页眉 Char Char"/>
    <w:qFormat/>
    <w:uiPriority w:val="0"/>
    <w:rPr>
      <w:rFonts w:eastAsia="幼圆"/>
      <w:kern w:val="2"/>
      <w:sz w:val="21"/>
      <w:szCs w:val="18"/>
      <w:lang w:val="en-US" w:eastAsia="zh-CN" w:bidi="ar-SA"/>
    </w:rPr>
  </w:style>
  <w:style w:type="character" w:customStyle="1" w:styleId="409">
    <w:name w:val="正文缩进（自定义） Char Char Char Char Char Char Char"/>
    <w:qFormat/>
    <w:uiPriority w:val="0"/>
    <w:rPr>
      <w:rFonts w:ascii="Century Gothic" w:hAnsi="Century Gothic" w:eastAsia="宋体"/>
      <w:sz w:val="24"/>
      <w:lang w:val="en-US" w:eastAsia="zh-CN"/>
    </w:rPr>
  </w:style>
  <w:style w:type="character" w:customStyle="1" w:styleId="410">
    <w:name w:val="样式 样式 样式 行距: 固定值 22 磅 + 首行缩进:  2 字符 + 首行缩进:  2 字符 Char Char"/>
    <w:link w:val="411"/>
    <w:qFormat/>
    <w:uiPriority w:val="0"/>
    <w:rPr>
      <w:rFonts w:eastAsia="华文中宋"/>
      <w:sz w:val="24"/>
    </w:rPr>
  </w:style>
  <w:style w:type="paragraph" w:customStyle="1" w:styleId="411">
    <w:name w:val="样式 样式 样式 行距: 固定值 22 磅 + 首行缩进:  2 字符 + 首行缩进:  2 字符"/>
    <w:basedOn w:val="1"/>
    <w:link w:val="410"/>
    <w:qFormat/>
    <w:uiPriority w:val="0"/>
    <w:pPr>
      <w:spacing w:line="480" w:lineRule="exact"/>
      <w:ind w:firstLine="480" w:firstLineChars="200"/>
    </w:pPr>
    <w:rPr>
      <w:rFonts w:eastAsia="华文中宋"/>
      <w:sz w:val="24"/>
    </w:rPr>
  </w:style>
  <w:style w:type="character" w:customStyle="1" w:styleId="412">
    <w:name w:val="xyb自建表格名称 Char Char Char Char"/>
    <w:qFormat/>
    <w:uiPriority w:val="0"/>
    <w:rPr>
      <w:rFonts w:ascii="宋体" w:eastAsia="宋体"/>
      <w:kern w:val="2"/>
      <w:sz w:val="24"/>
      <w:lang w:val="en-US" w:eastAsia="zh-CN"/>
    </w:rPr>
  </w:style>
  <w:style w:type="character" w:customStyle="1" w:styleId="413">
    <w:name w:val="正文首行缩进 2 Char3"/>
    <w:qFormat/>
    <w:uiPriority w:val="0"/>
    <w:rPr>
      <w:sz w:val="24"/>
      <w:szCs w:val="21"/>
    </w:rPr>
  </w:style>
  <w:style w:type="character" w:customStyle="1" w:styleId="414">
    <w:name w:val="样式1 Char"/>
    <w:qFormat/>
    <w:uiPriority w:val="0"/>
    <w:rPr>
      <w:rFonts w:eastAsia="宋体"/>
      <w:kern w:val="2"/>
      <w:sz w:val="24"/>
    </w:rPr>
  </w:style>
  <w:style w:type="character" w:customStyle="1" w:styleId="415">
    <w:name w:val="Char Char29"/>
    <w:qFormat/>
    <w:uiPriority w:val="0"/>
    <w:rPr>
      <w:rFonts w:eastAsia="宋体"/>
      <w:kern w:val="2"/>
      <w:sz w:val="24"/>
      <w:lang w:val="en-US" w:eastAsia="zh-CN" w:bidi="ar-SA"/>
    </w:rPr>
  </w:style>
  <w:style w:type="character" w:customStyle="1" w:styleId="416">
    <w:name w:val="标题4 Char Char Char"/>
    <w:qFormat/>
    <w:uiPriority w:val="0"/>
    <w:rPr>
      <w:rFonts w:eastAsia="黑体"/>
      <w:bCs/>
      <w:kern w:val="2"/>
      <w:sz w:val="24"/>
      <w:szCs w:val="24"/>
      <w:lang w:val="en-US" w:eastAsia="zh-CN" w:bidi="ar-SA"/>
    </w:rPr>
  </w:style>
  <w:style w:type="character" w:customStyle="1" w:styleId="417">
    <w:name w:val="样式 标题 1 + 红色 Char Char1"/>
    <w:link w:val="418"/>
    <w:qFormat/>
    <w:uiPriority w:val="0"/>
    <w:rPr>
      <w:rFonts w:ascii="宋体" w:hAnsi="宋体"/>
      <w:b/>
      <w:color w:val="FF0000"/>
      <w:kern w:val="44"/>
      <w:sz w:val="32"/>
    </w:rPr>
  </w:style>
  <w:style w:type="paragraph" w:customStyle="1" w:styleId="418">
    <w:name w:val="样式 标题 1 + 红色 Char"/>
    <w:basedOn w:val="5"/>
    <w:link w:val="417"/>
    <w:qFormat/>
    <w:uiPriority w:val="0"/>
    <w:pPr>
      <w:numPr>
        <w:numId w:val="0"/>
      </w:numPr>
      <w:tabs>
        <w:tab w:val="left" w:pos="432"/>
      </w:tabs>
      <w:spacing w:line="576" w:lineRule="auto"/>
      <w:jc w:val="both"/>
    </w:pPr>
    <w:rPr>
      <w:rFonts w:ascii="宋体" w:hAnsi="宋体"/>
      <w:bCs w:val="0"/>
      <w:color w:val="FF0000"/>
      <w:szCs w:val="22"/>
    </w:rPr>
  </w:style>
  <w:style w:type="character" w:customStyle="1" w:styleId="419">
    <w:name w:val="纯文本[858D7CFB-ED40-4347-BF05-701D383B685F]"/>
    <w:qFormat/>
    <w:uiPriority w:val="0"/>
    <w:rPr>
      <w:rFonts w:ascii="宋体" w:hAnsi="宋体"/>
      <w:sz w:val="24"/>
    </w:rPr>
  </w:style>
  <w:style w:type="character" w:customStyle="1" w:styleId="420">
    <w:name w:val="表格标题 Char Char Char Char Char Char"/>
    <w:qFormat/>
    <w:uiPriority w:val="0"/>
    <w:rPr>
      <w:rFonts w:eastAsia="黑体"/>
      <w:kern w:val="2"/>
      <w:sz w:val="24"/>
      <w:lang w:val="en-US" w:eastAsia="zh-CN"/>
    </w:rPr>
  </w:style>
  <w:style w:type="character" w:customStyle="1" w:styleId="421">
    <w:name w:val="【正文】 Char Char"/>
    <w:link w:val="422"/>
    <w:qFormat/>
    <w:uiPriority w:val="0"/>
    <w:rPr>
      <w:sz w:val="24"/>
    </w:rPr>
  </w:style>
  <w:style w:type="paragraph" w:customStyle="1" w:styleId="422">
    <w:name w:val="【正文】"/>
    <w:basedOn w:val="1"/>
    <w:link w:val="421"/>
    <w:qFormat/>
    <w:uiPriority w:val="0"/>
    <w:pPr>
      <w:spacing w:line="440" w:lineRule="exact"/>
      <w:ind w:firstLine="544" w:firstLineChars="200"/>
    </w:pPr>
    <w:rPr>
      <w:sz w:val="24"/>
    </w:rPr>
  </w:style>
  <w:style w:type="character" w:customStyle="1" w:styleId="423">
    <w:name w:val="Char Char18"/>
    <w:qFormat/>
    <w:uiPriority w:val="0"/>
    <w:rPr>
      <w:kern w:val="2"/>
      <w:sz w:val="24"/>
      <w:szCs w:val="21"/>
    </w:rPr>
  </w:style>
  <w:style w:type="character" w:customStyle="1" w:styleId="424">
    <w:name w:val="文本正文专用 Char Char"/>
    <w:link w:val="425"/>
    <w:qFormat/>
    <w:uiPriority w:val="0"/>
    <w:rPr>
      <w:sz w:val="24"/>
      <w:szCs w:val="24"/>
    </w:rPr>
  </w:style>
  <w:style w:type="paragraph" w:customStyle="1" w:styleId="425">
    <w:name w:val="文本正文专用"/>
    <w:basedOn w:val="1"/>
    <w:link w:val="424"/>
    <w:qFormat/>
    <w:uiPriority w:val="0"/>
    <w:pPr>
      <w:ind w:firstLine="480" w:firstLineChars="200"/>
    </w:pPr>
    <w:rPr>
      <w:sz w:val="24"/>
      <w:szCs w:val="24"/>
    </w:rPr>
  </w:style>
  <w:style w:type="character" w:customStyle="1" w:styleId="426">
    <w:name w:val="Char Char39"/>
    <w:qFormat/>
    <w:uiPriority w:val="0"/>
    <w:rPr>
      <w:rFonts w:ascii="Arial" w:hAnsi="Arial" w:eastAsia="黑体"/>
      <w:b/>
      <w:kern w:val="2"/>
      <w:sz w:val="28"/>
      <w:lang w:val="en-US" w:eastAsia="zh-CN" w:bidi="ar-SA"/>
    </w:rPr>
  </w:style>
  <w:style w:type="character" w:customStyle="1" w:styleId="427">
    <w:name w:val="样式 标题 1 + 红色 Char Char Char"/>
    <w:qFormat/>
    <w:uiPriority w:val="0"/>
    <w:rPr>
      <w:rFonts w:ascii="宋体" w:hAnsi="宋体" w:eastAsia="黑体"/>
      <w:b/>
      <w:color w:val="FF0000"/>
      <w:kern w:val="44"/>
      <w:sz w:val="32"/>
      <w:lang w:val="en-US" w:eastAsia="zh-CN"/>
    </w:rPr>
  </w:style>
  <w:style w:type="character" w:customStyle="1" w:styleId="428">
    <w:name w:val="ncnjw01"/>
    <w:basedOn w:val="91"/>
    <w:qFormat/>
    <w:uiPriority w:val="0"/>
    <w:rPr>
      <w:rFonts w:eastAsia="宋体"/>
      <w:kern w:val="2"/>
      <w:sz w:val="24"/>
      <w:szCs w:val="24"/>
      <w:lang w:val="en-US" w:eastAsia="zh-CN" w:bidi="ar-SA"/>
    </w:rPr>
  </w:style>
  <w:style w:type="character" w:customStyle="1" w:styleId="429">
    <w:name w:val="表格内容 Char Char Char Char Char Char"/>
    <w:qFormat/>
    <w:uiPriority w:val="0"/>
    <w:rPr>
      <w:rFonts w:ascii="宋体" w:eastAsia="宋体"/>
      <w:snapToGrid w:val="0"/>
      <w:sz w:val="24"/>
    </w:rPr>
  </w:style>
  <w:style w:type="character" w:customStyle="1" w:styleId="430">
    <w:name w:val="报告书正文 Char Char"/>
    <w:link w:val="431"/>
    <w:qFormat/>
    <w:uiPriority w:val="0"/>
    <w:rPr>
      <w:rFonts w:eastAsia="宋体"/>
      <w:color w:val="000000"/>
      <w:sz w:val="24"/>
    </w:rPr>
  </w:style>
  <w:style w:type="paragraph" w:customStyle="1" w:styleId="431">
    <w:name w:val="报告书正文"/>
    <w:basedOn w:val="1"/>
    <w:link w:val="430"/>
    <w:qFormat/>
    <w:uiPriority w:val="0"/>
    <w:pPr>
      <w:spacing w:line="240" w:lineRule="auto"/>
      <w:jc w:val="left"/>
    </w:pPr>
    <w:rPr>
      <w:rFonts w:eastAsia="宋体"/>
      <w:color w:val="000000"/>
      <w:sz w:val="24"/>
    </w:rPr>
  </w:style>
  <w:style w:type="character" w:customStyle="1" w:styleId="432">
    <w:name w:val="表格 Char Char Char Char"/>
    <w:qFormat/>
    <w:uiPriority w:val="0"/>
    <w:rPr>
      <w:rFonts w:ascii="宋体" w:eastAsia="宋体"/>
      <w:snapToGrid w:val="0"/>
      <w:sz w:val="24"/>
    </w:rPr>
  </w:style>
  <w:style w:type="character" w:customStyle="1" w:styleId="433">
    <w:name w:val="样式 样式 标题 2 + 红色 + 自动设置 Char Char Char"/>
    <w:qFormat/>
    <w:uiPriority w:val="0"/>
    <w:rPr>
      <w:rFonts w:ascii="Arial" w:hAnsi="Arial" w:eastAsia="新宋体"/>
      <w:b/>
      <w:color w:val="FF0000"/>
      <w:spacing w:val="-8"/>
      <w:sz w:val="28"/>
    </w:rPr>
  </w:style>
  <w:style w:type="character" w:customStyle="1" w:styleId="434">
    <w:name w:val="表格名称 Char Char"/>
    <w:link w:val="435"/>
    <w:qFormat/>
    <w:uiPriority w:val="0"/>
    <w:rPr>
      <w:rFonts w:eastAsia="黑体"/>
    </w:rPr>
  </w:style>
  <w:style w:type="paragraph" w:customStyle="1" w:styleId="435">
    <w:name w:val="表格名称"/>
    <w:basedOn w:val="1"/>
    <w:link w:val="434"/>
    <w:qFormat/>
    <w:uiPriority w:val="0"/>
    <w:pPr>
      <w:spacing w:line="240" w:lineRule="auto"/>
      <w:jc w:val="center"/>
    </w:pPr>
    <w:rPr>
      <w:rFonts w:eastAsia="黑体"/>
    </w:rPr>
  </w:style>
  <w:style w:type="character" w:customStyle="1" w:styleId="436">
    <w:name w:val="表格 Char Char"/>
    <w:qFormat/>
    <w:uiPriority w:val="0"/>
    <w:rPr>
      <w:bCs/>
      <w:color w:val="000000"/>
    </w:rPr>
  </w:style>
  <w:style w:type="character" w:customStyle="1" w:styleId="437">
    <w:name w:val="style21"/>
    <w:qFormat/>
    <w:uiPriority w:val="0"/>
    <w:rPr>
      <w:b/>
      <w:bCs/>
      <w:sz w:val="21"/>
      <w:szCs w:val="21"/>
    </w:rPr>
  </w:style>
  <w:style w:type="character" w:customStyle="1" w:styleId="438">
    <w:name w:val="Char Char Char Char1"/>
    <w:qFormat/>
    <w:uiPriority w:val="0"/>
    <w:rPr>
      <w:rFonts w:ascii="宋体" w:eastAsia="宋体"/>
      <w:kern w:val="2"/>
      <w:sz w:val="24"/>
      <w:lang w:val="en-US" w:eastAsia="zh-CN"/>
    </w:rPr>
  </w:style>
  <w:style w:type="character" w:customStyle="1" w:styleId="439">
    <w:name w:val="【表头】 Char Char"/>
    <w:link w:val="440"/>
    <w:qFormat/>
    <w:uiPriority w:val="0"/>
    <w:rPr>
      <w:rFonts w:eastAsia="黑体"/>
      <w:sz w:val="24"/>
    </w:rPr>
  </w:style>
  <w:style w:type="paragraph" w:customStyle="1" w:styleId="440">
    <w:name w:val="【表头】"/>
    <w:basedOn w:val="1"/>
    <w:link w:val="439"/>
    <w:qFormat/>
    <w:uiPriority w:val="0"/>
    <w:pPr>
      <w:spacing w:line="460" w:lineRule="exact"/>
      <w:jc w:val="center"/>
    </w:pPr>
    <w:rPr>
      <w:rFonts w:eastAsia="黑体"/>
      <w:sz w:val="24"/>
    </w:rPr>
  </w:style>
  <w:style w:type="character" w:customStyle="1" w:styleId="441">
    <w:name w:val="正文缩进（自定义） Char Char Char Char Char Char"/>
    <w:link w:val="442"/>
    <w:qFormat/>
    <w:uiPriority w:val="0"/>
    <w:rPr>
      <w:rFonts w:ascii="Century Gothic" w:hAnsi="Century Gothic" w:eastAsia="宋体" w:cs="宋体"/>
      <w:sz w:val="24"/>
      <w:szCs w:val="24"/>
    </w:rPr>
  </w:style>
  <w:style w:type="paragraph" w:customStyle="1" w:styleId="442">
    <w:name w:val="正文缩进（自定义） Char Char Char"/>
    <w:basedOn w:val="1"/>
    <w:link w:val="441"/>
    <w:qFormat/>
    <w:uiPriority w:val="0"/>
    <w:pPr>
      <w:spacing w:before="120" w:after="120"/>
      <w:ind w:firstLine="480" w:firstLineChars="200"/>
    </w:pPr>
    <w:rPr>
      <w:rFonts w:ascii="Century Gothic" w:hAnsi="Century Gothic" w:eastAsia="宋体" w:cs="宋体"/>
      <w:sz w:val="24"/>
      <w:szCs w:val="24"/>
    </w:rPr>
  </w:style>
  <w:style w:type="character" w:customStyle="1" w:styleId="443">
    <w:name w:val="标题5 Char Char"/>
    <w:qFormat/>
    <w:uiPriority w:val="0"/>
    <w:rPr>
      <w:rFonts w:eastAsia="宋体"/>
      <w:kern w:val="2"/>
      <w:sz w:val="24"/>
      <w:szCs w:val="36"/>
      <w:lang w:val="en-US" w:eastAsia="zh-CN" w:bidi="ar-SA"/>
    </w:rPr>
  </w:style>
  <w:style w:type="character" w:customStyle="1" w:styleId="444">
    <w:name w:val="样式 (中文) 黑体 小三"/>
    <w:qFormat/>
    <w:uiPriority w:val="0"/>
    <w:rPr>
      <w:rFonts w:eastAsia="黑体"/>
      <w:b/>
      <w:sz w:val="30"/>
    </w:rPr>
  </w:style>
  <w:style w:type="character" w:customStyle="1" w:styleId="445">
    <w:name w:val="表格标题 Char Char"/>
    <w:link w:val="446"/>
    <w:qFormat/>
    <w:uiPriority w:val="0"/>
    <w:rPr>
      <w:rFonts w:eastAsia="黑体"/>
      <w:b/>
      <w:lang w:val="zh-CN"/>
    </w:rPr>
  </w:style>
  <w:style w:type="paragraph" w:customStyle="1" w:styleId="446">
    <w:name w:val="表格标题"/>
    <w:basedOn w:val="1"/>
    <w:link w:val="445"/>
    <w:qFormat/>
    <w:uiPriority w:val="0"/>
    <w:pPr>
      <w:overflowPunct w:val="0"/>
      <w:autoSpaceDE w:val="0"/>
      <w:autoSpaceDN w:val="0"/>
      <w:adjustRightInd w:val="0"/>
      <w:snapToGrid w:val="0"/>
      <w:spacing w:line="240" w:lineRule="auto"/>
      <w:jc w:val="center"/>
    </w:pPr>
    <w:rPr>
      <w:rFonts w:eastAsia="黑体"/>
      <w:b/>
      <w:lang w:val="zh-CN"/>
    </w:rPr>
  </w:style>
  <w:style w:type="character" w:customStyle="1" w:styleId="447">
    <w:name w:val="报告书正文 Char Char Char Char Char Char Char Char"/>
    <w:link w:val="448"/>
    <w:qFormat/>
    <w:uiPriority w:val="0"/>
    <w:rPr>
      <w:color w:val="000000"/>
      <w:sz w:val="24"/>
      <w:szCs w:val="24"/>
    </w:rPr>
  </w:style>
  <w:style w:type="paragraph" w:customStyle="1" w:styleId="448">
    <w:name w:val="报告书正文 Char Char Char"/>
    <w:basedOn w:val="1"/>
    <w:link w:val="447"/>
    <w:qFormat/>
    <w:uiPriority w:val="0"/>
    <w:pPr>
      <w:spacing w:line="300" w:lineRule="auto"/>
      <w:ind w:firstLine="480" w:firstLineChars="200"/>
    </w:pPr>
    <w:rPr>
      <w:color w:val="000000"/>
      <w:sz w:val="24"/>
      <w:szCs w:val="24"/>
    </w:rPr>
  </w:style>
  <w:style w:type="character" w:customStyle="1" w:styleId="449">
    <w:name w:val="headline-content2"/>
    <w:basedOn w:val="91"/>
    <w:qFormat/>
    <w:uiPriority w:val="0"/>
    <w:rPr>
      <w:rFonts w:eastAsia="宋体"/>
      <w:kern w:val="2"/>
      <w:sz w:val="24"/>
      <w:szCs w:val="24"/>
      <w:lang w:val="en-US" w:eastAsia="zh-CN" w:bidi="ar-SA"/>
    </w:rPr>
  </w:style>
  <w:style w:type="character" w:customStyle="1" w:styleId="450">
    <w:name w:val="小四+首行缩进 Char2"/>
    <w:link w:val="451"/>
    <w:qFormat/>
    <w:uiPriority w:val="0"/>
    <w:rPr>
      <w:rFonts w:ascii="宋体" w:hAnsi="宋体"/>
      <w:sz w:val="24"/>
    </w:rPr>
  </w:style>
  <w:style w:type="paragraph" w:customStyle="1" w:styleId="451">
    <w:name w:val="小四+首行缩进"/>
    <w:basedOn w:val="1"/>
    <w:link w:val="450"/>
    <w:qFormat/>
    <w:uiPriority w:val="0"/>
    <w:pPr>
      <w:ind w:firstLine="482"/>
    </w:pPr>
    <w:rPr>
      <w:rFonts w:ascii="宋体" w:hAnsi="宋体"/>
      <w:sz w:val="24"/>
    </w:rPr>
  </w:style>
  <w:style w:type="character" w:customStyle="1" w:styleId="452">
    <w:name w:val="表格内容 Char Char Char Char"/>
    <w:qFormat/>
    <w:uiPriority w:val="0"/>
    <w:rPr>
      <w:rFonts w:eastAsia="宋体"/>
      <w:color w:val="000000"/>
      <w:kern w:val="2"/>
      <w:sz w:val="21"/>
      <w:szCs w:val="16"/>
      <w:lang w:val="en-US" w:eastAsia="zh-CN" w:bidi="ar-SA"/>
    </w:rPr>
  </w:style>
  <w:style w:type="character" w:customStyle="1" w:styleId="453">
    <w:name w:val="xyb自建表格名称 Char Char"/>
    <w:qFormat/>
    <w:uiPriority w:val="0"/>
    <w:rPr>
      <w:rFonts w:ascii="宋体" w:eastAsia="宋体"/>
      <w:kern w:val="2"/>
      <w:sz w:val="24"/>
      <w:lang w:val="en-US" w:eastAsia="zh-CN"/>
    </w:rPr>
  </w:style>
  <w:style w:type="character" w:customStyle="1" w:styleId="454">
    <w:name w:val="报告书正文 Char Char Char Char Char Char Char Char Char"/>
    <w:link w:val="455"/>
    <w:qFormat/>
    <w:uiPriority w:val="0"/>
    <w:rPr>
      <w:color w:val="000000"/>
      <w:sz w:val="24"/>
    </w:rPr>
  </w:style>
  <w:style w:type="paragraph" w:customStyle="1" w:styleId="455">
    <w:name w:val="报告书正文 Char Char Char Char Char"/>
    <w:basedOn w:val="1"/>
    <w:link w:val="454"/>
    <w:qFormat/>
    <w:uiPriority w:val="0"/>
    <w:pPr>
      <w:spacing w:line="300" w:lineRule="auto"/>
      <w:ind w:firstLine="480" w:firstLineChars="200"/>
    </w:pPr>
    <w:rPr>
      <w:color w:val="000000"/>
      <w:sz w:val="24"/>
    </w:rPr>
  </w:style>
  <w:style w:type="character" w:customStyle="1" w:styleId="456">
    <w:name w:val="样式1正文 Char Char1"/>
    <w:link w:val="457"/>
    <w:qFormat/>
    <w:uiPriority w:val="0"/>
    <w:rPr>
      <w:rFonts w:ascii="宋体" w:hAnsi="宋体"/>
      <w:bCs/>
      <w:spacing w:val="-10"/>
      <w:sz w:val="28"/>
      <w:szCs w:val="28"/>
      <w:lang w:val="en-GB"/>
    </w:rPr>
  </w:style>
  <w:style w:type="paragraph" w:customStyle="1" w:styleId="457">
    <w:name w:val="样式1正文 Char"/>
    <w:basedOn w:val="1"/>
    <w:link w:val="456"/>
    <w:qFormat/>
    <w:uiPriority w:val="0"/>
    <w:pPr>
      <w:spacing w:line="640" w:lineRule="exact"/>
      <w:ind w:firstLine="520" w:firstLineChars="200"/>
    </w:pPr>
    <w:rPr>
      <w:rFonts w:ascii="宋体" w:hAnsi="宋体"/>
      <w:bCs/>
      <w:spacing w:val="-10"/>
      <w:sz w:val="28"/>
      <w:szCs w:val="28"/>
      <w:lang w:val="en-GB"/>
    </w:rPr>
  </w:style>
  <w:style w:type="character" w:customStyle="1" w:styleId="458">
    <w:name w:val="表名 Char"/>
    <w:link w:val="459"/>
    <w:qFormat/>
    <w:uiPriority w:val="0"/>
    <w:rPr>
      <w:rFonts w:ascii="黑体" w:eastAsia="黑体"/>
      <w:sz w:val="24"/>
    </w:rPr>
  </w:style>
  <w:style w:type="paragraph" w:customStyle="1" w:styleId="459">
    <w:name w:val="表名"/>
    <w:basedOn w:val="1"/>
    <w:link w:val="458"/>
    <w:qFormat/>
    <w:uiPriority w:val="0"/>
    <w:pPr>
      <w:spacing w:line="440" w:lineRule="exact"/>
      <w:jc w:val="center"/>
    </w:pPr>
    <w:rPr>
      <w:rFonts w:ascii="黑体" w:eastAsia="黑体"/>
      <w:sz w:val="24"/>
    </w:rPr>
  </w:style>
  <w:style w:type="character" w:customStyle="1" w:styleId="460">
    <w:name w:val="页脚 Char Char"/>
    <w:qFormat/>
    <w:uiPriority w:val="0"/>
    <w:rPr>
      <w:rFonts w:eastAsia="宋体"/>
      <w:kern w:val="2"/>
      <w:sz w:val="18"/>
      <w:szCs w:val="18"/>
      <w:lang w:val="en-US" w:eastAsia="zh-CN" w:bidi="ar-SA"/>
    </w:rPr>
  </w:style>
  <w:style w:type="character" w:customStyle="1" w:styleId="461">
    <w:name w:val="表格 Char Char Char"/>
    <w:link w:val="462"/>
    <w:qFormat/>
    <w:uiPriority w:val="0"/>
    <w:rPr>
      <w:rFonts w:eastAsia="宋体" w:cs="Courier New"/>
      <w:szCs w:val="21"/>
    </w:rPr>
  </w:style>
  <w:style w:type="paragraph" w:customStyle="1" w:styleId="462">
    <w:name w:val="表格"/>
    <w:basedOn w:val="1"/>
    <w:link w:val="461"/>
    <w:qFormat/>
    <w:uiPriority w:val="0"/>
    <w:pPr>
      <w:snapToGrid w:val="0"/>
      <w:spacing w:beforeLines="5" w:afterLines="5" w:line="240" w:lineRule="auto"/>
      <w:jc w:val="center"/>
    </w:pPr>
    <w:rPr>
      <w:rFonts w:eastAsia="宋体" w:cs="Courier New"/>
    </w:rPr>
  </w:style>
  <w:style w:type="character" w:customStyle="1" w:styleId="463">
    <w:name w:val="段落 Char Char Char Char"/>
    <w:link w:val="464"/>
    <w:qFormat/>
    <w:uiPriority w:val="0"/>
    <w:rPr>
      <w:sz w:val="24"/>
      <w:szCs w:val="24"/>
    </w:rPr>
  </w:style>
  <w:style w:type="paragraph" w:customStyle="1" w:styleId="464">
    <w:name w:val="段落 Char"/>
    <w:basedOn w:val="1"/>
    <w:link w:val="463"/>
    <w:qFormat/>
    <w:uiPriority w:val="0"/>
    <w:pPr>
      <w:topLinePunct/>
      <w:snapToGrid w:val="0"/>
      <w:ind w:firstLine="200" w:firstLineChars="200"/>
    </w:pPr>
    <w:rPr>
      <w:sz w:val="24"/>
      <w:szCs w:val="24"/>
    </w:rPr>
  </w:style>
  <w:style w:type="character" w:customStyle="1" w:styleId="465">
    <w:name w:val="标题 2 Char1"/>
    <w:qFormat/>
    <w:uiPriority w:val="0"/>
    <w:rPr>
      <w:b/>
      <w:spacing w:val="-8"/>
      <w:w w:val="77"/>
      <w:kern w:val="2"/>
      <w:sz w:val="24"/>
      <w:lang w:val="en-US" w:eastAsia="zh-CN"/>
    </w:rPr>
  </w:style>
  <w:style w:type="character" w:customStyle="1" w:styleId="466">
    <w:name w:val="Char Char27"/>
    <w:qFormat/>
    <w:uiPriority w:val="0"/>
    <w:rPr>
      <w:rFonts w:eastAsia="幼圆"/>
      <w:kern w:val="2"/>
      <w:sz w:val="21"/>
      <w:szCs w:val="18"/>
      <w:lang w:val="en-US" w:eastAsia="zh-CN" w:bidi="ar-SA"/>
    </w:rPr>
  </w:style>
  <w:style w:type="character" w:customStyle="1" w:styleId="467">
    <w:name w:val="Plain Text Char Char Char Char Char Char Char Char Char Char Char Char Char Char Char Char"/>
    <w:qFormat/>
    <w:uiPriority w:val="0"/>
    <w:rPr>
      <w:rFonts w:ascii="宋体" w:hAnsi="Courier New"/>
      <w:kern w:val="2"/>
      <w:sz w:val="21"/>
    </w:rPr>
  </w:style>
  <w:style w:type="character" w:customStyle="1" w:styleId="468">
    <w:name w:val="xyb自建正文 Char Char Char Char Char"/>
    <w:link w:val="469"/>
    <w:qFormat/>
    <w:uiPriority w:val="0"/>
    <w:rPr>
      <w:rFonts w:ascii="宋体"/>
      <w:spacing w:val="-2"/>
      <w:sz w:val="24"/>
    </w:rPr>
  </w:style>
  <w:style w:type="paragraph" w:customStyle="1" w:styleId="469">
    <w:name w:val="xyb自建正文 Char Char Char"/>
    <w:basedOn w:val="1"/>
    <w:link w:val="468"/>
    <w:qFormat/>
    <w:uiPriority w:val="0"/>
    <w:pPr>
      <w:tabs>
        <w:tab w:val="left" w:pos="1440"/>
        <w:tab w:val="left" w:pos="8280"/>
      </w:tabs>
      <w:ind w:firstLine="200" w:firstLineChars="200"/>
    </w:pPr>
    <w:rPr>
      <w:rFonts w:ascii="宋体"/>
      <w:spacing w:val="-2"/>
      <w:sz w:val="24"/>
    </w:rPr>
  </w:style>
  <w:style w:type="character" w:customStyle="1" w:styleId="470">
    <w:name w:val="宏文本 Char"/>
    <w:qFormat/>
    <w:uiPriority w:val="0"/>
    <w:rPr>
      <w:rFonts w:ascii="Courier New" w:hAnsi="Courier New" w:eastAsia="Times New Roman"/>
      <w:sz w:val="24"/>
      <w:szCs w:val="24"/>
    </w:rPr>
  </w:style>
  <w:style w:type="character" w:customStyle="1" w:styleId="471">
    <w:name w:val="3zw1"/>
    <w:qFormat/>
    <w:uiPriority w:val="0"/>
    <w:rPr>
      <w:color w:val="000000"/>
      <w:sz w:val="21"/>
      <w:szCs w:val="21"/>
    </w:rPr>
  </w:style>
  <w:style w:type="character" w:customStyle="1" w:styleId="472">
    <w:name w:val="Char Char9"/>
    <w:qFormat/>
    <w:uiPriority w:val="0"/>
    <w:rPr>
      <w:kern w:val="2"/>
      <w:sz w:val="18"/>
    </w:rPr>
  </w:style>
  <w:style w:type="character" w:customStyle="1" w:styleId="473">
    <w:name w:val="Char Char Char Char Char Char Char Char Char Char Char1"/>
    <w:link w:val="474"/>
    <w:qFormat/>
    <w:uiPriority w:val="0"/>
    <w:rPr>
      <w:rFonts w:ascii="宋体" w:hAnsi="宋体"/>
      <w:sz w:val="24"/>
      <w:szCs w:val="28"/>
    </w:rPr>
  </w:style>
  <w:style w:type="paragraph" w:customStyle="1" w:styleId="474">
    <w:name w:val="Char Char Char Char Char Char Char Char Char1"/>
    <w:basedOn w:val="1"/>
    <w:link w:val="473"/>
    <w:qFormat/>
    <w:uiPriority w:val="0"/>
    <w:pPr>
      <w:ind w:firstLine="200" w:firstLineChars="200"/>
    </w:pPr>
    <w:rPr>
      <w:rFonts w:ascii="宋体" w:hAnsi="宋体"/>
      <w:sz w:val="24"/>
      <w:szCs w:val="28"/>
    </w:rPr>
  </w:style>
  <w:style w:type="character" w:customStyle="1" w:styleId="475">
    <w:name w:val="表号 Char Char Char Char"/>
    <w:qFormat/>
    <w:uiPriority w:val="0"/>
    <w:rPr>
      <w:rFonts w:eastAsia="宋体"/>
      <w:kern w:val="2"/>
      <w:sz w:val="21"/>
      <w:szCs w:val="24"/>
      <w:lang w:val="en-US" w:eastAsia="zh-CN" w:bidi="ar-SA"/>
    </w:rPr>
  </w:style>
  <w:style w:type="character" w:customStyle="1" w:styleId="476">
    <w:name w:val="样式 样式 小四 蓝色 行距: 固定值 30 磅 + 行距: 1.5 倍行距 Char Char"/>
    <w:link w:val="477"/>
    <w:qFormat/>
    <w:uiPriority w:val="0"/>
    <w:rPr>
      <w:color w:val="0000FF"/>
      <w:sz w:val="24"/>
    </w:rPr>
  </w:style>
  <w:style w:type="paragraph" w:customStyle="1" w:styleId="477">
    <w:name w:val="样式 样式 小四 蓝色 行距: 固定值 30 磅 + 行距: 1.5 倍行距"/>
    <w:basedOn w:val="1"/>
    <w:link w:val="476"/>
    <w:qFormat/>
    <w:uiPriority w:val="0"/>
    <w:pPr>
      <w:ind w:firstLine="480" w:firstLineChars="200"/>
    </w:pPr>
    <w:rPr>
      <w:color w:val="0000FF"/>
      <w:sz w:val="24"/>
    </w:rPr>
  </w:style>
  <w:style w:type="character" w:customStyle="1" w:styleId="478">
    <w:name w:val="aspmaker1"/>
    <w:qFormat/>
    <w:uiPriority w:val="0"/>
    <w:rPr>
      <w:rFonts w:ascii="Verdana" w:hAnsi="Verdana"/>
      <w:sz w:val="20"/>
    </w:rPr>
  </w:style>
  <w:style w:type="character" w:customStyle="1" w:styleId="479">
    <w:name w:val="Char Char35"/>
    <w:qFormat/>
    <w:uiPriority w:val="0"/>
    <w:rPr>
      <w:rFonts w:ascii="Arial" w:hAnsi="Arial" w:eastAsia="黑体"/>
      <w:b/>
      <w:kern w:val="2"/>
      <w:sz w:val="24"/>
    </w:rPr>
  </w:style>
  <w:style w:type="character" w:customStyle="1" w:styleId="480">
    <w:name w:val="样式 标题 2节名节 + (中文) 宋体 Char Char"/>
    <w:link w:val="481"/>
    <w:qFormat/>
    <w:uiPriority w:val="0"/>
    <w:rPr>
      <w:rFonts w:eastAsia="黑体"/>
      <w:b/>
      <w:color w:val="000000"/>
      <w:sz w:val="30"/>
      <w:szCs w:val="28"/>
    </w:rPr>
  </w:style>
  <w:style w:type="paragraph" w:customStyle="1" w:styleId="481">
    <w:name w:val="样式 标题 2节名节 + (中文) 宋体"/>
    <w:basedOn w:val="6"/>
    <w:link w:val="480"/>
    <w:qFormat/>
    <w:uiPriority w:val="0"/>
    <w:pPr>
      <w:numPr>
        <w:ilvl w:val="0"/>
        <w:numId w:val="0"/>
      </w:numPr>
      <w:spacing w:beforeLines="50" w:after="0" w:line="240" w:lineRule="auto"/>
      <w:jc w:val="both"/>
    </w:pPr>
    <w:rPr>
      <w:rFonts w:eastAsia="黑体" w:asciiTheme="minorHAnsi" w:hAnsiTheme="minorHAnsi" w:cstheme="minorBidi"/>
      <w:bCs w:val="0"/>
      <w:color w:val="000000"/>
      <w:sz w:val="30"/>
      <w:szCs w:val="28"/>
    </w:rPr>
  </w:style>
  <w:style w:type="character" w:customStyle="1" w:styleId="482">
    <w:name w:val="xyb自建表格名称 Char Char Char Char Char"/>
    <w:link w:val="483"/>
    <w:qFormat/>
    <w:uiPriority w:val="0"/>
    <w:rPr>
      <w:rFonts w:ascii="宋体" w:hAnsi="宋体" w:eastAsia="宋体"/>
      <w:sz w:val="24"/>
      <w:szCs w:val="24"/>
    </w:rPr>
  </w:style>
  <w:style w:type="paragraph" w:customStyle="1" w:styleId="483">
    <w:name w:val="xyb自建表格名称 Char Char Char"/>
    <w:basedOn w:val="1"/>
    <w:link w:val="482"/>
    <w:qFormat/>
    <w:uiPriority w:val="0"/>
    <w:pPr>
      <w:jc w:val="center"/>
    </w:pPr>
    <w:rPr>
      <w:rFonts w:ascii="宋体" w:hAnsi="宋体" w:eastAsia="宋体"/>
      <w:sz w:val="24"/>
      <w:szCs w:val="24"/>
    </w:rPr>
  </w:style>
  <w:style w:type="character" w:customStyle="1" w:styleId="484">
    <w:name w:val="样式3 Char Char"/>
    <w:link w:val="485"/>
    <w:qFormat/>
    <w:uiPriority w:val="0"/>
    <w:rPr>
      <w:rFonts w:ascii="仿宋_GB2312" w:hAnsi="Courier New" w:eastAsia="仿宋_GB2312"/>
      <w:b/>
      <w:sz w:val="30"/>
      <w:szCs w:val="24"/>
    </w:rPr>
  </w:style>
  <w:style w:type="paragraph" w:customStyle="1" w:styleId="485">
    <w:name w:val="样式3"/>
    <w:basedOn w:val="1"/>
    <w:link w:val="484"/>
    <w:qFormat/>
    <w:uiPriority w:val="0"/>
    <w:pPr>
      <w:spacing w:line="240" w:lineRule="auto"/>
      <w:ind w:left="420"/>
    </w:pPr>
    <w:rPr>
      <w:rFonts w:ascii="仿宋_GB2312" w:hAnsi="Courier New" w:eastAsia="仿宋_GB2312"/>
      <w:b/>
      <w:sz w:val="30"/>
      <w:szCs w:val="24"/>
    </w:rPr>
  </w:style>
  <w:style w:type="character" w:customStyle="1" w:styleId="486">
    <w:name w:val="副标题 Char2"/>
    <w:qFormat/>
    <w:uiPriority w:val="0"/>
    <w:rPr>
      <w:rFonts w:ascii="Cambria" w:hAnsi="Cambria"/>
      <w:b/>
      <w:kern w:val="28"/>
      <w:sz w:val="32"/>
    </w:rPr>
  </w:style>
  <w:style w:type="character" w:customStyle="1" w:styleId="487">
    <w:name w:val="样式4 Char Char"/>
    <w:link w:val="488"/>
    <w:qFormat/>
    <w:uiPriority w:val="0"/>
    <w:rPr>
      <w:rFonts w:eastAsia="华文中宋" w:cs="宋体"/>
      <w:b/>
      <w:bCs/>
      <w:caps/>
      <w:szCs w:val="24"/>
    </w:rPr>
  </w:style>
  <w:style w:type="paragraph" w:customStyle="1" w:styleId="488">
    <w:name w:val="样式4"/>
    <w:basedOn w:val="1"/>
    <w:link w:val="487"/>
    <w:qFormat/>
    <w:uiPriority w:val="0"/>
    <w:pPr>
      <w:adjustRightInd w:val="0"/>
      <w:spacing w:line="320" w:lineRule="exact"/>
      <w:jc w:val="center"/>
    </w:pPr>
    <w:rPr>
      <w:rFonts w:eastAsia="华文中宋" w:cs="宋体"/>
      <w:b/>
      <w:bCs/>
      <w:caps/>
      <w:szCs w:val="24"/>
    </w:rPr>
  </w:style>
  <w:style w:type="character" w:customStyle="1" w:styleId="489">
    <w:name w:val="报告 Char Char"/>
    <w:link w:val="490"/>
    <w:qFormat/>
    <w:uiPriority w:val="0"/>
    <w:rPr>
      <w:rFonts w:ascii="TimesNewRoman" w:hAnsi="TimesNewRoman"/>
      <w:sz w:val="24"/>
    </w:rPr>
  </w:style>
  <w:style w:type="paragraph" w:customStyle="1" w:styleId="490">
    <w:name w:val="报告"/>
    <w:basedOn w:val="1"/>
    <w:link w:val="489"/>
    <w:qFormat/>
    <w:uiPriority w:val="0"/>
    <w:pPr>
      <w:adjustRightInd w:val="0"/>
      <w:ind w:firstLine="505"/>
      <w:textAlignment w:val="center"/>
    </w:pPr>
    <w:rPr>
      <w:rFonts w:ascii="TimesNewRoman" w:hAnsi="TimesNewRoman"/>
      <w:sz w:val="24"/>
    </w:rPr>
  </w:style>
  <w:style w:type="character" w:customStyle="1" w:styleId="491">
    <w:name w:val="纯文本[858D7CFB-ED40-4347-BF05-701D383B685F]1"/>
    <w:qFormat/>
    <w:uiPriority w:val="0"/>
    <w:rPr>
      <w:rFonts w:ascii="宋体" w:hAnsi="宋体"/>
      <w:sz w:val="24"/>
    </w:rPr>
  </w:style>
  <w:style w:type="character" w:customStyle="1" w:styleId="492">
    <w:name w:val="报告书正文 Char"/>
    <w:qFormat/>
    <w:uiPriority w:val="0"/>
    <w:rPr>
      <w:rFonts w:ascii="宋体" w:eastAsia="宋体"/>
      <w:kern w:val="2"/>
      <w:sz w:val="24"/>
      <w:lang w:val="en-US" w:eastAsia="zh-CN" w:bidi="ar-SA"/>
    </w:rPr>
  </w:style>
  <w:style w:type="character" w:customStyle="1" w:styleId="493">
    <w:name w:val="表格标题 Char Char Char Char"/>
    <w:qFormat/>
    <w:uiPriority w:val="0"/>
    <w:rPr>
      <w:rFonts w:eastAsia="黑体"/>
      <w:kern w:val="2"/>
      <w:sz w:val="24"/>
      <w:lang w:val="en-US" w:eastAsia="zh-CN"/>
    </w:rPr>
  </w:style>
  <w:style w:type="character" w:customStyle="1" w:styleId="494">
    <w:name w:val="二章正文 Char Char Char"/>
    <w:qFormat/>
    <w:uiPriority w:val="0"/>
    <w:rPr>
      <w:rFonts w:ascii="宋体" w:eastAsia="宋体"/>
      <w:kern w:val="2"/>
      <w:sz w:val="24"/>
      <w:lang w:val="en-US" w:eastAsia="zh-CN" w:bidi="ar-SA"/>
    </w:rPr>
  </w:style>
  <w:style w:type="character" w:customStyle="1" w:styleId="495">
    <w:name w:val="表文 Char Char Char"/>
    <w:qFormat/>
    <w:uiPriority w:val="0"/>
    <w:rPr>
      <w:rFonts w:eastAsia="宋体"/>
      <w:kern w:val="2"/>
      <w:sz w:val="21"/>
      <w:lang w:val="en-US" w:eastAsia="zh-CN"/>
    </w:rPr>
  </w:style>
  <w:style w:type="character" w:customStyle="1" w:styleId="496">
    <w:name w:val="正文缩进（自定义） Char Char Char Char"/>
    <w:qFormat/>
    <w:uiPriority w:val="0"/>
    <w:rPr>
      <w:rFonts w:ascii="Century Gothic" w:hAnsi="Century Gothic" w:eastAsia="宋体"/>
      <w:sz w:val="24"/>
      <w:lang w:val="en-US" w:eastAsia="zh-CN"/>
    </w:rPr>
  </w:style>
  <w:style w:type="character" w:customStyle="1" w:styleId="497">
    <w:name w:val="样式 标题 2 + 红色 Char"/>
    <w:qFormat/>
    <w:uiPriority w:val="0"/>
    <w:rPr>
      <w:rFonts w:ascii="Arial" w:hAnsi="Arial"/>
      <w:b/>
      <w:color w:val="FF0000"/>
      <w:spacing w:val="-8"/>
      <w:sz w:val="28"/>
    </w:rPr>
  </w:style>
  <w:style w:type="character" w:customStyle="1" w:styleId="498">
    <w:name w:val="报告书正文 Char Char Char Char Char Char"/>
    <w:qFormat/>
    <w:uiPriority w:val="0"/>
    <w:rPr>
      <w:color w:val="000000"/>
      <w:sz w:val="24"/>
    </w:rPr>
  </w:style>
  <w:style w:type="character" w:customStyle="1" w:styleId="499">
    <w:name w:val="【表中文字】 Char"/>
    <w:qFormat/>
    <w:uiPriority w:val="0"/>
    <w:rPr>
      <w:rFonts w:eastAsia="宋体"/>
      <w:kern w:val="2"/>
      <w:sz w:val="21"/>
    </w:rPr>
  </w:style>
  <w:style w:type="character" w:customStyle="1" w:styleId="500">
    <w:name w:val="表头1 Char"/>
    <w:qFormat/>
    <w:uiPriority w:val="0"/>
    <w:rPr>
      <w:sz w:val="21"/>
      <w:szCs w:val="28"/>
      <w:lang w:val="en-US" w:eastAsia="zh-CN"/>
    </w:rPr>
  </w:style>
  <w:style w:type="character" w:customStyle="1" w:styleId="501">
    <w:name w:val="表格Table"/>
    <w:qFormat/>
    <w:uiPriority w:val="0"/>
    <w:rPr>
      <w:color w:val="000000"/>
      <w:sz w:val="21"/>
    </w:rPr>
  </w:style>
  <w:style w:type="character" w:customStyle="1" w:styleId="502">
    <w:name w:val="Bt1.1.1 Char Char"/>
    <w:link w:val="503"/>
    <w:qFormat/>
    <w:uiPriority w:val="0"/>
    <w:rPr>
      <w:rFonts w:eastAsia="楷体_GB2312"/>
      <w:b/>
      <w:bCs/>
      <w:snapToGrid w:val="0"/>
      <w:color w:val="000000"/>
      <w:sz w:val="32"/>
      <w:szCs w:val="24"/>
    </w:rPr>
  </w:style>
  <w:style w:type="paragraph" w:customStyle="1" w:styleId="503">
    <w:name w:val="Bt1.1.1"/>
    <w:basedOn w:val="1"/>
    <w:next w:val="1"/>
    <w:link w:val="502"/>
    <w:qFormat/>
    <w:uiPriority w:val="0"/>
    <w:pPr>
      <w:keepNext/>
      <w:keepLines/>
      <w:jc w:val="left"/>
      <w:outlineLvl w:val="2"/>
    </w:pPr>
    <w:rPr>
      <w:rFonts w:eastAsia="楷体_GB2312"/>
      <w:b/>
      <w:bCs/>
      <w:snapToGrid w:val="0"/>
      <w:color w:val="000000"/>
      <w:sz w:val="32"/>
      <w:szCs w:val="24"/>
    </w:rPr>
  </w:style>
  <w:style w:type="character" w:customStyle="1" w:styleId="504">
    <w:name w:val="正文文本缩进 2 Char1"/>
    <w:qFormat/>
    <w:uiPriority w:val="0"/>
    <w:rPr>
      <w:rFonts w:ascii="Calibri" w:hAnsi="Calibri" w:eastAsia="宋体" w:cs="Times New Roman"/>
      <w:sz w:val="24"/>
    </w:rPr>
  </w:style>
  <w:style w:type="character" w:customStyle="1" w:styleId="505">
    <w:name w:val="批注文字 Char1"/>
    <w:qFormat/>
    <w:uiPriority w:val="0"/>
    <w:rPr>
      <w:rFonts w:ascii="Calibri" w:hAnsi="Calibri" w:eastAsia="宋体" w:cs="Times New Roman"/>
      <w:sz w:val="24"/>
    </w:rPr>
  </w:style>
  <w:style w:type="character" w:customStyle="1" w:styleId="506">
    <w:name w:val="签名 Char1"/>
    <w:qFormat/>
    <w:uiPriority w:val="0"/>
    <w:rPr>
      <w:rFonts w:ascii="Calibri" w:hAnsi="Calibri" w:eastAsia="宋体" w:cs="Times New Roman"/>
      <w:sz w:val="24"/>
    </w:rPr>
  </w:style>
  <w:style w:type="character" w:customStyle="1" w:styleId="507">
    <w:name w:val="纯文本 Char1"/>
    <w:link w:val="508"/>
    <w:qFormat/>
    <w:uiPriority w:val="0"/>
    <w:rPr>
      <w:rFonts w:ascii="宋体" w:hAnsi="Courier New" w:cs="Courier New"/>
      <w:szCs w:val="21"/>
    </w:rPr>
  </w:style>
  <w:style w:type="paragraph" w:customStyle="1" w:styleId="508">
    <w:name w:val="纯文本2"/>
    <w:basedOn w:val="1"/>
    <w:link w:val="507"/>
    <w:qFormat/>
    <w:uiPriority w:val="0"/>
    <w:pPr>
      <w:jc w:val="left"/>
    </w:pPr>
    <w:rPr>
      <w:rFonts w:ascii="宋体" w:hAnsi="Courier New" w:cs="Courier New"/>
    </w:rPr>
  </w:style>
  <w:style w:type="character" w:customStyle="1" w:styleId="509">
    <w:name w:val="正文文本 3 Char1"/>
    <w:qFormat/>
    <w:uiPriority w:val="0"/>
    <w:rPr>
      <w:rFonts w:eastAsia="楷体_GB2312"/>
      <w:sz w:val="16"/>
      <w:szCs w:val="16"/>
    </w:rPr>
  </w:style>
  <w:style w:type="character" w:customStyle="1" w:styleId="510">
    <w:name w:val="正文首行缩进 Char2"/>
    <w:qFormat/>
    <w:uiPriority w:val="0"/>
    <w:rPr>
      <w:rFonts w:ascii="Calibri" w:hAnsi="Calibri" w:eastAsia="宋体" w:cs="Times New Roman"/>
      <w:sz w:val="24"/>
      <w:szCs w:val="24"/>
    </w:rPr>
  </w:style>
  <w:style w:type="character" w:customStyle="1" w:styleId="511">
    <w:name w:val="正文文本 3 Char2"/>
    <w:qFormat/>
    <w:uiPriority w:val="0"/>
    <w:rPr>
      <w:rFonts w:ascii="Calibri" w:hAnsi="Calibri" w:eastAsia="宋体" w:cs="Times New Roman"/>
      <w:sz w:val="16"/>
      <w:szCs w:val="16"/>
    </w:rPr>
  </w:style>
  <w:style w:type="character" w:customStyle="1" w:styleId="512">
    <w:name w:val="正文首行缩进 2 Char1"/>
    <w:qFormat/>
    <w:uiPriority w:val="0"/>
    <w:rPr>
      <w:rFonts w:ascii="Calibri" w:hAnsi="Calibri" w:eastAsia="宋体" w:cs="Times New Roman"/>
      <w:sz w:val="24"/>
    </w:rPr>
  </w:style>
  <w:style w:type="character" w:customStyle="1" w:styleId="513">
    <w:name w:val="页眉 Char1"/>
    <w:qFormat/>
    <w:uiPriority w:val="0"/>
    <w:rPr>
      <w:rFonts w:ascii="Calibri" w:hAnsi="Calibri" w:eastAsia="宋体" w:cs="Times New Roman"/>
      <w:sz w:val="18"/>
      <w:szCs w:val="18"/>
    </w:rPr>
  </w:style>
  <w:style w:type="character" w:customStyle="1" w:styleId="514">
    <w:name w:val="页脚 Char1"/>
    <w:qFormat/>
    <w:uiPriority w:val="0"/>
    <w:rPr>
      <w:rFonts w:ascii="Calibri" w:hAnsi="Calibri" w:eastAsia="宋体" w:cs="Times New Roman"/>
      <w:sz w:val="18"/>
      <w:szCs w:val="18"/>
    </w:rPr>
  </w:style>
  <w:style w:type="character" w:customStyle="1" w:styleId="515">
    <w:name w:val="正文文本 Char2"/>
    <w:qFormat/>
    <w:uiPriority w:val="0"/>
    <w:rPr>
      <w:kern w:val="2"/>
      <w:sz w:val="21"/>
      <w:szCs w:val="22"/>
    </w:rPr>
  </w:style>
  <w:style w:type="character" w:customStyle="1" w:styleId="516">
    <w:name w:val="正文文本缩进 Char3"/>
    <w:qFormat/>
    <w:uiPriority w:val="0"/>
    <w:rPr>
      <w:kern w:val="2"/>
      <w:sz w:val="21"/>
      <w:szCs w:val="22"/>
    </w:rPr>
  </w:style>
  <w:style w:type="character" w:customStyle="1" w:styleId="517">
    <w:name w:val="页眉 Char2"/>
    <w:qFormat/>
    <w:uiPriority w:val="0"/>
    <w:rPr>
      <w:kern w:val="2"/>
      <w:sz w:val="18"/>
      <w:szCs w:val="18"/>
    </w:rPr>
  </w:style>
  <w:style w:type="character" w:customStyle="1" w:styleId="518">
    <w:name w:val="文档结构图 Char1"/>
    <w:qFormat/>
    <w:uiPriority w:val="0"/>
    <w:rPr>
      <w:rFonts w:ascii="宋体"/>
      <w:kern w:val="2"/>
      <w:sz w:val="18"/>
      <w:szCs w:val="18"/>
    </w:rPr>
  </w:style>
  <w:style w:type="character" w:customStyle="1" w:styleId="519">
    <w:name w:val="正文文本缩进 2 Char2"/>
    <w:qFormat/>
    <w:uiPriority w:val="0"/>
    <w:rPr>
      <w:kern w:val="2"/>
      <w:sz w:val="21"/>
      <w:szCs w:val="22"/>
    </w:rPr>
  </w:style>
  <w:style w:type="character" w:customStyle="1" w:styleId="520">
    <w:name w:val="批注文字 Char2"/>
    <w:qFormat/>
    <w:uiPriority w:val="0"/>
    <w:rPr>
      <w:kern w:val="2"/>
      <w:sz w:val="21"/>
      <w:szCs w:val="22"/>
    </w:rPr>
  </w:style>
  <w:style w:type="character" w:customStyle="1" w:styleId="521">
    <w:name w:val="批注主题 Char1"/>
    <w:qFormat/>
    <w:uiPriority w:val="0"/>
    <w:rPr>
      <w:b/>
      <w:bCs/>
      <w:kern w:val="2"/>
      <w:sz w:val="21"/>
      <w:szCs w:val="22"/>
    </w:rPr>
  </w:style>
  <w:style w:type="character" w:customStyle="1" w:styleId="522">
    <w:name w:val="批注框文本 Char1"/>
    <w:qFormat/>
    <w:uiPriority w:val="0"/>
    <w:rPr>
      <w:kern w:val="2"/>
      <w:sz w:val="18"/>
      <w:szCs w:val="18"/>
    </w:rPr>
  </w:style>
  <w:style w:type="character" w:customStyle="1" w:styleId="523">
    <w:name w:val="表头1 Char Char Char"/>
    <w:qFormat/>
    <w:uiPriority w:val="0"/>
    <w:rPr>
      <w:sz w:val="21"/>
      <w:szCs w:val="28"/>
      <w:lang w:val="en-US" w:eastAsia="zh-CN"/>
    </w:rPr>
  </w:style>
  <w:style w:type="character" w:customStyle="1" w:styleId="524">
    <w:name w:val="正文文字 Char Char"/>
    <w:qFormat/>
    <w:uiPriority w:val="0"/>
    <w:rPr>
      <w:rFonts w:ascii="Calibri" w:hAnsi="Calibri"/>
      <w:kern w:val="2"/>
      <w:sz w:val="21"/>
      <w:szCs w:val="22"/>
      <w:lang w:val="en-US" w:eastAsia="zh-CN" w:bidi="ar-SA"/>
    </w:rPr>
  </w:style>
  <w:style w:type="character" w:customStyle="1" w:styleId="525">
    <w:name w:val="报告书正文 Char Char Char Char Char Char Char Char Char Char"/>
    <w:qFormat/>
    <w:uiPriority w:val="0"/>
    <w:rPr>
      <w:rFonts w:ascii="宋体" w:eastAsia="宋体"/>
      <w:kern w:val="2"/>
      <w:sz w:val="24"/>
      <w:lang w:val="en-US" w:eastAsia="zh-CN" w:bidi="ar-SA"/>
    </w:rPr>
  </w:style>
  <w:style w:type="character" w:customStyle="1" w:styleId="526">
    <w:name w:val="正文(首行缩进) Char Char Char"/>
    <w:qFormat/>
    <w:uiPriority w:val="0"/>
    <w:rPr>
      <w:snapToGrid w:val="0"/>
      <w:sz w:val="24"/>
      <w:szCs w:val="24"/>
    </w:rPr>
  </w:style>
  <w:style w:type="character" w:customStyle="1" w:styleId="527">
    <w:name w:val="报告书正文 Char Char Char Char Char Char Char Char Char Char Char"/>
    <w:qFormat/>
    <w:uiPriority w:val="0"/>
    <w:rPr>
      <w:rFonts w:eastAsia="宋体"/>
      <w:color w:val="000000"/>
      <w:kern w:val="2"/>
      <w:sz w:val="24"/>
      <w:szCs w:val="24"/>
      <w:lang w:val="en-US" w:eastAsia="zh-CN" w:bidi="ar-SA"/>
    </w:rPr>
  </w:style>
  <w:style w:type="character" w:customStyle="1" w:styleId="528">
    <w:name w:val="Char Char Char Char Char Char Char Char Char Char Char Char1"/>
    <w:qFormat/>
    <w:uiPriority w:val="0"/>
    <w:rPr>
      <w:rFonts w:ascii="宋体" w:hAnsi="宋体" w:eastAsia="宋体" w:cs="宋体"/>
      <w:kern w:val="2"/>
      <w:sz w:val="24"/>
      <w:szCs w:val="28"/>
      <w:lang w:val="en-US" w:eastAsia="zh-CN" w:bidi="ar-SA"/>
    </w:rPr>
  </w:style>
  <w:style w:type="character" w:customStyle="1" w:styleId="529">
    <w:name w:val="表文 Char Char Char Char Char"/>
    <w:qFormat/>
    <w:uiPriority w:val="0"/>
    <w:rPr>
      <w:rFonts w:eastAsia="宋体"/>
      <w:kern w:val="2"/>
      <w:sz w:val="21"/>
      <w:lang w:val="en-US" w:eastAsia="zh-CN"/>
    </w:rPr>
  </w:style>
  <w:style w:type="character" w:customStyle="1" w:styleId="530">
    <w:name w:val="图名 Char Char"/>
    <w:qFormat/>
    <w:uiPriority w:val="0"/>
    <w:rPr>
      <w:rFonts w:eastAsia="黑体"/>
      <w:b/>
      <w:kern w:val="2"/>
      <w:sz w:val="21"/>
      <w:szCs w:val="24"/>
      <w:lang w:val="en-US" w:eastAsia="zh-CN" w:bidi="ar-SA"/>
    </w:rPr>
  </w:style>
  <w:style w:type="character" w:customStyle="1" w:styleId="531">
    <w:name w:val="文本正文专用 Char Char Char"/>
    <w:qFormat/>
    <w:uiPriority w:val="0"/>
    <w:rPr>
      <w:rFonts w:eastAsia="宋体" w:cs="宋体"/>
      <w:kern w:val="2"/>
      <w:sz w:val="24"/>
      <w:szCs w:val="24"/>
      <w:lang w:val="en-US" w:eastAsia="zh-CN" w:bidi="ar-SA"/>
    </w:rPr>
  </w:style>
  <w:style w:type="character" w:customStyle="1" w:styleId="532">
    <w:name w:val="报告 Char Char Char"/>
    <w:qFormat/>
    <w:uiPriority w:val="0"/>
    <w:rPr>
      <w:rFonts w:ascii="TimesNewRoman" w:hAnsi="TimesNewRoman"/>
      <w:sz w:val="24"/>
    </w:rPr>
  </w:style>
  <w:style w:type="character" w:customStyle="1" w:styleId="533">
    <w:name w:val="【表中文字】 Char Char Char"/>
    <w:qFormat/>
    <w:uiPriority w:val="0"/>
    <w:rPr>
      <w:rFonts w:eastAsia="宋体"/>
      <w:kern w:val="2"/>
      <w:sz w:val="21"/>
    </w:rPr>
  </w:style>
  <w:style w:type="character" w:customStyle="1" w:styleId="534">
    <w:name w:val="样式 (中文) 宋体 小四"/>
    <w:qFormat/>
    <w:uiPriority w:val="0"/>
    <w:rPr>
      <w:rFonts w:eastAsia="宋体"/>
      <w:bCs/>
      <w:sz w:val="24"/>
    </w:rPr>
  </w:style>
  <w:style w:type="character" w:customStyle="1" w:styleId="535">
    <w:name w:val="纯文本[858D7CFB-ED40-4347-BF05-701D383B685F]2"/>
    <w:qFormat/>
    <w:uiPriority w:val="0"/>
    <w:rPr>
      <w:rFonts w:ascii="宋体" w:hAnsi="宋体"/>
      <w:sz w:val="24"/>
    </w:rPr>
  </w:style>
  <w:style w:type="character" w:customStyle="1" w:styleId="536">
    <w:name w:val="ENFI正文 Char Char"/>
    <w:link w:val="537"/>
    <w:qFormat/>
    <w:uiPriority w:val="0"/>
    <w:rPr>
      <w:rFonts w:ascii="Calibri" w:hAnsi="Calibri" w:eastAsia="仿宋_GB2312"/>
      <w:snapToGrid w:val="0"/>
      <w:color w:val="000000"/>
      <w:sz w:val="28"/>
    </w:rPr>
  </w:style>
  <w:style w:type="paragraph" w:customStyle="1" w:styleId="537">
    <w:name w:val="ENFI正文"/>
    <w:basedOn w:val="1"/>
    <w:link w:val="536"/>
    <w:qFormat/>
    <w:uiPriority w:val="0"/>
    <w:pPr>
      <w:adjustRightInd w:val="0"/>
      <w:snapToGrid w:val="0"/>
      <w:spacing w:line="500" w:lineRule="exact"/>
      <w:ind w:firstLine="567"/>
    </w:pPr>
    <w:rPr>
      <w:rFonts w:ascii="Calibri" w:hAnsi="Calibri" w:eastAsia="仿宋_GB2312"/>
      <w:snapToGrid w:val="0"/>
      <w:color w:val="000000"/>
      <w:sz w:val="28"/>
    </w:rPr>
  </w:style>
  <w:style w:type="character" w:customStyle="1" w:styleId="538">
    <w:name w:val="ENFI图表标题 Char"/>
    <w:link w:val="539"/>
    <w:qFormat/>
    <w:uiPriority w:val="0"/>
    <w:rPr>
      <w:rFonts w:ascii="Calibri" w:hAnsi="Calibri" w:eastAsia="仿宋_GB2312"/>
      <w:b/>
      <w:sz w:val="28"/>
    </w:rPr>
  </w:style>
  <w:style w:type="paragraph" w:customStyle="1" w:styleId="539">
    <w:name w:val="ENFI图表标题"/>
    <w:basedOn w:val="1"/>
    <w:link w:val="538"/>
    <w:qFormat/>
    <w:uiPriority w:val="0"/>
    <w:pPr>
      <w:widowControl/>
      <w:adjustRightInd w:val="0"/>
      <w:snapToGrid w:val="0"/>
      <w:spacing w:before="120" w:line="240" w:lineRule="atLeast"/>
      <w:jc w:val="center"/>
    </w:pPr>
    <w:rPr>
      <w:rFonts w:ascii="Calibri" w:hAnsi="Calibri" w:eastAsia="仿宋_GB2312"/>
      <w:b/>
      <w:sz w:val="28"/>
    </w:rPr>
  </w:style>
  <w:style w:type="character" w:customStyle="1" w:styleId="540">
    <w:name w:val="doc_title1"/>
    <w:qFormat/>
    <w:uiPriority w:val="0"/>
    <w:rPr>
      <w:color w:val="333333"/>
      <w:sz w:val="30"/>
      <w:szCs w:val="30"/>
    </w:rPr>
  </w:style>
  <w:style w:type="character" w:customStyle="1" w:styleId="541">
    <w:name w:val="lemmatitleh1"/>
    <w:basedOn w:val="91"/>
    <w:qFormat/>
    <w:uiPriority w:val="0"/>
    <w:rPr>
      <w:rFonts w:eastAsia="宋体"/>
      <w:kern w:val="2"/>
      <w:sz w:val="24"/>
      <w:szCs w:val="24"/>
      <w:lang w:val="en-US" w:eastAsia="zh-CN" w:bidi="ar-SA"/>
    </w:rPr>
  </w:style>
  <w:style w:type="character" w:customStyle="1" w:styleId="542">
    <w:name w:val="font31"/>
    <w:qFormat/>
    <w:uiPriority w:val="0"/>
    <w:rPr>
      <w:rFonts w:hint="default" w:ascii="Times New Roman" w:hAnsi="Times New Roman" w:eastAsia="宋体" w:cs="Times New Roman"/>
      <w:color w:val="000000"/>
      <w:kern w:val="2"/>
      <w:sz w:val="21"/>
      <w:szCs w:val="21"/>
      <w:lang w:val="en-US" w:eastAsia="zh-CN" w:bidi="ar-SA"/>
    </w:rPr>
  </w:style>
  <w:style w:type="character" w:customStyle="1" w:styleId="543">
    <w:name w:val="纯文本[858D7CFB-ED40-4347-BF05-701D383B685F]3"/>
    <w:qFormat/>
    <w:uiPriority w:val="0"/>
    <w:rPr>
      <w:rFonts w:ascii="宋体" w:hAnsi="宋体"/>
      <w:sz w:val="24"/>
    </w:rPr>
  </w:style>
  <w:style w:type="paragraph" w:customStyle="1" w:styleId="544">
    <w:name w:val="xl36"/>
    <w:basedOn w:val="1"/>
    <w:qFormat/>
    <w:uiPriority w:val="0"/>
    <w:pPr>
      <w:widowControl/>
      <w:pBdr>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545">
    <w:name w:val="正文(a)"/>
    <w:basedOn w:val="1"/>
    <w:qFormat/>
    <w:uiPriority w:val="0"/>
    <w:pPr>
      <w:widowControl/>
      <w:tabs>
        <w:tab w:val="left" w:pos="1230"/>
      </w:tabs>
      <w:adjustRightInd w:val="0"/>
      <w:snapToGrid w:val="0"/>
      <w:spacing w:line="480" w:lineRule="exact"/>
      <w:ind w:left="56" w:firstLine="454"/>
      <w:textAlignment w:val="baseline"/>
    </w:pPr>
    <w:rPr>
      <w:rFonts w:ascii="宋体" w:hAnsi="Times New Roman" w:eastAsia="宋体" w:cs="Times New Roman"/>
      <w:snapToGrid w:val="0"/>
      <w:color w:val="000000"/>
      <w:spacing w:val="20"/>
      <w:kern w:val="24"/>
      <w:sz w:val="24"/>
      <w:szCs w:val="20"/>
      <w:u w:color="000000"/>
    </w:rPr>
  </w:style>
  <w:style w:type="paragraph" w:customStyle="1" w:styleId="546">
    <w:name w:val="样式"/>
    <w:basedOn w:val="1"/>
    <w:next w:val="36"/>
    <w:qFormat/>
    <w:uiPriority w:val="0"/>
    <w:pPr>
      <w:ind w:firstLine="200" w:firstLineChars="200"/>
    </w:pPr>
    <w:rPr>
      <w:rFonts w:ascii="Times New Roman" w:hAnsi="Times New Roman" w:eastAsia="宋体" w:cs="Times New Roman"/>
      <w:sz w:val="24"/>
      <w:szCs w:val="24"/>
    </w:rPr>
  </w:style>
  <w:style w:type="paragraph" w:customStyle="1" w:styleId="547">
    <w:name w:val="样式 标题 4 + 段前: 0.5 行 段后: 0.5 行2"/>
    <w:basedOn w:val="8"/>
    <w:qFormat/>
    <w:uiPriority w:val="0"/>
    <w:pPr>
      <w:numPr>
        <w:ilvl w:val="0"/>
        <w:numId w:val="0"/>
      </w:numPr>
      <w:spacing w:before="0" w:after="0" w:line="440" w:lineRule="exact"/>
      <w:jc w:val="both"/>
    </w:pPr>
    <w:rPr>
      <w:rFonts w:eastAsia="宋体" w:cs="宋体"/>
      <w:szCs w:val="20"/>
    </w:rPr>
  </w:style>
  <w:style w:type="paragraph" w:customStyle="1" w:styleId="548">
    <w:name w:val="成简1"/>
    <w:basedOn w:val="1"/>
    <w:qFormat/>
    <w:uiPriority w:val="0"/>
    <w:pPr>
      <w:spacing w:line="480" w:lineRule="auto"/>
      <w:outlineLvl w:val="0"/>
    </w:pPr>
    <w:rPr>
      <w:rFonts w:ascii="黑体" w:hAnsi="Times New Roman" w:eastAsia="黑体" w:cs="Times New Roman"/>
      <w:sz w:val="30"/>
      <w:szCs w:val="20"/>
    </w:rPr>
  </w:style>
  <w:style w:type="paragraph" w:customStyle="1" w:styleId="549">
    <w:name w:val="xl48"/>
    <w:basedOn w:val="1"/>
    <w:qFormat/>
    <w:uiPriority w:val="0"/>
    <w:pPr>
      <w:widowControl/>
      <w:spacing w:before="100" w:beforeAutospacing="1" w:after="100" w:afterAutospacing="1" w:line="240" w:lineRule="auto"/>
      <w:jc w:val="center"/>
    </w:pPr>
    <w:rPr>
      <w:rFonts w:ascii="Times New Roman" w:hAnsi="Times New Roman" w:eastAsia="Arial Unicode MS" w:cs="Times New Roman"/>
      <w:kern w:val="0"/>
      <w:sz w:val="15"/>
      <w:szCs w:val="15"/>
    </w:rPr>
  </w:style>
  <w:style w:type="paragraph" w:customStyle="1" w:styleId="550">
    <w:name w:val="Char Char Char Char Char Char Char Char Char Char Char Char Char Char Char Char Char Char Char Char Char Char"/>
    <w:basedOn w:val="1"/>
    <w:qFormat/>
    <w:uiPriority w:val="0"/>
    <w:pPr>
      <w:spacing w:beforeLines="50" w:afterLines="50"/>
    </w:pPr>
    <w:rPr>
      <w:rFonts w:ascii="宋体" w:hAnsi="宋体" w:eastAsia="宋体" w:cs="宋体"/>
      <w:b/>
      <w:sz w:val="24"/>
      <w:szCs w:val="24"/>
    </w:rPr>
  </w:style>
  <w:style w:type="paragraph" w:customStyle="1" w:styleId="551">
    <w:name w:val="haydonli"/>
    <w:basedOn w:val="1"/>
    <w:qFormat/>
    <w:uiPriority w:val="0"/>
    <w:pPr>
      <w:snapToGrid w:val="0"/>
      <w:ind w:firstLine="200" w:firstLineChars="200"/>
    </w:pPr>
    <w:rPr>
      <w:rFonts w:ascii="Times New Roman" w:hAnsi="Times New Roman" w:eastAsia="宋体" w:cs="Times New Roman"/>
      <w:sz w:val="24"/>
      <w:szCs w:val="24"/>
    </w:rPr>
  </w:style>
  <w:style w:type="paragraph" w:customStyle="1" w:styleId="552">
    <w:name w:val="Bt1.1"/>
    <w:basedOn w:val="6"/>
    <w:next w:val="1"/>
    <w:link w:val="553"/>
    <w:qFormat/>
    <w:uiPriority w:val="0"/>
    <w:pPr>
      <w:numPr>
        <w:ilvl w:val="0"/>
        <w:numId w:val="0"/>
      </w:numPr>
      <w:adjustRightInd w:val="0"/>
      <w:spacing w:before="0" w:after="0" w:line="360" w:lineRule="auto"/>
    </w:pPr>
    <w:rPr>
      <w:rFonts w:ascii="Arial" w:hAnsi="Arial" w:eastAsia="黑体" w:cs="Times New Roman"/>
      <w:bCs w:val="0"/>
      <w:snapToGrid w:val="0"/>
      <w:szCs w:val="20"/>
    </w:rPr>
  </w:style>
  <w:style w:type="character" w:customStyle="1" w:styleId="553">
    <w:name w:val="Bt1.1 Char"/>
    <w:link w:val="552"/>
    <w:qFormat/>
    <w:uiPriority w:val="0"/>
    <w:rPr>
      <w:rFonts w:ascii="Arial" w:hAnsi="Arial" w:eastAsia="黑体" w:cs="Times New Roman"/>
      <w:b/>
      <w:snapToGrid w:val="0"/>
      <w:sz w:val="28"/>
      <w:szCs w:val="20"/>
    </w:rPr>
  </w:style>
  <w:style w:type="paragraph" w:customStyle="1" w:styleId="554">
    <w:name w:val="Char4 Char Char Char Char Char Char1"/>
    <w:basedOn w:val="1"/>
    <w:qFormat/>
    <w:uiPriority w:val="0"/>
    <w:pPr>
      <w:ind w:firstLine="200" w:firstLineChars="200"/>
    </w:pPr>
    <w:rPr>
      <w:rFonts w:ascii="宋体" w:hAnsi="宋体" w:eastAsia="宋体" w:cs="宋体"/>
      <w:sz w:val="24"/>
      <w:szCs w:val="24"/>
    </w:rPr>
  </w:style>
  <w:style w:type="paragraph" w:customStyle="1" w:styleId="555">
    <w:name w:val="xl57"/>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556">
    <w:name w:val="目录标题"/>
    <w:basedOn w:val="1"/>
    <w:next w:val="1"/>
    <w:qFormat/>
    <w:uiPriority w:val="0"/>
    <w:pPr>
      <w:widowControl/>
      <w:adjustRightInd w:val="0"/>
      <w:snapToGrid w:val="0"/>
      <w:spacing w:before="215" w:after="419" w:line="436" w:lineRule="atLeast"/>
      <w:ind w:firstLine="419" w:firstLineChars="200"/>
      <w:jc w:val="center"/>
      <w:textAlignment w:val="baseline"/>
    </w:pPr>
    <w:rPr>
      <w:rFonts w:ascii="Arial" w:hAnsi="Times New Roman" w:eastAsia="黑体" w:cs="Times New Roman"/>
      <w:snapToGrid w:val="0"/>
      <w:color w:val="000000"/>
      <w:spacing w:val="283"/>
      <w:kern w:val="0"/>
      <w:sz w:val="42"/>
      <w:szCs w:val="24"/>
      <w:u w:color="000000"/>
    </w:rPr>
  </w:style>
  <w:style w:type="paragraph" w:customStyle="1" w:styleId="557">
    <w:name w:val="样式 小四 行距: 1.5 倍行距"/>
    <w:basedOn w:val="1"/>
    <w:qFormat/>
    <w:uiPriority w:val="0"/>
    <w:pPr>
      <w:ind w:firstLine="200" w:firstLineChars="200"/>
    </w:pPr>
    <w:rPr>
      <w:rFonts w:ascii="Times New Roman" w:hAnsi="Times New Roman" w:eastAsia="宋体" w:cs="Times New Roman"/>
      <w:sz w:val="24"/>
      <w:szCs w:val="20"/>
    </w:rPr>
  </w:style>
  <w:style w:type="paragraph" w:customStyle="1" w:styleId="558">
    <w:name w:val="普通 (Web)"/>
    <w:basedOn w:val="1"/>
    <w:qFormat/>
    <w:uiPriority w:val="0"/>
    <w:pPr>
      <w:widowControl/>
      <w:spacing w:before="100" w:after="100" w:line="360" w:lineRule="atLeast"/>
      <w:jc w:val="left"/>
    </w:pPr>
    <w:rPr>
      <w:rFonts w:ascii="宋体" w:hAnsi="宋体" w:eastAsia="宋体" w:cs="Times New Roman"/>
      <w:kern w:val="0"/>
      <w:sz w:val="18"/>
      <w:szCs w:val="20"/>
    </w:rPr>
  </w:style>
  <w:style w:type="paragraph" w:customStyle="1" w:styleId="559">
    <w:name w:val="目录3"/>
    <w:basedOn w:val="1"/>
    <w:next w:val="1"/>
    <w:qFormat/>
    <w:uiPriority w:val="0"/>
    <w:pPr>
      <w:widowControl/>
      <w:tabs>
        <w:tab w:val="left" w:leader="dot" w:pos="8503"/>
      </w:tabs>
      <w:adjustRightInd w:val="0"/>
      <w:snapToGrid w:val="0"/>
      <w:spacing w:line="317" w:lineRule="atLeast"/>
      <w:ind w:left="419" w:firstLine="419" w:firstLineChars="200"/>
      <w:textAlignment w:val="baseline"/>
    </w:pPr>
    <w:rPr>
      <w:rFonts w:ascii="Times New Roman" w:hAnsi="Times New Roman" w:eastAsia="宋体" w:cs="Times New Roman"/>
      <w:snapToGrid w:val="0"/>
      <w:color w:val="000000"/>
      <w:kern w:val="0"/>
      <w:sz w:val="24"/>
      <w:szCs w:val="24"/>
      <w:u w:color="000000"/>
    </w:rPr>
  </w:style>
  <w:style w:type="paragraph" w:customStyle="1" w:styleId="560">
    <w:name w:val="样式 表名 + Times New Roman 段前: 0.5 行 段后: 0.5 行1"/>
    <w:basedOn w:val="459"/>
    <w:qFormat/>
    <w:uiPriority w:val="0"/>
    <w:pPr>
      <w:overflowPunct w:val="0"/>
      <w:topLinePunct/>
      <w:spacing w:beforeLines="50"/>
      <w:outlineLvl w:val="4"/>
    </w:pPr>
    <w:rPr>
      <w:rFonts w:ascii="Times New Roman" w:eastAsia="宋体" w:cs="宋体"/>
      <w:b/>
      <w:bCs/>
    </w:rPr>
  </w:style>
  <w:style w:type="paragraph" w:customStyle="1" w:styleId="561">
    <w:name w:val="图表名称"/>
    <w:basedOn w:val="1"/>
    <w:qFormat/>
    <w:uiPriority w:val="0"/>
    <w:pPr>
      <w:spacing w:line="440" w:lineRule="exact"/>
      <w:jc w:val="center"/>
    </w:pPr>
    <w:rPr>
      <w:rFonts w:ascii="Times New Roman" w:hAnsi="Times New Roman" w:eastAsia="黑体" w:cs="Times New Roman"/>
      <w:szCs w:val="20"/>
    </w:rPr>
  </w:style>
  <w:style w:type="paragraph" w:customStyle="1" w:styleId="562">
    <w:name w:val="表题"/>
    <w:basedOn w:val="1"/>
    <w:qFormat/>
    <w:uiPriority w:val="0"/>
    <w:pPr>
      <w:tabs>
        <w:tab w:val="left" w:pos="720"/>
      </w:tabs>
      <w:adjustRightInd w:val="0"/>
      <w:snapToGrid w:val="0"/>
      <w:spacing w:line="280" w:lineRule="exact"/>
      <w:ind w:left="-105" w:leftChars="-50" w:right="-105" w:rightChars="-50"/>
      <w:jc w:val="center"/>
    </w:pPr>
    <w:rPr>
      <w:rFonts w:ascii="Times New Roman" w:hAnsi="Times New Roman" w:eastAsia="宋体" w:cs="Times New Roman"/>
      <w:color w:val="000000"/>
      <w:sz w:val="24"/>
      <w:szCs w:val="24"/>
    </w:rPr>
  </w:style>
  <w:style w:type="paragraph" w:customStyle="1" w:styleId="563">
    <w:name w:val="（1）"/>
    <w:basedOn w:val="1"/>
    <w:qFormat/>
    <w:uiPriority w:val="0"/>
    <w:pPr>
      <w:spacing w:beforeLines="50" w:afterLines="50" w:line="400" w:lineRule="exact"/>
      <w:ind w:firstLine="200" w:firstLineChars="200"/>
    </w:pPr>
    <w:rPr>
      <w:rFonts w:ascii="仿宋_GB2312" w:hAnsi="Times New Roman" w:eastAsia="楷体_GB2312" w:cs="Times New Roman"/>
      <w:b/>
      <w:sz w:val="28"/>
      <w:szCs w:val="20"/>
    </w:rPr>
  </w:style>
  <w:style w:type="paragraph" w:customStyle="1" w:styleId="564">
    <w:name w:val="目录1"/>
    <w:basedOn w:val="1"/>
    <w:next w:val="1"/>
    <w:qFormat/>
    <w:uiPriority w:val="0"/>
    <w:pPr>
      <w:widowControl/>
      <w:tabs>
        <w:tab w:val="left" w:leader="dot" w:pos="8503"/>
      </w:tabs>
      <w:adjustRightInd w:val="0"/>
      <w:snapToGrid w:val="0"/>
      <w:spacing w:after="102" w:line="215" w:lineRule="atLeast"/>
      <w:ind w:firstLine="419" w:firstLineChars="200"/>
      <w:jc w:val="left"/>
      <w:textAlignment w:val="baseline"/>
    </w:pPr>
    <w:rPr>
      <w:rFonts w:ascii="Times New Roman" w:hAnsi="Times New Roman" w:eastAsia="宋体" w:cs="Times New Roman"/>
      <w:snapToGrid w:val="0"/>
      <w:color w:val="000000"/>
      <w:kern w:val="0"/>
      <w:sz w:val="24"/>
      <w:szCs w:val="24"/>
      <w:u w:color="000000"/>
    </w:rPr>
  </w:style>
  <w:style w:type="paragraph" w:customStyle="1" w:styleId="565">
    <w:name w:val="样式17 Char Char"/>
    <w:basedOn w:val="1"/>
    <w:qFormat/>
    <w:uiPriority w:val="0"/>
    <w:pPr>
      <w:spacing w:line="240" w:lineRule="auto"/>
      <w:ind w:firstLine="480" w:firstLineChars="200"/>
    </w:pPr>
    <w:rPr>
      <w:rFonts w:ascii="Times New Roman" w:hAnsi="Times New Roman" w:eastAsia="华文中宋" w:cs="Times New Roman"/>
      <w:sz w:val="24"/>
      <w:szCs w:val="24"/>
    </w:rPr>
  </w:style>
  <w:style w:type="paragraph" w:customStyle="1" w:styleId="566">
    <w:name w:val="样式 首行缩进:  2 字符1"/>
    <w:basedOn w:val="1"/>
    <w:qFormat/>
    <w:uiPriority w:val="0"/>
    <w:pPr>
      <w:spacing w:line="440" w:lineRule="exact"/>
      <w:ind w:firstLine="480" w:firstLineChars="200"/>
    </w:pPr>
    <w:rPr>
      <w:rFonts w:ascii="Tahoma" w:hAnsi="Tahoma" w:eastAsia="宋体" w:cs="宋体"/>
      <w:sz w:val="24"/>
      <w:szCs w:val="24"/>
    </w:rPr>
  </w:style>
  <w:style w:type="paragraph" w:customStyle="1" w:styleId="567">
    <w:name w:val="图表头2"/>
    <w:basedOn w:val="568"/>
    <w:qFormat/>
    <w:uiPriority w:val="0"/>
    <w:pPr>
      <w:snapToGrid/>
      <w:spacing w:beforeLines="50" w:afterLines="0"/>
      <w:ind w:left="-50" w:leftChars="-50" w:right="20" w:rightChars="20" w:firstLine="0" w:firstLineChars="0"/>
      <w:jc w:val="both"/>
    </w:pPr>
    <w:rPr>
      <w:rFonts w:ascii="黑体" w:eastAsia="黑体"/>
      <w:bCs w:val="0"/>
      <w:spacing w:val="5"/>
      <w:kern w:val="2"/>
      <w:sz w:val="18"/>
      <w:szCs w:val="20"/>
    </w:rPr>
  </w:style>
  <w:style w:type="paragraph" w:customStyle="1" w:styleId="568">
    <w:name w:val="图表头"/>
    <w:basedOn w:val="1"/>
    <w:qFormat/>
    <w:uiPriority w:val="0"/>
    <w:pPr>
      <w:adjustRightInd w:val="0"/>
      <w:snapToGrid w:val="0"/>
      <w:spacing w:beforeLines="5" w:afterLines="5" w:line="240" w:lineRule="auto"/>
      <w:ind w:firstLine="964" w:firstLineChars="400"/>
      <w:jc w:val="center"/>
      <w:textAlignment w:val="baseline"/>
    </w:pPr>
    <w:rPr>
      <w:rFonts w:ascii="Times New Roman" w:hAnsi="Times New Roman" w:eastAsia="宋体" w:cs="Times New Roman"/>
      <w:b/>
      <w:bCs/>
      <w:kern w:val="0"/>
      <w:sz w:val="24"/>
    </w:rPr>
  </w:style>
  <w:style w:type="paragraph" w:customStyle="1" w:styleId="569">
    <w:name w:val="样式22"/>
    <w:basedOn w:val="1"/>
    <w:qFormat/>
    <w:uiPriority w:val="0"/>
    <w:pPr>
      <w:spacing w:line="480" w:lineRule="exact"/>
      <w:ind w:firstLine="200" w:firstLineChars="200"/>
    </w:pPr>
    <w:rPr>
      <w:rFonts w:ascii="Times New Roman" w:hAnsi="Times New Roman" w:eastAsia="宋体" w:cs="Times New Roman"/>
      <w:sz w:val="24"/>
      <w:szCs w:val="24"/>
    </w:rPr>
  </w:style>
  <w:style w:type="paragraph" w:customStyle="1" w:styleId="570">
    <w:name w:val="样式 正文（首行缩进两字） + 行距: 固定值 20 磅"/>
    <w:basedOn w:val="23"/>
    <w:qFormat/>
    <w:uiPriority w:val="0"/>
    <w:pPr>
      <w:spacing w:afterLines="20" w:line="400" w:lineRule="exact"/>
      <w:ind w:firstLine="480"/>
    </w:pPr>
    <w:rPr>
      <w:szCs w:val="20"/>
    </w:rPr>
  </w:style>
  <w:style w:type="paragraph" w:customStyle="1" w:styleId="571">
    <w:name w:val="样式 标题1 + (西文) Times New Roman (中文) 华文中宋 行距: 1.5 倍行距"/>
    <w:basedOn w:val="46"/>
    <w:qFormat/>
    <w:uiPriority w:val="0"/>
    <w:pPr>
      <w:overflowPunct w:val="0"/>
      <w:topLinePunct/>
      <w:ind w:firstLine="0" w:firstLineChars="0"/>
      <w:jc w:val="center"/>
      <w:outlineLvl w:val="0"/>
    </w:pPr>
    <w:rPr>
      <w:rFonts w:ascii="Times New Roman" w:hAnsi="Times New Roman" w:eastAsia="黑体" w:cs="宋体"/>
      <w:b/>
      <w:bCs/>
      <w:color w:val="000000"/>
      <w:sz w:val="32"/>
      <w:szCs w:val="32"/>
    </w:rPr>
  </w:style>
  <w:style w:type="paragraph" w:customStyle="1" w:styleId="572">
    <w:name w:val="二章表格标题"/>
    <w:basedOn w:val="1"/>
    <w:qFormat/>
    <w:uiPriority w:val="0"/>
    <w:pPr>
      <w:jc w:val="center"/>
    </w:pPr>
    <w:rPr>
      <w:rFonts w:ascii="Times New Roman" w:hAnsi="Times New Roman" w:eastAsia="黑体" w:cs="Times New Roman"/>
      <w:sz w:val="24"/>
      <w:szCs w:val="20"/>
    </w:rPr>
  </w:style>
  <w:style w:type="paragraph" w:customStyle="1" w:styleId="573">
    <w:name w:val="报告书正文 Char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574">
    <w:name w:val="图表文字"/>
    <w:basedOn w:val="1"/>
    <w:next w:val="1"/>
    <w:qFormat/>
    <w:uiPriority w:val="0"/>
    <w:pPr>
      <w:adjustRightInd w:val="0"/>
      <w:snapToGrid w:val="0"/>
      <w:spacing w:line="240" w:lineRule="auto"/>
      <w:jc w:val="center"/>
    </w:pPr>
    <w:rPr>
      <w:rFonts w:ascii="Times New Roman" w:hAnsi="Times New Roman" w:eastAsia="仿宋_GB2312" w:cs="Times New Roman"/>
      <w:sz w:val="24"/>
      <w:szCs w:val="20"/>
    </w:rPr>
  </w:style>
  <w:style w:type="paragraph" w:customStyle="1" w:styleId="575">
    <w:name w:val="修订1"/>
    <w:qFormat/>
    <w:uiPriority w:val="0"/>
    <w:rPr>
      <w:rFonts w:ascii="Times New Roman" w:hAnsi="Times New Roman" w:eastAsia="宋体" w:cs="Times New Roman"/>
      <w:kern w:val="2"/>
      <w:sz w:val="24"/>
      <w:lang w:val="en-US" w:eastAsia="zh-CN" w:bidi="ar-SA"/>
    </w:rPr>
  </w:style>
  <w:style w:type="paragraph" w:customStyle="1" w:styleId="576">
    <w:name w:val="xl67"/>
    <w:basedOn w:val="1"/>
    <w:qFormat/>
    <w:uiPriority w:val="0"/>
    <w:pPr>
      <w:widowControl/>
      <w:pBdr>
        <w:bottom w:val="single" w:color="auto" w:sz="8" w:space="0"/>
        <w:right w:val="single" w:color="auto" w:sz="4" w:space="0"/>
      </w:pBdr>
      <w:spacing w:before="100" w:beforeAutospacing="1" w:after="100" w:afterAutospacing="1" w:line="240" w:lineRule="auto"/>
      <w:textAlignment w:val="top"/>
    </w:pPr>
    <w:rPr>
      <w:rFonts w:ascii="Arial Unicode MS" w:hAnsi="Arial Unicode MS" w:eastAsia="Arial Unicode MS" w:cs="Arial Unicode MS"/>
      <w:kern w:val="0"/>
      <w:sz w:val="18"/>
      <w:szCs w:val="18"/>
    </w:rPr>
  </w:style>
  <w:style w:type="paragraph" w:customStyle="1" w:styleId="577">
    <w:name w:val="正文文本 21"/>
    <w:basedOn w:val="1"/>
    <w:qFormat/>
    <w:uiPriority w:val="0"/>
    <w:pPr>
      <w:adjustRightInd w:val="0"/>
      <w:spacing w:line="240" w:lineRule="auto"/>
      <w:textAlignment w:val="baseline"/>
    </w:pPr>
    <w:rPr>
      <w:rFonts w:ascii="Times New Roman" w:hAnsi="Times New Roman" w:eastAsia="宋体" w:cs="Times New Roman"/>
      <w:kern w:val="0"/>
      <w:sz w:val="24"/>
      <w:szCs w:val="20"/>
    </w:rPr>
  </w:style>
  <w:style w:type="paragraph" w:customStyle="1" w:styleId="578">
    <w:name w:val="成简2"/>
    <w:basedOn w:val="1"/>
    <w:qFormat/>
    <w:uiPriority w:val="0"/>
    <w:pPr>
      <w:outlineLvl w:val="1"/>
    </w:pPr>
    <w:rPr>
      <w:rFonts w:ascii="黑体" w:hAnsi="Times New Roman" w:eastAsia="楷体_GB2312" w:cs="Times New Roman"/>
      <w:sz w:val="28"/>
      <w:szCs w:val="20"/>
    </w:rPr>
  </w:style>
  <w:style w:type="paragraph" w:customStyle="1" w:styleId="579">
    <w:name w:val="样式 Bt3 + 加粗2"/>
    <w:basedOn w:val="7"/>
    <w:next w:val="1"/>
    <w:qFormat/>
    <w:uiPriority w:val="0"/>
    <w:pPr>
      <w:numPr>
        <w:ilvl w:val="0"/>
        <w:numId w:val="0"/>
      </w:numPr>
      <w:spacing w:before="0" w:after="0" w:line="360" w:lineRule="auto"/>
    </w:pPr>
    <w:rPr>
      <w:rFonts w:eastAsia="黑体" w:cs="Times New Roman"/>
      <w:b w:val="0"/>
      <w:bCs w:val="0"/>
      <w:snapToGrid w:val="0"/>
      <w:kern w:val="0"/>
      <w:szCs w:val="20"/>
    </w:rPr>
  </w:style>
  <w:style w:type="paragraph" w:customStyle="1" w:styleId="580">
    <w:name w:val="!表格(alt+t)"/>
    <w:next w:val="1"/>
    <w:qFormat/>
    <w:uiPriority w:val="0"/>
    <w:pPr>
      <w:adjustRightInd w:val="0"/>
      <w:spacing w:line="320" w:lineRule="exact"/>
      <w:jc w:val="center"/>
      <w:textAlignment w:val="center"/>
    </w:pPr>
    <w:rPr>
      <w:rFonts w:ascii="Times New Roman" w:hAnsi="Times New Roman" w:eastAsia="宋体" w:cs="Times New Roman"/>
      <w:sz w:val="21"/>
      <w:szCs w:val="21"/>
      <w:lang w:val="en-US" w:eastAsia="zh-CN" w:bidi="ar-SA"/>
    </w:rPr>
  </w:style>
  <w:style w:type="paragraph" w:customStyle="1" w:styleId="581">
    <w:name w:val="设计说明3"/>
    <w:basedOn w:val="582"/>
    <w:next w:val="1"/>
    <w:qFormat/>
    <w:uiPriority w:val="0"/>
    <w:pPr>
      <w:tabs>
        <w:tab w:val="left" w:pos="360"/>
        <w:tab w:val="left" w:pos="425"/>
        <w:tab w:val="left" w:pos="630"/>
      </w:tabs>
      <w:spacing w:before="0" w:after="0"/>
      <w:ind w:left="425" w:hanging="425"/>
      <w:outlineLvl w:val="2"/>
    </w:pPr>
    <w:rPr>
      <w:b w:val="0"/>
    </w:rPr>
  </w:style>
  <w:style w:type="paragraph" w:customStyle="1" w:styleId="582">
    <w:name w:val="设计说明2"/>
    <w:basedOn w:val="1"/>
    <w:qFormat/>
    <w:uiPriority w:val="0"/>
    <w:pPr>
      <w:tabs>
        <w:tab w:val="left" w:pos="360"/>
        <w:tab w:val="left" w:pos="630"/>
      </w:tabs>
      <w:spacing w:before="120" w:after="120" w:line="400" w:lineRule="exact"/>
      <w:jc w:val="left"/>
      <w:outlineLvl w:val="1"/>
    </w:pPr>
    <w:rPr>
      <w:rFonts w:ascii="新宋体" w:hAnsi="新宋体" w:eastAsia="宋体" w:cs="Times New Roman"/>
      <w:b/>
      <w:sz w:val="28"/>
      <w:szCs w:val="20"/>
    </w:rPr>
  </w:style>
  <w:style w:type="paragraph" w:customStyle="1" w:styleId="583">
    <w:name w:val="11111"/>
    <w:basedOn w:val="1"/>
    <w:qFormat/>
    <w:uiPriority w:val="0"/>
    <w:pPr>
      <w:spacing w:line="240" w:lineRule="auto"/>
    </w:pPr>
    <w:rPr>
      <w:rFonts w:ascii="Times New Roman" w:hAnsi="Times New Roman" w:eastAsia="宋体" w:cs="Times New Roman"/>
      <w:szCs w:val="20"/>
    </w:rPr>
  </w:style>
  <w:style w:type="character" w:customStyle="1" w:styleId="584">
    <w:name w:val="标题 Char"/>
    <w:basedOn w:val="91"/>
    <w:qFormat/>
    <w:uiPriority w:val="0"/>
    <w:rPr>
      <w:rFonts w:eastAsia="宋体" w:asciiTheme="majorHAnsi" w:hAnsiTheme="majorHAnsi" w:cstheme="majorBidi"/>
      <w:b/>
      <w:bCs/>
      <w:sz w:val="32"/>
      <w:szCs w:val="32"/>
    </w:rPr>
  </w:style>
  <w:style w:type="paragraph" w:customStyle="1" w:styleId="585">
    <w:name w:val="font10"/>
    <w:basedOn w:val="1"/>
    <w:qFormat/>
    <w:uiPriority w:val="0"/>
    <w:pPr>
      <w:widowControl/>
      <w:spacing w:before="100" w:beforeAutospacing="1" w:after="100" w:afterAutospacing="1" w:line="240" w:lineRule="auto"/>
      <w:jc w:val="left"/>
    </w:pPr>
    <w:rPr>
      <w:rFonts w:ascii="Times New Roman" w:hAnsi="Times New Roman" w:eastAsia="Arial Unicode MS" w:cs="Times New Roman"/>
      <w:kern w:val="0"/>
      <w:sz w:val="18"/>
      <w:szCs w:val="18"/>
    </w:rPr>
  </w:style>
  <w:style w:type="paragraph" w:customStyle="1" w:styleId="586">
    <w:name w:val="9"/>
    <w:basedOn w:val="1"/>
    <w:next w:val="23"/>
    <w:qFormat/>
    <w:uiPriority w:val="0"/>
    <w:pPr>
      <w:ind w:firstLine="420" w:firstLineChars="200"/>
    </w:pPr>
    <w:rPr>
      <w:rFonts w:ascii="Times New Roman" w:hAnsi="Times New Roman" w:eastAsia="宋体" w:cs="Times New Roman"/>
      <w:sz w:val="24"/>
    </w:rPr>
  </w:style>
  <w:style w:type="paragraph" w:customStyle="1" w:styleId="587">
    <w:name w:val="修订11"/>
    <w:qFormat/>
    <w:uiPriority w:val="0"/>
    <w:rPr>
      <w:rFonts w:ascii="Times New Roman" w:hAnsi="Times New Roman" w:eastAsia="宋体" w:cs="Times New Roman"/>
      <w:kern w:val="2"/>
      <w:sz w:val="21"/>
      <w:lang w:val="en-US" w:eastAsia="zh-CN" w:bidi="ar-SA"/>
    </w:rPr>
  </w:style>
  <w:style w:type="paragraph" w:customStyle="1" w:styleId="588">
    <w:name w:val="正文LA"/>
    <w:qFormat/>
    <w:uiPriority w:val="0"/>
    <w:pPr>
      <w:tabs>
        <w:tab w:val="left" w:pos="0"/>
      </w:tabs>
      <w:adjustRightInd w:val="0"/>
      <w:snapToGrid w:val="0"/>
      <w:spacing w:line="360" w:lineRule="auto"/>
      <w:ind w:firstLine="200" w:firstLineChars="200"/>
      <w:jc w:val="both"/>
    </w:pPr>
    <w:rPr>
      <w:rFonts w:ascii="Times New Roman" w:hAnsi="Times New Roman" w:eastAsia="宋体" w:cs="Times New Roman"/>
      <w:snapToGrid w:val="0"/>
      <w:sz w:val="24"/>
      <w:lang w:val="en-US" w:eastAsia="zh-CN" w:bidi="ar-SA"/>
    </w:rPr>
  </w:style>
  <w:style w:type="paragraph" w:customStyle="1" w:styleId="589">
    <w:name w:val="样式 正文文字缩进 2 + 首行缩进:  2 字符 行距: 固定值 23 磅"/>
    <w:basedOn w:val="52"/>
    <w:qFormat/>
    <w:uiPriority w:val="0"/>
    <w:pPr>
      <w:spacing w:line="240" w:lineRule="auto"/>
      <w:ind w:firstLine="200"/>
    </w:pPr>
    <w:rPr>
      <w:rFonts w:ascii="Times New Roman" w:eastAsia="华文中宋"/>
      <w:sz w:val="24"/>
    </w:rPr>
  </w:style>
  <w:style w:type="paragraph" w:customStyle="1" w:styleId="590">
    <w:name w:val="xl28"/>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4"/>
      <w:szCs w:val="24"/>
    </w:rPr>
  </w:style>
  <w:style w:type="paragraph" w:customStyle="1" w:styleId="591">
    <w:name w:val="1表格头"/>
    <w:basedOn w:val="592"/>
    <w:qFormat/>
    <w:uiPriority w:val="0"/>
    <w:rPr>
      <w:sz w:val="24"/>
    </w:rPr>
  </w:style>
  <w:style w:type="paragraph" w:customStyle="1" w:styleId="592">
    <w:name w:val="1表格"/>
    <w:basedOn w:val="1"/>
    <w:qFormat/>
    <w:uiPriority w:val="0"/>
    <w:pPr>
      <w:snapToGrid w:val="0"/>
      <w:spacing w:line="160" w:lineRule="atLeast"/>
      <w:jc w:val="center"/>
    </w:pPr>
    <w:rPr>
      <w:rFonts w:ascii="Times New Roman" w:hAnsi="Times New Roman" w:eastAsia="仿宋_GB2312" w:cs="Times New Roman"/>
      <w:szCs w:val="20"/>
    </w:rPr>
  </w:style>
  <w:style w:type="paragraph" w:customStyle="1" w:styleId="593">
    <w:name w:val="p16"/>
    <w:basedOn w:val="1"/>
    <w:qFormat/>
    <w:uiPriority w:val="0"/>
    <w:pPr>
      <w:widowControl/>
      <w:spacing w:line="240" w:lineRule="auto"/>
    </w:pPr>
    <w:rPr>
      <w:rFonts w:ascii="Times New Roman" w:hAnsi="Times New Roman" w:eastAsia="宋体" w:cs="Times New Roman"/>
      <w:kern w:val="0"/>
    </w:rPr>
  </w:style>
  <w:style w:type="paragraph" w:customStyle="1" w:styleId="594">
    <w:name w:val="Char Char Char1"/>
    <w:basedOn w:val="1"/>
    <w:qFormat/>
    <w:uiPriority w:val="0"/>
    <w:pPr>
      <w:ind w:firstLine="200" w:firstLineChars="200"/>
    </w:pPr>
    <w:rPr>
      <w:rFonts w:ascii="宋体" w:hAnsi="宋体" w:eastAsia="宋体" w:cs="Times New Roman"/>
      <w:sz w:val="24"/>
      <w:szCs w:val="20"/>
    </w:rPr>
  </w:style>
  <w:style w:type="paragraph" w:customStyle="1" w:styleId="595">
    <w:name w:val="TOC 标题1"/>
    <w:basedOn w:val="5"/>
    <w:next w:val="1"/>
    <w:qFormat/>
    <w:uiPriority w:val="0"/>
    <w:pPr>
      <w:widowControl/>
      <w:numPr>
        <w:numId w:val="0"/>
      </w:numPr>
      <w:spacing w:before="480" w:after="0" w:line="276" w:lineRule="auto"/>
      <w:jc w:val="left"/>
      <w:outlineLvl w:val="9"/>
    </w:pPr>
    <w:rPr>
      <w:rFonts w:ascii="Cambria" w:hAnsi="Cambria" w:eastAsia="宋体" w:cs="Times New Roman"/>
      <w:color w:val="365F91"/>
      <w:kern w:val="0"/>
      <w:sz w:val="28"/>
      <w:szCs w:val="28"/>
    </w:rPr>
  </w:style>
  <w:style w:type="paragraph" w:customStyle="1" w:styleId="596">
    <w:name w:val="样式 标题 3一H3h33rd level第二层条 + 段前: 0.5 行 段后: 0.5 行 行距: 多倍行距 ..."/>
    <w:basedOn w:val="7"/>
    <w:qFormat/>
    <w:uiPriority w:val="0"/>
    <w:pPr>
      <w:keepLines w:val="0"/>
      <w:widowControl/>
      <w:numPr>
        <w:ilvl w:val="0"/>
        <w:numId w:val="0"/>
      </w:numPr>
      <w:tabs>
        <w:tab w:val="left" w:pos="720"/>
      </w:tabs>
      <w:overflowPunct w:val="0"/>
      <w:autoSpaceDE w:val="0"/>
      <w:autoSpaceDN w:val="0"/>
      <w:adjustRightInd w:val="0"/>
      <w:snapToGrid w:val="0"/>
      <w:spacing w:beforeLines="50" w:afterLines="50" w:line="360" w:lineRule="exact"/>
      <w:ind w:left="720" w:hanging="720"/>
      <w:jc w:val="center"/>
      <w:textAlignment w:val="baseline"/>
    </w:pPr>
    <w:rPr>
      <w:rFonts w:hAnsi="宋体" w:eastAsia="宋体" w:cs="Times New Roman"/>
      <w:b w:val="0"/>
      <w:kern w:val="0"/>
      <w:sz w:val="21"/>
      <w:szCs w:val="21"/>
    </w:rPr>
  </w:style>
  <w:style w:type="paragraph" w:customStyle="1" w:styleId="597">
    <w:name w:val="样式21"/>
    <w:basedOn w:val="195"/>
    <w:qFormat/>
    <w:uiPriority w:val="0"/>
    <w:pPr>
      <w:widowControl w:val="0"/>
      <w:spacing w:line="360" w:lineRule="auto"/>
      <w:jc w:val="both"/>
    </w:pPr>
    <w:rPr>
      <w:rFonts w:asciiTheme="minorHAnsi" w:hAnsiTheme="minorHAnsi" w:eastAsiaTheme="minorEastAsia" w:cstheme="minorBidi"/>
      <w:szCs w:val="22"/>
    </w:rPr>
  </w:style>
  <w:style w:type="paragraph" w:customStyle="1" w:styleId="598">
    <w:name w:val="样式 标题 5 + 行距: 1.5 倍行距"/>
    <w:basedOn w:val="9"/>
    <w:qFormat/>
    <w:uiPriority w:val="0"/>
    <w:pPr>
      <w:tabs>
        <w:tab w:val="left" w:pos="1800"/>
      </w:tabs>
      <w:adjustRightInd w:val="0"/>
      <w:spacing w:before="0" w:after="0" w:line="360" w:lineRule="auto"/>
      <w:textAlignment w:val="baseline"/>
    </w:pPr>
    <w:rPr>
      <w:rFonts w:eastAsia="宋体" w:cs="Times New Roman"/>
      <w:bCs w:val="0"/>
      <w:kern w:val="0"/>
      <w:szCs w:val="20"/>
    </w:rPr>
  </w:style>
  <w:style w:type="paragraph" w:customStyle="1" w:styleId="599">
    <w:name w:val="Bt1"/>
    <w:basedOn w:val="5"/>
    <w:next w:val="600"/>
    <w:qFormat/>
    <w:uiPriority w:val="0"/>
    <w:pPr>
      <w:widowControl/>
      <w:numPr>
        <w:numId w:val="0"/>
      </w:numPr>
      <w:adjustRightInd w:val="0"/>
      <w:snapToGrid w:val="0"/>
      <w:spacing w:beforeLines="50" w:after="240" w:line="360" w:lineRule="auto"/>
    </w:pPr>
    <w:rPr>
      <w:rFonts w:ascii="黑体" w:eastAsia="黑体" w:cs="Times New Roman"/>
      <w:b w:val="0"/>
      <w:bCs w:val="0"/>
      <w:snapToGrid w:val="0"/>
      <w:color w:val="000000"/>
      <w:kern w:val="0"/>
      <w:sz w:val="44"/>
      <w:szCs w:val="20"/>
    </w:rPr>
  </w:style>
  <w:style w:type="paragraph" w:customStyle="1" w:styleId="600">
    <w:name w:val="Zw"/>
    <w:basedOn w:val="1"/>
    <w:next w:val="1"/>
    <w:qFormat/>
    <w:uiPriority w:val="0"/>
    <w:pPr>
      <w:ind w:firstLine="200" w:firstLineChars="200"/>
    </w:pPr>
    <w:rPr>
      <w:rFonts w:ascii="宋体" w:hAnsi="Times New Roman" w:eastAsia="宋体" w:cs="Times New Roman"/>
      <w:sz w:val="24"/>
      <w:szCs w:val="20"/>
    </w:rPr>
  </w:style>
  <w:style w:type="paragraph" w:customStyle="1" w:styleId="601">
    <w:name w:val="(1)"/>
    <w:basedOn w:val="1"/>
    <w:qFormat/>
    <w:uiPriority w:val="0"/>
    <w:pPr>
      <w:spacing w:line="500" w:lineRule="atLeast"/>
      <w:ind w:firstLine="200" w:firstLineChars="200"/>
    </w:pPr>
    <w:rPr>
      <w:rFonts w:ascii="Times New Roman" w:hAnsi="Times New Roman" w:eastAsia="宋体" w:cs="Times New Roman"/>
      <w:b/>
      <w:sz w:val="24"/>
      <w:szCs w:val="20"/>
    </w:rPr>
  </w:style>
  <w:style w:type="paragraph" w:customStyle="1" w:styleId="602">
    <w:name w:val="Char1 Char Char Char"/>
    <w:basedOn w:val="1"/>
    <w:qFormat/>
    <w:uiPriority w:val="0"/>
    <w:pPr>
      <w:spacing w:line="240" w:lineRule="auto"/>
    </w:pPr>
    <w:rPr>
      <w:rFonts w:ascii="Times New Roman" w:hAnsi="Times New Roman" w:eastAsia="宋体" w:cs="Times New Roman"/>
      <w:szCs w:val="20"/>
    </w:rPr>
  </w:style>
  <w:style w:type="paragraph" w:customStyle="1" w:styleId="603">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604">
    <w:name w:val="使用正文"/>
    <w:basedOn w:val="1"/>
    <w:qFormat/>
    <w:uiPriority w:val="0"/>
    <w:pPr>
      <w:snapToGrid w:val="0"/>
      <w:ind w:firstLine="573"/>
    </w:pPr>
    <w:rPr>
      <w:rFonts w:ascii="Times New Roman" w:hAnsi="Times New Roman" w:eastAsia="宋体" w:cs="Times New Roman"/>
      <w:sz w:val="28"/>
      <w:szCs w:val="20"/>
    </w:rPr>
  </w:style>
  <w:style w:type="paragraph" w:customStyle="1" w:styleId="605">
    <w:name w:val="xl53"/>
    <w:basedOn w:val="1"/>
    <w:qFormat/>
    <w:uiPriority w:val="0"/>
    <w:pPr>
      <w:widowControl/>
      <w:pBdr>
        <w:left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606">
    <w:name w:val="样式7表名"/>
    <w:next w:val="1"/>
    <w:qFormat/>
    <w:uiPriority w:val="0"/>
    <w:pPr>
      <w:spacing w:before="120" w:line="360" w:lineRule="auto"/>
      <w:jc w:val="center"/>
    </w:pPr>
    <w:rPr>
      <w:rFonts w:ascii="黑体" w:hAnsi="Times New Roman" w:eastAsia="黑体" w:cs="黑体"/>
      <w:spacing w:val="60"/>
      <w:sz w:val="24"/>
      <w:szCs w:val="24"/>
      <w:lang w:val="en-US" w:eastAsia="zh-CN" w:bidi="ar-SA"/>
    </w:rPr>
  </w:style>
  <w:style w:type="paragraph" w:customStyle="1" w:styleId="607">
    <w:name w:val="样式 标题 4 + 段前: 0.5 行 段后: 0.5 行1"/>
    <w:basedOn w:val="8"/>
    <w:qFormat/>
    <w:uiPriority w:val="0"/>
    <w:pPr>
      <w:numPr>
        <w:ilvl w:val="0"/>
        <w:numId w:val="0"/>
      </w:numPr>
      <w:spacing w:before="0" w:after="0" w:line="440" w:lineRule="exact"/>
      <w:jc w:val="both"/>
    </w:pPr>
    <w:rPr>
      <w:rFonts w:eastAsia="华文中宋" w:cs="宋体"/>
      <w:szCs w:val="24"/>
    </w:rPr>
  </w:style>
  <w:style w:type="paragraph" w:customStyle="1" w:styleId="608">
    <w:name w:val="样式 标题 1 + 段前: 0.5 行 段后: 0.5 行2"/>
    <w:basedOn w:val="5"/>
    <w:qFormat/>
    <w:uiPriority w:val="0"/>
    <w:pPr>
      <w:numPr>
        <w:numId w:val="0"/>
      </w:numPr>
      <w:spacing w:beforeLines="50" w:afterLines="50" w:line="440" w:lineRule="exact"/>
    </w:pPr>
    <w:rPr>
      <w:rFonts w:eastAsia="黑体" w:cs="宋体"/>
      <w:szCs w:val="32"/>
    </w:rPr>
  </w:style>
  <w:style w:type="paragraph" w:customStyle="1" w:styleId="609">
    <w:name w:val="章标题"/>
    <w:basedOn w:val="1"/>
    <w:next w:val="610"/>
    <w:qFormat/>
    <w:uiPriority w:val="0"/>
    <w:pPr>
      <w:widowControl/>
      <w:adjustRightInd w:val="0"/>
      <w:snapToGrid w:val="0"/>
      <w:spacing w:before="158" w:after="153" w:line="323" w:lineRule="atLeast"/>
      <w:ind w:firstLine="200" w:firstLineChars="200"/>
      <w:jc w:val="center"/>
      <w:textAlignment w:val="baseline"/>
    </w:pPr>
    <w:rPr>
      <w:rFonts w:ascii="Arial" w:hAnsi="Times New Roman" w:eastAsia="黑体" w:cs="Times New Roman"/>
      <w:snapToGrid w:val="0"/>
      <w:color w:val="000000"/>
      <w:kern w:val="0"/>
      <w:sz w:val="31"/>
      <w:szCs w:val="24"/>
      <w:u w:color="000000"/>
    </w:rPr>
  </w:style>
  <w:style w:type="paragraph" w:customStyle="1" w:styleId="610">
    <w:name w:val="节标题"/>
    <w:basedOn w:val="1"/>
    <w:next w:val="611"/>
    <w:qFormat/>
    <w:uiPriority w:val="0"/>
    <w:pPr>
      <w:widowControl/>
      <w:adjustRightInd w:val="0"/>
      <w:snapToGrid w:val="0"/>
      <w:spacing w:line="289" w:lineRule="atLeast"/>
      <w:ind w:firstLine="200" w:firstLineChars="200"/>
      <w:jc w:val="center"/>
      <w:textAlignment w:val="baseline"/>
    </w:pPr>
    <w:rPr>
      <w:rFonts w:ascii="Times New Roman" w:hAnsi="Times New Roman" w:eastAsia="宋体" w:cs="Times New Roman"/>
      <w:snapToGrid w:val="0"/>
      <w:color w:val="000000"/>
      <w:kern w:val="0"/>
      <w:sz w:val="28"/>
      <w:szCs w:val="24"/>
      <w:u w:color="000000"/>
    </w:rPr>
  </w:style>
  <w:style w:type="paragraph" w:customStyle="1" w:styleId="611">
    <w:name w:val="小节标题"/>
    <w:basedOn w:val="1"/>
    <w:next w:val="1"/>
    <w:qFormat/>
    <w:uiPriority w:val="0"/>
    <w:pPr>
      <w:widowControl/>
      <w:adjustRightInd w:val="0"/>
      <w:snapToGrid w:val="0"/>
      <w:spacing w:before="175" w:after="102" w:line="351" w:lineRule="atLeast"/>
      <w:ind w:firstLine="200" w:firstLineChars="200"/>
      <w:textAlignment w:val="baseline"/>
    </w:pPr>
    <w:rPr>
      <w:rFonts w:ascii="Times New Roman" w:hAnsi="Times New Roman" w:eastAsia="黑体" w:cs="Times New Roman"/>
      <w:snapToGrid w:val="0"/>
      <w:color w:val="000000"/>
      <w:kern w:val="0"/>
      <w:sz w:val="24"/>
      <w:szCs w:val="24"/>
      <w:u w:color="000000"/>
    </w:rPr>
  </w:style>
  <w:style w:type="paragraph" w:customStyle="1" w:styleId="612">
    <w:name w:val="Char1"/>
    <w:basedOn w:val="1"/>
    <w:qFormat/>
    <w:uiPriority w:val="0"/>
    <w:pPr>
      <w:ind w:firstLine="200" w:firstLineChars="200"/>
    </w:pPr>
    <w:rPr>
      <w:rFonts w:ascii="宋体" w:hAnsi="宋体" w:eastAsia="宋体" w:cs="宋体"/>
      <w:sz w:val="24"/>
      <w:szCs w:val="24"/>
    </w:rPr>
  </w:style>
  <w:style w:type="paragraph" w:customStyle="1" w:styleId="613">
    <w:name w:val="7"/>
    <w:basedOn w:val="1"/>
    <w:next w:val="40"/>
    <w:qFormat/>
    <w:uiPriority w:val="0"/>
    <w:pPr>
      <w:spacing w:line="324" w:lineRule="auto"/>
      <w:ind w:left="-105" w:leftChars="-50" w:right="-105" w:rightChars="-50" w:firstLine="482"/>
      <w:jc w:val="left"/>
    </w:pPr>
    <w:rPr>
      <w:rFonts w:ascii="Times New Roman" w:hAnsi="Times New Roman" w:eastAsia="宋体" w:cs="Times New Roman"/>
      <w:color w:val="000000"/>
      <w:sz w:val="24"/>
      <w:szCs w:val="24"/>
    </w:rPr>
  </w:style>
  <w:style w:type="paragraph" w:customStyle="1" w:styleId="614">
    <w:name w:val="p18"/>
    <w:basedOn w:val="1"/>
    <w:qFormat/>
    <w:uiPriority w:val="0"/>
    <w:pPr>
      <w:widowControl/>
      <w:pBdr>
        <w:bottom w:val="single" w:color="000000" w:sz="12" w:space="0"/>
        <w:right w:val="single" w:color="000000" w:sz="4" w:space="0"/>
      </w:pBdr>
      <w:spacing w:before="100" w:after="100" w:line="240" w:lineRule="auto"/>
      <w:jc w:val="center"/>
    </w:pPr>
    <w:rPr>
      <w:rFonts w:ascii="宋体" w:hAnsi="宋体" w:eastAsia="宋体" w:cs="宋体"/>
      <w:kern w:val="0"/>
    </w:rPr>
  </w:style>
  <w:style w:type="paragraph" w:customStyle="1" w:styleId="615">
    <w:name w:val="表号 Char Char1"/>
    <w:basedOn w:val="1"/>
    <w:qFormat/>
    <w:uiPriority w:val="0"/>
    <w:pPr>
      <w:overflowPunct w:val="0"/>
      <w:topLinePunct/>
      <w:spacing w:line="240" w:lineRule="auto"/>
      <w:ind w:firstLine="200" w:firstLineChars="200"/>
      <w:outlineLvl w:val="5"/>
    </w:pPr>
    <w:rPr>
      <w:rFonts w:ascii="Times New Roman" w:hAnsi="Times New Roman" w:eastAsia="宋体" w:cs="Times New Roman"/>
      <w:szCs w:val="24"/>
    </w:rPr>
  </w:style>
  <w:style w:type="paragraph" w:customStyle="1" w:styleId="616">
    <w:name w:val="font1"/>
    <w:basedOn w:val="1"/>
    <w:qFormat/>
    <w:uiPriority w:val="0"/>
    <w:pPr>
      <w:widowControl/>
      <w:spacing w:before="100" w:beforeAutospacing="1" w:after="100" w:afterAutospacing="1" w:line="240" w:lineRule="auto"/>
      <w:jc w:val="left"/>
    </w:pPr>
    <w:rPr>
      <w:rFonts w:hint="eastAsia" w:ascii="宋体" w:hAnsi="宋体" w:eastAsia="宋体" w:cs="Arial Unicode MS"/>
      <w:kern w:val="0"/>
      <w:sz w:val="24"/>
      <w:szCs w:val="24"/>
    </w:rPr>
  </w:style>
  <w:style w:type="paragraph" w:customStyle="1" w:styleId="617">
    <w:name w:val="样式 标题 1 + 段前: 7.8 磅 段后: 7.8 磅"/>
    <w:basedOn w:val="5"/>
    <w:qFormat/>
    <w:uiPriority w:val="0"/>
    <w:pPr>
      <w:numPr>
        <w:numId w:val="0"/>
      </w:numPr>
      <w:spacing w:beforeLines="50" w:afterLines="50" w:line="440" w:lineRule="exact"/>
    </w:pPr>
    <w:rPr>
      <w:rFonts w:eastAsia="黑体" w:cs="宋体"/>
      <w:szCs w:val="20"/>
    </w:rPr>
  </w:style>
  <w:style w:type="paragraph" w:customStyle="1" w:styleId="618">
    <w:name w:val="正文加粗"/>
    <w:basedOn w:val="1"/>
    <w:qFormat/>
    <w:uiPriority w:val="0"/>
    <w:rPr>
      <w:rFonts w:ascii="Times New Roman" w:hAnsi="Times New Roman" w:eastAsia="宋体" w:cs="Times New Roman"/>
      <w:b/>
      <w:color w:val="000000"/>
      <w:sz w:val="24"/>
      <w:szCs w:val="24"/>
    </w:rPr>
  </w:style>
  <w:style w:type="paragraph" w:customStyle="1" w:styleId="619">
    <w:name w:val="xl33"/>
    <w:basedOn w:val="1"/>
    <w:qFormat/>
    <w:uiPriority w:val="0"/>
    <w:pPr>
      <w:widowControl/>
      <w:pBdr>
        <w:bottom w:val="single" w:color="auto" w:sz="8"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620">
    <w:name w:val="表芯"/>
    <w:basedOn w:val="1"/>
    <w:next w:val="1"/>
    <w:qFormat/>
    <w:uiPriority w:val="0"/>
    <w:pPr>
      <w:keepNext/>
      <w:adjustRightInd w:val="0"/>
      <w:spacing w:before="20" w:line="0" w:lineRule="atLeast"/>
      <w:jc w:val="center"/>
      <w:textAlignment w:val="baseline"/>
    </w:pPr>
    <w:rPr>
      <w:rFonts w:ascii="Times New Roman" w:hAnsi="Times New Roman" w:eastAsia="宋体" w:cs="Times New Roman"/>
      <w:kern w:val="21"/>
      <w:szCs w:val="20"/>
    </w:rPr>
  </w:style>
  <w:style w:type="paragraph" w:customStyle="1" w:styleId="621">
    <w:name w:val="表格文字2"/>
    <w:basedOn w:val="1"/>
    <w:link w:val="622"/>
    <w:qFormat/>
    <w:uiPriority w:val="0"/>
    <w:pPr>
      <w:adjustRightInd w:val="0"/>
      <w:spacing w:before="60" w:line="240" w:lineRule="auto"/>
      <w:jc w:val="center"/>
      <w:textAlignment w:val="baseline"/>
    </w:pPr>
    <w:rPr>
      <w:rFonts w:ascii="宋体" w:hAnsi="Times New Roman" w:eastAsia="宋体" w:cs="Times New Roman"/>
      <w:kern w:val="0"/>
      <w:sz w:val="24"/>
      <w:szCs w:val="20"/>
    </w:rPr>
  </w:style>
  <w:style w:type="character" w:customStyle="1" w:styleId="622">
    <w:name w:val="表格文字2 Char"/>
    <w:basedOn w:val="91"/>
    <w:link w:val="621"/>
    <w:qFormat/>
    <w:uiPriority w:val="0"/>
    <w:rPr>
      <w:rFonts w:ascii="宋体" w:hAnsi="Times New Roman" w:eastAsia="宋体" w:cs="Times New Roman"/>
      <w:sz w:val="24"/>
    </w:rPr>
  </w:style>
  <w:style w:type="paragraph" w:customStyle="1" w:styleId="623">
    <w:name w:val="样式46"/>
    <w:basedOn w:val="1"/>
    <w:qFormat/>
    <w:uiPriority w:val="0"/>
    <w:pPr>
      <w:spacing w:line="240" w:lineRule="auto"/>
      <w:jc w:val="center"/>
      <w:outlineLvl w:val="0"/>
    </w:pPr>
    <w:rPr>
      <w:rFonts w:ascii="Times New Roman" w:hAnsi="Times New Roman" w:eastAsia="黑体" w:cs="Times New Roman"/>
      <w:color w:val="000000"/>
      <w:sz w:val="24"/>
      <w:szCs w:val="24"/>
    </w:rPr>
  </w:style>
  <w:style w:type="paragraph" w:customStyle="1" w:styleId="624">
    <w:name w:val="样式 样式6 + (中文) 华文中宋 五号 行距: 固定值 15 磅"/>
    <w:basedOn w:val="625"/>
    <w:qFormat/>
    <w:uiPriority w:val="0"/>
    <w:pPr>
      <w:spacing w:line="300" w:lineRule="exact"/>
      <w:ind w:left="-120" w:leftChars="-50" w:right="-120" w:rightChars="-50"/>
    </w:pPr>
    <w:rPr>
      <w:rFonts w:eastAsia="华文中宋"/>
      <w:sz w:val="21"/>
      <w:szCs w:val="21"/>
    </w:rPr>
  </w:style>
  <w:style w:type="paragraph" w:customStyle="1" w:styleId="625">
    <w:name w:val="样式6"/>
    <w:basedOn w:val="488"/>
    <w:link w:val="626"/>
    <w:qFormat/>
    <w:uiPriority w:val="0"/>
    <w:pPr>
      <w:adjustRightInd/>
      <w:spacing w:line="240" w:lineRule="auto"/>
    </w:pPr>
    <w:rPr>
      <w:rFonts w:eastAsia="黑体"/>
      <w:caps w:val="0"/>
      <w:sz w:val="24"/>
    </w:rPr>
  </w:style>
  <w:style w:type="character" w:customStyle="1" w:styleId="626">
    <w:name w:val="样式6 Char"/>
    <w:link w:val="625"/>
    <w:qFormat/>
    <w:uiPriority w:val="0"/>
    <w:rPr>
      <w:rFonts w:eastAsia="黑体" w:cs="宋体"/>
      <w:b/>
      <w:bCs/>
      <w:sz w:val="24"/>
      <w:szCs w:val="24"/>
    </w:rPr>
  </w:style>
  <w:style w:type="paragraph" w:customStyle="1" w:styleId="627">
    <w:name w:val="xl50"/>
    <w:basedOn w:val="1"/>
    <w:qFormat/>
    <w:uiPriority w:val="0"/>
    <w:pPr>
      <w:widowControl/>
      <w:pBdr>
        <w:bottom w:val="single" w:color="auto" w:sz="8"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628">
    <w:name w:val="基准页眉样式"/>
    <w:basedOn w:val="36"/>
    <w:qFormat/>
    <w:uiPriority w:val="0"/>
    <w:pPr>
      <w:spacing w:after="0"/>
      <w:jc w:val="center"/>
    </w:pPr>
    <w:rPr>
      <w:rFonts w:ascii="Times New Roman" w:hAnsi="Times New Roman" w:eastAsia="宋体" w:cs="Times New Roman"/>
      <w:sz w:val="24"/>
      <w:szCs w:val="20"/>
    </w:rPr>
  </w:style>
  <w:style w:type="paragraph" w:customStyle="1" w:styleId="629">
    <w:name w:val="w正文"/>
    <w:basedOn w:val="1"/>
    <w:qFormat/>
    <w:uiPriority w:val="0"/>
    <w:pPr>
      <w:ind w:firstLine="496" w:firstLineChars="200"/>
    </w:pPr>
    <w:rPr>
      <w:rFonts w:ascii="Times New Roman" w:hAnsi="Times New Roman" w:eastAsia="宋体" w:cs="Times New Roman"/>
      <w:spacing w:val="4"/>
      <w:sz w:val="24"/>
      <w:szCs w:val="20"/>
    </w:rPr>
  </w:style>
  <w:style w:type="paragraph" w:customStyle="1" w:styleId="630">
    <w:name w:val="南大梁1.1.1.1-2级标题"/>
    <w:basedOn w:val="1"/>
    <w:qFormat/>
    <w:uiPriority w:val="0"/>
    <w:pPr>
      <w:ind w:left="200" w:leftChars="200"/>
    </w:pPr>
    <w:rPr>
      <w:rFonts w:ascii="宋体" w:hAnsi="宋体" w:eastAsia="宋体" w:cs="Times New Roman"/>
      <w:sz w:val="24"/>
      <w:szCs w:val="24"/>
    </w:rPr>
  </w:style>
  <w:style w:type="paragraph" w:customStyle="1" w:styleId="631">
    <w:name w:val="样式 标题 1标题7章 + 自动设置 段前: 0.5 行 段后: 0.5 行 行距: 1.5 倍行距"/>
    <w:basedOn w:val="85"/>
    <w:next w:val="1"/>
    <w:qFormat/>
    <w:uiPriority w:val="0"/>
    <w:pPr>
      <w:spacing w:afterLines="50" w:line="360" w:lineRule="auto"/>
    </w:pPr>
    <w:rPr>
      <w:rFonts w:eastAsia="黑体" w:cs="Times New Roman"/>
      <w:b w:val="0"/>
      <w:bCs w:val="0"/>
      <w:sz w:val="44"/>
      <w:szCs w:val="20"/>
    </w:rPr>
  </w:style>
  <w:style w:type="paragraph" w:customStyle="1" w:styleId="632">
    <w:name w:val="段落1"/>
    <w:basedOn w:val="1"/>
    <w:qFormat/>
    <w:uiPriority w:val="0"/>
    <w:pPr>
      <w:ind w:firstLine="480" w:firstLineChars="200"/>
    </w:pPr>
    <w:rPr>
      <w:rFonts w:ascii="Times New Roman" w:hAnsi="Times New Roman" w:eastAsia="宋体" w:cs="Times New Roman"/>
      <w:sz w:val="24"/>
      <w:szCs w:val="20"/>
    </w:rPr>
  </w:style>
  <w:style w:type="paragraph" w:customStyle="1" w:styleId="633">
    <w:name w:val="xl56"/>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634">
    <w:name w:val="一、"/>
    <w:basedOn w:val="1"/>
    <w:qFormat/>
    <w:uiPriority w:val="0"/>
    <w:pPr>
      <w:spacing w:beforeLines="50" w:afterLines="50" w:line="480" w:lineRule="exact"/>
      <w:ind w:firstLine="562" w:firstLineChars="200"/>
      <w:jc w:val="center"/>
    </w:pPr>
    <w:rPr>
      <w:rFonts w:ascii="仿宋_GB2312" w:hAnsi="Times New Roman" w:eastAsia="黑体" w:cs="Times New Roman"/>
      <w:b/>
      <w:sz w:val="28"/>
      <w:szCs w:val="20"/>
    </w:rPr>
  </w:style>
  <w:style w:type="character" w:customStyle="1" w:styleId="635">
    <w:name w:val="尾注文本 Char"/>
    <w:basedOn w:val="91"/>
    <w:qFormat/>
    <w:uiPriority w:val="0"/>
  </w:style>
  <w:style w:type="paragraph" w:customStyle="1" w:styleId="636">
    <w:name w:val="xl41"/>
    <w:basedOn w:val="1"/>
    <w:qFormat/>
    <w:uiPriority w:val="0"/>
    <w:pPr>
      <w:widowControl/>
      <w:pBdr>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637">
    <w:name w:val="font8"/>
    <w:basedOn w:val="1"/>
    <w:qFormat/>
    <w:uiPriority w:val="0"/>
    <w:pPr>
      <w:widowControl/>
      <w:spacing w:before="100" w:beforeAutospacing="1" w:after="100" w:afterAutospacing="1" w:line="240" w:lineRule="auto"/>
      <w:jc w:val="left"/>
    </w:pPr>
    <w:rPr>
      <w:rFonts w:hint="eastAsia" w:ascii="新宋体" w:hAnsi="新宋体" w:eastAsia="新宋体" w:cs="Arial Unicode MS"/>
      <w:kern w:val="0"/>
      <w:sz w:val="15"/>
      <w:szCs w:val="15"/>
    </w:rPr>
  </w:style>
  <w:style w:type="paragraph" w:customStyle="1" w:styleId="638">
    <w:name w:val="xl35"/>
    <w:basedOn w:val="1"/>
    <w:qFormat/>
    <w:uiPriority w:val="0"/>
    <w:pPr>
      <w:widowControl/>
      <w:pBdr>
        <w:bottom w:val="single" w:color="auto" w:sz="4" w:space="0"/>
        <w:right w:val="single" w:color="auto" w:sz="4" w:space="0"/>
      </w:pBdr>
      <w:spacing w:before="100" w:beforeAutospacing="1" w:after="100" w:afterAutospacing="1" w:line="240" w:lineRule="auto"/>
    </w:pPr>
    <w:rPr>
      <w:rFonts w:ascii="Times New Roman" w:hAnsi="Times New Roman" w:eastAsia="Arial Unicode MS" w:cs="Times New Roman"/>
      <w:kern w:val="0"/>
      <w:sz w:val="18"/>
      <w:szCs w:val="18"/>
    </w:rPr>
  </w:style>
  <w:style w:type="paragraph" w:customStyle="1" w:styleId="639">
    <w:name w:val="xl58"/>
    <w:basedOn w:val="1"/>
    <w:qFormat/>
    <w:uiPriority w:val="0"/>
    <w:pPr>
      <w:widowControl/>
      <w:pBdr>
        <w:top w:val="single" w:color="auto" w:sz="8" w:space="0"/>
        <w:bottom w:val="single" w:color="auto" w:sz="4" w:space="0"/>
      </w:pBdr>
      <w:spacing w:before="100" w:beforeAutospacing="1" w:after="100" w:afterAutospacing="1" w:line="240" w:lineRule="auto"/>
      <w:jc w:val="center"/>
    </w:pPr>
    <w:rPr>
      <w:rFonts w:hint="eastAsia" w:ascii="新宋体" w:hAnsi="新宋体" w:eastAsia="新宋体" w:cs="Arial Unicode MS"/>
      <w:kern w:val="0"/>
      <w:sz w:val="18"/>
      <w:szCs w:val="18"/>
    </w:rPr>
  </w:style>
  <w:style w:type="paragraph" w:customStyle="1" w:styleId="640">
    <w:name w:val="黑宋体"/>
    <w:basedOn w:val="8"/>
    <w:qFormat/>
    <w:uiPriority w:val="0"/>
    <w:pPr>
      <w:numPr>
        <w:ilvl w:val="0"/>
        <w:numId w:val="0"/>
      </w:numPr>
      <w:tabs>
        <w:tab w:val="left" w:pos="864"/>
      </w:tabs>
      <w:spacing w:before="0" w:after="0" w:line="360" w:lineRule="auto"/>
      <w:jc w:val="both"/>
      <w:textAlignment w:val="baseline"/>
      <w:outlineLvl w:val="9"/>
    </w:pPr>
    <w:rPr>
      <w:rFonts w:ascii="宋体" w:eastAsia="宋体" w:cs="Times New Roman"/>
      <w:b w:val="0"/>
      <w:bCs w:val="0"/>
      <w:snapToGrid w:val="0"/>
      <w:color w:val="000000"/>
      <w:kern w:val="0"/>
      <w:szCs w:val="20"/>
    </w:rPr>
  </w:style>
  <w:style w:type="paragraph" w:customStyle="1" w:styleId="641">
    <w:name w:val="样式8"/>
    <w:basedOn w:val="195"/>
    <w:qFormat/>
    <w:uiPriority w:val="0"/>
    <w:pPr>
      <w:widowControl w:val="0"/>
      <w:spacing w:line="360" w:lineRule="auto"/>
      <w:jc w:val="both"/>
    </w:pPr>
    <w:rPr>
      <w:rFonts w:asciiTheme="minorHAnsi" w:hAnsiTheme="minorHAnsi" w:eastAsiaTheme="minorEastAsia" w:cstheme="minorBidi"/>
      <w:szCs w:val="22"/>
    </w:rPr>
  </w:style>
  <w:style w:type="paragraph" w:customStyle="1" w:styleId="642">
    <w:name w:val="xl34"/>
    <w:basedOn w:val="1"/>
    <w:qFormat/>
    <w:uiPriority w:val="0"/>
    <w:pPr>
      <w:widowControl/>
      <w:pBdr>
        <w:bottom w:val="single" w:color="auto" w:sz="8" w:space="0"/>
        <w:right w:val="single" w:color="auto" w:sz="8"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643">
    <w:name w:val="正文文字3(西藏样式)"/>
    <w:basedOn w:val="1"/>
    <w:qFormat/>
    <w:uiPriority w:val="0"/>
    <w:pPr>
      <w:adjustRightInd w:val="0"/>
      <w:snapToGrid w:val="0"/>
      <w:spacing w:line="240" w:lineRule="auto"/>
      <w:ind w:left="-57" w:right="-57"/>
      <w:jc w:val="center"/>
    </w:pPr>
    <w:rPr>
      <w:rFonts w:ascii="黑体" w:hAnsi="Times New Roman" w:eastAsia="黑体" w:cs="Times New Roman"/>
      <w:snapToGrid w:val="0"/>
      <w:kern w:val="0"/>
      <w:sz w:val="18"/>
      <w:szCs w:val="20"/>
    </w:rPr>
  </w:style>
  <w:style w:type="paragraph" w:customStyle="1" w:styleId="644">
    <w:name w:val="样式 标题4 + 段前: 0.5 行"/>
    <w:qFormat/>
    <w:uiPriority w:val="0"/>
    <w:rPr>
      <w:rFonts w:ascii="Times New Roman" w:hAnsi="Times New Roman" w:eastAsia="宋体" w:cs="宋体"/>
      <w:lang w:val="en-US" w:eastAsia="zh-CN" w:bidi="ar-SA"/>
    </w:rPr>
  </w:style>
  <w:style w:type="paragraph" w:customStyle="1" w:styleId="645">
    <w:name w:val="表号 Char Char"/>
    <w:basedOn w:val="1"/>
    <w:qFormat/>
    <w:uiPriority w:val="0"/>
    <w:pPr>
      <w:overflowPunct w:val="0"/>
      <w:topLinePunct/>
      <w:spacing w:line="240" w:lineRule="auto"/>
      <w:ind w:firstLine="200" w:firstLineChars="200"/>
      <w:outlineLvl w:val="5"/>
    </w:pPr>
    <w:rPr>
      <w:rFonts w:ascii="Times New Roman" w:hAnsi="Times New Roman" w:eastAsia="宋体" w:cs="Times New Roman"/>
      <w:szCs w:val="24"/>
    </w:rPr>
  </w:style>
  <w:style w:type="paragraph" w:customStyle="1" w:styleId="646">
    <w:name w:val="Char Char Char Char"/>
    <w:basedOn w:val="1"/>
    <w:qFormat/>
    <w:uiPriority w:val="0"/>
    <w:pPr>
      <w:spacing w:line="240" w:lineRule="auto"/>
    </w:pPr>
    <w:rPr>
      <w:rFonts w:ascii="宋体" w:hAnsi="Times New Roman" w:eastAsia="宋体" w:cs="宋体"/>
    </w:rPr>
  </w:style>
  <w:style w:type="paragraph" w:customStyle="1" w:styleId="647">
    <w:name w:val="样式 表文居中 + 段前: 0.5 行"/>
    <w:basedOn w:val="1"/>
    <w:qFormat/>
    <w:uiPriority w:val="0"/>
    <w:pPr>
      <w:autoSpaceDE w:val="0"/>
      <w:autoSpaceDN w:val="0"/>
      <w:adjustRightInd w:val="0"/>
      <w:snapToGrid w:val="0"/>
      <w:spacing w:line="240" w:lineRule="auto"/>
      <w:jc w:val="center"/>
      <w:textAlignment w:val="baseline"/>
    </w:pPr>
    <w:rPr>
      <w:rFonts w:ascii="Times New Roman" w:hAnsi="Times New Roman" w:eastAsia="宋体" w:cs="宋体"/>
      <w:kern w:val="0"/>
      <w:szCs w:val="20"/>
    </w:rPr>
  </w:style>
  <w:style w:type="paragraph" w:customStyle="1" w:styleId="648">
    <w:name w:val="表格编号"/>
    <w:basedOn w:val="1"/>
    <w:qFormat/>
    <w:uiPriority w:val="0"/>
    <w:pPr>
      <w:jc w:val="center"/>
    </w:pPr>
    <w:rPr>
      <w:rFonts w:ascii="黑体" w:hAnsi="宋体" w:eastAsia="黑体" w:cs="Times New Roman"/>
      <w:kern w:val="0"/>
      <w:sz w:val="24"/>
      <w:szCs w:val="24"/>
    </w:rPr>
  </w:style>
  <w:style w:type="paragraph" w:customStyle="1" w:styleId="649">
    <w:name w:val="表格内容1"/>
    <w:basedOn w:val="1"/>
    <w:qFormat/>
    <w:uiPriority w:val="0"/>
    <w:pPr>
      <w:spacing w:line="280" w:lineRule="exact"/>
      <w:ind w:left="-70" w:right="-108"/>
    </w:pPr>
    <w:rPr>
      <w:rFonts w:ascii="Times New Roman" w:hAnsi="Times New Roman" w:eastAsia="宋体" w:cs="Times New Roman"/>
      <w:sz w:val="24"/>
      <w:szCs w:val="20"/>
    </w:rPr>
  </w:style>
  <w:style w:type="paragraph" w:customStyle="1" w:styleId="650">
    <w:name w:val="正文缩进（自定义）"/>
    <w:basedOn w:val="1"/>
    <w:qFormat/>
    <w:uiPriority w:val="0"/>
    <w:pPr>
      <w:spacing w:before="120" w:after="120"/>
      <w:ind w:firstLine="480" w:firstLineChars="200"/>
    </w:pPr>
    <w:rPr>
      <w:rFonts w:ascii="Century Gothic" w:hAnsi="Century Gothic" w:eastAsia="宋体" w:cs="Times New Roman"/>
      <w:kern w:val="0"/>
      <w:sz w:val="24"/>
      <w:szCs w:val="24"/>
    </w:rPr>
  </w:style>
  <w:style w:type="paragraph" w:customStyle="1" w:styleId="651">
    <w:name w:val="小标题"/>
    <w:basedOn w:val="85"/>
    <w:qFormat/>
    <w:uiPriority w:val="0"/>
    <w:pPr>
      <w:spacing w:before="120" w:line="360" w:lineRule="auto"/>
      <w:jc w:val="left"/>
    </w:pPr>
    <w:rPr>
      <w:rFonts w:eastAsia="黑体"/>
      <w:b w:val="0"/>
      <w:sz w:val="24"/>
      <w:szCs w:val="24"/>
    </w:rPr>
  </w:style>
  <w:style w:type="paragraph" w:customStyle="1" w:styleId="652">
    <w:name w:val="正文2000"/>
    <w:basedOn w:val="1"/>
    <w:qFormat/>
    <w:uiPriority w:val="0"/>
    <w:pPr>
      <w:snapToGrid w:val="0"/>
      <w:ind w:firstLine="480" w:firstLineChars="200"/>
    </w:pPr>
    <w:rPr>
      <w:rFonts w:ascii="Times New Roman" w:hAnsi="Times New Roman" w:eastAsia="宋体" w:cs="Times New Roman"/>
      <w:kern w:val="0"/>
      <w:sz w:val="24"/>
      <w:szCs w:val="20"/>
    </w:rPr>
  </w:style>
  <w:style w:type="paragraph" w:customStyle="1" w:styleId="653">
    <w:name w:val="样式 样式 样式4 + 黑色 + 自动设置"/>
    <w:basedOn w:val="654"/>
    <w:qFormat/>
    <w:uiPriority w:val="0"/>
    <w:rPr>
      <w:color w:val="auto"/>
    </w:rPr>
  </w:style>
  <w:style w:type="paragraph" w:customStyle="1" w:styleId="654">
    <w:name w:val="样式 样式4 + 黑色"/>
    <w:basedOn w:val="1"/>
    <w:qFormat/>
    <w:uiPriority w:val="0"/>
    <w:pPr>
      <w:spacing w:line="240" w:lineRule="auto"/>
      <w:ind w:firstLine="480" w:firstLineChars="200"/>
    </w:pPr>
    <w:rPr>
      <w:rFonts w:ascii="Times New Roman" w:hAnsi="Times New Roman" w:eastAsia="华文中宋" w:cs="Times New Roman"/>
      <w:color w:val="000000"/>
      <w:sz w:val="24"/>
      <w:szCs w:val="24"/>
    </w:rPr>
  </w:style>
  <w:style w:type="paragraph" w:customStyle="1" w:styleId="655">
    <w:name w:val="xl63"/>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Arial Unicode MS" w:cs="Times New Roman"/>
      <w:kern w:val="0"/>
      <w:sz w:val="18"/>
      <w:szCs w:val="18"/>
    </w:rPr>
  </w:style>
  <w:style w:type="paragraph" w:customStyle="1" w:styleId="656">
    <w:name w:val="样式 样式 宋体 段前: 0.5 行 行距: 固定值 18 磅 + 首行缩进:  2 字符 Char Char"/>
    <w:basedOn w:val="1"/>
    <w:qFormat/>
    <w:uiPriority w:val="0"/>
    <w:pPr>
      <w:snapToGrid w:val="0"/>
      <w:ind w:firstLine="480" w:firstLineChars="200"/>
    </w:pPr>
    <w:rPr>
      <w:rFonts w:ascii="Times New Roman" w:hAnsi="Times New Roman" w:eastAsia="宋体" w:cs="Times New Roman"/>
      <w:color w:val="000000"/>
      <w:sz w:val="24"/>
      <w:szCs w:val="24"/>
    </w:rPr>
  </w:style>
  <w:style w:type="paragraph" w:customStyle="1" w:styleId="657">
    <w:name w:val="6"/>
    <w:basedOn w:val="1"/>
    <w:next w:val="23"/>
    <w:qFormat/>
    <w:uiPriority w:val="0"/>
    <w:pPr>
      <w:ind w:firstLine="420" w:firstLineChars="200"/>
    </w:pPr>
    <w:rPr>
      <w:rFonts w:ascii="Times New Roman" w:hAnsi="Times New Roman" w:eastAsia="宋体" w:cs="Times New Roman"/>
      <w:sz w:val="24"/>
    </w:rPr>
  </w:style>
  <w:style w:type="paragraph" w:customStyle="1" w:styleId="658">
    <w:name w:val="表内文字"/>
    <w:basedOn w:val="1"/>
    <w:qFormat/>
    <w:uiPriority w:val="0"/>
    <w:pPr>
      <w:adjustRightInd w:val="0"/>
      <w:spacing w:before="80" w:line="240" w:lineRule="atLeast"/>
      <w:jc w:val="center"/>
      <w:textAlignment w:val="baseline"/>
    </w:pPr>
    <w:rPr>
      <w:rFonts w:ascii="Times New Roman" w:hAnsi="Times New Roman" w:eastAsia="宋体" w:cs="Times New Roman"/>
      <w:kern w:val="0"/>
      <w:szCs w:val="20"/>
    </w:rPr>
  </w:style>
  <w:style w:type="paragraph" w:customStyle="1" w:styleId="659">
    <w:name w:val="xl83"/>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top"/>
    </w:pPr>
    <w:rPr>
      <w:rFonts w:ascii="Arial Unicode MS" w:hAnsi="Arial Unicode MS" w:eastAsia="Arial Unicode MS" w:cs="Times New Roman"/>
      <w:kern w:val="0"/>
      <w:sz w:val="20"/>
      <w:szCs w:val="20"/>
    </w:rPr>
  </w:style>
  <w:style w:type="paragraph" w:customStyle="1" w:styleId="660">
    <w:name w:val="font6"/>
    <w:basedOn w:val="1"/>
    <w:qFormat/>
    <w:uiPriority w:val="0"/>
    <w:pPr>
      <w:widowControl/>
      <w:spacing w:before="100" w:beforeAutospacing="1" w:after="100" w:afterAutospacing="1" w:line="240" w:lineRule="auto"/>
      <w:jc w:val="left"/>
    </w:pPr>
    <w:rPr>
      <w:rFonts w:hint="eastAsia" w:ascii="宋体" w:hAnsi="宋体" w:eastAsia="宋体" w:cs="Arial Unicode MS"/>
      <w:kern w:val="0"/>
      <w:sz w:val="20"/>
      <w:szCs w:val="20"/>
    </w:rPr>
  </w:style>
  <w:style w:type="paragraph" w:customStyle="1" w:styleId="661">
    <w:name w:val="xl24"/>
    <w:basedOn w:val="1"/>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0"/>
      <w:szCs w:val="20"/>
    </w:rPr>
  </w:style>
  <w:style w:type="paragraph" w:customStyle="1" w:styleId="662">
    <w:name w:val="标题5"/>
    <w:basedOn w:val="25"/>
    <w:qFormat/>
    <w:uiPriority w:val="0"/>
    <w:pPr>
      <w:spacing w:line="440" w:lineRule="exact"/>
      <w:ind w:left="0" w:leftChars="0" w:firstLine="200" w:firstLineChars="200"/>
      <w:outlineLvl w:val="4"/>
    </w:pPr>
    <w:rPr>
      <w:sz w:val="24"/>
      <w:szCs w:val="36"/>
    </w:rPr>
  </w:style>
  <w:style w:type="paragraph" w:customStyle="1" w:styleId="663">
    <w:name w:val="3"/>
    <w:basedOn w:val="1"/>
    <w:next w:val="52"/>
    <w:qFormat/>
    <w:uiPriority w:val="0"/>
    <w:pPr>
      <w:spacing w:line="500" w:lineRule="exact"/>
      <w:ind w:firstLine="480" w:firstLineChars="200"/>
    </w:pPr>
    <w:rPr>
      <w:rFonts w:ascii="Times New Roman" w:hAnsi="Times New Roman" w:eastAsia="宋体" w:cs="Times New Roman"/>
      <w:sz w:val="24"/>
      <w:szCs w:val="20"/>
    </w:rPr>
  </w:style>
  <w:style w:type="paragraph" w:customStyle="1" w:styleId="664">
    <w:name w:val="Char Char Char Char Char Char Char Char Char Char Char Char Char Char Char Char Char Char1 Char Char Char Char Char Char Char Char Char Char Char Char Char Char Char Char"/>
    <w:basedOn w:val="1"/>
    <w:qFormat/>
    <w:uiPriority w:val="0"/>
    <w:pPr>
      <w:ind w:firstLine="200" w:firstLineChars="200"/>
    </w:pPr>
    <w:rPr>
      <w:rFonts w:ascii="宋体" w:hAnsi="Times New Roman" w:eastAsia="宋体" w:cs="Times New Roman"/>
      <w:sz w:val="24"/>
      <w:szCs w:val="20"/>
    </w:rPr>
  </w:style>
  <w:style w:type="paragraph" w:customStyle="1" w:styleId="665">
    <w:name w:val="样式 表名 + Times New Roman 段前: 0.5 行 段后: 0.5 行"/>
    <w:basedOn w:val="459"/>
    <w:qFormat/>
    <w:uiPriority w:val="0"/>
    <w:pPr>
      <w:overflowPunct w:val="0"/>
      <w:topLinePunct/>
      <w:spacing w:beforeLines="50"/>
      <w:outlineLvl w:val="4"/>
    </w:pPr>
    <w:rPr>
      <w:rFonts w:ascii="Times New Roman" w:hAnsi="华文楷体" w:eastAsia="宋体" w:cs="宋体"/>
      <w:b/>
      <w:bCs/>
    </w:rPr>
  </w:style>
  <w:style w:type="paragraph" w:customStyle="1" w:styleId="666">
    <w:name w:val="样式14"/>
    <w:basedOn w:val="1"/>
    <w:qFormat/>
    <w:uiPriority w:val="0"/>
    <w:pPr>
      <w:tabs>
        <w:tab w:val="left" w:pos="1140"/>
      </w:tabs>
      <w:spacing w:beforeLines="50" w:afterLines="50" w:line="240" w:lineRule="auto"/>
    </w:pPr>
    <w:rPr>
      <w:rFonts w:ascii="Times New Roman" w:hAnsi="Times New Roman" w:eastAsia="黑体" w:cs="Times New Roman"/>
      <w:sz w:val="28"/>
      <w:szCs w:val="28"/>
    </w:rPr>
  </w:style>
  <w:style w:type="paragraph" w:customStyle="1" w:styleId="667">
    <w:name w:val="Char Char Char Char Char Char1 Char"/>
    <w:basedOn w:val="1"/>
    <w:qFormat/>
    <w:uiPriority w:val="0"/>
    <w:pPr>
      <w:ind w:firstLine="200" w:firstLineChars="200"/>
    </w:pPr>
    <w:rPr>
      <w:rFonts w:ascii="宋体" w:hAnsi="宋体" w:eastAsia="宋体" w:cs="Times New Roman"/>
      <w:sz w:val="24"/>
      <w:szCs w:val="20"/>
    </w:rPr>
  </w:style>
  <w:style w:type="paragraph" w:customStyle="1" w:styleId="668">
    <w:name w:val="xl42"/>
    <w:basedOn w:val="1"/>
    <w:qFormat/>
    <w:uiPriority w:val="0"/>
    <w:pPr>
      <w:widowControl/>
      <w:pBdr>
        <w:bottom w:val="single" w:color="auto" w:sz="8"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669">
    <w:name w:val="样式17"/>
    <w:basedOn w:val="1"/>
    <w:qFormat/>
    <w:uiPriority w:val="0"/>
    <w:pPr>
      <w:spacing w:line="240" w:lineRule="auto"/>
      <w:ind w:firstLine="420" w:firstLineChars="200"/>
    </w:pPr>
    <w:rPr>
      <w:rFonts w:ascii="Times New Roman" w:hAnsi="Times New Roman" w:eastAsia="华文中宋" w:cs="Times New Roman"/>
    </w:rPr>
  </w:style>
  <w:style w:type="paragraph" w:customStyle="1" w:styleId="670">
    <w:name w:val="font5"/>
    <w:basedOn w:val="1"/>
    <w:qFormat/>
    <w:uiPriority w:val="0"/>
    <w:pPr>
      <w:widowControl/>
      <w:spacing w:before="100" w:beforeAutospacing="1" w:after="100" w:afterAutospacing="1" w:line="240" w:lineRule="auto"/>
      <w:jc w:val="left"/>
    </w:pPr>
    <w:rPr>
      <w:rFonts w:hint="eastAsia" w:ascii="宋体" w:hAnsi="宋体" w:eastAsia="宋体" w:cs="Arial Unicode MS"/>
      <w:kern w:val="0"/>
      <w:sz w:val="18"/>
      <w:szCs w:val="18"/>
    </w:rPr>
  </w:style>
  <w:style w:type="paragraph" w:customStyle="1" w:styleId="671">
    <w:name w:val="样式19"/>
    <w:basedOn w:val="625"/>
    <w:qFormat/>
    <w:uiPriority w:val="0"/>
    <w:pPr>
      <w:spacing w:line="300" w:lineRule="exact"/>
      <w:ind w:left="-120" w:leftChars="-50" w:right="-120" w:rightChars="-50"/>
    </w:pPr>
    <w:rPr>
      <w:rFonts w:eastAsia="华文中宋"/>
      <w:sz w:val="21"/>
      <w:szCs w:val="21"/>
    </w:rPr>
  </w:style>
  <w:style w:type="paragraph" w:customStyle="1" w:styleId="672">
    <w:name w:val="图表标题"/>
    <w:basedOn w:val="490"/>
    <w:next w:val="1"/>
    <w:link w:val="673"/>
    <w:qFormat/>
    <w:uiPriority w:val="0"/>
    <w:pPr>
      <w:snapToGrid w:val="0"/>
      <w:ind w:firstLine="0"/>
      <w:jc w:val="center"/>
      <w:textAlignment w:val="baseline"/>
    </w:pPr>
    <w:rPr>
      <w:rFonts w:ascii="Times New Roman" w:hAnsi="Times New Roman"/>
      <w:b/>
      <w:color w:val="0000FF"/>
    </w:rPr>
  </w:style>
  <w:style w:type="character" w:customStyle="1" w:styleId="673">
    <w:name w:val="图表标题 Char Char"/>
    <w:link w:val="672"/>
    <w:qFormat/>
    <w:uiPriority w:val="0"/>
    <w:rPr>
      <w:rFonts w:ascii="Times New Roman" w:hAnsi="Times New Roman"/>
      <w:b/>
      <w:color w:val="0000FF"/>
      <w:sz w:val="24"/>
    </w:rPr>
  </w:style>
  <w:style w:type="paragraph" w:customStyle="1" w:styleId="674">
    <w:name w:val="样式 标题3 + 段前: 0.5 行 段后: 0.5 行1"/>
    <w:basedOn w:val="203"/>
    <w:qFormat/>
    <w:uiPriority w:val="0"/>
    <w:pPr>
      <w:widowControl w:val="0"/>
      <w:overflowPunct w:val="0"/>
      <w:topLinePunct/>
      <w:spacing w:line="440" w:lineRule="exact"/>
      <w:ind w:firstLine="0" w:firstLineChars="0"/>
      <w:jc w:val="both"/>
    </w:pPr>
    <w:rPr>
      <w:rFonts w:eastAsia="华文中宋" w:cs="宋体"/>
      <w:b/>
      <w:bCs/>
      <w:color w:val="auto"/>
      <w:kern w:val="10"/>
      <w:sz w:val="28"/>
      <w:szCs w:val="20"/>
    </w:rPr>
  </w:style>
  <w:style w:type="paragraph" w:customStyle="1" w:styleId="675">
    <w:name w:val="xl71"/>
    <w:basedOn w:val="1"/>
    <w:qFormat/>
    <w:uiPriority w:val="0"/>
    <w:pPr>
      <w:widowControl/>
      <w:pBdr>
        <w:top w:val="single" w:color="auto" w:sz="8" w:space="0"/>
        <w:bottom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676">
    <w:name w:val="default paragraph font Char"/>
    <w:basedOn w:val="1"/>
    <w:qFormat/>
    <w:uiPriority w:val="0"/>
    <w:pPr>
      <w:spacing w:line="240" w:lineRule="atLeast"/>
      <w:ind w:left="420" w:firstLine="420"/>
    </w:pPr>
    <w:rPr>
      <w:rFonts w:ascii="Times New Roman" w:hAnsi="Times New Roman" w:eastAsia="宋体" w:cs="Times New Roman"/>
      <w:szCs w:val="20"/>
    </w:rPr>
  </w:style>
  <w:style w:type="paragraph" w:customStyle="1" w:styleId="677">
    <w:name w:val="font0"/>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678">
    <w:name w:val="我的正文 Char Char"/>
    <w:basedOn w:val="1"/>
    <w:qFormat/>
    <w:uiPriority w:val="0"/>
    <w:pPr>
      <w:ind w:firstLine="200" w:firstLineChars="200"/>
    </w:pPr>
    <w:rPr>
      <w:rFonts w:ascii="Times New Roman" w:hAnsi="Times New Roman" w:eastAsia="宋体" w:cs="Times New Roman"/>
      <w:sz w:val="24"/>
      <w:szCs w:val="20"/>
    </w:rPr>
  </w:style>
  <w:style w:type="paragraph" w:customStyle="1" w:styleId="679">
    <w:name w:val="4"/>
    <w:basedOn w:val="1"/>
    <w:next w:val="23"/>
    <w:qFormat/>
    <w:uiPriority w:val="0"/>
    <w:pPr>
      <w:adjustRightInd w:val="0"/>
      <w:snapToGrid w:val="0"/>
      <w:ind w:firstLine="420" w:firstLineChars="231"/>
    </w:pPr>
    <w:rPr>
      <w:rFonts w:ascii="宋体" w:hAnsi="Times New Roman" w:eastAsia="宋体" w:cs="Times New Roman"/>
      <w:color w:val="000000"/>
      <w:kern w:val="0"/>
      <w:sz w:val="28"/>
      <w:szCs w:val="20"/>
    </w:rPr>
  </w:style>
  <w:style w:type="paragraph" w:customStyle="1" w:styleId="680">
    <w:name w:val="样式 表名 + 段前: 0.5 行 段后: 0.5 行"/>
    <w:basedOn w:val="459"/>
    <w:qFormat/>
    <w:uiPriority w:val="0"/>
    <w:pPr>
      <w:overflowPunct w:val="0"/>
      <w:topLinePunct/>
      <w:spacing w:beforeLines="50"/>
      <w:outlineLvl w:val="4"/>
    </w:pPr>
    <w:rPr>
      <w:rFonts w:ascii="宋体" w:hAnsi="华文楷体" w:eastAsia="宋体" w:cs="宋体"/>
      <w:b/>
      <w:bCs/>
    </w:rPr>
  </w:style>
  <w:style w:type="paragraph" w:customStyle="1" w:styleId="681">
    <w:name w:val="表格正文"/>
    <w:basedOn w:val="1"/>
    <w:next w:val="1"/>
    <w:link w:val="682"/>
    <w:qFormat/>
    <w:uiPriority w:val="0"/>
    <w:pPr>
      <w:adjustRightInd w:val="0"/>
      <w:snapToGrid w:val="0"/>
      <w:spacing w:line="240" w:lineRule="auto"/>
      <w:jc w:val="center"/>
      <w:textAlignment w:val="baseline"/>
    </w:pPr>
    <w:rPr>
      <w:rFonts w:ascii="宋体" w:hAnsi="Times New Roman" w:eastAsia="宋体" w:cs="Times New Roman"/>
      <w:snapToGrid w:val="0"/>
      <w:spacing w:val="4"/>
      <w:w w:val="90"/>
      <w:kern w:val="0"/>
      <w:sz w:val="24"/>
      <w:szCs w:val="24"/>
    </w:rPr>
  </w:style>
  <w:style w:type="character" w:customStyle="1" w:styleId="682">
    <w:name w:val="表格正文 Char Char"/>
    <w:link w:val="681"/>
    <w:qFormat/>
    <w:uiPriority w:val="0"/>
    <w:rPr>
      <w:rFonts w:ascii="宋体" w:hAnsi="Times New Roman" w:eastAsia="宋体" w:cs="Times New Roman"/>
      <w:snapToGrid w:val="0"/>
      <w:spacing w:val="4"/>
      <w:w w:val="90"/>
      <w:kern w:val="0"/>
      <w:sz w:val="24"/>
      <w:szCs w:val="24"/>
    </w:rPr>
  </w:style>
  <w:style w:type="paragraph" w:customStyle="1" w:styleId="683">
    <w:name w:val="正文（西藏格式）"/>
    <w:basedOn w:val="1"/>
    <w:qFormat/>
    <w:uiPriority w:val="0"/>
    <w:pPr>
      <w:adjustRightInd w:val="0"/>
      <w:snapToGrid w:val="0"/>
      <w:spacing w:line="240" w:lineRule="auto"/>
    </w:pPr>
    <w:rPr>
      <w:rFonts w:ascii="Times New Roman" w:hAnsi="Times New Roman" w:eastAsia="宋体" w:cs="Times New Roman"/>
      <w:snapToGrid w:val="0"/>
      <w:sz w:val="24"/>
    </w:rPr>
  </w:style>
  <w:style w:type="paragraph" w:customStyle="1" w:styleId="684">
    <w:name w:val="样式 左侧:  1 字符 右侧:  1 字符1"/>
    <w:basedOn w:val="1"/>
    <w:qFormat/>
    <w:uiPriority w:val="0"/>
    <w:pPr>
      <w:tabs>
        <w:tab w:val="left" w:pos="6660"/>
        <w:tab w:val="left" w:pos="8370"/>
      </w:tabs>
      <w:adjustRightInd w:val="0"/>
      <w:ind w:right="-36" w:rightChars="-15" w:firstLine="449" w:firstLineChars="187"/>
    </w:pPr>
    <w:rPr>
      <w:rFonts w:ascii="Times New Roman" w:hAnsi="Times New Roman" w:eastAsia="宋体" w:cs="宋体"/>
      <w:color w:val="000000"/>
      <w:sz w:val="24"/>
      <w:szCs w:val="20"/>
    </w:rPr>
  </w:style>
  <w:style w:type="paragraph" w:customStyle="1" w:styleId="685">
    <w:name w:val="xl69"/>
    <w:basedOn w:val="1"/>
    <w:qFormat/>
    <w:uiPriority w:val="0"/>
    <w:pPr>
      <w:widowControl/>
      <w:pBdr>
        <w:bottom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686">
    <w:name w:val="样式 样式 首行缩进:  2 字符 + 首行缩进:  2 字符"/>
    <w:basedOn w:val="1"/>
    <w:qFormat/>
    <w:uiPriority w:val="0"/>
    <w:pPr>
      <w:ind w:firstLine="480" w:firstLineChars="200"/>
    </w:pPr>
    <w:rPr>
      <w:rFonts w:ascii="Times New Roman" w:hAnsi="宋体" w:eastAsia="宋体" w:cs="Times New Roman"/>
      <w:sz w:val="24"/>
      <w:szCs w:val="24"/>
    </w:rPr>
  </w:style>
  <w:style w:type="paragraph" w:customStyle="1" w:styleId="687">
    <w:name w:val="样式 样式 样式 标题 3标题 33 + 段前: 0.5 行 + 段前: 0.5 行 + 段前: 6 磅 段后: 6 磅"/>
    <w:basedOn w:val="1"/>
    <w:qFormat/>
    <w:uiPriority w:val="0"/>
    <w:pPr>
      <w:keepNext/>
      <w:keepLines/>
      <w:outlineLvl w:val="2"/>
    </w:pPr>
    <w:rPr>
      <w:rFonts w:ascii="黑体" w:hAnsi="Times New Roman" w:eastAsia="黑体" w:cs="Times New Roman"/>
      <w:snapToGrid w:val="0"/>
      <w:kern w:val="0"/>
      <w:sz w:val="24"/>
      <w:szCs w:val="20"/>
    </w:rPr>
  </w:style>
  <w:style w:type="paragraph" w:customStyle="1" w:styleId="688">
    <w:name w:val="表头文字"/>
    <w:basedOn w:val="1"/>
    <w:qFormat/>
    <w:uiPriority w:val="0"/>
    <w:pPr>
      <w:adjustRightInd w:val="0"/>
      <w:snapToGrid w:val="0"/>
      <w:spacing w:before="120" w:line="300" w:lineRule="auto"/>
      <w:jc w:val="center"/>
    </w:pPr>
    <w:rPr>
      <w:rFonts w:ascii="Times New Roman" w:hAnsi="Times New Roman" w:eastAsia="黑体" w:cs="Times New Roman"/>
      <w:sz w:val="24"/>
      <w:szCs w:val="24"/>
    </w:rPr>
  </w:style>
  <w:style w:type="paragraph" w:customStyle="1" w:styleId="689">
    <w:name w:val="xl51"/>
    <w:basedOn w:val="1"/>
    <w:qFormat/>
    <w:uiPriority w:val="0"/>
    <w:pPr>
      <w:widowControl/>
      <w:pBdr>
        <w:top w:val="single" w:color="auto" w:sz="4" w:space="0"/>
        <w:right w:val="single" w:color="auto" w:sz="4" w:space="0"/>
      </w:pBdr>
      <w:spacing w:before="100" w:beforeAutospacing="1" w:after="100" w:afterAutospacing="1" w:line="240" w:lineRule="auto"/>
      <w:jc w:val="center"/>
    </w:pPr>
    <w:rPr>
      <w:rFonts w:hint="eastAsia" w:ascii="新宋体" w:hAnsi="新宋体" w:eastAsia="新宋体" w:cs="Arial Unicode MS"/>
      <w:kern w:val="0"/>
      <w:sz w:val="18"/>
      <w:szCs w:val="18"/>
    </w:rPr>
  </w:style>
  <w:style w:type="paragraph" w:customStyle="1" w:styleId="690">
    <w:name w:val="Char Char Char Char Char Char Char Char Char1 Char Char Char Char"/>
    <w:basedOn w:val="1"/>
    <w:qFormat/>
    <w:uiPriority w:val="0"/>
    <w:pPr>
      <w:ind w:firstLine="200" w:firstLineChars="200"/>
    </w:pPr>
    <w:rPr>
      <w:rFonts w:ascii="宋体" w:hAnsi="宋体" w:eastAsia="宋体" w:cs="宋体"/>
      <w:sz w:val="24"/>
      <w:szCs w:val="26"/>
    </w:rPr>
  </w:style>
  <w:style w:type="paragraph" w:customStyle="1" w:styleId="691">
    <w:name w:val="三章正文"/>
    <w:basedOn w:val="36"/>
    <w:qFormat/>
    <w:uiPriority w:val="0"/>
    <w:pPr>
      <w:spacing w:after="0"/>
      <w:ind w:firstLine="200" w:firstLineChars="200"/>
    </w:pPr>
    <w:rPr>
      <w:rFonts w:ascii="Times New Roman" w:hAnsi="Times New Roman" w:eastAsia="宋体" w:cs="Times New Roman"/>
      <w:sz w:val="24"/>
      <w:szCs w:val="20"/>
    </w:rPr>
  </w:style>
  <w:style w:type="paragraph" w:customStyle="1" w:styleId="692">
    <w:name w:val="xl75"/>
    <w:basedOn w:val="1"/>
    <w:qFormat/>
    <w:uiPriority w:val="0"/>
    <w:pPr>
      <w:widowControl/>
      <w:pBdr>
        <w:left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693">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694">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695">
    <w:name w:val="报告书"/>
    <w:basedOn w:val="1"/>
    <w:link w:val="696"/>
    <w:qFormat/>
    <w:uiPriority w:val="0"/>
    <w:pPr>
      <w:spacing w:line="300" w:lineRule="auto"/>
      <w:ind w:firstLine="200" w:firstLineChars="200"/>
    </w:pPr>
    <w:rPr>
      <w:rFonts w:ascii="Times New Roman" w:hAnsi="Times New Roman" w:eastAsia="宋体" w:cs="Times New Roman"/>
      <w:sz w:val="24"/>
      <w:szCs w:val="20"/>
    </w:rPr>
  </w:style>
  <w:style w:type="character" w:customStyle="1" w:styleId="696">
    <w:name w:val="报告书 Char"/>
    <w:basedOn w:val="91"/>
    <w:link w:val="695"/>
    <w:qFormat/>
    <w:uiPriority w:val="0"/>
    <w:rPr>
      <w:rFonts w:ascii="Times New Roman" w:hAnsi="Times New Roman" w:eastAsia="宋体" w:cs="Times New Roman"/>
      <w:kern w:val="2"/>
      <w:sz w:val="24"/>
    </w:rPr>
  </w:style>
  <w:style w:type="paragraph" w:customStyle="1" w:styleId="697">
    <w:name w:val="样式 标题 1 + 段前: 0.5 行 段后: 0.5 行1"/>
    <w:basedOn w:val="5"/>
    <w:qFormat/>
    <w:uiPriority w:val="0"/>
    <w:pPr>
      <w:numPr>
        <w:numId w:val="0"/>
      </w:numPr>
      <w:spacing w:beforeLines="50" w:afterLines="50" w:line="440" w:lineRule="exact"/>
    </w:pPr>
    <w:rPr>
      <w:rFonts w:eastAsia="华文中宋" w:cs="宋体"/>
      <w:szCs w:val="32"/>
    </w:rPr>
  </w:style>
  <w:style w:type="paragraph" w:customStyle="1" w:styleId="698">
    <w:name w:val="表样"/>
    <w:basedOn w:val="1"/>
    <w:qFormat/>
    <w:uiPriority w:val="0"/>
    <w:pPr>
      <w:adjustRightInd w:val="0"/>
      <w:snapToGrid w:val="0"/>
      <w:jc w:val="center"/>
      <w:textAlignment w:val="baseline"/>
    </w:pPr>
    <w:rPr>
      <w:rFonts w:ascii="Times New Roman" w:hAnsi="Times New Roman" w:eastAsia="宋体" w:cs="Times New Roman"/>
      <w:kern w:val="0"/>
      <w:sz w:val="24"/>
      <w:szCs w:val="20"/>
    </w:rPr>
  </w:style>
  <w:style w:type="paragraph" w:customStyle="1" w:styleId="699">
    <w:name w:val="Char11"/>
    <w:basedOn w:val="1"/>
    <w:qFormat/>
    <w:uiPriority w:val="0"/>
    <w:pPr>
      <w:spacing w:line="240" w:lineRule="auto"/>
    </w:pPr>
    <w:rPr>
      <w:rFonts w:ascii="Times New Roman" w:hAnsi="Times New Roman" w:eastAsia="宋体" w:cs="Times New Roman"/>
      <w:sz w:val="24"/>
      <w:szCs w:val="20"/>
    </w:rPr>
  </w:style>
  <w:style w:type="paragraph" w:customStyle="1" w:styleId="700">
    <w:name w:val="样式 样式 样式 标题 3标题 33 + 段前: 0.5 行 + 段前: 0.5 行 + 段前: 6 磅 段后: 6 磅1"/>
    <w:basedOn w:val="701"/>
    <w:qFormat/>
    <w:uiPriority w:val="0"/>
  </w:style>
  <w:style w:type="paragraph" w:customStyle="1" w:styleId="701">
    <w:name w:val="样式 样式 标题 3标题 33 + 段前: 0.5 行 + 段前: 0.5 行"/>
    <w:basedOn w:val="702"/>
    <w:qFormat/>
    <w:uiPriority w:val="0"/>
  </w:style>
  <w:style w:type="paragraph" w:customStyle="1" w:styleId="702">
    <w:name w:val="样式 标题 3标题 33 + 段前: 0.5 行"/>
    <w:basedOn w:val="7"/>
    <w:qFormat/>
    <w:uiPriority w:val="0"/>
    <w:pPr>
      <w:numPr>
        <w:ilvl w:val="0"/>
        <w:numId w:val="0"/>
      </w:numPr>
      <w:spacing w:before="0" w:after="0" w:line="360" w:lineRule="auto"/>
      <w:jc w:val="both"/>
    </w:pPr>
    <w:rPr>
      <w:rFonts w:ascii="黑体" w:eastAsia="黑体" w:cs="Times New Roman"/>
      <w:b w:val="0"/>
      <w:bCs w:val="0"/>
      <w:snapToGrid w:val="0"/>
      <w:color w:val="008000"/>
      <w:kern w:val="0"/>
      <w:szCs w:val="20"/>
    </w:rPr>
  </w:style>
  <w:style w:type="paragraph" w:customStyle="1" w:styleId="703">
    <w:name w:val="z-窗体底端1"/>
    <w:basedOn w:val="1"/>
    <w:next w:val="1"/>
    <w:link w:val="704"/>
    <w:qFormat/>
    <w:uiPriority w:val="0"/>
    <w:pPr>
      <w:widowControl/>
      <w:pBdr>
        <w:top w:val="single" w:color="auto" w:sz="6" w:space="1"/>
      </w:pBdr>
      <w:spacing w:line="240" w:lineRule="auto"/>
      <w:jc w:val="center"/>
    </w:pPr>
    <w:rPr>
      <w:rFonts w:ascii="Arial" w:hAnsi="Arial" w:eastAsia="宋体" w:cs="Times New Roman"/>
      <w:vanish/>
      <w:kern w:val="0"/>
      <w:sz w:val="16"/>
      <w:szCs w:val="16"/>
    </w:rPr>
  </w:style>
  <w:style w:type="character" w:customStyle="1" w:styleId="704">
    <w:name w:val="z-窗体底端 Char"/>
    <w:basedOn w:val="91"/>
    <w:link w:val="703"/>
    <w:qFormat/>
    <w:uiPriority w:val="0"/>
    <w:rPr>
      <w:rFonts w:ascii="Arial" w:hAnsi="Arial" w:eastAsia="宋体" w:cs="Times New Roman"/>
      <w:vanish/>
      <w:kern w:val="0"/>
      <w:sz w:val="16"/>
      <w:szCs w:val="16"/>
    </w:rPr>
  </w:style>
  <w:style w:type="paragraph" w:customStyle="1" w:styleId="705">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eastAsia="宋体" w:cs="Times New Roman"/>
      <w:i/>
      <w:spacing w:val="20"/>
      <w:sz w:val="24"/>
      <w:szCs w:val="20"/>
    </w:rPr>
  </w:style>
  <w:style w:type="paragraph" w:customStyle="1" w:styleId="706">
    <w:name w:val="xl30"/>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707">
    <w:name w:val="样式42"/>
    <w:basedOn w:val="1"/>
    <w:qFormat/>
    <w:uiPriority w:val="0"/>
    <w:pPr>
      <w:spacing w:beforeLines="50" w:afterLines="50" w:line="240" w:lineRule="auto"/>
      <w:ind w:firstLine="480" w:firstLineChars="200"/>
    </w:pPr>
    <w:rPr>
      <w:rFonts w:ascii="Times New Roman" w:hAnsi="Times New Roman" w:eastAsia="华文中宋" w:cs="Times New Roman"/>
      <w:color w:val="000000"/>
      <w:sz w:val="24"/>
      <w:szCs w:val="24"/>
    </w:rPr>
  </w:style>
  <w:style w:type="paragraph" w:customStyle="1" w:styleId="708">
    <w:name w:val="样式 正文文字1 + 首行缩进:  2 字符"/>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709">
    <w:name w:val="正文 + (符号) 宋体"/>
    <w:basedOn w:val="710"/>
    <w:qFormat/>
    <w:uiPriority w:val="0"/>
    <w:pPr>
      <w:spacing w:line="500" w:lineRule="exact"/>
      <w:ind w:firstLine="504" w:firstLineChars="200"/>
    </w:pPr>
    <w:rPr>
      <w:spacing w:val="6"/>
      <w:kern w:val="0"/>
    </w:rPr>
  </w:style>
  <w:style w:type="paragraph" w:customStyle="1" w:styleId="710">
    <w:name w:val="样式5"/>
    <w:basedOn w:val="485"/>
    <w:qFormat/>
    <w:uiPriority w:val="0"/>
    <w:pPr>
      <w:ind w:left="0"/>
    </w:pPr>
    <w:rPr>
      <w:rFonts w:ascii="Times New Roman" w:hAnsi="Times New Roman" w:eastAsia="黑体"/>
      <w:b w:val="0"/>
      <w:color w:val="000000"/>
      <w:sz w:val="24"/>
    </w:rPr>
  </w:style>
  <w:style w:type="paragraph" w:customStyle="1" w:styleId="711">
    <w:name w:val="样式 (中文) 楷体_GB2312 小四 行距: 1.5 倍行距"/>
    <w:basedOn w:val="1"/>
    <w:qFormat/>
    <w:uiPriority w:val="0"/>
    <w:pPr>
      <w:ind w:firstLine="480" w:firstLineChars="200"/>
    </w:pPr>
    <w:rPr>
      <w:rFonts w:ascii="Times New Roman" w:hAnsi="Times New Roman" w:eastAsia="楷体_GB2312" w:cs="宋体"/>
      <w:sz w:val="24"/>
      <w:szCs w:val="20"/>
    </w:rPr>
  </w:style>
  <w:style w:type="paragraph" w:customStyle="1" w:styleId="712">
    <w:name w:val="样式 标题 2 + 段前: 0.5 行 段后: 0.5 行"/>
    <w:basedOn w:val="6"/>
    <w:qFormat/>
    <w:uiPriority w:val="0"/>
    <w:pPr>
      <w:numPr>
        <w:ilvl w:val="0"/>
        <w:numId w:val="0"/>
      </w:numPr>
      <w:spacing w:before="156" w:after="156" w:line="440" w:lineRule="exact"/>
      <w:jc w:val="both"/>
    </w:pPr>
    <w:rPr>
      <w:rFonts w:eastAsia="黑体" w:cs="宋体"/>
      <w:sz w:val="30"/>
      <w:szCs w:val="30"/>
    </w:rPr>
  </w:style>
  <w:style w:type="paragraph" w:customStyle="1" w:styleId="713">
    <w:name w:val="xyb自建表格名称"/>
    <w:basedOn w:val="1"/>
    <w:qFormat/>
    <w:uiPriority w:val="0"/>
    <w:pPr>
      <w:jc w:val="center"/>
    </w:pPr>
    <w:rPr>
      <w:rFonts w:ascii="宋体" w:hAnsi="宋体" w:eastAsia="宋体" w:cs="Times New Roman"/>
      <w:sz w:val="24"/>
      <w:szCs w:val="24"/>
    </w:rPr>
  </w:style>
  <w:style w:type="paragraph" w:customStyle="1" w:styleId="714">
    <w:name w:val="样式 标题1 + 行距: 1.5 倍行距"/>
    <w:basedOn w:val="46"/>
    <w:next w:val="5"/>
    <w:qFormat/>
    <w:uiPriority w:val="0"/>
    <w:pPr>
      <w:overflowPunct w:val="0"/>
      <w:topLinePunct/>
      <w:ind w:firstLine="0" w:firstLineChars="0"/>
      <w:jc w:val="center"/>
      <w:outlineLvl w:val="0"/>
    </w:pPr>
    <w:rPr>
      <w:rFonts w:hAnsi="宋体" w:eastAsia="华文中宋" w:cs="宋体"/>
      <w:b/>
      <w:bCs/>
      <w:color w:val="000000"/>
      <w:sz w:val="32"/>
    </w:rPr>
  </w:style>
  <w:style w:type="paragraph" w:customStyle="1" w:styleId="715">
    <w:name w:val="PSPSPSPS"/>
    <w:basedOn w:val="1"/>
    <w:qFormat/>
    <w:uiPriority w:val="0"/>
    <w:pPr>
      <w:adjustRightInd w:val="0"/>
      <w:spacing w:line="600" w:lineRule="atLeast"/>
      <w:textAlignment w:val="baseline"/>
    </w:pPr>
    <w:rPr>
      <w:rFonts w:ascii="Times New Roman" w:hAnsi="Times New Roman" w:eastAsia="宋体" w:cs="Times New Roman"/>
      <w:kern w:val="0"/>
      <w:sz w:val="28"/>
      <w:szCs w:val="20"/>
    </w:rPr>
  </w:style>
  <w:style w:type="paragraph" w:customStyle="1" w:styleId="716">
    <w:name w:val="样式 首行缩进:  2 字符"/>
    <w:basedOn w:val="1"/>
    <w:qFormat/>
    <w:uiPriority w:val="0"/>
    <w:pPr>
      <w:spacing w:line="440" w:lineRule="exact"/>
      <w:ind w:firstLine="200" w:firstLineChars="200"/>
    </w:pPr>
    <w:rPr>
      <w:rFonts w:ascii="Times New Roman" w:hAnsi="Times New Roman" w:eastAsia="宋体" w:cs="宋体"/>
      <w:sz w:val="24"/>
      <w:szCs w:val="20"/>
    </w:rPr>
  </w:style>
  <w:style w:type="paragraph" w:customStyle="1" w:styleId="717">
    <w:name w:val="样式 标题 2 + (中文) 华文中宋 四号"/>
    <w:basedOn w:val="6"/>
    <w:qFormat/>
    <w:uiPriority w:val="0"/>
    <w:pPr>
      <w:numPr>
        <w:ilvl w:val="0"/>
        <w:numId w:val="0"/>
      </w:numPr>
      <w:tabs>
        <w:tab w:val="left" w:pos="992"/>
      </w:tabs>
      <w:adjustRightInd w:val="0"/>
      <w:snapToGrid w:val="0"/>
      <w:spacing w:before="232" w:after="232" w:line="240" w:lineRule="auto"/>
      <w:ind w:left="992" w:hanging="567"/>
      <w:jc w:val="both"/>
      <w:textAlignment w:val="baseline"/>
    </w:pPr>
    <w:rPr>
      <w:rFonts w:eastAsia="华文中宋" w:cs="Times New Roman"/>
      <w:kern w:val="30"/>
    </w:rPr>
  </w:style>
  <w:style w:type="paragraph" w:customStyle="1" w:styleId="718">
    <w:name w:val="10"/>
    <w:basedOn w:val="1"/>
    <w:next w:val="40"/>
    <w:qFormat/>
    <w:uiPriority w:val="0"/>
    <w:pPr>
      <w:spacing w:line="324" w:lineRule="auto"/>
      <w:ind w:left="-105" w:leftChars="-50" w:right="-105" w:rightChars="-50" w:firstLine="482"/>
      <w:jc w:val="left"/>
    </w:pPr>
    <w:rPr>
      <w:rFonts w:ascii="Times New Roman" w:hAnsi="Times New Roman" w:eastAsia="宋体" w:cs="Times New Roman"/>
      <w:color w:val="000000"/>
      <w:sz w:val="24"/>
      <w:szCs w:val="24"/>
    </w:rPr>
  </w:style>
  <w:style w:type="paragraph" w:customStyle="1" w:styleId="719">
    <w:name w:val="样式 标题 1 + 段前: 0.5 行 段后: 0.5 行"/>
    <w:basedOn w:val="5"/>
    <w:qFormat/>
    <w:uiPriority w:val="0"/>
    <w:pPr>
      <w:numPr>
        <w:numId w:val="0"/>
      </w:numPr>
      <w:spacing w:beforeLines="50" w:afterLines="50" w:line="440" w:lineRule="exact"/>
    </w:pPr>
    <w:rPr>
      <w:rFonts w:eastAsia="黑体" w:cs="宋体"/>
      <w:szCs w:val="32"/>
    </w:rPr>
  </w:style>
  <w:style w:type="paragraph" w:customStyle="1" w:styleId="720">
    <w:name w:val="Bt3"/>
    <w:basedOn w:val="7"/>
    <w:next w:val="1"/>
    <w:qFormat/>
    <w:uiPriority w:val="0"/>
    <w:pPr>
      <w:numPr>
        <w:ilvl w:val="0"/>
        <w:numId w:val="0"/>
      </w:numPr>
      <w:spacing w:before="0" w:after="0" w:line="360" w:lineRule="auto"/>
    </w:pPr>
    <w:rPr>
      <w:rFonts w:eastAsia="黑体" w:cs="Times New Roman"/>
      <w:b w:val="0"/>
      <w:bCs w:val="0"/>
      <w:snapToGrid w:val="0"/>
      <w:kern w:val="0"/>
      <w:szCs w:val="20"/>
    </w:rPr>
  </w:style>
  <w:style w:type="paragraph" w:customStyle="1" w:styleId="721">
    <w:name w:val="xl73"/>
    <w:basedOn w:val="1"/>
    <w:qFormat/>
    <w:uiPriority w:val="0"/>
    <w:pPr>
      <w:widowControl/>
      <w:pBdr>
        <w:left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722">
    <w:name w:val="报告表格"/>
    <w:basedOn w:val="1"/>
    <w:link w:val="723"/>
    <w:qFormat/>
    <w:uiPriority w:val="0"/>
    <w:pPr>
      <w:autoSpaceDE w:val="0"/>
      <w:autoSpaceDN w:val="0"/>
      <w:adjustRightInd w:val="0"/>
      <w:spacing w:before="40" w:after="40" w:line="240" w:lineRule="auto"/>
      <w:jc w:val="center"/>
      <w:textAlignment w:val="baseline"/>
    </w:pPr>
    <w:rPr>
      <w:rFonts w:ascii="Times New Roman" w:hAnsi="Times New Roman" w:eastAsia="宋体" w:cs="Times New Roman"/>
      <w:sz w:val="24"/>
      <w:szCs w:val="24"/>
    </w:rPr>
  </w:style>
  <w:style w:type="character" w:customStyle="1" w:styleId="723">
    <w:name w:val="报告表格 Char"/>
    <w:link w:val="722"/>
    <w:qFormat/>
    <w:uiPriority w:val="0"/>
    <w:rPr>
      <w:rFonts w:ascii="Times New Roman" w:hAnsi="Times New Roman" w:eastAsia="宋体" w:cs="Times New Roman"/>
      <w:sz w:val="24"/>
      <w:szCs w:val="24"/>
    </w:rPr>
  </w:style>
  <w:style w:type="paragraph" w:customStyle="1" w:styleId="724">
    <w:name w:val="正文文字 Char Char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725">
    <w:name w:val="xl37"/>
    <w:basedOn w:val="1"/>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726">
    <w:name w:val="Char5"/>
    <w:basedOn w:val="1"/>
    <w:qFormat/>
    <w:uiPriority w:val="0"/>
    <w:pPr>
      <w:shd w:val="clear" w:color="auto" w:fill="000080"/>
      <w:adjustRightInd w:val="0"/>
      <w:spacing w:line="436" w:lineRule="exact"/>
      <w:ind w:left="357"/>
      <w:jc w:val="left"/>
      <w:outlineLvl w:val="3"/>
    </w:pPr>
    <w:rPr>
      <w:rFonts w:ascii="Tahoma" w:hAnsi="Tahoma" w:eastAsia="宋体" w:cs="Times New Roman"/>
      <w:b/>
      <w:sz w:val="24"/>
      <w:szCs w:val="28"/>
      <w:shd w:val="clear" w:color="auto" w:fill="000080"/>
    </w:rPr>
  </w:style>
  <w:style w:type="paragraph" w:customStyle="1" w:styleId="727">
    <w:name w:val="样式 标题2 + 三号"/>
    <w:basedOn w:val="1"/>
    <w:qFormat/>
    <w:uiPriority w:val="0"/>
    <w:pPr>
      <w:keepNext/>
      <w:keepLines/>
      <w:outlineLvl w:val="0"/>
    </w:pPr>
    <w:rPr>
      <w:rFonts w:ascii="Times New Roman" w:hAnsi="Times New Roman" w:eastAsia="黑体" w:cs="宋体"/>
      <w:b/>
      <w:bCs/>
      <w:kern w:val="44"/>
      <w:sz w:val="32"/>
      <w:szCs w:val="20"/>
    </w:rPr>
  </w:style>
  <w:style w:type="paragraph" w:customStyle="1" w:styleId="728">
    <w:name w:val="我的样式"/>
    <w:basedOn w:val="1"/>
    <w:qFormat/>
    <w:uiPriority w:val="0"/>
    <w:pPr>
      <w:tabs>
        <w:tab w:val="left" w:pos="360"/>
      </w:tabs>
      <w:spacing w:line="240" w:lineRule="auto"/>
      <w:ind w:left="360" w:hanging="360"/>
    </w:pPr>
    <w:rPr>
      <w:rFonts w:ascii="Times New Roman" w:hAnsi="Times New Roman" w:eastAsia="宋体" w:cs="Times New Roman"/>
      <w:szCs w:val="24"/>
    </w:rPr>
  </w:style>
  <w:style w:type="paragraph" w:customStyle="1" w:styleId="729">
    <w:name w:val="font12"/>
    <w:basedOn w:val="1"/>
    <w:qFormat/>
    <w:uiPriority w:val="0"/>
    <w:pPr>
      <w:widowControl/>
      <w:spacing w:before="100" w:beforeAutospacing="1" w:after="100" w:afterAutospacing="1" w:line="240" w:lineRule="auto"/>
      <w:jc w:val="left"/>
    </w:pPr>
    <w:rPr>
      <w:rFonts w:ascii="Times New Roman" w:hAnsi="Times New Roman" w:eastAsia="宋体" w:cs="Times New Roman"/>
      <w:color w:val="FF6600"/>
      <w:kern w:val="0"/>
      <w:sz w:val="24"/>
      <w:szCs w:val="24"/>
    </w:rPr>
  </w:style>
  <w:style w:type="paragraph" w:customStyle="1" w:styleId="730">
    <w:name w:val="xl40"/>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731">
    <w:name w:val="xl72"/>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732">
    <w:name w:val="样式9"/>
    <w:basedOn w:val="1"/>
    <w:link w:val="733"/>
    <w:qFormat/>
    <w:uiPriority w:val="0"/>
    <w:pPr>
      <w:spacing w:beforeLines="50" w:afterLines="50" w:line="460" w:lineRule="exact"/>
      <w:ind w:firstLine="480" w:firstLineChars="200"/>
    </w:pPr>
    <w:rPr>
      <w:rFonts w:ascii="Times New Roman" w:hAnsi="Times New Roman" w:eastAsia="宋体" w:cs="Times New Roman"/>
      <w:sz w:val="24"/>
      <w:szCs w:val="20"/>
    </w:rPr>
  </w:style>
  <w:style w:type="character" w:customStyle="1" w:styleId="733">
    <w:name w:val="样式9 Char Char"/>
    <w:link w:val="732"/>
    <w:qFormat/>
    <w:uiPriority w:val="0"/>
    <w:rPr>
      <w:rFonts w:ascii="Times New Roman" w:hAnsi="Times New Roman" w:eastAsia="宋体" w:cs="Times New Roman"/>
      <w:sz w:val="24"/>
      <w:szCs w:val="20"/>
    </w:rPr>
  </w:style>
  <w:style w:type="paragraph" w:customStyle="1" w:styleId="734">
    <w:name w:val="Char31"/>
    <w:basedOn w:val="1"/>
    <w:qFormat/>
    <w:uiPriority w:val="0"/>
    <w:pPr>
      <w:adjustRightInd w:val="0"/>
      <w:ind w:firstLine="200" w:firstLineChars="200"/>
    </w:pPr>
    <w:rPr>
      <w:rFonts w:ascii="宋体" w:hAnsi="宋体" w:eastAsia="宋体" w:cs="宋体"/>
      <w:sz w:val="24"/>
      <w:szCs w:val="24"/>
    </w:rPr>
  </w:style>
  <w:style w:type="paragraph" w:customStyle="1" w:styleId="735">
    <w:name w:val="xl45"/>
    <w:basedOn w:val="1"/>
    <w:qFormat/>
    <w:uiPriority w:val="0"/>
    <w:pPr>
      <w:widowControl/>
      <w:pBdr>
        <w:left w:val="single" w:color="auto" w:sz="8" w:space="0"/>
        <w:bottom w:val="single" w:color="auto" w:sz="8"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736">
    <w:name w:val="xl27"/>
    <w:basedOn w:val="1"/>
    <w:qFormat/>
    <w:uiPriority w:val="0"/>
    <w:pPr>
      <w:widowControl/>
      <w:pBdr>
        <w:left w:val="single" w:color="auto" w:sz="8" w:space="0"/>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4"/>
      <w:szCs w:val="24"/>
    </w:rPr>
  </w:style>
  <w:style w:type="paragraph" w:customStyle="1" w:styleId="737">
    <w:name w:val="zh正文"/>
    <w:basedOn w:val="1"/>
    <w:qFormat/>
    <w:uiPriority w:val="0"/>
    <w:pPr>
      <w:spacing w:line="360" w:lineRule="exact"/>
      <w:ind w:firstLine="560" w:firstLineChars="200"/>
    </w:pPr>
    <w:rPr>
      <w:rFonts w:ascii="宋体" w:hAnsi="宋体" w:eastAsia="宋体" w:cs="Times New Roman"/>
      <w:sz w:val="28"/>
      <w:szCs w:val="20"/>
    </w:rPr>
  </w:style>
  <w:style w:type="paragraph" w:customStyle="1" w:styleId="738">
    <w:name w:val="font13"/>
    <w:basedOn w:val="1"/>
    <w:qFormat/>
    <w:uiPriority w:val="0"/>
    <w:pPr>
      <w:widowControl/>
      <w:spacing w:before="100" w:beforeAutospacing="1" w:after="100" w:afterAutospacing="1" w:line="240" w:lineRule="auto"/>
      <w:jc w:val="left"/>
    </w:pPr>
    <w:rPr>
      <w:rFonts w:ascii="宋体" w:hAnsi="Times New Roman" w:eastAsia="宋体" w:cs="Times New Roman"/>
      <w:color w:val="FF6600"/>
      <w:kern w:val="0"/>
      <w:sz w:val="24"/>
      <w:szCs w:val="20"/>
    </w:rPr>
  </w:style>
  <w:style w:type="paragraph" w:customStyle="1" w:styleId="739">
    <w:name w:val="11"/>
    <w:basedOn w:val="1"/>
    <w:next w:val="23"/>
    <w:qFormat/>
    <w:uiPriority w:val="0"/>
    <w:pPr>
      <w:spacing w:line="440" w:lineRule="exact"/>
      <w:ind w:firstLine="420" w:firstLineChars="200"/>
    </w:pPr>
    <w:rPr>
      <w:rFonts w:ascii="Times New Roman" w:hAnsi="Times New Roman" w:eastAsia="宋体" w:cs="Times New Roman"/>
      <w:sz w:val="24"/>
    </w:rPr>
  </w:style>
  <w:style w:type="paragraph" w:customStyle="1" w:styleId="740">
    <w:name w:val="样式 标题 2 + 加粗"/>
    <w:basedOn w:val="6"/>
    <w:qFormat/>
    <w:uiPriority w:val="0"/>
    <w:pPr>
      <w:numPr>
        <w:ilvl w:val="0"/>
        <w:numId w:val="0"/>
      </w:numPr>
      <w:spacing w:before="0" w:after="0" w:line="240" w:lineRule="auto"/>
    </w:pPr>
    <w:rPr>
      <w:rFonts w:eastAsia="黑体" w:cs="Times New Roman"/>
      <w:kern w:val="0"/>
      <w:sz w:val="32"/>
    </w:rPr>
  </w:style>
  <w:style w:type="paragraph" w:customStyle="1" w:styleId="741">
    <w:name w:val="样式 标题 1章章标题一、1.标题 1PAGE HEADINGh1headingHeader 1st Page..."/>
    <w:basedOn w:val="5"/>
    <w:qFormat/>
    <w:uiPriority w:val="0"/>
    <w:pPr>
      <w:numPr>
        <w:numId w:val="0"/>
      </w:numPr>
      <w:spacing w:before="100" w:after="90"/>
      <w:jc w:val="both"/>
    </w:pPr>
    <w:rPr>
      <w:rFonts w:eastAsia="黑体" w:cs="Times New Roman"/>
      <w:sz w:val="44"/>
    </w:rPr>
  </w:style>
  <w:style w:type="paragraph" w:customStyle="1" w:styleId="742">
    <w:name w:val="font7"/>
    <w:basedOn w:val="1"/>
    <w:qFormat/>
    <w:uiPriority w:val="0"/>
    <w:pPr>
      <w:widowControl/>
      <w:spacing w:before="100" w:beforeAutospacing="1" w:after="100" w:afterAutospacing="1" w:line="240" w:lineRule="auto"/>
      <w:jc w:val="left"/>
    </w:pPr>
    <w:rPr>
      <w:rFonts w:ascii="Times New Roman" w:hAnsi="Times New Roman" w:eastAsia="Arial Unicode MS" w:cs="Times New Roman"/>
      <w:kern w:val="0"/>
      <w:sz w:val="20"/>
      <w:szCs w:val="20"/>
    </w:rPr>
  </w:style>
  <w:style w:type="paragraph" w:customStyle="1" w:styleId="743">
    <w:name w:val="正文01"/>
    <w:basedOn w:val="1"/>
    <w:qFormat/>
    <w:uiPriority w:val="0"/>
    <w:pPr>
      <w:spacing w:before="60" w:line="460" w:lineRule="exact"/>
      <w:ind w:firstLine="200" w:firstLineChars="200"/>
    </w:pPr>
    <w:rPr>
      <w:rFonts w:ascii="Arial" w:hAnsi="Arial" w:eastAsia="宋体" w:cs="Times New Roman"/>
      <w:bCs/>
      <w:sz w:val="24"/>
      <w:szCs w:val="28"/>
    </w:rPr>
  </w:style>
  <w:style w:type="paragraph" w:customStyle="1" w:styleId="744">
    <w:name w:val="表目录"/>
    <w:basedOn w:val="1"/>
    <w:qFormat/>
    <w:uiPriority w:val="0"/>
    <w:pPr>
      <w:adjustRightInd w:val="0"/>
      <w:snapToGrid w:val="0"/>
    </w:pPr>
    <w:rPr>
      <w:rFonts w:ascii="黑体" w:hAnsi="Times New Roman" w:eastAsia="黑体" w:cs="Times New Roman"/>
      <w:szCs w:val="20"/>
    </w:rPr>
  </w:style>
  <w:style w:type="paragraph" w:customStyle="1" w:styleId="745">
    <w:name w:val="Char Char Char Char2"/>
    <w:basedOn w:val="1"/>
    <w:qFormat/>
    <w:uiPriority w:val="0"/>
    <w:pPr>
      <w:ind w:firstLine="200" w:firstLineChars="200"/>
    </w:pPr>
    <w:rPr>
      <w:rFonts w:ascii="宋体" w:hAnsi="宋体" w:eastAsia="宋体" w:cs="宋体"/>
      <w:sz w:val="24"/>
      <w:szCs w:val="24"/>
    </w:rPr>
  </w:style>
  <w:style w:type="paragraph" w:customStyle="1" w:styleId="746">
    <w:name w:val="样式 四号 行距: 多倍行距 1.25 字行"/>
    <w:basedOn w:val="1"/>
    <w:qFormat/>
    <w:uiPriority w:val="0"/>
    <w:pPr>
      <w:spacing w:line="300" w:lineRule="auto"/>
      <w:ind w:firstLine="560" w:firstLineChars="200"/>
    </w:pPr>
    <w:rPr>
      <w:rFonts w:ascii="Times New Roman" w:hAnsi="Times New Roman" w:eastAsia="宋体" w:cs="宋体"/>
      <w:sz w:val="28"/>
      <w:szCs w:val="20"/>
    </w:rPr>
  </w:style>
  <w:style w:type="paragraph" w:customStyle="1" w:styleId="747">
    <w:name w:val="text"/>
    <w:basedOn w:val="1"/>
    <w:qFormat/>
    <w:uiPriority w:val="0"/>
    <w:pPr>
      <w:widowControl/>
      <w:spacing w:before="150" w:after="150" w:line="240" w:lineRule="auto"/>
      <w:ind w:firstLine="480"/>
      <w:jc w:val="left"/>
    </w:pPr>
    <w:rPr>
      <w:rFonts w:ascii="ˎ̥" w:hAnsi="ˎ̥" w:eastAsia="宋体" w:cs="Times New Roman"/>
      <w:color w:val="486B8A"/>
      <w:kern w:val="0"/>
      <w:sz w:val="18"/>
      <w:szCs w:val="18"/>
    </w:rPr>
  </w:style>
  <w:style w:type="paragraph" w:customStyle="1" w:styleId="748">
    <w:name w:val="正文文字缩进"/>
    <w:basedOn w:val="3"/>
    <w:qFormat/>
    <w:uiPriority w:val="0"/>
    <w:pPr>
      <w:adjustRightInd w:val="0"/>
      <w:snapToGrid w:val="0"/>
      <w:spacing w:line="240" w:lineRule="auto"/>
      <w:ind w:left="2552" w:right="1134" w:hanging="1418" w:firstLineChars="0"/>
    </w:pPr>
    <w:rPr>
      <w:rFonts w:ascii="Calibri" w:hAnsi="Calibri" w:eastAsia="宋体"/>
      <w:snapToGrid w:val="0"/>
      <w:kern w:val="0"/>
      <w:sz w:val="28"/>
      <w:szCs w:val="28"/>
    </w:rPr>
  </w:style>
  <w:style w:type="paragraph" w:customStyle="1" w:styleId="749">
    <w:name w:val="xl80"/>
    <w:basedOn w:val="1"/>
    <w:qFormat/>
    <w:uiPriority w:val="0"/>
    <w:pPr>
      <w:widowControl/>
      <w:pBdr>
        <w:left w:val="single" w:color="auto" w:sz="4" w:space="0"/>
        <w:bottom w:val="single" w:color="auto" w:sz="4" w:space="0"/>
      </w:pBdr>
      <w:spacing w:before="100" w:beforeAutospacing="1" w:after="100" w:afterAutospacing="1" w:line="240" w:lineRule="auto"/>
      <w:jc w:val="center"/>
    </w:pPr>
    <w:rPr>
      <w:rFonts w:ascii="Arial Unicode MS" w:hAnsi="Arial Unicode MS" w:eastAsia="Arial Unicode MS" w:cs="Times New Roman"/>
      <w:kern w:val="0"/>
      <w:sz w:val="20"/>
      <w:szCs w:val="20"/>
    </w:rPr>
  </w:style>
  <w:style w:type="paragraph" w:customStyle="1" w:styleId="750">
    <w:name w:val="正文文字(西藏样式)"/>
    <w:basedOn w:val="1"/>
    <w:qFormat/>
    <w:uiPriority w:val="0"/>
    <w:pPr>
      <w:adjustRightInd w:val="0"/>
      <w:snapToGrid w:val="0"/>
      <w:spacing w:line="240" w:lineRule="auto"/>
      <w:ind w:left="-57" w:right="-57"/>
      <w:jc w:val="center"/>
    </w:pPr>
    <w:rPr>
      <w:rFonts w:ascii="宋体" w:hAnsi="Times New Roman" w:eastAsia="宋体" w:cs="Times New Roman"/>
      <w:snapToGrid w:val="0"/>
      <w:kern w:val="0"/>
      <w:sz w:val="18"/>
      <w:szCs w:val="20"/>
    </w:rPr>
  </w:style>
  <w:style w:type="paragraph" w:customStyle="1" w:styleId="751">
    <w:name w:val="样式 标题 2节1标题21 Char标题 2 Char Char二级 标题 2H2h2第一层条标题 2 Ch..."/>
    <w:basedOn w:val="6"/>
    <w:qFormat/>
    <w:uiPriority w:val="0"/>
    <w:pPr>
      <w:numPr>
        <w:ilvl w:val="0"/>
        <w:numId w:val="0"/>
      </w:numPr>
      <w:spacing w:before="0" w:after="0" w:line="360" w:lineRule="auto"/>
      <w:jc w:val="both"/>
    </w:pPr>
    <w:rPr>
      <w:rFonts w:ascii="仿宋_GB2312" w:hAnsi="仿宋_GB2312" w:eastAsia="黑体" w:cs="Times New Roman"/>
      <w:b w:val="0"/>
      <w:kern w:val="0"/>
      <w:sz w:val="32"/>
    </w:rPr>
  </w:style>
  <w:style w:type="paragraph" w:customStyle="1" w:styleId="752">
    <w:name w:val="样式 样式7 + 黑色"/>
    <w:basedOn w:val="753"/>
    <w:qFormat/>
    <w:uiPriority w:val="0"/>
    <w:pPr>
      <w:keepNext/>
      <w:keepLines/>
      <w:tabs>
        <w:tab w:val="left" w:pos="992"/>
      </w:tabs>
      <w:spacing w:beforeLines="50" w:afterLines="50" w:line="240" w:lineRule="auto"/>
      <w:ind w:left="992" w:firstLine="0" w:firstLineChars="0"/>
      <w:textAlignment w:val="baseline"/>
      <w:outlineLvl w:val="1"/>
    </w:pPr>
    <w:rPr>
      <w:rFonts w:eastAsia="黑体"/>
      <w:color w:val="000000"/>
      <w:kern w:val="30"/>
      <w:sz w:val="28"/>
      <w:szCs w:val="28"/>
    </w:rPr>
  </w:style>
  <w:style w:type="paragraph" w:customStyle="1" w:styleId="753">
    <w:name w:val="样式7"/>
    <w:basedOn w:val="296"/>
    <w:qFormat/>
    <w:uiPriority w:val="0"/>
    <w:pPr>
      <w:keepNext w:val="0"/>
      <w:keepLines w:val="0"/>
      <w:adjustRightInd w:val="0"/>
      <w:snapToGrid w:val="0"/>
      <w:spacing w:line="460" w:lineRule="exact"/>
      <w:ind w:firstLine="487" w:firstLineChars="200"/>
      <w:outlineLvl w:val="9"/>
    </w:pPr>
    <w:rPr>
      <w:bCs w:val="0"/>
    </w:rPr>
  </w:style>
  <w:style w:type="paragraph" w:customStyle="1" w:styleId="754">
    <w:name w:val="样式 样式 标题 4 + 段前: 0.5 行 段后: 0.5 行 + 段前: 7.8 磅 段后: 7.8 磅"/>
    <w:basedOn w:val="281"/>
    <w:qFormat/>
    <w:uiPriority w:val="0"/>
    <w:rPr>
      <w:szCs w:val="20"/>
    </w:rPr>
  </w:style>
  <w:style w:type="paragraph" w:customStyle="1" w:styleId="755">
    <w:name w:val="Char Char Char Char Char Char Char Char Char Char Char Char Char Char Char Char Char Char Char Char Char Char Char Char Char"/>
    <w:basedOn w:val="1"/>
    <w:qFormat/>
    <w:uiPriority w:val="0"/>
    <w:pPr>
      <w:ind w:firstLine="200" w:firstLineChars="200"/>
    </w:pPr>
    <w:rPr>
      <w:rFonts w:ascii="宋体" w:hAnsi="宋体" w:eastAsia="宋体" w:cs="宋体"/>
      <w:sz w:val="24"/>
      <w:szCs w:val="24"/>
    </w:rPr>
  </w:style>
  <w:style w:type="paragraph" w:customStyle="1" w:styleId="756">
    <w:name w:val="Char Char Char Char Char Char Char Char Char Char Char Char Char Char Char Char Char Char Char"/>
    <w:basedOn w:val="1"/>
    <w:qFormat/>
    <w:uiPriority w:val="0"/>
    <w:pPr>
      <w:ind w:firstLine="200" w:firstLineChars="200"/>
    </w:pPr>
    <w:rPr>
      <w:rFonts w:ascii="宋体" w:hAnsi="宋体" w:eastAsia="宋体" w:cs="宋体"/>
      <w:sz w:val="24"/>
      <w:szCs w:val="24"/>
    </w:rPr>
  </w:style>
  <w:style w:type="paragraph" w:customStyle="1" w:styleId="757">
    <w:name w:val="样式 四号 首行缩进:  1.01 厘米 行距: 固定值 28 磅"/>
    <w:basedOn w:val="1"/>
    <w:qFormat/>
    <w:uiPriority w:val="0"/>
    <w:pPr>
      <w:snapToGrid w:val="0"/>
      <w:ind w:firstLine="573"/>
    </w:pPr>
    <w:rPr>
      <w:rFonts w:ascii="Times New Roman" w:hAnsi="Times New Roman" w:eastAsia="宋体" w:cs="宋体"/>
      <w:sz w:val="24"/>
      <w:szCs w:val="20"/>
    </w:rPr>
  </w:style>
  <w:style w:type="paragraph" w:customStyle="1" w:styleId="758">
    <w:name w:val="样式 样式7 + 黑色 行距: 固定值 15 磅"/>
    <w:basedOn w:val="753"/>
    <w:qFormat/>
    <w:uiPriority w:val="0"/>
    <w:pPr>
      <w:adjustRightInd/>
      <w:snapToGrid/>
      <w:spacing w:line="300" w:lineRule="exact"/>
      <w:ind w:firstLine="0" w:firstLineChars="0"/>
      <w:jc w:val="center"/>
    </w:pPr>
    <w:rPr>
      <w:rFonts w:cs="宋体"/>
      <w:color w:val="000000"/>
      <w:sz w:val="21"/>
      <w:szCs w:val="20"/>
    </w:rPr>
  </w:style>
  <w:style w:type="paragraph" w:customStyle="1" w:styleId="759">
    <w:name w:val="xl70"/>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rPr>
  </w:style>
  <w:style w:type="paragraph" w:customStyle="1" w:styleId="760">
    <w:name w:val="样式11"/>
    <w:basedOn w:val="488"/>
    <w:qFormat/>
    <w:uiPriority w:val="0"/>
    <w:pPr>
      <w:adjustRightInd/>
      <w:spacing w:beforeLines="50" w:afterLines="50" w:line="240" w:lineRule="auto"/>
      <w:ind w:firstLine="475" w:firstLineChars="200"/>
      <w:jc w:val="both"/>
    </w:pPr>
    <w:rPr>
      <w:caps w:val="0"/>
      <w:sz w:val="24"/>
    </w:rPr>
  </w:style>
  <w:style w:type="paragraph" w:customStyle="1" w:styleId="761">
    <w:name w:val="样式36"/>
    <w:basedOn w:val="1"/>
    <w:qFormat/>
    <w:uiPriority w:val="0"/>
    <w:pPr>
      <w:spacing w:after="120" w:line="280" w:lineRule="exact"/>
      <w:ind w:firstLine="425"/>
      <w:jc w:val="center"/>
    </w:pPr>
    <w:rPr>
      <w:rFonts w:ascii="Times New Roman" w:hAnsi="Times New Roman" w:eastAsia="华文中宋" w:cs="Times New Roman"/>
      <w:color w:val="000000"/>
      <w:sz w:val="24"/>
      <w:szCs w:val="20"/>
    </w:rPr>
  </w:style>
  <w:style w:type="paragraph" w:customStyle="1" w:styleId="762">
    <w:name w:val="样式29"/>
    <w:basedOn w:val="195"/>
    <w:qFormat/>
    <w:uiPriority w:val="0"/>
    <w:pPr>
      <w:widowControl w:val="0"/>
      <w:spacing w:line="360" w:lineRule="auto"/>
      <w:jc w:val="both"/>
    </w:pPr>
    <w:rPr>
      <w:rFonts w:asciiTheme="minorHAnsi" w:hAnsiTheme="minorHAnsi" w:eastAsiaTheme="minorEastAsia" w:cstheme="minorBidi"/>
      <w:szCs w:val="22"/>
    </w:rPr>
  </w:style>
  <w:style w:type="paragraph" w:customStyle="1" w:styleId="763">
    <w:name w:val="font11"/>
    <w:basedOn w:val="1"/>
    <w:qFormat/>
    <w:uiPriority w:val="0"/>
    <w:pPr>
      <w:widowControl/>
      <w:spacing w:before="100" w:beforeAutospacing="1" w:after="100" w:afterAutospacing="1" w:line="240" w:lineRule="auto"/>
      <w:jc w:val="left"/>
    </w:pPr>
    <w:rPr>
      <w:rFonts w:ascii="宋体" w:hAnsi="宋体" w:eastAsia="宋体" w:cs="宋体"/>
      <w:color w:val="FF6600"/>
      <w:kern w:val="0"/>
      <w:sz w:val="24"/>
      <w:szCs w:val="24"/>
    </w:rPr>
  </w:style>
  <w:style w:type="paragraph" w:customStyle="1" w:styleId="764">
    <w:name w:val="样式12"/>
    <w:basedOn w:val="51"/>
    <w:qFormat/>
    <w:uiPriority w:val="0"/>
    <w:pPr>
      <w:spacing w:beforeLines="50" w:afterLines="50" w:line="240" w:lineRule="auto"/>
      <w:ind w:left="0" w:leftChars="0" w:firstLine="0" w:firstLineChars="0"/>
    </w:pPr>
    <w:rPr>
      <w:rFonts w:eastAsia="黑体"/>
      <w:b/>
      <w:color w:val="000000"/>
      <w:sz w:val="32"/>
      <w:szCs w:val="32"/>
    </w:rPr>
  </w:style>
  <w:style w:type="paragraph" w:customStyle="1" w:styleId="765">
    <w:name w:val="6'"/>
    <w:basedOn w:val="1"/>
    <w:qFormat/>
    <w:uiPriority w:val="0"/>
    <w:pPr>
      <w:autoSpaceDE w:val="0"/>
      <w:autoSpaceDN w:val="0"/>
      <w:adjustRightInd w:val="0"/>
      <w:snapToGrid w:val="0"/>
      <w:spacing w:line="320" w:lineRule="exact"/>
      <w:jc w:val="center"/>
      <w:textAlignment w:val="baseline"/>
    </w:pPr>
    <w:rPr>
      <w:rFonts w:ascii="Times New Roman" w:hAnsi="Times New Roman" w:eastAsia="宋体" w:cs="Times New Roman"/>
      <w:spacing w:val="20"/>
      <w:kern w:val="28"/>
      <w:sz w:val="24"/>
      <w:szCs w:val="20"/>
    </w:rPr>
  </w:style>
  <w:style w:type="paragraph" w:customStyle="1" w:styleId="766">
    <w:name w:val="南大梁1.1.1.1-1标题"/>
    <w:basedOn w:val="1"/>
    <w:qFormat/>
    <w:uiPriority w:val="0"/>
    <w:pPr>
      <w:spacing w:before="60" w:after="60"/>
    </w:pPr>
    <w:rPr>
      <w:rFonts w:ascii="黑体" w:hAnsi="宋体" w:eastAsia="黑体" w:cs="Times New Roman"/>
      <w:sz w:val="24"/>
      <w:szCs w:val="24"/>
    </w:rPr>
  </w:style>
  <w:style w:type="paragraph" w:customStyle="1" w:styleId="767">
    <w:name w:val="样式 小四 黑色 行距: 单倍行距"/>
    <w:basedOn w:val="1"/>
    <w:qFormat/>
    <w:uiPriority w:val="0"/>
    <w:pPr>
      <w:adjustRightInd w:val="0"/>
      <w:snapToGrid w:val="0"/>
      <w:spacing w:line="240" w:lineRule="auto"/>
    </w:pPr>
    <w:rPr>
      <w:rFonts w:ascii="Times New Roman" w:hAnsi="Times New Roman" w:eastAsia="宋体" w:cs="Times New Roman"/>
      <w:snapToGrid w:val="0"/>
      <w:color w:val="000000"/>
      <w:kern w:val="0"/>
      <w:sz w:val="24"/>
      <w:szCs w:val="24"/>
    </w:rPr>
  </w:style>
  <w:style w:type="paragraph" w:customStyle="1" w:styleId="768">
    <w:name w:val="2"/>
    <w:basedOn w:val="1"/>
    <w:next w:val="23"/>
    <w:qFormat/>
    <w:uiPriority w:val="0"/>
    <w:pPr>
      <w:snapToGrid w:val="0"/>
      <w:spacing w:line="440" w:lineRule="atLeast"/>
      <w:ind w:firstLine="420"/>
    </w:pPr>
    <w:rPr>
      <w:rFonts w:ascii="Times New Roman" w:hAnsi="Times New Roman" w:eastAsia="宋体" w:cs="Times New Roman"/>
      <w:sz w:val="24"/>
      <w:szCs w:val="20"/>
    </w:rPr>
  </w:style>
  <w:style w:type="paragraph" w:customStyle="1" w:styleId="769">
    <w:name w:val="xl26"/>
    <w:basedOn w:val="1"/>
    <w:qFormat/>
    <w:uiPriority w:val="0"/>
    <w:pPr>
      <w:widowControl/>
      <w:spacing w:before="100" w:beforeAutospacing="1" w:after="100" w:afterAutospacing="1" w:line="240" w:lineRule="auto"/>
      <w:jc w:val="left"/>
    </w:pPr>
    <w:rPr>
      <w:rFonts w:ascii="Times New Roman" w:hAnsi="Times New Roman" w:eastAsia="Arial Unicode MS" w:cs="Times New Roman"/>
      <w:kern w:val="0"/>
      <w:sz w:val="20"/>
      <w:szCs w:val="20"/>
    </w:rPr>
  </w:style>
  <w:style w:type="paragraph" w:customStyle="1" w:styleId="770">
    <w:name w:val="一级标题"/>
    <w:basedOn w:val="1"/>
    <w:qFormat/>
    <w:uiPriority w:val="0"/>
    <w:pPr>
      <w:tabs>
        <w:tab w:val="left" w:pos="425"/>
      </w:tabs>
      <w:spacing w:before="360" w:after="240" w:line="300" w:lineRule="auto"/>
      <w:ind w:left="425" w:hanging="425"/>
      <w:jc w:val="center"/>
      <w:outlineLvl w:val="0"/>
    </w:pPr>
    <w:rPr>
      <w:rFonts w:ascii="Times New Roman" w:hAnsi="Times New Roman" w:eastAsia="黑体" w:cs="Times New Roman"/>
      <w:sz w:val="36"/>
      <w:szCs w:val="20"/>
    </w:rPr>
  </w:style>
  <w:style w:type="paragraph" w:customStyle="1" w:styleId="771">
    <w:name w:val="表名1"/>
    <w:basedOn w:val="1"/>
    <w:qFormat/>
    <w:uiPriority w:val="0"/>
    <w:rPr>
      <w:rFonts w:ascii="Times New Roman" w:hAnsi="Times New Roman" w:eastAsia="黑体" w:cs="Times New Roman"/>
      <w:szCs w:val="20"/>
    </w:rPr>
  </w:style>
  <w:style w:type="paragraph" w:customStyle="1" w:styleId="772">
    <w:name w:val="5"/>
    <w:basedOn w:val="1"/>
    <w:next w:val="23"/>
    <w:qFormat/>
    <w:uiPriority w:val="0"/>
    <w:pPr>
      <w:ind w:firstLine="420" w:firstLineChars="200"/>
    </w:pPr>
    <w:rPr>
      <w:rFonts w:ascii="Times New Roman" w:hAnsi="Times New Roman" w:eastAsia="宋体" w:cs="Times New Roman"/>
      <w:sz w:val="24"/>
    </w:rPr>
  </w:style>
  <w:style w:type="paragraph" w:customStyle="1" w:styleId="773">
    <w:name w:val="表格文字居中"/>
    <w:qFormat/>
    <w:uiPriority w:val="0"/>
    <w:pPr>
      <w:widowControl w:val="0"/>
      <w:adjustRightInd w:val="0"/>
      <w:snapToGrid w:val="0"/>
      <w:jc w:val="center"/>
    </w:pPr>
    <w:rPr>
      <w:rFonts w:ascii="Times New Roman" w:hAnsi="Times New Roman" w:eastAsia="宋体" w:cs="Times New Roman"/>
      <w:color w:val="FF0000"/>
      <w:kern w:val="2"/>
      <w:sz w:val="21"/>
      <w:lang w:val="en-US" w:eastAsia="zh-CN" w:bidi="ar-SA"/>
    </w:rPr>
  </w:style>
  <w:style w:type="paragraph" w:customStyle="1" w:styleId="774">
    <w:name w:val="简单回函地址"/>
    <w:basedOn w:val="1"/>
    <w:qFormat/>
    <w:uiPriority w:val="0"/>
    <w:pPr>
      <w:spacing w:line="240" w:lineRule="auto"/>
    </w:pPr>
    <w:rPr>
      <w:rFonts w:ascii="Times New Roman" w:hAnsi="Times New Roman" w:eastAsia="宋体" w:cs="Times New Roman"/>
      <w:szCs w:val="20"/>
    </w:rPr>
  </w:style>
  <w:style w:type="paragraph" w:customStyle="1" w:styleId="775">
    <w:name w:val="p0"/>
    <w:basedOn w:val="1"/>
    <w:qFormat/>
    <w:uiPriority w:val="0"/>
    <w:pPr>
      <w:widowControl/>
      <w:spacing w:line="240" w:lineRule="auto"/>
    </w:pPr>
    <w:rPr>
      <w:rFonts w:ascii="Times New Roman" w:hAnsi="Times New Roman" w:eastAsia="宋体" w:cs="Times New Roman"/>
      <w:kern w:val="0"/>
    </w:rPr>
  </w:style>
  <w:style w:type="paragraph" w:customStyle="1" w:styleId="776">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777">
    <w:name w:val="XCHG论文节"/>
    <w:basedOn w:val="1"/>
    <w:qFormat/>
    <w:uiPriority w:val="0"/>
    <w:pPr>
      <w:tabs>
        <w:tab w:val="left" w:pos="750"/>
      </w:tabs>
      <w:spacing w:beforeLines="100" w:afterLines="100" w:line="240" w:lineRule="auto"/>
    </w:pPr>
    <w:rPr>
      <w:rFonts w:ascii="方正姚体" w:hAnsi="Times New Roman" w:eastAsia="方正姚体" w:cs="Times New Roman"/>
      <w:b/>
      <w:sz w:val="36"/>
      <w:szCs w:val="20"/>
    </w:rPr>
  </w:style>
  <w:style w:type="paragraph" w:customStyle="1" w:styleId="778">
    <w:name w:val="p15"/>
    <w:basedOn w:val="1"/>
    <w:qFormat/>
    <w:uiPriority w:val="0"/>
    <w:pPr>
      <w:widowControl/>
      <w:ind w:firstLine="420"/>
    </w:pPr>
    <w:rPr>
      <w:rFonts w:ascii="宋体" w:hAnsi="宋体" w:eastAsia="宋体" w:cs="宋体"/>
      <w:spacing w:val="-2"/>
      <w:kern w:val="0"/>
      <w:sz w:val="24"/>
      <w:szCs w:val="24"/>
    </w:rPr>
  </w:style>
  <w:style w:type="paragraph" w:customStyle="1" w:styleId="779">
    <w:name w:val="列表延续 5"/>
    <w:basedOn w:val="1"/>
    <w:qFormat/>
    <w:uiPriority w:val="0"/>
    <w:pPr>
      <w:autoSpaceDE w:val="0"/>
      <w:autoSpaceDN w:val="0"/>
      <w:adjustRightInd w:val="0"/>
      <w:spacing w:after="120" w:line="400" w:lineRule="exact"/>
      <w:ind w:left="1260"/>
      <w:jc w:val="left"/>
    </w:pPr>
    <w:rPr>
      <w:rFonts w:ascii="宋体" w:hAnsi="Tms Rmn" w:eastAsia="宋体" w:cs="Times New Roman"/>
      <w:spacing w:val="-5"/>
      <w:kern w:val="0"/>
      <w:sz w:val="26"/>
      <w:szCs w:val="20"/>
    </w:rPr>
  </w:style>
  <w:style w:type="paragraph" w:customStyle="1" w:styleId="780">
    <w:name w:val="正文缩进（自定义） Char Char"/>
    <w:basedOn w:val="1"/>
    <w:qFormat/>
    <w:uiPriority w:val="0"/>
    <w:pPr>
      <w:spacing w:before="120" w:after="120"/>
      <w:ind w:firstLine="480" w:firstLineChars="200"/>
    </w:pPr>
    <w:rPr>
      <w:rFonts w:ascii="Century Gothic" w:hAnsi="Century Gothic" w:eastAsia="宋体" w:cs="Times New Roman"/>
      <w:kern w:val="0"/>
      <w:sz w:val="24"/>
      <w:szCs w:val="20"/>
    </w:rPr>
  </w:style>
  <w:style w:type="paragraph" w:customStyle="1" w:styleId="781">
    <w:name w:val="Char Char Char Char Char Char1 Char1"/>
    <w:basedOn w:val="1"/>
    <w:qFormat/>
    <w:uiPriority w:val="0"/>
    <w:pPr>
      <w:ind w:firstLine="200" w:firstLineChars="200"/>
    </w:pPr>
    <w:rPr>
      <w:rFonts w:ascii="宋体" w:hAnsi="宋体" w:eastAsia="宋体" w:cs="宋体"/>
      <w:sz w:val="24"/>
      <w:szCs w:val="24"/>
    </w:rPr>
  </w:style>
  <w:style w:type="paragraph" w:customStyle="1" w:styleId="782">
    <w:name w:val="样式 标题3"/>
    <w:basedOn w:val="7"/>
    <w:qFormat/>
    <w:uiPriority w:val="0"/>
    <w:pPr>
      <w:numPr>
        <w:ilvl w:val="0"/>
        <w:numId w:val="0"/>
      </w:numPr>
      <w:spacing w:beforeLines="50" w:afterLines="50" w:line="360" w:lineRule="auto"/>
      <w:ind w:firstLine="200"/>
    </w:pPr>
    <w:rPr>
      <w:rFonts w:ascii="宋体" w:hAnsi="宋体" w:eastAsia="宋体" w:cs="宋体"/>
      <w:sz w:val="28"/>
      <w:szCs w:val="24"/>
    </w:rPr>
  </w:style>
  <w:style w:type="paragraph" w:customStyle="1" w:styleId="783">
    <w:name w:val="font9"/>
    <w:basedOn w:val="1"/>
    <w:qFormat/>
    <w:uiPriority w:val="0"/>
    <w:pPr>
      <w:widowControl/>
      <w:spacing w:before="100" w:beforeAutospacing="1" w:after="100" w:afterAutospacing="1" w:line="240" w:lineRule="auto"/>
      <w:jc w:val="left"/>
    </w:pPr>
    <w:rPr>
      <w:rFonts w:ascii="Times New Roman" w:hAnsi="Times New Roman" w:eastAsia="Arial Unicode MS" w:cs="Times New Roman"/>
      <w:kern w:val="0"/>
      <w:sz w:val="15"/>
      <w:szCs w:val="15"/>
    </w:rPr>
  </w:style>
  <w:style w:type="paragraph" w:customStyle="1" w:styleId="784">
    <w:name w:val="样式 报告书正文 + 小四 首行缩进:  2 字符"/>
    <w:basedOn w:val="1"/>
    <w:qFormat/>
    <w:uiPriority w:val="0"/>
    <w:pPr>
      <w:spacing w:line="440" w:lineRule="exact"/>
      <w:ind w:firstLine="200" w:firstLineChars="200"/>
    </w:pPr>
    <w:rPr>
      <w:rFonts w:ascii="Times New Roman" w:hAnsi="Times New Roman" w:eastAsia="宋体" w:cs="宋体"/>
      <w:sz w:val="24"/>
      <w:szCs w:val="24"/>
    </w:rPr>
  </w:style>
  <w:style w:type="paragraph" w:customStyle="1" w:styleId="785">
    <w:name w:val="表格1"/>
    <w:basedOn w:val="1"/>
    <w:qFormat/>
    <w:uiPriority w:val="0"/>
    <w:pPr>
      <w:adjustRightInd w:val="0"/>
      <w:spacing w:line="240" w:lineRule="auto"/>
      <w:jc w:val="center"/>
      <w:textAlignment w:val="baseline"/>
    </w:pPr>
    <w:rPr>
      <w:rFonts w:ascii="CG Times (WN)" w:hAnsi="Times New Roman" w:eastAsia="宋体" w:cs="Times New Roman"/>
      <w:kern w:val="0"/>
      <w:szCs w:val="20"/>
    </w:rPr>
  </w:style>
  <w:style w:type="paragraph" w:customStyle="1" w:styleId="786">
    <w:name w:val="正文 + 四号"/>
    <w:basedOn w:val="23"/>
    <w:qFormat/>
    <w:uiPriority w:val="0"/>
    <w:pPr>
      <w:spacing w:line="240" w:lineRule="auto"/>
      <w:ind w:firstLine="560"/>
    </w:pPr>
    <w:rPr>
      <w:kern w:val="0"/>
      <w:sz w:val="28"/>
      <w:szCs w:val="28"/>
    </w:rPr>
  </w:style>
  <w:style w:type="paragraph" w:customStyle="1" w:styleId="787">
    <w:name w:val="xl38"/>
    <w:basedOn w:val="1"/>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788">
    <w:name w:val="Char Char Char Char Char Char"/>
    <w:basedOn w:val="1"/>
    <w:qFormat/>
    <w:uiPriority w:val="0"/>
    <w:pPr>
      <w:ind w:firstLine="200" w:firstLineChars="200"/>
    </w:pPr>
    <w:rPr>
      <w:rFonts w:ascii="宋体" w:hAnsi="宋体" w:eastAsia="宋体" w:cs="宋体"/>
      <w:sz w:val="24"/>
      <w:szCs w:val="24"/>
    </w:rPr>
  </w:style>
  <w:style w:type="paragraph" w:customStyle="1" w:styleId="789">
    <w:name w:val="样式10"/>
    <w:basedOn w:val="753"/>
    <w:qFormat/>
    <w:uiPriority w:val="0"/>
    <w:pPr>
      <w:ind w:firstLine="0" w:firstLineChars="0"/>
      <w:jc w:val="center"/>
    </w:pPr>
    <w:rPr>
      <w:sz w:val="21"/>
      <w:szCs w:val="21"/>
    </w:rPr>
  </w:style>
  <w:style w:type="paragraph" w:customStyle="1" w:styleId="790">
    <w:name w:val="XCHG论文正文"/>
    <w:basedOn w:val="1"/>
    <w:qFormat/>
    <w:uiPriority w:val="0"/>
    <w:pPr>
      <w:spacing w:line="288" w:lineRule="auto"/>
      <w:ind w:firstLine="480" w:firstLineChars="200"/>
    </w:pPr>
    <w:rPr>
      <w:rFonts w:ascii="Times New Roman" w:hAnsi="Times New Roman" w:eastAsia="宋体" w:cs="Times New Roman"/>
      <w:color w:val="000000"/>
      <w:sz w:val="24"/>
      <w:szCs w:val="24"/>
    </w:rPr>
  </w:style>
  <w:style w:type="paragraph" w:customStyle="1" w:styleId="791">
    <w:name w:val="样式 标题 1章章标题一、1.标题 1PAGE HEADINGh1headingHeader 1st Page...2"/>
    <w:basedOn w:val="5"/>
    <w:qFormat/>
    <w:uiPriority w:val="0"/>
    <w:pPr>
      <w:numPr>
        <w:numId w:val="0"/>
      </w:numPr>
      <w:spacing w:before="0" w:after="0" w:line="240" w:lineRule="exact"/>
    </w:pPr>
    <w:rPr>
      <w:rFonts w:eastAsia="宋体" w:cs="Times New Roman"/>
      <w:b w:val="0"/>
      <w:sz w:val="21"/>
      <w:szCs w:val="21"/>
    </w:rPr>
  </w:style>
  <w:style w:type="paragraph" w:customStyle="1" w:styleId="792">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793">
    <w:name w:val="日期1"/>
    <w:basedOn w:val="1"/>
    <w:next w:val="1"/>
    <w:qFormat/>
    <w:uiPriority w:val="0"/>
    <w:pPr>
      <w:adjustRightInd w:val="0"/>
      <w:spacing w:line="240" w:lineRule="auto"/>
      <w:textAlignment w:val="baseline"/>
    </w:pPr>
    <w:rPr>
      <w:rFonts w:ascii="Times New Roman" w:hAnsi="Times New Roman" w:eastAsia="宋体" w:cs="Times New Roman"/>
      <w:snapToGrid w:val="0"/>
      <w:sz w:val="24"/>
      <w:szCs w:val="20"/>
    </w:rPr>
  </w:style>
  <w:style w:type="paragraph" w:customStyle="1" w:styleId="794">
    <w:name w:val="正文文字2"/>
    <w:link w:val="795"/>
    <w:qFormat/>
    <w:uiPriority w:val="0"/>
    <w:pPr>
      <w:adjustRightInd w:val="0"/>
      <w:snapToGrid w:val="0"/>
      <w:jc w:val="center"/>
    </w:pPr>
    <w:rPr>
      <w:rFonts w:ascii="Times New Roman" w:hAnsi="Times New Roman" w:eastAsia="黑体" w:cs="Times New Roman"/>
      <w:snapToGrid w:val="0"/>
      <w:kern w:val="2"/>
      <w:sz w:val="30"/>
      <w:szCs w:val="30"/>
      <w:lang w:val="en-US" w:eastAsia="zh-CN" w:bidi="ar-SA"/>
    </w:rPr>
  </w:style>
  <w:style w:type="character" w:customStyle="1" w:styleId="795">
    <w:name w:val="正文文字2 Char Char"/>
    <w:link w:val="794"/>
    <w:qFormat/>
    <w:uiPriority w:val="0"/>
    <w:rPr>
      <w:rFonts w:ascii="Times New Roman" w:hAnsi="Times New Roman" w:eastAsia="黑体" w:cs="Times New Roman"/>
      <w:snapToGrid w:val="0"/>
      <w:sz w:val="30"/>
      <w:szCs w:val="30"/>
    </w:rPr>
  </w:style>
  <w:style w:type="paragraph" w:customStyle="1" w:styleId="796">
    <w:name w:val="Char Char Char Char Char Char Char Char Char Char Char Char Char Char Char Char Char Char"/>
    <w:basedOn w:val="1"/>
    <w:qFormat/>
    <w:uiPriority w:val="0"/>
    <w:pPr>
      <w:spacing w:line="240" w:lineRule="auto"/>
    </w:pPr>
    <w:rPr>
      <w:rFonts w:ascii="宋体" w:hAnsi="Times New Roman" w:eastAsia="宋体" w:cs="Times New Roman"/>
      <w:sz w:val="24"/>
      <w:szCs w:val="20"/>
    </w:rPr>
  </w:style>
  <w:style w:type="paragraph" w:customStyle="1" w:styleId="797">
    <w:name w:val="Char Char4 Char Char Char Char1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30"/>
      <w:lang w:eastAsia="en-US"/>
    </w:rPr>
  </w:style>
  <w:style w:type="paragraph" w:customStyle="1" w:styleId="798">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Times New Roman"/>
      <w:color w:val="FF00FF"/>
      <w:kern w:val="0"/>
      <w:sz w:val="20"/>
      <w:szCs w:val="20"/>
    </w:rPr>
  </w:style>
  <w:style w:type="paragraph" w:customStyle="1" w:styleId="799">
    <w:name w:val="报告正文"/>
    <w:basedOn w:val="23"/>
    <w:qFormat/>
    <w:uiPriority w:val="0"/>
    <w:pPr>
      <w:spacing w:line="460" w:lineRule="exact"/>
      <w:ind w:firstLine="200"/>
    </w:pPr>
    <w:rPr>
      <w:szCs w:val="20"/>
    </w:rPr>
  </w:style>
  <w:style w:type="paragraph" w:customStyle="1" w:styleId="800">
    <w:name w:val="Char Char Char Char Char Char Char Char Char Char Char Char Char Char Char Char Char Char1 Char Char Char Char"/>
    <w:basedOn w:val="1"/>
    <w:qFormat/>
    <w:uiPriority w:val="0"/>
    <w:pPr>
      <w:spacing w:line="240" w:lineRule="auto"/>
    </w:pPr>
    <w:rPr>
      <w:rFonts w:ascii="Times New Roman" w:hAnsi="Times New Roman" w:eastAsia="宋体" w:cs="Times New Roman"/>
      <w:szCs w:val="24"/>
    </w:rPr>
  </w:style>
  <w:style w:type="paragraph" w:customStyle="1" w:styleId="801">
    <w:name w:val="xl59"/>
    <w:basedOn w:val="1"/>
    <w:qFormat/>
    <w:uiPriority w:val="0"/>
    <w:pPr>
      <w:widowControl/>
      <w:pBdr>
        <w:bottom w:val="single" w:color="auto" w:sz="8" w:space="0"/>
      </w:pBdr>
      <w:spacing w:before="100" w:beforeAutospacing="1" w:after="100" w:afterAutospacing="1" w:line="240" w:lineRule="auto"/>
      <w:jc w:val="center"/>
    </w:pPr>
    <w:rPr>
      <w:rFonts w:ascii="Times New Roman" w:hAnsi="Times New Roman" w:eastAsia="Arial Unicode MS" w:cs="Times New Roman"/>
      <w:kern w:val="0"/>
    </w:rPr>
  </w:style>
  <w:style w:type="paragraph" w:customStyle="1" w:styleId="802">
    <w:name w:val="xl65"/>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top"/>
    </w:pPr>
    <w:rPr>
      <w:rFonts w:ascii="Arial Unicode MS" w:hAnsi="Arial Unicode MS" w:eastAsia="Arial Unicode MS" w:cs="Arial Unicode MS"/>
      <w:kern w:val="0"/>
      <w:sz w:val="18"/>
      <w:szCs w:val="18"/>
    </w:rPr>
  </w:style>
  <w:style w:type="paragraph" w:customStyle="1" w:styleId="803">
    <w:name w:val="表格内容 Char Char"/>
    <w:basedOn w:val="1"/>
    <w:qFormat/>
    <w:uiPriority w:val="0"/>
    <w:pPr>
      <w:tabs>
        <w:tab w:val="left" w:pos="1535"/>
        <w:tab w:val="left" w:pos="3105"/>
        <w:tab w:val="left" w:pos="4676"/>
        <w:tab w:val="left" w:pos="6247"/>
        <w:tab w:val="left" w:pos="7740"/>
        <w:tab w:val="left" w:pos="9288"/>
      </w:tabs>
      <w:adjustRightInd w:val="0"/>
      <w:snapToGrid w:val="0"/>
      <w:spacing w:line="240" w:lineRule="exact"/>
      <w:jc w:val="center"/>
      <w:textAlignment w:val="baseline"/>
    </w:pPr>
    <w:rPr>
      <w:rFonts w:ascii="Times New Roman" w:hAnsi="Times New Roman" w:eastAsia="宋体" w:cs="Times New Roman"/>
      <w:color w:val="000000"/>
      <w:szCs w:val="16"/>
    </w:rPr>
  </w:style>
  <w:style w:type="paragraph" w:customStyle="1" w:styleId="804">
    <w:name w:val="样式 标题 3 + 段前: 0.5 行 段后: 0.5 行1"/>
    <w:basedOn w:val="7"/>
    <w:qFormat/>
    <w:uiPriority w:val="0"/>
    <w:pPr>
      <w:numPr>
        <w:ilvl w:val="0"/>
        <w:numId w:val="0"/>
      </w:numPr>
      <w:spacing w:before="0" w:after="0" w:line="440" w:lineRule="exact"/>
      <w:jc w:val="both"/>
    </w:pPr>
    <w:rPr>
      <w:rFonts w:eastAsia="华文中宋" w:cs="宋体"/>
      <w:sz w:val="28"/>
      <w:szCs w:val="20"/>
    </w:rPr>
  </w:style>
  <w:style w:type="paragraph" w:customStyle="1" w:styleId="805">
    <w:name w:val="xl23"/>
    <w:basedOn w:val="1"/>
    <w:qFormat/>
    <w:uiPriority w:val="0"/>
    <w:pPr>
      <w:widowControl/>
      <w:pBdr>
        <w:bottom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806">
    <w:name w:val="三级标题 Char"/>
    <w:basedOn w:val="1"/>
    <w:qFormat/>
    <w:uiPriority w:val="0"/>
    <w:pPr>
      <w:tabs>
        <w:tab w:val="left" w:pos="709"/>
      </w:tabs>
      <w:adjustRightInd w:val="0"/>
      <w:snapToGrid w:val="0"/>
      <w:spacing w:before="120" w:after="120" w:line="300" w:lineRule="auto"/>
      <w:ind w:left="709" w:hanging="709"/>
      <w:jc w:val="left"/>
      <w:outlineLvl w:val="2"/>
    </w:pPr>
    <w:rPr>
      <w:rFonts w:ascii="Times New Roman" w:hAnsi="Times New Roman" w:eastAsia="黑体" w:cs="Times New Roman"/>
      <w:sz w:val="28"/>
      <w:szCs w:val="20"/>
    </w:rPr>
  </w:style>
  <w:style w:type="paragraph" w:customStyle="1" w:styleId="807">
    <w:name w:val="样式 样式5 + 黑色"/>
    <w:basedOn w:val="1"/>
    <w:qFormat/>
    <w:uiPriority w:val="0"/>
    <w:pPr>
      <w:spacing w:line="240" w:lineRule="auto"/>
      <w:ind w:firstLine="420" w:firstLineChars="200"/>
    </w:pPr>
    <w:rPr>
      <w:rFonts w:ascii="Times New Roman" w:hAnsi="Times New Roman" w:eastAsia="华文中宋" w:cs="Times New Roman"/>
      <w:color w:val="000000"/>
    </w:rPr>
  </w:style>
  <w:style w:type="paragraph" w:customStyle="1" w:styleId="808">
    <w:name w:val="批注文字（西藏格式）"/>
    <w:basedOn w:val="30"/>
    <w:qFormat/>
    <w:uiPriority w:val="0"/>
    <w:pPr>
      <w:adjustRightInd w:val="0"/>
      <w:snapToGrid w:val="0"/>
      <w:spacing w:before="120" w:line="400" w:lineRule="exact"/>
      <w:ind w:left="1248" w:right="284" w:hanging="964" w:firstLineChars="0"/>
      <w:jc w:val="both"/>
    </w:pPr>
    <w:rPr>
      <w:rFonts w:ascii="Calibri" w:hAnsi="Calibri"/>
      <w:snapToGrid w:val="0"/>
      <w:kern w:val="0"/>
      <w:szCs w:val="21"/>
    </w:rPr>
  </w:style>
  <w:style w:type="paragraph" w:customStyle="1" w:styleId="809">
    <w:name w:val="样式 样式 表文 + 左 段后: 6 磅 + 段后: 6 磅"/>
    <w:basedOn w:val="1"/>
    <w:qFormat/>
    <w:uiPriority w:val="0"/>
    <w:pPr>
      <w:overflowPunct w:val="0"/>
      <w:topLinePunct/>
      <w:spacing w:line="320" w:lineRule="exact"/>
      <w:jc w:val="left"/>
      <w:outlineLvl w:val="6"/>
    </w:pPr>
    <w:rPr>
      <w:rFonts w:ascii="Times New Roman" w:hAnsi="Times New Roman" w:eastAsia="宋体" w:cs="宋体"/>
      <w:sz w:val="18"/>
      <w:szCs w:val="20"/>
    </w:rPr>
  </w:style>
  <w:style w:type="paragraph" w:customStyle="1" w:styleId="810">
    <w:name w:val="样式16"/>
    <w:basedOn w:val="811"/>
    <w:qFormat/>
    <w:uiPriority w:val="0"/>
    <w:pPr>
      <w:spacing w:line="280" w:lineRule="exact"/>
    </w:pPr>
  </w:style>
  <w:style w:type="paragraph" w:customStyle="1" w:styleId="811">
    <w:name w:val="样式 样式8 + 左  -0.5 字符 右  -0.5 字符"/>
    <w:basedOn w:val="641"/>
    <w:qFormat/>
    <w:uiPriority w:val="0"/>
    <w:pPr>
      <w:spacing w:line="320" w:lineRule="exact"/>
      <w:ind w:left="-120" w:leftChars="-50" w:right="-120" w:rightChars="-50"/>
      <w:jc w:val="center"/>
    </w:pPr>
    <w:rPr>
      <w:rFonts w:ascii="Times New Roman" w:hAnsi="Times New Roman" w:eastAsia="华文中宋" w:cs="Times New Roman"/>
      <w:color w:val="000000"/>
      <w:kern w:val="0"/>
      <w:szCs w:val="21"/>
    </w:rPr>
  </w:style>
  <w:style w:type="paragraph" w:customStyle="1" w:styleId="812">
    <w:name w:val="Char Char Char2"/>
    <w:basedOn w:val="1"/>
    <w:qFormat/>
    <w:uiPriority w:val="0"/>
    <w:pPr>
      <w:spacing w:line="240" w:lineRule="auto"/>
    </w:pPr>
    <w:rPr>
      <w:rFonts w:ascii="宋体" w:hAnsi="Times New Roman" w:eastAsia="宋体" w:cs="Times New Roman"/>
      <w:szCs w:val="20"/>
    </w:rPr>
  </w:style>
  <w:style w:type="paragraph" w:customStyle="1" w:styleId="813">
    <w:name w:val="样式47"/>
    <w:basedOn w:val="1"/>
    <w:qFormat/>
    <w:uiPriority w:val="0"/>
    <w:pPr>
      <w:spacing w:line="240" w:lineRule="auto"/>
      <w:ind w:firstLine="420" w:firstLineChars="200"/>
    </w:pPr>
    <w:rPr>
      <w:rFonts w:ascii="Times New Roman" w:hAnsi="Times New Roman" w:eastAsia="华文中宋" w:cs="Times New Roman"/>
      <w:color w:val="000000"/>
      <w:szCs w:val="24"/>
    </w:rPr>
  </w:style>
  <w:style w:type="paragraph" w:customStyle="1" w:styleId="814">
    <w:name w:val="目录7～8（西藏样式）"/>
    <w:basedOn w:val="815"/>
    <w:qFormat/>
    <w:uiPriority w:val="0"/>
    <w:pPr>
      <w:ind w:left="731" w:hanging="731"/>
    </w:pPr>
  </w:style>
  <w:style w:type="paragraph" w:customStyle="1" w:styleId="815">
    <w:name w:val="目录4（西藏格式）"/>
    <w:basedOn w:val="62"/>
    <w:qFormat/>
    <w:uiPriority w:val="0"/>
    <w:pPr>
      <w:adjustRightInd w:val="0"/>
      <w:snapToGrid w:val="0"/>
      <w:ind w:left="720"/>
    </w:pPr>
    <w:rPr>
      <w:rFonts w:ascii="Calibri" w:hAnsi="Calibri" w:cs="Calibri"/>
      <w:snapToGrid w:val="0"/>
    </w:rPr>
  </w:style>
  <w:style w:type="paragraph" w:customStyle="1" w:styleId="816">
    <w:name w:val="xl47"/>
    <w:basedOn w:val="1"/>
    <w:qFormat/>
    <w:uiPriority w:val="0"/>
    <w:pPr>
      <w:widowControl/>
      <w:pBdr>
        <w:lef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17">
    <w:name w:val="表5号字"/>
    <w:qFormat/>
    <w:uiPriority w:val="0"/>
    <w:pPr>
      <w:keepNext/>
      <w:widowControl w:val="0"/>
      <w:adjustRightInd w:val="0"/>
      <w:spacing w:before="120" w:after="120" w:line="60" w:lineRule="atLeast"/>
      <w:jc w:val="center"/>
      <w:textAlignment w:val="baseline"/>
    </w:pPr>
    <w:rPr>
      <w:rFonts w:ascii="Times New Roman" w:hAnsi="Times New Roman" w:eastAsia="宋体" w:cs="Times New Roman"/>
      <w:sz w:val="21"/>
      <w:lang w:val="en-US" w:eastAsia="zh-CN" w:bidi="ar-SA"/>
    </w:rPr>
  </w:style>
  <w:style w:type="paragraph" w:customStyle="1" w:styleId="818">
    <w:name w:val="目录2"/>
    <w:basedOn w:val="1"/>
    <w:next w:val="1"/>
    <w:qFormat/>
    <w:uiPriority w:val="0"/>
    <w:pPr>
      <w:widowControl/>
      <w:tabs>
        <w:tab w:val="left" w:leader="dot" w:pos="8503"/>
      </w:tabs>
      <w:adjustRightInd w:val="0"/>
      <w:snapToGrid w:val="0"/>
      <w:spacing w:line="317" w:lineRule="atLeast"/>
      <w:ind w:left="419" w:firstLine="419" w:firstLineChars="200"/>
      <w:textAlignment w:val="baseline"/>
    </w:pPr>
    <w:rPr>
      <w:rFonts w:ascii="Times New Roman" w:hAnsi="Times New Roman" w:eastAsia="宋体" w:cs="Times New Roman"/>
      <w:snapToGrid w:val="0"/>
      <w:color w:val="000000"/>
      <w:kern w:val="0"/>
      <w:sz w:val="24"/>
      <w:szCs w:val="24"/>
      <w:u w:color="000000"/>
    </w:rPr>
  </w:style>
  <w:style w:type="paragraph" w:customStyle="1" w:styleId="819">
    <w:name w:val="正文文本缩进 31"/>
    <w:basedOn w:val="1"/>
    <w:qFormat/>
    <w:uiPriority w:val="0"/>
    <w:pPr>
      <w:adjustRightInd w:val="0"/>
      <w:spacing w:line="300" w:lineRule="auto"/>
      <w:ind w:firstLine="691"/>
      <w:textAlignment w:val="baseline"/>
    </w:pPr>
    <w:rPr>
      <w:rFonts w:ascii="宋体" w:hAnsi="Times New Roman" w:eastAsia="宋体" w:cs="Times New Roman"/>
      <w:kern w:val="0"/>
      <w:sz w:val="28"/>
      <w:szCs w:val="20"/>
    </w:rPr>
  </w:style>
  <w:style w:type="paragraph" w:customStyle="1" w:styleId="820">
    <w:name w:val="文"/>
    <w:basedOn w:val="1"/>
    <w:qFormat/>
    <w:uiPriority w:val="0"/>
    <w:pPr>
      <w:autoSpaceDE w:val="0"/>
      <w:autoSpaceDN w:val="0"/>
      <w:adjustRightInd w:val="0"/>
      <w:snapToGrid w:val="0"/>
      <w:spacing w:line="447" w:lineRule="atLeast"/>
      <w:ind w:firstLine="419" w:firstLineChars="200"/>
    </w:pPr>
    <w:rPr>
      <w:rFonts w:ascii="Times New Roman" w:hAnsi="Times New Roman" w:eastAsia="宋体" w:cs="Times New Roman"/>
      <w:snapToGrid w:val="0"/>
      <w:color w:val="000000"/>
      <w:kern w:val="0"/>
      <w:sz w:val="24"/>
      <w:szCs w:val="24"/>
      <w:lang w:val="zh-CN"/>
    </w:rPr>
  </w:style>
  <w:style w:type="paragraph" w:customStyle="1" w:styleId="821">
    <w:name w:val="样式 标题 2节 + 左 行距: 单倍行距"/>
    <w:basedOn w:val="6"/>
    <w:qFormat/>
    <w:uiPriority w:val="0"/>
    <w:pPr>
      <w:widowControl/>
      <w:numPr>
        <w:ilvl w:val="0"/>
        <w:numId w:val="0"/>
      </w:numPr>
      <w:tabs>
        <w:tab w:val="left" w:pos="576"/>
      </w:tabs>
      <w:autoSpaceDE w:val="0"/>
      <w:autoSpaceDN w:val="0"/>
      <w:spacing w:before="120" w:after="120" w:line="360" w:lineRule="exact"/>
      <w:ind w:left="576" w:hanging="576"/>
      <w:textAlignment w:val="bottom"/>
    </w:pPr>
    <w:rPr>
      <w:rFonts w:ascii="Arial" w:hAnsi="Arial" w:eastAsia="黑体" w:cs="宋体"/>
      <w:b w:val="0"/>
      <w:bCs w:val="0"/>
      <w:kern w:val="0"/>
      <w:szCs w:val="28"/>
    </w:rPr>
  </w:style>
  <w:style w:type="paragraph" w:customStyle="1" w:styleId="822">
    <w:name w:val="签名（西藏格式）"/>
    <w:basedOn w:val="59"/>
    <w:qFormat/>
    <w:uiPriority w:val="0"/>
    <w:pPr>
      <w:adjustRightInd w:val="0"/>
      <w:snapToGrid w:val="0"/>
      <w:spacing w:line="400" w:lineRule="exact"/>
      <w:ind w:left="3969" w:leftChars="0"/>
      <w:jc w:val="center"/>
    </w:pPr>
    <w:rPr>
      <w:snapToGrid w:val="0"/>
      <w:sz w:val="24"/>
    </w:rPr>
  </w:style>
  <w:style w:type="paragraph" w:customStyle="1" w:styleId="823">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Times New Roman" w:hAnsi="Times New Roman" w:eastAsia="宋体" w:cs="Times New Roman"/>
      <w:sz w:val="32"/>
      <w:szCs w:val="20"/>
    </w:rPr>
  </w:style>
  <w:style w:type="paragraph" w:customStyle="1" w:styleId="824">
    <w:name w:val="样式25"/>
    <w:basedOn w:val="1"/>
    <w:qFormat/>
    <w:uiPriority w:val="0"/>
    <w:pPr>
      <w:adjustRightInd w:val="0"/>
      <w:spacing w:line="460" w:lineRule="exact"/>
      <w:ind w:firstLine="480" w:firstLineChars="200"/>
      <w:textAlignment w:val="baseline"/>
    </w:pPr>
    <w:rPr>
      <w:rFonts w:ascii="Times New Roman" w:hAnsi="Times New Roman" w:eastAsia="宋体" w:cs="Times New Roman"/>
      <w:color w:val="000000"/>
      <w:sz w:val="24"/>
      <w:szCs w:val="20"/>
    </w:rPr>
  </w:style>
  <w:style w:type="paragraph" w:customStyle="1" w:styleId="825">
    <w:name w:val="样式 样式6 + 黑色"/>
    <w:basedOn w:val="625"/>
    <w:qFormat/>
    <w:uiPriority w:val="0"/>
    <w:pPr>
      <w:widowControl/>
      <w:spacing w:line="300" w:lineRule="exact"/>
      <w:ind w:left="-120" w:leftChars="-50" w:right="-120" w:rightChars="-50"/>
    </w:pPr>
    <w:rPr>
      <w:rFonts w:eastAsia="华文中宋"/>
      <w:color w:val="000000"/>
      <w:sz w:val="21"/>
      <w:szCs w:val="21"/>
    </w:rPr>
  </w:style>
  <w:style w:type="paragraph" w:customStyle="1" w:styleId="826">
    <w:name w:val="Char Char Char Char Char Char Char"/>
    <w:basedOn w:val="1"/>
    <w:qFormat/>
    <w:uiPriority w:val="0"/>
    <w:pPr>
      <w:spacing w:line="240" w:lineRule="auto"/>
    </w:pPr>
    <w:rPr>
      <w:rFonts w:ascii="Times New Roman" w:hAnsi="Times New Roman" w:eastAsia="宋体" w:cs="Times New Roman"/>
    </w:rPr>
  </w:style>
  <w:style w:type="paragraph" w:customStyle="1" w:styleId="827">
    <w:name w:val="样式 样式 样式 标题 3标题 33 + 段前: 0.5 行 + 段前: 0.5 行 + 段前: 6 磅 段后: 0.5 行"/>
    <w:basedOn w:val="701"/>
    <w:qFormat/>
    <w:uiPriority w:val="0"/>
  </w:style>
  <w:style w:type="paragraph" w:customStyle="1" w:styleId="828">
    <w:name w:val="麦志勤正文"/>
    <w:basedOn w:val="1"/>
    <w:qFormat/>
    <w:uiPriority w:val="0"/>
    <w:pPr>
      <w:widowControl/>
      <w:adjustRightInd w:val="0"/>
      <w:snapToGrid w:val="0"/>
      <w:spacing w:beforeLines="20" w:line="300" w:lineRule="auto"/>
      <w:ind w:firstLine="200" w:firstLineChars="200"/>
    </w:pPr>
    <w:rPr>
      <w:rFonts w:ascii="宋体" w:hAnsi="宋体" w:eastAsia="宋体" w:cs="Times New Roman"/>
      <w:sz w:val="24"/>
    </w:rPr>
  </w:style>
  <w:style w:type="paragraph" w:customStyle="1" w:styleId="829">
    <w:name w:val="样式 标题 2 + 段前: 0.5 行 段后: 0.5 行1"/>
    <w:basedOn w:val="6"/>
    <w:qFormat/>
    <w:uiPriority w:val="0"/>
    <w:pPr>
      <w:numPr>
        <w:ilvl w:val="0"/>
        <w:numId w:val="0"/>
      </w:numPr>
      <w:spacing w:beforeLines="50" w:after="0" w:line="440" w:lineRule="exact"/>
      <w:jc w:val="both"/>
    </w:pPr>
    <w:rPr>
      <w:rFonts w:eastAsia="华文中宋" w:cs="宋体"/>
      <w:sz w:val="30"/>
      <w:szCs w:val="30"/>
    </w:rPr>
  </w:style>
  <w:style w:type="paragraph" w:customStyle="1" w:styleId="830">
    <w:name w:val="xl29"/>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31">
    <w:name w:val="八级标题"/>
    <w:qFormat/>
    <w:uiPriority w:val="0"/>
    <w:pPr>
      <w:adjustRightInd w:val="0"/>
      <w:snapToGrid w:val="0"/>
      <w:spacing w:after="60"/>
      <w:jc w:val="center"/>
    </w:pPr>
    <w:rPr>
      <w:rFonts w:ascii="黑体" w:hAnsi="Times New Roman" w:eastAsia="黑体" w:cs="Times New Roman"/>
      <w:snapToGrid w:val="0"/>
      <w:sz w:val="21"/>
      <w:lang w:val="en-US" w:eastAsia="zh-CN" w:bidi="ar-SA"/>
    </w:rPr>
  </w:style>
  <w:style w:type="paragraph" w:customStyle="1" w:styleId="832">
    <w:name w:val="表标题"/>
    <w:basedOn w:val="1"/>
    <w:link w:val="833"/>
    <w:qFormat/>
    <w:uiPriority w:val="0"/>
    <w:pPr>
      <w:tabs>
        <w:tab w:val="left" w:pos="3578"/>
      </w:tabs>
      <w:spacing w:beforeLines="50" w:afterLines="50" w:line="300" w:lineRule="auto"/>
      <w:ind w:left="3578" w:hanging="600"/>
      <w:jc w:val="center"/>
    </w:pPr>
    <w:rPr>
      <w:rFonts w:ascii="Arial" w:hAnsi="Arial" w:eastAsia="宋体" w:cs="Times New Roman"/>
      <w:b/>
      <w:sz w:val="24"/>
      <w:szCs w:val="20"/>
      <w:lang w:val="en-GB"/>
    </w:rPr>
  </w:style>
  <w:style w:type="character" w:customStyle="1" w:styleId="833">
    <w:name w:val="表标题 Char"/>
    <w:link w:val="832"/>
    <w:qFormat/>
    <w:uiPriority w:val="0"/>
    <w:rPr>
      <w:rFonts w:ascii="Arial" w:hAnsi="Arial" w:eastAsia="宋体" w:cs="Times New Roman"/>
      <w:b/>
      <w:sz w:val="24"/>
      <w:szCs w:val="20"/>
      <w:lang w:val="en-GB"/>
    </w:rPr>
  </w:style>
  <w:style w:type="paragraph" w:customStyle="1" w:styleId="834">
    <w:name w:val="二级标题"/>
    <w:basedOn w:val="1"/>
    <w:qFormat/>
    <w:uiPriority w:val="0"/>
    <w:pPr>
      <w:tabs>
        <w:tab w:val="left" w:pos="567"/>
      </w:tabs>
      <w:spacing w:before="240" w:after="120" w:line="300" w:lineRule="auto"/>
      <w:ind w:left="567" w:hanging="567"/>
      <w:jc w:val="left"/>
      <w:outlineLvl w:val="1"/>
    </w:pPr>
    <w:rPr>
      <w:rFonts w:ascii="Times New Roman" w:hAnsi="Times New Roman" w:eastAsia="黑体" w:cs="Times New Roman"/>
      <w:kern w:val="0"/>
      <w:sz w:val="32"/>
      <w:szCs w:val="20"/>
    </w:rPr>
  </w:style>
  <w:style w:type="paragraph" w:customStyle="1" w:styleId="835">
    <w:name w:val="样式 标题3 + 段前: 0.5 行 段后: 0.5 行"/>
    <w:basedOn w:val="203"/>
    <w:qFormat/>
    <w:uiPriority w:val="0"/>
    <w:pPr>
      <w:widowControl w:val="0"/>
      <w:overflowPunct w:val="0"/>
      <w:topLinePunct/>
      <w:spacing w:line="440" w:lineRule="exact"/>
      <w:ind w:firstLine="0" w:firstLineChars="0"/>
      <w:jc w:val="both"/>
    </w:pPr>
    <w:rPr>
      <w:rFonts w:eastAsia="华文中宋" w:cs="宋体"/>
      <w:b/>
      <w:bCs/>
      <w:color w:val="auto"/>
      <w:kern w:val="10"/>
      <w:sz w:val="28"/>
      <w:szCs w:val="20"/>
    </w:rPr>
  </w:style>
  <w:style w:type="paragraph" w:customStyle="1" w:styleId="836">
    <w:name w:val="8"/>
    <w:basedOn w:val="1"/>
    <w:next w:val="46"/>
    <w:qFormat/>
    <w:uiPriority w:val="0"/>
    <w:pPr>
      <w:spacing w:line="240" w:lineRule="auto"/>
    </w:pPr>
    <w:rPr>
      <w:rFonts w:ascii="宋体" w:hAnsi="Courier New" w:eastAsia="宋体" w:cs="Times New Roman"/>
    </w:rPr>
  </w:style>
  <w:style w:type="paragraph" w:customStyle="1" w:styleId="837">
    <w:name w:val="样式 Bt3 + 加粗"/>
    <w:basedOn w:val="7"/>
    <w:next w:val="1"/>
    <w:qFormat/>
    <w:uiPriority w:val="0"/>
    <w:pPr>
      <w:numPr>
        <w:ilvl w:val="0"/>
        <w:numId w:val="0"/>
      </w:numPr>
      <w:spacing w:before="0" w:after="0" w:line="360" w:lineRule="auto"/>
      <w:jc w:val="both"/>
    </w:pPr>
    <w:rPr>
      <w:rFonts w:eastAsia="黑体" w:cs="Times New Roman"/>
      <w:b w:val="0"/>
      <w:bCs w:val="0"/>
      <w:snapToGrid w:val="0"/>
      <w:kern w:val="0"/>
      <w:szCs w:val="20"/>
    </w:rPr>
  </w:style>
  <w:style w:type="paragraph" w:customStyle="1" w:styleId="838">
    <w:name w:val="目录4"/>
    <w:basedOn w:val="1"/>
    <w:next w:val="1"/>
    <w:qFormat/>
    <w:uiPriority w:val="0"/>
    <w:pPr>
      <w:widowControl/>
      <w:tabs>
        <w:tab w:val="left" w:leader="dot" w:pos="8503"/>
      </w:tabs>
      <w:adjustRightInd w:val="0"/>
      <w:snapToGrid w:val="0"/>
      <w:spacing w:line="240" w:lineRule="auto"/>
      <w:ind w:left="419" w:firstLine="629" w:firstLineChars="200"/>
      <w:textAlignment w:val="baseline"/>
    </w:pPr>
    <w:rPr>
      <w:rFonts w:ascii="Times New Roman" w:hAnsi="Times New Roman" w:eastAsia="宋体" w:cs="Times New Roman"/>
      <w:snapToGrid w:val="0"/>
      <w:color w:val="000000"/>
      <w:kern w:val="0"/>
      <w:sz w:val="24"/>
      <w:szCs w:val="24"/>
      <w:u w:color="000000"/>
    </w:rPr>
  </w:style>
  <w:style w:type="paragraph" w:customStyle="1" w:styleId="839">
    <w:name w:val="xl44"/>
    <w:basedOn w:val="1"/>
    <w:qFormat/>
    <w:uiPriority w:val="0"/>
    <w:pPr>
      <w:widowControl/>
      <w:pBdr>
        <w:top w:val="single" w:color="auto" w:sz="8" w:space="0"/>
        <w:left w:val="single" w:color="auto" w:sz="8"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40">
    <w:name w:val="表文1"/>
    <w:basedOn w:val="195"/>
    <w:qFormat/>
    <w:uiPriority w:val="0"/>
    <w:pPr>
      <w:widowControl w:val="0"/>
      <w:spacing w:line="360" w:lineRule="auto"/>
      <w:jc w:val="both"/>
    </w:pPr>
    <w:rPr>
      <w:rFonts w:asciiTheme="minorHAnsi" w:hAnsiTheme="minorHAnsi" w:eastAsiaTheme="minorEastAsia" w:cstheme="minorBidi"/>
      <w:szCs w:val="22"/>
    </w:rPr>
  </w:style>
  <w:style w:type="paragraph" w:customStyle="1" w:styleId="841">
    <w:name w:val="13"/>
    <w:basedOn w:val="1"/>
    <w:next w:val="23"/>
    <w:qFormat/>
    <w:uiPriority w:val="0"/>
    <w:pPr>
      <w:spacing w:line="240" w:lineRule="auto"/>
      <w:ind w:firstLine="420"/>
    </w:pPr>
    <w:rPr>
      <w:rFonts w:ascii="Times New Roman" w:hAnsi="Times New Roman" w:eastAsia="宋体" w:cs="Times New Roman"/>
      <w:szCs w:val="20"/>
    </w:rPr>
  </w:style>
  <w:style w:type="paragraph" w:customStyle="1" w:styleId="842">
    <w:name w:val="Char Char Char1 Char"/>
    <w:basedOn w:val="1"/>
    <w:qFormat/>
    <w:uiPriority w:val="99"/>
    <w:pPr>
      <w:spacing w:line="240" w:lineRule="auto"/>
    </w:pPr>
    <w:rPr>
      <w:rFonts w:ascii="Times New Roman" w:hAnsi="Times New Roman" w:eastAsia="宋体" w:cs="Times New Roman"/>
      <w:sz w:val="24"/>
      <w:szCs w:val="20"/>
    </w:rPr>
  </w:style>
  <w:style w:type="paragraph" w:customStyle="1" w:styleId="843">
    <w:name w:val="xl60"/>
    <w:basedOn w:val="1"/>
    <w:qFormat/>
    <w:uiPriority w:val="0"/>
    <w:pPr>
      <w:widowControl/>
      <w:pBdr>
        <w:top w:val="single" w:color="auto" w:sz="8" w:space="0"/>
        <w:bottom w:val="single" w:color="auto" w:sz="4" w:space="0"/>
      </w:pBdr>
      <w:spacing w:before="100" w:beforeAutospacing="1" w:after="100" w:afterAutospacing="1" w:line="240" w:lineRule="auto"/>
      <w:jc w:val="center"/>
    </w:pPr>
    <w:rPr>
      <w:rFonts w:ascii="Times New Roman" w:hAnsi="Times New Roman" w:eastAsia="Arial Unicode MS" w:cs="Times New Roman"/>
      <w:kern w:val="0"/>
    </w:rPr>
  </w:style>
  <w:style w:type="paragraph" w:customStyle="1" w:styleId="844">
    <w:name w:val="表格文字块"/>
    <w:basedOn w:val="40"/>
    <w:qFormat/>
    <w:uiPriority w:val="0"/>
    <w:pPr>
      <w:keepNext/>
      <w:snapToGrid w:val="0"/>
      <w:spacing w:after="0" w:line="240" w:lineRule="auto"/>
      <w:ind w:left="0" w:leftChars="0" w:right="0" w:rightChars="0" w:firstLine="0"/>
      <w:jc w:val="center"/>
    </w:pPr>
    <w:rPr>
      <w:rFonts w:eastAsia="楷体_GB2312"/>
      <w:snapToGrid w:val="0"/>
      <w:kern w:val="0"/>
      <w:szCs w:val="20"/>
    </w:rPr>
  </w:style>
  <w:style w:type="paragraph" w:customStyle="1" w:styleId="845">
    <w:name w:val="标准"/>
    <w:basedOn w:val="1"/>
    <w:qFormat/>
    <w:uiPriority w:val="0"/>
    <w:pPr>
      <w:tabs>
        <w:tab w:val="left" w:pos="720"/>
      </w:tabs>
      <w:adjustRightInd w:val="0"/>
      <w:spacing w:line="312" w:lineRule="atLeast"/>
      <w:textAlignment w:val="baseline"/>
    </w:pPr>
    <w:rPr>
      <w:rFonts w:ascii="Times New Roman" w:hAnsi="Times New Roman" w:eastAsia="宋体" w:cs="Times New Roman"/>
      <w:kern w:val="0"/>
      <w:szCs w:val="20"/>
    </w:rPr>
  </w:style>
  <w:style w:type="paragraph" w:customStyle="1" w:styleId="846">
    <w:name w:val="样式 标题 3 + 段前: 0.5 行 段后: 0.5 行"/>
    <w:basedOn w:val="7"/>
    <w:qFormat/>
    <w:uiPriority w:val="0"/>
    <w:pPr>
      <w:numPr>
        <w:ilvl w:val="0"/>
        <w:numId w:val="0"/>
      </w:numPr>
      <w:spacing w:beforeLines="50" w:afterLines="50" w:line="440" w:lineRule="exact"/>
      <w:jc w:val="both"/>
    </w:pPr>
    <w:rPr>
      <w:rFonts w:eastAsia="黑体" w:cs="宋体"/>
      <w:sz w:val="28"/>
      <w:szCs w:val="28"/>
    </w:rPr>
  </w:style>
  <w:style w:type="paragraph" w:customStyle="1" w:styleId="847">
    <w:name w:val="12"/>
    <w:basedOn w:val="1"/>
    <w:next w:val="46"/>
    <w:qFormat/>
    <w:uiPriority w:val="0"/>
    <w:pPr>
      <w:spacing w:line="240" w:lineRule="auto"/>
    </w:pPr>
    <w:rPr>
      <w:rFonts w:ascii="宋体" w:hAnsi="Courier New" w:eastAsia="宋体" w:cs="Times New Roman"/>
      <w:szCs w:val="20"/>
    </w:rPr>
  </w:style>
  <w:style w:type="paragraph" w:customStyle="1" w:styleId="848">
    <w:name w:val="样式 样式 标题 2 + 加粗 + 加粗"/>
    <w:basedOn w:val="1"/>
    <w:qFormat/>
    <w:uiPriority w:val="0"/>
    <w:pPr>
      <w:keepNext/>
      <w:keepLines/>
      <w:spacing w:line="240" w:lineRule="auto"/>
      <w:jc w:val="left"/>
      <w:outlineLvl w:val="1"/>
    </w:pPr>
    <w:rPr>
      <w:rFonts w:ascii="Times New Roman" w:hAnsi="Times New Roman" w:eastAsia="黑体" w:cs="Times New Roman"/>
      <w:bCs/>
      <w:sz w:val="32"/>
      <w:szCs w:val="32"/>
    </w:rPr>
  </w:style>
  <w:style w:type="paragraph" w:customStyle="1" w:styleId="849">
    <w:name w:val="xl49"/>
    <w:basedOn w:val="1"/>
    <w:qFormat/>
    <w:uiPriority w:val="0"/>
    <w:pPr>
      <w:widowControl/>
      <w:pBdr>
        <w:bottom w:val="single" w:color="auto" w:sz="4" w:space="0"/>
      </w:pBdr>
      <w:spacing w:before="100" w:beforeAutospacing="1" w:after="100" w:afterAutospacing="1" w:line="240" w:lineRule="auto"/>
      <w:jc w:val="center"/>
    </w:pPr>
    <w:rPr>
      <w:rFonts w:hint="eastAsia" w:ascii="新宋体" w:hAnsi="新宋体" w:eastAsia="新宋体" w:cs="Arial Unicode MS"/>
      <w:kern w:val="0"/>
      <w:sz w:val="15"/>
      <w:szCs w:val="15"/>
    </w:rPr>
  </w:style>
  <w:style w:type="paragraph" w:customStyle="1" w:styleId="850">
    <w:name w:val="xl64"/>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Arial Unicode MS" w:cs="Times New Roman"/>
      <w:kern w:val="0"/>
    </w:rPr>
  </w:style>
  <w:style w:type="paragraph" w:customStyle="1" w:styleId="851">
    <w:name w:val="xl66"/>
    <w:basedOn w:val="1"/>
    <w:qFormat/>
    <w:uiPriority w:val="0"/>
    <w:pPr>
      <w:widowControl/>
      <w:pBdr>
        <w:bottom w:val="single" w:color="auto" w:sz="4" w:space="0"/>
        <w:right w:val="single" w:color="auto" w:sz="4" w:space="0"/>
      </w:pBdr>
      <w:spacing w:before="100" w:beforeAutospacing="1" w:after="100" w:afterAutospacing="1" w:line="240" w:lineRule="auto"/>
      <w:textAlignment w:val="top"/>
    </w:pPr>
    <w:rPr>
      <w:rFonts w:ascii="Arial Unicode MS" w:hAnsi="Arial Unicode MS" w:eastAsia="Arial Unicode MS" w:cs="Arial Unicode MS"/>
      <w:kern w:val="0"/>
      <w:sz w:val="18"/>
      <w:szCs w:val="18"/>
    </w:rPr>
  </w:style>
  <w:style w:type="paragraph" w:customStyle="1" w:styleId="852">
    <w:name w:val="公式"/>
    <w:next w:val="1"/>
    <w:qFormat/>
    <w:uiPriority w:val="0"/>
    <w:pPr>
      <w:jc w:val="center"/>
    </w:pPr>
    <w:rPr>
      <w:rFonts w:ascii="Times New Roman" w:hAnsi="Times New Roman" w:eastAsia="宋体" w:cs="Times New Roman"/>
      <w:kern w:val="2"/>
      <w:position w:val="-24"/>
      <w:sz w:val="21"/>
      <w:lang w:val="en-US" w:eastAsia="zh-CN" w:bidi="ar-SA"/>
    </w:rPr>
  </w:style>
  <w:style w:type="paragraph" w:customStyle="1" w:styleId="853">
    <w:name w:val="样式15"/>
    <w:basedOn w:val="1"/>
    <w:qFormat/>
    <w:uiPriority w:val="0"/>
    <w:pPr>
      <w:spacing w:line="240" w:lineRule="auto"/>
      <w:ind w:firstLine="420" w:firstLineChars="200"/>
    </w:pPr>
    <w:rPr>
      <w:rFonts w:ascii="Times New Roman" w:hAnsi="Times New Roman" w:eastAsia="华文中宋" w:cs="Times New Roman"/>
      <w:kern w:val="0"/>
    </w:rPr>
  </w:style>
  <w:style w:type="paragraph" w:customStyle="1" w:styleId="854">
    <w:name w:val="样式 Bt3 + 加粗1"/>
    <w:basedOn w:val="720"/>
    <w:qFormat/>
    <w:uiPriority w:val="0"/>
  </w:style>
  <w:style w:type="paragraph" w:customStyle="1" w:styleId="855">
    <w:name w:val="样式 标题 1章章标题一、1.标题 1PAGE HEADINGh1headingHeader 1st Page...1"/>
    <w:basedOn w:val="5"/>
    <w:qFormat/>
    <w:uiPriority w:val="0"/>
    <w:pPr>
      <w:numPr>
        <w:numId w:val="0"/>
      </w:numPr>
      <w:spacing w:before="100" w:after="90"/>
      <w:jc w:val="both"/>
    </w:pPr>
    <w:rPr>
      <w:rFonts w:ascii="宋体" w:hAnsi="宋体" w:eastAsia="黑体" w:cs="Times New Roman"/>
      <w:sz w:val="44"/>
    </w:rPr>
  </w:style>
  <w:style w:type="paragraph" w:customStyle="1" w:styleId="856">
    <w:name w:val="我的正文 Char Char Char"/>
    <w:basedOn w:val="1"/>
    <w:qFormat/>
    <w:uiPriority w:val="0"/>
    <w:pPr>
      <w:ind w:firstLine="200" w:firstLineChars="200"/>
    </w:pPr>
    <w:rPr>
      <w:rFonts w:ascii="Times New Roman" w:hAnsi="Times New Roman" w:eastAsia="宋体" w:cs="Times New Roman"/>
      <w:sz w:val="24"/>
      <w:szCs w:val="24"/>
    </w:rPr>
  </w:style>
  <w:style w:type="paragraph" w:customStyle="1" w:styleId="857">
    <w:name w:val="xl31"/>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58">
    <w:name w:val="样式 表号 + 首行缩进:  2 字符"/>
    <w:basedOn w:val="645"/>
    <w:qFormat/>
    <w:uiPriority w:val="0"/>
    <w:rPr>
      <w:rFonts w:cs="宋体"/>
      <w:szCs w:val="20"/>
    </w:rPr>
  </w:style>
  <w:style w:type="paragraph" w:customStyle="1" w:styleId="859">
    <w:name w:val="南大梁1.1.1级标题"/>
    <w:basedOn w:val="1"/>
    <w:qFormat/>
    <w:uiPriority w:val="0"/>
    <w:pPr>
      <w:spacing w:before="93" w:after="93"/>
    </w:pPr>
    <w:rPr>
      <w:rFonts w:ascii="黑体" w:hAnsi="宋体" w:eastAsia="黑体" w:cs="Times New Roman"/>
      <w:sz w:val="28"/>
      <w:szCs w:val="28"/>
    </w:rPr>
  </w:style>
  <w:style w:type="paragraph" w:customStyle="1" w:styleId="860">
    <w:name w:val="样式 样式 标题 2 + 段前: 0.5 行 段后: 0.5 行 + 段前: 0.5 行 段后: 0.5 行"/>
    <w:basedOn w:val="712"/>
    <w:qFormat/>
    <w:uiPriority w:val="0"/>
    <w:pPr>
      <w:spacing w:before="50" w:after="0"/>
    </w:pPr>
    <w:rPr>
      <w:rFonts w:eastAsia="华文中宋"/>
    </w:rPr>
  </w:style>
  <w:style w:type="paragraph" w:customStyle="1" w:styleId="861">
    <w:name w:val="8.1.1b Char Char Char Char Char Char Char"/>
    <w:next w:val="1"/>
    <w:qFormat/>
    <w:uiPriority w:val="0"/>
    <w:pPr>
      <w:snapToGrid w:val="0"/>
      <w:spacing w:beforeLines="50" w:afterLines="50"/>
    </w:pPr>
    <w:rPr>
      <w:rFonts w:ascii="Times New Roman" w:hAnsi="Times New Roman" w:eastAsia="华文中宋" w:cs="Times New Roman"/>
      <w:b/>
      <w:kern w:val="2"/>
      <w:sz w:val="28"/>
      <w:szCs w:val="28"/>
      <w:lang w:val="en-US" w:eastAsia="zh-CN" w:bidi="ar-SA"/>
    </w:rPr>
  </w:style>
  <w:style w:type="paragraph" w:customStyle="1" w:styleId="862">
    <w:name w:val="正文一"/>
    <w:basedOn w:val="1"/>
    <w:qFormat/>
    <w:uiPriority w:val="0"/>
    <w:pPr>
      <w:adjustRightInd w:val="0"/>
      <w:spacing w:line="520" w:lineRule="exact"/>
      <w:ind w:firstLine="200" w:firstLineChars="200"/>
      <w:textAlignment w:val="baseline"/>
    </w:pPr>
    <w:rPr>
      <w:rFonts w:ascii="宋体" w:hAnsi="宋体" w:eastAsia="宋体" w:cs="Times New Roman"/>
      <w:kern w:val="0"/>
      <w:sz w:val="24"/>
      <w:szCs w:val="20"/>
    </w:rPr>
  </w:style>
  <w:style w:type="paragraph" w:customStyle="1" w:styleId="863">
    <w:name w:val="xl46"/>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64">
    <w:name w:val="表文字"/>
    <w:basedOn w:val="1"/>
    <w:next w:val="1"/>
    <w:link w:val="865"/>
    <w:qFormat/>
    <w:uiPriority w:val="0"/>
    <w:pPr>
      <w:adjustRightInd w:val="0"/>
      <w:spacing w:line="0" w:lineRule="atLeast"/>
      <w:ind w:firstLine="200" w:firstLineChars="200"/>
      <w:jc w:val="left"/>
    </w:pPr>
    <w:rPr>
      <w:rFonts w:ascii="宋体" w:hAnsi="宋体" w:eastAsia="宋体" w:cs="Times New Roman"/>
      <w:kern w:val="0"/>
      <w:sz w:val="18"/>
      <w:szCs w:val="20"/>
    </w:rPr>
  </w:style>
  <w:style w:type="character" w:customStyle="1" w:styleId="865">
    <w:name w:val="表文字 Char Char"/>
    <w:link w:val="864"/>
    <w:qFormat/>
    <w:uiPriority w:val="0"/>
    <w:rPr>
      <w:rFonts w:ascii="宋体" w:hAnsi="宋体" w:eastAsia="宋体" w:cs="Times New Roman"/>
      <w:kern w:val="0"/>
      <w:sz w:val="18"/>
      <w:szCs w:val="20"/>
    </w:rPr>
  </w:style>
  <w:style w:type="paragraph" w:customStyle="1" w:styleId="866">
    <w:name w:val="设计说明1"/>
    <w:basedOn w:val="1"/>
    <w:qFormat/>
    <w:uiPriority w:val="0"/>
    <w:pPr>
      <w:tabs>
        <w:tab w:val="left" w:pos="567"/>
      </w:tabs>
      <w:spacing w:before="240" w:after="240" w:line="400" w:lineRule="exact"/>
      <w:ind w:left="567" w:hanging="567"/>
      <w:jc w:val="left"/>
      <w:outlineLvl w:val="0"/>
    </w:pPr>
    <w:rPr>
      <w:rFonts w:ascii="宋体" w:hAnsi="宋体" w:eastAsia="宋体" w:cs="Times New Roman"/>
      <w:b/>
      <w:sz w:val="24"/>
      <w:szCs w:val="20"/>
    </w:rPr>
  </w:style>
  <w:style w:type="paragraph" w:customStyle="1" w:styleId="867">
    <w:name w:val="xl32"/>
    <w:basedOn w:val="1"/>
    <w:qFormat/>
    <w:uiPriority w:val="0"/>
    <w:pPr>
      <w:widowControl/>
      <w:pBdr>
        <w:left w:val="single" w:color="auto" w:sz="8" w:space="0"/>
        <w:bottom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68">
    <w:name w:val="目录1（西藏格式）"/>
    <w:basedOn w:val="60"/>
    <w:qFormat/>
    <w:uiPriority w:val="0"/>
    <w:pPr>
      <w:tabs>
        <w:tab w:val="right" w:leader="dot" w:pos="8280"/>
      </w:tabs>
      <w:adjustRightInd w:val="0"/>
      <w:snapToGrid w:val="0"/>
      <w:ind w:left="731" w:hanging="731"/>
    </w:pPr>
    <w:rPr>
      <w:rFonts w:cs="Calibri"/>
      <w:b w:val="0"/>
      <w:caps w:val="0"/>
      <w:snapToGrid w:val="0"/>
    </w:rPr>
  </w:style>
  <w:style w:type="paragraph" w:customStyle="1" w:styleId="869">
    <w:name w:val="文章"/>
    <w:basedOn w:val="23"/>
    <w:qFormat/>
    <w:uiPriority w:val="0"/>
    <w:pPr>
      <w:adjustRightInd w:val="0"/>
      <w:snapToGrid w:val="0"/>
      <w:spacing w:beforeLines="20" w:afterLines="20"/>
      <w:ind w:firstLine="520"/>
      <w:textAlignment w:val="baseline"/>
    </w:pPr>
    <w:rPr>
      <w:rFonts w:ascii="Garamond" w:hAnsi="Garamond"/>
      <w:kern w:val="0"/>
      <w:sz w:val="26"/>
      <w:szCs w:val="20"/>
    </w:rPr>
  </w:style>
  <w:style w:type="paragraph" w:customStyle="1" w:styleId="870">
    <w:name w:val="样式 样式3 + 黑色"/>
    <w:basedOn w:val="485"/>
    <w:qFormat/>
    <w:uiPriority w:val="0"/>
    <w:pPr>
      <w:ind w:left="0" w:firstLine="480" w:firstLineChars="200"/>
    </w:pPr>
    <w:rPr>
      <w:rFonts w:ascii="Times New Roman" w:hAnsi="Times New Roman" w:eastAsia="华文中宋"/>
      <w:b w:val="0"/>
      <w:color w:val="000000"/>
      <w:sz w:val="24"/>
    </w:rPr>
  </w:style>
  <w:style w:type="paragraph" w:customStyle="1" w:styleId="871">
    <w:name w:val="样式 标题 3 + 段前: 0.5 行 段后: 0.5 行2"/>
    <w:basedOn w:val="7"/>
    <w:qFormat/>
    <w:uiPriority w:val="0"/>
    <w:pPr>
      <w:numPr>
        <w:ilvl w:val="0"/>
        <w:numId w:val="0"/>
      </w:numPr>
      <w:spacing w:before="0" w:after="0" w:line="440" w:lineRule="exact"/>
      <w:jc w:val="both"/>
    </w:pPr>
    <w:rPr>
      <w:rFonts w:eastAsia="华文中宋" w:cs="宋体"/>
      <w:sz w:val="28"/>
      <w:szCs w:val="20"/>
    </w:rPr>
  </w:style>
  <w:style w:type="paragraph" w:customStyle="1" w:styleId="872">
    <w:name w:val="xl68"/>
    <w:basedOn w:val="1"/>
    <w:qFormat/>
    <w:uiPriority w:val="0"/>
    <w:pPr>
      <w:widowControl/>
      <w:pBdr>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kern w:val="0"/>
      <w:sz w:val="18"/>
      <w:szCs w:val="18"/>
    </w:rPr>
  </w:style>
  <w:style w:type="paragraph" w:customStyle="1" w:styleId="873">
    <w:name w:val="图形中文字"/>
    <w:basedOn w:val="1"/>
    <w:qFormat/>
    <w:uiPriority w:val="0"/>
    <w:pPr>
      <w:autoSpaceDE w:val="0"/>
      <w:autoSpaceDN w:val="0"/>
      <w:adjustRightInd w:val="0"/>
      <w:spacing w:line="240" w:lineRule="auto"/>
      <w:jc w:val="center"/>
    </w:pPr>
    <w:rPr>
      <w:rFonts w:ascii="宋体" w:hAnsi="Times New Roman" w:eastAsia="宋体" w:cs="Times New Roman"/>
      <w:kern w:val="0"/>
      <w:sz w:val="24"/>
      <w:szCs w:val="20"/>
    </w:rPr>
  </w:style>
  <w:style w:type="paragraph" w:customStyle="1" w:styleId="874">
    <w:name w:val="样式 标题3 + (中文) 黑体 段前: 0.5 行 段后: 0.5 行 行距: 1.5 倍行距"/>
    <w:basedOn w:val="203"/>
    <w:qFormat/>
    <w:uiPriority w:val="0"/>
    <w:pPr>
      <w:widowControl w:val="0"/>
      <w:overflowPunct w:val="0"/>
      <w:topLinePunct/>
      <w:ind w:firstLine="0" w:firstLineChars="0"/>
      <w:jc w:val="both"/>
    </w:pPr>
    <w:rPr>
      <w:rFonts w:eastAsia="黑体" w:cs="宋体"/>
      <w:b/>
      <w:bCs/>
      <w:color w:val="auto"/>
      <w:kern w:val="10"/>
      <w:sz w:val="28"/>
      <w:szCs w:val="28"/>
    </w:rPr>
  </w:style>
  <w:style w:type="paragraph" w:customStyle="1" w:styleId="875">
    <w:name w:val="样式 样式 标题 4 + 段前: 0.5 行 段后: 0.5 行 + 段前: 7.8 磅 段后: 7.8 磅1"/>
    <w:basedOn w:val="281"/>
    <w:qFormat/>
    <w:uiPriority w:val="0"/>
    <w:rPr>
      <w:szCs w:val="20"/>
    </w:rPr>
  </w:style>
  <w:style w:type="paragraph" w:customStyle="1" w:styleId="876">
    <w:name w:val="六级标题"/>
    <w:qFormat/>
    <w:uiPriority w:val="0"/>
    <w:pPr>
      <w:adjustRightInd w:val="0"/>
      <w:snapToGrid w:val="0"/>
      <w:spacing w:before="120" w:after="60"/>
      <w:ind w:firstLine="510"/>
      <w:jc w:val="both"/>
    </w:pPr>
    <w:rPr>
      <w:rFonts w:ascii="黑体" w:hAnsi="Times New Roman" w:eastAsia="黑体" w:cs="Times New Roman"/>
      <w:snapToGrid w:val="0"/>
      <w:sz w:val="24"/>
      <w:lang w:val="en-US" w:eastAsia="zh-CN" w:bidi="ar-SA"/>
    </w:rPr>
  </w:style>
  <w:style w:type="paragraph" w:customStyle="1" w:styleId="877">
    <w:name w:val="新正文样式"/>
    <w:basedOn w:val="1"/>
    <w:qFormat/>
    <w:uiPriority w:val="0"/>
    <w:pPr>
      <w:tabs>
        <w:tab w:val="left" w:pos="567"/>
      </w:tabs>
      <w:ind w:firstLine="567"/>
    </w:pPr>
    <w:rPr>
      <w:rFonts w:ascii="Times New Roman" w:hAnsi="Times New Roman" w:eastAsia="宋体" w:cs="Times New Roman"/>
      <w:spacing w:val="20"/>
      <w:sz w:val="24"/>
      <w:szCs w:val="20"/>
    </w:rPr>
  </w:style>
  <w:style w:type="paragraph" w:customStyle="1" w:styleId="878">
    <w:name w:val="xyb四级标题"/>
    <w:basedOn w:val="1"/>
    <w:next w:val="333"/>
    <w:qFormat/>
    <w:uiPriority w:val="0"/>
    <w:pPr>
      <w:autoSpaceDE w:val="0"/>
      <w:autoSpaceDN w:val="0"/>
      <w:spacing w:beforeLines="50"/>
      <w:jc w:val="left"/>
    </w:pPr>
    <w:rPr>
      <w:rFonts w:ascii="宋体" w:hAnsi="Times New Roman" w:eastAsia="宋体" w:cs="Times New Roman"/>
      <w:b/>
      <w:color w:val="000000"/>
      <w:kern w:val="24"/>
      <w:sz w:val="24"/>
      <w:szCs w:val="20"/>
    </w:rPr>
  </w:style>
  <w:style w:type="paragraph" w:customStyle="1" w:styleId="879">
    <w:name w:val="样式 标题 3头小节标题标题 3 Char小标题标题 3 Char Char标题 3 Char2标题 3 Char..."/>
    <w:basedOn w:val="7"/>
    <w:qFormat/>
    <w:uiPriority w:val="0"/>
    <w:pPr>
      <w:numPr>
        <w:ilvl w:val="0"/>
        <w:numId w:val="0"/>
      </w:numPr>
      <w:spacing w:before="0" w:after="0" w:line="240" w:lineRule="auto"/>
      <w:jc w:val="both"/>
    </w:pPr>
    <w:rPr>
      <w:rFonts w:eastAsia="黑体" w:cs="Times New Roman"/>
      <w:b w:val="0"/>
    </w:rPr>
  </w:style>
  <w:style w:type="paragraph" w:customStyle="1" w:styleId="880">
    <w:name w:val="xl61"/>
    <w:basedOn w:val="1"/>
    <w:qFormat/>
    <w:uiPriority w:val="0"/>
    <w:pPr>
      <w:widowControl/>
      <w:pBdr>
        <w:bottom w:val="single" w:color="auto" w:sz="4" w:space="0"/>
      </w:pBdr>
      <w:spacing w:before="100" w:beforeAutospacing="1" w:after="100" w:afterAutospacing="1" w:line="240" w:lineRule="auto"/>
      <w:jc w:val="center"/>
    </w:pPr>
    <w:rPr>
      <w:rFonts w:ascii="Times New Roman" w:hAnsi="Times New Roman" w:eastAsia="Arial Unicode MS" w:cs="Times New Roman"/>
      <w:kern w:val="0"/>
      <w:sz w:val="15"/>
      <w:szCs w:val="15"/>
    </w:rPr>
  </w:style>
  <w:style w:type="paragraph" w:customStyle="1" w:styleId="881">
    <w:name w:val="样式 表文 + 左  2 字符"/>
    <w:basedOn w:val="195"/>
    <w:qFormat/>
    <w:uiPriority w:val="0"/>
    <w:pPr>
      <w:widowControl w:val="0"/>
      <w:spacing w:line="360" w:lineRule="auto"/>
      <w:jc w:val="both"/>
    </w:pPr>
    <w:rPr>
      <w:rFonts w:asciiTheme="minorHAnsi" w:hAnsiTheme="minorHAnsi" w:eastAsiaTheme="minorEastAsia" w:cstheme="minorBidi"/>
      <w:szCs w:val="22"/>
    </w:rPr>
  </w:style>
  <w:style w:type="paragraph" w:customStyle="1" w:styleId="882">
    <w:name w:val="日期（西藏格式）"/>
    <w:basedOn w:val="51"/>
    <w:qFormat/>
    <w:uiPriority w:val="0"/>
    <w:pPr>
      <w:adjustRightInd w:val="0"/>
      <w:snapToGrid w:val="0"/>
      <w:spacing w:line="600" w:lineRule="exact"/>
      <w:ind w:left="0" w:leftChars="0" w:right="1361" w:firstLine="0" w:firstLineChars="0"/>
      <w:jc w:val="right"/>
    </w:pPr>
    <w:rPr>
      <w:rFonts w:ascii="Calibri" w:hAnsi="Calibri" w:eastAsia="仿宋_GB2312"/>
      <w:snapToGrid w:val="0"/>
      <w:kern w:val="0"/>
      <w:sz w:val="32"/>
      <w:szCs w:val="32"/>
    </w:rPr>
  </w:style>
  <w:style w:type="paragraph" w:customStyle="1" w:styleId="883">
    <w:name w:val="正文首行缩进2（西藏格式）"/>
    <w:basedOn w:val="2"/>
    <w:qFormat/>
    <w:uiPriority w:val="0"/>
    <w:pPr>
      <w:adjustRightInd w:val="0"/>
      <w:snapToGrid w:val="0"/>
      <w:spacing w:line="360" w:lineRule="auto"/>
      <w:ind w:left="0" w:leftChars="0" w:firstLine="482" w:firstLineChars="0"/>
    </w:pPr>
    <w:rPr>
      <w:rFonts w:ascii="Calibri" w:hAnsi="Calibri"/>
      <w:snapToGrid w:val="0"/>
      <w:kern w:val="0"/>
      <w:szCs w:val="20"/>
    </w:rPr>
  </w:style>
  <w:style w:type="paragraph" w:customStyle="1" w:styleId="884">
    <w:name w:val="样式 样式15 + 黑色"/>
    <w:basedOn w:val="1"/>
    <w:qFormat/>
    <w:uiPriority w:val="0"/>
    <w:pPr>
      <w:spacing w:line="240" w:lineRule="auto"/>
      <w:ind w:firstLine="420" w:firstLineChars="200"/>
    </w:pPr>
    <w:rPr>
      <w:rFonts w:ascii="Times New Roman" w:hAnsi="Times New Roman" w:eastAsia="华文中宋" w:cs="Times New Roman"/>
      <w:color w:val="000000"/>
      <w:kern w:val="0"/>
    </w:rPr>
  </w:style>
  <w:style w:type="paragraph" w:customStyle="1" w:styleId="885">
    <w:name w:val="默认段落字体 Para Char Char Char Char Char Char Char Char Char Char"/>
    <w:basedOn w:val="1"/>
    <w:qFormat/>
    <w:uiPriority w:val="0"/>
    <w:pPr>
      <w:spacing w:line="240" w:lineRule="auto"/>
    </w:pPr>
    <w:rPr>
      <w:rFonts w:ascii="Times New Roman" w:hAnsi="Times New Roman" w:eastAsia="宋体" w:cs="Times New Roman"/>
      <w:szCs w:val="24"/>
    </w:rPr>
  </w:style>
  <w:style w:type="paragraph" w:customStyle="1" w:styleId="886">
    <w:name w:val="九级标题"/>
    <w:basedOn w:val="13"/>
    <w:qFormat/>
    <w:uiPriority w:val="0"/>
    <w:pPr>
      <w:tabs>
        <w:tab w:val="clear" w:pos="1584"/>
      </w:tabs>
      <w:adjustRightInd w:val="0"/>
      <w:snapToGrid w:val="0"/>
      <w:spacing w:before="120" w:after="0" w:line="240" w:lineRule="auto"/>
      <w:ind w:left="0" w:firstLine="482" w:firstLineChars="0"/>
    </w:pPr>
    <w:rPr>
      <w:snapToGrid w:val="0"/>
      <w:kern w:val="0"/>
      <w:sz w:val="28"/>
      <w:szCs w:val="28"/>
    </w:rPr>
  </w:style>
  <w:style w:type="paragraph" w:customStyle="1" w:styleId="887">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eastAsia="宋体" w:cs="Times New Roman"/>
      <w:spacing w:val="20"/>
      <w:sz w:val="24"/>
      <w:szCs w:val="20"/>
    </w:rPr>
  </w:style>
  <w:style w:type="paragraph" w:customStyle="1" w:styleId="888">
    <w:name w:val="xl62"/>
    <w:basedOn w:val="1"/>
    <w:qFormat/>
    <w:uiPriority w:val="0"/>
    <w:pPr>
      <w:widowControl/>
      <w:pBdr>
        <w:top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89">
    <w:name w:val="xl22"/>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890">
    <w:name w:val="仿宋"/>
    <w:basedOn w:val="1"/>
    <w:qFormat/>
    <w:uiPriority w:val="0"/>
    <w:pPr>
      <w:snapToGrid w:val="0"/>
      <w:ind w:firstLine="200" w:firstLineChars="200"/>
      <w:outlineLvl w:val="2"/>
    </w:pPr>
    <w:rPr>
      <w:rFonts w:ascii="Times New Roman" w:hAnsi="Times New Roman" w:eastAsia="仿宋_GB2312" w:cs="Times New Roman"/>
      <w:sz w:val="24"/>
      <w:szCs w:val="24"/>
    </w:rPr>
  </w:style>
  <w:style w:type="paragraph" w:customStyle="1" w:styleId="891">
    <w:name w:val="xyb自建正文 Char"/>
    <w:basedOn w:val="1"/>
    <w:qFormat/>
    <w:uiPriority w:val="0"/>
    <w:pPr>
      <w:tabs>
        <w:tab w:val="left" w:pos="1440"/>
        <w:tab w:val="left" w:pos="8280"/>
      </w:tabs>
      <w:ind w:firstLine="472" w:firstLineChars="200"/>
    </w:pPr>
    <w:rPr>
      <w:rFonts w:ascii="宋体" w:hAnsi="Times New Roman" w:eastAsia="宋体" w:cs="Times New Roman"/>
      <w:spacing w:val="-2"/>
      <w:kern w:val="0"/>
      <w:sz w:val="24"/>
      <w:szCs w:val="20"/>
    </w:rPr>
  </w:style>
  <w:style w:type="paragraph" w:customStyle="1" w:styleId="892">
    <w:name w:val="小表文"/>
    <w:basedOn w:val="1"/>
    <w:qFormat/>
    <w:uiPriority w:val="0"/>
    <w:pPr>
      <w:autoSpaceDE w:val="0"/>
      <w:autoSpaceDN w:val="0"/>
      <w:adjustRightInd w:val="0"/>
      <w:spacing w:before="20" w:line="240" w:lineRule="auto"/>
      <w:textAlignment w:val="baseline"/>
    </w:pPr>
    <w:rPr>
      <w:rFonts w:ascii="Times New Roman" w:hAnsi="Times New Roman" w:eastAsia="宋体" w:cs="Times New Roman"/>
      <w:kern w:val="0"/>
      <w:sz w:val="18"/>
      <w:szCs w:val="20"/>
    </w:rPr>
  </w:style>
  <w:style w:type="paragraph" w:customStyle="1" w:styleId="893">
    <w:name w:val="文档结构图1"/>
    <w:basedOn w:val="1"/>
    <w:link w:val="894"/>
    <w:qFormat/>
    <w:uiPriority w:val="0"/>
    <w:pPr>
      <w:ind w:firstLine="200" w:firstLineChars="200"/>
    </w:pPr>
    <w:rPr>
      <w:rFonts w:ascii="宋体" w:hAnsi="Calibri" w:eastAsia="宋体" w:cs="Times New Roman"/>
      <w:kern w:val="0"/>
      <w:sz w:val="18"/>
      <w:szCs w:val="18"/>
    </w:rPr>
  </w:style>
  <w:style w:type="character" w:customStyle="1" w:styleId="894">
    <w:name w:val="文档结构图 Char Char"/>
    <w:link w:val="893"/>
    <w:qFormat/>
    <w:uiPriority w:val="0"/>
    <w:rPr>
      <w:rFonts w:ascii="宋体" w:hAnsi="Calibri" w:eastAsia="宋体" w:cs="Times New Roman"/>
      <w:kern w:val="0"/>
      <w:sz w:val="18"/>
      <w:szCs w:val="18"/>
    </w:rPr>
  </w:style>
  <w:style w:type="paragraph" w:customStyle="1" w:styleId="895">
    <w:name w:val="样式18"/>
    <w:basedOn w:val="1"/>
    <w:qFormat/>
    <w:uiPriority w:val="0"/>
    <w:pPr>
      <w:tabs>
        <w:tab w:val="left" w:pos="480"/>
      </w:tabs>
      <w:spacing w:line="300" w:lineRule="exact"/>
      <w:ind w:left="-120" w:leftChars="-50" w:right="-120" w:rightChars="-50"/>
      <w:jc w:val="center"/>
    </w:pPr>
    <w:rPr>
      <w:rFonts w:ascii="Times New Roman" w:hAnsi="Times New Roman" w:eastAsia="华文中宋" w:cs="Times New Roman"/>
      <w:color w:val="000000"/>
      <w:szCs w:val="24"/>
    </w:rPr>
  </w:style>
  <w:style w:type="paragraph" w:customStyle="1" w:styleId="896">
    <w:name w:val="表格前后"/>
    <w:basedOn w:val="1"/>
    <w:next w:val="333"/>
    <w:qFormat/>
    <w:uiPriority w:val="0"/>
    <w:pPr>
      <w:spacing w:line="240" w:lineRule="auto"/>
      <w:textAlignment w:val="baseline"/>
    </w:pPr>
    <w:rPr>
      <w:rFonts w:ascii="Times New Roman" w:hAnsi="Times New Roman" w:eastAsia="宋体" w:cs="Times New Roman"/>
      <w:kern w:val="0"/>
      <w:sz w:val="18"/>
      <w:szCs w:val="20"/>
    </w:rPr>
  </w:style>
  <w:style w:type="paragraph" w:customStyle="1" w:styleId="897">
    <w:name w:val="列出段落111"/>
    <w:basedOn w:val="1"/>
    <w:qFormat/>
    <w:uiPriority w:val="0"/>
    <w:pPr>
      <w:ind w:firstLine="420" w:firstLineChars="200"/>
    </w:pPr>
    <w:rPr>
      <w:rFonts w:ascii="Times New Roman" w:hAnsi="Times New Roman" w:eastAsia="宋体" w:cs="Times New Roman"/>
      <w:sz w:val="24"/>
    </w:rPr>
  </w:style>
  <w:style w:type="paragraph" w:customStyle="1" w:styleId="898">
    <w:name w:val="南大梁章标题"/>
    <w:basedOn w:val="1"/>
    <w:qFormat/>
    <w:uiPriority w:val="0"/>
    <w:pPr>
      <w:spacing w:before="312" w:after="312" w:line="240" w:lineRule="auto"/>
      <w:jc w:val="center"/>
    </w:pPr>
    <w:rPr>
      <w:rFonts w:ascii="黑体" w:hAnsi="Times New Roman" w:eastAsia="黑体" w:cs="Times New Roman"/>
      <w:b/>
      <w:sz w:val="36"/>
      <w:szCs w:val="36"/>
    </w:rPr>
  </w:style>
  <w:style w:type="paragraph" w:customStyle="1" w:styleId="899">
    <w:name w:val="标题21"/>
    <w:basedOn w:val="84"/>
    <w:qFormat/>
    <w:uiPriority w:val="0"/>
    <w:pPr>
      <w:overflowPunct w:val="0"/>
      <w:topLinePunct/>
      <w:spacing w:before="100" w:beforeAutospacing="1" w:line="360" w:lineRule="auto"/>
      <w:ind w:left="0" w:leftChars="0"/>
      <w:outlineLvl w:val="1"/>
    </w:pPr>
    <w:rPr>
      <w:rFonts w:eastAsia="黑体"/>
      <w:b/>
      <w:bCs/>
      <w:sz w:val="30"/>
      <w:szCs w:val="30"/>
    </w:rPr>
  </w:style>
  <w:style w:type="paragraph" w:customStyle="1" w:styleId="900">
    <w:name w:val="z-窗体顶端1"/>
    <w:basedOn w:val="1"/>
    <w:next w:val="1"/>
    <w:link w:val="901"/>
    <w:qFormat/>
    <w:uiPriority w:val="0"/>
    <w:pPr>
      <w:widowControl/>
      <w:pBdr>
        <w:bottom w:val="single" w:color="auto" w:sz="6" w:space="1"/>
      </w:pBdr>
      <w:spacing w:line="240" w:lineRule="auto"/>
      <w:jc w:val="center"/>
    </w:pPr>
    <w:rPr>
      <w:rFonts w:ascii="Arial" w:hAnsi="Arial" w:eastAsia="宋体" w:cs="Times New Roman"/>
      <w:vanish/>
      <w:kern w:val="0"/>
      <w:sz w:val="16"/>
      <w:szCs w:val="16"/>
    </w:rPr>
  </w:style>
  <w:style w:type="character" w:customStyle="1" w:styleId="901">
    <w:name w:val="z-窗体顶端 Char"/>
    <w:basedOn w:val="91"/>
    <w:link w:val="900"/>
    <w:qFormat/>
    <w:uiPriority w:val="0"/>
    <w:rPr>
      <w:rFonts w:ascii="Arial" w:hAnsi="Arial" w:eastAsia="宋体" w:cs="Times New Roman"/>
      <w:vanish/>
      <w:kern w:val="0"/>
      <w:sz w:val="16"/>
      <w:szCs w:val="16"/>
    </w:rPr>
  </w:style>
  <w:style w:type="paragraph" w:customStyle="1" w:styleId="902">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903">
    <w:name w:val="Zw Char Char Char Char Char Char"/>
    <w:basedOn w:val="1"/>
    <w:qFormat/>
    <w:uiPriority w:val="0"/>
    <w:pPr>
      <w:spacing w:line="240" w:lineRule="auto"/>
    </w:pPr>
    <w:rPr>
      <w:rFonts w:ascii="宋体" w:hAnsi="宋体" w:eastAsia="宋体" w:cs="宋体"/>
      <w:sz w:val="24"/>
      <w:szCs w:val="24"/>
    </w:rPr>
  </w:style>
  <w:style w:type="paragraph" w:customStyle="1" w:styleId="904">
    <w:name w:val="xl43"/>
    <w:basedOn w:val="1"/>
    <w:qFormat/>
    <w:uiPriority w:val="0"/>
    <w:pPr>
      <w:widowControl/>
      <w:pBdr>
        <w:bottom w:val="single" w:color="auto" w:sz="8"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905">
    <w:name w:val="xyb自建四级标题"/>
    <w:basedOn w:val="1"/>
    <w:qFormat/>
    <w:uiPriority w:val="0"/>
    <w:pPr>
      <w:tabs>
        <w:tab w:val="left" w:pos="8280"/>
      </w:tabs>
      <w:spacing w:beforeLines="50"/>
      <w:outlineLvl w:val="3"/>
    </w:pPr>
    <w:rPr>
      <w:rFonts w:ascii="楷体_GB2312" w:hAnsi="Times New Roman" w:eastAsia="楷体_GB2312" w:cs="Times New Roman"/>
      <w:b/>
      <w:bCs/>
      <w:sz w:val="24"/>
      <w:szCs w:val="24"/>
    </w:rPr>
  </w:style>
  <w:style w:type="paragraph" w:customStyle="1" w:styleId="906">
    <w:name w:val="xyb自建表格名称 Char"/>
    <w:basedOn w:val="1"/>
    <w:qFormat/>
    <w:uiPriority w:val="0"/>
    <w:pPr>
      <w:jc w:val="center"/>
    </w:pPr>
    <w:rPr>
      <w:rFonts w:ascii="宋体" w:hAnsi="Times New Roman" w:eastAsia="宋体" w:cs="Times New Roman"/>
      <w:sz w:val="24"/>
      <w:szCs w:val="24"/>
    </w:rPr>
  </w:style>
  <w:style w:type="paragraph" w:customStyle="1" w:styleId="907">
    <w:name w:val="标题11"/>
    <w:basedOn w:val="1"/>
    <w:qFormat/>
    <w:uiPriority w:val="0"/>
    <w:pPr>
      <w:tabs>
        <w:tab w:val="left" w:pos="720"/>
      </w:tabs>
      <w:adjustRightInd w:val="0"/>
      <w:snapToGrid w:val="0"/>
      <w:ind w:left="567" w:hanging="567"/>
    </w:pPr>
    <w:rPr>
      <w:rFonts w:ascii="Times New Roman" w:hAnsi="Times New Roman" w:eastAsia="宋体" w:cs="Times New Roman"/>
      <w:sz w:val="28"/>
      <w:szCs w:val="20"/>
    </w:rPr>
  </w:style>
  <w:style w:type="paragraph" w:customStyle="1" w:styleId="908">
    <w:name w:val="正文文字3"/>
    <w:basedOn w:val="201"/>
    <w:qFormat/>
    <w:uiPriority w:val="0"/>
    <w:pPr>
      <w:adjustRightInd w:val="0"/>
      <w:snapToGrid w:val="0"/>
      <w:spacing w:after="0"/>
      <w:ind w:left="-57" w:right="-57"/>
      <w:jc w:val="center"/>
    </w:pPr>
    <w:rPr>
      <w:rFonts w:eastAsia="黑体"/>
      <w:snapToGrid w:val="0"/>
      <w:sz w:val="18"/>
      <w:szCs w:val="18"/>
    </w:rPr>
  </w:style>
  <w:style w:type="paragraph" w:customStyle="1" w:styleId="909">
    <w:name w:val="xl55"/>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910">
    <w:name w:val="Char Char Char Char Char Char Char Char Char Char Char Char Char Char Char Char Char Char1 Char Char Char Char Char Char Char Char Char Char Char Char Char Char Char Char1"/>
    <w:basedOn w:val="1"/>
    <w:qFormat/>
    <w:uiPriority w:val="0"/>
    <w:pPr>
      <w:ind w:firstLine="200" w:firstLineChars="200"/>
    </w:pPr>
    <w:rPr>
      <w:rFonts w:ascii="宋体" w:hAnsi="宋体" w:eastAsia="宋体" w:cs="宋体"/>
      <w:sz w:val="24"/>
      <w:szCs w:val="24"/>
    </w:rPr>
  </w:style>
  <w:style w:type="paragraph" w:customStyle="1" w:styleId="911">
    <w:name w:val="p17"/>
    <w:basedOn w:val="1"/>
    <w:qFormat/>
    <w:uiPriority w:val="0"/>
    <w:pPr>
      <w:widowControl/>
      <w:snapToGrid w:val="0"/>
      <w:spacing w:before="156"/>
      <w:ind w:firstLine="420"/>
    </w:pPr>
    <w:rPr>
      <w:rFonts w:ascii="宋体" w:hAnsi="宋体" w:eastAsia="宋体" w:cs="宋体"/>
      <w:kern w:val="0"/>
      <w:sz w:val="24"/>
      <w:szCs w:val="24"/>
    </w:rPr>
  </w:style>
  <w:style w:type="paragraph" w:customStyle="1" w:styleId="912">
    <w:name w:val="样式13"/>
    <w:basedOn w:val="1"/>
    <w:qFormat/>
    <w:uiPriority w:val="0"/>
    <w:pPr>
      <w:spacing w:line="240" w:lineRule="auto"/>
      <w:ind w:firstLine="475" w:firstLineChars="200"/>
    </w:pPr>
    <w:rPr>
      <w:rFonts w:ascii="Times New Roman" w:hAnsi="Times New Roman" w:eastAsia="华文中宋" w:cs="Times New Roman"/>
      <w:color w:val="000000"/>
      <w:sz w:val="24"/>
      <w:szCs w:val="24"/>
    </w:rPr>
  </w:style>
  <w:style w:type="paragraph" w:customStyle="1" w:styleId="913">
    <w:name w:val="正文文字缩进2"/>
    <w:basedOn w:val="52"/>
    <w:qFormat/>
    <w:uiPriority w:val="0"/>
    <w:pPr>
      <w:adjustRightInd w:val="0"/>
      <w:snapToGrid w:val="0"/>
      <w:spacing w:after="240" w:line="240" w:lineRule="auto"/>
      <w:ind w:firstLine="0" w:firstLineChars="0"/>
      <w:jc w:val="center"/>
    </w:pPr>
    <w:rPr>
      <w:rFonts w:ascii="Calibri" w:hAnsi="Calibri" w:eastAsia="黑体"/>
      <w:snapToGrid w:val="0"/>
      <w:kern w:val="0"/>
      <w:sz w:val="20"/>
      <w:szCs w:val="21"/>
    </w:rPr>
  </w:style>
  <w:style w:type="paragraph" w:customStyle="1" w:styleId="914">
    <w:name w:val="样式 四号 黑色 行距: 1.5 倍行距1"/>
    <w:basedOn w:val="1"/>
    <w:qFormat/>
    <w:uiPriority w:val="0"/>
    <w:pPr>
      <w:ind w:firstLine="560" w:firstLineChars="200"/>
    </w:pPr>
    <w:rPr>
      <w:rFonts w:ascii="Times New Roman" w:hAnsi="Times New Roman" w:eastAsia="宋体" w:cs="宋体"/>
      <w:color w:val="000000"/>
      <w:sz w:val="28"/>
      <w:szCs w:val="20"/>
    </w:rPr>
  </w:style>
  <w:style w:type="paragraph" w:customStyle="1" w:styleId="915">
    <w:name w:val="普通(网站)1"/>
    <w:basedOn w:val="1"/>
    <w:qFormat/>
    <w:uiPriority w:val="0"/>
    <w:pPr>
      <w:widowControl/>
      <w:spacing w:before="100" w:beforeAutospacing="1" w:after="100" w:afterAutospacing="1" w:line="240" w:lineRule="auto"/>
      <w:jc w:val="left"/>
    </w:pPr>
    <w:rPr>
      <w:rFonts w:ascii="ˎ̥" w:hAnsi="ˎ̥" w:eastAsia="宋体" w:cs="宋体"/>
      <w:kern w:val="0"/>
      <w:sz w:val="18"/>
      <w:szCs w:val="18"/>
    </w:rPr>
  </w:style>
  <w:style w:type="paragraph" w:customStyle="1" w:styleId="916">
    <w:name w:val="样式 报告正文——首行缩进:  2 字符1 + 首行缩进:  2 字符"/>
    <w:basedOn w:val="1"/>
    <w:qFormat/>
    <w:uiPriority w:val="0"/>
    <w:pPr>
      <w:ind w:firstLine="200" w:firstLineChars="200"/>
    </w:pPr>
    <w:rPr>
      <w:rFonts w:ascii="Times New Roman" w:hAnsi="Times New Roman" w:eastAsia="宋体" w:cs="宋体"/>
      <w:sz w:val="28"/>
      <w:szCs w:val="20"/>
    </w:rPr>
  </w:style>
  <w:style w:type="paragraph" w:customStyle="1" w:styleId="917">
    <w:name w:val="目录3（西藏格式）"/>
    <w:basedOn w:val="45"/>
    <w:qFormat/>
    <w:uiPriority w:val="0"/>
    <w:pPr>
      <w:tabs>
        <w:tab w:val="right" w:leader="middleDot" w:pos="9174"/>
      </w:tabs>
      <w:adjustRightInd w:val="0"/>
      <w:snapToGrid w:val="0"/>
      <w:ind w:left="964" w:hanging="964" w:firstLineChars="400"/>
    </w:pPr>
    <w:rPr>
      <w:rFonts w:eastAsia="黑体" w:cs="Calibri"/>
      <w:snapToGrid w:val="0"/>
      <w:sz w:val="24"/>
      <w:szCs w:val="21"/>
    </w:rPr>
  </w:style>
  <w:style w:type="paragraph" w:customStyle="1" w:styleId="918">
    <w:name w:val="五级标题"/>
    <w:qFormat/>
    <w:uiPriority w:val="0"/>
    <w:pPr>
      <w:adjustRightInd w:val="0"/>
      <w:snapToGrid w:val="0"/>
      <w:spacing w:before="120"/>
      <w:ind w:firstLine="510"/>
      <w:jc w:val="both"/>
    </w:pPr>
    <w:rPr>
      <w:rFonts w:ascii="黑体" w:hAnsi="Times New Roman" w:eastAsia="黑体" w:cs="Times New Roman"/>
      <w:snapToGrid w:val="0"/>
      <w:sz w:val="28"/>
      <w:lang w:val="en-US" w:eastAsia="zh-CN" w:bidi="ar-SA"/>
    </w:rPr>
  </w:style>
  <w:style w:type="paragraph" w:customStyle="1" w:styleId="919">
    <w:name w:val="Char Char Char1 Char Char Char Char Char Char Char Char Char Char"/>
    <w:basedOn w:val="1"/>
    <w:qFormat/>
    <w:uiPriority w:val="0"/>
    <w:pPr>
      <w:spacing w:line="240" w:lineRule="atLeast"/>
      <w:ind w:left="420" w:firstLine="420"/>
    </w:pPr>
    <w:rPr>
      <w:rFonts w:ascii="Times New Roman" w:hAnsi="Times New Roman" w:eastAsia="宋体" w:cs="Times New Roman"/>
      <w:szCs w:val="24"/>
    </w:rPr>
  </w:style>
  <w:style w:type="paragraph" w:customStyle="1" w:styleId="920">
    <w:name w:val="正文（藏式）"/>
    <w:basedOn w:val="1"/>
    <w:qFormat/>
    <w:uiPriority w:val="0"/>
    <w:pPr>
      <w:adjustRightInd w:val="0"/>
      <w:snapToGrid w:val="0"/>
      <w:spacing w:line="240" w:lineRule="auto"/>
    </w:pPr>
    <w:rPr>
      <w:rFonts w:ascii="Times New Roman" w:hAnsi="Times New Roman" w:eastAsia="宋体" w:cs="Times New Roman"/>
      <w:snapToGrid w:val="0"/>
      <w:sz w:val="24"/>
    </w:rPr>
  </w:style>
  <w:style w:type="paragraph" w:customStyle="1" w:styleId="921">
    <w:name w:val="无间隔1"/>
    <w:qFormat/>
    <w:uiPriority w:val="0"/>
    <w:pPr>
      <w:widowControl w:val="0"/>
      <w:ind w:firstLine="200" w:firstLineChars="200"/>
      <w:jc w:val="both"/>
    </w:pPr>
    <w:rPr>
      <w:rFonts w:ascii="Calibri" w:hAnsi="Calibri" w:eastAsia="宋体" w:cs="Times New Roman"/>
      <w:kern w:val="2"/>
      <w:sz w:val="24"/>
      <w:szCs w:val="21"/>
      <w:lang w:val="en-US" w:eastAsia="zh-CN" w:bidi="ar-SA"/>
    </w:rPr>
  </w:style>
  <w:style w:type="paragraph" w:customStyle="1" w:styleId="922">
    <w:name w:val="目录7～8（西藏格式）"/>
    <w:basedOn w:val="15"/>
    <w:qFormat/>
    <w:uiPriority w:val="0"/>
    <w:pPr>
      <w:adjustRightInd w:val="0"/>
      <w:snapToGrid w:val="0"/>
      <w:ind w:left="1440"/>
    </w:pPr>
    <w:rPr>
      <w:rFonts w:ascii="Calibri" w:hAnsi="Calibri" w:cs="Calibri"/>
      <w:snapToGrid w:val="0"/>
    </w:rPr>
  </w:style>
  <w:style w:type="paragraph" w:customStyle="1" w:styleId="923">
    <w:name w:val="目录2（西藏格式）"/>
    <w:basedOn w:val="75"/>
    <w:qFormat/>
    <w:uiPriority w:val="0"/>
    <w:pPr>
      <w:adjustRightInd w:val="0"/>
      <w:snapToGrid w:val="0"/>
      <w:spacing w:line="240" w:lineRule="auto"/>
    </w:pPr>
    <w:rPr>
      <w:rFonts w:eastAsia="黑体" w:cs="Calibri"/>
      <w:b/>
      <w:snapToGrid w:val="0"/>
      <w:sz w:val="24"/>
    </w:rPr>
  </w:style>
  <w:style w:type="paragraph" w:customStyle="1" w:styleId="924">
    <w:name w:val="正文首行缩进(西藏样式)"/>
    <w:basedOn w:val="1"/>
    <w:qFormat/>
    <w:uiPriority w:val="0"/>
    <w:pPr>
      <w:adjustRightInd w:val="0"/>
      <w:snapToGrid w:val="0"/>
      <w:spacing w:line="400" w:lineRule="exact"/>
      <w:ind w:firstLine="482"/>
    </w:pPr>
    <w:rPr>
      <w:rFonts w:ascii="宋体" w:hAnsi="Times New Roman" w:eastAsia="宋体" w:cs="Times New Roman"/>
      <w:snapToGrid w:val="0"/>
      <w:kern w:val="0"/>
      <w:sz w:val="24"/>
      <w:szCs w:val="20"/>
    </w:rPr>
  </w:style>
  <w:style w:type="paragraph" w:customStyle="1" w:styleId="925">
    <w:name w:val="正文缩进（西藏格式）"/>
    <w:basedOn w:val="23"/>
    <w:qFormat/>
    <w:uiPriority w:val="0"/>
    <w:pPr>
      <w:adjustRightInd w:val="0"/>
      <w:snapToGrid w:val="0"/>
      <w:spacing w:before="120" w:after="120" w:line="240" w:lineRule="auto"/>
      <w:ind w:left="113" w:right="113" w:firstLine="482" w:firstLineChars="0"/>
    </w:pPr>
    <w:rPr>
      <w:rFonts w:ascii="Calibri" w:hAnsi="Calibri"/>
      <w:snapToGrid w:val="0"/>
      <w:kern w:val="0"/>
      <w:sz w:val="20"/>
      <w:szCs w:val="21"/>
    </w:rPr>
  </w:style>
  <w:style w:type="paragraph" w:customStyle="1" w:styleId="926">
    <w:name w:val="正文文字缩进3"/>
    <w:basedOn w:val="33"/>
    <w:qFormat/>
    <w:uiPriority w:val="0"/>
    <w:pPr>
      <w:adjustRightInd w:val="0"/>
      <w:snapToGrid w:val="0"/>
      <w:spacing w:line="240" w:lineRule="auto"/>
      <w:ind w:firstLine="0" w:firstLineChars="0"/>
    </w:pPr>
    <w:rPr>
      <w:rFonts w:ascii="Calibri" w:hAnsi="Calibri" w:eastAsia="黑体"/>
      <w:b w:val="0"/>
      <w:bCs w:val="0"/>
      <w:snapToGrid w:val="0"/>
      <w:kern w:val="0"/>
      <w:sz w:val="28"/>
      <w:szCs w:val="28"/>
    </w:rPr>
  </w:style>
  <w:style w:type="paragraph" w:customStyle="1" w:styleId="927">
    <w:name w:val="表标题1"/>
    <w:basedOn w:val="1"/>
    <w:qFormat/>
    <w:uiPriority w:val="0"/>
    <w:pPr>
      <w:tabs>
        <w:tab w:val="left" w:pos="1848"/>
        <w:tab w:val="left" w:pos="6061"/>
        <w:tab w:val="left" w:pos="8665"/>
      </w:tabs>
      <w:adjustRightInd w:val="0"/>
      <w:snapToGrid w:val="0"/>
      <w:spacing w:beforeLines="50" w:line="460" w:lineRule="exact"/>
      <w:ind w:firstLine="480" w:firstLineChars="200"/>
      <w:jc w:val="center"/>
    </w:pPr>
    <w:rPr>
      <w:rFonts w:ascii="宋体" w:hAnsi="宋体" w:eastAsia="宋体" w:cs="Times New Roman"/>
      <w:sz w:val="24"/>
      <w:szCs w:val="20"/>
    </w:rPr>
  </w:style>
  <w:style w:type="paragraph" w:customStyle="1" w:styleId="928">
    <w:name w:val="目录6（西藏格式）"/>
    <w:basedOn w:val="69"/>
    <w:qFormat/>
    <w:uiPriority w:val="0"/>
    <w:pPr>
      <w:adjustRightInd w:val="0"/>
      <w:snapToGrid w:val="0"/>
      <w:ind w:left="1094" w:hanging="363"/>
    </w:pPr>
    <w:rPr>
      <w:rFonts w:ascii="Calibri" w:hAnsi="Calibri" w:cs="Calibri"/>
      <w:snapToGrid w:val="0"/>
      <w:sz w:val="24"/>
    </w:rPr>
  </w:style>
  <w:style w:type="paragraph" w:customStyle="1" w:styleId="929">
    <w:name w:val="样式 正文首行缩进（西藏格式） + 首行缩进:  0 厘米"/>
    <w:basedOn w:val="930"/>
    <w:qFormat/>
    <w:uiPriority w:val="0"/>
    <w:rPr>
      <w:rFonts w:cs="宋体"/>
      <w:szCs w:val="20"/>
    </w:rPr>
  </w:style>
  <w:style w:type="paragraph" w:customStyle="1" w:styleId="930">
    <w:name w:val="正文首行缩进（西藏格式）"/>
    <w:basedOn w:val="167"/>
    <w:qFormat/>
    <w:uiPriority w:val="0"/>
    <w:pPr>
      <w:adjustRightInd w:val="0"/>
      <w:snapToGrid w:val="0"/>
      <w:spacing w:after="0" w:line="400" w:lineRule="exact"/>
      <w:ind w:firstLine="482" w:firstLineChars="0"/>
    </w:pPr>
    <w:rPr>
      <w:snapToGrid w:val="0"/>
    </w:rPr>
  </w:style>
  <w:style w:type="paragraph" w:customStyle="1" w:styleId="931">
    <w:name w:val="目录5（西藏格式）"/>
    <w:basedOn w:val="44"/>
    <w:qFormat/>
    <w:uiPriority w:val="0"/>
    <w:pPr>
      <w:adjustRightInd w:val="0"/>
      <w:snapToGrid w:val="0"/>
      <w:ind w:left="482" w:firstLine="482"/>
    </w:pPr>
    <w:rPr>
      <w:rFonts w:ascii="Calibri" w:hAnsi="Calibri" w:cs="Calibri"/>
      <w:snapToGrid w:val="0"/>
      <w:sz w:val="24"/>
    </w:rPr>
  </w:style>
  <w:style w:type="paragraph" w:customStyle="1" w:styleId="932">
    <w:name w:val="七级标题"/>
    <w:qFormat/>
    <w:uiPriority w:val="0"/>
    <w:pPr>
      <w:adjustRightInd w:val="0"/>
      <w:snapToGrid w:val="0"/>
      <w:spacing w:before="60"/>
      <w:jc w:val="center"/>
    </w:pPr>
    <w:rPr>
      <w:rFonts w:ascii="黑体" w:hAnsi="Times New Roman" w:eastAsia="黑体" w:cs="Times New Roman"/>
      <w:snapToGrid w:val="0"/>
      <w:lang w:val="en-US" w:eastAsia="zh-CN" w:bidi="ar-SA"/>
    </w:rPr>
  </w:style>
  <w:style w:type="paragraph" w:customStyle="1" w:styleId="933">
    <w:name w:val="样式 表格 + 首行缩进:  0.84 厘米"/>
    <w:basedOn w:val="462"/>
    <w:qFormat/>
    <w:uiPriority w:val="0"/>
    <w:pPr>
      <w:snapToGrid/>
      <w:spacing w:line="240" w:lineRule="exact"/>
    </w:pPr>
    <w:rPr>
      <w:rFonts w:cs="宋体"/>
      <w:spacing w:val="14"/>
      <w:kern w:val="0"/>
      <w:sz w:val="20"/>
      <w:szCs w:val="20"/>
    </w:rPr>
  </w:style>
  <w:style w:type="paragraph" w:customStyle="1" w:styleId="934">
    <w:name w:val="表中文字"/>
    <w:basedOn w:val="1"/>
    <w:qFormat/>
    <w:uiPriority w:val="0"/>
    <w:pPr>
      <w:spacing w:line="240" w:lineRule="auto"/>
      <w:jc w:val="center"/>
    </w:pPr>
    <w:rPr>
      <w:rFonts w:ascii="Times New Roman" w:hAnsi="Times New Roman" w:eastAsia="宋体" w:cs="Times New Roman"/>
      <w:szCs w:val="24"/>
    </w:rPr>
  </w:style>
  <w:style w:type="paragraph" w:customStyle="1" w:styleId="935">
    <w:name w:val="李海涛正文"/>
    <w:basedOn w:val="1"/>
    <w:next w:val="1"/>
    <w:qFormat/>
    <w:uiPriority w:val="0"/>
    <w:pPr>
      <w:widowControl/>
      <w:spacing w:line="240" w:lineRule="auto"/>
      <w:ind w:firstLine="480" w:firstLineChars="200"/>
    </w:pPr>
    <w:rPr>
      <w:rFonts w:ascii="宋体" w:hAnsi="Times New Roman" w:eastAsia="宋体" w:cs="Times New Roman"/>
      <w:sz w:val="24"/>
      <w:szCs w:val="20"/>
    </w:rPr>
  </w:style>
  <w:style w:type="paragraph" w:customStyle="1" w:styleId="936">
    <w:name w:val="表格专用文本"/>
    <w:basedOn w:val="425"/>
    <w:qFormat/>
    <w:uiPriority w:val="0"/>
    <w:pPr>
      <w:spacing w:line="240" w:lineRule="auto"/>
      <w:ind w:firstLine="0" w:firstLineChars="0"/>
      <w:jc w:val="center"/>
    </w:pPr>
    <w:rPr>
      <w:rFonts w:cs="宋体"/>
      <w:sz w:val="21"/>
      <w:szCs w:val="20"/>
    </w:rPr>
  </w:style>
  <w:style w:type="paragraph" w:customStyle="1" w:styleId="937">
    <w:name w:val="表头、图片说明文字"/>
    <w:basedOn w:val="425"/>
    <w:qFormat/>
    <w:uiPriority w:val="0"/>
    <w:pPr>
      <w:ind w:firstLine="0" w:firstLineChars="0"/>
      <w:jc w:val="center"/>
    </w:pPr>
    <w:rPr>
      <w:rFonts w:cs="宋体"/>
      <w:b/>
      <w:bCs/>
      <w:szCs w:val="20"/>
    </w:rPr>
  </w:style>
  <w:style w:type="paragraph" w:customStyle="1" w:styleId="938">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39">
    <w:name w:val="正文（标准）"/>
    <w:basedOn w:val="1"/>
    <w:qFormat/>
    <w:uiPriority w:val="0"/>
    <w:pPr>
      <w:tabs>
        <w:tab w:val="left" w:pos="432"/>
      </w:tabs>
      <w:adjustRightInd w:val="0"/>
      <w:ind w:left="432" w:firstLine="200" w:firstLineChars="200"/>
    </w:pPr>
    <w:rPr>
      <w:rFonts w:ascii="Times New Roman" w:hAnsi="Times New Roman" w:eastAsia="宋体" w:cs="Times New Roman"/>
      <w:sz w:val="24"/>
      <w:szCs w:val="30"/>
    </w:rPr>
  </w:style>
  <w:style w:type="paragraph" w:customStyle="1" w:styleId="940">
    <w:name w:val="表格标题-10"/>
    <w:basedOn w:val="1"/>
    <w:next w:val="1"/>
    <w:qFormat/>
    <w:uiPriority w:val="0"/>
    <w:pPr>
      <w:tabs>
        <w:tab w:val="left" w:pos="851"/>
      </w:tabs>
      <w:adjustRightInd w:val="0"/>
      <w:snapToGrid w:val="0"/>
      <w:jc w:val="center"/>
    </w:pPr>
    <w:rPr>
      <w:rFonts w:ascii="Times New Roman" w:hAnsi="Times New Roman" w:eastAsia="黑体" w:cs="Times New Roman"/>
      <w:sz w:val="24"/>
      <w:szCs w:val="24"/>
    </w:rPr>
  </w:style>
  <w:style w:type="paragraph" w:customStyle="1" w:styleId="941">
    <w:name w:val="第三章 图件标题"/>
    <w:basedOn w:val="1"/>
    <w:next w:val="1"/>
    <w:qFormat/>
    <w:uiPriority w:val="0"/>
    <w:pPr>
      <w:tabs>
        <w:tab w:val="left" w:pos="851"/>
      </w:tabs>
      <w:adjustRightInd w:val="0"/>
      <w:snapToGrid w:val="0"/>
      <w:jc w:val="center"/>
    </w:pPr>
    <w:rPr>
      <w:rFonts w:ascii="Times New Roman" w:hAnsi="Times New Roman" w:eastAsia="黑体" w:cs="Times New Roman"/>
      <w:sz w:val="24"/>
      <w:szCs w:val="24"/>
    </w:rPr>
  </w:style>
  <w:style w:type="paragraph" w:customStyle="1" w:styleId="942">
    <w:name w:val="表格首行"/>
    <w:basedOn w:val="1"/>
    <w:next w:val="1"/>
    <w:qFormat/>
    <w:uiPriority w:val="0"/>
    <w:pPr>
      <w:adjustRightInd w:val="0"/>
      <w:spacing w:line="240" w:lineRule="auto"/>
      <w:jc w:val="center"/>
    </w:pPr>
    <w:rPr>
      <w:rFonts w:ascii="Times New Roman" w:hAnsi="Times New Roman" w:eastAsia="宋体" w:cs="宋体"/>
      <w:b/>
      <w:szCs w:val="20"/>
    </w:rPr>
  </w:style>
  <w:style w:type="paragraph" w:customStyle="1" w:styleId="943">
    <w:name w:val="表格标题-1"/>
    <w:basedOn w:val="1"/>
    <w:next w:val="1"/>
    <w:qFormat/>
    <w:uiPriority w:val="0"/>
    <w:pPr>
      <w:adjustRightInd w:val="0"/>
      <w:snapToGrid w:val="0"/>
      <w:ind w:left="360" w:hanging="360"/>
      <w:jc w:val="center"/>
    </w:pPr>
    <w:rPr>
      <w:rFonts w:ascii="Times New Roman" w:hAnsi="Times New Roman" w:eastAsia="黑体" w:cs="Times New Roman"/>
      <w:sz w:val="24"/>
      <w:szCs w:val="24"/>
    </w:rPr>
  </w:style>
  <w:style w:type="paragraph" w:customStyle="1" w:styleId="944">
    <w:name w:val="reader-word-layer"/>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945">
    <w:name w:val="album-div1"/>
    <w:basedOn w:val="1"/>
    <w:qFormat/>
    <w:uiPriority w:val="0"/>
    <w:pPr>
      <w:widowControl/>
      <w:shd w:val="clear" w:color="auto" w:fill="FFFFFF"/>
      <w:spacing w:before="100" w:beforeAutospacing="1" w:after="100" w:afterAutospacing="1" w:line="240" w:lineRule="auto"/>
      <w:jc w:val="left"/>
    </w:pPr>
    <w:rPr>
      <w:rFonts w:ascii="宋体" w:hAnsi="宋体" w:eastAsia="宋体" w:cs="宋体"/>
      <w:kern w:val="0"/>
      <w:sz w:val="24"/>
      <w:szCs w:val="24"/>
    </w:rPr>
  </w:style>
  <w:style w:type="paragraph" w:customStyle="1" w:styleId="946">
    <w:name w:val="CCY-正文文本-1"/>
    <w:basedOn w:val="1"/>
    <w:qFormat/>
    <w:uiPriority w:val="0"/>
    <w:pPr>
      <w:ind w:firstLine="200" w:firstLineChars="200"/>
    </w:pPr>
    <w:rPr>
      <w:rFonts w:ascii="宋体" w:hAnsi="宋体" w:eastAsia="宋体" w:cs="Times New Roman"/>
      <w:sz w:val="24"/>
      <w:szCs w:val="24"/>
    </w:rPr>
  </w:style>
  <w:style w:type="paragraph" w:customStyle="1" w:styleId="947">
    <w:name w:val="样式 标题 4 + 行距: 固定值 25 磅"/>
    <w:basedOn w:val="8"/>
    <w:qFormat/>
    <w:uiPriority w:val="0"/>
    <w:pPr>
      <w:numPr>
        <w:ilvl w:val="0"/>
        <w:numId w:val="0"/>
      </w:numPr>
      <w:adjustRightInd w:val="0"/>
      <w:spacing w:before="0" w:after="0" w:line="500" w:lineRule="exact"/>
      <w:textAlignment w:val="baseline"/>
    </w:pPr>
    <w:rPr>
      <w:rFonts w:eastAsia="宋体" w:cs="宋体"/>
      <w:kern w:val="0"/>
      <w:sz w:val="28"/>
      <w:szCs w:val="20"/>
    </w:rPr>
  </w:style>
  <w:style w:type="paragraph" w:customStyle="1" w:styleId="948">
    <w:name w:val="样式 标题 3Re + (中文) 宋体 加粗"/>
    <w:basedOn w:val="7"/>
    <w:qFormat/>
    <w:uiPriority w:val="0"/>
    <w:pPr>
      <w:numPr>
        <w:ilvl w:val="0"/>
        <w:numId w:val="0"/>
      </w:numPr>
      <w:tabs>
        <w:tab w:val="left" w:pos="0"/>
      </w:tabs>
      <w:autoSpaceDE w:val="0"/>
      <w:autoSpaceDN w:val="0"/>
      <w:adjustRightInd w:val="0"/>
      <w:snapToGrid w:val="0"/>
      <w:spacing w:before="20" w:after="20" w:line="360" w:lineRule="auto"/>
      <w:textAlignment w:val="baseline"/>
    </w:pPr>
    <w:rPr>
      <w:rFonts w:eastAsia="宋体" w:cs="Times New Roman"/>
      <w:kern w:val="0"/>
      <w:sz w:val="28"/>
      <w:szCs w:val="20"/>
    </w:rPr>
  </w:style>
  <w:style w:type="paragraph" w:customStyle="1" w:styleId="949">
    <w:name w:val="样式 样式 标题 2标题 2 Char1 + 四号 + Times New Roman"/>
    <w:basedOn w:val="1"/>
    <w:qFormat/>
    <w:uiPriority w:val="0"/>
    <w:pPr>
      <w:keepNext/>
      <w:keepLines/>
      <w:tabs>
        <w:tab w:val="left" w:pos="0"/>
      </w:tabs>
      <w:adjustRightInd w:val="0"/>
      <w:snapToGrid w:val="0"/>
      <w:spacing w:line="500" w:lineRule="exact"/>
      <w:jc w:val="left"/>
      <w:textAlignment w:val="baseline"/>
      <w:outlineLvl w:val="1"/>
    </w:pPr>
    <w:rPr>
      <w:rFonts w:ascii="Times New Roman" w:hAnsi="Times New Roman" w:eastAsia="宋体" w:cs="Times New Roman"/>
      <w:b/>
      <w:bCs/>
      <w:kern w:val="0"/>
      <w:sz w:val="28"/>
      <w:szCs w:val="20"/>
    </w:rPr>
  </w:style>
  <w:style w:type="paragraph" w:customStyle="1" w:styleId="950">
    <w:name w:val="样式 样式 样式 标题 2标题 2 Char1 + 四号 + Times New Roman + 段前: 6 磅 段后: 6 磅"/>
    <w:basedOn w:val="949"/>
    <w:qFormat/>
    <w:uiPriority w:val="0"/>
    <w:pPr>
      <w:spacing w:before="120" w:after="120"/>
    </w:pPr>
    <w:rPr>
      <w:rFonts w:cs="宋体"/>
    </w:rPr>
  </w:style>
  <w:style w:type="character" w:customStyle="1" w:styleId="951">
    <w:name w:val="排版正文 Char Char"/>
    <w:link w:val="952"/>
    <w:qFormat/>
    <w:uiPriority w:val="0"/>
    <w:rPr>
      <w:rFonts w:eastAsia="宋体"/>
      <w:color w:val="000000"/>
      <w:sz w:val="26"/>
    </w:rPr>
  </w:style>
  <w:style w:type="paragraph" w:customStyle="1" w:styleId="952">
    <w:name w:val="排版正文"/>
    <w:basedOn w:val="1"/>
    <w:next w:val="1"/>
    <w:link w:val="951"/>
    <w:qFormat/>
    <w:uiPriority w:val="0"/>
    <w:pPr>
      <w:adjustRightInd w:val="0"/>
      <w:snapToGrid w:val="0"/>
      <w:spacing w:line="460" w:lineRule="exact"/>
      <w:ind w:firstLine="510" w:firstLineChars="200"/>
    </w:pPr>
    <w:rPr>
      <w:rFonts w:eastAsia="宋体"/>
      <w:color w:val="000000"/>
      <w:sz w:val="26"/>
    </w:rPr>
  </w:style>
  <w:style w:type="paragraph" w:customStyle="1" w:styleId="953">
    <w:name w:val="二级无标题条"/>
    <w:basedOn w:val="1"/>
    <w:qFormat/>
    <w:uiPriority w:val="0"/>
    <w:pPr>
      <w:spacing w:line="240" w:lineRule="auto"/>
    </w:pPr>
    <w:rPr>
      <w:rFonts w:ascii="Times New Roman" w:hAnsi="Times New Roman" w:eastAsia="宋体" w:cs="Times New Roman"/>
      <w:szCs w:val="24"/>
    </w:rPr>
  </w:style>
  <w:style w:type="paragraph" w:customStyle="1" w:styleId="954">
    <w:name w:val="样式 加粗 居中 段前: 5 磅 行距: 最小值 12 磅"/>
    <w:basedOn w:val="1"/>
    <w:qFormat/>
    <w:uiPriority w:val="0"/>
    <w:pPr>
      <w:adjustRightInd w:val="0"/>
      <w:spacing w:before="100" w:line="240" w:lineRule="atLeast"/>
      <w:jc w:val="center"/>
      <w:textAlignment w:val="baseline"/>
    </w:pPr>
    <w:rPr>
      <w:rFonts w:ascii="Times New Roman" w:hAnsi="Times New Roman" w:eastAsia="宋体" w:cs="宋体"/>
      <w:b/>
      <w:bCs/>
      <w:kern w:val="0"/>
      <w:sz w:val="24"/>
      <w:szCs w:val="20"/>
    </w:rPr>
  </w:style>
  <w:style w:type="paragraph" w:customStyle="1" w:styleId="955">
    <w:name w:val="Char Char Char Char Char Char Char1"/>
    <w:basedOn w:val="1"/>
    <w:qFormat/>
    <w:uiPriority w:val="0"/>
    <w:pPr>
      <w:spacing w:line="240" w:lineRule="auto"/>
    </w:pPr>
    <w:rPr>
      <w:rFonts w:ascii="宋体" w:hAnsi="Times New Roman" w:eastAsia="宋体" w:cs="Times New Roman"/>
      <w:sz w:val="24"/>
      <w:szCs w:val="20"/>
    </w:rPr>
  </w:style>
  <w:style w:type="character" w:customStyle="1" w:styleId="956">
    <w:name w:val="正文文本 (2)_"/>
    <w:link w:val="957"/>
    <w:qFormat/>
    <w:uiPriority w:val="0"/>
    <w:rPr>
      <w:rFonts w:ascii="MingLiU" w:eastAsia="MingLiU"/>
      <w:sz w:val="22"/>
      <w:shd w:val="clear" w:color="auto" w:fill="FFFFFF"/>
    </w:rPr>
  </w:style>
  <w:style w:type="paragraph" w:customStyle="1" w:styleId="957">
    <w:name w:val="正文文本 (2)1"/>
    <w:basedOn w:val="1"/>
    <w:link w:val="956"/>
    <w:qFormat/>
    <w:uiPriority w:val="0"/>
    <w:pPr>
      <w:shd w:val="clear" w:color="auto" w:fill="FFFFFF"/>
      <w:spacing w:before="5460" w:after="60" w:line="240" w:lineRule="atLeast"/>
      <w:ind w:hanging="660"/>
      <w:jc w:val="left"/>
    </w:pPr>
    <w:rPr>
      <w:rFonts w:ascii="MingLiU" w:eastAsia="MingLiU"/>
      <w:sz w:val="22"/>
    </w:rPr>
  </w:style>
  <w:style w:type="character" w:customStyle="1" w:styleId="958">
    <w:name w:val="正文文本 (2)17"/>
    <w:basedOn w:val="956"/>
    <w:qFormat/>
    <w:uiPriority w:val="0"/>
    <w:rPr>
      <w:rFonts w:ascii="MingLiU" w:eastAsia="MingLiU"/>
      <w:sz w:val="22"/>
      <w:shd w:val="clear" w:color="auto" w:fill="FFFFFF"/>
    </w:rPr>
  </w:style>
  <w:style w:type="character" w:customStyle="1" w:styleId="959">
    <w:name w:val="正文文本 (2) + Constantia54"/>
    <w:qFormat/>
    <w:uiPriority w:val="0"/>
    <w:rPr>
      <w:rFonts w:ascii="Constantia" w:hAnsi="Constantia" w:eastAsia="MingLiU" w:cs="Constantia"/>
      <w:b/>
      <w:bCs/>
      <w:kern w:val="2"/>
      <w:sz w:val="22"/>
      <w:szCs w:val="22"/>
      <w:lang w:val="en-US" w:eastAsia="en-US" w:bidi="ar-SA"/>
    </w:rPr>
  </w:style>
  <w:style w:type="character" w:customStyle="1" w:styleId="960">
    <w:name w:val="表格标题 + Constantia"/>
    <w:qFormat/>
    <w:uiPriority w:val="0"/>
    <w:rPr>
      <w:rFonts w:ascii="Constantia" w:hAnsi="Constantia" w:eastAsia="宋体" w:cs="Constantia"/>
      <w:b/>
      <w:bCs/>
      <w:kern w:val="2"/>
      <w:sz w:val="22"/>
      <w:szCs w:val="22"/>
      <w:u w:val="none"/>
      <w:lang w:val="en-US" w:eastAsia="en-US" w:bidi="ar-SA"/>
    </w:rPr>
  </w:style>
  <w:style w:type="character" w:customStyle="1" w:styleId="961">
    <w:name w:val="表格标题3"/>
    <w:qFormat/>
    <w:uiPriority w:val="0"/>
    <w:rPr>
      <w:rFonts w:ascii="MingLiU" w:eastAsia="MingLiU" w:cs="MingLiU"/>
      <w:kern w:val="2"/>
      <w:sz w:val="22"/>
      <w:szCs w:val="22"/>
      <w:u w:val="none"/>
      <w:lang w:val="en-US" w:eastAsia="zh-CN" w:bidi="ar-SA"/>
    </w:rPr>
  </w:style>
  <w:style w:type="character" w:customStyle="1" w:styleId="962">
    <w:name w:val="正文文本 (17)_"/>
    <w:link w:val="963"/>
    <w:qFormat/>
    <w:uiPriority w:val="0"/>
    <w:rPr>
      <w:rFonts w:ascii="MingLiU" w:eastAsia="MingLiU"/>
      <w:sz w:val="22"/>
      <w:shd w:val="clear" w:color="auto" w:fill="FFFFFF"/>
    </w:rPr>
  </w:style>
  <w:style w:type="paragraph" w:customStyle="1" w:styleId="963">
    <w:name w:val="正文文本 (17)1"/>
    <w:basedOn w:val="1"/>
    <w:link w:val="962"/>
    <w:qFormat/>
    <w:uiPriority w:val="0"/>
    <w:pPr>
      <w:shd w:val="clear" w:color="auto" w:fill="FFFFFF"/>
      <w:spacing w:before="480" w:after="60" w:line="528" w:lineRule="exact"/>
      <w:jc w:val="left"/>
    </w:pPr>
    <w:rPr>
      <w:rFonts w:ascii="MingLiU" w:eastAsia="MingLiU"/>
      <w:sz w:val="22"/>
    </w:rPr>
  </w:style>
  <w:style w:type="character" w:customStyle="1" w:styleId="964">
    <w:name w:val="正文文本 (2) + Constantia55"/>
    <w:qFormat/>
    <w:uiPriority w:val="0"/>
    <w:rPr>
      <w:rFonts w:ascii="Constantia" w:hAnsi="Constantia" w:eastAsia="MingLiU" w:cs="Constantia"/>
      <w:b/>
      <w:bCs/>
      <w:kern w:val="2"/>
      <w:sz w:val="22"/>
      <w:szCs w:val="22"/>
      <w:u w:val="none"/>
      <w:lang w:val="en-US" w:eastAsia="en-US" w:bidi="ar-SA"/>
    </w:rPr>
  </w:style>
  <w:style w:type="character" w:customStyle="1" w:styleId="965">
    <w:name w:val="正文文本 (2)18"/>
    <w:qFormat/>
    <w:uiPriority w:val="0"/>
    <w:rPr>
      <w:rFonts w:ascii="MingLiU" w:eastAsia="MingLiU" w:cs="MingLiU"/>
      <w:kern w:val="2"/>
      <w:sz w:val="22"/>
      <w:szCs w:val="22"/>
      <w:u w:val="none"/>
      <w:lang w:val="en-US" w:eastAsia="zh-CN" w:bidi="ar-SA"/>
    </w:rPr>
  </w:style>
  <w:style w:type="character" w:customStyle="1" w:styleId="966">
    <w:name w:val="正文文本 (17)3"/>
    <w:qFormat/>
    <w:uiPriority w:val="0"/>
    <w:rPr>
      <w:rFonts w:ascii="MingLiU" w:eastAsia="MingLiU"/>
      <w:kern w:val="2"/>
      <w:sz w:val="22"/>
      <w:szCs w:val="22"/>
      <w:lang w:val="en-US" w:eastAsia="en-US" w:bidi="ar-SA"/>
    </w:rPr>
  </w:style>
  <w:style w:type="character" w:customStyle="1" w:styleId="967">
    <w:name w:val="正文文本 (17) + Bookman Old Style"/>
    <w:qFormat/>
    <w:uiPriority w:val="0"/>
    <w:rPr>
      <w:rFonts w:ascii="Bookman Old Style" w:hAnsi="Bookman Old Style" w:eastAsia="MingLiU" w:cs="Bookman Old Style"/>
      <w:kern w:val="2"/>
      <w:sz w:val="24"/>
      <w:szCs w:val="24"/>
      <w:lang w:val="en-US" w:eastAsia="en-US" w:bidi="ar-SA"/>
    </w:rPr>
  </w:style>
  <w:style w:type="character" w:customStyle="1" w:styleId="968">
    <w:name w:val="正文文本 (17)2"/>
    <w:basedOn w:val="962"/>
    <w:qFormat/>
    <w:uiPriority w:val="0"/>
    <w:rPr>
      <w:rFonts w:ascii="MingLiU" w:eastAsia="MingLiU"/>
      <w:sz w:val="22"/>
      <w:shd w:val="clear" w:color="auto" w:fill="FFFFFF"/>
    </w:rPr>
  </w:style>
  <w:style w:type="character" w:customStyle="1" w:styleId="969">
    <w:name w:val="正文文本 (2) + 间距 3 pt3"/>
    <w:qFormat/>
    <w:uiPriority w:val="0"/>
    <w:rPr>
      <w:rFonts w:ascii="MingLiU" w:eastAsia="MingLiU" w:cs="MingLiU"/>
      <w:spacing w:val="60"/>
      <w:kern w:val="2"/>
      <w:sz w:val="22"/>
      <w:szCs w:val="22"/>
      <w:u w:val="none"/>
      <w:lang w:val="en-US" w:eastAsia="zh-CN" w:bidi="ar-SA"/>
    </w:rPr>
  </w:style>
  <w:style w:type="character" w:customStyle="1" w:styleId="970">
    <w:name w:val="正文文本 (2) + 间距 3 pt2"/>
    <w:qFormat/>
    <w:uiPriority w:val="0"/>
    <w:rPr>
      <w:rFonts w:ascii="MingLiU" w:eastAsia="MingLiU" w:cs="MingLiU"/>
      <w:spacing w:val="60"/>
      <w:kern w:val="2"/>
      <w:sz w:val="22"/>
      <w:szCs w:val="22"/>
      <w:u w:val="none"/>
      <w:lang w:val="en-US" w:eastAsia="zh-CN" w:bidi="ar-SA"/>
    </w:rPr>
  </w:style>
  <w:style w:type="character" w:customStyle="1" w:styleId="971">
    <w:name w:val="Char Char401"/>
    <w:qFormat/>
    <w:uiPriority w:val="0"/>
    <w:rPr>
      <w:rFonts w:ascii="宋体" w:eastAsia="黑体"/>
      <w:b/>
      <w:kern w:val="44"/>
      <w:sz w:val="44"/>
      <w:lang w:val="en-US" w:eastAsia="zh-CN" w:bidi="ar-SA"/>
    </w:rPr>
  </w:style>
  <w:style w:type="character" w:customStyle="1" w:styleId="972">
    <w:name w:val="Char Char391"/>
    <w:qFormat/>
    <w:uiPriority w:val="0"/>
    <w:rPr>
      <w:rFonts w:ascii="Arial" w:hAnsi="Arial" w:eastAsia="黑体"/>
      <w:b/>
      <w:kern w:val="2"/>
      <w:sz w:val="28"/>
      <w:lang w:val="en-US" w:eastAsia="zh-CN" w:bidi="ar-SA"/>
    </w:rPr>
  </w:style>
  <w:style w:type="character" w:customStyle="1" w:styleId="973">
    <w:name w:val="Char Char381"/>
    <w:qFormat/>
    <w:uiPriority w:val="0"/>
    <w:rPr>
      <w:rFonts w:eastAsia="宋体"/>
      <w:b/>
      <w:bCs/>
      <w:kern w:val="2"/>
      <w:sz w:val="26"/>
      <w:szCs w:val="32"/>
      <w:lang w:val="en-US" w:eastAsia="zh-CN" w:bidi="ar-SA"/>
    </w:rPr>
  </w:style>
  <w:style w:type="character" w:customStyle="1" w:styleId="974">
    <w:name w:val="Char Char371"/>
    <w:qFormat/>
    <w:uiPriority w:val="0"/>
    <w:rPr>
      <w:rFonts w:eastAsia="黑体"/>
      <w:kern w:val="2"/>
      <w:sz w:val="24"/>
      <w:lang w:val="en-US" w:eastAsia="zh-CN" w:bidi="ar-SA"/>
    </w:rPr>
  </w:style>
  <w:style w:type="character" w:customStyle="1" w:styleId="975">
    <w:name w:val="Char Char361"/>
    <w:qFormat/>
    <w:uiPriority w:val="0"/>
    <w:rPr>
      <w:rFonts w:eastAsia="宋体"/>
      <w:b/>
      <w:kern w:val="2"/>
      <w:sz w:val="28"/>
      <w:lang w:bidi="ar-SA"/>
    </w:rPr>
  </w:style>
  <w:style w:type="character" w:customStyle="1" w:styleId="976">
    <w:name w:val="Char Char351"/>
    <w:qFormat/>
    <w:uiPriority w:val="0"/>
    <w:rPr>
      <w:rFonts w:ascii="Arial" w:hAnsi="Arial" w:eastAsia="黑体"/>
      <w:b/>
      <w:kern w:val="2"/>
      <w:sz w:val="24"/>
      <w:lang w:bidi="ar-SA"/>
    </w:rPr>
  </w:style>
  <w:style w:type="character" w:customStyle="1" w:styleId="977">
    <w:name w:val="Char Char34"/>
    <w:qFormat/>
    <w:uiPriority w:val="0"/>
    <w:rPr>
      <w:rFonts w:eastAsia="宋体"/>
      <w:b/>
      <w:kern w:val="2"/>
      <w:sz w:val="24"/>
      <w:lang w:bidi="ar-SA"/>
    </w:rPr>
  </w:style>
  <w:style w:type="character" w:customStyle="1" w:styleId="978">
    <w:name w:val="Char Char33"/>
    <w:qFormat/>
    <w:uiPriority w:val="0"/>
    <w:rPr>
      <w:rFonts w:ascii="Arial" w:hAnsi="Arial" w:eastAsia="黑体"/>
      <w:kern w:val="2"/>
      <w:sz w:val="24"/>
      <w:lang w:bidi="ar-SA"/>
    </w:rPr>
  </w:style>
  <w:style w:type="character" w:customStyle="1" w:styleId="979">
    <w:name w:val="Char Char32"/>
    <w:qFormat/>
    <w:uiPriority w:val="0"/>
    <w:rPr>
      <w:rFonts w:ascii="Arial" w:hAnsi="Arial" w:eastAsia="黑体"/>
      <w:kern w:val="2"/>
      <w:sz w:val="21"/>
      <w:lang w:bidi="ar-SA"/>
    </w:rPr>
  </w:style>
  <w:style w:type="character" w:customStyle="1" w:styleId="980">
    <w:name w:val="Char Char21"/>
    <w:qFormat/>
    <w:uiPriority w:val="0"/>
    <w:rPr>
      <w:rFonts w:eastAsia="宋体"/>
      <w:kern w:val="2"/>
      <w:sz w:val="24"/>
      <w:szCs w:val="24"/>
      <w:lang w:val="en-US" w:eastAsia="zh-CN" w:bidi="ar-SA"/>
    </w:rPr>
  </w:style>
  <w:style w:type="character" w:customStyle="1" w:styleId="981">
    <w:name w:val="Char Char20"/>
    <w:qFormat/>
    <w:uiPriority w:val="0"/>
    <w:rPr>
      <w:kern w:val="2"/>
      <w:sz w:val="18"/>
      <w:szCs w:val="18"/>
      <w:lang w:bidi="ar-SA"/>
    </w:rPr>
  </w:style>
  <w:style w:type="character" w:customStyle="1" w:styleId="982">
    <w:name w:val="Char Char8"/>
    <w:qFormat/>
    <w:uiPriority w:val="0"/>
    <w:rPr>
      <w:rFonts w:ascii="宋体" w:hAnsi="宋体" w:eastAsia="宋体"/>
      <w:kern w:val="2"/>
      <w:sz w:val="21"/>
      <w:szCs w:val="24"/>
      <w:lang w:val="en-US" w:eastAsia="zh-CN" w:bidi="ar-SA"/>
    </w:rPr>
  </w:style>
  <w:style w:type="character" w:customStyle="1" w:styleId="983">
    <w:name w:val="Char Char271"/>
    <w:qFormat/>
    <w:uiPriority w:val="0"/>
    <w:rPr>
      <w:rFonts w:ascii="幼圆" w:eastAsia="幼圆"/>
      <w:kern w:val="2"/>
      <w:sz w:val="21"/>
      <w:szCs w:val="18"/>
      <w:lang w:val="en-US" w:eastAsia="zh-CN" w:bidi="ar-SA"/>
    </w:rPr>
  </w:style>
  <w:style w:type="character" w:customStyle="1" w:styleId="984">
    <w:name w:val="Char Char15"/>
    <w:qFormat/>
    <w:uiPriority w:val="0"/>
    <w:rPr>
      <w:rFonts w:ascii="宋体" w:hAnsi="宋体" w:eastAsia="宋体"/>
      <w:kern w:val="2"/>
      <w:sz w:val="18"/>
      <w:szCs w:val="18"/>
      <w:lang w:val="en-US" w:eastAsia="zh-CN" w:bidi="ar-SA"/>
    </w:rPr>
  </w:style>
  <w:style w:type="character" w:customStyle="1" w:styleId="985">
    <w:name w:val="Char Char26"/>
    <w:qFormat/>
    <w:uiPriority w:val="0"/>
    <w:rPr>
      <w:rFonts w:ascii="Arial" w:hAnsi="Arial" w:eastAsia="黑体" w:cs="Arial"/>
      <w:kern w:val="2"/>
      <w:lang w:bidi="ar-SA"/>
    </w:rPr>
  </w:style>
  <w:style w:type="character" w:customStyle="1" w:styleId="986">
    <w:name w:val="Char Char13"/>
    <w:qFormat/>
    <w:uiPriority w:val="0"/>
    <w:rPr>
      <w:rFonts w:ascii="Courier New" w:hAnsi="Courier New" w:cs="Courier New"/>
      <w:sz w:val="24"/>
      <w:szCs w:val="24"/>
      <w:lang w:val="en-US" w:eastAsia="zh-CN" w:bidi="ar-SA"/>
    </w:rPr>
  </w:style>
  <w:style w:type="character" w:customStyle="1" w:styleId="987">
    <w:name w:val="Char Char16"/>
    <w:qFormat/>
    <w:uiPriority w:val="0"/>
    <w:rPr>
      <w:szCs w:val="21"/>
      <w:lang w:bidi="ar-SA"/>
    </w:rPr>
  </w:style>
  <w:style w:type="character" w:customStyle="1" w:styleId="988">
    <w:name w:val="Char Char291"/>
    <w:qFormat/>
    <w:uiPriority w:val="0"/>
    <w:rPr>
      <w:rFonts w:ascii="宋体" w:hAnsi="宋体" w:eastAsia="宋体"/>
      <w:kern w:val="2"/>
      <w:sz w:val="24"/>
      <w:lang w:val="en-US" w:eastAsia="zh-CN" w:bidi="ar-SA"/>
    </w:rPr>
  </w:style>
  <w:style w:type="character" w:customStyle="1" w:styleId="989">
    <w:name w:val="Char Char10"/>
    <w:qFormat/>
    <w:uiPriority w:val="0"/>
    <w:rPr>
      <w:rFonts w:ascii="Cambria" w:hAnsi="Cambria"/>
      <w:b/>
      <w:kern w:val="28"/>
      <w:sz w:val="32"/>
      <w:lang w:bidi="ar-SA"/>
    </w:rPr>
  </w:style>
  <w:style w:type="character" w:customStyle="1" w:styleId="990">
    <w:name w:val="Char Char24"/>
    <w:qFormat/>
    <w:uiPriority w:val="0"/>
    <w:rPr>
      <w:rFonts w:ascii="宋体" w:hAnsi="宋体" w:eastAsia="宋体"/>
      <w:sz w:val="24"/>
      <w:lang w:val="en-US" w:eastAsia="zh-CN" w:bidi="ar-SA"/>
    </w:rPr>
  </w:style>
  <w:style w:type="character" w:customStyle="1" w:styleId="991">
    <w:name w:val="Char Char12"/>
    <w:qFormat/>
    <w:uiPriority w:val="0"/>
    <w:rPr>
      <w:kern w:val="2"/>
      <w:sz w:val="24"/>
      <w:szCs w:val="21"/>
      <w:lang w:bidi="ar-SA"/>
    </w:rPr>
  </w:style>
  <w:style w:type="character" w:customStyle="1" w:styleId="992">
    <w:name w:val="Char Char23"/>
    <w:qFormat/>
    <w:uiPriority w:val="0"/>
    <w:rPr>
      <w:kern w:val="2"/>
      <w:sz w:val="24"/>
      <w:szCs w:val="21"/>
      <w:lang w:bidi="ar-SA"/>
    </w:rPr>
  </w:style>
  <w:style w:type="character" w:customStyle="1" w:styleId="993">
    <w:name w:val="Char Char11"/>
    <w:qFormat/>
    <w:uiPriority w:val="0"/>
    <w:rPr>
      <w:kern w:val="2"/>
      <w:sz w:val="24"/>
      <w:lang w:bidi="ar-SA"/>
    </w:rPr>
  </w:style>
  <w:style w:type="character" w:customStyle="1" w:styleId="994">
    <w:name w:val="Char Char17"/>
    <w:qFormat/>
    <w:uiPriority w:val="0"/>
    <w:rPr>
      <w:kern w:val="2"/>
      <w:sz w:val="16"/>
      <w:szCs w:val="16"/>
      <w:lang w:bidi="ar-SA"/>
    </w:rPr>
  </w:style>
  <w:style w:type="character" w:customStyle="1" w:styleId="995">
    <w:name w:val="Char Char181"/>
    <w:qFormat/>
    <w:uiPriority w:val="0"/>
    <w:rPr>
      <w:kern w:val="2"/>
      <w:sz w:val="24"/>
      <w:szCs w:val="21"/>
      <w:lang w:bidi="ar-SA"/>
    </w:rPr>
  </w:style>
  <w:style w:type="character" w:customStyle="1" w:styleId="996">
    <w:name w:val="Char Char30"/>
    <w:qFormat/>
    <w:uiPriority w:val="0"/>
    <w:rPr>
      <w:kern w:val="2"/>
      <w:sz w:val="16"/>
      <w:szCs w:val="16"/>
      <w:lang w:bidi="ar-SA"/>
    </w:rPr>
  </w:style>
  <w:style w:type="character" w:customStyle="1" w:styleId="997">
    <w:name w:val="Char Char28"/>
    <w:qFormat/>
    <w:uiPriority w:val="0"/>
    <w:rPr>
      <w:rFonts w:ascii="宋体" w:hAnsi="宋体" w:eastAsia="宋体"/>
      <w:kern w:val="2"/>
      <w:sz w:val="18"/>
      <w:szCs w:val="18"/>
      <w:lang w:bidi="ar-SA"/>
    </w:rPr>
  </w:style>
  <w:style w:type="character" w:customStyle="1" w:styleId="998">
    <w:name w:val="Char Char221"/>
    <w:qFormat/>
    <w:uiPriority w:val="0"/>
    <w:rPr>
      <w:rFonts w:ascii="宋体" w:hAnsi="Courier New" w:eastAsia="宋体" w:cs="Courier New"/>
      <w:kern w:val="2"/>
      <w:sz w:val="21"/>
      <w:szCs w:val="21"/>
      <w:lang w:val="en-US" w:eastAsia="zh-CN" w:bidi="ar-SA"/>
    </w:rPr>
  </w:style>
  <w:style w:type="character" w:customStyle="1" w:styleId="999">
    <w:name w:val="Char Char31"/>
    <w:qFormat/>
    <w:uiPriority w:val="0"/>
    <w:rPr>
      <w:b/>
      <w:bCs/>
      <w:kern w:val="2"/>
      <w:sz w:val="21"/>
      <w:szCs w:val="24"/>
      <w:lang w:bidi="ar-SA"/>
    </w:rPr>
  </w:style>
  <w:style w:type="character" w:customStyle="1" w:styleId="1000">
    <w:name w:val="Char Char25"/>
    <w:qFormat/>
    <w:uiPriority w:val="0"/>
    <w:rPr>
      <w:kern w:val="2"/>
      <w:sz w:val="18"/>
      <w:szCs w:val="18"/>
      <w:lang w:bidi="ar-SA"/>
    </w:rPr>
  </w:style>
  <w:style w:type="paragraph" w:customStyle="1" w:styleId="1001">
    <w:name w:val="Char4 Char Char Char Char Char Char11"/>
    <w:basedOn w:val="1"/>
    <w:qFormat/>
    <w:uiPriority w:val="0"/>
    <w:pPr>
      <w:ind w:firstLine="200" w:firstLineChars="200"/>
    </w:pPr>
    <w:rPr>
      <w:rFonts w:ascii="宋体" w:hAnsi="宋体" w:eastAsia="宋体" w:cs="宋体"/>
      <w:sz w:val="24"/>
      <w:szCs w:val="24"/>
    </w:rPr>
  </w:style>
  <w:style w:type="paragraph" w:customStyle="1" w:styleId="1002">
    <w:name w:val="1.1"/>
    <w:basedOn w:val="1"/>
    <w:qFormat/>
    <w:uiPriority w:val="0"/>
    <w:pPr>
      <w:spacing w:beforeLines="50" w:afterLines="50" w:line="500" w:lineRule="exact"/>
      <w:ind w:firstLine="200" w:firstLineChars="200"/>
    </w:pPr>
    <w:rPr>
      <w:rFonts w:ascii="Times New Roman" w:hAnsi="Times New Roman" w:eastAsia="黑体" w:cs="Times New Roman"/>
      <w:b/>
      <w:sz w:val="30"/>
      <w:szCs w:val="20"/>
    </w:rPr>
  </w:style>
  <w:style w:type="paragraph" w:customStyle="1" w:styleId="1003">
    <w:name w:val="Char1 Char Char Char1"/>
    <w:basedOn w:val="1"/>
    <w:qFormat/>
    <w:uiPriority w:val="0"/>
    <w:pPr>
      <w:spacing w:line="240" w:lineRule="auto"/>
    </w:pPr>
    <w:rPr>
      <w:rFonts w:ascii="Times New Roman" w:hAnsi="Times New Roman" w:eastAsia="宋体" w:cs="Times New Roman"/>
      <w:szCs w:val="20"/>
    </w:rPr>
  </w:style>
  <w:style w:type="paragraph" w:customStyle="1" w:styleId="1004">
    <w:name w:val="Char1 Char Char Char Char Char Char Char Char1"/>
    <w:basedOn w:val="1"/>
    <w:qFormat/>
    <w:uiPriority w:val="0"/>
    <w:pPr>
      <w:ind w:firstLine="200" w:firstLineChars="200"/>
    </w:pPr>
    <w:rPr>
      <w:rFonts w:ascii="Times New Roman" w:hAnsi="Times New Roman" w:eastAsia="宋体" w:cs="Times New Roman"/>
      <w:szCs w:val="24"/>
    </w:rPr>
  </w:style>
  <w:style w:type="paragraph" w:customStyle="1" w:styleId="1005">
    <w:name w:val="Char21"/>
    <w:basedOn w:val="1"/>
    <w:qFormat/>
    <w:uiPriority w:val="0"/>
    <w:pPr>
      <w:ind w:firstLine="200" w:firstLineChars="200"/>
    </w:pPr>
    <w:rPr>
      <w:rFonts w:ascii="宋体" w:hAnsi="宋体" w:eastAsia="宋体" w:cs="宋体"/>
      <w:sz w:val="24"/>
      <w:szCs w:val="24"/>
    </w:rPr>
  </w:style>
  <w:style w:type="paragraph" w:customStyle="1" w:styleId="1006">
    <w:name w:val="Char4 Char Char Char1"/>
    <w:basedOn w:val="1"/>
    <w:qFormat/>
    <w:uiPriority w:val="0"/>
    <w:pPr>
      <w:adjustRightInd w:val="0"/>
      <w:snapToGrid w:val="0"/>
      <w:ind w:firstLine="200" w:firstLineChars="200"/>
    </w:pPr>
    <w:rPr>
      <w:rFonts w:ascii="宋体" w:hAnsi="宋体" w:eastAsia="宋体" w:cs="宋体"/>
      <w:sz w:val="24"/>
      <w:szCs w:val="26"/>
    </w:rPr>
  </w:style>
  <w:style w:type="character" w:customStyle="1" w:styleId="1007">
    <w:name w:val="表格文字 Char Char"/>
    <w:link w:val="171"/>
    <w:qFormat/>
    <w:uiPriority w:val="0"/>
    <w:rPr>
      <w:rFonts w:ascii="宋体" w:hAnsi="宋体" w:eastAsia="宋体"/>
      <w:kern w:val="2"/>
      <w:sz w:val="21"/>
      <w:szCs w:val="24"/>
      <w:lang w:val="en-US" w:eastAsia="zh-CN" w:bidi="ar-SA"/>
    </w:rPr>
  </w:style>
  <w:style w:type="paragraph" w:customStyle="1" w:styleId="1008">
    <w:name w:val="Char51"/>
    <w:basedOn w:val="1"/>
    <w:qFormat/>
    <w:uiPriority w:val="0"/>
    <w:pPr>
      <w:shd w:val="clear" w:color="auto" w:fill="000080"/>
      <w:adjustRightInd w:val="0"/>
      <w:spacing w:line="436" w:lineRule="exact"/>
      <w:ind w:left="357"/>
      <w:jc w:val="left"/>
      <w:outlineLvl w:val="3"/>
    </w:pPr>
    <w:rPr>
      <w:rFonts w:ascii="Tahoma" w:hAnsi="Tahoma" w:eastAsia="宋体" w:cs="Times New Roman"/>
      <w:b/>
      <w:sz w:val="24"/>
      <w:szCs w:val="28"/>
    </w:rPr>
  </w:style>
  <w:style w:type="paragraph" w:customStyle="1" w:styleId="1009">
    <w:name w:val="Char Char Char Char Char Char Char Char Char Char Char Char Char Char Char Char Char Char Char Char Char Char Char Char Char1"/>
    <w:basedOn w:val="1"/>
    <w:qFormat/>
    <w:uiPriority w:val="0"/>
    <w:pPr>
      <w:ind w:firstLine="200" w:firstLineChars="200"/>
    </w:pPr>
    <w:rPr>
      <w:rFonts w:ascii="宋体" w:hAnsi="宋体" w:eastAsia="宋体" w:cs="宋体"/>
      <w:sz w:val="24"/>
      <w:szCs w:val="24"/>
    </w:rPr>
  </w:style>
  <w:style w:type="paragraph" w:customStyle="1" w:styleId="1010">
    <w:name w:val="Char Char Char Char Char Char Char Char Char Char Char Char Char Char Char Char Char Char Char1"/>
    <w:basedOn w:val="1"/>
    <w:qFormat/>
    <w:uiPriority w:val="0"/>
    <w:pPr>
      <w:ind w:firstLine="200" w:firstLineChars="200"/>
    </w:pPr>
    <w:rPr>
      <w:rFonts w:ascii="宋体" w:hAnsi="宋体" w:eastAsia="宋体" w:cs="宋体"/>
      <w:sz w:val="24"/>
      <w:szCs w:val="24"/>
    </w:rPr>
  </w:style>
  <w:style w:type="character" w:customStyle="1" w:styleId="1011">
    <w:name w:val="1.1.1 Char"/>
    <w:link w:val="1012"/>
    <w:qFormat/>
    <w:uiPriority w:val="0"/>
    <w:rPr>
      <w:rFonts w:ascii="黑体" w:hAnsi="黑体" w:eastAsia="黑体"/>
      <w:b/>
      <w:sz w:val="28"/>
    </w:rPr>
  </w:style>
  <w:style w:type="paragraph" w:customStyle="1" w:styleId="1012">
    <w:name w:val="1.1.1"/>
    <w:basedOn w:val="1"/>
    <w:link w:val="1011"/>
    <w:qFormat/>
    <w:uiPriority w:val="0"/>
    <w:pPr>
      <w:spacing w:beforeLines="50" w:afterLines="50" w:line="500" w:lineRule="exact"/>
      <w:ind w:firstLine="200" w:firstLineChars="200"/>
    </w:pPr>
    <w:rPr>
      <w:rFonts w:ascii="黑体" w:hAnsi="黑体" w:eastAsia="黑体"/>
      <w:b/>
      <w:sz w:val="28"/>
    </w:rPr>
  </w:style>
  <w:style w:type="paragraph" w:customStyle="1" w:styleId="1013">
    <w:name w:val="Char Char Char Char Char Char12"/>
    <w:basedOn w:val="1"/>
    <w:link w:val="1014"/>
    <w:qFormat/>
    <w:uiPriority w:val="0"/>
    <w:pPr>
      <w:ind w:firstLine="200" w:firstLineChars="200"/>
    </w:pPr>
    <w:rPr>
      <w:rFonts w:ascii="宋体" w:hAnsi="宋体" w:eastAsia="宋体" w:cs="宋体"/>
      <w:sz w:val="24"/>
      <w:szCs w:val="24"/>
    </w:rPr>
  </w:style>
  <w:style w:type="character" w:customStyle="1" w:styleId="1014">
    <w:name w:val="Char Char Char Char Char Char Char11"/>
    <w:link w:val="1013"/>
    <w:qFormat/>
    <w:uiPriority w:val="0"/>
    <w:rPr>
      <w:rFonts w:ascii="宋体" w:hAnsi="宋体" w:eastAsia="宋体" w:cs="宋体"/>
      <w:sz w:val="24"/>
      <w:szCs w:val="24"/>
    </w:rPr>
  </w:style>
  <w:style w:type="paragraph" w:customStyle="1" w:styleId="1015">
    <w:name w:val="1.1.1.1.1"/>
    <w:basedOn w:val="1"/>
    <w:qFormat/>
    <w:uiPriority w:val="0"/>
    <w:pPr>
      <w:spacing w:line="240" w:lineRule="auto"/>
      <w:ind w:firstLine="482" w:firstLineChars="200"/>
      <w:outlineLvl w:val="4"/>
    </w:pPr>
    <w:rPr>
      <w:rFonts w:ascii="Times New Roman" w:hAnsi="Times New Roman" w:eastAsia="宋体" w:cs="Times New Roman"/>
      <w:b/>
      <w:sz w:val="24"/>
      <w:szCs w:val="24"/>
    </w:rPr>
  </w:style>
  <w:style w:type="paragraph" w:customStyle="1" w:styleId="1016">
    <w:name w:val="Char Char Char Char Char Char Char Char Char Char Char Char Char Char Char Char Char Char1"/>
    <w:basedOn w:val="1"/>
    <w:qFormat/>
    <w:uiPriority w:val="0"/>
    <w:pPr>
      <w:spacing w:line="240" w:lineRule="auto"/>
    </w:pPr>
    <w:rPr>
      <w:rFonts w:ascii="宋体" w:hAnsi="Times New Roman" w:eastAsia="宋体" w:cs="Times New Roman"/>
      <w:sz w:val="24"/>
      <w:szCs w:val="20"/>
    </w:rPr>
  </w:style>
  <w:style w:type="paragraph" w:customStyle="1" w:styleId="1017">
    <w:name w:val="Char Char Char Char Char Char Char Char Char Char Char Char Char Char Char Char Char Char1 Char Char Char Char1"/>
    <w:basedOn w:val="1"/>
    <w:qFormat/>
    <w:uiPriority w:val="0"/>
    <w:pPr>
      <w:spacing w:line="240" w:lineRule="auto"/>
    </w:pPr>
    <w:rPr>
      <w:rFonts w:ascii="Times New Roman" w:hAnsi="Times New Roman" w:eastAsia="宋体" w:cs="Times New Roman"/>
      <w:szCs w:val="24"/>
    </w:rPr>
  </w:style>
  <w:style w:type="paragraph" w:customStyle="1" w:styleId="1018">
    <w:name w:val="1.1.1.1"/>
    <w:basedOn w:val="1012"/>
    <w:qFormat/>
    <w:uiPriority w:val="0"/>
    <w:rPr>
      <w:rFonts w:eastAsia="楷体_GB2312"/>
    </w:rPr>
  </w:style>
  <w:style w:type="paragraph" w:customStyle="1" w:styleId="1019">
    <w:name w:val="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Times New Roman" w:hAnsi="Times New Roman" w:eastAsia="宋体" w:cs="Times New Roman"/>
      <w:sz w:val="32"/>
      <w:szCs w:val="20"/>
    </w:rPr>
  </w:style>
  <w:style w:type="paragraph" w:customStyle="1" w:styleId="1020">
    <w:name w:val="纯文本1"/>
    <w:basedOn w:val="1"/>
    <w:qFormat/>
    <w:uiPriority w:val="0"/>
    <w:pPr>
      <w:spacing w:line="240" w:lineRule="auto"/>
    </w:pPr>
    <w:rPr>
      <w:rFonts w:ascii="宋体" w:hAnsi="Courier New" w:eastAsia="宋体" w:cs="Times New Roman"/>
      <w:kern w:val="0"/>
      <w:sz w:val="20"/>
    </w:rPr>
  </w:style>
  <w:style w:type="character" w:customStyle="1" w:styleId="1021">
    <w:name w:val="Char Char1411"/>
    <w:qFormat/>
    <w:uiPriority w:val="0"/>
    <w:rPr>
      <w:kern w:val="2"/>
      <w:sz w:val="18"/>
      <w:szCs w:val="18"/>
    </w:rPr>
  </w:style>
  <w:style w:type="character" w:customStyle="1" w:styleId="1022">
    <w:name w:val="Char Char4"/>
    <w:qFormat/>
    <w:uiPriority w:val="0"/>
    <w:rPr>
      <w:kern w:val="2"/>
      <w:sz w:val="18"/>
      <w:szCs w:val="18"/>
    </w:rPr>
  </w:style>
  <w:style w:type="character" w:customStyle="1" w:styleId="1023">
    <w:name w:val="表格文字 Char Char Char"/>
    <w:qFormat/>
    <w:uiPriority w:val="0"/>
    <w:rPr>
      <w:rFonts w:hint="eastAsia" w:ascii="宋体" w:hAnsi="宋体" w:eastAsia="宋体"/>
      <w:kern w:val="2"/>
      <w:sz w:val="21"/>
      <w:lang w:val="en-US" w:eastAsia="zh-CN" w:bidi="ar-SA"/>
    </w:rPr>
  </w:style>
  <w:style w:type="character" w:customStyle="1" w:styleId="1024">
    <w:name w:val="1.1.1 Char Char"/>
    <w:qFormat/>
    <w:uiPriority w:val="0"/>
    <w:rPr>
      <w:rFonts w:hint="eastAsia" w:ascii="黑体" w:hAnsi="黑体" w:eastAsia="黑体"/>
      <w:b/>
      <w:kern w:val="2"/>
      <w:sz w:val="28"/>
    </w:rPr>
  </w:style>
  <w:style w:type="character" w:customStyle="1" w:styleId="1025">
    <w:name w:val="Char Char2"/>
    <w:qFormat/>
    <w:uiPriority w:val="0"/>
    <w:rPr>
      <w:rFonts w:hint="eastAsia" w:ascii="黑体" w:hAnsi="黑体" w:eastAsia="黑体"/>
      <w:bCs/>
      <w:kern w:val="2"/>
      <w:sz w:val="24"/>
      <w:szCs w:val="32"/>
      <w:lang w:val="en-US" w:eastAsia="zh-CN" w:bidi="ar-SA"/>
    </w:rPr>
  </w:style>
  <w:style w:type="character" w:customStyle="1" w:styleId="1026">
    <w:name w:val="Char Char Char Char11"/>
    <w:qFormat/>
    <w:uiPriority w:val="0"/>
    <w:rPr>
      <w:rFonts w:hint="eastAsia" w:ascii="宋体" w:hAnsi="宋体" w:eastAsia="宋体"/>
      <w:kern w:val="2"/>
      <w:sz w:val="24"/>
      <w:lang w:val="en-US" w:eastAsia="zh-CN"/>
    </w:rPr>
  </w:style>
  <w:style w:type="character" w:customStyle="1" w:styleId="1027">
    <w:name w:val="Char Char91"/>
    <w:qFormat/>
    <w:uiPriority w:val="0"/>
    <w:rPr>
      <w:kern w:val="2"/>
      <w:sz w:val="18"/>
    </w:rPr>
  </w:style>
  <w:style w:type="character" w:customStyle="1" w:styleId="1028">
    <w:name w:val="Char Char6"/>
    <w:qFormat/>
    <w:uiPriority w:val="0"/>
    <w:rPr>
      <w:rFonts w:ascii="Arial" w:hAnsi="Arial" w:eastAsia="宋体" w:cs="Arial"/>
      <w:vanish/>
      <w:kern w:val="2"/>
      <w:sz w:val="16"/>
      <w:szCs w:val="16"/>
      <w:lang w:val="en-US" w:eastAsia="zh-CN" w:bidi="ar-SA"/>
    </w:rPr>
  </w:style>
  <w:style w:type="character" w:customStyle="1" w:styleId="1029">
    <w:name w:val="Char Char3"/>
    <w:qFormat/>
    <w:uiPriority w:val="0"/>
    <w:rPr>
      <w:rFonts w:hint="eastAsia" w:ascii="仿宋_GB2312" w:hAnsi="仿宋_GB2312" w:eastAsia="黑体"/>
      <w:bCs/>
      <w:kern w:val="2"/>
      <w:sz w:val="32"/>
      <w:szCs w:val="32"/>
      <w:lang w:val="en-US" w:eastAsia="zh-CN" w:bidi="ar-SA"/>
    </w:rPr>
  </w:style>
  <w:style w:type="paragraph" w:customStyle="1" w:styleId="1030">
    <w:name w:val="宋体"/>
    <w:basedOn w:val="1"/>
    <w:next w:val="6"/>
    <w:semiHidden/>
    <w:qFormat/>
    <w:uiPriority w:val="0"/>
    <w:pPr>
      <w:tabs>
        <w:tab w:val="left" w:pos="540"/>
      </w:tabs>
      <w:ind w:firstLine="560" w:firstLineChars="200"/>
    </w:pPr>
    <w:rPr>
      <w:rFonts w:ascii="Times New Roman" w:hAnsi="Times New Roman" w:eastAsia="宋体" w:cs="Times New Roman"/>
      <w:b/>
      <w:sz w:val="28"/>
      <w:szCs w:val="28"/>
    </w:rPr>
  </w:style>
  <w:style w:type="paragraph" w:customStyle="1" w:styleId="1031">
    <w:name w:val="正文（环评）"/>
    <w:basedOn w:val="1"/>
    <w:link w:val="1032"/>
    <w:qFormat/>
    <w:uiPriority w:val="0"/>
    <w:pPr>
      <w:ind w:firstLine="200" w:firstLineChars="200"/>
      <w:jc w:val="left"/>
    </w:pPr>
    <w:rPr>
      <w:rFonts w:ascii="Times New Roman" w:hAnsi="Times New Roman" w:eastAsia="宋体" w:cs="Times New Roman"/>
      <w:spacing w:val="6"/>
      <w:sz w:val="24"/>
      <w:szCs w:val="24"/>
    </w:rPr>
  </w:style>
  <w:style w:type="character" w:customStyle="1" w:styleId="1032">
    <w:name w:val="正文（环评） Char Char"/>
    <w:link w:val="1031"/>
    <w:qFormat/>
    <w:uiPriority w:val="0"/>
    <w:rPr>
      <w:rFonts w:ascii="Times New Roman" w:hAnsi="Times New Roman" w:eastAsia="宋体" w:cs="Times New Roman"/>
      <w:spacing w:val="6"/>
      <w:sz w:val="24"/>
      <w:szCs w:val="24"/>
    </w:rPr>
  </w:style>
  <w:style w:type="character" w:customStyle="1" w:styleId="1033">
    <w:name w:val="t_tag"/>
    <w:basedOn w:val="91"/>
    <w:qFormat/>
    <w:uiPriority w:val="0"/>
    <w:rPr>
      <w:rFonts w:eastAsia="宋体"/>
      <w:kern w:val="2"/>
      <w:sz w:val="24"/>
      <w:szCs w:val="24"/>
      <w:lang w:val="en-US" w:eastAsia="zh-CN" w:bidi="ar-SA"/>
    </w:rPr>
  </w:style>
  <w:style w:type="paragraph" w:customStyle="1" w:styleId="1034">
    <w:name w:val="+++正文"/>
    <w:basedOn w:val="1"/>
    <w:link w:val="1035"/>
    <w:qFormat/>
    <w:uiPriority w:val="0"/>
    <w:pPr>
      <w:ind w:firstLine="200" w:firstLineChars="200"/>
    </w:pPr>
    <w:rPr>
      <w:rFonts w:ascii="Times New Roman" w:hAnsi="Times New Roman" w:eastAsia="宋体" w:cs="宋体"/>
      <w:sz w:val="24"/>
      <w:szCs w:val="24"/>
    </w:rPr>
  </w:style>
  <w:style w:type="character" w:customStyle="1" w:styleId="1035">
    <w:name w:val="+++正文 Char"/>
    <w:link w:val="1034"/>
    <w:qFormat/>
    <w:uiPriority w:val="0"/>
    <w:rPr>
      <w:rFonts w:ascii="Times New Roman" w:hAnsi="Times New Roman" w:eastAsia="宋体" w:cs="宋体"/>
      <w:sz w:val="24"/>
      <w:szCs w:val="24"/>
    </w:rPr>
  </w:style>
  <w:style w:type="paragraph" w:customStyle="1" w:styleId="1036">
    <w:name w:val="++++正文"/>
    <w:basedOn w:val="1034"/>
    <w:link w:val="1037"/>
    <w:qFormat/>
    <w:uiPriority w:val="0"/>
    <w:rPr>
      <w:rFonts w:eastAsia="黑体"/>
      <w:b/>
    </w:rPr>
  </w:style>
  <w:style w:type="character" w:customStyle="1" w:styleId="1037">
    <w:name w:val="++++正文 Char"/>
    <w:link w:val="1036"/>
    <w:qFormat/>
    <w:uiPriority w:val="0"/>
    <w:rPr>
      <w:rFonts w:ascii="Times New Roman" w:hAnsi="Times New Roman" w:eastAsia="黑体" w:cs="宋体"/>
      <w:b/>
      <w:sz w:val="24"/>
      <w:szCs w:val="24"/>
    </w:rPr>
  </w:style>
  <w:style w:type="character" w:customStyle="1" w:styleId="1038">
    <w:name w:val="正文文本 (17) + AngsanaUPC"/>
    <w:qFormat/>
    <w:uiPriority w:val="0"/>
    <w:rPr>
      <w:rFonts w:ascii="AngsanaUPC" w:hAnsi="AngsanaUPC" w:eastAsia="MingLiU" w:cs="AngsanaUPC"/>
      <w:kern w:val="2"/>
      <w:sz w:val="36"/>
      <w:szCs w:val="36"/>
      <w:u w:val="none"/>
      <w:lang w:val="en-US" w:eastAsia="en-US" w:bidi="ar-SA"/>
    </w:rPr>
  </w:style>
  <w:style w:type="character" w:customStyle="1" w:styleId="1039">
    <w:name w:val="Comment Text Char"/>
    <w:basedOn w:val="91"/>
    <w:qFormat/>
    <w:uiPriority w:val="0"/>
    <w:rPr>
      <w:rFonts w:eastAsia="宋体"/>
      <w:kern w:val="2"/>
      <w:sz w:val="24"/>
      <w:szCs w:val="24"/>
      <w:lang w:val="en-US" w:eastAsia="zh-CN" w:bidi="ar-SA"/>
    </w:rPr>
  </w:style>
  <w:style w:type="paragraph" w:customStyle="1" w:styleId="1040">
    <w:name w:val="图名1"/>
    <w:basedOn w:val="316"/>
    <w:link w:val="1041"/>
    <w:qFormat/>
    <w:uiPriority w:val="0"/>
    <w:pPr>
      <w:spacing w:after="50" w:line="300" w:lineRule="auto"/>
    </w:pPr>
    <w:rPr>
      <w:rFonts w:ascii="Calibri" w:hAnsi="Calibri"/>
    </w:rPr>
  </w:style>
  <w:style w:type="character" w:customStyle="1" w:styleId="1041">
    <w:name w:val="图名1 Char"/>
    <w:link w:val="1040"/>
    <w:qFormat/>
    <w:uiPriority w:val="0"/>
    <w:rPr>
      <w:rFonts w:ascii="Calibri" w:hAnsi="Calibri" w:eastAsia="黑体"/>
      <w:b/>
      <w:szCs w:val="24"/>
    </w:rPr>
  </w:style>
  <w:style w:type="paragraph" w:customStyle="1" w:styleId="1042">
    <w:name w:val="我的图表标题"/>
    <w:basedOn w:val="3"/>
    <w:link w:val="1043"/>
    <w:qFormat/>
    <w:uiPriority w:val="0"/>
    <w:pPr>
      <w:ind w:firstLine="0" w:firstLineChars="0"/>
      <w:jc w:val="center"/>
    </w:pPr>
    <w:rPr>
      <w:rFonts w:ascii="宋体" w:eastAsia="宋体" w:cs="宋体"/>
      <w:b/>
      <w:bCs/>
      <w:color w:val="000000"/>
      <w:sz w:val="24"/>
      <w:szCs w:val="21"/>
    </w:rPr>
  </w:style>
  <w:style w:type="character" w:customStyle="1" w:styleId="1043">
    <w:name w:val="我的图表标题 Char"/>
    <w:link w:val="1042"/>
    <w:qFormat/>
    <w:uiPriority w:val="0"/>
    <w:rPr>
      <w:rFonts w:ascii="宋体" w:hAnsi="Times New Roman" w:eastAsia="宋体" w:cs="宋体"/>
      <w:b/>
      <w:bCs/>
      <w:color w:val="000000"/>
      <w:sz w:val="24"/>
      <w:szCs w:val="21"/>
    </w:rPr>
  </w:style>
  <w:style w:type="paragraph" w:customStyle="1" w:styleId="1044">
    <w:name w:val="自动A"/>
    <w:basedOn w:val="296"/>
    <w:link w:val="1045"/>
    <w:qFormat/>
    <w:uiPriority w:val="0"/>
    <w:pPr>
      <w:keepNext w:val="0"/>
      <w:keepLines w:val="0"/>
      <w:spacing w:beforeLines="50" w:afterLines="50" w:line="360" w:lineRule="auto"/>
      <w:ind w:firstLine="200" w:firstLineChars="200"/>
      <w:outlineLvl w:val="9"/>
    </w:pPr>
    <w:rPr>
      <w:rFonts w:eastAsia="宋体"/>
      <w:bCs w:val="0"/>
      <w:color w:val="000000"/>
    </w:rPr>
  </w:style>
  <w:style w:type="character" w:customStyle="1" w:styleId="1045">
    <w:name w:val="自动A Char"/>
    <w:link w:val="1044"/>
    <w:qFormat/>
    <w:uiPriority w:val="0"/>
    <w:rPr>
      <w:rFonts w:eastAsia="宋体"/>
      <w:color w:val="000000"/>
      <w:sz w:val="24"/>
      <w:szCs w:val="24"/>
    </w:rPr>
  </w:style>
  <w:style w:type="paragraph" w:customStyle="1" w:styleId="1046">
    <w:name w:val="表格内文字"/>
    <w:basedOn w:val="1"/>
    <w:link w:val="1047"/>
    <w:qFormat/>
    <w:uiPriority w:val="0"/>
    <w:pPr>
      <w:tabs>
        <w:tab w:val="left" w:pos="-145"/>
      </w:tabs>
      <w:adjustRightInd w:val="0"/>
      <w:snapToGrid w:val="0"/>
      <w:spacing w:line="240" w:lineRule="auto"/>
      <w:jc w:val="center"/>
    </w:pPr>
    <w:rPr>
      <w:rFonts w:ascii="Times New Roman" w:hAnsi="Times New Roman" w:eastAsia="宋体" w:cs="Times New Roman"/>
      <w:snapToGrid w:val="0"/>
      <w:lang w:val="de-DE" w:eastAsia="de-DE"/>
    </w:rPr>
  </w:style>
  <w:style w:type="character" w:customStyle="1" w:styleId="1047">
    <w:name w:val="表格内文字 Char"/>
    <w:link w:val="1046"/>
    <w:qFormat/>
    <w:uiPriority w:val="0"/>
    <w:rPr>
      <w:rFonts w:ascii="Times New Roman" w:hAnsi="Times New Roman" w:eastAsia="宋体" w:cs="Times New Roman"/>
      <w:snapToGrid w:val="0"/>
      <w:szCs w:val="21"/>
      <w:lang w:val="de-DE" w:eastAsia="de-DE"/>
    </w:rPr>
  </w:style>
  <w:style w:type="paragraph" w:customStyle="1" w:styleId="1048">
    <w:name w:val="WPS Plain"/>
    <w:qFormat/>
    <w:uiPriority w:val="0"/>
    <w:rPr>
      <w:rFonts w:ascii="Times New Roman" w:hAnsi="Times New Roman" w:eastAsia="宋体" w:cs="Times New Roman"/>
      <w:lang w:val="en-US" w:eastAsia="zh-CN" w:bidi="ar-SA"/>
    </w:rPr>
  </w:style>
  <w:style w:type="paragraph" w:customStyle="1" w:styleId="1049">
    <w:name w:val="偶的正文"/>
    <w:basedOn w:val="87"/>
    <w:link w:val="1050"/>
    <w:qFormat/>
    <w:uiPriority w:val="0"/>
    <w:pPr>
      <w:tabs>
        <w:tab w:val="left" w:pos="6300"/>
      </w:tabs>
      <w:spacing w:beforeLines="50" w:afterLines="50" w:line="460" w:lineRule="exact"/>
      <w:ind w:firstLine="200" w:firstLineChars="200"/>
    </w:pPr>
    <w:rPr>
      <w:color w:val="FF0000"/>
      <w:sz w:val="24"/>
      <w:szCs w:val="21"/>
    </w:rPr>
  </w:style>
  <w:style w:type="character" w:customStyle="1" w:styleId="1050">
    <w:name w:val="偶的正文 Char Char"/>
    <w:link w:val="1049"/>
    <w:qFormat/>
    <w:uiPriority w:val="0"/>
    <w:rPr>
      <w:rFonts w:ascii="Times New Roman" w:hAnsi="Times New Roman" w:eastAsia="宋体" w:cs="Times New Roman"/>
      <w:color w:val="FF0000"/>
      <w:sz w:val="24"/>
      <w:szCs w:val="21"/>
    </w:rPr>
  </w:style>
  <w:style w:type="paragraph" w:customStyle="1" w:styleId="1051">
    <w:name w:val="无间隔2"/>
    <w:link w:val="1052"/>
    <w:qFormat/>
    <w:uiPriority w:val="0"/>
    <w:rPr>
      <w:rFonts w:ascii="Calibri" w:hAnsi="Calibri" w:eastAsia="宋体" w:cs="Times New Roman"/>
      <w:sz w:val="22"/>
      <w:lang w:val="en-US" w:eastAsia="zh-CN" w:bidi="ar-SA"/>
    </w:rPr>
  </w:style>
  <w:style w:type="character" w:customStyle="1" w:styleId="1052">
    <w:name w:val="No Spacing Char"/>
    <w:link w:val="1051"/>
    <w:qFormat/>
    <w:uiPriority w:val="0"/>
    <w:rPr>
      <w:rFonts w:ascii="Calibri" w:hAnsi="Calibri" w:eastAsia="宋体" w:cs="Times New Roman"/>
      <w:kern w:val="0"/>
      <w:sz w:val="22"/>
      <w:szCs w:val="20"/>
    </w:rPr>
  </w:style>
  <w:style w:type="character" w:customStyle="1" w:styleId="1053">
    <w:name w:val="正文文本 (17)11"/>
    <w:qFormat/>
    <w:uiPriority w:val="0"/>
    <w:rPr>
      <w:rFonts w:ascii="MingLiU" w:eastAsia="MingLiU"/>
      <w:kern w:val="2"/>
      <w:sz w:val="24"/>
      <w:szCs w:val="24"/>
      <w:lang w:val="en-US" w:eastAsia="zh-CN" w:bidi="ar-SA"/>
    </w:rPr>
  </w:style>
  <w:style w:type="character" w:customStyle="1" w:styleId="1054">
    <w:name w:val="正文（首行缩进两字）1 Char"/>
    <w:qFormat/>
    <w:uiPriority w:val="0"/>
    <w:rPr>
      <w:rFonts w:ascii="仿宋_GB2312" w:hAnsi="仿宋_GB2312" w:eastAsia="宋体"/>
      <w:kern w:val="2"/>
      <w:sz w:val="28"/>
      <w:szCs w:val="21"/>
      <w:lang w:val="en-US" w:eastAsia="zh-CN" w:bidi="ar-SA"/>
    </w:rPr>
  </w:style>
  <w:style w:type="character" w:customStyle="1" w:styleId="1055">
    <w:name w:val="目录 + 间距 0 pt1"/>
    <w:qFormat/>
    <w:uiPriority w:val="0"/>
    <w:rPr>
      <w:rFonts w:ascii="MingLiU" w:hAnsi="宋体" w:eastAsia="MingLiU" w:cs="MingLiU"/>
      <w:spacing w:val="-10"/>
      <w:kern w:val="2"/>
      <w:sz w:val="26"/>
      <w:szCs w:val="26"/>
      <w:u w:val="none"/>
      <w:lang w:val="en-US" w:eastAsia="zh-CN" w:bidi="ar-SA"/>
    </w:rPr>
  </w:style>
  <w:style w:type="character" w:customStyle="1" w:styleId="1056">
    <w:name w:val="正文文本 (2) + 10 pt20"/>
    <w:qFormat/>
    <w:uiPriority w:val="0"/>
    <w:rPr>
      <w:rFonts w:ascii="MingLiU" w:eastAsia="MingLiU"/>
      <w:kern w:val="2"/>
      <w:sz w:val="20"/>
      <w:szCs w:val="20"/>
      <w:lang w:val="en-US" w:eastAsia="zh-CN" w:bidi="ar-SA"/>
    </w:rPr>
  </w:style>
  <w:style w:type="character" w:customStyle="1" w:styleId="1057">
    <w:name w:val="正文文本 (2) + Constantia27"/>
    <w:qFormat/>
    <w:uiPriority w:val="0"/>
    <w:rPr>
      <w:rFonts w:ascii="Constantia" w:hAnsi="Constantia" w:eastAsia="MingLiU" w:cs="Constantia"/>
      <w:kern w:val="2"/>
      <w:sz w:val="20"/>
      <w:szCs w:val="20"/>
      <w:u w:val="none"/>
      <w:lang w:val="en-US" w:eastAsia="en-US" w:bidi="ar-SA"/>
    </w:rPr>
  </w:style>
  <w:style w:type="paragraph" w:customStyle="1" w:styleId="1058">
    <w:name w:val="Char Char Char1 Char Char Char Char"/>
    <w:basedOn w:val="1"/>
    <w:qFormat/>
    <w:uiPriority w:val="0"/>
    <w:pPr>
      <w:ind w:firstLine="200" w:firstLineChars="200"/>
    </w:pPr>
    <w:rPr>
      <w:rFonts w:ascii="Times New Roman" w:hAnsi="Times New Roman" w:eastAsia="宋体" w:cs="Times New Roman"/>
      <w:szCs w:val="20"/>
    </w:rPr>
  </w:style>
  <w:style w:type="character" w:customStyle="1" w:styleId="1059">
    <w:name w:val="标题 #5 (4)_"/>
    <w:link w:val="1060"/>
    <w:qFormat/>
    <w:uiPriority w:val="0"/>
    <w:rPr>
      <w:rFonts w:ascii="MingLiU" w:eastAsia="MingLiU"/>
      <w:sz w:val="28"/>
      <w:szCs w:val="28"/>
      <w:shd w:val="clear" w:color="auto" w:fill="FFFFFF"/>
    </w:rPr>
  </w:style>
  <w:style w:type="paragraph" w:customStyle="1" w:styleId="1060">
    <w:name w:val="标题 #5 (4)1"/>
    <w:basedOn w:val="1"/>
    <w:link w:val="1059"/>
    <w:qFormat/>
    <w:uiPriority w:val="0"/>
    <w:pPr>
      <w:shd w:val="clear" w:color="auto" w:fill="FFFFFF"/>
      <w:spacing w:before="840" w:line="562" w:lineRule="exact"/>
      <w:jc w:val="left"/>
      <w:outlineLvl w:val="4"/>
    </w:pPr>
    <w:rPr>
      <w:rFonts w:ascii="MingLiU" w:eastAsia="MingLiU"/>
      <w:sz w:val="28"/>
      <w:szCs w:val="28"/>
    </w:rPr>
  </w:style>
  <w:style w:type="character" w:customStyle="1" w:styleId="1061">
    <w:name w:val="正文文本 (2) + 10 pt21"/>
    <w:qFormat/>
    <w:uiPriority w:val="0"/>
    <w:rPr>
      <w:rFonts w:ascii="MingLiU" w:eastAsia="MingLiU" w:cs="MingLiU"/>
      <w:kern w:val="2"/>
      <w:sz w:val="20"/>
      <w:szCs w:val="20"/>
      <w:u w:val="none"/>
      <w:lang w:val="en-US" w:eastAsia="zh-CN" w:bidi="ar-SA"/>
    </w:rPr>
  </w:style>
  <w:style w:type="character" w:customStyle="1" w:styleId="1062">
    <w:name w:val="正文文本 (2) + Constantia"/>
    <w:qFormat/>
    <w:uiPriority w:val="0"/>
    <w:rPr>
      <w:rFonts w:ascii="Constantia" w:hAnsi="Constantia" w:eastAsia="MingLiU" w:cs="Constantia"/>
      <w:kern w:val="2"/>
      <w:sz w:val="20"/>
      <w:szCs w:val="20"/>
      <w:u w:val="none"/>
      <w:lang w:val="en-US" w:eastAsia="en-US" w:bidi="ar-SA"/>
    </w:rPr>
  </w:style>
  <w:style w:type="character" w:customStyle="1" w:styleId="1063">
    <w:name w:val="正文文本 (2) + 10 pt19"/>
    <w:qFormat/>
    <w:uiPriority w:val="0"/>
    <w:rPr>
      <w:rFonts w:ascii="MingLiU" w:eastAsia="MingLiU" w:cs="MingLiU"/>
      <w:kern w:val="2"/>
      <w:sz w:val="20"/>
      <w:szCs w:val="20"/>
      <w:u w:val="none"/>
      <w:lang w:val="en-US" w:eastAsia="zh-CN" w:bidi="ar-SA"/>
    </w:rPr>
  </w:style>
  <w:style w:type="character" w:customStyle="1" w:styleId="1064">
    <w:name w:val="正文文本 (2) + 10 pt16"/>
    <w:qFormat/>
    <w:uiPriority w:val="0"/>
    <w:rPr>
      <w:rFonts w:ascii="MingLiU" w:eastAsia="MingLiU" w:cs="MingLiU"/>
      <w:kern w:val="2"/>
      <w:sz w:val="20"/>
      <w:szCs w:val="20"/>
      <w:u w:val="none"/>
      <w:lang w:val="en-US" w:eastAsia="zh-CN" w:bidi="ar-SA"/>
    </w:rPr>
  </w:style>
  <w:style w:type="character" w:customStyle="1" w:styleId="1065">
    <w:name w:val="正文文本 (2) + Constantia26"/>
    <w:qFormat/>
    <w:uiPriority w:val="0"/>
    <w:rPr>
      <w:rFonts w:ascii="Constantia" w:hAnsi="Constantia" w:eastAsia="MingLiU" w:cs="Constantia"/>
      <w:kern w:val="2"/>
      <w:sz w:val="20"/>
      <w:szCs w:val="20"/>
      <w:u w:val="none"/>
      <w:lang w:val="en-US" w:eastAsia="en-US" w:bidi="ar-SA"/>
    </w:rPr>
  </w:style>
  <w:style w:type="character" w:customStyle="1" w:styleId="1066">
    <w:name w:val="正文文本 (2) + 10 pt15"/>
    <w:qFormat/>
    <w:uiPriority w:val="0"/>
    <w:rPr>
      <w:rFonts w:ascii="MingLiU" w:eastAsia="MingLiU" w:cs="MingLiU"/>
      <w:spacing w:val="-10"/>
      <w:kern w:val="2"/>
      <w:sz w:val="20"/>
      <w:szCs w:val="20"/>
      <w:u w:val="none"/>
      <w:lang w:val="en-US" w:eastAsia="en-US" w:bidi="ar-SA"/>
    </w:rPr>
  </w:style>
  <w:style w:type="character" w:customStyle="1" w:styleId="1067">
    <w:name w:val="正文文本 (2) + 10 pt17"/>
    <w:qFormat/>
    <w:uiPriority w:val="0"/>
    <w:rPr>
      <w:rFonts w:ascii="MingLiU" w:eastAsia="MingLiU" w:cs="MingLiU"/>
      <w:kern w:val="2"/>
      <w:sz w:val="20"/>
      <w:szCs w:val="20"/>
      <w:u w:val="none"/>
      <w:lang w:val="en-US" w:eastAsia="zh-CN" w:bidi="ar-SA"/>
    </w:rPr>
  </w:style>
  <w:style w:type="character" w:customStyle="1" w:styleId="1068">
    <w:name w:val="正文文本 (2) + Constantia25"/>
    <w:qFormat/>
    <w:uiPriority w:val="0"/>
    <w:rPr>
      <w:rFonts w:ascii="Constantia" w:hAnsi="Constantia" w:eastAsia="MingLiU" w:cs="Constantia"/>
      <w:i/>
      <w:iCs/>
      <w:kern w:val="2"/>
      <w:sz w:val="21"/>
      <w:szCs w:val="21"/>
      <w:u w:val="none"/>
      <w:lang w:val="en-US" w:eastAsia="en-US" w:bidi="ar-SA"/>
    </w:rPr>
  </w:style>
  <w:style w:type="paragraph" w:customStyle="1" w:styleId="1069">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ind w:left="6" w:firstLine="560" w:firstLineChars="200"/>
      <w:jc w:val="center"/>
      <w:textAlignment w:val="center"/>
    </w:pPr>
    <w:rPr>
      <w:rFonts w:ascii="宋体" w:hAnsi="宋体" w:eastAsia="仿宋_GB2312" w:cs="宋体"/>
      <w:color w:val="000000"/>
      <w:kern w:val="0"/>
      <w:sz w:val="24"/>
      <w:szCs w:val="24"/>
    </w:rPr>
  </w:style>
  <w:style w:type="character" w:customStyle="1" w:styleId="1070">
    <w:name w:val="Char Char Char Char Char Char11"/>
    <w:qFormat/>
    <w:uiPriority w:val="0"/>
    <w:rPr>
      <w:rFonts w:ascii="Times New Roman" w:hAnsi="Times New Roman" w:eastAsia="宋体" w:cs="Times New Roman"/>
      <w:b/>
      <w:bCs/>
      <w:sz w:val="32"/>
      <w:szCs w:val="32"/>
    </w:rPr>
  </w:style>
  <w:style w:type="character" w:customStyle="1" w:styleId="1071">
    <w:name w:val="款标题1.1.1.1 Char1"/>
    <w:qFormat/>
    <w:uiPriority w:val="0"/>
    <w:rPr>
      <w:rFonts w:eastAsia="宋体"/>
      <w:kern w:val="2"/>
      <w:sz w:val="24"/>
      <w:szCs w:val="24"/>
      <w:lang w:val="en-US" w:eastAsia="zh-CN" w:bidi="ar-SA"/>
    </w:rPr>
  </w:style>
  <w:style w:type="paragraph" w:customStyle="1" w:styleId="1072">
    <w:name w:val="正文缩进1"/>
    <w:basedOn w:val="1"/>
    <w:qFormat/>
    <w:uiPriority w:val="0"/>
    <w:pPr>
      <w:ind w:firstLine="420"/>
      <w:jc w:val="left"/>
    </w:pPr>
    <w:rPr>
      <w:rFonts w:ascii="Times New Roman" w:hAnsi="Times New Roman" w:eastAsia="宋体" w:cs="Times New Roman"/>
      <w:sz w:val="24"/>
      <w:szCs w:val="24"/>
    </w:rPr>
  </w:style>
  <w:style w:type="character" w:customStyle="1" w:styleId="1073">
    <w:name w:val="表格正文 Char Char Char"/>
    <w:qFormat/>
    <w:uiPriority w:val="0"/>
    <w:rPr>
      <w:rFonts w:ascii="宋体" w:eastAsia="宋体" w:cs="宋体"/>
      <w:kern w:val="2"/>
      <w:sz w:val="21"/>
      <w:lang w:val="en-US" w:eastAsia="zh-CN"/>
    </w:rPr>
  </w:style>
  <w:style w:type="character" w:customStyle="1" w:styleId="1074">
    <w:name w:val="正文首行缩进 Char Char"/>
    <w:qFormat/>
    <w:uiPriority w:val="0"/>
    <w:rPr>
      <w:rFonts w:eastAsia="黑体"/>
      <w:b/>
      <w:color w:val="008000"/>
      <w:kern w:val="2"/>
      <w:sz w:val="24"/>
      <w:szCs w:val="24"/>
      <w:lang w:val="en-US" w:eastAsia="zh-CN" w:bidi="ar-SA"/>
    </w:rPr>
  </w:style>
  <w:style w:type="character" w:customStyle="1" w:styleId="1075">
    <w:name w:val="纯文本 Char Char"/>
    <w:qFormat/>
    <w:uiPriority w:val="0"/>
    <w:rPr>
      <w:rFonts w:ascii="宋体" w:hAnsi="Courier New" w:eastAsia="宋体" w:cs="Courier New"/>
      <w:szCs w:val="21"/>
    </w:rPr>
  </w:style>
  <w:style w:type="character" w:customStyle="1" w:styleId="1076">
    <w:name w:val="表名 Char Char Char"/>
    <w:qFormat/>
    <w:uiPriority w:val="0"/>
    <w:rPr>
      <w:rFonts w:eastAsia="黑体"/>
      <w:kern w:val="2"/>
      <w:sz w:val="28"/>
      <w:lang w:val="en-US" w:eastAsia="zh-CN"/>
    </w:rPr>
  </w:style>
  <w:style w:type="character" w:customStyle="1" w:styleId="1077">
    <w:name w:val="正文缩进 Char Char"/>
    <w:link w:val="1078"/>
    <w:qFormat/>
    <w:uiPriority w:val="0"/>
    <w:rPr>
      <w:rFonts w:ascii="Calibri" w:hAnsi="Calibri"/>
    </w:rPr>
  </w:style>
  <w:style w:type="paragraph" w:customStyle="1" w:styleId="1078">
    <w:name w:val="正文缩进2"/>
    <w:basedOn w:val="1"/>
    <w:link w:val="1077"/>
    <w:qFormat/>
    <w:uiPriority w:val="0"/>
    <w:pPr>
      <w:ind w:firstLine="420"/>
      <w:jc w:val="left"/>
    </w:pPr>
    <w:rPr>
      <w:rFonts w:ascii="Calibri" w:hAnsi="Calibri"/>
    </w:rPr>
  </w:style>
  <w:style w:type="character" w:customStyle="1" w:styleId="1079">
    <w:name w:val="常用小四 Char Char"/>
    <w:link w:val="1080"/>
    <w:qFormat/>
    <w:uiPriority w:val="0"/>
    <w:rPr>
      <w:rFonts w:ascii="宋体" w:hAnsi="宋体"/>
      <w:sz w:val="24"/>
    </w:rPr>
  </w:style>
  <w:style w:type="paragraph" w:customStyle="1" w:styleId="1080">
    <w:name w:val="常用小四"/>
    <w:basedOn w:val="1"/>
    <w:link w:val="1079"/>
    <w:qFormat/>
    <w:uiPriority w:val="0"/>
    <w:pPr>
      <w:widowControl/>
      <w:spacing w:line="460" w:lineRule="exact"/>
      <w:ind w:firstLine="200" w:firstLineChars="200"/>
      <w:jc w:val="left"/>
    </w:pPr>
    <w:rPr>
      <w:rFonts w:ascii="宋体" w:hAnsi="宋体"/>
      <w:sz w:val="24"/>
    </w:rPr>
  </w:style>
  <w:style w:type="paragraph" w:customStyle="1" w:styleId="1081">
    <w:name w:val="Char1 Char Char Char Char Char Char Char Char Char Char Char Char"/>
    <w:basedOn w:val="1"/>
    <w:qFormat/>
    <w:uiPriority w:val="0"/>
    <w:pPr>
      <w:ind w:firstLine="200" w:firstLineChars="200"/>
      <w:jc w:val="left"/>
    </w:pPr>
    <w:rPr>
      <w:rFonts w:ascii="宋体" w:hAnsi="宋体" w:eastAsia="宋体" w:cs="宋体"/>
      <w:sz w:val="24"/>
      <w:szCs w:val="24"/>
    </w:rPr>
  </w:style>
  <w:style w:type="paragraph" w:customStyle="1" w:styleId="1082">
    <w:name w:val="纯文本3"/>
    <w:basedOn w:val="1"/>
    <w:qFormat/>
    <w:uiPriority w:val="0"/>
    <w:pPr>
      <w:jc w:val="left"/>
    </w:pPr>
    <w:rPr>
      <w:rFonts w:ascii="宋体" w:hAnsi="Plotter" w:eastAsia="宋体" w:cs="Times New Roman"/>
      <w:sz w:val="24"/>
      <w:szCs w:val="20"/>
    </w:rPr>
  </w:style>
  <w:style w:type="paragraph" w:customStyle="1" w:styleId="1083">
    <w:name w:val="文本正文 + 红色"/>
    <w:basedOn w:val="1"/>
    <w:qFormat/>
    <w:uiPriority w:val="0"/>
    <w:pPr>
      <w:ind w:firstLine="480" w:firstLineChars="200"/>
      <w:jc w:val="left"/>
    </w:pPr>
    <w:rPr>
      <w:rFonts w:ascii="Times New Roman" w:hAnsi="Times New Roman" w:eastAsia="宋体" w:cs="Times New Roman"/>
      <w:bCs/>
      <w:color w:val="FF0000"/>
      <w:sz w:val="24"/>
      <w:szCs w:val="24"/>
    </w:rPr>
  </w:style>
  <w:style w:type="paragraph" w:customStyle="1" w:styleId="1084">
    <w:name w:val="样式 四号"/>
    <w:basedOn w:val="1"/>
    <w:qFormat/>
    <w:uiPriority w:val="0"/>
    <w:pPr>
      <w:ind w:firstLine="560" w:firstLineChars="200"/>
      <w:jc w:val="left"/>
    </w:pPr>
    <w:rPr>
      <w:rFonts w:ascii="宋体" w:hAnsi="Times New Roman" w:eastAsia="宋体" w:cs="Times New Roman"/>
      <w:sz w:val="28"/>
      <w:szCs w:val="28"/>
    </w:rPr>
  </w:style>
  <w:style w:type="character" w:customStyle="1" w:styleId="1085">
    <w:name w:val="正文2 Char Char"/>
    <w:link w:val="1086"/>
    <w:qFormat/>
    <w:uiPriority w:val="0"/>
    <w:rPr>
      <w:rFonts w:eastAsia="宋体"/>
      <w:sz w:val="24"/>
      <w:szCs w:val="24"/>
    </w:rPr>
  </w:style>
  <w:style w:type="paragraph" w:customStyle="1" w:styleId="1086">
    <w:name w:val="正文2"/>
    <w:basedOn w:val="1"/>
    <w:link w:val="1085"/>
    <w:qFormat/>
    <w:uiPriority w:val="0"/>
    <w:pPr>
      <w:ind w:firstLine="200" w:firstLineChars="200"/>
      <w:jc w:val="left"/>
    </w:pPr>
    <w:rPr>
      <w:rFonts w:eastAsia="宋体"/>
      <w:sz w:val="24"/>
      <w:szCs w:val="24"/>
    </w:rPr>
  </w:style>
  <w:style w:type="paragraph" w:customStyle="1" w:styleId="1087">
    <w:name w:val="报告书的正文格式"/>
    <w:basedOn w:val="87"/>
    <w:qFormat/>
    <w:uiPriority w:val="0"/>
    <w:pPr>
      <w:spacing w:after="0" w:line="480" w:lineRule="exact"/>
      <w:ind w:firstLine="200" w:firstLineChars="200"/>
      <w:jc w:val="left"/>
    </w:pPr>
    <w:rPr>
      <w:kern w:val="0"/>
      <w:sz w:val="24"/>
    </w:rPr>
  </w:style>
  <w:style w:type="paragraph" w:customStyle="1" w:styleId="1088">
    <w:name w:val="表格后空行"/>
    <w:basedOn w:val="1"/>
    <w:qFormat/>
    <w:uiPriority w:val="0"/>
    <w:pPr>
      <w:jc w:val="left"/>
    </w:pPr>
    <w:rPr>
      <w:rFonts w:ascii="Times New Roman" w:hAnsi="Times New Roman" w:eastAsia="宋体" w:cs="Times New Roman"/>
      <w:sz w:val="24"/>
      <w:szCs w:val="24"/>
    </w:rPr>
  </w:style>
  <w:style w:type="character" w:customStyle="1" w:styleId="1089">
    <w:name w:val="常用小四 Char"/>
    <w:qFormat/>
    <w:uiPriority w:val="0"/>
    <w:rPr>
      <w:rFonts w:ascii="宋体" w:hAnsi="宋体" w:eastAsia="宋体"/>
      <w:sz w:val="24"/>
      <w:lang w:val="en-US" w:eastAsia="zh-CN" w:bidi="ar-SA"/>
    </w:rPr>
  </w:style>
  <w:style w:type="character" w:customStyle="1" w:styleId="1090">
    <w:name w:val="yxNone"/>
    <w:qFormat/>
    <w:uiPriority w:val="0"/>
    <w:rPr>
      <w:rFonts w:eastAsia="黑体"/>
      <w:b/>
      <w:color w:val="008000"/>
      <w:kern w:val="2"/>
      <w:sz w:val="24"/>
      <w:szCs w:val="24"/>
      <w:lang w:val="en-US" w:eastAsia="zh-CN" w:bidi="ar-SA"/>
    </w:rPr>
  </w:style>
  <w:style w:type="character" w:customStyle="1" w:styleId="1091">
    <w:name w:val="yxExternal"/>
    <w:qFormat/>
    <w:uiPriority w:val="0"/>
    <w:rPr>
      <w:rFonts w:ascii="Courier New" w:hAnsi="Courier New"/>
      <w:color w:val="808080"/>
    </w:rPr>
  </w:style>
  <w:style w:type="character" w:customStyle="1" w:styleId="1092">
    <w:name w:val="yxPopup"/>
    <w:qFormat/>
    <w:uiPriority w:val="0"/>
    <w:rPr>
      <w:rFonts w:ascii="Courier New" w:hAnsi="Courier New"/>
      <w:color w:val="008000"/>
    </w:rPr>
  </w:style>
  <w:style w:type="character" w:customStyle="1" w:styleId="1093">
    <w:name w:val="yxJump"/>
    <w:qFormat/>
    <w:uiPriority w:val="0"/>
    <w:rPr>
      <w:rFonts w:ascii="Courier New" w:hAnsi="Courier New"/>
      <w:color w:val="008080"/>
    </w:rPr>
  </w:style>
  <w:style w:type="character" w:customStyle="1" w:styleId="1094">
    <w:name w:val="yxInternal"/>
    <w:qFormat/>
    <w:uiPriority w:val="0"/>
    <w:rPr>
      <w:rFonts w:ascii="Courier New" w:hAnsi="Courier New"/>
      <w:color w:val="FF0000"/>
    </w:rPr>
  </w:style>
  <w:style w:type="character" w:customStyle="1" w:styleId="1095">
    <w:name w:val="yxMark"/>
    <w:qFormat/>
    <w:uiPriority w:val="0"/>
    <w:rPr>
      <w:rFonts w:ascii="Courier New" w:hAnsi="Courier New"/>
      <w:vanish/>
      <w:color w:val="800000"/>
      <w:vertAlign w:val="subscript"/>
    </w:rPr>
  </w:style>
  <w:style w:type="paragraph" w:customStyle="1" w:styleId="1096">
    <w:name w:val="样式 行距: 固定值 20 磅"/>
    <w:basedOn w:val="1"/>
    <w:qFormat/>
    <w:uiPriority w:val="0"/>
    <w:pPr>
      <w:spacing w:beforeLines="100" w:afterLines="100" w:line="400" w:lineRule="exact"/>
      <w:jc w:val="left"/>
    </w:pPr>
    <w:rPr>
      <w:rFonts w:ascii="Times New Roman" w:hAnsi="Times New Roman" w:eastAsia="宋体" w:cs="宋体"/>
      <w:sz w:val="24"/>
      <w:szCs w:val="20"/>
    </w:rPr>
  </w:style>
  <w:style w:type="paragraph" w:customStyle="1" w:styleId="1097">
    <w:name w:val="样式 样式2 + 段前: 1 行 段后: 1 行"/>
    <w:basedOn w:val="244"/>
    <w:qFormat/>
    <w:uiPriority w:val="0"/>
    <w:pPr>
      <w:tabs>
        <w:tab w:val="clear" w:pos="1134"/>
      </w:tabs>
      <w:spacing w:beforeLines="100" w:afterLines="100" w:line="400" w:lineRule="exact"/>
      <w:ind w:left="0" w:firstLine="0"/>
      <w:jc w:val="center"/>
      <w:outlineLvl w:val="1"/>
    </w:pPr>
    <w:rPr>
      <w:rFonts w:ascii="宋体" w:hAnsi="宋体" w:cs="宋体"/>
      <w:b/>
      <w:bCs/>
      <w:kern w:val="0"/>
      <w:sz w:val="28"/>
      <w:szCs w:val="20"/>
    </w:rPr>
  </w:style>
  <w:style w:type="character" w:customStyle="1" w:styleId="1098">
    <w:name w:val="表文 Char"/>
    <w:qFormat/>
    <w:uiPriority w:val="0"/>
    <w:rPr>
      <w:rFonts w:eastAsia="宋体"/>
      <w:kern w:val="2"/>
      <w:sz w:val="24"/>
      <w:lang w:val="en-US" w:eastAsia="zh-CN" w:bidi="ar-SA"/>
    </w:rPr>
  </w:style>
  <w:style w:type="character" w:customStyle="1" w:styleId="1099">
    <w:name w:val="正文2 Char"/>
    <w:qFormat/>
    <w:uiPriority w:val="0"/>
    <w:rPr>
      <w:rFonts w:eastAsia="宋体"/>
      <w:kern w:val="2"/>
      <w:sz w:val="24"/>
      <w:szCs w:val="24"/>
      <w:lang w:val="en-US" w:eastAsia="zh-CN" w:bidi="ar-SA"/>
    </w:rPr>
  </w:style>
  <w:style w:type="paragraph" w:customStyle="1" w:styleId="1100">
    <w:name w:val="宋标一"/>
    <w:basedOn w:val="1"/>
    <w:qFormat/>
    <w:uiPriority w:val="0"/>
    <w:pPr>
      <w:spacing w:beforeLines="50"/>
      <w:ind w:firstLine="200" w:firstLineChars="200"/>
      <w:jc w:val="left"/>
    </w:pPr>
    <w:rPr>
      <w:rFonts w:ascii="Times New Roman" w:hAnsi="Times New Roman" w:eastAsia="宋体" w:cs="Times New Roman"/>
      <w:sz w:val="24"/>
      <w:szCs w:val="24"/>
    </w:rPr>
  </w:style>
  <w:style w:type="paragraph" w:customStyle="1" w:styleId="1101">
    <w:name w:val="样式 标题 1 + 行距: 1.5 倍行距"/>
    <w:basedOn w:val="5"/>
    <w:qFormat/>
    <w:uiPriority w:val="0"/>
    <w:pPr>
      <w:numPr>
        <w:numId w:val="0"/>
      </w:numPr>
      <w:adjustRightInd w:val="0"/>
      <w:spacing w:before="0" w:after="0" w:line="360" w:lineRule="auto"/>
      <w:jc w:val="left"/>
      <w:textAlignment w:val="baseline"/>
    </w:pPr>
    <w:rPr>
      <w:rFonts w:eastAsia="黑体" w:cs="宋体"/>
      <w:sz w:val="24"/>
      <w:szCs w:val="20"/>
    </w:rPr>
  </w:style>
  <w:style w:type="character" w:customStyle="1" w:styleId="1102">
    <w:name w:val="表格正文 Char"/>
    <w:qFormat/>
    <w:uiPriority w:val="0"/>
    <w:rPr>
      <w:rFonts w:eastAsia="宋体"/>
      <w:sz w:val="24"/>
      <w:lang w:val="en-US" w:eastAsia="zh-CN" w:bidi="ar-SA"/>
    </w:rPr>
  </w:style>
  <w:style w:type="paragraph" w:customStyle="1" w:styleId="1103">
    <w:name w:val="表格题目"/>
    <w:basedOn w:val="1"/>
    <w:next w:val="1"/>
    <w:qFormat/>
    <w:uiPriority w:val="0"/>
    <w:pPr>
      <w:adjustRightInd w:val="0"/>
      <w:spacing w:beforeLines="50"/>
      <w:jc w:val="center"/>
      <w:textAlignment w:val="baseline"/>
    </w:pPr>
    <w:rPr>
      <w:rFonts w:ascii="Times New Roman" w:hAnsi="Times New Roman" w:eastAsia="宋体" w:cs="Times New Roman"/>
      <w:bCs/>
      <w:sz w:val="24"/>
      <w:szCs w:val="24"/>
    </w:rPr>
  </w:style>
  <w:style w:type="paragraph" w:customStyle="1" w:styleId="1104">
    <w:name w:val="新标题1"/>
    <w:qFormat/>
    <w:uiPriority w:val="0"/>
    <w:pPr>
      <w:pageBreakBefore/>
      <w:widowControl w:val="0"/>
      <w:spacing w:line="360" w:lineRule="auto"/>
      <w:jc w:val="both"/>
      <w:outlineLvl w:val="0"/>
    </w:pPr>
    <w:rPr>
      <w:rFonts w:ascii="Times New Roman" w:hAnsi="Times New Roman" w:eastAsia="宋体" w:cs="Times New Roman"/>
      <w:b/>
      <w:kern w:val="2"/>
      <w:sz w:val="28"/>
      <w:szCs w:val="28"/>
      <w:lang w:val="en-US" w:eastAsia="zh-CN" w:bidi="ar-SA"/>
    </w:rPr>
  </w:style>
  <w:style w:type="paragraph" w:customStyle="1" w:styleId="1105">
    <w:name w:val="新标题2"/>
    <w:link w:val="1106"/>
    <w:qFormat/>
    <w:uiPriority w:val="0"/>
    <w:pPr>
      <w:widowControl w:val="0"/>
      <w:spacing w:line="360" w:lineRule="auto"/>
      <w:ind w:firstLine="480" w:firstLineChars="200"/>
      <w:jc w:val="both"/>
      <w:outlineLvl w:val="1"/>
    </w:pPr>
    <w:rPr>
      <w:rFonts w:ascii="Times New Roman" w:hAnsi="宋体" w:eastAsia="宋体" w:cs="Times New Roman"/>
      <w:color w:val="000000"/>
      <w:kern w:val="2"/>
      <w:sz w:val="24"/>
      <w:szCs w:val="24"/>
      <w:lang w:val="en-US" w:eastAsia="zh-CN" w:bidi="ar-SA"/>
    </w:rPr>
  </w:style>
  <w:style w:type="character" w:customStyle="1" w:styleId="1106">
    <w:name w:val="新标题2 Char"/>
    <w:link w:val="1105"/>
    <w:qFormat/>
    <w:uiPriority w:val="0"/>
    <w:rPr>
      <w:rFonts w:ascii="Times New Roman" w:hAnsi="宋体" w:eastAsia="宋体" w:cs="Times New Roman"/>
      <w:color w:val="000000"/>
      <w:sz w:val="24"/>
      <w:szCs w:val="24"/>
    </w:rPr>
  </w:style>
  <w:style w:type="character" w:customStyle="1" w:styleId="1107">
    <w:name w:val="正文文字2 Char"/>
    <w:qFormat/>
    <w:uiPriority w:val="0"/>
    <w:rPr>
      <w:rFonts w:eastAsia="宋体"/>
      <w:color w:val="000000"/>
      <w:sz w:val="24"/>
      <w:lang w:val="en-US" w:eastAsia="zh-CN" w:bidi="ar-SA"/>
    </w:rPr>
  </w:style>
  <w:style w:type="paragraph" w:customStyle="1" w:styleId="1108">
    <w:name w:val="小黑标"/>
    <w:basedOn w:val="1"/>
    <w:qFormat/>
    <w:uiPriority w:val="0"/>
    <w:pPr>
      <w:spacing w:before="50"/>
      <w:jc w:val="left"/>
    </w:pPr>
    <w:rPr>
      <w:rFonts w:ascii="黑体" w:hAnsi="Times New Roman" w:eastAsia="黑体" w:cs="Times New Roman"/>
      <w:b/>
      <w:sz w:val="24"/>
      <w:szCs w:val="20"/>
    </w:rPr>
  </w:style>
  <w:style w:type="paragraph" w:customStyle="1" w:styleId="1109">
    <w:name w:val="样式 标题 2 + 黑体 小四"/>
    <w:link w:val="1110"/>
    <w:qFormat/>
    <w:uiPriority w:val="0"/>
    <w:rPr>
      <w:rFonts w:ascii="黑体" w:hAnsi="黑体" w:eastAsia="黑体" w:cs="Times New Roman"/>
      <w:b/>
      <w:bCs/>
      <w:kern w:val="2"/>
      <w:sz w:val="24"/>
      <w:szCs w:val="32"/>
      <w:lang w:val="en-US" w:eastAsia="zh-CN" w:bidi="ar-SA"/>
    </w:rPr>
  </w:style>
  <w:style w:type="character" w:customStyle="1" w:styleId="1110">
    <w:name w:val="样式 标题 2 + 黑体 小四 Char"/>
    <w:link w:val="1109"/>
    <w:qFormat/>
    <w:uiPriority w:val="0"/>
    <w:rPr>
      <w:rFonts w:ascii="黑体" w:hAnsi="黑体" w:eastAsia="黑体" w:cs="Times New Roman"/>
      <w:b/>
      <w:bCs/>
      <w:sz w:val="24"/>
      <w:szCs w:val="32"/>
    </w:rPr>
  </w:style>
  <w:style w:type="character" w:customStyle="1" w:styleId="1111">
    <w:name w:val="表头 Char Char"/>
    <w:qFormat/>
    <w:uiPriority w:val="0"/>
    <w:rPr>
      <w:rFonts w:ascii="宋体" w:hAnsi="宋体" w:eastAsia="宋体" w:cs="宋体"/>
      <w:kern w:val="2"/>
      <w:sz w:val="21"/>
      <w:szCs w:val="24"/>
      <w:lang w:val="en-US" w:eastAsia="zh-CN" w:bidi="ar-SA"/>
    </w:rPr>
  </w:style>
  <w:style w:type="paragraph" w:customStyle="1" w:styleId="1112">
    <w:name w:val="三号开篇"/>
    <w:basedOn w:val="1"/>
    <w:qFormat/>
    <w:uiPriority w:val="0"/>
    <w:pPr>
      <w:spacing w:line="480" w:lineRule="auto"/>
      <w:ind w:firstLine="200" w:firstLineChars="200"/>
      <w:jc w:val="left"/>
    </w:pPr>
    <w:rPr>
      <w:rFonts w:ascii="Times New Roman" w:hAnsi="Times New Roman" w:eastAsia="宋体" w:cs="Times New Roman"/>
      <w:sz w:val="32"/>
      <w:szCs w:val="24"/>
    </w:rPr>
  </w:style>
  <w:style w:type="character" w:customStyle="1" w:styleId="1113">
    <w:name w:val="style9"/>
    <w:qFormat/>
    <w:uiPriority w:val="0"/>
    <w:rPr>
      <w:rFonts w:eastAsia="黑体"/>
      <w:b/>
      <w:color w:val="008000"/>
      <w:kern w:val="2"/>
      <w:sz w:val="24"/>
      <w:szCs w:val="24"/>
      <w:lang w:val="en-US" w:eastAsia="zh-CN" w:bidi="ar-SA"/>
    </w:rPr>
  </w:style>
  <w:style w:type="character" w:customStyle="1" w:styleId="1114">
    <w:name w:val="访问过的超链接1"/>
    <w:qFormat/>
    <w:uiPriority w:val="0"/>
    <w:rPr>
      <w:color w:val="800080"/>
      <w:u w:val="single"/>
    </w:rPr>
  </w:style>
  <w:style w:type="paragraph" w:customStyle="1" w:styleId="1115">
    <w:name w:val="Char1 Char"/>
    <w:basedOn w:val="1"/>
    <w:qFormat/>
    <w:uiPriority w:val="0"/>
    <w:pPr>
      <w:ind w:firstLine="200" w:firstLineChars="200"/>
      <w:jc w:val="left"/>
    </w:pPr>
    <w:rPr>
      <w:rFonts w:ascii="宋体" w:hAnsi="宋体" w:eastAsia="宋体" w:cs="宋体"/>
      <w:sz w:val="24"/>
      <w:szCs w:val="24"/>
    </w:rPr>
  </w:style>
  <w:style w:type="character" w:customStyle="1" w:styleId="1116">
    <w:name w:val="ziti21"/>
    <w:qFormat/>
    <w:uiPriority w:val="0"/>
    <w:rPr>
      <w:color w:val="000000"/>
      <w:sz w:val="18"/>
      <w:szCs w:val="18"/>
    </w:rPr>
  </w:style>
  <w:style w:type="paragraph" w:customStyle="1" w:styleId="1117">
    <w:name w:val="Char1 Char Char Char Char Char Char Char Char Char"/>
    <w:basedOn w:val="1"/>
    <w:qFormat/>
    <w:uiPriority w:val="0"/>
    <w:pPr>
      <w:jc w:val="left"/>
    </w:pPr>
    <w:rPr>
      <w:rFonts w:ascii="宋体" w:hAnsi="宋体" w:eastAsia="华文仿宋" w:cs="宋体"/>
      <w:sz w:val="24"/>
      <w:szCs w:val="24"/>
    </w:rPr>
  </w:style>
  <w:style w:type="paragraph" w:customStyle="1" w:styleId="1118">
    <w:name w:val="样式 仿宋_GB2312 四号 左 行距: 1.5 倍行距"/>
    <w:basedOn w:val="1"/>
    <w:qFormat/>
    <w:uiPriority w:val="0"/>
    <w:pPr>
      <w:ind w:firstLine="200" w:firstLineChars="200"/>
      <w:jc w:val="left"/>
    </w:pPr>
    <w:rPr>
      <w:rFonts w:ascii="仿宋_GB2312" w:hAnsi="Times New Roman" w:eastAsia="宋体" w:cs="Times New Roman"/>
      <w:sz w:val="24"/>
      <w:szCs w:val="20"/>
    </w:rPr>
  </w:style>
  <w:style w:type="paragraph" w:customStyle="1" w:styleId="1119">
    <w:name w:val="默认段落字体 Para Char Char Char Char Char"/>
    <w:basedOn w:val="1"/>
    <w:qFormat/>
    <w:uiPriority w:val="0"/>
    <w:pPr>
      <w:jc w:val="left"/>
    </w:pPr>
    <w:rPr>
      <w:rFonts w:ascii="Times New Roman" w:hAnsi="Times New Roman" w:eastAsia="宋体" w:cs="Times New Roman"/>
      <w:sz w:val="28"/>
      <w:szCs w:val="20"/>
    </w:rPr>
  </w:style>
  <w:style w:type="paragraph" w:customStyle="1" w:styleId="1120">
    <w:name w:val="Char Char Char1 Char Char Char Char Char Char Char Char Char Char Char Char Char Char Char Char Char Char Char Char Char Char Char Char Char Char Char Char Char Char Char Char Char Char"/>
    <w:basedOn w:val="1"/>
    <w:qFormat/>
    <w:uiPriority w:val="0"/>
    <w:pPr>
      <w:ind w:firstLine="200" w:firstLineChars="200"/>
      <w:jc w:val="left"/>
    </w:pPr>
    <w:rPr>
      <w:rFonts w:ascii="宋体" w:hAnsi="宋体" w:eastAsia="宋体" w:cs="宋体"/>
      <w:sz w:val="24"/>
      <w:szCs w:val="24"/>
    </w:rPr>
  </w:style>
  <w:style w:type="paragraph" w:customStyle="1" w:styleId="1121">
    <w:name w:val="Char Char Char Char Char Char6"/>
    <w:basedOn w:val="1"/>
    <w:qFormat/>
    <w:uiPriority w:val="0"/>
    <w:pPr>
      <w:jc w:val="left"/>
    </w:pPr>
    <w:rPr>
      <w:rFonts w:ascii="Times New Roman" w:hAnsi="Times New Roman" w:eastAsia="宋体" w:cs="Times New Roman"/>
      <w:sz w:val="24"/>
      <w:szCs w:val="24"/>
    </w:rPr>
  </w:style>
  <w:style w:type="paragraph" w:customStyle="1" w:styleId="1122">
    <w:name w:val="样式1-1"/>
    <w:basedOn w:val="1"/>
    <w:qFormat/>
    <w:uiPriority w:val="0"/>
    <w:pPr>
      <w:tabs>
        <w:tab w:val="center" w:pos="4153"/>
        <w:tab w:val="right" w:pos="8306"/>
      </w:tabs>
      <w:adjustRightInd w:val="0"/>
      <w:spacing w:beforeLines="10" w:afterLines="10" w:line="460" w:lineRule="exact"/>
      <w:jc w:val="left"/>
      <w:textAlignment w:val="baseline"/>
      <w:outlineLvl w:val="1"/>
    </w:pPr>
    <w:rPr>
      <w:rFonts w:ascii="Times New Roman" w:hAnsi="Times New Roman" w:eastAsia="黑体" w:cs="Times New Roman"/>
      <w:b/>
      <w:sz w:val="24"/>
      <w:szCs w:val="20"/>
    </w:rPr>
  </w:style>
  <w:style w:type="character" w:customStyle="1" w:styleId="1123">
    <w:name w:val="新标题2 Char Char"/>
    <w:qFormat/>
    <w:uiPriority w:val="0"/>
    <w:rPr>
      <w:rFonts w:hAnsi="宋体" w:eastAsia="宋体"/>
      <w:color w:val="000000"/>
      <w:kern w:val="2"/>
      <w:sz w:val="24"/>
      <w:szCs w:val="24"/>
      <w:lang w:val="en-US" w:eastAsia="zh-CN" w:bidi="ar-SA"/>
    </w:rPr>
  </w:style>
  <w:style w:type="character" w:customStyle="1" w:styleId="1124">
    <w:name w:val="样式 标题 2 + 黑体 小四 Char Char"/>
    <w:qFormat/>
    <w:uiPriority w:val="0"/>
    <w:rPr>
      <w:rFonts w:ascii="黑体" w:hAnsi="黑体" w:eastAsia="黑体"/>
      <w:b/>
      <w:bCs/>
      <w:kern w:val="2"/>
      <w:sz w:val="24"/>
      <w:szCs w:val="32"/>
      <w:lang w:val="en-US" w:eastAsia="zh-CN" w:bidi="ar-SA"/>
    </w:rPr>
  </w:style>
  <w:style w:type="paragraph" w:customStyle="1" w:styleId="1125">
    <w:name w:val="Char Char Char Char Char Char Char Char Char Char Char Char Char"/>
    <w:basedOn w:val="1"/>
    <w:qFormat/>
    <w:uiPriority w:val="0"/>
    <w:pPr>
      <w:jc w:val="left"/>
    </w:pPr>
    <w:rPr>
      <w:rFonts w:ascii="Times New Roman" w:hAnsi="Times New Roman" w:eastAsia="宋体" w:cs="Times New Roman"/>
      <w:sz w:val="24"/>
      <w:szCs w:val="24"/>
    </w:rPr>
  </w:style>
  <w:style w:type="character" w:customStyle="1" w:styleId="1126">
    <w:name w:val="B表格文字 Char Char"/>
    <w:link w:val="1127"/>
    <w:qFormat/>
    <w:uiPriority w:val="0"/>
    <w:rPr>
      <w:rFonts w:eastAsia="Times New Roman"/>
      <w:szCs w:val="24"/>
    </w:rPr>
  </w:style>
  <w:style w:type="paragraph" w:customStyle="1" w:styleId="1127">
    <w:name w:val="B表格文字"/>
    <w:link w:val="1126"/>
    <w:qFormat/>
    <w:uiPriority w:val="0"/>
    <w:pPr>
      <w:adjustRightInd w:val="0"/>
      <w:snapToGrid w:val="0"/>
      <w:jc w:val="center"/>
    </w:pPr>
    <w:rPr>
      <w:rFonts w:eastAsia="Times New Roman" w:asciiTheme="minorHAnsi" w:hAnsiTheme="minorHAnsi" w:cstheme="minorBidi"/>
      <w:kern w:val="2"/>
      <w:sz w:val="21"/>
      <w:szCs w:val="24"/>
      <w:lang w:val="en-US" w:eastAsia="zh-CN" w:bidi="ar-SA"/>
    </w:rPr>
  </w:style>
  <w:style w:type="character" w:customStyle="1" w:styleId="1128">
    <w:name w:val="B表头 Char Char"/>
    <w:link w:val="1129"/>
    <w:qFormat/>
    <w:uiPriority w:val="0"/>
    <w:rPr>
      <w:rFonts w:eastAsia="Times New Roman"/>
      <w:b/>
      <w:sz w:val="24"/>
      <w:szCs w:val="24"/>
    </w:rPr>
  </w:style>
  <w:style w:type="paragraph" w:customStyle="1" w:styleId="1129">
    <w:name w:val="B表头"/>
    <w:link w:val="1128"/>
    <w:qFormat/>
    <w:uiPriority w:val="0"/>
    <w:pPr>
      <w:jc w:val="center"/>
    </w:pPr>
    <w:rPr>
      <w:rFonts w:eastAsia="Times New Roman" w:asciiTheme="minorHAnsi" w:hAnsiTheme="minorHAnsi" w:cstheme="minorBidi"/>
      <w:b/>
      <w:kern w:val="2"/>
      <w:sz w:val="24"/>
      <w:szCs w:val="24"/>
      <w:lang w:val="en-US" w:eastAsia="zh-CN" w:bidi="ar-SA"/>
    </w:rPr>
  </w:style>
  <w:style w:type="paragraph" w:customStyle="1" w:styleId="1130">
    <w:name w:val="我的表格文字"/>
    <w:basedOn w:val="1"/>
    <w:qFormat/>
    <w:uiPriority w:val="0"/>
    <w:pPr>
      <w:jc w:val="center"/>
    </w:pPr>
    <w:rPr>
      <w:rFonts w:ascii="Times New Roman" w:hAnsi="Times New Roman" w:eastAsia="宋体" w:cs="Times New Roman"/>
      <w:sz w:val="24"/>
    </w:rPr>
  </w:style>
  <w:style w:type="paragraph" w:customStyle="1" w:styleId="1131">
    <w:name w:val="表格 文字"/>
    <w:basedOn w:val="1"/>
    <w:qFormat/>
    <w:uiPriority w:val="0"/>
    <w:pPr>
      <w:jc w:val="center"/>
    </w:pPr>
    <w:rPr>
      <w:rFonts w:ascii="宋体" w:hAnsi="宋体" w:eastAsia="宋体" w:cs="Times New Roman"/>
      <w:iCs/>
      <w:sz w:val="24"/>
      <w:szCs w:val="24"/>
    </w:rPr>
  </w:style>
  <w:style w:type="character" w:customStyle="1" w:styleId="1132">
    <w:name w:val="text_edit editable-title"/>
    <w:qFormat/>
    <w:uiPriority w:val="0"/>
    <w:rPr>
      <w:rFonts w:eastAsia="黑体"/>
      <w:b/>
      <w:color w:val="008000"/>
      <w:kern w:val="2"/>
      <w:sz w:val="24"/>
      <w:szCs w:val="24"/>
      <w:lang w:val="en-US" w:eastAsia="zh-CN" w:bidi="ar-SA"/>
    </w:rPr>
  </w:style>
  <w:style w:type="character" w:customStyle="1" w:styleId="1133">
    <w:name w:val="headline-content3"/>
    <w:qFormat/>
    <w:uiPriority w:val="0"/>
    <w:rPr>
      <w:rFonts w:eastAsia="黑体"/>
      <w:b/>
      <w:color w:val="008000"/>
      <w:kern w:val="2"/>
      <w:sz w:val="24"/>
      <w:szCs w:val="24"/>
      <w:lang w:val="en-US" w:eastAsia="zh-CN" w:bidi="ar-SA"/>
    </w:rPr>
  </w:style>
  <w:style w:type="character" w:customStyle="1" w:styleId="1134">
    <w:name w:val="ourfont21"/>
    <w:qFormat/>
    <w:uiPriority w:val="0"/>
    <w:rPr>
      <w:spacing w:val="220"/>
      <w:sz w:val="18"/>
      <w:szCs w:val="18"/>
    </w:rPr>
  </w:style>
  <w:style w:type="paragraph" w:customStyle="1" w:styleId="1135">
    <w:name w:val="样式 表文居中 +"/>
    <w:basedOn w:val="1"/>
    <w:qFormat/>
    <w:uiPriority w:val="0"/>
    <w:pPr>
      <w:autoSpaceDE w:val="0"/>
      <w:autoSpaceDN w:val="0"/>
      <w:adjustRightInd w:val="0"/>
      <w:snapToGrid w:val="0"/>
      <w:spacing w:line="240" w:lineRule="atLeast"/>
      <w:jc w:val="center"/>
      <w:textAlignment w:val="baseline"/>
    </w:pPr>
    <w:rPr>
      <w:rFonts w:ascii="Times New Roman" w:hAnsi="Times New Roman" w:eastAsia="宋体" w:cs="宋体"/>
      <w:sz w:val="18"/>
      <w:szCs w:val="18"/>
    </w:rPr>
  </w:style>
  <w:style w:type="paragraph" w:customStyle="1" w:styleId="1136">
    <w:name w:val="样式 标题 4Heading 4aBODY TextBasic BulletChapter Body TextH4H..."/>
    <w:basedOn w:val="8"/>
    <w:qFormat/>
    <w:uiPriority w:val="0"/>
    <w:pPr>
      <w:numPr>
        <w:ilvl w:val="0"/>
        <w:numId w:val="0"/>
      </w:numPr>
      <w:spacing w:before="0" w:after="0" w:line="360" w:lineRule="auto"/>
    </w:pPr>
    <w:rPr>
      <w:rFonts w:ascii="Arial" w:hAnsi="Arial" w:eastAsia="宋体" w:cs="宋体"/>
      <w:b w:val="0"/>
      <w:szCs w:val="20"/>
    </w:rPr>
  </w:style>
  <w:style w:type="paragraph" w:customStyle="1" w:styleId="1137">
    <w:name w:val="a"/>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38">
    <w:name w:val="font01"/>
    <w:qFormat/>
    <w:uiPriority w:val="0"/>
    <w:rPr>
      <w:rFonts w:hint="eastAsia" w:ascii="宋体" w:hAnsi="宋体" w:eastAsia="宋体"/>
      <w:color w:val="000000"/>
      <w:sz w:val="24"/>
      <w:szCs w:val="24"/>
      <w:u w:val="none"/>
    </w:rPr>
  </w:style>
  <w:style w:type="character" w:customStyle="1" w:styleId="1139">
    <w:name w:val="font61"/>
    <w:qFormat/>
    <w:uiPriority w:val="0"/>
    <w:rPr>
      <w:rFonts w:hint="default" w:ascii="Times New Roman" w:hAnsi="Times New Roman" w:cs="Times New Roman"/>
      <w:i/>
      <w:iCs/>
      <w:color w:val="000000"/>
      <w:sz w:val="24"/>
      <w:szCs w:val="24"/>
      <w:u w:val="none"/>
    </w:rPr>
  </w:style>
  <w:style w:type="character" w:customStyle="1" w:styleId="1140">
    <w:name w:val="font41"/>
    <w:qFormat/>
    <w:uiPriority w:val="0"/>
    <w:rPr>
      <w:rFonts w:hint="eastAsia" w:ascii="宋体" w:hAnsi="宋体" w:eastAsia="宋体"/>
      <w:color w:val="000000"/>
      <w:sz w:val="21"/>
      <w:szCs w:val="21"/>
      <w:u w:val="none"/>
    </w:rPr>
  </w:style>
  <w:style w:type="character" w:customStyle="1" w:styleId="1141">
    <w:name w:val="font91"/>
    <w:qFormat/>
    <w:uiPriority w:val="0"/>
    <w:rPr>
      <w:rFonts w:hint="default" w:ascii="Times New Roman" w:hAnsi="Times New Roman" w:cs="Times New Roman"/>
      <w:color w:val="000000"/>
      <w:sz w:val="21"/>
      <w:szCs w:val="21"/>
      <w:u w:val="none"/>
    </w:rPr>
  </w:style>
  <w:style w:type="paragraph" w:customStyle="1" w:styleId="1142">
    <w:name w:val="xl77"/>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1143">
    <w:name w:val="xl78"/>
    <w:basedOn w:val="1"/>
    <w:qFormat/>
    <w:uiPriority w:val="0"/>
    <w:pPr>
      <w:widowControl/>
      <w:spacing w:before="100" w:beforeAutospacing="1" w:after="100" w:afterAutospacing="1"/>
      <w:jc w:val="left"/>
      <w:textAlignment w:val="center"/>
    </w:pPr>
    <w:rPr>
      <w:rFonts w:ascii="Times New Roman" w:hAnsi="Times New Roman" w:eastAsia="宋体" w:cs="Times New Roman"/>
      <w:kern w:val="0"/>
      <w:sz w:val="24"/>
    </w:rPr>
  </w:style>
  <w:style w:type="character" w:customStyle="1" w:styleId="1144">
    <w:name w:val="正文文本缩进 Char1"/>
    <w:semiHidden/>
    <w:qFormat/>
    <w:uiPriority w:val="0"/>
    <w:rPr>
      <w:kern w:val="2"/>
      <w:sz w:val="21"/>
      <w:szCs w:val="24"/>
    </w:rPr>
  </w:style>
  <w:style w:type="character" w:customStyle="1" w:styleId="1145">
    <w:name w:val="正文文字缩进 2 Char Char"/>
    <w:qFormat/>
    <w:uiPriority w:val="0"/>
    <w:rPr>
      <w:kern w:val="2"/>
      <w:sz w:val="21"/>
      <w:szCs w:val="24"/>
    </w:rPr>
  </w:style>
  <w:style w:type="character" w:customStyle="1" w:styleId="1146">
    <w:name w:val="正文文字缩进 3 Char Char"/>
    <w:qFormat/>
    <w:uiPriority w:val="0"/>
    <w:rPr>
      <w:kern w:val="2"/>
      <w:sz w:val="16"/>
      <w:szCs w:val="16"/>
    </w:rPr>
  </w:style>
  <w:style w:type="character" w:customStyle="1" w:styleId="1147">
    <w:name w:val="标题 Char1"/>
    <w:qFormat/>
    <w:uiPriority w:val="0"/>
    <w:rPr>
      <w:rFonts w:hint="default" w:ascii="Cambria" w:hAnsi="Cambria" w:cs="Times New Roman"/>
      <w:b/>
      <w:bCs/>
      <w:kern w:val="2"/>
      <w:sz w:val="32"/>
      <w:szCs w:val="32"/>
    </w:rPr>
  </w:style>
  <w:style w:type="paragraph" w:customStyle="1" w:styleId="1148">
    <w:name w:val="无间隔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49">
    <w:name w:val="占位符文本1"/>
    <w:qFormat/>
    <w:uiPriority w:val="0"/>
    <w:rPr>
      <w:rFonts w:eastAsia="黑体"/>
      <w:b/>
      <w:color w:val="808080"/>
      <w:kern w:val="2"/>
      <w:sz w:val="21"/>
      <w:szCs w:val="22"/>
      <w:lang w:val="en-US" w:eastAsia="zh-CN" w:bidi="ar-SA"/>
    </w:rPr>
  </w:style>
  <w:style w:type="table" w:customStyle="1" w:styleId="1150">
    <w:name w:val="浅色底纹1"/>
    <w:basedOn w:val="88"/>
    <w:qFormat/>
    <w:uiPriority w:val="0"/>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pPr>
      <w:tcPr>
        <w:tcBorders>
          <w:top w:val="single" w:color="000000" w:sz="8" w:space="0"/>
          <w:left w:val="nil"/>
          <w:bottom w:val="single" w:color="000000" w:sz="8" w:space="0"/>
          <w:right w:val="nil"/>
          <w:insideH w:val="nil"/>
          <w:insideV w:val="nil"/>
        </w:tcBorders>
      </w:tcPr>
    </w:tblStylePr>
    <w:tblStylePr w:type="lastRow">
      <w:pPr>
        <w:spacing w:before="0" w:after="0"/>
      </w:pPr>
      <w:tcPr>
        <w:tcBorders>
          <w:top w:val="single" w:color="000000" w:sz="8" w:space="0"/>
          <w:left w:val="nil"/>
          <w:bottom w:val="single" w:color="000000" w:sz="8" w:space="0"/>
          <w:right w:val="nil"/>
          <w:insideH w:val="nil"/>
          <w:insideV w:val="nil"/>
        </w:tcBorders>
      </w:tc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151">
    <w:name w:val="Plain Text Char1"/>
    <w:qFormat/>
    <w:uiPriority w:val="0"/>
    <w:rPr>
      <w:rFonts w:ascii="宋体" w:hAnsi="Courier New" w:cs="Courier New"/>
      <w:kern w:val="2"/>
      <w:sz w:val="21"/>
      <w:szCs w:val="21"/>
      <w:lang w:val="en-US" w:eastAsia="zh-CN" w:bidi="ar-SA"/>
    </w:rPr>
  </w:style>
  <w:style w:type="character" w:customStyle="1" w:styleId="1152">
    <w:name w:val="Body Text First Indent Char1"/>
    <w:qFormat/>
    <w:uiPriority w:val="0"/>
    <w:rPr>
      <w:rFonts w:ascii="Calibri" w:hAnsi="Calibri" w:eastAsia="宋体" w:cs="Times New Roman"/>
      <w:kern w:val="2"/>
      <w:sz w:val="24"/>
      <w:szCs w:val="24"/>
      <w:lang w:val="en-US" w:eastAsia="zh-CN" w:bidi="ar-SA"/>
    </w:rPr>
  </w:style>
  <w:style w:type="character" w:customStyle="1" w:styleId="1153">
    <w:name w:val="Body Text Indent Char1"/>
    <w:qFormat/>
    <w:uiPriority w:val="0"/>
    <w:rPr>
      <w:kern w:val="2"/>
      <w:sz w:val="24"/>
      <w:szCs w:val="24"/>
      <w:lang w:val="en-US" w:eastAsia="zh-CN" w:bidi="ar-SA"/>
    </w:rPr>
  </w:style>
  <w:style w:type="character" w:customStyle="1" w:styleId="1154">
    <w:name w:val="Body Text Indent 3 Char1"/>
    <w:qFormat/>
    <w:uiPriority w:val="0"/>
    <w:rPr>
      <w:kern w:val="2"/>
      <w:sz w:val="16"/>
      <w:szCs w:val="16"/>
      <w:lang w:val="en-US" w:eastAsia="zh-CN" w:bidi="ar-SA"/>
    </w:rPr>
  </w:style>
  <w:style w:type="character" w:customStyle="1" w:styleId="1155">
    <w:name w:val="Body Text First Indent 2 Char1"/>
    <w:qFormat/>
    <w:uiPriority w:val="0"/>
    <w:rPr>
      <w:kern w:val="2"/>
      <w:sz w:val="24"/>
      <w:szCs w:val="24"/>
      <w:lang w:val="en-US" w:eastAsia="zh-CN" w:bidi="ar-SA"/>
    </w:rPr>
  </w:style>
  <w:style w:type="character" w:customStyle="1" w:styleId="1156">
    <w:name w:val="Date Char1"/>
    <w:qFormat/>
    <w:uiPriority w:val="0"/>
    <w:rPr>
      <w:kern w:val="2"/>
      <w:sz w:val="24"/>
      <w:szCs w:val="24"/>
      <w:lang w:val="en-US" w:eastAsia="zh-CN" w:bidi="ar-SA"/>
    </w:rPr>
  </w:style>
  <w:style w:type="character" w:customStyle="1" w:styleId="1157">
    <w:name w:val="Signature Char1"/>
    <w:qFormat/>
    <w:uiPriority w:val="0"/>
    <w:rPr>
      <w:kern w:val="2"/>
      <w:sz w:val="24"/>
      <w:szCs w:val="24"/>
      <w:lang w:val="en-US" w:eastAsia="zh-CN" w:bidi="ar-SA"/>
    </w:rPr>
  </w:style>
  <w:style w:type="character" w:customStyle="1" w:styleId="1158">
    <w:name w:val="Body Text Indent 2 Char1"/>
    <w:qFormat/>
    <w:uiPriority w:val="0"/>
    <w:rPr>
      <w:kern w:val="2"/>
      <w:sz w:val="24"/>
      <w:szCs w:val="24"/>
      <w:lang w:val="en-US" w:eastAsia="zh-CN" w:bidi="ar-SA"/>
    </w:rPr>
  </w:style>
  <w:style w:type="character" w:customStyle="1" w:styleId="1159">
    <w:name w:val="Endnote Text Char1"/>
    <w:qFormat/>
    <w:uiPriority w:val="0"/>
    <w:rPr>
      <w:kern w:val="2"/>
      <w:sz w:val="24"/>
      <w:szCs w:val="24"/>
      <w:lang w:val="en-US" w:eastAsia="zh-CN" w:bidi="ar-SA"/>
    </w:rPr>
  </w:style>
  <w:style w:type="character" w:customStyle="1" w:styleId="1160">
    <w:name w:val="Comment Subject Char1"/>
    <w:qFormat/>
    <w:uiPriority w:val="0"/>
    <w:rPr>
      <w:rFonts w:cs="Times New Roman"/>
      <w:b/>
      <w:bCs/>
      <w:kern w:val="2"/>
      <w:sz w:val="24"/>
      <w:szCs w:val="24"/>
      <w:lang w:val="en-US" w:eastAsia="zh-CN" w:bidi="ar-SA"/>
    </w:rPr>
  </w:style>
  <w:style w:type="character" w:customStyle="1" w:styleId="1161">
    <w:name w:val="Body Text 3 Char1"/>
    <w:qFormat/>
    <w:uiPriority w:val="0"/>
    <w:rPr>
      <w:kern w:val="2"/>
      <w:sz w:val="16"/>
      <w:szCs w:val="16"/>
      <w:lang w:val="en-US" w:eastAsia="zh-CN" w:bidi="ar-SA"/>
    </w:rPr>
  </w:style>
  <w:style w:type="paragraph" w:customStyle="1" w:styleId="1162">
    <w:name w:val="列出段落2"/>
    <w:basedOn w:val="1"/>
    <w:qFormat/>
    <w:uiPriority w:val="0"/>
    <w:pPr>
      <w:spacing w:line="240" w:lineRule="auto"/>
      <w:ind w:firstLine="420" w:firstLineChars="200"/>
    </w:pPr>
    <w:rPr>
      <w:rFonts w:ascii="Calibri" w:hAnsi="Calibri" w:eastAsia="宋体" w:cs="Times New Roman"/>
    </w:rPr>
  </w:style>
  <w:style w:type="paragraph" w:customStyle="1" w:styleId="1163">
    <w:name w:val="TOC 标题11"/>
    <w:basedOn w:val="5"/>
    <w:next w:val="1"/>
    <w:qFormat/>
    <w:uiPriority w:val="0"/>
    <w:pPr>
      <w:widowControl/>
      <w:numPr>
        <w:numId w:val="0"/>
      </w:numPr>
      <w:spacing w:before="480" w:after="0" w:line="276" w:lineRule="auto"/>
      <w:outlineLvl w:val="9"/>
    </w:pPr>
    <w:rPr>
      <w:rFonts w:ascii="Cambria" w:hAnsi="Cambria" w:eastAsia="宋体" w:cs="Times New Roman"/>
      <w:color w:val="365F91"/>
      <w:kern w:val="0"/>
      <w:sz w:val="28"/>
      <w:szCs w:val="28"/>
    </w:rPr>
  </w:style>
  <w:style w:type="paragraph" w:customStyle="1" w:styleId="1164">
    <w:name w:val="0"/>
    <w:basedOn w:val="1"/>
    <w:qFormat/>
    <w:uiPriority w:val="0"/>
    <w:pPr>
      <w:widowControl/>
      <w:snapToGrid w:val="0"/>
      <w:spacing w:line="240" w:lineRule="auto"/>
    </w:pPr>
    <w:rPr>
      <w:rFonts w:ascii="Times New Roman" w:hAnsi="Times New Roman" w:eastAsia="宋体" w:cs="Times New Roman"/>
      <w:kern w:val="0"/>
      <w:sz w:val="20"/>
      <w:szCs w:val="20"/>
    </w:rPr>
  </w:style>
  <w:style w:type="paragraph" w:customStyle="1" w:styleId="1165">
    <w:name w:val="Char Char3 Char Char"/>
    <w:basedOn w:val="1"/>
    <w:qFormat/>
    <w:uiPriority w:val="0"/>
    <w:pPr>
      <w:ind w:firstLine="480" w:firstLineChars="200"/>
    </w:pPr>
    <w:rPr>
      <w:rFonts w:ascii="Times New Roman" w:hAnsi="Times New Roman" w:eastAsia="宋体" w:cs="Times New Roman"/>
      <w:szCs w:val="24"/>
    </w:rPr>
  </w:style>
  <w:style w:type="character" w:customStyle="1" w:styleId="1166">
    <w:name w:val="不明显参考1"/>
    <w:qFormat/>
    <w:uiPriority w:val="0"/>
    <w:rPr>
      <w:smallCaps/>
      <w:color w:val="C0504D"/>
      <w:kern w:val="2"/>
      <w:sz w:val="21"/>
      <w:szCs w:val="22"/>
      <w:u w:val="single"/>
      <w:lang w:val="en-US" w:eastAsia="zh-CN" w:bidi="ar-SA"/>
    </w:rPr>
  </w:style>
  <w:style w:type="character" w:customStyle="1" w:styleId="1167">
    <w:name w:val="书籍标题1"/>
    <w:qFormat/>
    <w:uiPriority w:val="0"/>
    <w:rPr>
      <w:b/>
      <w:smallCaps/>
      <w:spacing w:val="5"/>
      <w:kern w:val="2"/>
      <w:sz w:val="21"/>
      <w:szCs w:val="22"/>
      <w:lang w:val="en-US" w:eastAsia="zh-CN" w:bidi="ar-SA"/>
    </w:rPr>
  </w:style>
  <w:style w:type="paragraph" w:customStyle="1" w:styleId="1168">
    <w:name w:val="默认段落字体 Para Char Char Char Char"/>
    <w:basedOn w:val="1"/>
    <w:qFormat/>
    <w:uiPriority w:val="0"/>
    <w:pPr>
      <w:spacing w:line="240" w:lineRule="auto"/>
    </w:pPr>
    <w:rPr>
      <w:rFonts w:ascii="Times New Roman" w:hAnsi="Times New Roman" w:eastAsia="宋体" w:cs="Times New Roman"/>
      <w:szCs w:val="24"/>
    </w:rPr>
  </w:style>
  <w:style w:type="paragraph" w:customStyle="1" w:styleId="1169">
    <w:name w:val="应填表格"/>
    <w:basedOn w:val="1"/>
    <w:qFormat/>
    <w:uiPriority w:val="0"/>
    <w:pPr>
      <w:adjustRightInd w:val="0"/>
      <w:spacing w:before="40" w:after="40" w:line="240" w:lineRule="auto"/>
      <w:jc w:val="left"/>
      <w:textAlignment w:val="baseline"/>
    </w:pPr>
    <w:rPr>
      <w:rFonts w:ascii="Times New Roman" w:hAnsi="Times New Roman" w:eastAsia="宋体" w:cs="Times New Roman"/>
      <w:kern w:val="0"/>
      <w:szCs w:val="20"/>
    </w:rPr>
  </w:style>
  <w:style w:type="character" w:customStyle="1" w:styleId="1170">
    <w:name w:val="书籍标题2"/>
    <w:qFormat/>
    <w:uiPriority w:val="0"/>
    <w:rPr>
      <w:b/>
      <w:bCs/>
      <w:smallCaps/>
      <w:spacing w:val="5"/>
      <w:kern w:val="2"/>
      <w:sz w:val="21"/>
      <w:szCs w:val="22"/>
      <w:lang w:val="en-US" w:eastAsia="zh-CN" w:bidi="ar-SA"/>
    </w:rPr>
  </w:style>
  <w:style w:type="paragraph" w:customStyle="1" w:styleId="1171">
    <w:name w:val="TOC 标题2"/>
    <w:basedOn w:val="5"/>
    <w:next w:val="1"/>
    <w:qFormat/>
    <w:uiPriority w:val="0"/>
    <w:pPr>
      <w:numPr>
        <w:numId w:val="0"/>
      </w:numPr>
      <w:jc w:val="both"/>
      <w:outlineLvl w:val="9"/>
    </w:pPr>
    <w:rPr>
      <w:rFonts w:eastAsia="宋体" w:cs="Wingdings"/>
      <w:kern w:val="2"/>
      <w:sz w:val="21"/>
      <w:szCs w:val="22"/>
    </w:rPr>
  </w:style>
  <w:style w:type="paragraph" w:customStyle="1" w:styleId="1172">
    <w:name w:val="Char2 Char Char Char Char Char Char1 Char Char Char Char Char Char11"/>
    <w:basedOn w:val="1"/>
    <w:qFormat/>
    <w:uiPriority w:val="0"/>
    <w:pPr>
      <w:ind w:firstLine="200" w:firstLineChars="200"/>
    </w:pPr>
    <w:rPr>
      <w:rFonts w:ascii="宋体" w:hAnsi="宋体" w:eastAsia="宋体" w:cs="宋体"/>
      <w:sz w:val="24"/>
      <w:szCs w:val="24"/>
    </w:rPr>
  </w:style>
  <w:style w:type="paragraph" w:customStyle="1" w:styleId="1173">
    <w:name w:val="Char Char Char11"/>
    <w:basedOn w:val="1"/>
    <w:qFormat/>
    <w:uiPriority w:val="0"/>
    <w:pPr>
      <w:ind w:firstLine="200" w:firstLineChars="200"/>
    </w:pPr>
    <w:rPr>
      <w:rFonts w:ascii="宋体" w:hAnsi="宋体" w:eastAsia="宋体" w:cs="Times New Roman"/>
      <w:sz w:val="24"/>
      <w:szCs w:val="20"/>
    </w:rPr>
  </w:style>
  <w:style w:type="character" w:customStyle="1" w:styleId="1174">
    <w:name w:val="cucd-3 Char"/>
    <w:link w:val="1175"/>
    <w:qFormat/>
    <w:uiPriority w:val="0"/>
    <w:rPr>
      <w:rFonts w:ascii="宋体" w:hAnsi="宋体"/>
      <w:b/>
      <w:color w:val="008000"/>
      <w:sz w:val="24"/>
      <w:szCs w:val="24"/>
    </w:rPr>
  </w:style>
  <w:style w:type="paragraph" w:customStyle="1" w:styleId="1175">
    <w:name w:val="cucd-3"/>
    <w:next w:val="1176"/>
    <w:link w:val="1174"/>
    <w:qFormat/>
    <w:uiPriority w:val="0"/>
    <w:pPr>
      <w:tabs>
        <w:tab w:val="left" w:pos="709"/>
      </w:tabs>
      <w:spacing w:line="360" w:lineRule="auto"/>
      <w:ind w:left="709" w:hanging="709"/>
      <w:outlineLvl w:val="2"/>
    </w:pPr>
    <w:rPr>
      <w:rFonts w:ascii="宋体" w:hAnsi="宋体" w:eastAsiaTheme="minorEastAsia" w:cstheme="minorBidi"/>
      <w:b/>
      <w:color w:val="008000"/>
      <w:kern w:val="2"/>
      <w:sz w:val="24"/>
      <w:szCs w:val="24"/>
      <w:lang w:val="en-US" w:eastAsia="zh-CN" w:bidi="ar-SA"/>
    </w:rPr>
  </w:style>
  <w:style w:type="paragraph" w:customStyle="1" w:styleId="1176">
    <w:name w:val="cucd-4"/>
    <w:next w:val="1177"/>
    <w:qFormat/>
    <w:uiPriority w:val="0"/>
    <w:pPr>
      <w:tabs>
        <w:tab w:val="left" w:pos="851"/>
      </w:tabs>
      <w:spacing w:line="360" w:lineRule="auto"/>
      <w:ind w:left="851" w:hanging="851"/>
      <w:outlineLvl w:val="3"/>
    </w:pPr>
    <w:rPr>
      <w:rFonts w:ascii="Times New Roman" w:hAnsi="Times New Roman" w:eastAsia="宋体" w:cs="Times New Roman"/>
      <w:b/>
      <w:kern w:val="2"/>
      <w:sz w:val="24"/>
      <w:lang w:val="en-US" w:eastAsia="zh-CN" w:bidi="ar-SA"/>
    </w:rPr>
  </w:style>
  <w:style w:type="paragraph" w:customStyle="1" w:styleId="1177">
    <w:name w:val="cucd-0"/>
    <w:link w:val="1178"/>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character" w:customStyle="1" w:styleId="1178">
    <w:name w:val="cucd-0 Char"/>
    <w:basedOn w:val="91"/>
    <w:link w:val="1177"/>
    <w:qFormat/>
    <w:uiPriority w:val="0"/>
    <w:rPr>
      <w:rFonts w:ascii="Times New Roman" w:hAnsi="Times New Roman" w:eastAsia="宋体" w:cs="Times New Roman"/>
      <w:sz w:val="24"/>
      <w:szCs w:val="20"/>
    </w:rPr>
  </w:style>
  <w:style w:type="character" w:customStyle="1" w:styleId="1179">
    <w:name w:val="章 Char2"/>
    <w:link w:val="1180"/>
    <w:qFormat/>
    <w:uiPriority w:val="0"/>
    <w:rPr>
      <w:rFonts w:ascii="黑体" w:hAnsi="黑体"/>
      <w:b/>
      <w:snapToGrid w:val="0"/>
      <w:color w:val="000000"/>
      <w:sz w:val="44"/>
      <w:szCs w:val="24"/>
    </w:rPr>
  </w:style>
  <w:style w:type="paragraph" w:customStyle="1" w:styleId="1180">
    <w:name w:val="标题 11"/>
    <w:next w:val="1"/>
    <w:link w:val="1179"/>
    <w:qFormat/>
    <w:uiPriority w:val="0"/>
    <w:pPr>
      <w:keepNext/>
      <w:keepLines/>
      <w:snapToGrid w:val="0"/>
      <w:spacing w:beforeLines="50" w:afterLines="50"/>
      <w:jc w:val="center"/>
      <w:outlineLvl w:val="0"/>
    </w:pPr>
    <w:rPr>
      <w:rFonts w:ascii="黑体" w:hAnsi="黑体" w:eastAsiaTheme="minorEastAsia" w:cstheme="minorBidi"/>
      <w:b/>
      <w:snapToGrid w:val="0"/>
      <w:color w:val="000000"/>
      <w:kern w:val="2"/>
      <w:sz w:val="44"/>
      <w:szCs w:val="24"/>
      <w:lang w:val="en-US" w:eastAsia="zh-CN" w:bidi="ar-SA"/>
    </w:rPr>
  </w:style>
  <w:style w:type="character" w:customStyle="1" w:styleId="1181">
    <w:name w:val="普通文字 Char3"/>
    <w:link w:val="1182"/>
    <w:qFormat/>
    <w:uiPriority w:val="0"/>
    <w:rPr>
      <w:rFonts w:ascii="宋体" w:hAnsi="宋体" w:eastAsia="宋体"/>
      <w:sz w:val="24"/>
      <w:szCs w:val="24"/>
    </w:rPr>
  </w:style>
  <w:style w:type="paragraph" w:customStyle="1" w:styleId="1182">
    <w:name w:val="纯文本4"/>
    <w:basedOn w:val="1"/>
    <w:link w:val="1181"/>
    <w:qFormat/>
    <w:uiPriority w:val="0"/>
    <w:pPr>
      <w:spacing w:line="240" w:lineRule="auto"/>
    </w:pPr>
    <w:rPr>
      <w:rFonts w:ascii="宋体" w:hAnsi="宋体" w:eastAsia="宋体"/>
      <w:sz w:val="24"/>
      <w:szCs w:val="24"/>
    </w:rPr>
  </w:style>
  <w:style w:type="character" w:customStyle="1" w:styleId="1183">
    <w:name w:val="样式 小四 蓝色 首行缩进:  0.85 厘米 行距: 多倍行距 1.4 字行 Char"/>
    <w:link w:val="1184"/>
    <w:qFormat/>
    <w:uiPriority w:val="0"/>
    <w:rPr>
      <w:rFonts w:ascii="宋体" w:hAnsi="宋体" w:eastAsia="宋体"/>
      <w:b/>
      <w:color w:val="0000FF"/>
      <w:sz w:val="24"/>
      <w:szCs w:val="24"/>
    </w:rPr>
  </w:style>
  <w:style w:type="paragraph" w:customStyle="1" w:styleId="1184">
    <w:name w:val="样式 小四 蓝色 首行缩进:  0.85 厘米 行距: 多倍行距 1.4 字行"/>
    <w:basedOn w:val="1"/>
    <w:link w:val="1183"/>
    <w:qFormat/>
    <w:uiPriority w:val="0"/>
    <w:pPr>
      <w:spacing w:line="336" w:lineRule="auto"/>
      <w:ind w:firstLine="482"/>
    </w:pPr>
    <w:rPr>
      <w:rFonts w:ascii="宋体" w:hAnsi="宋体" w:eastAsia="宋体"/>
      <w:b/>
      <w:color w:val="0000FF"/>
      <w:sz w:val="24"/>
      <w:szCs w:val="24"/>
    </w:rPr>
  </w:style>
  <w:style w:type="character" w:customStyle="1" w:styleId="1185">
    <w:name w:val="特点 Char11"/>
    <w:link w:val="1186"/>
    <w:qFormat/>
    <w:uiPriority w:val="0"/>
    <w:rPr>
      <w:rFonts w:ascii="宋体" w:hAnsi="宋体" w:eastAsia="宋体"/>
      <w:sz w:val="24"/>
      <w:szCs w:val="24"/>
    </w:rPr>
  </w:style>
  <w:style w:type="paragraph" w:customStyle="1" w:styleId="1186">
    <w:name w:val="正文缩进3"/>
    <w:basedOn w:val="1"/>
    <w:link w:val="1185"/>
    <w:qFormat/>
    <w:uiPriority w:val="0"/>
    <w:pPr>
      <w:spacing w:line="240" w:lineRule="auto"/>
      <w:ind w:firstLine="420"/>
    </w:pPr>
    <w:rPr>
      <w:rFonts w:ascii="宋体" w:hAnsi="宋体" w:eastAsia="宋体"/>
      <w:sz w:val="24"/>
      <w:szCs w:val="24"/>
    </w:rPr>
  </w:style>
  <w:style w:type="paragraph" w:customStyle="1" w:styleId="1187">
    <w:name w:val="标题 31"/>
    <w:basedOn w:val="1"/>
    <w:next w:val="1"/>
    <w:qFormat/>
    <w:uiPriority w:val="0"/>
    <w:pPr>
      <w:keepNext/>
      <w:keepLines/>
      <w:snapToGrid w:val="0"/>
      <w:outlineLvl w:val="2"/>
    </w:pPr>
    <w:rPr>
      <w:rFonts w:hint="eastAsia" w:ascii="黑体" w:hAnsi="黑体" w:eastAsia="黑体" w:cs="Times New Roman"/>
      <w:b/>
      <w:snapToGrid w:val="0"/>
      <w:color w:val="008000"/>
      <w:sz w:val="24"/>
      <w:szCs w:val="24"/>
    </w:rPr>
  </w:style>
  <w:style w:type="paragraph" w:customStyle="1" w:styleId="1188">
    <w:name w:val="列表 4Y"/>
    <w:basedOn w:val="38"/>
    <w:qFormat/>
    <w:uiPriority w:val="0"/>
    <w:pPr>
      <w:tabs>
        <w:tab w:val="left" w:pos="1021"/>
      </w:tabs>
      <w:adjustRightInd/>
      <w:spacing w:afterLines="30" w:line="288" w:lineRule="auto"/>
      <w:ind w:left="2042" w:hanging="454"/>
      <w:textAlignment w:val="auto"/>
    </w:pPr>
    <w:rPr>
      <w:rFonts w:ascii="Arial" w:hAnsi="Arial"/>
      <w:color w:val="CCFFFF"/>
      <w:kern w:val="2"/>
    </w:rPr>
  </w:style>
  <w:style w:type="paragraph" w:customStyle="1" w:styleId="1189">
    <w:name w:val="正文文本缩进 21"/>
    <w:basedOn w:val="1"/>
    <w:qFormat/>
    <w:uiPriority w:val="0"/>
    <w:pPr>
      <w:snapToGrid w:val="0"/>
      <w:ind w:firstLine="200" w:firstLineChars="200"/>
    </w:pPr>
    <w:rPr>
      <w:rFonts w:ascii="宋体" w:hAnsi="Times New Roman" w:eastAsia="宋体" w:cs="Times New Roman"/>
      <w:color w:val="339966"/>
      <w:sz w:val="24"/>
      <w:szCs w:val="20"/>
    </w:rPr>
  </w:style>
  <w:style w:type="paragraph" w:customStyle="1" w:styleId="1190">
    <w:name w:val="样式 样式24 +"/>
    <w:basedOn w:val="1"/>
    <w:qFormat/>
    <w:uiPriority w:val="0"/>
    <w:pPr>
      <w:spacing w:line="300" w:lineRule="exact"/>
      <w:ind w:left="-120" w:leftChars="-50" w:right="-120" w:rightChars="-50"/>
      <w:jc w:val="center"/>
    </w:pPr>
    <w:rPr>
      <w:rFonts w:ascii="Times New Roman" w:hAnsi="Times New Roman" w:eastAsia="华文中宋" w:cs="Times New Roman"/>
      <w:szCs w:val="20"/>
    </w:rPr>
  </w:style>
  <w:style w:type="paragraph" w:customStyle="1" w:styleId="1191">
    <w:name w:val="标题 51"/>
    <w:basedOn w:val="1"/>
    <w:next w:val="1"/>
    <w:qFormat/>
    <w:uiPriority w:val="0"/>
    <w:pPr>
      <w:keepNext/>
      <w:keepLines/>
      <w:tabs>
        <w:tab w:val="left" w:pos="1800"/>
      </w:tabs>
      <w:snapToGrid w:val="0"/>
      <w:ind w:left="1009" w:hanging="1009"/>
      <w:jc w:val="left"/>
      <w:outlineLvl w:val="4"/>
    </w:pPr>
    <w:rPr>
      <w:rFonts w:ascii="Times New Roman" w:hAnsi="Times New Roman" w:eastAsia="宋体" w:cs="Times New Roman"/>
      <w:b/>
      <w:sz w:val="28"/>
      <w:szCs w:val="20"/>
    </w:rPr>
  </w:style>
  <w:style w:type="paragraph" w:customStyle="1" w:styleId="1192">
    <w:name w:val="xl84"/>
    <w:basedOn w:val="1"/>
    <w:qFormat/>
    <w:uiPriority w:val="0"/>
    <w:pPr>
      <w:widowControl/>
      <w:spacing w:before="100" w:beforeAutospacing="1" w:after="100" w:afterAutospacing="1"/>
    </w:pPr>
    <w:rPr>
      <w:rFonts w:ascii="宋体" w:hAnsi="宋体" w:eastAsia="宋体" w:cs="Times New Roman"/>
      <w:color w:val="000000"/>
      <w:sz w:val="20"/>
      <w:szCs w:val="20"/>
    </w:rPr>
  </w:style>
  <w:style w:type="paragraph" w:customStyle="1" w:styleId="1193">
    <w:name w:val="标题 41"/>
    <w:basedOn w:val="1"/>
    <w:next w:val="1"/>
    <w:qFormat/>
    <w:uiPriority w:val="0"/>
    <w:pPr>
      <w:keepNext/>
      <w:keepLines/>
      <w:tabs>
        <w:tab w:val="left" w:pos="864"/>
      </w:tabs>
      <w:snapToGrid w:val="0"/>
      <w:spacing w:line="460" w:lineRule="atLeast"/>
      <w:ind w:left="864" w:hanging="864"/>
      <w:outlineLvl w:val="3"/>
    </w:pPr>
    <w:rPr>
      <w:rFonts w:ascii="Times New Roman" w:hAnsi="Times New Roman" w:eastAsia="宋体" w:cs="Times New Roman"/>
      <w:sz w:val="28"/>
      <w:szCs w:val="20"/>
    </w:rPr>
  </w:style>
  <w:style w:type="paragraph" w:customStyle="1" w:styleId="1194">
    <w:name w:val="样式 标题 5标题（五） + 左侧:  0 厘米 首行缩进:  0 厘米"/>
    <w:basedOn w:val="1191"/>
    <w:qFormat/>
    <w:uiPriority w:val="0"/>
    <w:pPr>
      <w:tabs>
        <w:tab w:val="left" w:pos="0"/>
        <w:tab w:val="clear" w:pos="1800"/>
      </w:tabs>
      <w:snapToGrid/>
      <w:spacing w:before="280" w:after="290" w:line="376" w:lineRule="atLeast"/>
      <w:ind w:left="0" w:firstLine="0"/>
    </w:pPr>
  </w:style>
  <w:style w:type="paragraph" w:customStyle="1" w:styleId="1195">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color w:val="000000"/>
      <w:sz w:val="20"/>
      <w:szCs w:val="20"/>
    </w:rPr>
  </w:style>
  <w:style w:type="paragraph" w:customStyle="1" w:styleId="1196">
    <w:name w:val="bgbt"/>
    <w:basedOn w:val="1"/>
    <w:qFormat/>
    <w:uiPriority w:val="0"/>
    <w:pPr>
      <w:spacing w:after="100" w:line="240" w:lineRule="auto"/>
      <w:ind w:firstLine="573"/>
      <w:jc w:val="right"/>
    </w:pPr>
    <w:rPr>
      <w:rFonts w:ascii="Times New Roman" w:hAnsi="Times New Roman" w:eastAsia="宋体" w:cs="Times New Roman"/>
      <w:b/>
      <w:sz w:val="24"/>
      <w:szCs w:val="20"/>
    </w:rPr>
  </w:style>
  <w:style w:type="paragraph" w:customStyle="1" w:styleId="1197">
    <w:name w:val="样式 表格 + 左侧:  0.98 厘米"/>
    <w:basedOn w:val="1"/>
    <w:qFormat/>
    <w:uiPriority w:val="0"/>
    <w:pPr>
      <w:snapToGrid w:val="0"/>
      <w:spacing w:before="100" w:beforeAutospacing="1" w:after="100" w:afterAutospacing="1" w:line="300" w:lineRule="auto"/>
    </w:pPr>
    <w:rPr>
      <w:rFonts w:ascii="Arial" w:hAnsi="Arial" w:eastAsia="宋体" w:cs="Times New Roman"/>
      <w:sz w:val="24"/>
      <w:szCs w:val="20"/>
    </w:rPr>
  </w:style>
  <w:style w:type="paragraph" w:customStyle="1" w:styleId="1198">
    <w:name w:val="Char Char Char Char Char Char1 Char Char Char1 Char"/>
    <w:basedOn w:val="1"/>
    <w:qFormat/>
    <w:uiPriority w:val="0"/>
    <w:pPr>
      <w:ind w:firstLine="200" w:firstLineChars="200"/>
    </w:pPr>
    <w:rPr>
      <w:rFonts w:ascii="宋体" w:hAnsi="宋体" w:eastAsia="宋体" w:cs="Times New Roman"/>
      <w:sz w:val="24"/>
      <w:szCs w:val="20"/>
    </w:rPr>
  </w:style>
  <w:style w:type="paragraph" w:customStyle="1" w:styleId="1199">
    <w:name w:val="水保2级"/>
    <w:basedOn w:val="6"/>
    <w:qFormat/>
    <w:uiPriority w:val="0"/>
    <w:pPr>
      <w:numPr>
        <w:ilvl w:val="0"/>
        <w:numId w:val="0"/>
      </w:numPr>
      <w:snapToGrid w:val="0"/>
      <w:spacing w:before="0" w:after="0" w:line="412" w:lineRule="auto"/>
      <w:jc w:val="both"/>
    </w:pPr>
    <w:rPr>
      <w:rFonts w:hint="eastAsia" w:ascii="Arial" w:hAnsi="Arial" w:eastAsia="华文中宋" w:cs="Times New Roman"/>
      <w:b w:val="0"/>
      <w:szCs w:val="20"/>
    </w:rPr>
  </w:style>
  <w:style w:type="paragraph" w:customStyle="1" w:styleId="1200">
    <w:name w:val="Char Char Char Char Char Char3"/>
    <w:basedOn w:val="1"/>
    <w:qFormat/>
    <w:uiPriority w:val="0"/>
    <w:pPr>
      <w:ind w:firstLine="200" w:firstLineChars="200"/>
    </w:pPr>
    <w:rPr>
      <w:rFonts w:ascii="宋体" w:hAnsi="宋体" w:eastAsia="宋体" w:cs="Times New Roman"/>
      <w:sz w:val="24"/>
      <w:szCs w:val="20"/>
    </w:rPr>
  </w:style>
  <w:style w:type="paragraph" w:customStyle="1" w:styleId="1201">
    <w:name w:val="说明书正文"/>
    <w:basedOn w:val="1"/>
    <w:qFormat/>
    <w:uiPriority w:val="0"/>
    <w:pPr>
      <w:spacing w:line="480" w:lineRule="exact"/>
      <w:ind w:firstLine="600" w:firstLineChars="200"/>
    </w:pPr>
    <w:rPr>
      <w:rFonts w:ascii="Times New Roman" w:hAnsi="Times New Roman" w:eastAsia="仿宋_GB2312" w:cs="Times New Roman"/>
      <w:color w:val="000000"/>
      <w:sz w:val="30"/>
      <w:szCs w:val="20"/>
    </w:rPr>
  </w:style>
  <w:style w:type="paragraph" w:customStyle="1" w:styleId="1202">
    <w:name w:val="xl87"/>
    <w:basedOn w:val="1"/>
    <w:qFormat/>
    <w:uiPriority w:val="0"/>
    <w:pPr>
      <w:widowControl/>
      <w:pBdr>
        <w:bottom w:val="single" w:color="auto" w:sz="4" w:space="0"/>
      </w:pBdr>
      <w:spacing w:before="100" w:beforeAutospacing="1" w:after="100" w:afterAutospacing="1"/>
    </w:pPr>
    <w:rPr>
      <w:rFonts w:ascii="宋体" w:hAnsi="宋体" w:eastAsia="宋体" w:cs="Times New Roman"/>
      <w:color w:val="000000"/>
      <w:sz w:val="20"/>
      <w:szCs w:val="20"/>
    </w:rPr>
  </w:style>
  <w:style w:type="paragraph" w:customStyle="1" w:styleId="1203">
    <w:name w:val="样式17 Char Char Char"/>
    <w:basedOn w:val="1"/>
    <w:qFormat/>
    <w:uiPriority w:val="0"/>
    <w:pPr>
      <w:spacing w:line="240" w:lineRule="auto"/>
      <w:ind w:firstLine="480" w:firstLineChars="200"/>
    </w:pPr>
    <w:rPr>
      <w:rFonts w:ascii="Times New Roman" w:hAnsi="Times New Roman" w:eastAsia="华文中宋" w:cs="Times New Roman"/>
      <w:sz w:val="24"/>
      <w:szCs w:val="20"/>
    </w:rPr>
  </w:style>
  <w:style w:type="paragraph" w:customStyle="1" w:styleId="1204">
    <w:name w:val="样式 标题 3 + 首行缩进:  0 厘米"/>
    <w:basedOn w:val="1187"/>
    <w:qFormat/>
    <w:uiPriority w:val="0"/>
    <w:pPr>
      <w:tabs>
        <w:tab w:val="left" w:leader="dot" w:pos="284"/>
      </w:tabs>
      <w:spacing w:line="240" w:lineRule="auto"/>
      <w:ind w:firstLine="100" w:firstLineChars="100"/>
    </w:pPr>
    <w:rPr>
      <w:rFonts w:ascii="Times New Roman" w:eastAsia="宋体"/>
      <w:sz w:val="28"/>
    </w:rPr>
  </w:style>
  <w:style w:type="paragraph" w:customStyle="1" w:styleId="1205">
    <w:name w:val="Char Char Char1 Char Char Char Char Char Char"/>
    <w:basedOn w:val="1"/>
    <w:qFormat/>
    <w:uiPriority w:val="0"/>
    <w:rPr>
      <w:rFonts w:ascii="Times New Roman" w:hAnsi="Times New Roman" w:eastAsia="宋体" w:cs="Times New Roman"/>
      <w:sz w:val="24"/>
      <w:szCs w:val="20"/>
    </w:rPr>
  </w:style>
  <w:style w:type="paragraph" w:customStyle="1" w:styleId="1206">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ascii="宋体" w:hAnsi="宋体" w:eastAsia="宋体" w:cs="Times New Roman"/>
      <w:color w:val="000000"/>
      <w:sz w:val="20"/>
      <w:szCs w:val="20"/>
    </w:rPr>
  </w:style>
  <w:style w:type="paragraph" w:customStyle="1" w:styleId="1207">
    <w:name w:val="样式 样式1 + 段前: 0.5 行"/>
    <w:basedOn w:val="296"/>
    <w:qFormat/>
    <w:uiPriority w:val="0"/>
    <w:pPr>
      <w:keepNext w:val="0"/>
      <w:keepLines w:val="0"/>
      <w:spacing w:before="100" w:beforeAutospacing="1" w:after="100" w:afterAutospacing="1" w:line="360" w:lineRule="auto"/>
      <w:ind w:firstLine="560" w:firstLineChars="200"/>
      <w:jc w:val="left"/>
      <w:outlineLvl w:val="9"/>
    </w:pPr>
    <w:rPr>
      <w:rFonts w:hint="eastAsia" w:ascii="宋体" w:hAnsi="宋体" w:eastAsia="宋体"/>
      <w:bCs w:val="0"/>
      <w:color w:val="000000"/>
      <w:szCs w:val="20"/>
    </w:rPr>
  </w:style>
  <w:style w:type="paragraph" w:customStyle="1" w:styleId="1208">
    <w:name w:val="xl91"/>
    <w:basedOn w:val="1"/>
    <w:qFormat/>
    <w:uiPriority w:val="0"/>
    <w:pPr>
      <w:widowControl/>
      <w:pBdr>
        <w:bottom w:val="single" w:color="auto" w:sz="4" w:space="0"/>
      </w:pBdr>
      <w:spacing w:before="100" w:beforeAutospacing="1" w:after="100" w:afterAutospacing="1"/>
      <w:jc w:val="center"/>
    </w:pPr>
    <w:rPr>
      <w:rFonts w:ascii="宋体" w:hAnsi="宋体" w:eastAsia="宋体" w:cs="Times New Roman"/>
      <w:color w:val="000000"/>
      <w:sz w:val="20"/>
      <w:szCs w:val="20"/>
    </w:rPr>
  </w:style>
  <w:style w:type="paragraph" w:customStyle="1" w:styleId="1209">
    <w:name w:val="font15"/>
    <w:basedOn w:val="1"/>
    <w:qFormat/>
    <w:uiPriority w:val="0"/>
    <w:pPr>
      <w:widowControl/>
      <w:spacing w:before="100" w:beforeAutospacing="1" w:after="100" w:afterAutospacing="1"/>
      <w:jc w:val="left"/>
    </w:pPr>
    <w:rPr>
      <w:rFonts w:ascii="宋体" w:hAnsi="宋体" w:eastAsia="宋体" w:cs="Times New Roman"/>
      <w:color w:val="000000"/>
      <w:sz w:val="20"/>
      <w:szCs w:val="20"/>
    </w:rPr>
  </w:style>
  <w:style w:type="paragraph" w:customStyle="1" w:styleId="1210">
    <w:name w:val="正文（首行缩进2字符）"/>
    <w:basedOn w:val="1"/>
    <w:qFormat/>
    <w:uiPriority w:val="0"/>
    <w:pPr>
      <w:topLinePunct/>
      <w:ind w:firstLine="200" w:firstLineChars="200"/>
    </w:pPr>
    <w:rPr>
      <w:rFonts w:ascii="Times New Roman" w:hAnsi="Times New Roman" w:eastAsia="宋体" w:cs="Times New Roman"/>
      <w:sz w:val="28"/>
      <w:szCs w:val="20"/>
    </w:rPr>
  </w:style>
  <w:style w:type="paragraph" w:customStyle="1" w:styleId="1211">
    <w:name w:val="样式 右侧:  0 厘米 段前: 0.5 行"/>
    <w:basedOn w:val="1"/>
    <w:qFormat/>
    <w:uiPriority w:val="0"/>
    <w:pPr>
      <w:snapToGrid w:val="0"/>
      <w:spacing w:beforeLines="50"/>
      <w:ind w:firstLine="200" w:firstLineChars="200"/>
    </w:pPr>
    <w:rPr>
      <w:rFonts w:ascii="Times New Roman" w:hAnsi="Times New Roman" w:eastAsia="宋体" w:cs="Times New Roman"/>
      <w:sz w:val="24"/>
      <w:szCs w:val="20"/>
    </w:rPr>
  </w:style>
  <w:style w:type="paragraph" w:customStyle="1" w:styleId="1212">
    <w:name w:val="水保4级"/>
    <w:basedOn w:val="1193"/>
    <w:qFormat/>
    <w:uiPriority w:val="0"/>
    <w:pPr>
      <w:tabs>
        <w:tab w:val="clear" w:pos="864"/>
      </w:tabs>
      <w:snapToGrid/>
      <w:spacing w:before="280" w:after="290" w:line="360" w:lineRule="auto"/>
      <w:ind w:left="0" w:firstLine="0"/>
    </w:pPr>
    <w:rPr>
      <w:rFonts w:ascii="Arial" w:hAnsi="Arial"/>
      <w:sz w:val="24"/>
    </w:rPr>
  </w:style>
  <w:style w:type="paragraph" w:customStyle="1" w:styleId="1213">
    <w:name w:val="Char Char Char Char Char Char3 Char Char Char"/>
    <w:basedOn w:val="1"/>
    <w:qFormat/>
    <w:uiPriority w:val="0"/>
    <w:pPr>
      <w:ind w:firstLine="200" w:firstLineChars="200"/>
    </w:pPr>
    <w:rPr>
      <w:rFonts w:ascii="宋体" w:hAnsi="宋体" w:eastAsia="宋体" w:cs="Times New Roman"/>
      <w:sz w:val="24"/>
      <w:szCs w:val="20"/>
    </w:rPr>
  </w:style>
  <w:style w:type="paragraph" w:customStyle="1" w:styleId="1214">
    <w:name w:val="样式 标题 1 + 段前: 0 磅 段后: 0 磅 行距: 单倍行距"/>
    <w:basedOn w:val="1180"/>
    <w:qFormat/>
    <w:uiPriority w:val="0"/>
    <w:pPr>
      <w:widowControl w:val="0"/>
      <w:tabs>
        <w:tab w:val="left" w:pos="432"/>
      </w:tabs>
      <w:spacing w:beforeLines="0" w:afterLines="0"/>
      <w:ind w:left="432" w:hanging="432"/>
      <w:jc w:val="both"/>
    </w:pPr>
    <w:rPr>
      <w:rFonts w:ascii="Times New Roman"/>
      <w:kern w:val="44"/>
      <w:sz w:val="28"/>
    </w:rPr>
  </w:style>
  <w:style w:type="paragraph" w:customStyle="1" w:styleId="1215">
    <w:name w:val="样式 样式 正文缩进s4 + 首行缩进:  2 字符 + 首行缩进:  2 字符"/>
    <w:basedOn w:val="1"/>
    <w:qFormat/>
    <w:uiPriority w:val="0"/>
    <w:pPr>
      <w:snapToGrid w:val="0"/>
      <w:ind w:firstLine="480" w:firstLineChars="200"/>
    </w:pPr>
    <w:rPr>
      <w:rFonts w:ascii="Times New Roman" w:hAnsi="Times New Roman" w:eastAsia="仿宋_GB2312" w:cs="Times New Roman"/>
      <w:sz w:val="28"/>
      <w:szCs w:val="20"/>
    </w:rPr>
  </w:style>
  <w:style w:type="paragraph" w:customStyle="1" w:styleId="1216">
    <w:name w:val="正文文字标准"/>
    <w:basedOn w:val="87"/>
    <w:qFormat/>
    <w:uiPriority w:val="0"/>
    <w:pPr>
      <w:spacing w:after="0" w:line="480" w:lineRule="exact"/>
      <w:ind w:firstLine="200" w:firstLineChars="200"/>
    </w:pPr>
    <w:rPr>
      <w:rFonts w:eastAsia="Times New Roman"/>
      <w:sz w:val="28"/>
      <w:szCs w:val="20"/>
    </w:rPr>
  </w:style>
  <w:style w:type="paragraph" w:customStyle="1" w:styleId="1217">
    <w:name w:val="样式 标题 3 + 首行缩进:  2 字符"/>
    <w:basedOn w:val="1187"/>
    <w:qFormat/>
    <w:uiPriority w:val="0"/>
    <w:pPr>
      <w:spacing w:before="100" w:beforeAutospacing="1" w:after="100" w:afterAutospacing="1" w:line="440" w:lineRule="exact"/>
    </w:pPr>
    <w:rPr>
      <w:rFonts w:ascii="Times New Roman" w:eastAsia="宋体"/>
      <w:b w:val="0"/>
      <w:color w:val="000000"/>
      <w:sz w:val="28"/>
    </w:rPr>
  </w:style>
  <w:style w:type="paragraph" w:customStyle="1" w:styleId="1218">
    <w:name w:val="font14"/>
    <w:basedOn w:val="1"/>
    <w:qFormat/>
    <w:uiPriority w:val="0"/>
    <w:pPr>
      <w:widowControl/>
      <w:spacing w:before="100" w:beforeAutospacing="1" w:after="100" w:afterAutospacing="1"/>
      <w:jc w:val="left"/>
    </w:pPr>
    <w:rPr>
      <w:rFonts w:ascii="宋体" w:hAnsi="宋体" w:eastAsia="宋体" w:cs="Times New Roman"/>
      <w:color w:val="000000"/>
      <w:sz w:val="20"/>
      <w:szCs w:val="20"/>
    </w:rPr>
  </w:style>
  <w:style w:type="paragraph" w:customStyle="1" w:styleId="1219">
    <w:name w:val="样式 (符号) 宋体 五号 加粗 居中 段前: 0.5 行 行距: 单倍行距"/>
    <w:basedOn w:val="1"/>
    <w:qFormat/>
    <w:uiPriority w:val="0"/>
    <w:pPr>
      <w:snapToGrid w:val="0"/>
      <w:jc w:val="center"/>
    </w:pPr>
    <w:rPr>
      <w:rFonts w:ascii="Times New Roman" w:hAnsi="宋体" w:eastAsia="宋体" w:cs="Times New Roman"/>
      <w:b/>
      <w:sz w:val="24"/>
      <w:szCs w:val="20"/>
    </w:rPr>
  </w:style>
  <w:style w:type="paragraph" w:customStyle="1" w:styleId="1220">
    <w:name w:val="正文文本1"/>
    <w:basedOn w:val="1"/>
    <w:qFormat/>
    <w:uiPriority w:val="0"/>
    <w:pPr>
      <w:spacing w:after="120" w:line="240" w:lineRule="auto"/>
    </w:pPr>
    <w:rPr>
      <w:rFonts w:ascii="Times New Roman" w:hAnsi="Times New Roman" w:eastAsia="宋体" w:cs="Times New Roman"/>
      <w:sz w:val="24"/>
      <w:szCs w:val="20"/>
    </w:rPr>
  </w:style>
  <w:style w:type="paragraph" w:customStyle="1" w:styleId="1221">
    <w:name w:val="txt1"/>
    <w:basedOn w:val="1"/>
    <w:qFormat/>
    <w:uiPriority w:val="0"/>
    <w:pPr>
      <w:widowControl/>
      <w:spacing w:before="100" w:beforeAutospacing="1" w:after="100" w:afterAutospacing="1" w:line="270" w:lineRule="atLeast"/>
      <w:jc w:val="left"/>
    </w:pPr>
    <w:rPr>
      <w:rFonts w:ascii="宋体" w:hAnsi="宋体" w:eastAsia="宋体" w:cs="Times New Roman"/>
      <w:color w:val="000000"/>
      <w:sz w:val="18"/>
      <w:szCs w:val="20"/>
    </w:rPr>
  </w:style>
  <w:style w:type="paragraph" w:customStyle="1" w:styleId="1222">
    <w:name w:val="样式 左侧:  0.98 厘米"/>
    <w:basedOn w:val="1"/>
    <w:qFormat/>
    <w:uiPriority w:val="0"/>
    <w:pPr>
      <w:snapToGrid w:val="0"/>
      <w:spacing w:line="490" w:lineRule="exact"/>
      <w:ind w:firstLine="560" w:firstLineChars="200"/>
    </w:pPr>
    <w:rPr>
      <w:rFonts w:ascii="Times New Roman" w:hAnsi="Times New Roman" w:eastAsia="仿宋_GB2312" w:cs="Times New Roman"/>
      <w:sz w:val="28"/>
      <w:szCs w:val="20"/>
    </w:rPr>
  </w:style>
  <w:style w:type="paragraph" w:customStyle="1" w:styleId="1223">
    <w:name w:val="样式 标题 3 + 黑体 小四"/>
    <w:basedOn w:val="1187"/>
    <w:qFormat/>
    <w:uiPriority w:val="0"/>
    <w:pPr>
      <w:tabs>
        <w:tab w:val="left" w:pos="720"/>
        <w:tab w:val="left" w:pos="1609"/>
      </w:tabs>
      <w:spacing w:before="60"/>
      <w:ind w:left="607" w:hanging="607"/>
      <w:jc w:val="left"/>
    </w:pPr>
  </w:style>
  <w:style w:type="paragraph" w:customStyle="1" w:styleId="1224">
    <w:name w:val="Char Char Char Char Char Char1 Char Char Char"/>
    <w:basedOn w:val="1"/>
    <w:qFormat/>
    <w:uiPriority w:val="0"/>
    <w:pPr>
      <w:ind w:firstLine="200" w:firstLineChars="200"/>
    </w:pPr>
    <w:rPr>
      <w:rFonts w:ascii="宋体" w:hAnsi="宋体" w:eastAsia="宋体" w:cs="Times New Roman"/>
      <w:sz w:val="24"/>
      <w:szCs w:val="20"/>
    </w:rPr>
  </w:style>
  <w:style w:type="paragraph" w:customStyle="1" w:styleId="1225">
    <w:name w:val="Char Char Char Char Char Char1 Char Char Char1 Char Char Char"/>
    <w:basedOn w:val="1"/>
    <w:qFormat/>
    <w:uiPriority w:val="0"/>
    <w:pPr>
      <w:ind w:firstLine="200" w:firstLineChars="200"/>
    </w:pPr>
    <w:rPr>
      <w:rFonts w:ascii="宋体" w:hAnsi="宋体" w:eastAsia="宋体" w:cs="Times New Roman"/>
      <w:sz w:val="24"/>
      <w:szCs w:val="20"/>
    </w:rPr>
  </w:style>
  <w:style w:type="paragraph" w:customStyle="1" w:styleId="1226">
    <w:name w:val="样式 样式1 + (中文) 华文中宋 小二 居中 行距: 单倍行距"/>
    <w:basedOn w:val="296"/>
    <w:qFormat/>
    <w:uiPriority w:val="0"/>
    <w:pPr>
      <w:keepNext w:val="0"/>
      <w:keepLines w:val="0"/>
      <w:tabs>
        <w:tab w:val="left" w:pos="1125"/>
      </w:tabs>
      <w:spacing w:line="240" w:lineRule="auto"/>
      <w:jc w:val="center"/>
      <w:outlineLvl w:val="9"/>
    </w:pPr>
    <w:rPr>
      <w:rFonts w:hint="eastAsia" w:ascii="华文中宋" w:hAnsi="华文中宋"/>
      <w:b/>
      <w:bCs w:val="0"/>
      <w:sz w:val="36"/>
      <w:szCs w:val="20"/>
    </w:rPr>
  </w:style>
  <w:style w:type="paragraph" w:customStyle="1" w:styleId="1227">
    <w:name w:val="Char Char Char Char Char Char2"/>
    <w:basedOn w:val="1"/>
    <w:qFormat/>
    <w:uiPriority w:val="0"/>
    <w:pPr>
      <w:ind w:firstLine="200" w:firstLineChars="200"/>
    </w:pPr>
    <w:rPr>
      <w:rFonts w:ascii="宋体" w:hAnsi="宋体" w:eastAsia="宋体" w:cs="Times New Roman"/>
      <w:sz w:val="24"/>
      <w:szCs w:val="20"/>
    </w:rPr>
  </w:style>
  <w:style w:type="paragraph" w:customStyle="1" w:styleId="1228">
    <w:name w:val="Char Char Char Char Char Char3 Char Char Char Char Char Char"/>
    <w:basedOn w:val="1"/>
    <w:qFormat/>
    <w:uiPriority w:val="0"/>
    <w:pPr>
      <w:ind w:firstLine="200" w:firstLineChars="200"/>
    </w:pPr>
    <w:rPr>
      <w:rFonts w:ascii="宋体" w:hAnsi="宋体" w:eastAsia="宋体" w:cs="Times New Roman"/>
      <w:sz w:val="24"/>
      <w:szCs w:val="20"/>
    </w:rPr>
  </w:style>
  <w:style w:type="paragraph" w:customStyle="1" w:styleId="1229">
    <w:name w:val="Char4"/>
    <w:basedOn w:val="1"/>
    <w:qFormat/>
    <w:uiPriority w:val="0"/>
    <w:pPr>
      <w:ind w:firstLine="200" w:firstLineChars="200"/>
    </w:pPr>
    <w:rPr>
      <w:rFonts w:ascii="宋体" w:hAnsi="宋体" w:eastAsia="宋体" w:cs="Times New Roman"/>
      <w:sz w:val="24"/>
      <w:szCs w:val="20"/>
    </w:rPr>
  </w:style>
  <w:style w:type="paragraph" w:customStyle="1" w:styleId="1230">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pPr>
    <w:rPr>
      <w:rFonts w:ascii="宋体" w:hAnsi="宋体" w:eastAsia="宋体" w:cs="Times New Roman"/>
      <w:color w:val="000000"/>
      <w:sz w:val="20"/>
      <w:szCs w:val="20"/>
    </w:rPr>
  </w:style>
  <w:style w:type="paragraph" w:customStyle="1" w:styleId="1231">
    <w:name w:val="Char Char Char1 Char Char Char Char Char Char Char"/>
    <w:basedOn w:val="1"/>
    <w:qFormat/>
    <w:uiPriority w:val="0"/>
    <w:rPr>
      <w:rFonts w:ascii="Times New Roman" w:hAnsi="Times New Roman" w:eastAsia="宋体" w:cs="Times New Roman"/>
      <w:sz w:val="24"/>
      <w:szCs w:val="20"/>
    </w:rPr>
  </w:style>
  <w:style w:type="paragraph" w:customStyle="1" w:styleId="1232">
    <w:name w:val="样式0表换行"/>
    <w:basedOn w:val="1"/>
    <w:qFormat/>
    <w:uiPriority w:val="0"/>
    <w:pPr>
      <w:spacing w:line="300" w:lineRule="auto"/>
      <w:jc w:val="center"/>
    </w:pPr>
    <w:rPr>
      <w:rFonts w:ascii="Times New Roman" w:hAnsi="Times New Roman" w:eastAsia="宋体" w:cs="Times New Roman"/>
      <w:sz w:val="24"/>
      <w:szCs w:val="20"/>
    </w:rPr>
  </w:style>
  <w:style w:type="paragraph" w:customStyle="1" w:styleId="1233">
    <w:name w:val="Char Char Char Char Char Char Char Char Char Char1 Char Char Char Char"/>
    <w:basedOn w:val="1"/>
    <w:qFormat/>
    <w:uiPriority w:val="0"/>
    <w:pPr>
      <w:spacing w:line="240" w:lineRule="auto"/>
    </w:pPr>
    <w:rPr>
      <w:rFonts w:ascii="Times New Roman" w:hAnsi="Times New Roman" w:eastAsia="宋体" w:cs="Times New Roman"/>
      <w:szCs w:val="20"/>
    </w:rPr>
  </w:style>
  <w:style w:type="paragraph" w:customStyle="1" w:styleId="1234">
    <w:name w:val="普通(网站)2"/>
    <w:basedOn w:val="1"/>
    <w:qFormat/>
    <w:uiPriority w:val="0"/>
    <w:pPr>
      <w:widowControl/>
      <w:spacing w:before="100" w:beforeAutospacing="1" w:after="100" w:afterAutospacing="1" w:line="240" w:lineRule="auto"/>
      <w:jc w:val="left"/>
    </w:pPr>
    <w:rPr>
      <w:rFonts w:ascii="宋体" w:hAnsi="宋体" w:eastAsia="宋体" w:cs="Times New Roman"/>
      <w:sz w:val="24"/>
      <w:szCs w:val="20"/>
    </w:rPr>
  </w:style>
  <w:style w:type="paragraph" w:customStyle="1" w:styleId="1235">
    <w:name w:val="样式 标题 2 + Times New Roman 首行缩进:  2 字符"/>
    <w:basedOn w:val="6"/>
    <w:qFormat/>
    <w:uiPriority w:val="0"/>
    <w:pPr>
      <w:numPr>
        <w:ilvl w:val="0"/>
        <w:numId w:val="0"/>
      </w:numPr>
      <w:snapToGrid w:val="0"/>
      <w:spacing w:before="120" w:after="0" w:line="360" w:lineRule="auto"/>
      <w:jc w:val="both"/>
    </w:pPr>
    <w:rPr>
      <w:rFonts w:hint="eastAsia" w:ascii="华文中宋" w:hAnsi="华文中宋" w:eastAsia="华文中宋" w:cs="Times New Roman"/>
      <w:szCs w:val="20"/>
    </w:rPr>
  </w:style>
  <w:style w:type="paragraph" w:customStyle="1" w:styleId="1236">
    <w:name w:val="bg"/>
    <w:basedOn w:val="1"/>
    <w:qFormat/>
    <w:uiPriority w:val="0"/>
    <w:pPr>
      <w:widowControl/>
      <w:snapToGrid w:val="0"/>
      <w:jc w:val="center"/>
    </w:pPr>
    <w:rPr>
      <w:rFonts w:ascii="Times New Roman" w:hAnsi="Times New Roman" w:eastAsia="宋体" w:cs="Times New Roman"/>
      <w:color w:val="000000"/>
      <w:sz w:val="18"/>
      <w:szCs w:val="20"/>
    </w:rPr>
  </w:style>
  <w:style w:type="paragraph" w:customStyle="1" w:styleId="1237">
    <w:name w:val="Char Char Char Char Char Char1 Char Char Char1 Char Char Char Char Char Char"/>
    <w:basedOn w:val="1"/>
    <w:qFormat/>
    <w:uiPriority w:val="0"/>
    <w:pPr>
      <w:ind w:firstLine="200" w:firstLineChars="200"/>
    </w:pPr>
    <w:rPr>
      <w:rFonts w:ascii="宋体" w:hAnsi="宋体" w:eastAsia="宋体" w:cs="Times New Roman"/>
      <w:sz w:val="24"/>
      <w:szCs w:val="20"/>
    </w:rPr>
  </w:style>
  <w:style w:type="paragraph" w:customStyle="1" w:styleId="1238">
    <w:name w:val="批注框文本1"/>
    <w:basedOn w:val="1"/>
    <w:qFormat/>
    <w:uiPriority w:val="0"/>
    <w:pPr>
      <w:spacing w:line="240" w:lineRule="auto"/>
    </w:pPr>
    <w:rPr>
      <w:rFonts w:ascii="Times New Roman" w:hAnsi="Times New Roman" w:eastAsia="宋体" w:cs="Times New Roman"/>
      <w:sz w:val="18"/>
      <w:szCs w:val="20"/>
    </w:rPr>
  </w:style>
  <w:style w:type="paragraph" w:customStyle="1" w:styleId="1239">
    <w:name w:val="论文样式1"/>
    <w:basedOn w:val="1"/>
    <w:qFormat/>
    <w:uiPriority w:val="0"/>
    <w:pPr>
      <w:jc w:val="center"/>
    </w:pPr>
    <w:rPr>
      <w:rFonts w:ascii="黑体" w:hAnsi="Times New Roman" w:eastAsia="宋体" w:cs="Times New Roman"/>
      <w:sz w:val="24"/>
      <w:szCs w:val="20"/>
    </w:rPr>
  </w:style>
  <w:style w:type="paragraph" w:customStyle="1" w:styleId="1240">
    <w:name w:val="样式 题注 + 左侧:  0.98 厘米 首行缩进:  2 字符"/>
    <w:basedOn w:val="24"/>
    <w:qFormat/>
    <w:uiPriority w:val="0"/>
    <w:pPr>
      <w:snapToGrid w:val="0"/>
      <w:spacing w:before="120" w:line="300" w:lineRule="exact"/>
      <w:ind w:firstLine="480" w:firstLineChars="200"/>
      <w:outlineLvl w:val="9"/>
    </w:pPr>
    <w:rPr>
      <w:rFonts w:ascii="Arial" w:hAnsi="Arial" w:cs="Arial"/>
      <w:b w:val="0"/>
      <w:color w:val="000000"/>
      <w:sz w:val="24"/>
      <w:szCs w:val="28"/>
      <w:u w:val="double"/>
    </w:rPr>
  </w:style>
  <w:style w:type="paragraph" w:customStyle="1" w:styleId="1241">
    <w:name w:val="样式 标题 2 + 首行缩进:  2 字符"/>
    <w:basedOn w:val="6"/>
    <w:qFormat/>
    <w:uiPriority w:val="0"/>
    <w:pPr>
      <w:numPr>
        <w:ilvl w:val="0"/>
        <w:numId w:val="0"/>
      </w:numPr>
      <w:snapToGrid w:val="0"/>
      <w:spacing w:before="0" w:after="0" w:line="360" w:lineRule="auto"/>
      <w:ind w:firstLine="592" w:firstLineChars="200"/>
      <w:jc w:val="both"/>
    </w:pPr>
    <w:rPr>
      <w:rFonts w:hint="eastAsia" w:ascii="黑体" w:hAnsi="宋体" w:eastAsia="黑体" w:cs="Times New Roman"/>
      <w:b w:val="0"/>
      <w:sz w:val="30"/>
      <w:szCs w:val="20"/>
    </w:rPr>
  </w:style>
  <w:style w:type="paragraph" w:customStyle="1" w:styleId="1242">
    <w:name w:val="样式 标题 1 + 红色 Char Char"/>
    <w:basedOn w:val="1180"/>
    <w:qFormat/>
    <w:uiPriority w:val="0"/>
    <w:pPr>
      <w:widowControl w:val="0"/>
      <w:spacing w:beforeLines="0" w:afterLines="0" w:line="576" w:lineRule="auto"/>
      <w:jc w:val="both"/>
    </w:pPr>
    <w:rPr>
      <w:rFonts w:ascii="宋体" w:hAnsi="宋体"/>
      <w:color w:val="FF0000"/>
      <w:kern w:val="44"/>
      <w:sz w:val="32"/>
    </w:rPr>
  </w:style>
  <w:style w:type="paragraph" w:customStyle="1" w:styleId="1243">
    <w:name w:val="样式 标题 2 + 首行缩进:  0 厘米"/>
    <w:basedOn w:val="6"/>
    <w:qFormat/>
    <w:uiPriority w:val="0"/>
    <w:pPr>
      <w:numPr>
        <w:ilvl w:val="0"/>
        <w:numId w:val="0"/>
      </w:numPr>
      <w:tabs>
        <w:tab w:val="left" w:pos="0"/>
      </w:tabs>
      <w:snapToGrid w:val="0"/>
      <w:spacing w:before="0" w:after="0" w:line="300" w:lineRule="auto"/>
      <w:ind w:left="113"/>
      <w:jc w:val="both"/>
    </w:pPr>
    <w:rPr>
      <w:rFonts w:hint="eastAsia" w:ascii="Arial" w:hAnsi="Arial" w:eastAsia="华文中宋" w:cs="Times New Roman"/>
      <w:b w:val="0"/>
      <w:szCs w:val="20"/>
    </w:rPr>
  </w:style>
  <w:style w:type="paragraph" w:customStyle="1" w:styleId="1244">
    <w:name w:val="啊啊啊啊啊啊啊啊啊啊"/>
    <w:basedOn w:val="1"/>
    <w:qFormat/>
    <w:uiPriority w:val="0"/>
    <w:pPr>
      <w:ind w:firstLine="200" w:firstLineChars="200"/>
    </w:pPr>
    <w:rPr>
      <w:rFonts w:ascii="Times New Roman" w:hAnsi="Times New Roman" w:eastAsia="宋体" w:cs="Times New Roman"/>
      <w:sz w:val="24"/>
      <w:szCs w:val="24"/>
    </w:rPr>
  </w:style>
  <w:style w:type="paragraph" w:customStyle="1" w:styleId="1245">
    <w:name w:val="样式 标题 2 + 四号"/>
    <w:basedOn w:val="6"/>
    <w:qFormat/>
    <w:uiPriority w:val="0"/>
    <w:pPr>
      <w:numPr>
        <w:ilvl w:val="0"/>
        <w:numId w:val="0"/>
      </w:numPr>
      <w:tabs>
        <w:tab w:val="left" w:pos="576"/>
      </w:tabs>
      <w:snapToGrid w:val="0"/>
      <w:spacing w:before="0" w:after="0" w:line="240" w:lineRule="auto"/>
      <w:ind w:left="576" w:hanging="576"/>
      <w:jc w:val="both"/>
    </w:pPr>
    <w:rPr>
      <w:rFonts w:hint="eastAsia" w:ascii="华文中宋" w:hAnsi="华文中宋" w:eastAsia="华文中宋" w:cs="Times New Roman"/>
      <w:b w:val="0"/>
      <w:szCs w:val="20"/>
    </w:rPr>
  </w:style>
  <w:style w:type="paragraph" w:customStyle="1" w:styleId="1246">
    <w:name w:val="标题 61"/>
    <w:basedOn w:val="1"/>
    <w:next w:val="1"/>
    <w:qFormat/>
    <w:uiPriority w:val="0"/>
    <w:pPr>
      <w:keepNext/>
      <w:keepLines/>
      <w:tabs>
        <w:tab w:val="left" w:pos="1152"/>
      </w:tabs>
      <w:snapToGrid w:val="0"/>
      <w:spacing w:before="240" w:after="64" w:line="316" w:lineRule="auto"/>
      <w:ind w:left="1152" w:hanging="1152"/>
      <w:outlineLvl w:val="5"/>
    </w:pPr>
    <w:rPr>
      <w:rFonts w:ascii="Arial" w:hAnsi="Arial" w:eastAsia="黑体" w:cs="Times New Roman"/>
      <w:b/>
      <w:sz w:val="24"/>
      <w:szCs w:val="20"/>
    </w:rPr>
  </w:style>
  <w:style w:type="paragraph" w:customStyle="1" w:styleId="1247">
    <w:name w:val="目录 11"/>
    <w:basedOn w:val="1"/>
    <w:next w:val="1"/>
    <w:qFormat/>
    <w:uiPriority w:val="0"/>
    <w:pPr>
      <w:spacing w:before="120" w:after="120" w:line="240" w:lineRule="auto"/>
      <w:jc w:val="left"/>
    </w:pPr>
    <w:rPr>
      <w:rFonts w:ascii="Times New Roman" w:hAnsi="Times New Roman" w:eastAsia="宋体" w:cs="Times New Roman"/>
      <w:b/>
      <w:caps/>
      <w:sz w:val="20"/>
      <w:szCs w:val="20"/>
    </w:rPr>
  </w:style>
  <w:style w:type="paragraph" w:customStyle="1" w:styleId="1248">
    <w:name w:val="样式 样式11 + 居中 行距: 固定值 15 磅"/>
    <w:basedOn w:val="1"/>
    <w:qFormat/>
    <w:uiPriority w:val="0"/>
    <w:pPr>
      <w:spacing w:line="300" w:lineRule="exact"/>
      <w:jc w:val="center"/>
    </w:pPr>
    <w:rPr>
      <w:rFonts w:ascii="Times New Roman" w:hAnsi="Times New Roman" w:eastAsia="宋体" w:cs="Times New Roman"/>
      <w:color w:val="000000"/>
      <w:szCs w:val="20"/>
    </w:rPr>
  </w:style>
  <w:style w:type="paragraph" w:customStyle="1" w:styleId="1249">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宋体" w:cs="Times New Roman"/>
      <w:b/>
      <w:sz w:val="20"/>
      <w:szCs w:val="20"/>
    </w:rPr>
  </w:style>
  <w:style w:type="paragraph" w:customStyle="1" w:styleId="1250">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Times New Roman"/>
      <w:color w:val="000000"/>
      <w:sz w:val="20"/>
      <w:szCs w:val="20"/>
    </w:rPr>
  </w:style>
  <w:style w:type="paragraph" w:customStyle="1" w:styleId="1251">
    <w:name w:val="Char1 Char Char Char Char Char Char"/>
    <w:basedOn w:val="1"/>
    <w:qFormat/>
    <w:uiPriority w:val="0"/>
    <w:pPr>
      <w:ind w:firstLine="200" w:firstLineChars="200"/>
    </w:pPr>
    <w:rPr>
      <w:rFonts w:ascii="宋体" w:hAnsi="宋体" w:eastAsia="宋体" w:cs="Times New Roman"/>
      <w:sz w:val="24"/>
      <w:szCs w:val="20"/>
    </w:rPr>
  </w:style>
  <w:style w:type="paragraph" w:customStyle="1" w:styleId="1252">
    <w:name w:val="标题 71"/>
    <w:basedOn w:val="1"/>
    <w:next w:val="1"/>
    <w:qFormat/>
    <w:uiPriority w:val="0"/>
    <w:pPr>
      <w:keepNext/>
      <w:keepLines/>
      <w:tabs>
        <w:tab w:val="left" w:pos="1296"/>
      </w:tabs>
      <w:snapToGrid w:val="0"/>
      <w:spacing w:before="240" w:after="64" w:line="316" w:lineRule="auto"/>
      <w:ind w:left="1296" w:hanging="1296"/>
      <w:outlineLvl w:val="6"/>
    </w:pPr>
    <w:rPr>
      <w:rFonts w:ascii="Times New Roman" w:hAnsi="Times New Roman" w:eastAsia="宋体" w:cs="Times New Roman"/>
      <w:b/>
      <w:sz w:val="24"/>
      <w:szCs w:val="20"/>
    </w:rPr>
  </w:style>
  <w:style w:type="paragraph" w:customStyle="1" w:styleId="1253">
    <w:name w:val="Char Char Char Char Char Char1 Char Char Char Char"/>
    <w:basedOn w:val="1"/>
    <w:qFormat/>
    <w:uiPriority w:val="0"/>
    <w:pPr>
      <w:ind w:firstLine="200" w:firstLineChars="200"/>
    </w:pPr>
    <w:rPr>
      <w:rFonts w:ascii="宋体" w:hAnsi="宋体" w:eastAsia="宋体" w:cs="Times New Roman"/>
      <w:sz w:val="24"/>
      <w:szCs w:val="20"/>
    </w:rPr>
  </w:style>
  <w:style w:type="paragraph" w:customStyle="1" w:styleId="1254">
    <w:name w:val="样式 标题 3 + 首行缩进:  0 厘米1"/>
    <w:basedOn w:val="1187"/>
    <w:qFormat/>
    <w:uiPriority w:val="0"/>
    <w:pPr>
      <w:spacing w:line="240" w:lineRule="auto"/>
    </w:pPr>
    <w:rPr>
      <w:rFonts w:ascii="Times New Roman" w:eastAsia="宋体"/>
      <w:sz w:val="28"/>
    </w:rPr>
  </w:style>
  <w:style w:type="paragraph" w:customStyle="1" w:styleId="1255">
    <w:name w:val="样式 样式 样式 样式 标题 3 + 首行缩进:  0 厘米1 + 首行缩进:  0 厘米 + 首行缩进:  0 字符 + 首行..."/>
    <w:basedOn w:val="1"/>
    <w:qFormat/>
    <w:uiPriority w:val="0"/>
    <w:pPr>
      <w:keepNext/>
      <w:keepLines/>
      <w:outlineLvl w:val="2"/>
    </w:pPr>
    <w:rPr>
      <w:rFonts w:ascii="Times New Roman" w:hAnsi="Times New Roman" w:eastAsia="宋体" w:cs="Times New Roman"/>
      <w:sz w:val="28"/>
      <w:szCs w:val="20"/>
    </w:rPr>
  </w:style>
  <w:style w:type="paragraph" w:customStyle="1" w:styleId="1256">
    <w:name w:val="样式 样式 (符号) 宋体 左侧:  0.74 厘米 首行缩进:  0 厘米 + 左侧:  0.74 厘米 首行缩进:  0 ..."/>
    <w:basedOn w:val="87"/>
    <w:qFormat/>
    <w:uiPriority w:val="0"/>
    <w:pPr>
      <w:snapToGrid w:val="0"/>
      <w:spacing w:before="100" w:beforeAutospacing="1" w:after="0" w:line="360" w:lineRule="auto"/>
      <w:ind w:firstLine="200" w:firstLineChars="200"/>
    </w:pPr>
    <w:rPr>
      <w:rFonts w:eastAsia="Times New Roman"/>
      <w:sz w:val="28"/>
      <w:szCs w:val="20"/>
    </w:rPr>
  </w:style>
  <w:style w:type="paragraph" w:customStyle="1" w:styleId="1257">
    <w:name w:val="bg正文首行缩进"/>
    <w:basedOn w:val="1"/>
    <w:qFormat/>
    <w:uiPriority w:val="0"/>
    <w:pPr>
      <w:spacing w:line="400" w:lineRule="exact"/>
      <w:ind w:firstLine="482"/>
    </w:pPr>
    <w:rPr>
      <w:rFonts w:ascii="Times New Roman" w:hAnsi="Times New Roman" w:eastAsia="宋体" w:cs="Times New Roman"/>
      <w:sz w:val="24"/>
      <w:szCs w:val="20"/>
    </w:rPr>
  </w:style>
  <w:style w:type="paragraph" w:customStyle="1" w:styleId="1258">
    <w:name w:val="页脚1"/>
    <w:basedOn w:val="1"/>
    <w:qFormat/>
    <w:uiPriority w:val="0"/>
    <w:pPr>
      <w:tabs>
        <w:tab w:val="center" w:pos="4153"/>
        <w:tab w:val="right" w:pos="8306"/>
      </w:tabs>
      <w:snapToGrid w:val="0"/>
      <w:spacing w:line="240" w:lineRule="auto"/>
      <w:jc w:val="left"/>
    </w:pPr>
    <w:rPr>
      <w:rFonts w:ascii="Times New Roman" w:hAnsi="Times New Roman" w:eastAsia="宋体" w:cs="Times New Roman"/>
      <w:sz w:val="18"/>
      <w:szCs w:val="20"/>
    </w:rPr>
  </w:style>
  <w:style w:type="paragraph" w:customStyle="1" w:styleId="1259">
    <w:name w:val="Char Char Char Char Char Char1 Char Char Char1 Char Char Char Char Char Char Char"/>
    <w:basedOn w:val="1"/>
    <w:qFormat/>
    <w:uiPriority w:val="0"/>
    <w:pPr>
      <w:ind w:firstLine="200" w:firstLineChars="200"/>
    </w:pPr>
    <w:rPr>
      <w:rFonts w:ascii="Times New Roman" w:hAnsi="Times New Roman" w:eastAsia="宋体" w:cs="Times New Roman"/>
      <w:sz w:val="24"/>
      <w:szCs w:val="20"/>
    </w:rPr>
  </w:style>
  <w:style w:type="paragraph" w:customStyle="1" w:styleId="1260">
    <w:name w:val="xl81"/>
    <w:basedOn w:val="1"/>
    <w:qFormat/>
    <w:uiPriority w:val="0"/>
    <w:pPr>
      <w:widowControl/>
      <w:spacing w:before="100" w:beforeAutospacing="1" w:after="100" w:afterAutospacing="1"/>
      <w:jc w:val="center"/>
    </w:pPr>
    <w:rPr>
      <w:rFonts w:ascii="宋体" w:hAnsi="宋体" w:eastAsia="宋体" w:cs="Times New Roman"/>
      <w:sz w:val="20"/>
      <w:szCs w:val="20"/>
    </w:rPr>
  </w:style>
  <w:style w:type="paragraph" w:customStyle="1" w:styleId="1261">
    <w:name w:val="水保1级"/>
    <w:basedOn w:val="1180"/>
    <w:qFormat/>
    <w:uiPriority w:val="0"/>
    <w:pPr>
      <w:widowControl w:val="0"/>
      <w:spacing w:beforeLines="0" w:afterLines="0" w:line="576" w:lineRule="auto"/>
    </w:pPr>
    <w:rPr>
      <w:rFonts w:ascii="Times New Roman"/>
      <w:kern w:val="44"/>
      <w:sz w:val="36"/>
    </w:rPr>
  </w:style>
  <w:style w:type="paragraph" w:customStyle="1" w:styleId="1262">
    <w:name w:val="批注主题1"/>
    <w:basedOn w:val="30"/>
    <w:next w:val="30"/>
    <w:qFormat/>
    <w:uiPriority w:val="0"/>
    <w:pPr>
      <w:spacing w:line="240" w:lineRule="auto"/>
      <w:ind w:firstLine="0" w:firstLineChars="0"/>
    </w:pPr>
    <w:rPr>
      <w:rFonts w:hint="eastAsia" w:ascii="宋体" w:hAnsi="宋体"/>
      <w:b/>
      <w:sz w:val="21"/>
      <w:szCs w:val="20"/>
    </w:rPr>
  </w:style>
  <w:style w:type="paragraph" w:customStyle="1" w:styleId="1263">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Times New Roman"/>
      <w:color w:val="000000"/>
      <w:sz w:val="20"/>
      <w:szCs w:val="20"/>
    </w:rPr>
  </w:style>
  <w:style w:type="paragraph" w:customStyle="1" w:styleId="1264">
    <w:name w:val="Char Char Char Char Char Char1 Char Char Char1"/>
    <w:basedOn w:val="1"/>
    <w:qFormat/>
    <w:uiPriority w:val="0"/>
    <w:pPr>
      <w:ind w:firstLine="200" w:firstLineChars="200"/>
    </w:pPr>
    <w:rPr>
      <w:rFonts w:ascii="宋体" w:hAnsi="宋体" w:eastAsia="宋体" w:cs="Times New Roman"/>
      <w:sz w:val="24"/>
      <w:szCs w:val="20"/>
    </w:rPr>
  </w:style>
  <w:style w:type="paragraph" w:customStyle="1" w:styleId="1265">
    <w:name w:val="Char Char Char Char Char Char Char Char Char Char Char Char Char Char Char Char Char Char Char Char Char Char Char Char Char Char Char Char Char Char Char Char Char Char"/>
    <w:basedOn w:val="1"/>
    <w:qFormat/>
    <w:uiPriority w:val="0"/>
    <w:pPr>
      <w:ind w:firstLine="200" w:firstLineChars="200"/>
    </w:pPr>
    <w:rPr>
      <w:rFonts w:ascii="宋体" w:hAnsi="宋体" w:eastAsia="宋体" w:cs="Times New Roman"/>
      <w:sz w:val="24"/>
      <w:szCs w:val="20"/>
    </w:rPr>
  </w:style>
  <w:style w:type="paragraph" w:customStyle="1" w:styleId="1266">
    <w:name w:val="小表文居中"/>
    <w:basedOn w:val="1"/>
    <w:qFormat/>
    <w:uiPriority w:val="0"/>
    <w:pPr>
      <w:autoSpaceDE w:val="0"/>
      <w:autoSpaceDN w:val="0"/>
      <w:spacing w:before="20" w:line="500" w:lineRule="exact"/>
      <w:ind w:firstLine="200" w:firstLineChars="200"/>
      <w:jc w:val="center"/>
    </w:pPr>
    <w:rPr>
      <w:rFonts w:ascii="Times" w:hAnsi="Times" w:eastAsia="宋体" w:cs="Times New Roman"/>
      <w:sz w:val="18"/>
      <w:szCs w:val="20"/>
    </w:rPr>
  </w:style>
  <w:style w:type="paragraph" w:customStyle="1" w:styleId="1267">
    <w:name w:val="标题4 Char Char"/>
    <w:basedOn w:val="1"/>
    <w:qFormat/>
    <w:uiPriority w:val="0"/>
    <w:pPr>
      <w:spacing w:before="100" w:beforeAutospacing="1"/>
      <w:outlineLvl w:val="3"/>
    </w:pPr>
    <w:rPr>
      <w:rFonts w:ascii="Times New Roman" w:hAnsi="Times New Roman" w:eastAsia="黑体" w:cs="Times New Roman"/>
      <w:sz w:val="24"/>
      <w:szCs w:val="20"/>
    </w:rPr>
  </w:style>
  <w:style w:type="paragraph" w:customStyle="1" w:styleId="1268">
    <w:name w:val="Char Char Char Char Char Char3 Char Char Char Char Char Char Char"/>
    <w:basedOn w:val="1"/>
    <w:qFormat/>
    <w:uiPriority w:val="0"/>
    <w:pPr>
      <w:ind w:firstLine="200" w:firstLineChars="200"/>
    </w:pPr>
    <w:rPr>
      <w:rFonts w:ascii="宋体" w:hAnsi="宋体" w:eastAsia="宋体" w:cs="Times New Roman"/>
      <w:sz w:val="24"/>
      <w:szCs w:val="20"/>
    </w:rPr>
  </w:style>
  <w:style w:type="paragraph" w:customStyle="1" w:styleId="1269">
    <w:name w:val="样式 标题 3 + 四号"/>
    <w:basedOn w:val="1187"/>
    <w:qFormat/>
    <w:uiPriority w:val="0"/>
    <w:pPr>
      <w:tabs>
        <w:tab w:val="left" w:pos="720"/>
      </w:tabs>
      <w:spacing w:line="240" w:lineRule="auto"/>
      <w:ind w:left="720" w:hanging="720"/>
    </w:pPr>
    <w:rPr>
      <w:rFonts w:ascii="Times New Roman" w:eastAsia="宋体"/>
      <w:sz w:val="28"/>
    </w:rPr>
  </w:style>
  <w:style w:type="paragraph" w:customStyle="1" w:styleId="1270">
    <w:name w:val="水保3级"/>
    <w:basedOn w:val="1187"/>
    <w:qFormat/>
    <w:uiPriority w:val="0"/>
    <w:pPr>
      <w:spacing w:line="500" w:lineRule="exact"/>
      <w:ind w:firstLine="480" w:firstLineChars="200"/>
    </w:pPr>
    <w:rPr>
      <w:rFonts w:ascii="Times New Roman" w:eastAsia="宋体"/>
      <w:sz w:val="28"/>
    </w:rPr>
  </w:style>
  <w:style w:type="paragraph" w:customStyle="1" w:styleId="1271">
    <w:name w:val="（一）"/>
    <w:basedOn w:val="1182"/>
    <w:qFormat/>
    <w:uiPriority w:val="0"/>
    <w:pPr>
      <w:snapToGrid w:val="0"/>
      <w:spacing w:beforeLines="50" w:line="400" w:lineRule="exact"/>
      <w:outlineLvl w:val="3"/>
    </w:pPr>
    <w:rPr>
      <w:rFonts w:ascii="仿宋_GB2312" w:eastAsia="仿宋_GB2312"/>
      <w:sz w:val="21"/>
    </w:rPr>
  </w:style>
  <w:style w:type="paragraph" w:customStyle="1" w:styleId="1272">
    <w:name w:val="样式 标题 2 + 段前: 8 磅 段后: 8 磅 行距: 1.5 倍行距"/>
    <w:basedOn w:val="6"/>
    <w:qFormat/>
    <w:uiPriority w:val="0"/>
    <w:pPr>
      <w:numPr>
        <w:ilvl w:val="0"/>
        <w:numId w:val="0"/>
      </w:numPr>
      <w:snapToGrid w:val="0"/>
      <w:spacing w:before="160" w:after="160" w:line="360" w:lineRule="auto"/>
      <w:jc w:val="both"/>
    </w:pPr>
    <w:rPr>
      <w:rFonts w:hint="eastAsia" w:ascii="Arial" w:hAnsi="Arial" w:eastAsia="仿宋_GB2312" w:cs="Times New Roman"/>
      <w:szCs w:val="20"/>
    </w:rPr>
  </w:style>
  <w:style w:type="paragraph" w:customStyle="1" w:styleId="1273">
    <w:name w:val="样式 水保3级 + 首行缩进:  2 字符"/>
    <w:basedOn w:val="1270"/>
    <w:qFormat/>
    <w:uiPriority w:val="0"/>
    <w:pPr>
      <w:ind w:firstLine="560"/>
    </w:pPr>
  </w:style>
  <w:style w:type="paragraph" w:customStyle="1" w:styleId="1274">
    <w:name w:val="正文文本缩进2"/>
    <w:basedOn w:val="1"/>
    <w:qFormat/>
    <w:uiPriority w:val="0"/>
    <w:pPr>
      <w:spacing w:after="120" w:line="240" w:lineRule="auto"/>
      <w:ind w:left="420" w:leftChars="200"/>
    </w:pPr>
    <w:rPr>
      <w:rFonts w:ascii="Times New Roman" w:hAnsi="Times New Roman" w:eastAsia="宋体" w:cs="Times New Roman"/>
      <w:sz w:val="24"/>
      <w:szCs w:val="20"/>
    </w:rPr>
  </w:style>
  <w:style w:type="paragraph" w:customStyle="1" w:styleId="1275">
    <w:name w:val="bgbt6插图标题"/>
    <w:basedOn w:val="1"/>
    <w:next w:val="1"/>
    <w:qFormat/>
    <w:uiPriority w:val="0"/>
    <w:pPr>
      <w:spacing w:after="60"/>
      <w:jc w:val="center"/>
      <w:outlineLvl w:val="5"/>
    </w:pPr>
    <w:rPr>
      <w:rFonts w:ascii="Times New Roman" w:hAnsi="Times New Roman" w:eastAsia="黑体" w:cs="Times New Roman"/>
      <w:sz w:val="24"/>
      <w:szCs w:val="20"/>
    </w:rPr>
  </w:style>
  <w:style w:type="paragraph" w:customStyle="1" w:styleId="1276">
    <w:name w:val="cucd-2"/>
    <w:next w:val="1175"/>
    <w:qFormat/>
    <w:uiPriority w:val="0"/>
    <w:pPr>
      <w:tabs>
        <w:tab w:val="left" w:pos="540"/>
      </w:tabs>
      <w:spacing w:line="360" w:lineRule="auto"/>
      <w:ind w:left="720" w:hanging="720"/>
      <w:outlineLvl w:val="1"/>
    </w:pPr>
    <w:rPr>
      <w:rFonts w:ascii="Times New Roman" w:hAnsi="Times New Roman" w:eastAsia="黑体" w:cs="Times New Roman"/>
      <w:b/>
      <w:kern w:val="2"/>
      <w:sz w:val="30"/>
      <w:lang w:val="en-US" w:eastAsia="zh-CN" w:bidi="ar-SA"/>
    </w:rPr>
  </w:style>
  <w:style w:type="paragraph" w:customStyle="1" w:styleId="1277">
    <w:name w:val="cucd-1"/>
    <w:next w:val="1276"/>
    <w:qFormat/>
    <w:uiPriority w:val="0"/>
    <w:pPr>
      <w:pageBreakBefore/>
      <w:tabs>
        <w:tab w:val="left" w:pos="425"/>
      </w:tabs>
      <w:spacing w:beforeLines="100" w:afterLines="50" w:line="360" w:lineRule="auto"/>
      <w:ind w:left="850" w:hanging="425"/>
      <w:jc w:val="center"/>
      <w:outlineLvl w:val="0"/>
    </w:pPr>
    <w:rPr>
      <w:rFonts w:ascii="Times New Roman" w:hAnsi="Times New Roman" w:eastAsia="黑体" w:cs="Times New Roman"/>
      <w:b/>
      <w:kern w:val="2"/>
      <w:sz w:val="36"/>
      <w:lang w:val="en-US" w:eastAsia="zh-CN" w:bidi="ar-SA"/>
    </w:rPr>
  </w:style>
  <w:style w:type="paragraph" w:customStyle="1" w:styleId="1278">
    <w:name w:val="正文标准格式"/>
    <w:basedOn w:val="1"/>
    <w:qFormat/>
    <w:uiPriority w:val="0"/>
    <w:pPr>
      <w:ind w:firstLine="560" w:firstLineChars="200"/>
    </w:pPr>
    <w:rPr>
      <w:rFonts w:ascii="宋体" w:hAnsi="宋体" w:eastAsia="宋体" w:cs="Times New Roman"/>
      <w:sz w:val="28"/>
      <w:szCs w:val="20"/>
    </w:rPr>
  </w:style>
  <w:style w:type="paragraph" w:customStyle="1" w:styleId="1279">
    <w:name w:val="xl89"/>
    <w:basedOn w:val="1"/>
    <w:qFormat/>
    <w:uiPriority w:val="0"/>
    <w:pPr>
      <w:widowControl/>
      <w:pBdr>
        <w:top w:val="single" w:color="auto" w:sz="4" w:space="0"/>
        <w:bottom w:val="single" w:color="auto" w:sz="4" w:space="0"/>
      </w:pBdr>
      <w:spacing w:before="100" w:beforeAutospacing="1" w:after="100" w:afterAutospacing="1"/>
    </w:pPr>
    <w:rPr>
      <w:rFonts w:ascii="宋体" w:hAnsi="宋体" w:eastAsia="宋体" w:cs="Times New Roman"/>
      <w:color w:val="000000"/>
      <w:sz w:val="20"/>
      <w:szCs w:val="20"/>
    </w:rPr>
  </w:style>
  <w:style w:type="paragraph" w:customStyle="1" w:styleId="1280">
    <w:name w:val="标题 91"/>
    <w:basedOn w:val="1"/>
    <w:next w:val="1"/>
    <w:qFormat/>
    <w:uiPriority w:val="0"/>
    <w:pPr>
      <w:keepNext/>
      <w:keepLines/>
      <w:tabs>
        <w:tab w:val="left" w:pos="1584"/>
      </w:tabs>
      <w:snapToGrid w:val="0"/>
      <w:spacing w:before="240" w:after="64" w:line="316" w:lineRule="auto"/>
      <w:ind w:left="1584" w:hanging="1584"/>
      <w:outlineLvl w:val="8"/>
    </w:pPr>
    <w:rPr>
      <w:rFonts w:ascii="Arial" w:hAnsi="Arial" w:eastAsia="黑体" w:cs="Times New Roman"/>
      <w:sz w:val="24"/>
      <w:szCs w:val="20"/>
    </w:rPr>
  </w:style>
  <w:style w:type="paragraph" w:customStyle="1" w:styleId="1281">
    <w:name w:val="表5"/>
    <w:basedOn w:val="462"/>
    <w:qFormat/>
    <w:uiPriority w:val="0"/>
    <w:pPr>
      <w:spacing w:beforeLines="0" w:afterLines="0"/>
    </w:pPr>
    <w:rPr>
      <w:rFonts w:hint="eastAsia" w:ascii="宋体" w:hAnsi="宋体" w:cs="Times New Roman"/>
      <w:szCs w:val="20"/>
    </w:rPr>
  </w:style>
  <w:style w:type="paragraph" w:customStyle="1" w:styleId="1282">
    <w:name w:val="表题 Char"/>
    <w:basedOn w:val="1"/>
    <w:qFormat/>
    <w:uiPriority w:val="0"/>
    <w:pPr>
      <w:keepNext/>
      <w:keepLines/>
      <w:tabs>
        <w:tab w:val="left" w:pos="6300"/>
      </w:tabs>
      <w:spacing w:beforeLines="50" w:line="240" w:lineRule="atLeast"/>
      <w:jc w:val="center"/>
    </w:pPr>
    <w:rPr>
      <w:rFonts w:ascii="Times New Roman" w:hAnsi="Times New Roman" w:eastAsia="黑体" w:cs="Times New Roman"/>
      <w:sz w:val="24"/>
      <w:szCs w:val="20"/>
    </w:rPr>
  </w:style>
  <w:style w:type="paragraph" w:customStyle="1" w:styleId="1283">
    <w:name w:val="样式 样式23 + 首行缩进:  2 字符"/>
    <w:basedOn w:val="1"/>
    <w:qFormat/>
    <w:uiPriority w:val="0"/>
    <w:pPr>
      <w:spacing w:line="480" w:lineRule="exact"/>
      <w:ind w:firstLine="420" w:firstLineChars="200"/>
    </w:pPr>
    <w:rPr>
      <w:rFonts w:ascii="Times New Roman" w:hAnsi="Times New Roman" w:eastAsia="华文中宋" w:cs="Times New Roman"/>
      <w:szCs w:val="20"/>
    </w:rPr>
  </w:style>
  <w:style w:type="paragraph" w:customStyle="1" w:styleId="1284">
    <w:name w:val="样式 样式7 + (中文) 黑体"/>
    <w:basedOn w:val="1"/>
    <w:qFormat/>
    <w:uiPriority w:val="0"/>
    <w:pPr>
      <w:spacing w:line="240" w:lineRule="auto"/>
      <w:ind w:firstLine="429" w:firstLineChars="200"/>
    </w:pPr>
    <w:rPr>
      <w:rFonts w:ascii="Times New Roman" w:hAnsi="Times New Roman" w:eastAsia="华文中宋" w:cs="Times New Roman"/>
      <w:szCs w:val="20"/>
    </w:rPr>
  </w:style>
  <w:style w:type="paragraph" w:customStyle="1" w:styleId="1285">
    <w:name w:val="Char Char Char Char Char Char Char Char Char Char Char Char Char Char Char Char Char Char Char Char Char1 Char"/>
    <w:basedOn w:val="1"/>
    <w:qFormat/>
    <w:uiPriority w:val="0"/>
    <w:pPr>
      <w:ind w:firstLine="200" w:firstLineChars="200"/>
    </w:pPr>
    <w:rPr>
      <w:rFonts w:ascii="宋体" w:hAnsi="宋体" w:eastAsia="宋体" w:cs="Times New Roman"/>
      <w:sz w:val="24"/>
      <w:szCs w:val="20"/>
    </w:rPr>
  </w:style>
  <w:style w:type="paragraph" w:customStyle="1" w:styleId="1286">
    <w:name w:val="样式 样式 标题 2 + 红色 + 自动设置 Char Char"/>
    <w:basedOn w:val="389"/>
    <w:qFormat/>
    <w:uiPriority w:val="0"/>
    <w:pPr>
      <w:tabs>
        <w:tab w:val="clear" w:pos="576"/>
      </w:tabs>
      <w:snapToGrid w:val="0"/>
      <w:spacing w:line="412" w:lineRule="auto"/>
    </w:pPr>
    <w:rPr>
      <w:rFonts w:eastAsia="新宋体" w:cs="Arial"/>
      <w:kern w:val="2"/>
    </w:rPr>
  </w:style>
  <w:style w:type="paragraph" w:customStyle="1" w:styleId="1287">
    <w:name w:val="样式 水保2级 + Times New Roman"/>
    <w:basedOn w:val="1199"/>
    <w:qFormat/>
    <w:uiPriority w:val="0"/>
    <w:rPr>
      <w:rFonts w:ascii="Times New Roman" w:hAnsi="Times New Roman"/>
    </w:rPr>
  </w:style>
  <w:style w:type="paragraph" w:customStyle="1" w:styleId="1288">
    <w:name w:val="xl82"/>
    <w:basedOn w:val="1"/>
    <w:qFormat/>
    <w:uiPriority w:val="0"/>
    <w:pPr>
      <w:widowControl/>
      <w:spacing w:before="100" w:beforeAutospacing="1" w:after="100" w:afterAutospacing="1"/>
      <w:jc w:val="center"/>
    </w:pPr>
    <w:rPr>
      <w:rFonts w:ascii="宋体" w:hAnsi="宋体" w:eastAsia="宋体" w:cs="Times New Roman"/>
      <w:color w:val="000000"/>
      <w:sz w:val="24"/>
      <w:szCs w:val="20"/>
      <w:u w:val="single"/>
    </w:rPr>
  </w:style>
  <w:style w:type="paragraph" w:customStyle="1" w:styleId="1289">
    <w:name w:val="标题 81"/>
    <w:basedOn w:val="1"/>
    <w:next w:val="1"/>
    <w:qFormat/>
    <w:uiPriority w:val="0"/>
    <w:pPr>
      <w:keepNext/>
      <w:keepLines/>
      <w:tabs>
        <w:tab w:val="left" w:pos="1440"/>
      </w:tabs>
      <w:snapToGrid w:val="0"/>
      <w:spacing w:before="240" w:after="64" w:line="316" w:lineRule="auto"/>
      <w:ind w:left="1440" w:hanging="1440"/>
      <w:outlineLvl w:val="7"/>
    </w:pPr>
    <w:rPr>
      <w:rFonts w:ascii="Arial" w:hAnsi="Arial" w:eastAsia="黑体" w:cs="Times New Roman"/>
      <w:sz w:val="24"/>
      <w:szCs w:val="20"/>
    </w:rPr>
  </w:style>
  <w:style w:type="paragraph" w:customStyle="1" w:styleId="1290">
    <w:name w:val="305"/>
    <w:basedOn w:val="1"/>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1291">
    <w:name w:val="Char Char Char Char Char Char1"/>
    <w:basedOn w:val="1"/>
    <w:qFormat/>
    <w:uiPriority w:val="0"/>
    <w:pPr>
      <w:ind w:firstLine="200" w:firstLineChars="200"/>
    </w:pPr>
    <w:rPr>
      <w:rFonts w:ascii="宋体" w:hAnsi="宋体" w:eastAsia="宋体" w:cs="Times New Roman"/>
      <w:sz w:val="24"/>
      <w:szCs w:val="20"/>
    </w:rPr>
  </w:style>
  <w:style w:type="paragraph" w:customStyle="1" w:styleId="1292">
    <w:name w:val="zz"/>
    <w:basedOn w:val="1"/>
    <w:qFormat/>
    <w:uiPriority w:val="0"/>
    <w:pPr>
      <w:ind w:firstLine="567"/>
    </w:pPr>
    <w:rPr>
      <w:rFonts w:ascii="宋体" w:hAnsi="Times New Roman" w:eastAsia="宋体" w:cs="Times New Roman"/>
      <w:kern w:val="28"/>
      <w:sz w:val="28"/>
      <w:szCs w:val="20"/>
    </w:rPr>
  </w:style>
  <w:style w:type="paragraph" w:customStyle="1" w:styleId="1293">
    <w:name w:val="xl144"/>
    <w:basedOn w:val="1"/>
    <w:qFormat/>
    <w:uiPriority w:val="0"/>
    <w:pPr>
      <w:widowControl/>
      <w:pBdr>
        <w:top w:val="single" w:color="auto" w:sz="4" w:space="0"/>
        <w:left w:val="single" w:color="auto" w:sz="4" w:space="0"/>
      </w:pBdr>
      <w:shd w:val="clear" w:color="auto" w:fill="C0C0C0"/>
      <w:spacing w:before="100" w:beforeAutospacing="1" w:after="100" w:afterAutospacing="1" w:line="240" w:lineRule="auto"/>
      <w:jc w:val="center"/>
    </w:pPr>
    <w:rPr>
      <w:rFonts w:ascii="宋体" w:hAnsi="宋体" w:eastAsia="宋体" w:cs="Times New Roman"/>
      <w:sz w:val="20"/>
      <w:szCs w:val="20"/>
    </w:rPr>
  </w:style>
  <w:style w:type="paragraph" w:customStyle="1" w:styleId="1294">
    <w:name w:val="样式 标题 1 + 首行缩进:  2 字符"/>
    <w:basedOn w:val="1180"/>
    <w:qFormat/>
    <w:uiPriority w:val="0"/>
    <w:pPr>
      <w:widowControl w:val="0"/>
      <w:spacing w:beforeLines="0" w:afterLines="0" w:line="440" w:lineRule="exact"/>
      <w:jc w:val="left"/>
    </w:pPr>
    <w:rPr>
      <w:rFonts w:ascii="Times New Roman"/>
      <w:kern w:val="44"/>
      <w:sz w:val="32"/>
    </w:rPr>
  </w:style>
  <w:style w:type="paragraph" w:customStyle="1" w:styleId="1295">
    <w:name w:val="哎哎哎"/>
    <w:basedOn w:val="1"/>
    <w:qFormat/>
    <w:uiPriority w:val="0"/>
    <w:pPr>
      <w:ind w:firstLine="200" w:firstLineChars="200"/>
    </w:pPr>
    <w:rPr>
      <w:rFonts w:ascii="Times New Roman" w:hAnsi="Times New Roman" w:eastAsia="宋体" w:cs="Times New Roman"/>
      <w:sz w:val="24"/>
      <w:szCs w:val="24"/>
    </w:rPr>
  </w:style>
  <w:style w:type="character" w:customStyle="1" w:styleId="1296">
    <w:name w:val="aaaaaaa Char"/>
    <w:link w:val="1297"/>
    <w:qFormat/>
    <w:uiPriority w:val="0"/>
    <w:rPr>
      <w:rFonts w:ascii="Arial" w:hAnsi="Arial" w:eastAsia="宋体"/>
      <w:b/>
      <w:snapToGrid w:val="0"/>
      <w:sz w:val="24"/>
      <w:szCs w:val="24"/>
    </w:rPr>
  </w:style>
  <w:style w:type="paragraph" w:customStyle="1" w:styleId="1297">
    <w:name w:val="aaaaaaa"/>
    <w:basedOn w:val="552"/>
    <w:link w:val="1296"/>
    <w:qFormat/>
    <w:uiPriority w:val="0"/>
    <w:pPr>
      <w:snapToGrid w:val="0"/>
      <w:ind w:firstLine="200" w:firstLineChars="200"/>
      <w:jc w:val="both"/>
      <w:outlineLvl w:val="9"/>
    </w:pPr>
    <w:rPr>
      <w:rFonts w:eastAsia="宋体" w:cstheme="minorBidi"/>
      <w:sz w:val="24"/>
      <w:szCs w:val="24"/>
    </w:rPr>
  </w:style>
  <w:style w:type="character" w:customStyle="1" w:styleId="1298">
    <w:name w:val="aaaaaaaaaaaaa Char"/>
    <w:link w:val="1299"/>
    <w:qFormat/>
    <w:uiPriority w:val="0"/>
    <w:rPr>
      <w:rFonts w:ascii="宋体" w:hAnsi="宋体" w:eastAsia="宋体"/>
      <w:sz w:val="24"/>
      <w:szCs w:val="24"/>
    </w:rPr>
  </w:style>
  <w:style w:type="paragraph" w:customStyle="1" w:styleId="1299">
    <w:name w:val="aaaaaaaaaaaaa"/>
    <w:basedOn w:val="1"/>
    <w:link w:val="1298"/>
    <w:qFormat/>
    <w:uiPriority w:val="0"/>
    <w:pPr>
      <w:ind w:firstLine="200" w:firstLineChars="200"/>
    </w:pPr>
    <w:rPr>
      <w:rFonts w:ascii="宋体" w:hAnsi="宋体" w:eastAsia="宋体"/>
      <w:sz w:val="24"/>
      <w:szCs w:val="24"/>
    </w:rPr>
  </w:style>
  <w:style w:type="character" w:customStyle="1" w:styleId="1300">
    <w:name w:val="表格内文字（居中小四）-wd Char"/>
    <w:link w:val="1301"/>
    <w:qFormat/>
    <w:uiPriority w:val="0"/>
    <w:rPr>
      <w:rFonts w:ascii="宋体" w:hAnsi="宋体" w:eastAsia="宋体"/>
      <w:color w:val="000080"/>
      <w:sz w:val="24"/>
      <w:szCs w:val="24"/>
    </w:rPr>
  </w:style>
  <w:style w:type="paragraph" w:customStyle="1" w:styleId="1301">
    <w:name w:val="表格内文字（居中小四）-wd"/>
    <w:basedOn w:val="1"/>
    <w:link w:val="1300"/>
    <w:qFormat/>
    <w:uiPriority w:val="0"/>
    <w:pPr>
      <w:spacing w:line="240" w:lineRule="auto"/>
      <w:jc w:val="center"/>
    </w:pPr>
    <w:rPr>
      <w:rFonts w:ascii="宋体" w:hAnsi="宋体" w:eastAsia="宋体"/>
      <w:color w:val="000080"/>
      <w:sz w:val="24"/>
      <w:szCs w:val="24"/>
    </w:rPr>
  </w:style>
  <w:style w:type="paragraph" w:customStyle="1" w:styleId="1302">
    <w:name w:val="pa-6"/>
    <w:basedOn w:val="1"/>
    <w:qFormat/>
    <w:uiPriority w:val="0"/>
    <w:pPr>
      <w:widowControl/>
      <w:spacing w:line="360" w:lineRule="atLeast"/>
      <w:ind w:firstLine="640"/>
    </w:pPr>
    <w:rPr>
      <w:rFonts w:ascii="宋体" w:hAnsi="宋体" w:eastAsia="宋体" w:cs="宋体"/>
      <w:kern w:val="0"/>
      <w:sz w:val="24"/>
      <w:szCs w:val="24"/>
    </w:rPr>
  </w:style>
  <w:style w:type="paragraph" w:customStyle="1" w:styleId="1303">
    <w:name w:val="pa-4"/>
    <w:basedOn w:val="1"/>
    <w:qFormat/>
    <w:uiPriority w:val="0"/>
    <w:pPr>
      <w:widowControl/>
      <w:spacing w:before="150" w:after="150" w:line="240" w:lineRule="auto"/>
      <w:jc w:val="left"/>
    </w:pPr>
    <w:rPr>
      <w:rFonts w:ascii="宋体" w:hAnsi="宋体" w:eastAsia="宋体" w:cs="宋体"/>
      <w:kern w:val="0"/>
      <w:sz w:val="24"/>
      <w:szCs w:val="24"/>
    </w:rPr>
  </w:style>
  <w:style w:type="paragraph" w:customStyle="1" w:styleId="1304">
    <w:name w:val="pa-10"/>
    <w:basedOn w:val="1"/>
    <w:qFormat/>
    <w:uiPriority w:val="0"/>
    <w:pPr>
      <w:widowControl/>
      <w:spacing w:before="150" w:after="150" w:line="240" w:lineRule="auto"/>
      <w:jc w:val="left"/>
    </w:pPr>
    <w:rPr>
      <w:rFonts w:ascii="宋体" w:hAnsi="宋体" w:eastAsia="宋体" w:cs="宋体"/>
      <w:kern w:val="0"/>
      <w:sz w:val="24"/>
      <w:szCs w:val="24"/>
    </w:rPr>
  </w:style>
  <w:style w:type="character" w:customStyle="1" w:styleId="1305">
    <w:name w:val="bbbbbbbbbbb Char"/>
    <w:link w:val="1306"/>
    <w:qFormat/>
    <w:uiPriority w:val="0"/>
    <w:rPr>
      <w:rFonts w:eastAsia="宋体"/>
      <w:b/>
      <w:color w:val="FF0000"/>
      <w:sz w:val="24"/>
      <w:szCs w:val="24"/>
    </w:rPr>
  </w:style>
  <w:style w:type="paragraph" w:customStyle="1" w:styleId="1306">
    <w:name w:val="bbbbbbbbbbb"/>
    <w:basedOn w:val="1"/>
    <w:link w:val="1305"/>
    <w:qFormat/>
    <w:uiPriority w:val="0"/>
    <w:pPr>
      <w:jc w:val="center"/>
    </w:pPr>
    <w:rPr>
      <w:rFonts w:eastAsia="宋体"/>
      <w:b/>
      <w:color w:val="FF0000"/>
      <w:sz w:val="24"/>
      <w:szCs w:val="24"/>
    </w:rPr>
  </w:style>
  <w:style w:type="paragraph" w:customStyle="1" w:styleId="1307">
    <w:name w:val="Char2 Char Char Char Char Char Char Char Char Char Char Char Char Char1 Char Char Char Char Char Char Char Char Char Char Char Char Char Char Char1 Char"/>
    <w:basedOn w:val="1"/>
    <w:qFormat/>
    <w:uiPriority w:val="0"/>
    <w:pPr>
      <w:spacing w:line="240" w:lineRule="auto"/>
    </w:pPr>
    <w:rPr>
      <w:rFonts w:ascii="Tahoma" w:hAnsi="Tahoma" w:eastAsia="宋体" w:cs="Tahoma"/>
      <w:b/>
      <w:bCs/>
      <w:sz w:val="24"/>
      <w:szCs w:val="44"/>
    </w:rPr>
  </w:style>
  <w:style w:type="paragraph" w:customStyle="1" w:styleId="1308">
    <w:name w:val="标题6"/>
    <w:basedOn w:val="1"/>
    <w:qFormat/>
    <w:uiPriority w:val="0"/>
    <w:pPr>
      <w:spacing w:line="520" w:lineRule="exact"/>
      <w:ind w:right="5800" w:rightChars="2762" w:firstLine="480" w:firstLineChars="200"/>
    </w:pPr>
    <w:rPr>
      <w:rFonts w:ascii="宋体" w:hAnsi="宋体" w:eastAsia="宋体" w:cs="Times New Roman"/>
      <w:color w:val="000000"/>
      <w:sz w:val="24"/>
      <w:szCs w:val="24"/>
    </w:rPr>
  </w:style>
  <w:style w:type="paragraph" w:customStyle="1" w:styleId="1309">
    <w:name w:val="方框"/>
    <w:basedOn w:val="1"/>
    <w:qFormat/>
    <w:uiPriority w:val="0"/>
    <w:pPr>
      <w:widowControl/>
      <w:spacing w:line="0" w:lineRule="atLeast"/>
    </w:pPr>
    <w:rPr>
      <w:rFonts w:ascii="宋体" w:hAnsi="Times New Roman" w:eastAsia="宋体" w:cs="Times New Roman"/>
      <w:kern w:val="0"/>
      <w:sz w:val="24"/>
      <w:szCs w:val="20"/>
    </w:rPr>
  </w:style>
  <w:style w:type="paragraph" w:customStyle="1" w:styleId="1310">
    <w:name w:val="报告正文 Char"/>
    <w:basedOn w:val="1"/>
    <w:qFormat/>
    <w:uiPriority w:val="0"/>
    <w:pPr>
      <w:adjustRightInd w:val="0"/>
      <w:snapToGrid w:val="0"/>
      <w:spacing w:line="300" w:lineRule="auto"/>
    </w:pPr>
    <w:rPr>
      <w:rFonts w:ascii="宋体" w:hAnsi="Times New Roman" w:eastAsia="宋体" w:cs="Times New Roman"/>
      <w:sz w:val="28"/>
      <w:szCs w:val="20"/>
    </w:rPr>
  </w:style>
  <w:style w:type="character" w:customStyle="1" w:styleId="1311">
    <w:name w:val="Char Char141"/>
    <w:qFormat/>
    <w:uiPriority w:val="0"/>
    <w:rPr>
      <w:kern w:val="2"/>
      <w:sz w:val="18"/>
      <w:szCs w:val="18"/>
    </w:rPr>
  </w:style>
  <w:style w:type="character" w:customStyle="1" w:styleId="1312">
    <w:name w:val="Char Char Char Char Char Char Char Char Char Char1"/>
    <w:qFormat/>
    <w:uiPriority w:val="0"/>
    <w:rPr>
      <w:rFonts w:hint="eastAsia" w:ascii="宋体" w:hAnsi="宋体" w:eastAsia="宋体" w:cs="宋体"/>
      <w:kern w:val="2"/>
      <w:sz w:val="24"/>
      <w:szCs w:val="28"/>
    </w:rPr>
  </w:style>
  <w:style w:type="character" w:customStyle="1" w:styleId="1313">
    <w:name w:val="Char Char142"/>
    <w:qFormat/>
    <w:uiPriority w:val="0"/>
    <w:rPr>
      <w:kern w:val="2"/>
      <w:sz w:val="18"/>
      <w:szCs w:val="18"/>
    </w:rPr>
  </w:style>
  <w:style w:type="character" w:customStyle="1" w:styleId="1314">
    <w:name w:val="标题1.1.1.1.1.1 Char1"/>
    <w:qFormat/>
    <w:uiPriority w:val="0"/>
    <w:rPr>
      <w:rFonts w:hint="default" w:ascii="Arial" w:hAnsi="Arial" w:eastAsia="黑体" w:cs="Arial"/>
      <w:b/>
      <w:snapToGrid w:val="0"/>
      <w:color w:val="008000"/>
      <w:kern w:val="2"/>
      <w:sz w:val="24"/>
      <w:szCs w:val="24"/>
      <w:lang w:val="en-US" w:eastAsia="zh-CN" w:bidi="ar-SA"/>
    </w:rPr>
  </w:style>
  <w:style w:type="character" w:customStyle="1" w:styleId="1315">
    <w:name w:val="Header Char"/>
    <w:qFormat/>
    <w:uiPriority w:val="0"/>
    <w:rPr>
      <w:rFonts w:hint="eastAsia" w:ascii="宋体" w:hAnsi="宋体" w:eastAsia="宋体"/>
      <w:b/>
      <w:color w:val="008000"/>
      <w:kern w:val="2"/>
      <w:sz w:val="18"/>
      <w:szCs w:val="24"/>
      <w:lang w:val="en-US" w:eastAsia="zh-CN" w:bidi="ar-SA"/>
    </w:rPr>
  </w:style>
  <w:style w:type="character" w:customStyle="1" w:styleId="1316">
    <w:name w:val="干标题(a) Char"/>
    <w:qFormat/>
    <w:uiPriority w:val="0"/>
    <w:rPr>
      <w:rFonts w:hint="default" w:ascii="Arial" w:hAnsi="Arial" w:eastAsia="黑体" w:cs="Arial"/>
      <w:b/>
      <w:snapToGrid w:val="0"/>
      <w:color w:val="008000"/>
      <w:kern w:val="2"/>
      <w:sz w:val="24"/>
      <w:szCs w:val="24"/>
      <w:lang w:val="en-US" w:eastAsia="zh-CN" w:bidi="ar-SA"/>
    </w:rPr>
  </w:style>
  <w:style w:type="character" w:customStyle="1" w:styleId="1317">
    <w:name w:val="表号 Char Char Char"/>
    <w:qFormat/>
    <w:uiPriority w:val="0"/>
    <w:rPr>
      <w:rFonts w:hint="eastAsia" w:ascii="宋体" w:hAnsi="宋体" w:eastAsia="宋体"/>
      <w:b/>
      <w:color w:val="008000"/>
      <w:kern w:val="2"/>
      <w:sz w:val="24"/>
      <w:szCs w:val="24"/>
      <w:lang w:val="en-US" w:eastAsia="zh-CN" w:bidi="ar-SA"/>
    </w:rPr>
  </w:style>
  <w:style w:type="character" w:customStyle="1" w:styleId="1318">
    <w:name w:val="grame"/>
    <w:qFormat/>
    <w:uiPriority w:val="0"/>
    <w:rPr>
      <w:rFonts w:hint="eastAsia" w:ascii="宋体" w:hAnsi="宋体" w:eastAsia="宋体"/>
      <w:b/>
      <w:color w:val="008000"/>
      <w:kern w:val="2"/>
      <w:sz w:val="24"/>
      <w:szCs w:val="24"/>
      <w:lang w:val="en-US" w:eastAsia="zh-CN" w:bidi="ar-SA"/>
    </w:rPr>
  </w:style>
  <w:style w:type="character" w:customStyle="1" w:styleId="1319">
    <w:name w:val="章 Char"/>
    <w:qFormat/>
    <w:uiPriority w:val="0"/>
    <w:rPr>
      <w:rFonts w:hint="eastAsia" w:ascii="黑体" w:hAnsi="黑体" w:eastAsia="宋体"/>
      <w:b/>
      <w:snapToGrid w:val="0"/>
      <w:color w:val="000000"/>
      <w:kern w:val="2"/>
      <w:sz w:val="44"/>
      <w:szCs w:val="24"/>
      <w:lang w:val="en-US" w:eastAsia="zh-CN" w:bidi="ar-SA"/>
    </w:rPr>
  </w:style>
  <w:style w:type="character" w:customStyle="1" w:styleId="1320">
    <w:name w:val="txt2"/>
    <w:qFormat/>
    <w:uiPriority w:val="0"/>
    <w:rPr>
      <w:rFonts w:hint="default" w:ascii="??" w:hAnsi="??" w:eastAsia="宋体"/>
      <w:b/>
      <w:color w:val="333333"/>
      <w:kern w:val="2"/>
      <w:sz w:val="24"/>
      <w:szCs w:val="24"/>
      <w:lang w:val="en-US" w:eastAsia="zh-CN" w:bidi="ar-SA"/>
    </w:rPr>
  </w:style>
  <w:style w:type="character" w:customStyle="1" w:styleId="1321">
    <w:name w:val="节 Char11"/>
    <w:qFormat/>
    <w:uiPriority w:val="0"/>
    <w:rPr>
      <w:rFonts w:hint="eastAsia" w:ascii="黑体" w:hAnsi="黑体" w:eastAsia="黑体"/>
      <w:b/>
      <w:snapToGrid w:val="0"/>
      <w:color w:val="008000"/>
      <w:kern w:val="2"/>
      <w:sz w:val="28"/>
      <w:szCs w:val="24"/>
      <w:lang w:val="en-US" w:eastAsia="zh-CN" w:bidi="ar-SA"/>
    </w:rPr>
  </w:style>
  <w:style w:type="character" w:customStyle="1" w:styleId="1322">
    <w:name w:val="标题 5 Char1"/>
    <w:qFormat/>
    <w:uiPriority w:val="0"/>
    <w:rPr>
      <w:rFonts w:hint="eastAsia" w:ascii="宋体" w:hAnsi="Times New Roman" w:eastAsia="宋体"/>
      <w:b/>
      <w:color w:val="008000"/>
      <w:kern w:val="2"/>
      <w:sz w:val="24"/>
      <w:szCs w:val="24"/>
      <w:lang w:val="en-US" w:eastAsia="zh-CN" w:bidi="ar-SA"/>
    </w:rPr>
  </w:style>
  <w:style w:type="character" w:customStyle="1" w:styleId="1323">
    <w:name w:val="样式 样式 样式4 + 黑色 + 自动设置 Char"/>
    <w:qFormat/>
    <w:uiPriority w:val="0"/>
    <w:rPr>
      <w:rFonts w:hint="eastAsia" w:ascii="华文中宋" w:hAnsi="华文中宋" w:eastAsia="华文中宋"/>
      <w:b/>
      <w:color w:val="000000"/>
      <w:kern w:val="2"/>
      <w:sz w:val="24"/>
      <w:szCs w:val="24"/>
      <w:lang w:val="en-US" w:eastAsia="zh-CN" w:bidi="ar-SA"/>
    </w:rPr>
  </w:style>
  <w:style w:type="character" w:customStyle="1" w:styleId="1324">
    <w:name w:val="标题 2 Char11"/>
    <w:qFormat/>
    <w:uiPriority w:val="0"/>
    <w:rPr>
      <w:rFonts w:hint="eastAsia" w:ascii="宋体" w:hAnsi="宋体" w:eastAsia="宋体"/>
      <w:b/>
      <w:color w:val="008000"/>
      <w:spacing w:val="-8"/>
      <w:w w:val="77"/>
      <w:kern w:val="2"/>
      <w:sz w:val="24"/>
      <w:szCs w:val="24"/>
      <w:lang w:val="en-US" w:eastAsia="zh-CN" w:bidi="ar-SA"/>
    </w:rPr>
  </w:style>
  <w:style w:type="character" w:customStyle="1" w:styleId="1325">
    <w:name w:val="标题 9 Char1"/>
    <w:qFormat/>
    <w:uiPriority w:val="0"/>
    <w:rPr>
      <w:rFonts w:hint="default" w:ascii="Arial" w:hAnsi="Arial" w:eastAsia="黑体" w:cs="Arial"/>
      <w:b/>
      <w:color w:val="008000"/>
      <w:kern w:val="2"/>
      <w:sz w:val="24"/>
      <w:szCs w:val="24"/>
      <w:lang w:val="en-US" w:eastAsia="zh-CN" w:bidi="ar-SA"/>
    </w:rPr>
  </w:style>
  <w:style w:type="character" w:customStyle="1" w:styleId="1326">
    <w:name w:val="项标题(1) Char"/>
    <w:qFormat/>
    <w:uiPriority w:val="0"/>
    <w:rPr>
      <w:rFonts w:hint="default" w:ascii="Times New Roman" w:hAnsi="Times New Roman" w:eastAsia="宋体" w:cs="Times New Roman"/>
      <w:b/>
      <w:snapToGrid w:val="0"/>
      <w:color w:val="008000"/>
      <w:kern w:val="2"/>
      <w:sz w:val="24"/>
      <w:szCs w:val="24"/>
      <w:lang w:val="en-US" w:eastAsia="zh-CN" w:bidi="ar-SA"/>
    </w:rPr>
  </w:style>
  <w:style w:type="character" w:customStyle="1" w:styleId="1327">
    <w:name w:val="标题（五） Char"/>
    <w:qFormat/>
    <w:uiPriority w:val="0"/>
    <w:rPr>
      <w:rFonts w:hint="default" w:ascii="Times New Roman" w:hAnsi="Times New Roman" w:eastAsia="宋体" w:cs="Times New Roman"/>
      <w:b/>
      <w:snapToGrid w:val="0"/>
      <w:color w:val="008000"/>
      <w:kern w:val="2"/>
      <w:sz w:val="28"/>
      <w:szCs w:val="24"/>
      <w:lang w:val="en-US" w:eastAsia="zh-CN" w:bidi="ar-SA"/>
    </w:rPr>
  </w:style>
  <w:style w:type="character" w:customStyle="1" w:styleId="1328">
    <w:name w:val="已访问的超链接1"/>
    <w:qFormat/>
    <w:uiPriority w:val="0"/>
    <w:rPr>
      <w:color w:val="800080"/>
      <w:u w:val="single"/>
    </w:rPr>
  </w:style>
  <w:style w:type="character" w:customStyle="1" w:styleId="1329">
    <w:name w:val="表号 Char"/>
    <w:qFormat/>
    <w:uiPriority w:val="0"/>
    <w:rPr>
      <w:rFonts w:hint="eastAsia" w:ascii="宋体" w:hAnsi="宋体" w:eastAsia="宋体"/>
      <w:b/>
      <w:color w:val="008000"/>
      <w:kern w:val="2"/>
      <w:sz w:val="18"/>
      <w:szCs w:val="24"/>
      <w:lang w:val="en-US" w:eastAsia="zh-CN" w:bidi="ar-SA"/>
    </w:rPr>
  </w:style>
  <w:style w:type="character" w:customStyle="1" w:styleId="1330">
    <w:name w:val="目标题 1) Char"/>
    <w:qFormat/>
    <w:uiPriority w:val="0"/>
    <w:rPr>
      <w:rFonts w:hint="default" w:ascii="Arial" w:hAnsi="Arial" w:eastAsia="黑体" w:cs="Arial"/>
      <w:b/>
      <w:snapToGrid w:val="0"/>
      <w:color w:val="008000"/>
      <w:kern w:val="2"/>
      <w:sz w:val="24"/>
      <w:szCs w:val="24"/>
      <w:lang w:val="en-US" w:eastAsia="zh-CN" w:bidi="ar-SA"/>
    </w:rPr>
  </w:style>
  <w:style w:type="character" w:customStyle="1" w:styleId="1331">
    <w:name w:val="样式 右侧:  0 厘米 段前: 0.5 行 Char"/>
    <w:qFormat/>
    <w:uiPriority w:val="0"/>
    <w:rPr>
      <w:rFonts w:hint="eastAsia" w:ascii="宋体" w:hAnsi="宋体" w:eastAsia="宋体"/>
      <w:b/>
      <w:color w:val="008000"/>
      <w:kern w:val="2"/>
      <w:sz w:val="24"/>
      <w:szCs w:val="24"/>
      <w:lang w:val="en-US" w:eastAsia="zh-CN" w:bidi="ar-SA"/>
    </w:rPr>
  </w:style>
  <w:style w:type="character" w:customStyle="1" w:styleId="1332">
    <w:name w:val="四级标题 Char"/>
    <w:qFormat/>
    <w:uiPriority w:val="0"/>
    <w:rPr>
      <w:rFonts w:hint="eastAsia" w:ascii="华文中宋" w:hAnsi="华文中宋" w:eastAsia="华文中宋"/>
      <w:b/>
      <w:color w:val="008000"/>
      <w:kern w:val="2"/>
      <w:sz w:val="24"/>
      <w:szCs w:val="24"/>
      <w:lang w:val="en-US" w:eastAsia="zh-CN" w:bidi="ar-SA"/>
    </w:rPr>
  </w:style>
  <w:style w:type="character" w:customStyle="1" w:styleId="1333">
    <w:name w:val="FollowedHyperlink1"/>
    <w:qFormat/>
    <w:uiPriority w:val="0"/>
    <w:rPr>
      <w:color w:val="800080"/>
      <w:u w:val="single"/>
    </w:rPr>
  </w:style>
  <w:style w:type="character" w:customStyle="1" w:styleId="1334">
    <w:name w:val="标题 3 Char2"/>
    <w:qFormat/>
    <w:uiPriority w:val="0"/>
    <w:rPr>
      <w:rFonts w:hint="eastAsia" w:ascii="黑体" w:hAnsi="黑体" w:eastAsia="黑体"/>
      <w:snapToGrid w:val="0"/>
    </w:rPr>
  </w:style>
  <w:style w:type="character" w:customStyle="1" w:styleId="1335">
    <w:name w:val="章 Char1"/>
    <w:qFormat/>
    <w:uiPriority w:val="0"/>
    <w:rPr>
      <w:rFonts w:hint="eastAsia" w:ascii="黑体" w:hAnsi="黑体" w:eastAsia="黑体"/>
      <w:b/>
      <w:snapToGrid w:val="0"/>
      <w:color w:val="000000"/>
      <w:kern w:val="2"/>
      <w:sz w:val="44"/>
      <w:szCs w:val="24"/>
      <w:lang w:val="en-US" w:eastAsia="zh-CN" w:bidi="ar-SA"/>
    </w:rPr>
  </w:style>
  <w:style w:type="character" w:customStyle="1" w:styleId="1336">
    <w:name w:val="text12px1"/>
    <w:qFormat/>
    <w:uiPriority w:val="0"/>
    <w:rPr>
      <w:rFonts w:hint="eastAsia" w:ascii="宋体" w:hAnsi="宋体" w:eastAsia="宋体"/>
      <w:b/>
      <w:color w:val="000000"/>
      <w:kern w:val="2"/>
      <w:sz w:val="18"/>
      <w:szCs w:val="24"/>
      <w:lang w:val="en-US" w:eastAsia="zh-CN" w:bidi="ar-SA"/>
    </w:rPr>
  </w:style>
  <w:style w:type="character" w:customStyle="1" w:styleId="1337">
    <w:name w:val="页码1"/>
    <w:qFormat/>
    <w:uiPriority w:val="0"/>
  </w:style>
  <w:style w:type="character" w:customStyle="1" w:styleId="1338">
    <w:name w:val="样式 样式 样式 行距: 固定值 22 磅 + 首行缩进:  2 字符 + 首行缩进:  2 字符 Char"/>
    <w:qFormat/>
    <w:uiPriority w:val="0"/>
    <w:rPr>
      <w:rFonts w:hint="eastAsia" w:ascii="华文中宋" w:hAnsi="华文中宋" w:eastAsia="华文中宋"/>
      <w:b/>
      <w:color w:val="008000"/>
      <w:kern w:val="2"/>
      <w:sz w:val="24"/>
      <w:szCs w:val="24"/>
      <w:lang w:val="en-US" w:eastAsia="zh-CN" w:bidi="ar-SA"/>
    </w:rPr>
  </w:style>
  <w:style w:type="character" w:customStyle="1" w:styleId="1339">
    <w:name w:val="样式3 Char"/>
    <w:qFormat/>
    <w:uiPriority w:val="0"/>
    <w:rPr>
      <w:rFonts w:hint="eastAsia" w:ascii="黑体" w:hAnsi="黑体" w:eastAsia="黑体"/>
      <w:b/>
      <w:color w:val="008000"/>
      <w:kern w:val="2"/>
      <w:sz w:val="24"/>
      <w:szCs w:val="24"/>
      <w:lang w:val="en-US" w:eastAsia="zh-CN" w:bidi="ar-SA"/>
    </w:rPr>
  </w:style>
  <w:style w:type="character" w:customStyle="1" w:styleId="1340">
    <w:name w:val="二章正文 Char1"/>
    <w:qFormat/>
    <w:uiPriority w:val="0"/>
    <w:rPr>
      <w:rFonts w:hint="eastAsia" w:ascii="宋体" w:hAnsi="宋体" w:eastAsia="宋体"/>
      <w:b/>
      <w:color w:val="000000"/>
      <w:kern w:val="2"/>
      <w:sz w:val="24"/>
      <w:szCs w:val="24"/>
      <w:lang w:val="en-US" w:eastAsia="zh-CN" w:bidi="ar-SA"/>
    </w:rPr>
  </w:style>
  <w:style w:type="character" w:customStyle="1" w:styleId="1341">
    <w:name w:val="文本条款 Char2"/>
    <w:qFormat/>
    <w:uiPriority w:val="0"/>
    <w:rPr>
      <w:rFonts w:hint="eastAsia" w:ascii="宋体" w:hAnsi="宋体" w:eastAsia="宋体"/>
      <w:b/>
      <w:color w:val="008000"/>
      <w:kern w:val="2"/>
      <w:sz w:val="24"/>
      <w:szCs w:val="24"/>
      <w:lang w:val="en-US" w:eastAsia="zh-CN" w:bidi="ar-SA"/>
    </w:rPr>
  </w:style>
  <w:style w:type="character" w:customStyle="1" w:styleId="1342">
    <w:name w:val="样式17 Char Char Char Char"/>
    <w:qFormat/>
    <w:uiPriority w:val="0"/>
    <w:rPr>
      <w:rFonts w:hint="eastAsia" w:ascii="华文中宋" w:hAnsi="华文中宋" w:eastAsia="华文中宋"/>
      <w:b/>
      <w:color w:val="008000"/>
      <w:kern w:val="2"/>
      <w:sz w:val="24"/>
      <w:szCs w:val="24"/>
      <w:lang w:val="en-US" w:eastAsia="zh-CN" w:bidi="ar-SA"/>
    </w:rPr>
  </w:style>
  <w:style w:type="character" w:customStyle="1" w:styleId="1343">
    <w:name w:val="标题（五） Char1"/>
    <w:qFormat/>
    <w:uiPriority w:val="0"/>
    <w:rPr>
      <w:rFonts w:hint="default" w:ascii="Times New Roman" w:hAnsi="Times New Roman" w:eastAsia="宋体" w:cs="Times New Roman"/>
      <w:b/>
      <w:snapToGrid w:val="0"/>
      <w:color w:val="008000"/>
      <w:kern w:val="2"/>
      <w:sz w:val="28"/>
      <w:szCs w:val="24"/>
      <w:lang w:val="en-US" w:eastAsia="zh-CN" w:bidi="ar-SA"/>
    </w:rPr>
  </w:style>
  <w:style w:type="character" w:customStyle="1" w:styleId="1344">
    <w:name w:val="MB2 Char Char"/>
    <w:qFormat/>
    <w:uiPriority w:val="0"/>
    <w:rPr>
      <w:rFonts w:hint="default" w:ascii="Arial" w:hAnsi="Arial" w:eastAsia="黑体" w:cs="Arial"/>
      <w:b/>
      <w:color w:val="008000"/>
      <w:kern w:val="2"/>
      <w:sz w:val="32"/>
      <w:szCs w:val="24"/>
      <w:lang w:val="en-US" w:eastAsia="zh-CN" w:bidi="ar-SA"/>
    </w:rPr>
  </w:style>
  <w:style w:type="character" w:customStyle="1" w:styleId="1345">
    <w:name w:val="王勇 Char"/>
    <w:qFormat/>
    <w:uiPriority w:val="0"/>
    <w:rPr>
      <w:rFonts w:hint="eastAsia" w:ascii="宋体" w:hAnsi="宋体" w:eastAsia="宋体"/>
      <w:b/>
      <w:color w:val="008000"/>
      <w:kern w:val="2"/>
      <w:sz w:val="24"/>
      <w:szCs w:val="24"/>
      <w:lang w:val="en-US" w:eastAsia="zh-CN" w:bidi="ar-SA"/>
    </w:rPr>
  </w:style>
  <w:style w:type="character" w:customStyle="1" w:styleId="1346">
    <w:name w:val="h Char"/>
    <w:qFormat/>
    <w:uiPriority w:val="0"/>
    <w:rPr>
      <w:rFonts w:hint="eastAsia" w:ascii="幼圆" w:hAnsi="幼圆" w:eastAsia="幼圆"/>
      <w:b/>
      <w:color w:val="008000"/>
      <w:kern w:val="2"/>
      <w:sz w:val="18"/>
      <w:szCs w:val="24"/>
      <w:lang w:val="en-US" w:eastAsia="zh-CN" w:bidi="ar-SA"/>
    </w:rPr>
  </w:style>
  <w:style w:type="character" w:customStyle="1" w:styleId="1347">
    <w:name w:val="Char Char43"/>
    <w:qFormat/>
    <w:uiPriority w:val="0"/>
    <w:rPr>
      <w:rFonts w:hint="eastAsia" w:ascii="黑体" w:hAnsi="黑体" w:eastAsia="宋体"/>
      <w:b/>
      <w:snapToGrid w:val="0"/>
      <w:color w:val="000000"/>
      <w:kern w:val="2"/>
      <w:sz w:val="44"/>
      <w:szCs w:val="24"/>
      <w:lang w:val="en-US" w:eastAsia="zh-CN" w:bidi="ar-SA"/>
    </w:rPr>
  </w:style>
  <w:style w:type="character" w:customStyle="1" w:styleId="1348">
    <w:name w:val="Char Char42"/>
    <w:qFormat/>
    <w:uiPriority w:val="0"/>
    <w:rPr>
      <w:rFonts w:hint="eastAsia" w:ascii="黑体" w:hAnsi="黑体" w:eastAsia="黑体"/>
      <w:b/>
      <w:snapToGrid w:val="0"/>
      <w:color w:val="008000"/>
      <w:kern w:val="2"/>
      <w:sz w:val="28"/>
      <w:szCs w:val="24"/>
      <w:lang w:val="en-US" w:eastAsia="zh-CN" w:bidi="ar-SA"/>
    </w:rPr>
  </w:style>
  <w:style w:type="character" w:customStyle="1" w:styleId="1349">
    <w:name w:val="Char Char41"/>
    <w:qFormat/>
    <w:uiPriority w:val="0"/>
    <w:rPr>
      <w:rFonts w:hint="eastAsia" w:ascii="黑体" w:hAnsi="黑体" w:eastAsia="黑体"/>
      <w:b/>
      <w:snapToGrid w:val="0"/>
      <w:color w:val="008000"/>
      <w:kern w:val="2"/>
      <w:sz w:val="24"/>
      <w:szCs w:val="24"/>
      <w:lang w:val="en-US" w:eastAsia="zh-CN" w:bidi="ar-SA"/>
    </w:rPr>
  </w:style>
  <w:style w:type="paragraph" w:customStyle="1" w:styleId="1350">
    <w:name w:val="样式 标题 6 + 自动设置 首行缩进:  2 字符1"/>
    <w:basedOn w:val="10"/>
    <w:link w:val="1351"/>
    <w:qFormat/>
    <w:uiPriority w:val="0"/>
    <w:pPr>
      <w:keepLines w:val="0"/>
      <w:adjustRightInd w:val="0"/>
      <w:snapToGrid w:val="0"/>
      <w:spacing w:before="0" w:after="0" w:line="360" w:lineRule="auto"/>
      <w:ind w:firstLine="600" w:firstLineChars="200"/>
    </w:pPr>
    <w:rPr>
      <w:rFonts w:eastAsia="宋体" w:cs="宋体"/>
      <w:b w:val="0"/>
      <w:bCs w:val="0"/>
      <w:snapToGrid w:val="0"/>
      <w:color w:val="000000"/>
      <w:spacing w:val="10"/>
      <w:kern w:val="0"/>
      <w:sz w:val="28"/>
      <w:szCs w:val="28"/>
    </w:rPr>
  </w:style>
  <w:style w:type="character" w:customStyle="1" w:styleId="1351">
    <w:name w:val="样式 标题 6 + 自动设置 首行缩进:  2 字符1 Char"/>
    <w:link w:val="1350"/>
    <w:qFormat/>
    <w:uiPriority w:val="0"/>
    <w:rPr>
      <w:rFonts w:ascii="Times New Roman" w:hAnsi="Times New Roman" w:eastAsia="宋体" w:cs="宋体"/>
      <w:snapToGrid w:val="0"/>
      <w:color w:val="000000"/>
      <w:spacing w:val="10"/>
      <w:kern w:val="0"/>
      <w:sz w:val="28"/>
      <w:szCs w:val="28"/>
    </w:rPr>
  </w:style>
  <w:style w:type="paragraph" w:customStyle="1" w:styleId="1352">
    <w:name w:val="样式 样式 表格 + 左侧:  0.98 厘米 + 居中"/>
    <w:basedOn w:val="1197"/>
    <w:qFormat/>
    <w:uiPriority w:val="0"/>
    <w:pPr>
      <w:jc w:val="center"/>
    </w:pPr>
  </w:style>
  <w:style w:type="paragraph" w:customStyle="1" w:styleId="1353">
    <w:name w:val="样式 样式 标题 3 + 首行缩进:  0 厘米1 + 首行缩进:  0 厘米"/>
    <w:basedOn w:val="1254"/>
    <w:qFormat/>
    <w:uiPriority w:val="0"/>
    <w:pPr>
      <w:ind w:firstLine="100"/>
    </w:pPr>
  </w:style>
  <w:style w:type="paragraph" w:customStyle="1" w:styleId="1354">
    <w:name w:val="样式 样式 样式 标题 3 + 首行缩进:  0 厘米1 + 首行缩进:  0 厘米 + 首行缩进:  0 字符"/>
    <w:basedOn w:val="1353"/>
    <w:qFormat/>
    <w:uiPriority w:val="0"/>
    <w:pPr>
      <w:ind w:firstLine="0"/>
    </w:pPr>
  </w:style>
  <w:style w:type="paragraph" w:customStyle="1" w:styleId="1355">
    <w:name w:val="基准标题"/>
    <w:basedOn w:val="1220"/>
    <w:next w:val="1220"/>
    <w:qFormat/>
    <w:uiPriority w:val="0"/>
    <w:pPr>
      <w:widowControl/>
      <w:spacing w:after="0"/>
      <w:jc w:val="left"/>
    </w:pPr>
    <w:rPr>
      <w:rFonts w:ascii="宋体"/>
      <w:color w:val="000000"/>
      <w:sz w:val="21"/>
    </w:rPr>
  </w:style>
  <w:style w:type="paragraph" w:customStyle="1" w:styleId="1356">
    <w:name w:val="样式 正文文本缩进 2 + 左侧:  0.98 厘米 首行缩进:  2 字符"/>
    <w:basedOn w:val="1189"/>
    <w:qFormat/>
    <w:uiPriority w:val="0"/>
    <w:pPr>
      <w:ind w:firstLine="560"/>
    </w:pPr>
    <w:rPr>
      <w:rFonts w:ascii="Times New Roman" w:eastAsia="仿宋_GB2312"/>
      <w:sz w:val="28"/>
    </w:rPr>
  </w:style>
  <w:style w:type="character" w:customStyle="1" w:styleId="1357">
    <w:name w:val="节 Char1"/>
    <w:qFormat/>
    <w:uiPriority w:val="0"/>
    <w:rPr>
      <w:rFonts w:hint="eastAsia" w:ascii="黑体" w:eastAsia="黑体"/>
      <w:b/>
      <w:snapToGrid w:val="0"/>
      <w:color w:val="008000"/>
      <w:kern w:val="2"/>
      <w:sz w:val="28"/>
      <w:szCs w:val="24"/>
      <w:lang w:val="en-US" w:eastAsia="zh-CN" w:bidi="ar-SA"/>
    </w:rPr>
  </w:style>
  <w:style w:type="character" w:customStyle="1" w:styleId="1358">
    <w:name w:val="特点 Char12"/>
    <w:qFormat/>
    <w:uiPriority w:val="0"/>
    <w:rPr>
      <w:rFonts w:hint="default" w:eastAsia="宋体"/>
      <w:b/>
      <w:color w:val="008000"/>
      <w:kern w:val="2"/>
      <w:sz w:val="24"/>
      <w:szCs w:val="24"/>
      <w:lang w:val="en-US" w:eastAsia="zh-CN" w:bidi="ar-SA"/>
    </w:rPr>
  </w:style>
  <w:style w:type="character" w:customStyle="1" w:styleId="1359">
    <w:name w:val="正文缩进 Char Char Char Char Char Char Char Char Char Char Char Char Char1"/>
    <w:qFormat/>
    <w:uiPriority w:val="0"/>
    <w:rPr>
      <w:rFonts w:hint="default" w:ascii="Times New Roman" w:eastAsia="宋体"/>
      <w:b/>
      <w:snapToGrid w:val="0"/>
      <w:color w:val="008000"/>
      <w:kern w:val="2"/>
      <w:sz w:val="24"/>
      <w:szCs w:val="24"/>
      <w:lang w:val="en-US" w:eastAsia="zh-CN" w:bidi="ar-SA"/>
    </w:rPr>
  </w:style>
  <w:style w:type="paragraph" w:customStyle="1" w:styleId="1360">
    <w:name w:val="Char Char Char Char Char Char1 Char Char Char1 Char1"/>
    <w:basedOn w:val="1"/>
    <w:qFormat/>
    <w:uiPriority w:val="0"/>
    <w:pPr>
      <w:ind w:firstLine="200" w:firstLineChars="200"/>
    </w:pPr>
    <w:rPr>
      <w:rFonts w:hint="eastAsia" w:ascii="宋体" w:hAnsi="宋体" w:eastAsia="宋体" w:cs="Times New Roman"/>
      <w:sz w:val="24"/>
      <w:szCs w:val="20"/>
    </w:rPr>
  </w:style>
  <w:style w:type="paragraph" w:customStyle="1" w:styleId="1361">
    <w:name w:val="Char Char Char Char Char Char31"/>
    <w:basedOn w:val="1"/>
    <w:qFormat/>
    <w:uiPriority w:val="0"/>
    <w:pPr>
      <w:ind w:firstLine="200" w:firstLineChars="200"/>
    </w:pPr>
    <w:rPr>
      <w:rFonts w:hint="eastAsia" w:ascii="宋体" w:hAnsi="宋体" w:eastAsia="宋体" w:cs="Times New Roman"/>
      <w:sz w:val="24"/>
      <w:szCs w:val="20"/>
    </w:rPr>
  </w:style>
  <w:style w:type="paragraph" w:customStyle="1" w:styleId="1362">
    <w:name w:val="Char Char Char1 Char Char Char Char Char Char1"/>
    <w:basedOn w:val="1"/>
    <w:qFormat/>
    <w:uiPriority w:val="0"/>
    <w:rPr>
      <w:rFonts w:hint="eastAsia" w:ascii="Times New Roman" w:hAnsi="Times New Roman" w:eastAsia="宋体" w:cs="Times New Roman"/>
      <w:sz w:val="24"/>
      <w:szCs w:val="20"/>
    </w:rPr>
  </w:style>
  <w:style w:type="paragraph" w:customStyle="1" w:styleId="1363">
    <w:name w:val="Char Char Char Char Char Char3 Char Char Char1"/>
    <w:basedOn w:val="1"/>
    <w:qFormat/>
    <w:uiPriority w:val="0"/>
    <w:pPr>
      <w:ind w:firstLine="200" w:firstLineChars="200"/>
    </w:pPr>
    <w:rPr>
      <w:rFonts w:hint="eastAsia" w:ascii="宋体" w:hAnsi="宋体" w:eastAsia="宋体" w:cs="Times New Roman"/>
      <w:sz w:val="24"/>
      <w:szCs w:val="20"/>
    </w:rPr>
  </w:style>
  <w:style w:type="paragraph" w:customStyle="1" w:styleId="1364">
    <w:name w:val="Char Char Char Char Char Char Char Char Char1 Char Char Char Char1"/>
    <w:basedOn w:val="1"/>
    <w:qFormat/>
    <w:uiPriority w:val="0"/>
    <w:pPr>
      <w:spacing w:line="240" w:lineRule="auto"/>
    </w:pPr>
    <w:rPr>
      <w:rFonts w:hint="eastAsia" w:ascii="Times New Roman" w:hAnsi="Times New Roman" w:eastAsia="宋体" w:cs="Times New Roman"/>
      <w:sz w:val="24"/>
      <w:szCs w:val="20"/>
    </w:rPr>
  </w:style>
  <w:style w:type="paragraph" w:customStyle="1" w:styleId="1365">
    <w:name w:val="Char Char Char Char Char Char1 Char Char Char2"/>
    <w:basedOn w:val="1"/>
    <w:qFormat/>
    <w:uiPriority w:val="0"/>
    <w:pPr>
      <w:ind w:firstLine="200" w:firstLineChars="200"/>
    </w:pPr>
    <w:rPr>
      <w:rFonts w:hint="eastAsia" w:ascii="宋体" w:hAnsi="宋体" w:eastAsia="宋体" w:cs="Times New Roman"/>
      <w:sz w:val="24"/>
      <w:szCs w:val="20"/>
    </w:rPr>
  </w:style>
  <w:style w:type="paragraph" w:customStyle="1" w:styleId="1366">
    <w:name w:val="Char Char Char Char Char Char1 Char Char Char1 Char Char Char1"/>
    <w:basedOn w:val="1"/>
    <w:qFormat/>
    <w:uiPriority w:val="0"/>
    <w:pPr>
      <w:ind w:firstLine="200" w:firstLineChars="200"/>
    </w:pPr>
    <w:rPr>
      <w:rFonts w:hint="eastAsia" w:ascii="宋体" w:hAnsi="宋体" w:eastAsia="宋体" w:cs="Times New Roman"/>
      <w:sz w:val="24"/>
      <w:szCs w:val="20"/>
    </w:rPr>
  </w:style>
  <w:style w:type="paragraph" w:customStyle="1" w:styleId="1367">
    <w:name w:val="Char Char Char Char Char Char21"/>
    <w:basedOn w:val="1"/>
    <w:qFormat/>
    <w:uiPriority w:val="0"/>
    <w:pPr>
      <w:ind w:firstLine="200" w:firstLineChars="200"/>
    </w:pPr>
    <w:rPr>
      <w:rFonts w:hint="eastAsia" w:ascii="宋体" w:hAnsi="宋体" w:eastAsia="宋体" w:cs="Times New Roman"/>
      <w:sz w:val="24"/>
      <w:szCs w:val="20"/>
    </w:rPr>
  </w:style>
  <w:style w:type="paragraph" w:customStyle="1" w:styleId="1368">
    <w:name w:val="Char Char Char Char Char Char3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69">
    <w:name w:val="Char41"/>
    <w:basedOn w:val="1"/>
    <w:qFormat/>
    <w:uiPriority w:val="0"/>
    <w:pPr>
      <w:ind w:firstLine="200" w:firstLineChars="200"/>
    </w:pPr>
    <w:rPr>
      <w:rFonts w:hint="eastAsia" w:ascii="宋体" w:hAnsi="宋体" w:eastAsia="宋体" w:cs="Times New Roman"/>
      <w:sz w:val="24"/>
      <w:szCs w:val="20"/>
    </w:rPr>
  </w:style>
  <w:style w:type="paragraph" w:customStyle="1" w:styleId="1370">
    <w:name w:val="Char Char Char Char Char Char Char Char Char Char1 Char Char Char Char1"/>
    <w:basedOn w:val="1"/>
    <w:qFormat/>
    <w:uiPriority w:val="0"/>
    <w:pPr>
      <w:spacing w:line="240" w:lineRule="auto"/>
    </w:pPr>
    <w:rPr>
      <w:rFonts w:hint="eastAsia" w:ascii="Times New Roman" w:hAnsi="Times New Roman" w:eastAsia="宋体" w:cs="Times New Roman"/>
      <w:szCs w:val="20"/>
    </w:rPr>
  </w:style>
  <w:style w:type="paragraph" w:customStyle="1" w:styleId="1371">
    <w:name w:val="Char Char Char1 Char Char Char Char Char Char Char1"/>
    <w:basedOn w:val="1"/>
    <w:qFormat/>
    <w:uiPriority w:val="0"/>
    <w:rPr>
      <w:rFonts w:hint="eastAsia" w:ascii="Times New Roman" w:hAnsi="Times New Roman" w:eastAsia="宋体" w:cs="Times New Roman"/>
      <w:sz w:val="24"/>
      <w:szCs w:val="20"/>
    </w:rPr>
  </w:style>
  <w:style w:type="paragraph" w:customStyle="1" w:styleId="1372">
    <w:name w:val="Char Char Char Char Char Char1 Char Char Char1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3">
    <w:name w:val="Char1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4">
    <w:name w:val="Char Char Char Char Char Char1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5">
    <w:name w:val="Char Char Char1 Char11"/>
    <w:basedOn w:val="1"/>
    <w:qFormat/>
    <w:uiPriority w:val="0"/>
    <w:pPr>
      <w:spacing w:line="240" w:lineRule="auto"/>
    </w:pPr>
    <w:rPr>
      <w:rFonts w:hint="eastAsia" w:ascii="Times New Roman" w:hAnsi="Times New Roman" w:eastAsia="宋体" w:cs="Times New Roman"/>
      <w:szCs w:val="20"/>
    </w:rPr>
  </w:style>
  <w:style w:type="paragraph" w:customStyle="1" w:styleId="1376">
    <w:name w:val="Char Char Char Char Char Char1 Char Char Char11"/>
    <w:basedOn w:val="1"/>
    <w:qFormat/>
    <w:uiPriority w:val="0"/>
    <w:pPr>
      <w:ind w:firstLine="200" w:firstLineChars="200"/>
    </w:pPr>
    <w:rPr>
      <w:rFonts w:hint="eastAsia" w:ascii="宋体" w:hAnsi="宋体" w:eastAsia="宋体" w:cs="Times New Roman"/>
      <w:sz w:val="24"/>
      <w:szCs w:val="20"/>
    </w:rPr>
  </w:style>
  <w:style w:type="paragraph" w:customStyle="1" w:styleId="1377">
    <w:name w:val="Char Char Char Char Char Char3 Char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8">
    <w:name w:val="Char Char Char Char Char Char Char Char Char Char Char Char Char Char Char Char Char Char Char Char Char Char Char Char Char Char Char Char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9">
    <w:name w:val="Char Char Char Char Char Char Char Char Char Char Char Char Char Char Char Char Char Char Char Char Char1 Char1"/>
    <w:basedOn w:val="1"/>
    <w:qFormat/>
    <w:uiPriority w:val="0"/>
    <w:pPr>
      <w:ind w:firstLine="200" w:firstLineChars="200"/>
    </w:pPr>
    <w:rPr>
      <w:rFonts w:hint="eastAsia" w:ascii="宋体" w:hAnsi="宋体" w:eastAsia="宋体" w:cs="Times New Roman"/>
      <w:sz w:val="24"/>
      <w:szCs w:val="20"/>
    </w:rPr>
  </w:style>
  <w:style w:type="paragraph" w:customStyle="1" w:styleId="1380">
    <w:name w:val="Char2 Char Char Char Char Char Char Char Char Char Char Char Char Char1 Char Char Char Char Char Char Char Char Char Char Char Char Char Char Char1 Char1"/>
    <w:basedOn w:val="1"/>
    <w:qFormat/>
    <w:uiPriority w:val="0"/>
    <w:pPr>
      <w:spacing w:line="240" w:lineRule="auto"/>
    </w:pPr>
    <w:rPr>
      <w:rFonts w:ascii="Tahoma" w:hAnsi="Tahoma" w:eastAsia="宋体" w:cs="Tahoma"/>
      <w:b/>
      <w:bCs/>
      <w:sz w:val="24"/>
      <w:szCs w:val="44"/>
    </w:rPr>
  </w:style>
  <w:style w:type="paragraph" w:customStyle="1" w:styleId="1381">
    <w:name w:val="Char Char Char Char Char Char1 Char Char Char1 Char Char Char Char Char Char Char1"/>
    <w:basedOn w:val="1"/>
    <w:qFormat/>
    <w:uiPriority w:val="0"/>
    <w:pPr>
      <w:ind w:firstLine="200" w:firstLineChars="200"/>
    </w:pPr>
    <w:rPr>
      <w:rFonts w:ascii="Times New Roman" w:hAnsi="Times New Roman" w:eastAsia="宋体" w:cs="Times New Roman"/>
      <w:sz w:val="24"/>
      <w:szCs w:val="20"/>
    </w:rPr>
  </w:style>
  <w:style w:type="character" w:customStyle="1" w:styleId="1382">
    <w:name w:val="Char Char431"/>
    <w:qFormat/>
    <w:uiPriority w:val="0"/>
    <w:rPr>
      <w:rFonts w:ascii="黑体" w:eastAsia="宋体"/>
      <w:b/>
      <w:snapToGrid w:val="0"/>
      <w:color w:val="000000"/>
      <w:kern w:val="2"/>
      <w:sz w:val="44"/>
      <w:szCs w:val="24"/>
      <w:lang w:val="en-US" w:eastAsia="zh-CN" w:bidi="ar-SA"/>
    </w:rPr>
  </w:style>
  <w:style w:type="character" w:customStyle="1" w:styleId="1383">
    <w:name w:val="Char Char421"/>
    <w:qFormat/>
    <w:uiPriority w:val="0"/>
    <w:rPr>
      <w:rFonts w:hint="eastAsia" w:ascii="黑体" w:eastAsia="黑体"/>
      <w:b/>
      <w:snapToGrid w:val="0"/>
      <w:color w:val="008000"/>
      <w:kern w:val="2"/>
      <w:sz w:val="28"/>
      <w:szCs w:val="24"/>
      <w:lang w:val="en-US" w:eastAsia="zh-CN" w:bidi="ar-SA"/>
    </w:rPr>
  </w:style>
  <w:style w:type="character" w:customStyle="1" w:styleId="1384">
    <w:name w:val="Char Char411"/>
    <w:qFormat/>
    <w:uiPriority w:val="0"/>
    <w:rPr>
      <w:rFonts w:hint="eastAsia" w:ascii="黑体" w:eastAsia="黑体"/>
      <w:b/>
      <w:snapToGrid w:val="0"/>
      <w:color w:val="008000"/>
      <w:kern w:val="2"/>
      <w:sz w:val="24"/>
      <w:szCs w:val="24"/>
      <w:lang w:val="en-US" w:eastAsia="zh-CN" w:bidi="ar-SA"/>
    </w:rPr>
  </w:style>
  <w:style w:type="paragraph" w:customStyle="1" w:styleId="1385">
    <w:name w:val="正文-欣欣"/>
    <w:basedOn w:val="1"/>
    <w:link w:val="1386"/>
    <w:qFormat/>
    <w:uiPriority w:val="0"/>
    <w:pPr>
      <w:adjustRightInd w:val="0"/>
      <w:snapToGrid w:val="0"/>
      <w:ind w:firstLine="200" w:firstLineChars="200"/>
    </w:pPr>
    <w:rPr>
      <w:rFonts w:ascii="Times New Roman" w:hAnsi="Times New Roman" w:eastAsia="宋体" w:cs="Times New Roman"/>
      <w:sz w:val="24"/>
      <w:szCs w:val="30"/>
    </w:rPr>
  </w:style>
  <w:style w:type="character" w:customStyle="1" w:styleId="1386">
    <w:name w:val="正文-欣欣 Char"/>
    <w:link w:val="1385"/>
    <w:qFormat/>
    <w:uiPriority w:val="0"/>
    <w:rPr>
      <w:rFonts w:ascii="Times New Roman" w:hAnsi="Times New Roman" w:eastAsia="宋体" w:cs="Times New Roman"/>
      <w:sz w:val="24"/>
      <w:szCs w:val="30"/>
    </w:rPr>
  </w:style>
  <w:style w:type="character" w:customStyle="1" w:styleId="1387">
    <w:name w:val="章 Char Char"/>
    <w:qFormat/>
    <w:uiPriority w:val="0"/>
    <w:rPr>
      <w:rFonts w:eastAsia="华文中宋" w:cs="宋体"/>
      <w:caps/>
      <w:kern w:val="44"/>
      <w:sz w:val="32"/>
      <w:szCs w:val="32"/>
      <w:lang w:val="en-US" w:eastAsia="zh-CN" w:bidi="ar-SA"/>
    </w:rPr>
  </w:style>
  <w:style w:type="character" w:customStyle="1" w:styleId="1388">
    <w:name w:val="小节 Char"/>
    <w:qFormat/>
    <w:uiPriority w:val="0"/>
    <w:rPr>
      <w:rFonts w:eastAsia="仿宋_GB2312"/>
      <w:b/>
      <w:bCs/>
      <w:kern w:val="2"/>
      <w:sz w:val="32"/>
      <w:szCs w:val="32"/>
      <w:lang w:val="en-US" w:eastAsia="zh-CN" w:bidi="ar-SA"/>
    </w:rPr>
  </w:style>
  <w:style w:type="character" w:customStyle="1" w:styleId="1389">
    <w:name w:val="二级标题 Char"/>
    <w:qFormat/>
    <w:uiPriority w:val="0"/>
    <w:rPr>
      <w:rFonts w:eastAsia="黑体"/>
      <w:kern w:val="2"/>
      <w:sz w:val="30"/>
      <w:szCs w:val="24"/>
      <w:lang w:val="en-US" w:eastAsia="zh-CN" w:bidi="ar-SA"/>
    </w:rPr>
  </w:style>
  <w:style w:type="character" w:customStyle="1" w:styleId="1390">
    <w:name w:val="表名 Char3"/>
    <w:qFormat/>
    <w:uiPriority w:val="0"/>
    <w:rPr>
      <w:rFonts w:eastAsia="楷体_GB2312"/>
      <w:b/>
      <w:bCs/>
      <w:sz w:val="28"/>
      <w:lang w:val="en-US" w:eastAsia="zh-CN" w:bidi="ar-SA"/>
    </w:rPr>
  </w:style>
  <w:style w:type="paragraph" w:customStyle="1" w:styleId="1391">
    <w:name w:val="样式 样式 正文文本 + 首行缩进:  2 字符 + 首行缩进:  2 字符"/>
    <w:basedOn w:val="1"/>
    <w:qFormat/>
    <w:uiPriority w:val="0"/>
    <w:pPr>
      <w:spacing w:line="240" w:lineRule="auto"/>
      <w:ind w:firstLine="200" w:firstLineChars="200"/>
    </w:pPr>
    <w:rPr>
      <w:rFonts w:ascii="Times New Roman" w:hAnsi="Times New Roman" w:eastAsia="仿宋_GB2312" w:cs="宋体"/>
      <w:sz w:val="28"/>
      <w:szCs w:val="20"/>
    </w:rPr>
  </w:style>
  <w:style w:type="paragraph" w:customStyle="1" w:styleId="1392">
    <w:name w:val="文章正文"/>
    <w:basedOn w:val="1"/>
    <w:qFormat/>
    <w:uiPriority w:val="0"/>
    <w:pPr>
      <w:ind w:firstLine="200" w:firstLineChars="200"/>
    </w:pPr>
    <w:rPr>
      <w:rFonts w:ascii="Times New Roman" w:hAnsi="Times New Roman" w:eastAsia="仿宋_GB2312" w:cs="Times New Roman"/>
      <w:sz w:val="28"/>
      <w:szCs w:val="28"/>
    </w:rPr>
  </w:style>
  <w:style w:type="paragraph" w:customStyle="1" w:styleId="1393">
    <w:name w:val="样式 正文文本 + 首行缩进:  2 字符"/>
    <w:basedOn w:val="36"/>
    <w:qFormat/>
    <w:uiPriority w:val="0"/>
    <w:pPr>
      <w:spacing w:after="0" w:line="240" w:lineRule="auto"/>
      <w:ind w:firstLine="420" w:firstLineChars="200"/>
    </w:pPr>
    <w:rPr>
      <w:rFonts w:ascii="Times New Roman" w:hAnsi="Times New Roman" w:eastAsia="仿宋_GB2312" w:cs="宋体"/>
      <w:sz w:val="28"/>
      <w:szCs w:val="20"/>
    </w:rPr>
  </w:style>
  <w:style w:type="paragraph" w:customStyle="1" w:styleId="1394">
    <w:name w:val="样式5 Char"/>
    <w:basedOn w:val="1"/>
    <w:qFormat/>
    <w:uiPriority w:val="0"/>
    <w:pPr>
      <w:spacing w:line="460" w:lineRule="exact"/>
      <w:ind w:firstLine="480" w:firstLineChars="200"/>
    </w:pPr>
    <w:rPr>
      <w:rFonts w:ascii="Times New Roman" w:hAnsi="Times New Roman" w:eastAsia="宋体" w:cs="Times New Roman"/>
      <w:sz w:val="24"/>
      <w:szCs w:val="24"/>
    </w:rPr>
  </w:style>
  <w:style w:type="paragraph" w:customStyle="1" w:styleId="1395">
    <w:name w:val="样式7 Char"/>
    <w:basedOn w:val="1394"/>
    <w:qFormat/>
    <w:uiPriority w:val="0"/>
    <w:pPr>
      <w:ind w:firstLine="0" w:firstLineChars="0"/>
    </w:pPr>
    <w:rPr>
      <w:sz w:val="21"/>
      <w:szCs w:val="21"/>
    </w:rPr>
  </w:style>
  <w:style w:type="paragraph" w:customStyle="1" w:styleId="1396">
    <w:name w:val="正文缩进（自定义） Char"/>
    <w:basedOn w:val="1"/>
    <w:qFormat/>
    <w:uiPriority w:val="0"/>
    <w:pPr>
      <w:spacing w:before="120" w:after="120"/>
      <w:ind w:firstLine="480" w:firstLineChars="200"/>
    </w:pPr>
    <w:rPr>
      <w:rFonts w:ascii="Century Gothic" w:hAnsi="Century Gothic" w:eastAsia="宋体" w:cs="宋体"/>
      <w:kern w:val="0"/>
      <w:sz w:val="24"/>
      <w:szCs w:val="24"/>
    </w:rPr>
  </w:style>
  <w:style w:type="paragraph" w:customStyle="1" w:styleId="1397">
    <w:name w:val="前言"/>
    <w:qFormat/>
    <w:uiPriority w:val="0"/>
    <w:pPr>
      <w:spacing w:afterLines="100" w:line="600" w:lineRule="exact"/>
      <w:jc w:val="center"/>
    </w:pPr>
    <w:rPr>
      <w:rFonts w:ascii="宋体" w:hAnsi="宋体" w:eastAsia="黑体" w:cs="Times New Roman"/>
      <w:b/>
      <w:sz w:val="36"/>
      <w:lang w:val="en-US" w:eastAsia="zh-CN" w:bidi="ar-SA"/>
    </w:rPr>
  </w:style>
  <w:style w:type="paragraph" w:customStyle="1" w:styleId="1398">
    <w:name w:val="样式 标题 4 + 小四"/>
    <w:basedOn w:val="8"/>
    <w:qFormat/>
    <w:uiPriority w:val="0"/>
    <w:pPr>
      <w:numPr>
        <w:ilvl w:val="0"/>
        <w:numId w:val="0"/>
      </w:numPr>
      <w:spacing w:before="0" w:after="0" w:line="500" w:lineRule="exact"/>
      <w:ind w:firstLine="562" w:firstLineChars="200"/>
      <w:jc w:val="both"/>
    </w:pPr>
    <w:rPr>
      <w:rFonts w:ascii="Arial" w:hAnsi="Arial" w:eastAsia="仿宋_GB2312" w:cs="Times New Roman"/>
    </w:rPr>
  </w:style>
  <w:style w:type="paragraph" w:customStyle="1" w:styleId="1399">
    <w:name w:val="4标题"/>
    <w:next w:val="1"/>
    <w:qFormat/>
    <w:uiPriority w:val="0"/>
    <w:pPr>
      <w:spacing w:beforeLines="20" w:afterLines="20"/>
      <w:outlineLvl w:val="3"/>
    </w:pPr>
    <w:rPr>
      <w:rFonts w:ascii="Times New Roman" w:hAnsi="Times New Roman" w:eastAsia="黑体" w:cs="Times New Roman"/>
      <w:kern w:val="2"/>
      <w:sz w:val="28"/>
      <w:szCs w:val="24"/>
      <w:lang w:val="en-US" w:eastAsia="zh-CN" w:bidi="ar-SA"/>
    </w:rPr>
  </w:style>
  <w:style w:type="paragraph" w:customStyle="1" w:styleId="1400">
    <w:name w:val="3标题"/>
    <w:next w:val="1399"/>
    <w:qFormat/>
    <w:uiPriority w:val="0"/>
    <w:pPr>
      <w:spacing w:beforeLines="20" w:afterLines="20"/>
      <w:outlineLvl w:val="2"/>
    </w:pPr>
    <w:rPr>
      <w:rFonts w:ascii="Times New Roman" w:hAnsi="Times New Roman" w:eastAsia="黑体" w:cs="Times New Roman"/>
      <w:kern w:val="2"/>
      <w:sz w:val="30"/>
      <w:szCs w:val="24"/>
      <w:lang w:val="en-US" w:eastAsia="zh-CN" w:bidi="ar-SA"/>
    </w:rPr>
  </w:style>
  <w:style w:type="paragraph" w:customStyle="1" w:styleId="1401">
    <w:name w:val="2标题"/>
    <w:next w:val="1400"/>
    <w:qFormat/>
    <w:uiPriority w:val="0"/>
    <w:pPr>
      <w:spacing w:beforeLines="30" w:afterLines="30"/>
      <w:outlineLvl w:val="1"/>
    </w:pPr>
    <w:rPr>
      <w:rFonts w:ascii="Times New Roman" w:hAnsi="Times New Roman" w:eastAsia="黑体" w:cs="Times New Roman"/>
      <w:kern w:val="2"/>
      <w:sz w:val="32"/>
      <w:szCs w:val="24"/>
      <w:lang w:val="en-US" w:eastAsia="zh-CN" w:bidi="ar-SA"/>
    </w:rPr>
  </w:style>
  <w:style w:type="paragraph" w:customStyle="1" w:styleId="1402">
    <w:name w:val="1标题"/>
    <w:next w:val="1401"/>
    <w:qFormat/>
    <w:uiPriority w:val="0"/>
    <w:pPr>
      <w:spacing w:beforeLines="50" w:afterLines="50"/>
      <w:jc w:val="center"/>
      <w:outlineLvl w:val="0"/>
    </w:pPr>
    <w:rPr>
      <w:rFonts w:ascii="Times New Roman" w:hAnsi="Times New Roman" w:eastAsia="黑体" w:cs="Times New Roman"/>
      <w:kern w:val="2"/>
      <w:sz w:val="36"/>
      <w:szCs w:val="24"/>
      <w:lang w:val="en-US" w:eastAsia="zh-CN" w:bidi="ar-SA"/>
    </w:rPr>
  </w:style>
  <w:style w:type="paragraph" w:customStyle="1" w:styleId="1403">
    <w:name w:val="图片"/>
    <w:basedOn w:val="1"/>
    <w:qFormat/>
    <w:uiPriority w:val="0"/>
    <w:pPr>
      <w:jc w:val="center"/>
    </w:pPr>
    <w:rPr>
      <w:rFonts w:ascii="Times New Roman" w:hAnsi="Times New Roman" w:eastAsia="宋体" w:cs="宋体"/>
      <w:sz w:val="24"/>
      <w:szCs w:val="20"/>
    </w:rPr>
  </w:style>
  <w:style w:type="character" w:customStyle="1" w:styleId="1404">
    <w:name w:val="样式 (西文) 仿宋_GB2312 小四"/>
    <w:qFormat/>
    <w:uiPriority w:val="0"/>
    <w:rPr>
      <w:rFonts w:ascii="仿宋_GB2312" w:hAnsi="仿宋_GB2312" w:eastAsia="宋体"/>
      <w:sz w:val="24"/>
    </w:rPr>
  </w:style>
  <w:style w:type="character" w:customStyle="1" w:styleId="1405">
    <w:name w:val="Char Char Char21"/>
    <w:qFormat/>
    <w:uiPriority w:val="0"/>
    <w:rPr>
      <w:rFonts w:eastAsia="宋体"/>
      <w:kern w:val="2"/>
      <w:sz w:val="21"/>
      <w:szCs w:val="24"/>
      <w:lang w:val="en-US" w:eastAsia="zh-CN" w:bidi="ar-SA"/>
    </w:rPr>
  </w:style>
  <w:style w:type="paragraph" w:customStyle="1" w:styleId="1406">
    <w:name w:val="样式23"/>
    <w:basedOn w:val="1"/>
    <w:qFormat/>
    <w:uiPriority w:val="0"/>
    <w:pPr>
      <w:spacing w:line="240" w:lineRule="auto"/>
      <w:ind w:firstLine="475" w:firstLineChars="200"/>
    </w:pPr>
    <w:rPr>
      <w:rFonts w:ascii="Times New Roman" w:hAnsi="Times New Roman" w:eastAsia="华文中宋" w:cs="Times New Roman"/>
      <w:color w:val="000000"/>
      <w:sz w:val="24"/>
      <w:szCs w:val="24"/>
    </w:rPr>
  </w:style>
  <w:style w:type="paragraph" w:customStyle="1" w:styleId="1407">
    <w:name w:val="样式 标题 1 + 宋体 小二"/>
    <w:basedOn w:val="5"/>
    <w:link w:val="1408"/>
    <w:qFormat/>
    <w:uiPriority w:val="0"/>
    <w:pPr>
      <w:numPr>
        <w:numId w:val="0"/>
      </w:numPr>
      <w:tabs>
        <w:tab w:val="right" w:leader="dot" w:pos="8905"/>
        <w:tab w:val="right" w:leader="dot" w:pos="8965"/>
      </w:tabs>
      <w:jc w:val="both"/>
    </w:pPr>
    <w:rPr>
      <w:rFonts w:ascii="宋体" w:hAnsi="宋体" w:eastAsia="宋体" w:cs="Times New Roman"/>
      <w:bCs w:val="0"/>
      <w:caps/>
    </w:rPr>
  </w:style>
  <w:style w:type="character" w:customStyle="1" w:styleId="1408">
    <w:name w:val="样式 标题 1 + 宋体 小二 Char"/>
    <w:link w:val="1407"/>
    <w:qFormat/>
    <w:uiPriority w:val="0"/>
    <w:rPr>
      <w:rFonts w:ascii="宋体" w:hAnsi="宋体" w:eastAsia="宋体" w:cs="Times New Roman"/>
      <w:b/>
      <w:caps/>
      <w:kern w:val="44"/>
      <w:sz w:val="32"/>
      <w:szCs w:val="44"/>
    </w:rPr>
  </w:style>
  <w:style w:type="paragraph" w:customStyle="1" w:styleId="1409">
    <w:name w:val="样式 标题 2 + 首行缩进:  2 字符 段前: 0.5 行 段后: 0.5 行"/>
    <w:basedOn w:val="6"/>
    <w:qFormat/>
    <w:uiPriority w:val="0"/>
    <w:pPr>
      <w:numPr>
        <w:ilvl w:val="0"/>
        <w:numId w:val="0"/>
      </w:numPr>
      <w:spacing w:beforeLines="50" w:afterLines="50" w:line="240" w:lineRule="auto"/>
      <w:jc w:val="both"/>
    </w:pPr>
    <w:rPr>
      <w:rFonts w:ascii="Arial" w:hAnsi="Arial" w:eastAsia="华文中宋" w:cs="宋体"/>
      <w:szCs w:val="20"/>
    </w:rPr>
  </w:style>
  <w:style w:type="paragraph" w:customStyle="1" w:styleId="1410">
    <w:name w:val="样式 标题 3 + 首行缩进:  2 字符 段前: 0.5 行 段后: 0.5 行"/>
    <w:basedOn w:val="7"/>
    <w:qFormat/>
    <w:uiPriority w:val="0"/>
    <w:pPr>
      <w:numPr>
        <w:ilvl w:val="0"/>
        <w:numId w:val="0"/>
      </w:numPr>
      <w:spacing w:beforeLines="50" w:afterLines="50" w:line="240" w:lineRule="auto"/>
      <w:jc w:val="both"/>
    </w:pPr>
    <w:rPr>
      <w:rFonts w:eastAsia="黑体" w:cs="宋体"/>
      <w:b w:val="0"/>
      <w:sz w:val="28"/>
      <w:szCs w:val="20"/>
    </w:rPr>
  </w:style>
  <w:style w:type="paragraph" w:customStyle="1" w:styleId="1411">
    <w:name w:val="样式 华文中宋 首行缩进:  2 字符"/>
    <w:basedOn w:val="1"/>
    <w:qFormat/>
    <w:uiPriority w:val="0"/>
    <w:pPr>
      <w:spacing w:line="240" w:lineRule="auto"/>
      <w:ind w:firstLine="200" w:firstLineChars="200"/>
    </w:pPr>
    <w:rPr>
      <w:rFonts w:ascii="华文中宋" w:hAnsi="华文中宋" w:eastAsia="华文中宋" w:cs="宋体"/>
      <w:sz w:val="24"/>
      <w:szCs w:val="20"/>
    </w:rPr>
  </w:style>
  <w:style w:type="paragraph" w:customStyle="1" w:styleId="1412">
    <w:name w:val="样式 表头 + Times New Roman 段前: 0.5 行"/>
    <w:basedOn w:val="205"/>
    <w:qFormat/>
    <w:uiPriority w:val="0"/>
    <w:pPr>
      <w:widowControl w:val="0"/>
      <w:spacing w:line="240" w:lineRule="auto"/>
      <w:ind w:firstLine="0"/>
    </w:pPr>
    <w:rPr>
      <w:rFonts w:eastAsia="黑体" w:cs="宋体"/>
      <w:b w:val="0"/>
      <w:bCs w:val="0"/>
      <w:sz w:val="24"/>
      <w:szCs w:val="20"/>
    </w:rPr>
  </w:style>
  <w:style w:type="paragraph" w:customStyle="1" w:styleId="1413">
    <w:name w:val="样式 表号 + Times New Roman"/>
    <w:basedOn w:val="207"/>
    <w:qFormat/>
    <w:uiPriority w:val="0"/>
    <w:rPr>
      <w:rFonts w:eastAsia="华文中宋"/>
      <w:sz w:val="21"/>
      <w:szCs w:val="24"/>
    </w:rPr>
  </w:style>
  <w:style w:type="paragraph" w:customStyle="1" w:styleId="1414">
    <w:name w:val="样式20"/>
    <w:basedOn w:val="1413"/>
    <w:qFormat/>
    <w:uiPriority w:val="0"/>
    <w:rPr>
      <w:color w:val="000000"/>
    </w:rPr>
  </w:style>
  <w:style w:type="paragraph" w:customStyle="1" w:styleId="1415">
    <w:name w:val="样式44"/>
    <w:basedOn w:val="1"/>
    <w:qFormat/>
    <w:uiPriority w:val="0"/>
    <w:pPr>
      <w:keepNext/>
      <w:spacing w:line="240" w:lineRule="auto"/>
      <w:jc w:val="center"/>
    </w:pPr>
    <w:rPr>
      <w:rFonts w:ascii="黑体" w:hAnsi="宋体" w:eastAsia="黑体" w:cs="Times New Roman"/>
      <w:sz w:val="24"/>
      <w:szCs w:val="24"/>
    </w:rPr>
  </w:style>
  <w:style w:type="paragraph" w:customStyle="1" w:styleId="1416">
    <w:name w:val="样式31"/>
    <w:basedOn w:val="1"/>
    <w:qFormat/>
    <w:uiPriority w:val="0"/>
    <w:pPr>
      <w:spacing w:line="240" w:lineRule="auto"/>
      <w:ind w:firstLine="475" w:firstLineChars="200"/>
    </w:pPr>
    <w:rPr>
      <w:rFonts w:ascii="Times New Roman" w:hAnsi="Times New Roman" w:eastAsia="华文中宋" w:cs="Times New Roman"/>
      <w:sz w:val="24"/>
      <w:szCs w:val="24"/>
    </w:rPr>
  </w:style>
  <w:style w:type="character" w:customStyle="1" w:styleId="1417">
    <w:name w:val="表文 Char Char Char1"/>
    <w:qFormat/>
    <w:uiPriority w:val="0"/>
    <w:rPr>
      <w:rFonts w:eastAsia="宋体"/>
      <w:kern w:val="2"/>
      <w:sz w:val="21"/>
      <w:lang w:val="en-US" w:eastAsia="zh-CN" w:bidi="ar-SA"/>
    </w:rPr>
  </w:style>
  <w:style w:type="paragraph" w:customStyle="1" w:styleId="1418">
    <w:name w:val="缩五"/>
    <w:basedOn w:val="1"/>
    <w:qFormat/>
    <w:uiPriority w:val="0"/>
    <w:pPr>
      <w:tabs>
        <w:tab w:val="right" w:pos="8925"/>
      </w:tabs>
      <w:spacing w:line="550" w:lineRule="exact"/>
      <w:ind w:firstLine="560" w:firstLineChars="200"/>
    </w:pPr>
    <w:rPr>
      <w:rFonts w:ascii="Times New Roman" w:hAnsi="Times New Roman" w:eastAsia="宋体" w:cs="Times New Roman"/>
      <w:color w:val="000000"/>
      <w:sz w:val="28"/>
      <w:szCs w:val="28"/>
    </w:rPr>
  </w:style>
  <w:style w:type="paragraph" w:customStyle="1" w:styleId="1419">
    <w:name w:val="样式 宋体 首行缩进:  2 字符"/>
    <w:basedOn w:val="1"/>
    <w:qFormat/>
    <w:uiPriority w:val="0"/>
    <w:pPr>
      <w:spacing w:line="240" w:lineRule="auto"/>
      <w:ind w:firstLine="200" w:firstLineChars="200"/>
    </w:pPr>
    <w:rPr>
      <w:rFonts w:ascii="宋体" w:hAnsi="宋体" w:eastAsia="宋体" w:cs="宋体"/>
      <w:sz w:val="28"/>
      <w:szCs w:val="20"/>
    </w:rPr>
  </w:style>
  <w:style w:type="paragraph" w:customStyle="1" w:styleId="1420">
    <w:name w:val="样式 标题 3标题 3 Char + 首行缩进:  2 字符"/>
    <w:basedOn w:val="7"/>
    <w:qFormat/>
    <w:uiPriority w:val="0"/>
    <w:pPr>
      <w:numPr>
        <w:ilvl w:val="0"/>
        <w:numId w:val="0"/>
      </w:numPr>
      <w:spacing w:before="0" w:after="0" w:line="360" w:lineRule="auto"/>
      <w:jc w:val="both"/>
    </w:pPr>
    <w:rPr>
      <w:rFonts w:eastAsia="黑体" w:cs="Times New Roman"/>
      <w:sz w:val="28"/>
      <w:szCs w:val="20"/>
    </w:rPr>
  </w:style>
  <w:style w:type="paragraph" w:customStyle="1" w:styleId="1421">
    <w:name w:val="样式 标题 4标题 4 Char + 首行缩进:  2 字符"/>
    <w:basedOn w:val="8"/>
    <w:qFormat/>
    <w:uiPriority w:val="0"/>
    <w:pPr>
      <w:numPr>
        <w:ilvl w:val="0"/>
        <w:numId w:val="0"/>
      </w:numPr>
      <w:spacing w:before="0" w:after="0" w:line="360" w:lineRule="auto"/>
      <w:jc w:val="both"/>
    </w:pPr>
    <w:rPr>
      <w:rFonts w:eastAsia="宋体" w:cs="宋体"/>
      <w:sz w:val="28"/>
      <w:szCs w:val="20"/>
    </w:rPr>
  </w:style>
  <w:style w:type="paragraph" w:customStyle="1" w:styleId="1422">
    <w:name w:val="样式 标题5 + 首行缩进:  0.74 厘米"/>
    <w:basedOn w:val="1"/>
    <w:qFormat/>
    <w:uiPriority w:val="0"/>
    <w:pPr>
      <w:keepNext/>
      <w:keepLines/>
      <w:outlineLvl w:val="4"/>
    </w:pPr>
    <w:rPr>
      <w:rFonts w:ascii="Times New Roman" w:hAnsi="Times New Roman" w:eastAsia="宋体" w:cs="宋体"/>
      <w:b/>
      <w:bCs/>
      <w:sz w:val="28"/>
      <w:szCs w:val="20"/>
    </w:rPr>
  </w:style>
  <w:style w:type="paragraph" w:customStyle="1" w:styleId="1423">
    <w:name w:val="样式 标题 2标题 2 Char1 + 首行缩进:  2 字符"/>
    <w:basedOn w:val="6"/>
    <w:qFormat/>
    <w:uiPriority w:val="0"/>
    <w:pPr>
      <w:numPr>
        <w:ilvl w:val="0"/>
        <w:numId w:val="0"/>
      </w:numPr>
      <w:spacing w:line="560" w:lineRule="exact"/>
      <w:jc w:val="center"/>
    </w:pPr>
    <w:rPr>
      <w:rFonts w:ascii="Arial" w:hAnsi="Arial" w:eastAsia="黑体" w:cs="宋体"/>
      <w:sz w:val="32"/>
      <w:szCs w:val="20"/>
    </w:rPr>
  </w:style>
  <w:style w:type="paragraph" w:customStyle="1" w:styleId="1424">
    <w:name w:val="66"/>
    <w:basedOn w:val="2"/>
    <w:qFormat/>
    <w:uiPriority w:val="0"/>
    <w:pPr>
      <w:spacing w:line="360" w:lineRule="auto"/>
      <w:ind w:left="0" w:leftChars="0"/>
    </w:pPr>
    <w:rPr>
      <w:szCs w:val="24"/>
    </w:rPr>
  </w:style>
  <w:style w:type="paragraph" w:customStyle="1" w:styleId="1425">
    <w:name w:val="样式 样式 标题 3标题 3 Char + 首行缩进:  2 字符 + 行距: 1.5 倍行距"/>
    <w:basedOn w:val="1420"/>
    <w:qFormat/>
    <w:uiPriority w:val="0"/>
    <w:rPr>
      <w:rFonts w:cs="宋体"/>
    </w:rPr>
  </w:style>
  <w:style w:type="paragraph" w:customStyle="1" w:styleId="1426">
    <w:name w:val="正文使用"/>
    <w:basedOn w:val="77"/>
    <w:qFormat/>
    <w:uiPriority w:val="0"/>
    <w:pPr>
      <w:jc w:val="both"/>
    </w:pPr>
    <w:rPr>
      <w:rFonts w:hint="eastAsia" w:cs="宋体"/>
    </w:rPr>
  </w:style>
  <w:style w:type="character" w:customStyle="1" w:styleId="1427">
    <w:name w:val="表文 Char Char1"/>
    <w:qFormat/>
    <w:uiPriority w:val="0"/>
    <w:rPr>
      <w:rFonts w:eastAsia="宋体"/>
      <w:snapToGrid w:val="0"/>
      <w:sz w:val="21"/>
      <w:szCs w:val="21"/>
      <w:lang w:val="en-US" w:eastAsia="zh-CN" w:bidi="ar-SA"/>
    </w:rPr>
  </w:style>
  <w:style w:type="paragraph" w:customStyle="1" w:styleId="1428">
    <w:name w:val="默认段落字体 Para Char Char Char Char Char Char Char Char Char Char Char Char Char"/>
    <w:basedOn w:val="1"/>
    <w:qFormat/>
    <w:uiPriority w:val="0"/>
    <w:pPr>
      <w:spacing w:line="240" w:lineRule="auto"/>
    </w:pPr>
    <w:rPr>
      <w:rFonts w:ascii="Times New Roman" w:hAnsi="Times New Roman" w:eastAsia="宋体" w:cs="Times New Roman"/>
      <w:szCs w:val="24"/>
    </w:rPr>
  </w:style>
  <w:style w:type="paragraph" w:customStyle="1" w:styleId="1429">
    <w:name w:val="Char Char1 Char Char Char Char"/>
    <w:basedOn w:val="1"/>
    <w:qFormat/>
    <w:uiPriority w:val="0"/>
    <w:pPr>
      <w:spacing w:line="240" w:lineRule="auto"/>
    </w:pPr>
    <w:rPr>
      <w:rFonts w:ascii="Times New Roman" w:hAnsi="Times New Roman" w:eastAsia="宋体" w:cs="Times New Roman"/>
      <w:szCs w:val="24"/>
    </w:rPr>
  </w:style>
  <w:style w:type="paragraph" w:customStyle="1" w:styleId="1430">
    <w:name w:val="xl131"/>
    <w:basedOn w:val="1"/>
    <w:qFormat/>
    <w:uiPriority w:val="0"/>
    <w:pPr>
      <w:widowControl/>
      <w:spacing w:before="100" w:beforeAutospacing="1" w:after="100" w:afterAutospacing="1" w:line="240" w:lineRule="auto"/>
      <w:jc w:val="center"/>
    </w:pPr>
    <w:rPr>
      <w:rFonts w:ascii="Times New Roman" w:hAnsi="Times New Roman" w:eastAsia="Arial Unicode MS" w:cs="Times New Roman"/>
      <w:kern w:val="0"/>
      <w:sz w:val="24"/>
      <w:szCs w:val="24"/>
    </w:rPr>
  </w:style>
  <w:style w:type="paragraph" w:customStyle="1" w:styleId="1431">
    <w:name w:val="报告正文小四"/>
    <w:basedOn w:val="1"/>
    <w:qFormat/>
    <w:uiPriority w:val="0"/>
    <w:pPr>
      <w:adjustRightInd w:val="0"/>
      <w:snapToGrid w:val="0"/>
      <w:spacing w:before="120" w:line="420" w:lineRule="atLeast"/>
      <w:ind w:firstLine="510"/>
    </w:pPr>
    <w:rPr>
      <w:rFonts w:ascii="Times New Roman" w:hAnsi="Times New Roman" w:eastAsia="宋体" w:cs="Times New Roman"/>
      <w:sz w:val="24"/>
      <w:szCs w:val="20"/>
    </w:rPr>
  </w:style>
  <w:style w:type="character" w:customStyle="1" w:styleId="1432">
    <w:name w:val="表格文字 Char4"/>
    <w:qFormat/>
    <w:uiPriority w:val="0"/>
    <w:rPr>
      <w:rFonts w:eastAsia="宋体"/>
      <w:kern w:val="2"/>
      <w:sz w:val="21"/>
      <w:lang w:val="en-US" w:eastAsia="zh-CN" w:bidi="ar-SA"/>
    </w:rPr>
  </w:style>
  <w:style w:type="paragraph" w:customStyle="1" w:styleId="1433">
    <w:name w:val="样式 宋体 四号 加粗 首行缩进:  0.99 厘米 行距: 1.5 倍行距"/>
    <w:basedOn w:val="1"/>
    <w:link w:val="1434"/>
    <w:qFormat/>
    <w:uiPriority w:val="0"/>
    <w:pPr>
      <w:ind w:firstLine="560"/>
    </w:pPr>
    <w:rPr>
      <w:rFonts w:ascii="Times New Roman" w:hAnsi="Times New Roman" w:eastAsia="宋体" w:cs="宋体"/>
      <w:bCs/>
      <w:sz w:val="28"/>
      <w:szCs w:val="28"/>
    </w:rPr>
  </w:style>
  <w:style w:type="character" w:customStyle="1" w:styleId="1434">
    <w:name w:val="样式 宋体 四号 加粗 首行缩进:  0.99 厘米 行距: 1.5 倍行距 Char"/>
    <w:link w:val="1433"/>
    <w:qFormat/>
    <w:uiPriority w:val="0"/>
    <w:rPr>
      <w:rFonts w:ascii="Times New Roman" w:hAnsi="Times New Roman" w:eastAsia="宋体" w:cs="宋体"/>
      <w:bCs/>
      <w:sz w:val="28"/>
      <w:szCs w:val="28"/>
    </w:rPr>
  </w:style>
  <w:style w:type="character" w:customStyle="1" w:styleId="1435">
    <w:name w:val="15"/>
    <w:qFormat/>
    <w:uiPriority w:val="0"/>
    <w:rPr>
      <w:rFonts w:hint="default" w:ascii="Calibri" w:hAnsi="Calibri" w:cs="Calibri"/>
      <w:sz w:val="20"/>
      <w:szCs w:val="20"/>
    </w:rPr>
  </w:style>
  <w:style w:type="paragraph" w:customStyle="1" w:styleId="1436">
    <w:name w:val="Char2 Char Char Char Char Char Char Char Char1 Char"/>
    <w:basedOn w:val="1"/>
    <w:qFormat/>
    <w:uiPriority w:val="0"/>
    <w:pPr>
      <w:spacing w:line="440" w:lineRule="exact"/>
      <w:ind w:firstLine="200" w:firstLineChars="200"/>
    </w:pPr>
    <w:rPr>
      <w:rFonts w:ascii="宋体" w:hAnsi="宋体" w:eastAsia="宋体" w:cs="Courier New"/>
      <w:sz w:val="32"/>
      <w:szCs w:val="32"/>
    </w:rPr>
  </w:style>
  <w:style w:type="paragraph" w:customStyle="1" w:styleId="1437">
    <w:name w:val="正文 文本"/>
    <w:basedOn w:val="1"/>
    <w:link w:val="1438"/>
    <w:qFormat/>
    <w:uiPriority w:val="0"/>
    <w:pPr>
      <w:ind w:firstLine="480" w:firstLineChars="200"/>
    </w:pPr>
    <w:rPr>
      <w:rFonts w:ascii="Times New Roman" w:hAnsi="Times New Roman" w:eastAsia="宋体" w:cs="宋体"/>
      <w:sz w:val="24"/>
      <w:szCs w:val="20"/>
    </w:rPr>
  </w:style>
  <w:style w:type="character" w:customStyle="1" w:styleId="1438">
    <w:name w:val="正文 文本 Char Char"/>
    <w:link w:val="1437"/>
    <w:qFormat/>
    <w:uiPriority w:val="0"/>
    <w:rPr>
      <w:rFonts w:ascii="Times New Roman" w:hAnsi="Times New Roman" w:eastAsia="宋体" w:cs="宋体"/>
      <w:sz w:val="24"/>
      <w:szCs w:val="20"/>
    </w:rPr>
  </w:style>
  <w:style w:type="paragraph" w:customStyle="1" w:styleId="1439">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40">
    <w:name w:val="无间隔31"/>
    <w:qFormat/>
    <w:uiPriority w:val="0"/>
    <w:pPr>
      <w:widowControl w:val="0"/>
      <w:adjustRightInd w:val="0"/>
    </w:pPr>
    <w:rPr>
      <w:rFonts w:ascii="Times New Roman" w:hAnsi="Times New Roman" w:eastAsia="宋体" w:cs="Times New Roman"/>
      <w:kern w:val="2"/>
      <w:sz w:val="21"/>
      <w:szCs w:val="24"/>
      <w:lang w:val="en-US" w:eastAsia="zh-CN" w:bidi="ar-SA"/>
    </w:rPr>
  </w:style>
  <w:style w:type="paragraph" w:customStyle="1" w:styleId="1441">
    <w:name w:val="正文 + 段前: 0.5 行 + 首行缩进:  2 字符"/>
    <w:basedOn w:val="1"/>
    <w:link w:val="1442"/>
    <w:qFormat/>
    <w:uiPriority w:val="0"/>
    <w:pPr>
      <w:spacing w:beforeLines="50" w:line="360" w:lineRule="exact"/>
      <w:ind w:firstLine="420" w:firstLineChars="200"/>
    </w:pPr>
    <w:rPr>
      <w:rFonts w:ascii="宋体" w:hAnsi="仿宋_GB2312" w:eastAsia="宋体" w:cs="宋体"/>
      <w:bCs/>
      <w:kern w:val="21"/>
    </w:rPr>
  </w:style>
  <w:style w:type="character" w:customStyle="1" w:styleId="1442">
    <w:name w:val="正文 + 段前: 0.5 行 + 首行缩进:  2 字符 Char"/>
    <w:link w:val="1441"/>
    <w:qFormat/>
    <w:uiPriority w:val="0"/>
    <w:rPr>
      <w:rFonts w:ascii="宋体" w:hAnsi="仿宋_GB2312" w:eastAsia="宋体" w:cs="宋体"/>
      <w:bCs/>
      <w:kern w:val="21"/>
      <w:szCs w:val="21"/>
    </w:rPr>
  </w:style>
  <w:style w:type="paragraph" w:customStyle="1" w:styleId="1443">
    <w:name w:val="缩进2字符文字"/>
    <w:basedOn w:val="1"/>
    <w:qFormat/>
    <w:uiPriority w:val="0"/>
    <w:pPr>
      <w:spacing w:line="300" w:lineRule="auto"/>
      <w:ind w:firstLine="420" w:firstLineChars="200"/>
    </w:pPr>
    <w:rPr>
      <w:rFonts w:ascii="Times New Roman" w:hAnsi="Times New Roman" w:eastAsia="宋体" w:cs="Times New Roman"/>
      <w:szCs w:val="24"/>
    </w:rPr>
  </w:style>
  <w:style w:type="paragraph" w:customStyle="1" w:styleId="1444">
    <w:name w:val="pic-info"/>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1445">
    <w:name w:val="album-div"/>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character" w:customStyle="1" w:styleId="1446">
    <w:name w:val="albumcount"/>
    <w:basedOn w:val="91"/>
    <w:qFormat/>
    <w:uiPriority w:val="0"/>
    <w:rPr>
      <w:rFonts w:eastAsia="宋体"/>
      <w:kern w:val="2"/>
      <w:sz w:val="24"/>
      <w:szCs w:val="24"/>
      <w:lang w:val="en-US" w:eastAsia="zh-CN" w:bidi="ar-SA"/>
    </w:rPr>
  </w:style>
  <w:style w:type="character" w:customStyle="1" w:styleId="1447">
    <w:name w:val="样式 小四 Char Char"/>
    <w:link w:val="1448"/>
    <w:qFormat/>
    <w:uiPriority w:val="0"/>
    <w:rPr>
      <w:sz w:val="24"/>
      <w:szCs w:val="24"/>
    </w:rPr>
  </w:style>
  <w:style w:type="paragraph" w:customStyle="1" w:styleId="1448">
    <w:name w:val="样式 小四"/>
    <w:basedOn w:val="1"/>
    <w:link w:val="1447"/>
    <w:qFormat/>
    <w:uiPriority w:val="0"/>
    <w:pPr>
      <w:ind w:firstLine="480"/>
    </w:pPr>
    <w:rPr>
      <w:sz w:val="24"/>
      <w:szCs w:val="24"/>
    </w:rPr>
  </w:style>
  <w:style w:type="character" w:customStyle="1" w:styleId="1449">
    <w:name w:val="样式 Arial"/>
    <w:qFormat/>
    <w:uiPriority w:val="0"/>
    <w:rPr>
      <w:rFonts w:ascii="Arial" w:hAnsi="Arial"/>
    </w:rPr>
  </w:style>
  <w:style w:type="paragraph" w:customStyle="1" w:styleId="1450">
    <w:name w:val="段"/>
    <w:link w:val="145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451">
    <w:name w:val="段 Char"/>
    <w:link w:val="1450"/>
    <w:qFormat/>
    <w:uiPriority w:val="0"/>
    <w:rPr>
      <w:rFonts w:ascii="宋体" w:hAnsi="Times New Roman" w:eastAsia="宋体" w:cs="Times New Roman"/>
      <w:kern w:val="0"/>
      <w:szCs w:val="20"/>
    </w:rPr>
  </w:style>
  <w:style w:type="character" w:customStyle="1" w:styleId="1452">
    <w:name w:val="文本框五号 Char Char Char Char"/>
    <w:qFormat/>
    <w:uiPriority w:val="0"/>
    <w:rPr>
      <w:rFonts w:ascii="Verdana" w:hAnsi="Verdana" w:eastAsia="Times New Roman"/>
      <w:kern w:val="2"/>
      <w:sz w:val="21"/>
      <w:lang w:val="en-US" w:eastAsia="zh-CN"/>
    </w:rPr>
  </w:style>
  <w:style w:type="character" w:customStyle="1" w:styleId="1453">
    <w:name w:val="style61"/>
    <w:qFormat/>
    <w:uiPriority w:val="0"/>
    <w:rPr>
      <w:rFonts w:eastAsia="宋体" w:cs="Times New Roman"/>
      <w:kern w:val="2"/>
      <w:sz w:val="24"/>
      <w:szCs w:val="24"/>
      <w:lang w:val="en-US" w:eastAsia="zh-CN" w:bidi="ar-SA"/>
    </w:rPr>
  </w:style>
  <w:style w:type="character" w:customStyle="1" w:styleId="1454">
    <w:name w:val="标题 1 Char1"/>
    <w:qFormat/>
    <w:uiPriority w:val="0"/>
    <w:rPr>
      <w:rFonts w:ascii="Times New Roman" w:hAnsi="Times New Roman" w:eastAsia="宋体"/>
      <w:b/>
      <w:kern w:val="44"/>
      <w:sz w:val="44"/>
    </w:rPr>
  </w:style>
  <w:style w:type="character" w:customStyle="1" w:styleId="1455">
    <w:name w:val="样式 黑体 小四"/>
    <w:qFormat/>
    <w:uiPriority w:val="0"/>
    <w:rPr>
      <w:rFonts w:ascii="楷体" w:hAnsi="楷体" w:eastAsia="楷体"/>
      <w:sz w:val="21"/>
      <w:lang w:val="en-US" w:eastAsia="en-US"/>
    </w:rPr>
  </w:style>
  <w:style w:type="character" w:customStyle="1" w:styleId="1456">
    <w:name w:val="目标题 1) Char Char"/>
    <w:qFormat/>
    <w:uiPriority w:val="0"/>
    <w:rPr>
      <w:rFonts w:ascii="Arial" w:hAnsi="Arial" w:eastAsia="黑体"/>
      <w:sz w:val="24"/>
      <w:lang w:val="en-US" w:eastAsia="zh-CN"/>
    </w:rPr>
  </w:style>
  <w:style w:type="character" w:customStyle="1" w:styleId="1457">
    <w:name w:val="样式 仿宋_GB2312 小四 黑色"/>
    <w:qFormat/>
    <w:uiPriority w:val="0"/>
    <w:rPr>
      <w:rFonts w:ascii="仿宋_GB2312" w:hAnsi="仿宋_GB2312" w:eastAsia="Times New Roman"/>
      <w:color w:val="000000"/>
      <w:kern w:val="2"/>
      <w:sz w:val="24"/>
      <w:lang w:val="en-US" w:eastAsia="zh-CN"/>
    </w:rPr>
  </w:style>
  <w:style w:type="character" w:customStyle="1" w:styleId="1458">
    <w:name w:val="正文文本缩进 3 Char Char Char"/>
    <w:qFormat/>
    <w:uiPriority w:val="0"/>
    <w:rPr>
      <w:rFonts w:ascii="Times New Roman" w:hAnsi="Times New Roman"/>
      <w:kern w:val="2"/>
      <w:sz w:val="16"/>
    </w:rPr>
  </w:style>
  <w:style w:type="character" w:customStyle="1" w:styleId="1459">
    <w:name w:val="样式 样式 方正宋三简体 14 磅 行距: 1.5 倍行距1 + 首行缩进:  2 字符 Char Char"/>
    <w:link w:val="1460"/>
    <w:qFormat/>
    <w:uiPriority w:val="0"/>
    <w:rPr>
      <w:rFonts w:ascii="Verdana"/>
      <w:sz w:val="27"/>
    </w:rPr>
  </w:style>
  <w:style w:type="paragraph" w:customStyle="1" w:styleId="1460">
    <w:name w:val="样式 样式 方正宋三简体 14 磅 行距: 1.5 倍行距1 + 首行缩进:  2 字符"/>
    <w:basedOn w:val="1"/>
    <w:link w:val="1459"/>
    <w:qFormat/>
    <w:uiPriority w:val="0"/>
    <w:pPr>
      <w:widowControl/>
      <w:spacing w:line="240" w:lineRule="auto"/>
      <w:ind w:firstLine="200" w:firstLineChars="200"/>
      <w:jc w:val="left"/>
    </w:pPr>
    <w:rPr>
      <w:rFonts w:ascii="Verdana"/>
      <w:sz w:val="27"/>
    </w:rPr>
  </w:style>
  <w:style w:type="character" w:customStyle="1" w:styleId="1461">
    <w:name w:val="正文 + 首行缩进:  2 字符 Char Char"/>
    <w:qFormat/>
    <w:uiPriority w:val="0"/>
    <w:rPr>
      <w:rFonts w:eastAsia="宋体"/>
      <w:spacing w:val="12"/>
      <w:kern w:val="2"/>
      <w:sz w:val="24"/>
      <w:lang w:val="en-US" w:eastAsia="zh-CN"/>
    </w:rPr>
  </w:style>
  <w:style w:type="character" w:customStyle="1" w:styleId="1462">
    <w:name w:val="表名 Char Char Char Char Char"/>
    <w:qFormat/>
    <w:uiPriority w:val="0"/>
    <w:rPr>
      <w:rFonts w:eastAsia="华文楷体"/>
      <w:b/>
      <w:kern w:val="10"/>
      <w:sz w:val="24"/>
      <w:lang w:val="en-US" w:eastAsia="zh-CN"/>
    </w:rPr>
  </w:style>
  <w:style w:type="character" w:customStyle="1" w:styleId="1463">
    <w:name w:val="蒲标题2 Char Char"/>
    <w:link w:val="1464"/>
    <w:qFormat/>
    <w:uiPriority w:val="0"/>
    <w:rPr>
      <w:b/>
      <w:snapToGrid w:val="0"/>
      <w:color w:val="0000FF"/>
      <w:sz w:val="24"/>
    </w:rPr>
  </w:style>
  <w:style w:type="paragraph" w:customStyle="1" w:styleId="1464">
    <w:name w:val="蒲标题2"/>
    <w:basedOn w:val="6"/>
    <w:link w:val="1463"/>
    <w:qFormat/>
    <w:uiPriority w:val="0"/>
    <w:pPr>
      <w:widowControl/>
      <w:numPr>
        <w:ilvl w:val="0"/>
        <w:numId w:val="0"/>
      </w:numPr>
      <w:autoSpaceDE w:val="0"/>
      <w:autoSpaceDN w:val="0"/>
      <w:adjustRightInd w:val="0"/>
      <w:snapToGrid w:val="0"/>
      <w:spacing w:beforeLines="50" w:after="0" w:line="360" w:lineRule="auto"/>
      <w:jc w:val="both"/>
      <w:outlineLvl w:val="2"/>
    </w:pPr>
    <w:rPr>
      <w:rFonts w:asciiTheme="minorHAnsi" w:hAnsiTheme="minorHAnsi" w:eastAsiaTheme="minorEastAsia" w:cstheme="minorBidi"/>
      <w:bCs w:val="0"/>
      <w:snapToGrid w:val="0"/>
      <w:color w:val="0000FF"/>
      <w:sz w:val="24"/>
      <w:szCs w:val="22"/>
    </w:rPr>
  </w:style>
  <w:style w:type="character" w:customStyle="1" w:styleId="1465">
    <w:name w:val="文本匡小五号 Char Char Char"/>
    <w:qFormat/>
    <w:uiPriority w:val="0"/>
    <w:rPr>
      <w:rFonts w:ascii="Verdana" w:hAnsi="Verdana" w:eastAsia="Times New Roman"/>
      <w:kern w:val="2"/>
      <w:sz w:val="24"/>
      <w:lang w:val="en-US" w:eastAsia="zh-CN"/>
    </w:rPr>
  </w:style>
  <w:style w:type="character" w:customStyle="1" w:styleId="1466">
    <w:name w:val="r1"/>
    <w:qFormat/>
    <w:uiPriority w:val="0"/>
    <w:rPr>
      <w:rFonts w:ascii="Arial Black" w:hAnsi="Arial Black" w:eastAsia="Times New Roman"/>
      <w:sz w:val="20"/>
      <w:lang w:val="en-US" w:eastAsia="en-US"/>
    </w:rPr>
  </w:style>
  <w:style w:type="character" w:customStyle="1" w:styleId="1467">
    <w:name w:val="样式 德胜表格内容 + 紧缩量  0.6 磅 Char Char"/>
    <w:basedOn w:val="1468"/>
    <w:link w:val="1470"/>
    <w:qFormat/>
    <w:uiPriority w:val="0"/>
    <w:rPr>
      <w:snapToGrid w:val="0"/>
      <w:color w:val="0000FF"/>
    </w:rPr>
  </w:style>
  <w:style w:type="character" w:customStyle="1" w:styleId="1468">
    <w:name w:val="德胜表格内容 Char Char"/>
    <w:link w:val="1469"/>
    <w:qFormat/>
    <w:uiPriority w:val="0"/>
    <w:rPr>
      <w:snapToGrid w:val="0"/>
      <w:color w:val="0000FF"/>
    </w:rPr>
  </w:style>
  <w:style w:type="paragraph" w:customStyle="1" w:styleId="1469">
    <w:name w:val="德胜表格内容"/>
    <w:basedOn w:val="1"/>
    <w:link w:val="1468"/>
    <w:qFormat/>
    <w:uiPriority w:val="0"/>
    <w:pPr>
      <w:widowControl/>
      <w:adjustRightInd w:val="0"/>
      <w:snapToGrid w:val="0"/>
      <w:spacing w:line="240" w:lineRule="auto"/>
      <w:jc w:val="center"/>
    </w:pPr>
    <w:rPr>
      <w:snapToGrid w:val="0"/>
      <w:color w:val="0000FF"/>
    </w:rPr>
  </w:style>
  <w:style w:type="paragraph" w:customStyle="1" w:styleId="1470">
    <w:name w:val="样式 德胜表格内容 + 紧缩量  0.6 磅"/>
    <w:basedOn w:val="1469"/>
    <w:link w:val="1467"/>
    <w:qFormat/>
    <w:uiPriority w:val="0"/>
    <w:rPr>
      <w:szCs w:val="22"/>
    </w:rPr>
  </w:style>
  <w:style w:type="character" w:customStyle="1" w:styleId="1471">
    <w:name w:val="燕山正文 Char Char"/>
    <w:qFormat/>
    <w:uiPriority w:val="0"/>
    <w:rPr>
      <w:rFonts w:hAnsi="Arial" w:eastAsia="宋体"/>
      <w:snapToGrid w:val="0"/>
      <w:spacing w:val="10"/>
      <w:sz w:val="24"/>
      <w:lang w:val="en-US" w:eastAsia="zh-CN"/>
    </w:rPr>
  </w:style>
  <w:style w:type="character" w:customStyle="1" w:styleId="1472">
    <w:name w:val="正文(首行缩进) Char2"/>
    <w:qFormat/>
    <w:uiPriority w:val="0"/>
    <w:rPr>
      <w:rFonts w:ascii="Arial Black" w:hAnsi="Arial Black" w:eastAsia="楷体"/>
      <w:snapToGrid w:val="0"/>
      <w:color w:val="000000"/>
      <w:kern w:val="2"/>
      <w:sz w:val="21"/>
      <w:lang w:val="en-US" w:eastAsia="zh-CN"/>
    </w:rPr>
  </w:style>
  <w:style w:type="character" w:customStyle="1" w:styleId="1473">
    <w:name w:val="a2"/>
    <w:qFormat/>
    <w:uiPriority w:val="0"/>
    <w:rPr>
      <w:rFonts w:ascii="Arial Black" w:hAnsi="Arial Black" w:eastAsia="Times New Roman"/>
      <w:sz w:val="21"/>
      <w:lang w:val="en-US" w:eastAsia="en-US"/>
    </w:rPr>
  </w:style>
  <w:style w:type="character" w:customStyle="1" w:styleId="1474">
    <w:name w:val="Body Text First Indent Char"/>
    <w:qFormat/>
    <w:uiPriority w:val="0"/>
    <w:rPr>
      <w:rFonts w:ascii="Times New Roman" w:hAnsi="Times New Roman" w:cs="Times New Roman"/>
      <w:kern w:val="2"/>
      <w:sz w:val="21"/>
    </w:rPr>
  </w:style>
  <w:style w:type="character" w:customStyle="1" w:styleId="1475">
    <w:name w:val="正文文本 2 Char Char Char"/>
    <w:qFormat/>
    <w:uiPriority w:val="0"/>
    <w:rPr>
      <w:rFonts w:ascii="Times New Roman" w:hAnsi="Times New Roman"/>
      <w:kern w:val="2"/>
      <w:sz w:val="21"/>
    </w:rPr>
  </w:style>
  <w:style w:type="character" w:customStyle="1" w:styleId="1476">
    <w:name w:val="批注文字 Char Char"/>
    <w:qFormat/>
    <w:uiPriority w:val="0"/>
    <w:rPr>
      <w:rFonts w:eastAsia="宋体"/>
      <w:kern w:val="2"/>
      <w:sz w:val="24"/>
      <w:lang w:val="en-US" w:eastAsia="zh-CN"/>
    </w:rPr>
  </w:style>
  <w:style w:type="character" w:customStyle="1" w:styleId="1477">
    <w:name w:val="样式 仿宋_GB2312 小四2"/>
    <w:qFormat/>
    <w:uiPriority w:val="0"/>
    <w:rPr>
      <w:rFonts w:ascii="仿宋_GB2312" w:hAnsi="仿宋_GB2312" w:eastAsia="Times New Roman"/>
      <w:kern w:val="2"/>
      <w:sz w:val="24"/>
      <w:lang w:val="en-US" w:eastAsia="zh-CN"/>
    </w:rPr>
  </w:style>
  <w:style w:type="character" w:customStyle="1" w:styleId="1478">
    <w:name w:val="A3"/>
    <w:qFormat/>
    <w:uiPriority w:val="0"/>
    <w:rPr>
      <w:rFonts w:ascii="华文行楷" w:eastAsia="华文行楷"/>
      <w:color w:val="000000"/>
      <w:sz w:val="36"/>
    </w:rPr>
  </w:style>
  <w:style w:type="character" w:customStyle="1" w:styleId="1479">
    <w:name w:val="A4"/>
    <w:qFormat/>
    <w:uiPriority w:val="0"/>
    <w:rPr>
      <w:rFonts w:ascii="Symusic" w:eastAsia="Times New Roman"/>
      <w:color w:val="000000"/>
      <w:sz w:val="28"/>
    </w:rPr>
  </w:style>
  <w:style w:type="character" w:customStyle="1" w:styleId="1480">
    <w:name w:val="style91"/>
    <w:qFormat/>
    <w:uiPriority w:val="0"/>
    <w:rPr>
      <w:rFonts w:ascii="Arial Black" w:hAnsi="Arial Black" w:eastAsia="Times New Roman"/>
      <w:b/>
      <w:color w:val="187CC8"/>
      <w:sz w:val="21"/>
      <w:lang w:val="en-US" w:eastAsia="en-US"/>
    </w:rPr>
  </w:style>
  <w:style w:type="character" w:customStyle="1" w:styleId="1481">
    <w:name w:val="ht1"/>
    <w:qFormat/>
    <w:uiPriority w:val="0"/>
    <w:rPr>
      <w:rFonts w:ascii="黑体" w:eastAsia="黑体"/>
      <w:b/>
    </w:rPr>
  </w:style>
  <w:style w:type="character" w:customStyle="1" w:styleId="1482">
    <w:name w:val="t3"/>
    <w:qFormat/>
    <w:uiPriority w:val="0"/>
    <w:rPr>
      <w:rFonts w:ascii="Arial Black" w:hAnsi="Arial Black" w:eastAsia="Times New Roman"/>
      <w:sz w:val="21"/>
      <w:lang w:val="en-US" w:eastAsia="en-US"/>
    </w:rPr>
  </w:style>
  <w:style w:type="character" w:customStyle="1" w:styleId="1483">
    <w:name w:val="1.1标题2 Char"/>
    <w:qFormat/>
    <w:uiPriority w:val="0"/>
    <w:rPr>
      <w:rFonts w:ascii="Courier New" w:hAnsi="Courier New" w:eastAsia="楷体"/>
      <w:kern w:val="2"/>
      <w:sz w:val="32"/>
      <w:lang w:val="en-US" w:eastAsia="zh-CN"/>
    </w:rPr>
  </w:style>
  <w:style w:type="character" w:customStyle="1" w:styleId="1484">
    <w:name w:val="stit16_g1"/>
    <w:qFormat/>
    <w:uiPriority w:val="0"/>
    <w:rPr>
      <w:rFonts w:ascii="PMingLiU" w:hAnsi="PMingLiU" w:eastAsia="PMingLiU"/>
      <w:color w:val="1425D0"/>
      <w:sz w:val="16"/>
      <w:lang w:val="en-US" w:eastAsia="en-US"/>
    </w:rPr>
  </w:style>
  <w:style w:type="character" w:customStyle="1" w:styleId="1485">
    <w:name w:val="纯文本 Char Char Char"/>
    <w:qFormat/>
    <w:uiPriority w:val="0"/>
    <w:rPr>
      <w:rFonts w:ascii="宋体" w:hAnsi="Courier New"/>
      <w:kern w:val="2"/>
      <w:sz w:val="21"/>
    </w:rPr>
  </w:style>
  <w:style w:type="character" w:customStyle="1" w:styleId="1486">
    <w:name w:val="Comment Subject Char"/>
    <w:qFormat/>
    <w:uiPriority w:val="0"/>
    <w:rPr>
      <w:rFonts w:ascii="Times New Roman" w:hAnsi="Times New Roman"/>
      <w:b/>
      <w:kern w:val="2"/>
      <w:sz w:val="21"/>
    </w:rPr>
  </w:style>
  <w:style w:type="character" w:customStyle="1" w:styleId="1487">
    <w:name w:val="正文文本缩进 2 Char Char"/>
    <w:link w:val="1488"/>
    <w:qFormat/>
    <w:uiPriority w:val="0"/>
  </w:style>
  <w:style w:type="paragraph" w:customStyle="1" w:styleId="1488">
    <w:name w:val="正文文本缩进 22"/>
    <w:basedOn w:val="1"/>
    <w:link w:val="1487"/>
    <w:qFormat/>
    <w:uiPriority w:val="0"/>
    <w:pPr>
      <w:widowControl/>
      <w:spacing w:line="400" w:lineRule="atLeast"/>
      <w:ind w:firstLine="480"/>
      <w:jc w:val="left"/>
    </w:pPr>
  </w:style>
  <w:style w:type="character" w:customStyle="1" w:styleId="1489">
    <w:name w:val="css-text3"/>
    <w:qFormat/>
    <w:uiPriority w:val="0"/>
    <w:rPr>
      <w:rFonts w:ascii="Arial Black" w:hAnsi="Arial Black" w:eastAsia="Times New Roman"/>
      <w:sz w:val="21"/>
      <w:lang w:val="en-US" w:eastAsia="en-US"/>
    </w:rPr>
  </w:style>
  <w:style w:type="character" w:customStyle="1" w:styleId="1490">
    <w:name w:val="页脚1 Char1"/>
    <w:qFormat/>
    <w:uiPriority w:val="0"/>
    <w:rPr>
      <w:rFonts w:eastAsia="宋体"/>
      <w:kern w:val="2"/>
      <w:sz w:val="18"/>
      <w:lang w:val="en-US" w:eastAsia="zh-CN"/>
    </w:rPr>
  </w:style>
  <w:style w:type="character" w:customStyle="1" w:styleId="1491">
    <w:name w:val="页眉 Char Char Char"/>
    <w:qFormat/>
    <w:uiPriority w:val="0"/>
    <w:rPr>
      <w:rFonts w:ascii="Times New Roman" w:hAnsi="Times New Roman"/>
      <w:kern w:val="2"/>
      <w:sz w:val="18"/>
    </w:rPr>
  </w:style>
  <w:style w:type="character" w:customStyle="1" w:styleId="1492">
    <w:name w:val="style621"/>
    <w:qFormat/>
    <w:uiPriority w:val="0"/>
    <w:rPr>
      <w:color w:val="335150"/>
    </w:rPr>
  </w:style>
  <w:style w:type="character" w:customStyle="1" w:styleId="1493">
    <w:name w:val="二级标题2 Char Char"/>
    <w:link w:val="1494"/>
    <w:qFormat/>
    <w:uiPriority w:val="0"/>
    <w:rPr>
      <w:b/>
      <w:color w:val="0000FF"/>
      <w:sz w:val="28"/>
    </w:rPr>
  </w:style>
  <w:style w:type="paragraph" w:customStyle="1" w:styleId="1494">
    <w:name w:val="二级标题2"/>
    <w:basedOn w:val="6"/>
    <w:next w:val="1495"/>
    <w:link w:val="1493"/>
    <w:qFormat/>
    <w:uiPriority w:val="0"/>
    <w:pPr>
      <w:widowControl/>
      <w:numPr>
        <w:ilvl w:val="0"/>
        <w:numId w:val="0"/>
      </w:numPr>
      <w:adjustRightInd w:val="0"/>
      <w:snapToGrid w:val="0"/>
      <w:spacing w:beforeLines="50" w:after="0" w:line="360" w:lineRule="auto"/>
    </w:pPr>
    <w:rPr>
      <w:rFonts w:asciiTheme="minorHAnsi" w:hAnsiTheme="minorHAnsi" w:eastAsiaTheme="minorEastAsia" w:cstheme="minorBidi"/>
      <w:bCs w:val="0"/>
      <w:color w:val="0000FF"/>
      <w:szCs w:val="22"/>
    </w:rPr>
  </w:style>
  <w:style w:type="paragraph" w:customStyle="1" w:styleId="1495">
    <w:name w:val="二级标题1"/>
    <w:basedOn w:val="6"/>
    <w:next w:val="7"/>
    <w:qFormat/>
    <w:uiPriority w:val="0"/>
    <w:pPr>
      <w:widowControl/>
      <w:numPr>
        <w:ilvl w:val="0"/>
        <w:numId w:val="0"/>
      </w:numPr>
      <w:adjustRightInd w:val="0"/>
      <w:snapToGrid w:val="0"/>
      <w:spacing w:beforeLines="50" w:line="240" w:lineRule="auto"/>
    </w:pPr>
    <w:rPr>
      <w:rFonts w:ascii="Arial" w:hAnsi="Arial" w:eastAsia="宋体" w:cs="Times New Roman"/>
      <w:color w:val="0000FF"/>
      <w:sz w:val="24"/>
      <w:szCs w:val="28"/>
    </w:rPr>
  </w:style>
  <w:style w:type="character" w:customStyle="1" w:styleId="1496">
    <w:name w:val="p11"/>
    <w:qFormat/>
    <w:uiPriority w:val="0"/>
    <w:rPr>
      <w:sz w:val="18"/>
    </w:rPr>
  </w:style>
  <w:style w:type="character" w:customStyle="1" w:styleId="1497">
    <w:name w:val="信息标题 Char"/>
    <w:qFormat/>
    <w:uiPriority w:val="0"/>
    <w:rPr>
      <w:rFonts w:ascii="Courier New" w:hAnsi="Courier New"/>
      <w:sz w:val="24"/>
      <w:shd w:val="pct20" w:color="auto" w:fill="auto"/>
    </w:rPr>
  </w:style>
  <w:style w:type="character" w:customStyle="1" w:styleId="1498">
    <w:name w:val="spelle"/>
    <w:qFormat/>
    <w:uiPriority w:val="0"/>
    <w:rPr>
      <w:rFonts w:ascii="Arial Black" w:hAnsi="Arial Black" w:eastAsia="Times New Roman"/>
      <w:sz w:val="21"/>
      <w:lang w:val="en-US" w:eastAsia="en-US"/>
    </w:rPr>
  </w:style>
  <w:style w:type="character" w:customStyle="1" w:styleId="1499">
    <w:name w:val="s c c"/>
    <w:qFormat/>
    <w:uiPriority w:val="0"/>
    <w:rPr>
      <w:rFonts w:ascii="Arial Black" w:hAnsi="Arial Black" w:eastAsia="Times New Roman"/>
      <w:sz w:val="21"/>
      <w:lang w:val="en-US" w:eastAsia="en-US"/>
    </w:rPr>
  </w:style>
  <w:style w:type="character" w:customStyle="1" w:styleId="1500">
    <w:name w:val="contentcolor"/>
    <w:qFormat/>
    <w:uiPriority w:val="0"/>
    <w:rPr>
      <w:rFonts w:eastAsia="宋体" w:cs="Times New Roman"/>
      <w:kern w:val="2"/>
      <w:sz w:val="24"/>
      <w:szCs w:val="24"/>
      <w:lang w:val="en-US" w:eastAsia="zh-CN" w:bidi="ar-SA"/>
    </w:rPr>
  </w:style>
  <w:style w:type="character" w:customStyle="1" w:styleId="1501">
    <w:name w:val="标题 1 Char Char"/>
    <w:qFormat/>
    <w:uiPriority w:val="0"/>
    <w:rPr>
      <w:rFonts w:eastAsia="宋体"/>
      <w:b/>
      <w:kern w:val="44"/>
      <w:sz w:val="24"/>
      <w:lang w:val="en-US" w:eastAsia="zh-CN"/>
    </w:rPr>
  </w:style>
  <w:style w:type="character" w:customStyle="1" w:styleId="1502">
    <w:name w:val="style6"/>
    <w:qFormat/>
    <w:uiPriority w:val="0"/>
    <w:rPr>
      <w:rFonts w:ascii="Arial" w:hAnsi="Arial"/>
      <w:sz w:val="18"/>
    </w:rPr>
  </w:style>
  <w:style w:type="character" w:customStyle="1" w:styleId="1503">
    <w:name w:val="标题 1 cg Char Char"/>
    <w:link w:val="1504"/>
    <w:qFormat/>
    <w:uiPriority w:val="0"/>
    <w:rPr>
      <w:b/>
      <w:color w:val="0000FF"/>
      <w:kern w:val="44"/>
      <w:sz w:val="30"/>
    </w:rPr>
  </w:style>
  <w:style w:type="paragraph" w:customStyle="1" w:styleId="1504">
    <w:name w:val="标题 1 cg"/>
    <w:basedOn w:val="5"/>
    <w:link w:val="1503"/>
    <w:qFormat/>
    <w:uiPriority w:val="0"/>
    <w:pPr>
      <w:keepLines w:val="0"/>
      <w:widowControl/>
      <w:numPr>
        <w:numId w:val="0"/>
      </w:numPr>
      <w:spacing w:before="0" w:after="0" w:line="360" w:lineRule="auto"/>
    </w:pPr>
    <w:rPr>
      <w:rFonts w:asciiTheme="minorHAnsi" w:hAnsiTheme="minorHAnsi"/>
      <w:bCs w:val="0"/>
      <w:color w:val="0000FF"/>
      <w:sz w:val="30"/>
      <w:szCs w:val="22"/>
    </w:rPr>
  </w:style>
  <w:style w:type="character" w:customStyle="1" w:styleId="1505">
    <w:name w:val="正文文本缩进 Char Char Char"/>
    <w:qFormat/>
    <w:uiPriority w:val="0"/>
    <w:rPr>
      <w:rFonts w:ascii="Times New Roman" w:hAnsi="Times New Roman"/>
      <w:kern w:val="2"/>
      <w:sz w:val="21"/>
    </w:rPr>
  </w:style>
  <w:style w:type="character" w:customStyle="1" w:styleId="1506">
    <w:name w:val="main1"/>
    <w:qFormat/>
    <w:uiPriority w:val="0"/>
    <w:rPr>
      <w:color w:val="0033CC"/>
      <w:sz w:val="18"/>
    </w:rPr>
  </w:style>
  <w:style w:type="character" w:customStyle="1" w:styleId="1507">
    <w:name w:val="style9 style60"/>
    <w:qFormat/>
    <w:uiPriority w:val="0"/>
    <w:rPr>
      <w:rFonts w:eastAsia="宋体" w:cs="Times New Roman"/>
      <w:kern w:val="2"/>
      <w:sz w:val="24"/>
      <w:szCs w:val="24"/>
      <w:lang w:val="en-US" w:eastAsia="zh-CN" w:bidi="ar-SA"/>
    </w:rPr>
  </w:style>
  <w:style w:type="character" w:customStyle="1" w:styleId="1508">
    <w:name w:val="p"/>
    <w:qFormat/>
    <w:uiPriority w:val="0"/>
    <w:rPr>
      <w:rFonts w:eastAsia="宋体" w:cs="Times New Roman"/>
      <w:kern w:val="2"/>
      <w:sz w:val="24"/>
      <w:szCs w:val="24"/>
      <w:lang w:val="en-US" w:eastAsia="zh-CN" w:bidi="ar-SA"/>
    </w:rPr>
  </w:style>
  <w:style w:type="character" w:customStyle="1" w:styleId="1509">
    <w:name w:val="t111"/>
    <w:qFormat/>
    <w:uiPriority w:val="0"/>
    <w:rPr>
      <w:rFonts w:ascii="Verdana" w:hAnsi="Verdana" w:eastAsia="Times New Roman"/>
      <w:kern w:val="0"/>
      <w:sz w:val="24"/>
      <w:lang w:val="en-US" w:eastAsia="en-US"/>
    </w:rPr>
  </w:style>
  <w:style w:type="character" w:customStyle="1" w:styleId="1510">
    <w:name w:val="样式1 Char1"/>
    <w:qFormat/>
    <w:uiPriority w:val="99"/>
    <w:rPr>
      <w:rFonts w:ascii="Times New Roman" w:hAnsi="宋体"/>
      <w:snapToGrid w:val="0"/>
      <w:color w:val="0000FF"/>
      <w:sz w:val="21"/>
    </w:rPr>
  </w:style>
  <w:style w:type="character" w:customStyle="1" w:styleId="1511">
    <w:name w:val="postbody1"/>
    <w:qFormat/>
    <w:uiPriority w:val="0"/>
    <w:rPr>
      <w:rFonts w:ascii="Arial Black" w:hAnsi="Arial Black" w:eastAsia="Times New Roman"/>
      <w:sz w:val="21"/>
      <w:lang w:val="en-US" w:eastAsia="en-US"/>
    </w:rPr>
  </w:style>
  <w:style w:type="character" w:customStyle="1" w:styleId="1512">
    <w:name w:val="Signature Char"/>
    <w:qFormat/>
    <w:uiPriority w:val="0"/>
    <w:rPr>
      <w:rFonts w:ascii="Verdana" w:hAnsi="Verdana"/>
      <w:sz w:val="32"/>
    </w:rPr>
  </w:style>
  <w:style w:type="character" w:customStyle="1" w:styleId="1513">
    <w:name w:val="文本框小四 Char Char"/>
    <w:qFormat/>
    <w:uiPriority w:val="0"/>
    <w:rPr>
      <w:rFonts w:ascii="Verdana" w:hAnsi="Verdana" w:eastAsia="Times New Roman"/>
      <w:kern w:val="2"/>
      <w:sz w:val="24"/>
      <w:lang w:val="en-US" w:eastAsia="zh-CN"/>
    </w:rPr>
  </w:style>
  <w:style w:type="character" w:customStyle="1" w:styleId="1514">
    <w:name w:val="3标题(治) Char Char"/>
    <w:link w:val="1515"/>
    <w:qFormat/>
    <w:uiPriority w:val="0"/>
    <w:rPr>
      <w:snapToGrid w:val="0"/>
      <w:color w:val="0000FF"/>
      <w:sz w:val="28"/>
    </w:rPr>
  </w:style>
  <w:style w:type="paragraph" w:customStyle="1" w:styleId="1515">
    <w:name w:val="3标题(治)"/>
    <w:basedOn w:val="7"/>
    <w:link w:val="1514"/>
    <w:qFormat/>
    <w:uiPriority w:val="0"/>
    <w:pPr>
      <w:keepLines w:val="0"/>
      <w:widowControl/>
      <w:numPr>
        <w:ilvl w:val="0"/>
        <w:numId w:val="0"/>
      </w:numPr>
      <w:adjustRightInd w:val="0"/>
      <w:snapToGrid w:val="0"/>
      <w:spacing w:beforeLines="50" w:afterLines="50" w:line="360" w:lineRule="auto"/>
      <w:textAlignment w:val="baseline"/>
    </w:pPr>
    <w:rPr>
      <w:rFonts w:asciiTheme="minorHAnsi" w:hAnsiTheme="minorHAnsi"/>
      <w:b w:val="0"/>
      <w:bCs w:val="0"/>
      <w:snapToGrid w:val="0"/>
      <w:color w:val="0000FF"/>
      <w:sz w:val="28"/>
      <w:szCs w:val="22"/>
    </w:rPr>
  </w:style>
  <w:style w:type="character" w:customStyle="1" w:styleId="1516">
    <w:name w:val="德胜表头 Char Char"/>
    <w:link w:val="1517"/>
    <w:qFormat/>
    <w:uiPriority w:val="0"/>
    <w:rPr>
      <w:b/>
      <w:snapToGrid w:val="0"/>
      <w:color w:val="0000FF"/>
      <w:sz w:val="24"/>
    </w:rPr>
  </w:style>
  <w:style w:type="paragraph" w:customStyle="1" w:styleId="1517">
    <w:name w:val="德胜表头"/>
    <w:basedOn w:val="1518"/>
    <w:link w:val="1516"/>
    <w:qFormat/>
    <w:uiPriority w:val="0"/>
    <w:pPr>
      <w:spacing w:line="240" w:lineRule="auto"/>
      <w:ind w:firstLine="0" w:firstLineChars="0"/>
      <w:jc w:val="center"/>
    </w:pPr>
    <w:rPr>
      <w:b/>
      <w:szCs w:val="22"/>
    </w:rPr>
  </w:style>
  <w:style w:type="paragraph" w:customStyle="1" w:styleId="1518">
    <w:name w:val="德胜正文"/>
    <w:basedOn w:val="1"/>
    <w:link w:val="1519"/>
    <w:qFormat/>
    <w:uiPriority w:val="0"/>
    <w:pPr>
      <w:widowControl/>
      <w:adjustRightInd w:val="0"/>
      <w:snapToGrid w:val="0"/>
      <w:ind w:firstLine="200" w:firstLineChars="200"/>
      <w:jc w:val="left"/>
    </w:pPr>
    <w:rPr>
      <w:snapToGrid w:val="0"/>
      <w:color w:val="0000FF"/>
      <w:sz w:val="24"/>
    </w:rPr>
  </w:style>
  <w:style w:type="character" w:customStyle="1" w:styleId="1519">
    <w:name w:val="德胜正文 Char Char"/>
    <w:link w:val="1518"/>
    <w:qFormat/>
    <w:uiPriority w:val="0"/>
    <w:rPr>
      <w:snapToGrid w:val="0"/>
      <w:color w:val="0000FF"/>
      <w:sz w:val="24"/>
    </w:rPr>
  </w:style>
  <w:style w:type="character" w:customStyle="1" w:styleId="1520">
    <w:name w:val="bt1"/>
    <w:qFormat/>
    <w:uiPriority w:val="0"/>
    <w:rPr>
      <w:color w:val="000000"/>
    </w:rPr>
  </w:style>
  <w:style w:type="character" w:customStyle="1" w:styleId="1521">
    <w:name w:val="泸县焦化三级标题 Char Char"/>
    <w:link w:val="1522"/>
    <w:qFormat/>
    <w:uiPriority w:val="0"/>
    <w:rPr>
      <w:b/>
      <w:sz w:val="24"/>
    </w:rPr>
  </w:style>
  <w:style w:type="paragraph" w:customStyle="1" w:styleId="1522">
    <w:name w:val="泸县焦化三级标题"/>
    <w:basedOn w:val="1"/>
    <w:link w:val="1521"/>
    <w:qFormat/>
    <w:uiPriority w:val="0"/>
    <w:pPr>
      <w:keepNext/>
      <w:keepLines/>
      <w:widowControl/>
      <w:autoSpaceDE w:val="0"/>
      <w:autoSpaceDN w:val="0"/>
      <w:adjustRightInd w:val="0"/>
      <w:snapToGrid w:val="0"/>
      <w:jc w:val="left"/>
      <w:outlineLvl w:val="2"/>
    </w:pPr>
    <w:rPr>
      <w:b/>
      <w:sz w:val="24"/>
    </w:rPr>
  </w:style>
  <w:style w:type="character" w:customStyle="1" w:styleId="1523">
    <w:name w:val="Body Text Indent Char"/>
    <w:qFormat/>
    <w:uiPriority w:val="0"/>
    <w:rPr>
      <w:rFonts w:ascii="Times New Roman" w:hAnsi="Times New Roman"/>
      <w:color w:val="0000FF"/>
      <w:kern w:val="2"/>
      <w:sz w:val="24"/>
    </w:rPr>
  </w:style>
  <w:style w:type="character" w:customStyle="1" w:styleId="1524">
    <w:name w:val="样式 标题 4 + 左侧:  0 厘米 悬挂缩进: 8.64 字符 段前: 6 磅 段后: 6 磅 行距: 单倍行距 Char Char"/>
    <w:link w:val="1525"/>
    <w:qFormat/>
    <w:uiPriority w:val="0"/>
    <w:rPr>
      <w:rFonts w:ascii="Arial" w:hAnsi="Arial" w:eastAsia="黑体"/>
      <w:b/>
      <w:sz w:val="24"/>
    </w:rPr>
  </w:style>
  <w:style w:type="paragraph" w:customStyle="1" w:styleId="1525">
    <w:name w:val="样式 标题 4 + 左侧:  0 厘米 悬挂缩进: 8.64 字符 段前: 6 磅 段后: 6 磅 行距: 单倍行距"/>
    <w:basedOn w:val="8"/>
    <w:link w:val="1524"/>
    <w:qFormat/>
    <w:uiPriority w:val="0"/>
    <w:pPr>
      <w:widowControl/>
      <w:numPr>
        <w:ilvl w:val="0"/>
        <w:numId w:val="0"/>
      </w:numPr>
      <w:spacing w:before="120" w:after="120" w:line="312" w:lineRule="auto"/>
    </w:pPr>
    <w:rPr>
      <w:rFonts w:ascii="Arial" w:hAnsi="Arial" w:eastAsia="黑体" w:cstheme="minorBidi"/>
      <w:bCs w:val="0"/>
      <w:szCs w:val="22"/>
    </w:rPr>
  </w:style>
  <w:style w:type="character" w:customStyle="1" w:styleId="1526">
    <w:name w:val="表文 Char Char Char Char Char Char"/>
    <w:qFormat/>
    <w:uiPriority w:val="0"/>
    <w:rPr>
      <w:rFonts w:ascii="Times New Roman" w:hAnsi="Times New Roman"/>
      <w:kern w:val="2"/>
      <w:sz w:val="18"/>
    </w:rPr>
  </w:style>
  <w:style w:type="character" w:customStyle="1" w:styleId="1527">
    <w:name w:val="样式 标题 3 + 黑色 Char Char Char Char Char"/>
    <w:qFormat/>
    <w:uiPriority w:val="0"/>
    <w:rPr>
      <w:rFonts w:ascii="Arial Black" w:hAnsi="Arial Black" w:eastAsia="Times New Roman"/>
      <w:color w:val="000000"/>
      <w:kern w:val="2"/>
      <w:sz w:val="21"/>
      <w:lang w:val="en-US" w:eastAsia="zh-CN"/>
    </w:rPr>
  </w:style>
  <w:style w:type="character" w:customStyle="1" w:styleId="1528">
    <w:name w:val="style41"/>
    <w:qFormat/>
    <w:uiPriority w:val="0"/>
    <w:rPr>
      <w:rFonts w:ascii="Arial Black" w:hAnsi="Arial Black" w:eastAsia="Times New Roman"/>
      <w:sz w:val="21"/>
      <w:lang w:val="en-US" w:eastAsia="en-US"/>
    </w:rPr>
  </w:style>
  <w:style w:type="character" w:customStyle="1" w:styleId="1529">
    <w:name w:val="标题 3 Char1 Char Char"/>
    <w:qFormat/>
    <w:uiPriority w:val="0"/>
    <w:rPr>
      <w:rFonts w:ascii="Arial Black" w:hAnsi="Arial Black" w:eastAsia="Times New Roman"/>
      <w:b/>
      <w:kern w:val="2"/>
      <w:sz w:val="32"/>
      <w:lang w:val="en-US" w:eastAsia="zh-CN"/>
    </w:rPr>
  </w:style>
  <w:style w:type="character" w:customStyle="1" w:styleId="1530">
    <w:name w:val="p_red_bold1"/>
    <w:qFormat/>
    <w:uiPriority w:val="0"/>
    <w:rPr>
      <w:b/>
      <w:color w:val="FF3333"/>
    </w:rPr>
  </w:style>
  <w:style w:type="character" w:customStyle="1" w:styleId="1531">
    <w:name w:val="样式 宋体 13 磅 首行缩进:  0.99 厘米 Char Char"/>
    <w:link w:val="1532"/>
    <w:qFormat/>
    <w:uiPriority w:val="0"/>
    <w:rPr>
      <w:rFonts w:ascii="Verdana" w:hAnsi="Verdana"/>
      <w:sz w:val="27"/>
    </w:rPr>
  </w:style>
  <w:style w:type="paragraph" w:customStyle="1" w:styleId="1532">
    <w:name w:val="样式 宋体 13 磅 首行缩进:  0.99 厘米"/>
    <w:basedOn w:val="1"/>
    <w:link w:val="1531"/>
    <w:qFormat/>
    <w:uiPriority w:val="0"/>
    <w:pPr>
      <w:widowControl/>
      <w:spacing w:line="240" w:lineRule="auto"/>
      <w:ind w:firstLine="560"/>
      <w:jc w:val="left"/>
    </w:pPr>
    <w:rPr>
      <w:rFonts w:ascii="Verdana" w:hAnsi="Verdana"/>
      <w:sz w:val="27"/>
    </w:rPr>
  </w:style>
  <w:style w:type="character" w:customStyle="1" w:styleId="1533">
    <w:name w:val="表正文 Char1 Char Char"/>
    <w:qFormat/>
    <w:uiPriority w:val="0"/>
    <w:rPr>
      <w:rFonts w:ascii="Arial Black" w:hAnsi="Arial Black" w:eastAsia="Times New Roman"/>
      <w:sz w:val="21"/>
      <w:lang w:val="en-US" w:eastAsia="zh-CN"/>
    </w:rPr>
  </w:style>
  <w:style w:type="character" w:customStyle="1" w:styleId="1534">
    <w:name w:val="正文段落（宋旭峰） Char Char"/>
    <w:link w:val="1535"/>
    <w:qFormat/>
    <w:uiPriority w:val="0"/>
    <w:rPr>
      <w:rFonts w:ascii="宋体" w:eastAsia="宋体"/>
      <w:snapToGrid w:val="0"/>
      <w:color w:val="0000FF"/>
      <w:sz w:val="24"/>
    </w:rPr>
  </w:style>
  <w:style w:type="paragraph" w:customStyle="1" w:styleId="1535">
    <w:name w:val="正文段落（宋旭峰）"/>
    <w:basedOn w:val="1"/>
    <w:link w:val="1534"/>
    <w:qFormat/>
    <w:uiPriority w:val="0"/>
    <w:pPr>
      <w:widowControl/>
      <w:ind w:firstLine="480" w:firstLineChars="200"/>
      <w:jc w:val="left"/>
    </w:pPr>
    <w:rPr>
      <w:rFonts w:ascii="宋体" w:eastAsia="宋体"/>
      <w:snapToGrid w:val="0"/>
      <w:color w:val="0000FF"/>
      <w:sz w:val="24"/>
    </w:rPr>
  </w:style>
  <w:style w:type="character" w:customStyle="1" w:styleId="1536">
    <w:name w:val="f241"/>
    <w:qFormat/>
    <w:uiPriority w:val="0"/>
    <w:rPr>
      <w:rFonts w:ascii="Arial Black" w:hAnsi="Arial Black" w:eastAsia="Times New Roman"/>
      <w:sz w:val="36"/>
      <w:lang w:val="en-US" w:eastAsia="en-US"/>
    </w:rPr>
  </w:style>
  <w:style w:type="character" w:customStyle="1" w:styleId="1537">
    <w:name w:val="Body Text 3 Char"/>
    <w:qFormat/>
    <w:uiPriority w:val="0"/>
    <w:rPr>
      <w:rFonts w:ascii="Times New Roman" w:hAnsi="Times New Roman"/>
      <w:kern w:val="2"/>
      <w:sz w:val="16"/>
    </w:rPr>
  </w:style>
  <w:style w:type="character" w:customStyle="1" w:styleId="1538">
    <w:name w:val="red"/>
    <w:qFormat/>
    <w:uiPriority w:val="0"/>
    <w:rPr>
      <w:rFonts w:eastAsia="宋体" w:cs="Times New Roman"/>
      <w:kern w:val="2"/>
      <w:sz w:val="24"/>
      <w:szCs w:val="24"/>
      <w:lang w:val="en-US" w:eastAsia="zh-CN" w:bidi="ar-SA"/>
    </w:rPr>
  </w:style>
  <w:style w:type="character" w:customStyle="1" w:styleId="1539">
    <w:name w:val="正文样式 Char Char"/>
    <w:link w:val="110"/>
    <w:qFormat/>
    <w:uiPriority w:val="0"/>
    <w:rPr>
      <w:rFonts w:ascii="宋体" w:eastAsia="宋体"/>
      <w:color w:val="000000"/>
      <w:sz w:val="24"/>
    </w:rPr>
  </w:style>
  <w:style w:type="character" w:customStyle="1" w:styleId="1540">
    <w:name w:val="样式 题注 + 首行缩进:  2 字符2 Char Char"/>
    <w:link w:val="1541"/>
    <w:qFormat/>
    <w:uiPriority w:val="0"/>
    <w:rPr>
      <w:rFonts w:ascii="黑体" w:hAnsi="宋体" w:eastAsia="黑体"/>
      <w:sz w:val="24"/>
    </w:rPr>
  </w:style>
  <w:style w:type="paragraph" w:customStyle="1" w:styleId="1541">
    <w:name w:val="样式 题注 + 首行缩进:  2 字符2"/>
    <w:basedOn w:val="24"/>
    <w:link w:val="1540"/>
    <w:qFormat/>
    <w:uiPriority w:val="0"/>
    <w:pPr>
      <w:keepNext/>
      <w:widowControl/>
      <w:adjustRightInd w:val="0"/>
      <w:snapToGrid w:val="0"/>
      <w:spacing w:line="240" w:lineRule="auto"/>
      <w:outlineLvl w:val="9"/>
    </w:pPr>
    <w:rPr>
      <w:rFonts w:ascii="黑体" w:hAnsi="宋体" w:eastAsia="黑体" w:cstheme="minorBidi"/>
      <w:b w:val="0"/>
      <w:sz w:val="24"/>
      <w:szCs w:val="22"/>
    </w:rPr>
  </w:style>
  <w:style w:type="character" w:customStyle="1" w:styleId="1542">
    <w:name w:val="Body Text First Indent 2 Char"/>
    <w:qFormat/>
    <w:uiPriority w:val="0"/>
    <w:rPr>
      <w:rFonts w:ascii="Verdana" w:hAnsi="仿宋_GB2312"/>
      <w:kern w:val="2"/>
      <w:sz w:val="28"/>
    </w:rPr>
  </w:style>
  <w:style w:type="character" w:customStyle="1" w:styleId="1543">
    <w:name w:val="项标题(1) Char Char"/>
    <w:qFormat/>
    <w:uiPriority w:val="0"/>
    <w:rPr>
      <w:rFonts w:eastAsia="宋体"/>
      <w:b/>
      <w:sz w:val="24"/>
      <w:lang w:val="en-US" w:eastAsia="zh-CN"/>
    </w:rPr>
  </w:style>
  <w:style w:type="character" w:customStyle="1" w:styleId="1544">
    <w:name w:val="Normal Indent Char"/>
    <w:qFormat/>
    <w:uiPriority w:val="0"/>
    <w:rPr>
      <w:kern w:val="2"/>
      <w:sz w:val="21"/>
    </w:rPr>
  </w:style>
  <w:style w:type="character" w:customStyle="1" w:styleId="1545">
    <w:name w:val="普通文字 Char Char Char2"/>
    <w:qFormat/>
    <w:uiPriority w:val="0"/>
    <w:rPr>
      <w:rFonts w:eastAsia="宋体"/>
      <w:spacing w:val="8"/>
      <w:kern w:val="2"/>
      <w:sz w:val="24"/>
      <w:lang w:val="en-US" w:eastAsia="zh-CN"/>
    </w:rPr>
  </w:style>
  <w:style w:type="character" w:customStyle="1" w:styleId="1546">
    <w:name w:val="large1"/>
    <w:qFormat/>
    <w:uiPriority w:val="0"/>
    <w:rPr>
      <w:rFonts w:ascii="宋体" w:hAnsi="宋体" w:eastAsia="宋体"/>
      <w:sz w:val="24"/>
    </w:rPr>
  </w:style>
  <w:style w:type="character" w:customStyle="1" w:styleId="1547">
    <w:name w:val="Body Text Char"/>
    <w:qFormat/>
    <w:uiPriority w:val="0"/>
    <w:rPr>
      <w:rFonts w:ascii="Times New Roman" w:hAnsi="Times New Roman"/>
      <w:kern w:val="2"/>
      <w:sz w:val="21"/>
    </w:rPr>
  </w:style>
  <w:style w:type="character" w:customStyle="1" w:styleId="1548">
    <w:name w:val="copy2"/>
    <w:qFormat/>
    <w:uiPriority w:val="0"/>
    <w:rPr>
      <w:rFonts w:ascii="Verdana" w:hAnsi="Verdana" w:eastAsia="Times New Roman"/>
      <w:spacing w:val="24"/>
      <w:sz w:val="15"/>
      <w:lang w:val="en-US" w:eastAsia="en-US"/>
    </w:rPr>
  </w:style>
  <w:style w:type="character" w:customStyle="1" w:styleId="1549">
    <w:name w:val="Normal Char Char"/>
    <w:qFormat/>
    <w:uiPriority w:val="0"/>
    <w:rPr>
      <w:rFonts w:ascii="宋体" w:hAnsi="Times New Roman"/>
      <w:sz w:val="24"/>
      <w:lang w:val="en-US" w:eastAsia="zh-CN"/>
    </w:rPr>
  </w:style>
  <w:style w:type="character" w:customStyle="1" w:styleId="1550">
    <w:name w:val="TOm"/>
    <w:qFormat/>
    <w:uiPriority w:val="0"/>
    <w:rPr>
      <w:rFonts w:ascii="Courier New" w:hAnsi="Courier New" w:eastAsia="Times New Roman"/>
      <w:spacing w:val="0"/>
      <w:position w:val="0"/>
      <w:sz w:val="21"/>
      <w:lang w:val="en-US" w:eastAsia="en-US"/>
    </w:rPr>
  </w:style>
  <w:style w:type="character" w:customStyle="1" w:styleId="1551">
    <w:name w:val="普通文字 Char Char Char Char Char C Char Char Char Char Char Char Char"/>
    <w:qFormat/>
    <w:uiPriority w:val="0"/>
    <w:rPr>
      <w:rFonts w:ascii="Verdana" w:hAnsi="MHei-Medium" w:eastAsia="Times New Roman"/>
      <w:kern w:val="2"/>
      <w:sz w:val="24"/>
      <w:lang w:val="en-US" w:eastAsia="zh-CN"/>
    </w:rPr>
  </w:style>
  <w:style w:type="character" w:customStyle="1" w:styleId="1552">
    <w:name w:val="热电厂正文 Char Char Char Char Char Char Char"/>
    <w:link w:val="1553"/>
    <w:qFormat/>
    <w:uiPriority w:val="0"/>
    <w:rPr>
      <w:sz w:val="24"/>
    </w:rPr>
  </w:style>
  <w:style w:type="paragraph" w:customStyle="1" w:styleId="1553">
    <w:name w:val="热电厂正文 Char Char Char Char"/>
    <w:basedOn w:val="1"/>
    <w:link w:val="1552"/>
    <w:qFormat/>
    <w:uiPriority w:val="0"/>
    <w:pPr>
      <w:widowControl/>
      <w:spacing w:line="440" w:lineRule="exact"/>
      <w:ind w:firstLine="480" w:firstLineChars="200"/>
      <w:jc w:val="left"/>
    </w:pPr>
    <w:rPr>
      <w:sz w:val="24"/>
    </w:rPr>
  </w:style>
  <w:style w:type="character" w:customStyle="1" w:styleId="1554">
    <w:name w:val="表题 Char Char Char Char"/>
    <w:qFormat/>
    <w:uiPriority w:val="0"/>
    <w:rPr>
      <w:rFonts w:eastAsia="宋体"/>
      <w:b/>
      <w:spacing w:val="12"/>
      <w:w w:val="90"/>
      <w:kern w:val="2"/>
      <w:sz w:val="24"/>
      <w:lang w:val="en-US" w:eastAsia="zh-CN"/>
    </w:rPr>
  </w:style>
  <w:style w:type="character" w:customStyle="1" w:styleId="1555">
    <w:name w:val="样式 标题 3小标题小节标题标题3H3h33rd level第二层条标题4 + Arial Char Char"/>
    <w:link w:val="1556"/>
    <w:qFormat/>
    <w:uiPriority w:val="0"/>
    <w:rPr>
      <w:rFonts w:ascii="Courier New" w:hAnsi="Courier New"/>
      <w:b/>
      <w:color w:val="000000"/>
      <w:sz w:val="30"/>
    </w:rPr>
  </w:style>
  <w:style w:type="paragraph" w:customStyle="1" w:styleId="1556">
    <w:name w:val="样式 标题 3小标题小节标题标题3H3h33rd level第二层条标题4 + Arial"/>
    <w:basedOn w:val="7"/>
    <w:link w:val="1555"/>
    <w:qFormat/>
    <w:uiPriority w:val="0"/>
    <w:pPr>
      <w:widowControl/>
      <w:numPr>
        <w:ilvl w:val="0"/>
        <w:numId w:val="0"/>
      </w:numPr>
      <w:tabs>
        <w:tab w:val="left" w:pos="1050"/>
      </w:tabs>
      <w:adjustRightInd w:val="0"/>
      <w:spacing w:before="120" w:after="120" w:line="360" w:lineRule="auto"/>
      <w:ind w:left="851" w:hanging="851"/>
      <w:textAlignment w:val="baseline"/>
    </w:pPr>
    <w:rPr>
      <w:rFonts w:ascii="Courier New" w:hAnsi="Courier New"/>
      <w:bCs w:val="0"/>
      <w:color w:val="000000"/>
      <w:sz w:val="30"/>
      <w:szCs w:val="22"/>
    </w:rPr>
  </w:style>
  <w:style w:type="character" w:customStyle="1" w:styleId="1557">
    <w:name w:val="HTML 地址 Char"/>
    <w:qFormat/>
    <w:uiPriority w:val="0"/>
    <w:rPr>
      <w:rFonts w:ascii="Verdana" w:hAnsi="Verdana"/>
      <w:i/>
      <w:sz w:val="32"/>
    </w:rPr>
  </w:style>
  <w:style w:type="character" w:customStyle="1" w:styleId="1558">
    <w:name w:val="1) Char1"/>
    <w:qFormat/>
    <w:uiPriority w:val="0"/>
    <w:rPr>
      <w:rFonts w:eastAsia="宋体"/>
      <w:b/>
      <w:sz w:val="24"/>
      <w:lang w:val="en-US" w:eastAsia="zh-CN"/>
    </w:rPr>
  </w:style>
  <w:style w:type="character" w:customStyle="1" w:styleId="1559">
    <w:name w:val="电子邮件签名 Char"/>
    <w:qFormat/>
    <w:uiPriority w:val="0"/>
    <w:rPr>
      <w:rFonts w:ascii="Verdana" w:hAnsi="Verdana"/>
      <w:sz w:val="32"/>
    </w:rPr>
  </w:style>
  <w:style w:type="character" w:customStyle="1" w:styleId="1560">
    <w:name w:val="css1"/>
    <w:qFormat/>
    <w:uiPriority w:val="0"/>
    <w:rPr>
      <w:rFonts w:ascii="Arial Black" w:hAnsi="Arial Black" w:eastAsia="Times New Roman"/>
      <w:sz w:val="20"/>
      <w:u w:val="none"/>
      <w:lang w:val="en-US" w:eastAsia="en-US"/>
    </w:rPr>
  </w:style>
  <w:style w:type="character" w:customStyle="1" w:styleId="1561">
    <w:name w:val="bb1"/>
    <w:qFormat/>
    <w:uiPriority w:val="0"/>
    <w:rPr>
      <w:sz w:val="18"/>
    </w:rPr>
  </w:style>
  <w:style w:type="character" w:customStyle="1" w:styleId="1562">
    <w:name w:val="ln1"/>
    <w:qFormat/>
    <w:uiPriority w:val="0"/>
    <w:rPr>
      <w:rFonts w:ascii="Tahoma" w:hAnsi="Tahoma" w:eastAsia="Times New Roman"/>
      <w:color w:val="000000"/>
      <w:sz w:val="28"/>
      <w:u w:val="none"/>
      <w:lang w:val="en-US" w:eastAsia="en-US"/>
    </w:rPr>
  </w:style>
  <w:style w:type="character" w:customStyle="1" w:styleId="1563">
    <w:name w:val="表文 Char Char Char Char Char Char Char"/>
    <w:qFormat/>
    <w:uiPriority w:val="0"/>
    <w:rPr>
      <w:rFonts w:ascii="宋体" w:hAnsi="宋体" w:eastAsia="宋体"/>
      <w:sz w:val="21"/>
      <w:lang w:val="en-US" w:eastAsia="zh-CN"/>
    </w:rPr>
  </w:style>
  <w:style w:type="character" w:customStyle="1" w:styleId="1564">
    <w:name w:val="Heading 3 Char"/>
    <w:qFormat/>
    <w:uiPriority w:val="0"/>
    <w:rPr>
      <w:rFonts w:ascii="Times New Roman" w:hAnsi="Times New Roman"/>
      <w:b/>
      <w:kern w:val="2"/>
      <w:sz w:val="32"/>
    </w:rPr>
  </w:style>
  <w:style w:type="character" w:customStyle="1" w:styleId="1565">
    <w:name w:val="样式 标题 1章标题1.1 Char Char"/>
    <w:link w:val="1566"/>
    <w:qFormat/>
    <w:uiPriority w:val="0"/>
    <w:rPr>
      <w:b/>
      <w:kern w:val="44"/>
      <w:sz w:val="24"/>
    </w:rPr>
  </w:style>
  <w:style w:type="paragraph" w:customStyle="1" w:styleId="1566">
    <w:name w:val="样式 标题 1章标题1.1"/>
    <w:basedOn w:val="5"/>
    <w:link w:val="1565"/>
    <w:qFormat/>
    <w:uiPriority w:val="0"/>
    <w:pPr>
      <w:keepLines w:val="0"/>
      <w:widowControl/>
      <w:numPr>
        <w:numId w:val="0"/>
      </w:numPr>
      <w:adjustRightInd w:val="0"/>
      <w:snapToGrid w:val="0"/>
      <w:spacing w:before="0" w:after="0" w:line="360" w:lineRule="auto"/>
    </w:pPr>
    <w:rPr>
      <w:rFonts w:asciiTheme="minorHAnsi" w:hAnsiTheme="minorHAnsi"/>
      <w:bCs w:val="0"/>
      <w:sz w:val="24"/>
      <w:szCs w:val="22"/>
    </w:rPr>
  </w:style>
  <w:style w:type="character" w:customStyle="1" w:styleId="1567">
    <w:name w:val="Heading 1 Char"/>
    <w:qFormat/>
    <w:uiPriority w:val="0"/>
    <w:rPr>
      <w:rFonts w:ascii="Times New Roman" w:hAnsi="Times New Roman"/>
      <w:b/>
      <w:kern w:val="44"/>
      <w:sz w:val="44"/>
    </w:rPr>
  </w:style>
  <w:style w:type="character" w:customStyle="1" w:styleId="1568">
    <w:name w:val="pt9"/>
    <w:qFormat/>
    <w:uiPriority w:val="0"/>
    <w:rPr>
      <w:rFonts w:ascii="Arial Black" w:hAnsi="Arial Black" w:eastAsia="Times New Roman"/>
      <w:sz w:val="21"/>
      <w:lang w:val="en-US" w:eastAsia="en-US"/>
    </w:rPr>
  </w:style>
  <w:style w:type="character" w:customStyle="1" w:styleId="1569">
    <w:name w:val="正文（首行缩进两字） Char4"/>
    <w:qFormat/>
    <w:uiPriority w:val="0"/>
    <w:rPr>
      <w:rFonts w:ascii="Arial Black" w:hAnsi="Arial Black" w:eastAsia="Times New Roman"/>
      <w:kern w:val="2"/>
      <w:sz w:val="21"/>
      <w:lang w:val="en-US" w:eastAsia="zh-CN"/>
    </w:rPr>
  </w:style>
  <w:style w:type="character" w:customStyle="1" w:styleId="1570">
    <w:name w:val="表文字居中 Char Char"/>
    <w:link w:val="1571"/>
    <w:qFormat/>
    <w:uiPriority w:val="0"/>
    <w:rPr>
      <w:rFonts w:ascii="Courier New" w:hAnsi="Courier New" w:eastAsia="Times New Roman"/>
      <w:sz w:val="24"/>
    </w:rPr>
  </w:style>
  <w:style w:type="paragraph" w:customStyle="1" w:styleId="1571">
    <w:name w:val="表文字居中"/>
    <w:link w:val="1570"/>
    <w:qFormat/>
    <w:uiPriority w:val="0"/>
    <w:pPr>
      <w:adjustRightInd w:val="0"/>
      <w:spacing w:line="360" w:lineRule="auto"/>
      <w:jc w:val="center"/>
    </w:pPr>
    <w:rPr>
      <w:rFonts w:ascii="Courier New" w:hAnsi="Courier New" w:eastAsia="Times New Roman" w:cstheme="minorBidi"/>
      <w:kern w:val="2"/>
      <w:sz w:val="24"/>
      <w:szCs w:val="21"/>
      <w:lang w:val="en-US" w:eastAsia="zh-CN" w:bidi="ar-SA"/>
    </w:rPr>
  </w:style>
  <w:style w:type="character" w:customStyle="1" w:styleId="1572">
    <w:name w:val="p21"/>
    <w:qFormat/>
    <w:uiPriority w:val="0"/>
    <w:rPr>
      <w:rFonts w:ascii="Tahoma" w:hAnsi="Tahoma" w:eastAsia="Times New Roman"/>
      <w:color w:val="0000A0"/>
      <w:sz w:val="21"/>
      <w:lang w:val="en-US" w:eastAsia="en-US"/>
    </w:rPr>
  </w:style>
  <w:style w:type="character" w:customStyle="1" w:styleId="1573">
    <w:name w:val="style16 style57"/>
    <w:qFormat/>
    <w:uiPriority w:val="0"/>
    <w:rPr>
      <w:rFonts w:eastAsia="宋体" w:cs="Times New Roman"/>
      <w:kern w:val="2"/>
      <w:sz w:val="24"/>
      <w:szCs w:val="24"/>
      <w:lang w:val="en-US" w:eastAsia="zh-CN" w:bidi="ar-SA"/>
    </w:rPr>
  </w:style>
  <w:style w:type="character" w:customStyle="1" w:styleId="1574">
    <w:name w:val="infodetail"/>
    <w:qFormat/>
    <w:uiPriority w:val="0"/>
    <w:rPr>
      <w:rFonts w:eastAsia="宋体" w:cs="Times New Roman"/>
      <w:kern w:val="2"/>
      <w:sz w:val="24"/>
      <w:szCs w:val="24"/>
      <w:lang w:val="en-US" w:eastAsia="zh-CN" w:bidi="ar-SA"/>
    </w:rPr>
  </w:style>
  <w:style w:type="character" w:customStyle="1" w:styleId="1575">
    <w:name w:val="ttitle1"/>
    <w:qFormat/>
    <w:uiPriority w:val="0"/>
    <w:rPr>
      <w:spacing w:val="120"/>
      <w:sz w:val="21"/>
    </w:rPr>
  </w:style>
  <w:style w:type="character" w:customStyle="1" w:styleId="1576">
    <w:name w:val="样式 正文文本 + 红色 Char Char Char Char Char"/>
    <w:link w:val="1577"/>
    <w:qFormat/>
    <w:uiPriority w:val="0"/>
    <w:rPr>
      <w:rFonts w:ascii="仿宋_GB2312" w:hAnsi="仿宋_GB2312"/>
      <w:snapToGrid w:val="0"/>
      <w:color w:val="FF0000"/>
      <w:sz w:val="24"/>
    </w:rPr>
  </w:style>
  <w:style w:type="paragraph" w:customStyle="1" w:styleId="1577">
    <w:name w:val="样式 正文文本 + 红色 Char Char Char"/>
    <w:basedOn w:val="1"/>
    <w:link w:val="1576"/>
    <w:qFormat/>
    <w:uiPriority w:val="0"/>
    <w:pPr>
      <w:widowControl/>
      <w:adjustRightInd w:val="0"/>
      <w:snapToGrid w:val="0"/>
      <w:spacing w:before="60" w:after="60" w:line="264" w:lineRule="auto"/>
      <w:ind w:firstLine="200" w:firstLineChars="200"/>
      <w:jc w:val="left"/>
      <w:textAlignment w:val="baseline"/>
    </w:pPr>
    <w:rPr>
      <w:rFonts w:ascii="仿宋_GB2312" w:hAnsi="仿宋_GB2312"/>
      <w:snapToGrid w:val="0"/>
      <w:color w:val="FF0000"/>
      <w:sz w:val="24"/>
    </w:rPr>
  </w:style>
  <w:style w:type="character" w:customStyle="1" w:styleId="1578">
    <w:name w:val="结束语 Char"/>
    <w:qFormat/>
    <w:uiPriority w:val="0"/>
    <w:rPr>
      <w:rFonts w:ascii="仿宋_GB2312" w:eastAsia="仿宋_GB2312"/>
      <w:sz w:val="24"/>
    </w:rPr>
  </w:style>
  <w:style w:type="character" w:customStyle="1" w:styleId="1579">
    <w:name w:val="正文(首行缩进)宋旭峰 Char Char"/>
    <w:link w:val="1580"/>
    <w:qFormat/>
    <w:uiPriority w:val="0"/>
    <w:rPr>
      <w:rFonts w:ascii="仿宋_GB2312" w:eastAsia="仿宋_GB2312"/>
      <w:snapToGrid w:val="0"/>
      <w:sz w:val="24"/>
    </w:rPr>
  </w:style>
  <w:style w:type="paragraph" w:customStyle="1" w:styleId="1580">
    <w:name w:val="正文(首行缩进)宋旭峰"/>
    <w:basedOn w:val="23"/>
    <w:link w:val="1579"/>
    <w:qFormat/>
    <w:uiPriority w:val="0"/>
    <w:pPr>
      <w:widowControl/>
      <w:spacing w:beforeLines="50" w:afterLines="50"/>
      <w:ind w:firstLine="440"/>
      <w:jc w:val="left"/>
    </w:pPr>
    <w:rPr>
      <w:rFonts w:ascii="仿宋_GB2312" w:eastAsia="仿宋_GB2312" w:hAnsiTheme="minorHAnsi" w:cstheme="minorBidi"/>
      <w:snapToGrid w:val="0"/>
      <w:szCs w:val="22"/>
    </w:rPr>
  </w:style>
  <w:style w:type="character" w:customStyle="1" w:styleId="1581">
    <w:name w:val="表号 Char1"/>
    <w:qFormat/>
    <w:uiPriority w:val="0"/>
    <w:rPr>
      <w:rFonts w:ascii="楷体" w:hAnsi="Arial Black" w:eastAsia="楷体"/>
      <w:sz w:val="21"/>
      <w:lang w:val="en-US" w:eastAsia="zh-CN"/>
    </w:rPr>
  </w:style>
  <w:style w:type="character" w:customStyle="1" w:styleId="1582">
    <w:name w:val="Plain Text Char"/>
    <w:qFormat/>
    <w:uiPriority w:val="0"/>
    <w:rPr>
      <w:rFonts w:ascii="宋体" w:hAnsi="Courier New"/>
      <w:kern w:val="2"/>
      <w:sz w:val="21"/>
    </w:rPr>
  </w:style>
  <w:style w:type="character" w:customStyle="1" w:styleId="1583">
    <w:name w:val="表内文字 Char Char Char Char"/>
    <w:qFormat/>
    <w:uiPriority w:val="0"/>
    <w:rPr>
      <w:rFonts w:ascii="Verdana" w:hAnsi="MHei-Medium" w:eastAsia="Times New Roman"/>
      <w:kern w:val="2"/>
      <w:sz w:val="21"/>
      <w:lang w:val="en-US" w:eastAsia="zh-CN"/>
    </w:rPr>
  </w:style>
  <w:style w:type="character" w:customStyle="1" w:styleId="1584">
    <w:name w:val="文本 Char Char Char"/>
    <w:qFormat/>
    <w:uiPriority w:val="0"/>
    <w:rPr>
      <w:rFonts w:ascii="Arial Black" w:hAnsi="Arial Black" w:eastAsia="Times New Roman"/>
      <w:kern w:val="2"/>
      <w:sz w:val="21"/>
      <w:lang w:val="en-US" w:eastAsia="zh-CN"/>
    </w:rPr>
  </w:style>
  <w:style w:type="character" w:customStyle="1" w:styleId="1585">
    <w:name w:val="word16b1"/>
    <w:qFormat/>
    <w:uiPriority w:val="0"/>
    <w:rPr>
      <w:rFonts w:ascii="Courier New" w:hAnsi="Courier New" w:eastAsia="Times New Roman"/>
      <w:b/>
      <w:spacing w:val="15"/>
      <w:sz w:val="24"/>
      <w:lang w:val="en-US" w:eastAsia="en-US"/>
    </w:rPr>
  </w:style>
  <w:style w:type="character" w:customStyle="1" w:styleId="1586">
    <w:name w:val="样式 标题 1章标题 11.1标题 1HTS 1H1Heading 11level 1Level 1 Head章... Char Char"/>
    <w:link w:val="1587"/>
    <w:qFormat/>
    <w:uiPriority w:val="0"/>
    <w:rPr>
      <w:b/>
      <w:snapToGrid w:val="0"/>
      <w:color w:val="0000FF"/>
      <w:sz w:val="32"/>
    </w:rPr>
  </w:style>
  <w:style w:type="paragraph" w:customStyle="1" w:styleId="1587">
    <w:name w:val="样式 标题 1章标题 11.1标题 1HTS 1H1Heading 11level 1Level 1 Head章..."/>
    <w:basedOn w:val="5"/>
    <w:link w:val="1586"/>
    <w:qFormat/>
    <w:uiPriority w:val="0"/>
    <w:pPr>
      <w:widowControl/>
      <w:numPr>
        <w:numId w:val="0"/>
      </w:numPr>
      <w:adjustRightInd w:val="0"/>
      <w:snapToGrid w:val="0"/>
      <w:spacing w:before="0" w:after="0" w:line="480" w:lineRule="auto"/>
      <w:jc w:val="left"/>
    </w:pPr>
    <w:rPr>
      <w:rFonts w:asciiTheme="minorHAnsi" w:hAnsiTheme="minorHAnsi"/>
      <w:bCs w:val="0"/>
      <w:snapToGrid w:val="0"/>
      <w:color w:val="0000FF"/>
      <w:kern w:val="2"/>
      <w:szCs w:val="22"/>
    </w:rPr>
  </w:style>
  <w:style w:type="character" w:customStyle="1" w:styleId="1588">
    <w:name w:val="样式 表标8.2 + 黑体 四号 Char Char"/>
    <w:link w:val="1589"/>
    <w:qFormat/>
    <w:uiPriority w:val="0"/>
    <w:rPr>
      <w:rFonts w:ascii="黑体" w:hAnsi="黑体" w:eastAsia="黑体"/>
      <w:b/>
      <w:color w:val="000000"/>
      <w:sz w:val="28"/>
    </w:rPr>
  </w:style>
  <w:style w:type="paragraph" w:customStyle="1" w:styleId="1589">
    <w:name w:val="样式 表标8.2 + 黑体 四号"/>
    <w:basedOn w:val="1"/>
    <w:link w:val="1588"/>
    <w:qFormat/>
    <w:uiPriority w:val="0"/>
    <w:pPr>
      <w:widowControl/>
      <w:tabs>
        <w:tab w:val="left" w:pos="360"/>
        <w:tab w:val="left" w:pos="930"/>
        <w:tab w:val="left" w:pos="8207"/>
      </w:tabs>
      <w:adjustRightInd w:val="0"/>
      <w:snapToGrid w:val="0"/>
      <w:spacing w:before="120" w:line="240" w:lineRule="atLeast"/>
      <w:ind w:left="930"/>
      <w:jc w:val="center"/>
      <w:textAlignment w:val="baseline"/>
    </w:pPr>
    <w:rPr>
      <w:rFonts w:ascii="黑体" w:hAnsi="黑体" w:eastAsia="黑体"/>
      <w:b/>
      <w:color w:val="000000"/>
      <w:sz w:val="28"/>
    </w:rPr>
  </w:style>
  <w:style w:type="character" w:customStyle="1" w:styleId="1590">
    <w:name w:val="p101"/>
    <w:qFormat/>
    <w:uiPriority w:val="0"/>
    <w:rPr>
      <w:rFonts w:ascii="Arial Black" w:hAnsi="Arial Black" w:eastAsia="Times New Roman"/>
      <w:sz w:val="21"/>
      <w:u w:val="none"/>
      <w:lang w:val="en-US" w:eastAsia="en-US"/>
    </w:rPr>
  </w:style>
  <w:style w:type="character" w:customStyle="1" w:styleId="1591">
    <w:name w:val="zw1"/>
    <w:qFormat/>
    <w:uiPriority w:val="0"/>
    <w:rPr>
      <w:rFonts w:ascii="宋体" w:hAnsi="宋体" w:eastAsia="宋体"/>
      <w:sz w:val="22"/>
    </w:rPr>
  </w:style>
  <w:style w:type="character" w:customStyle="1" w:styleId="1592">
    <w:name w:val="Heading 6 Char"/>
    <w:qFormat/>
    <w:uiPriority w:val="0"/>
    <w:rPr>
      <w:rFonts w:ascii="Arial" w:hAnsi="Arial" w:eastAsia="黑体"/>
      <w:b/>
      <w:sz w:val="24"/>
    </w:rPr>
  </w:style>
  <w:style w:type="character" w:customStyle="1" w:styleId="1593">
    <w:name w:val="lineheight1501"/>
    <w:qFormat/>
    <w:uiPriority w:val="0"/>
    <w:rPr>
      <w:rFonts w:eastAsia="宋体" w:cs="Times New Roman"/>
      <w:kern w:val="2"/>
      <w:sz w:val="24"/>
      <w:szCs w:val="24"/>
      <w:lang w:val="en-US" w:eastAsia="zh-CN" w:bidi="ar-SA"/>
    </w:rPr>
  </w:style>
  <w:style w:type="character" w:customStyle="1" w:styleId="1594">
    <w:name w:val="zy"/>
    <w:qFormat/>
    <w:uiPriority w:val="0"/>
    <w:rPr>
      <w:rFonts w:ascii="Arial Black" w:hAnsi="Arial Black" w:eastAsia="Times New Roman"/>
      <w:sz w:val="21"/>
      <w:lang w:val="en-US" w:eastAsia="en-US"/>
    </w:rPr>
  </w:style>
  <w:style w:type="character" w:customStyle="1" w:styleId="1595">
    <w:name w:val="样式 (符号) 宋体 13 磅"/>
    <w:qFormat/>
    <w:uiPriority w:val="0"/>
    <w:rPr>
      <w:rFonts w:ascii="宋体" w:eastAsia="宋体"/>
      <w:sz w:val="27"/>
    </w:rPr>
  </w:style>
  <w:style w:type="character" w:customStyle="1" w:styleId="1596">
    <w:name w:val="标准条文 Char Char"/>
    <w:link w:val="1597"/>
    <w:qFormat/>
    <w:uiPriority w:val="0"/>
    <w:rPr>
      <w:rFonts w:eastAsia="Times New Roman"/>
    </w:rPr>
  </w:style>
  <w:style w:type="paragraph" w:customStyle="1" w:styleId="1597">
    <w:name w:val="标准条文"/>
    <w:link w:val="1596"/>
    <w:qFormat/>
    <w:uiPriority w:val="0"/>
    <w:pPr>
      <w:spacing w:beforeLines="20" w:afterLines="20"/>
      <w:ind w:firstLine="200" w:firstLineChars="200"/>
    </w:pPr>
    <w:rPr>
      <w:rFonts w:eastAsia="Times New Roman" w:asciiTheme="minorHAnsi" w:hAnsiTheme="minorHAnsi" w:cstheme="minorBidi"/>
      <w:kern w:val="2"/>
      <w:sz w:val="21"/>
      <w:szCs w:val="21"/>
      <w:lang w:val="en-US" w:eastAsia="zh-CN" w:bidi="ar-SA"/>
    </w:rPr>
  </w:style>
  <w:style w:type="character" w:customStyle="1" w:styleId="1598">
    <w:name w:val="图1-1 Char Char"/>
    <w:qFormat/>
    <w:uiPriority w:val="0"/>
    <w:rPr>
      <w:rFonts w:eastAsia="宋体"/>
      <w:b/>
      <w:spacing w:val="12"/>
      <w:w w:val="90"/>
      <w:kern w:val="2"/>
      <w:sz w:val="24"/>
      <w:lang w:val="en-US" w:eastAsia="zh-CN"/>
    </w:rPr>
  </w:style>
  <w:style w:type="character" w:customStyle="1" w:styleId="1599">
    <w:name w:val="蒲标题3 Char Char"/>
    <w:link w:val="1600"/>
    <w:qFormat/>
    <w:uiPriority w:val="0"/>
    <w:rPr>
      <w:snapToGrid w:val="0"/>
      <w:color w:val="000000"/>
      <w:sz w:val="24"/>
    </w:rPr>
  </w:style>
  <w:style w:type="paragraph" w:customStyle="1" w:styleId="1600">
    <w:name w:val="蒲标题3"/>
    <w:basedOn w:val="7"/>
    <w:link w:val="1599"/>
    <w:qFormat/>
    <w:uiPriority w:val="0"/>
    <w:pPr>
      <w:keepLines w:val="0"/>
      <w:widowControl/>
      <w:numPr>
        <w:ilvl w:val="0"/>
        <w:numId w:val="0"/>
      </w:numPr>
      <w:autoSpaceDE w:val="0"/>
      <w:autoSpaceDN w:val="0"/>
      <w:adjustRightInd w:val="0"/>
      <w:snapToGrid w:val="0"/>
      <w:spacing w:before="0" w:after="0" w:line="360" w:lineRule="auto"/>
      <w:outlineLvl w:val="0"/>
    </w:pPr>
    <w:rPr>
      <w:rFonts w:asciiTheme="minorHAnsi" w:hAnsiTheme="minorHAnsi"/>
      <w:b w:val="0"/>
      <w:bCs w:val="0"/>
      <w:snapToGrid w:val="0"/>
      <w:color w:val="000000"/>
      <w:szCs w:val="22"/>
    </w:rPr>
  </w:style>
  <w:style w:type="character" w:customStyle="1" w:styleId="1601">
    <w:name w:val="上标"/>
    <w:qFormat/>
    <w:uiPriority w:val="0"/>
    <w:rPr>
      <w:vertAlign w:val="superscript"/>
    </w:rPr>
  </w:style>
  <w:style w:type="character" w:customStyle="1" w:styleId="1602">
    <w:name w:val="11p1"/>
    <w:qFormat/>
    <w:uiPriority w:val="0"/>
    <w:rPr>
      <w:rFonts w:ascii="Arial Black" w:hAnsi="Arial Black" w:eastAsia="Times New Roman"/>
      <w:sz w:val="23"/>
      <w:lang w:val="en-US" w:eastAsia="en-US"/>
    </w:rPr>
  </w:style>
  <w:style w:type="character" w:customStyle="1" w:styleId="1603">
    <w:name w:val="1正文段落 Char Char"/>
    <w:link w:val="1604"/>
    <w:qFormat/>
    <w:uiPriority w:val="0"/>
    <w:rPr>
      <w:rFonts w:ascii="仿宋_GB2312" w:eastAsia="仿宋_GB2312"/>
      <w:snapToGrid w:val="0"/>
      <w:sz w:val="24"/>
    </w:rPr>
  </w:style>
  <w:style w:type="paragraph" w:customStyle="1" w:styleId="1604">
    <w:name w:val="1正文段落"/>
    <w:basedOn w:val="1"/>
    <w:link w:val="1603"/>
    <w:qFormat/>
    <w:uiPriority w:val="0"/>
    <w:pPr>
      <w:widowControl/>
      <w:ind w:firstLine="200" w:firstLineChars="200"/>
      <w:jc w:val="left"/>
    </w:pPr>
    <w:rPr>
      <w:rFonts w:ascii="仿宋_GB2312" w:eastAsia="仿宋_GB2312"/>
      <w:snapToGrid w:val="0"/>
      <w:sz w:val="24"/>
    </w:rPr>
  </w:style>
  <w:style w:type="character" w:customStyle="1" w:styleId="1605">
    <w:name w:val="规划正文样式 Char Char"/>
    <w:qFormat/>
    <w:uiPriority w:val="0"/>
    <w:rPr>
      <w:rFonts w:ascii="Arial Black" w:hAnsi="Arial Black" w:eastAsia="Times New Roman"/>
      <w:kern w:val="2"/>
      <w:sz w:val="24"/>
      <w:lang w:val="en-US" w:eastAsia="zh-CN"/>
    </w:rPr>
  </w:style>
  <w:style w:type="character" w:customStyle="1" w:styleId="1606">
    <w:name w:val="泸县焦化正文 Char Char"/>
    <w:link w:val="1607"/>
    <w:qFormat/>
    <w:uiPriority w:val="0"/>
    <w:rPr>
      <w:color w:val="0000FF"/>
      <w:sz w:val="24"/>
    </w:rPr>
  </w:style>
  <w:style w:type="paragraph" w:customStyle="1" w:styleId="1607">
    <w:name w:val="泸县焦化正文"/>
    <w:basedOn w:val="1"/>
    <w:next w:val="1"/>
    <w:link w:val="1606"/>
    <w:qFormat/>
    <w:uiPriority w:val="0"/>
    <w:pPr>
      <w:widowControl/>
      <w:adjustRightInd w:val="0"/>
      <w:snapToGrid w:val="0"/>
      <w:ind w:firstLine="200" w:firstLineChars="200"/>
      <w:jc w:val="left"/>
    </w:pPr>
    <w:rPr>
      <w:color w:val="0000FF"/>
      <w:sz w:val="24"/>
    </w:rPr>
  </w:style>
  <w:style w:type="character" w:customStyle="1" w:styleId="1608">
    <w:name w:val="f141"/>
    <w:qFormat/>
    <w:uiPriority w:val="0"/>
    <w:rPr>
      <w:sz w:val="21"/>
    </w:rPr>
  </w:style>
  <w:style w:type="character" w:customStyle="1" w:styleId="1609">
    <w:name w:val="表体 Char Char"/>
    <w:qFormat/>
    <w:uiPriority w:val="0"/>
    <w:rPr>
      <w:rFonts w:ascii="Times New Roman" w:hAnsi="Times New Roman"/>
      <w:color w:val="000080"/>
      <w:kern w:val="2"/>
      <w:sz w:val="24"/>
    </w:rPr>
  </w:style>
  <w:style w:type="character" w:customStyle="1" w:styleId="1610">
    <w:name w:val="称呼 Char"/>
    <w:qFormat/>
    <w:uiPriority w:val="0"/>
    <w:rPr>
      <w:sz w:val="24"/>
    </w:rPr>
  </w:style>
  <w:style w:type="character" w:customStyle="1" w:styleId="1611">
    <w:name w:val="样式 德胜正文 + ?? Chaˎ̥ Cha"/>
    <w:link w:val="1612"/>
    <w:qFormat/>
    <w:uiPriority w:val="0"/>
    <w:rPr>
      <w:snapToGrid w:val="0"/>
      <w:color w:val="0000FF"/>
      <w:sz w:val="24"/>
    </w:rPr>
  </w:style>
  <w:style w:type="paragraph" w:customStyle="1" w:styleId="1612">
    <w:name w:val="样式 德胜正文 + ??"/>
    <w:basedOn w:val="1518"/>
    <w:link w:val="1611"/>
    <w:qFormat/>
    <w:uiPriority w:val="0"/>
  </w:style>
  <w:style w:type="character" w:customStyle="1" w:styleId="1613">
    <w:name w:val="蒲正文 Char Char"/>
    <w:link w:val="1614"/>
    <w:qFormat/>
    <w:uiPriority w:val="0"/>
    <w:rPr>
      <w:sz w:val="24"/>
    </w:rPr>
  </w:style>
  <w:style w:type="paragraph" w:customStyle="1" w:styleId="1614">
    <w:name w:val="蒲正文"/>
    <w:basedOn w:val="1"/>
    <w:link w:val="1613"/>
    <w:qFormat/>
    <w:uiPriority w:val="0"/>
    <w:pPr>
      <w:widowControl/>
      <w:adjustRightInd w:val="0"/>
      <w:snapToGrid w:val="0"/>
      <w:spacing w:line="240" w:lineRule="auto"/>
      <w:jc w:val="center"/>
    </w:pPr>
    <w:rPr>
      <w:sz w:val="24"/>
    </w:rPr>
  </w:style>
  <w:style w:type="character" w:customStyle="1" w:styleId="1615">
    <w:name w:val="表标 Char"/>
    <w:qFormat/>
    <w:uiPriority w:val="0"/>
    <w:rPr>
      <w:rFonts w:eastAsia="宋体"/>
      <w:kern w:val="2"/>
      <w:sz w:val="18"/>
      <w:lang w:val="en-US" w:eastAsia="zh-CN"/>
    </w:rPr>
  </w:style>
  <w:style w:type="character" w:customStyle="1" w:styleId="1616">
    <w:name w:val="info"/>
    <w:qFormat/>
    <w:uiPriority w:val="0"/>
    <w:rPr>
      <w:rFonts w:ascii="Arial Black" w:hAnsi="Arial Black" w:eastAsia="Times New Roman"/>
      <w:sz w:val="21"/>
      <w:lang w:val="en-US" w:eastAsia="en-US"/>
    </w:rPr>
  </w:style>
  <w:style w:type="character" w:customStyle="1" w:styleId="1617">
    <w:name w:val="Heading 5 Char"/>
    <w:qFormat/>
    <w:uiPriority w:val="0"/>
    <w:rPr>
      <w:rFonts w:ascii="Times New Roman" w:hAnsi="Times New Roman"/>
      <w:b/>
      <w:sz w:val="24"/>
    </w:rPr>
  </w:style>
  <w:style w:type="character" w:customStyle="1" w:styleId="1618">
    <w:name w:val="Footnote Text Char"/>
    <w:qFormat/>
    <w:uiPriority w:val="0"/>
    <w:rPr>
      <w:rFonts w:ascii="Times New Roman" w:hAnsi="Times New Roman"/>
      <w:sz w:val="16"/>
      <w:lang w:val="en-US" w:eastAsia="zh-CN"/>
    </w:rPr>
  </w:style>
  <w:style w:type="character" w:customStyle="1" w:styleId="1619">
    <w:name w:val="Heading 8 Char"/>
    <w:qFormat/>
    <w:uiPriority w:val="0"/>
    <w:rPr>
      <w:rFonts w:ascii="Arial" w:hAnsi="Arial" w:eastAsia="黑体"/>
      <w:sz w:val="24"/>
    </w:rPr>
  </w:style>
  <w:style w:type="character" w:customStyle="1" w:styleId="1620">
    <w:name w:val="menu1"/>
    <w:qFormat/>
    <w:uiPriority w:val="0"/>
    <w:rPr>
      <w:rFonts w:eastAsia="宋体" w:cs="Times New Roman"/>
      <w:kern w:val="2"/>
      <w:sz w:val="24"/>
      <w:szCs w:val="24"/>
      <w:lang w:val="en-US" w:eastAsia="zh-CN" w:bidi="ar-SA"/>
    </w:rPr>
  </w:style>
  <w:style w:type="character" w:customStyle="1" w:styleId="1621">
    <w:name w:val="bt21"/>
    <w:qFormat/>
    <w:uiPriority w:val="0"/>
    <w:rPr>
      <w:rFonts w:ascii="黑体" w:eastAsia="黑体"/>
      <w:sz w:val="24"/>
    </w:rPr>
  </w:style>
  <w:style w:type="character" w:customStyle="1" w:styleId="1622">
    <w:name w:val="正文（首行缩进两字） Char Char Char Char Char Char Char Char"/>
    <w:qFormat/>
    <w:uiPriority w:val="0"/>
    <w:rPr>
      <w:rFonts w:eastAsia="宋体"/>
      <w:kern w:val="2"/>
      <w:sz w:val="21"/>
      <w:lang w:val="en-US" w:eastAsia="zh-CN"/>
    </w:rPr>
  </w:style>
  <w:style w:type="character" w:customStyle="1" w:styleId="1623">
    <w:name w:val="正文文字1 Char Char"/>
    <w:qFormat/>
    <w:uiPriority w:val="0"/>
    <w:rPr>
      <w:rFonts w:eastAsia="华文中宋"/>
      <w:kern w:val="2"/>
      <w:sz w:val="24"/>
      <w:lang w:val="en-US" w:eastAsia="zh-CN"/>
    </w:rPr>
  </w:style>
  <w:style w:type="character" w:customStyle="1" w:styleId="1624">
    <w:name w:val="正文 Char Char"/>
    <w:qFormat/>
    <w:uiPriority w:val="0"/>
    <w:rPr>
      <w:rFonts w:eastAsia="宋体"/>
      <w:kern w:val="2"/>
      <w:sz w:val="24"/>
      <w:lang w:val="en-US" w:eastAsia="zh-CN"/>
    </w:rPr>
  </w:style>
  <w:style w:type="character" w:customStyle="1" w:styleId="1625">
    <w:name w:val="报告表正文 Char Char"/>
    <w:qFormat/>
    <w:uiPriority w:val="0"/>
    <w:rPr>
      <w:rFonts w:ascii="Times New Roman" w:hAnsi="Times New Roman"/>
      <w:sz w:val="24"/>
    </w:rPr>
  </w:style>
  <w:style w:type="character" w:customStyle="1" w:styleId="1626">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1627">
    <w:name w:val="highlight1"/>
    <w:qFormat/>
    <w:uiPriority w:val="0"/>
    <w:rPr>
      <w:sz w:val="21"/>
    </w:rPr>
  </w:style>
  <w:style w:type="character" w:customStyle="1" w:styleId="1628">
    <w:name w:val="white"/>
    <w:qFormat/>
    <w:uiPriority w:val="0"/>
    <w:rPr>
      <w:rFonts w:ascii="Arial Black" w:hAnsi="Arial Black" w:eastAsia="Times New Roman"/>
      <w:sz w:val="21"/>
      <w:lang w:val="en-US" w:eastAsia="en-US"/>
    </w:rPr>
  </w:style>
  <w:style w:type="character" w:customStyle="1" w:styleId="1629">
    <w:name w:val="edri-A title Char1 Char Char"/>
    <w:qFormat/>
    <w:uiPriority w:val="0"/>
    <w:rPr>
      <w:rFonts w:ascii="Arial Black" w:hAnsi="Arial Black" w:eastAsia="Times New Roman"/>
      <w:sz w:val="24"/>
      <w:lang w:val="en-US" w:eastAsia="zh-CN"/>
    </w:rPr>
  </w:style>
  <w:style w:type="character" w:customStyle="1" w:styleId="1630">
    <w:name w:val="Heading 4 Char"/>
    <w:qFormat/>
    <w:uiPriority w:val="0"/>
    <w:rPr>
      <w:rFonts w:ascii="Arial" w:hAnsi="Arial" w:eastAsia="黑体"/>
      <w:b/>
      <w:sz w:val="28"/>
    </w:rPr>
  </w:style>
  <w:style w:type="character" w:customStyle="1" w:styleId="1631">
    <w:name w:val="14p"/>
    <w:qFormat/>
    <w:uiPriority w:val="0"/>
    <w:rPr>
      <w:rFonts w:ascii="Arial Black" w:hAnsi="Arial Black" w:eastAsia="Times New Roman"/>
      <w:sz w:val="21"/>
      <w:lang w:val="en-US" w:eastAsia="en-US"/>
    </w:rPr>
  </w:style>
  <w:style w:type="character" w:customStyle="1" w:styleId="1632">
    <w:name w:val="Heading 9 Char"/>
    <w:qFormat/>
    <w:uiPriority w:val="0"/>
    <w:rPr>
      <w:rFonts w:ascii="Arial" w:hAnsi="Arial" w:eastAsia="黑体"/>
    </w:rPr>
  </w:style>
  <w:style w:type="character" w:customStyle="1" w:styleId="1633">
    <w:name w:val="Body Text 2 Char"/>
    <w:qFormat/>
    <w:uiPriority w:val="0"/>
    <w:rPr>
      <w:rFonts w:ascii="Times New Roman" w:hAnsi="Times New Roman"/>
      <w:kern w:val="2"/>
      <w:sz w:val="24"/>
    </w:rPr>
  </w:style>
  <w:style w:type="character" w:customStyle="1" w:styleId="1634">
    <w:name w:val="样式 标题 1 cg Char Char"/>
    <w:link w:val="1635"/>
    <w:qFormat/>
    <w:uiPriority w:val="0"/>
    <w:rPr>
      <w:b/>
      <w:color w:val="0000FF"/>
      <w:kern w:val="44"/>
      <w:sz w:val="30"/>
    </w:rPr>
  </w:style>
  <w:style w:type="paragraph" w:customStyle="1" w:styleId="1635">
    <w:name w:val="样式 标题 1 cg"/>
    <w:basedOn w:val="5"/>
    <w:link w:val="1634"/>
    <w:qFormat/>
    <w:uiPriority w:val="0"/>
    <w:pPr>
      <w:keepLines w:val="0"/>
      <w:widowControl/>
      <w:numPr>
        <w:numId w:val="0"/>
      </w:numPr>
      <w:spacing w:before="0" w:after="0" w:line="360" w:lineRule="auto"/>
      <w:jc w:val="left"/>
    </w:pPr>
    <w:rPr>
      <w:rFonts w:asciiTheme="minorHAnsi" w:hAnsiTheme="minorHAnsi"/>
      <w:bCs w:val="0"/>
      <w:color w:val="0000FF"/>
      <w:sz w:val="30"/>
      <w:szCs w:val="22"/>
    </w:rPr>
  </w:style>
  <w:style w:type="character" w:customStyle="1" w:styleId="1636">
    <w:name w:val="style3"/>
    <w:qFormat/>
    <w:uiPriority w:val="0"/>
    <w:rPr>
      <w:rFonts w:ascii="Arial Black" w:hAnsi="Arial Black" w:eastAsia="Times New Roman"/>
      <w:sz w:val="21"/>
      <w:lang w:val="en-US" w:eastAsia="en-US"/>
    </w:rPr>
  </w:style>
  <w:style w:type="character" w:customStyle="1" w:styleId="1637">
    <w:name w:val="content1"/>
    <w:qFormat/>
    <w:uiPriority w:val="0"/>
    <w:rPr>
      <w:rFonts w:ascii="宋体" w:hAnsi="宋体" w:eastAsia="宋体"/>
      <w:color w:val="333333"/>
      <w:sz w:val="21"/>
    </w:rPr>
  </w:style>
  <w:style w:type="character" w:customStyle="1" w:styleId="1638">
    <w:name w:val="9dpi1"/>
    <w:qFormat/>
    <w:uiPriority w:val="0"/>
    <w:rPr>
      <w:rFonts w:ascii="Arial Black" w:hAnsi="Arial Black" w:eastAsia="Times New Roman"/>
      <w:spacing w:val="30"/>
      <w:sz w:val="18"/>
      <w:lang w:val="en-US" w:eastAsia="en-US"/>
    </w:rPr>
  </w:style>
  <w:style w:type="character" w:customStyle="1" w:styleId="1639">
    <w:name w:val="model11"/>
    <w:qFormat/>
    <w:uiPriority w:val="0"/>
    <w:rPr>
      <w:rFonts w:ascii="Verdana" w:hAnsi="Verdana" w:eastAsia="Times New Roman"/>
      <w:sz w:val="18"/>
      <w:u w:val="none"/>
      <w:lang w:val="en-US" w:eastAsia="en-US"/>
    </w:rPr>
  </w:style>
  <w:style w:type="character" w:customStyle="1" w:styleId="1640">
    <w:name w:val="bt Char1"/>
    <w:qFormat/>
    <w:uiPriority w:val="0"/>
    <w:rPr>
      <w:rFonts w:ascii="宋体" w:hAnsi="宋体" w:eastAsia="宋体"/>
      <w:kern w:val="2"/>
      <w:sz w:val="24"/>
      <w:lang w:val="en-US" w:eastAsia="zh-CN"/>
    </w:rPr>
  </w:style>
  <w:style w:type="character" w:customStyle="1" w:styleId="1641">
    <w:name w:val="style201"/>
    <w:qFormat/>
    <w:uiPriority w:val="0"/>
    <w:rPr>
      <w:rFonts w:ascii="Arial Black" w:hAnsi="Arial Black" w:eastAsia="Times New Roman"/>
      <w:color w:val="000000"/>
      <w:sz w:val="24"/>
      <w:lang w:val="en-US" w:eastAsia="en-US"/>
    </w:rPr>
  </w:style>
  <w:style w:type="character" w:customStyle="1" w:styleId="1642">
    <w:name w:val="攀成钢正文 Char Char"/>
    <w:link w:val="1643"/>
    <w:qFormat/>
    <w:uiPriority w:val="0"/>
    <w:rPr>
      <w:snapToGrid w:val="0"/>
      <w:color w:val="008000"/>
      <w:sz w:val="24"/>
    </w:rPr>
  </w:style>
  <w:style w:type="paragraph" w:customStyle="1" w:styleId="1643">
    <w:name w:val="攀成钢正文"/>
    <w:basedOn w:val="1"/>
    <w:link w:val="1642"/>
    <w:qFormat/>
    <w:uiPriority w:val="0"/>
    <w:pPr>
      <w:widowControl/>
      <w:ind w:firstLine="200" w:firstLineChars="200"/>
      <w:jc w:val="left"/>
    </w:pPr>
    <w:rPr>
      <w:snapToGrid w:val="0"/>
      <w:color w:val="008000"/>
      <w:sz w:val="24"/>
    </w:rPr>
  </w:style>
  <w:style w:type="character" w:customStyle="1" w:styleId="1644">
    <w:name w:val="标准文本 首行缩进: 2 字符 行距: 单倍 Char Char"/>
    <w:link w:val="1645"/>
    <w:qFormat/>
    <w:uiPriority w:val="0"/>
    <w:rPr>
      <w:rFonts w:ascii="仿宋_GB2312" w:eastAsia="仿宋_GB2312"/>
      <w:sz w:val="24"/>
    </w:rPr>
  </w:style>
  <w:style w:type="paragraph" w:customStyle="1" w:styleId="1645">
    <w:name w:val="标准文本 首行缩进: 2 字符 行距: 单倍"/>
    <w:basedOn w:val="1"/>
    <w:link w:val="1644"/>
    <w:qFormat/>
    <w:uiPriority w:val="0"/>
    <w:pPr>
      <w:widowControl/>
      <w:adjustRightInd w:val="0"/>
      <w:snapToGrid w:val="0"/>
      <w:spacing w:line="240" w:lineRule="auto"/>
      <w:ind w:firstLine="480" w:firstLineChars="200"/>
      <w:jc w:val="left"/>
      <w:textAlignment w:val="baseline"/>
    </w:pPr>
    <w:rPr>
      <w:rFonts w:ascii="仿宋_GB2312" w:eastAsia="仿宋_GB2312"/>
      <w:sz w:val="24"/>
    </w:rPr>
  </w:style>
  <w:style w:type="character" w:customStyle="1" w:styleId="1646">
    <w:name w:val="title41"/>
    <w:qFormat/>
    <w:uiPriority w:val="0"/>
    <w:rPr>
      <w:rFonts w:ascii="Verdana" w:hAnsi="Verdana" w:eastAsia="Times New Roman"/>
      <w:color w:val="FF6600"/>
      <w:sz w:val="36"/>
      <w:lang w:val="en-US" w:eastAsia="en-US"/>
    </w:rPr>
  </w:style>
  <w:style w:type="character" w:customStyle="1" w:styleId="1647">
    <w:name w:val="可研-标题 9 Char"/>
    <w:qFormat/>
    <w:uiPriority w:val="0"/>
    <w:rPr>
      <w:rFonts w:ascii="Arial" w:hAnsi="Arial" w:eastAsia="黑体"/>
      <w:sz w:val="24"/>
      <w:lang w:val="en-US" w:eastAsia="zh-CN"/>
    </w:rPr>
  </w:style>
  <w:style w:type="character" w:customStyle="1" w:styleId="1648">
    <w:name w:val="样式 正文文本 + (中文) 黑体 红色 Char Char Char Char Char"/>
    <w:link w:val="1649"/>
    <w:qFormat/>
    <w:uiPriority w:val="0"/>
    <w:rPr>
      <w:rFonts w:ascii="仿宋_GB2312" w:hAnsi="仿宋_GB2312" w:eastAsia="楷体"/>
      <w:snapToGrid w:val="0"/>
      <w:color w:val="FF0000"/>
      <w:sz w:val="24"/>
    </w:rPr>
  </w:style>
  <w:style w:type="paragraph" w:customStyle="1" w:styleId="1649">
    <w:name w:val="样式 正文文本 + (中文) 黑体 红色 Char Char Char"/>
    <w:basedOn w:val="1"/>
    <w:link w:val="1648"/>
    <w:qFormat/>
    <w:uiPriority w:val="0"/>
    <w:pPr>
      <w:widowControl/>
      <w:adjustRightInd w:val="0"/>
      <w:snapToGrid w:val="0"/>
      <w:spacing w:before="60" w:after="60" w:line="264" w:lineRule="auto"/>
      <w:ind w:firstLine="200" w:firstLineChars="200"/>
      <w:jc w:val="left"/>
      <w:textAlignment w:val="baseline"/>
    </w:pPr>
    <w:rPr>
      <w:rFonts w:ascii="仿宋_GB2312" w:hAnsi="仿宋_GB2312" w:eastAsia="楷体"/>
      <w:snapToGrid w:val="0"/>
      <w:color w:val="FF0000"/>
      <w:sz w:val="24"/>
    </w:rPr>
  </w:style>
  <w:style w:type="character" w:customStyle="1" w:styleId="1650">
    <w:name w:val="redfont"/>
    <w:qFormat/>
    <w:uiPriority w:val="0"/>
    <w:rPr>
      <w:rFonts w:ascii="Verdana" w:hAnsi="Verdana" w:eastAsia="楷体"/>
      <w:kern w:val="2"/>
      <w:sz w:val="24"/>
      <w:lang w:val="en-US" w:eastAsia="zh-CN"/>
    </w:rPr>
  </w:style>
  <w:style w:type="character" w:customStyle="1" w:styleId="1651">
    <w:name w:val="德胜空行 Char Char"/>
    <w:link w:val="1652"/>
    <w:qFormat/>
    <w:uiPriority w:val="0"/>
    <w:rPr>
      <w:snapToGrid w:val="0"/>
      <w:color w:val="0000FF"/>
    </w:rPr>
  </w:style>
  <w:style w:type="paragraph" w:customStyle="1" w:styleId="1652">
    <w:name w:val="德胜空行"/>
    <w:basedOn w:val="1"/>
    <w:link w:val="1651"/>
    <w:qFormat/>
    <w:uiPriority w:val="0"/>
    <w:pPr>
      <w:widowControl/>
      <w:adjustRightInd w:val="0"/>
      <w:snapToGrid w:val="0"/>
      <w:spacing w:line="240" w:lineRule="auto"/>
      <w:jc w:val="left"/>
    </w:pPr>
    <w:rPr>
      <w:snapToGrid w:val="0"/>
      <w:color w:val="0000FF"/>
    </w:rPr>
  </w:style>
  <w:style w:type="character" w:customStyle="1" w:styleId="1653">
    <w:name w:val="首行缩进 Char"/>
    <w:qFormat/>
    <w:uiPriority w:val="0"/>
    <w:rPr>
      <w:rFonts w:eastAsia="宋体"/>
      <w:kern w:val="2"/>
      <w:sz w:val="28"/>
      <w:lang w:val="en-US" w:eastAsia="zh-CN"/>
    </w:rPr>
  </w:style>
  <w:style w:type="character" w:customStyle="1" w:styleId="1654">
    <w:name w:val="可研-正文首行缩进 Char Char Char"/>
    <w:qFormat/>
    <w:uiPriority w:val="0"/>
    <w:rPr>
      <w:rFonts w:eastAsia="宋体"/>
      <w:spacing w:val="8"/>
      <w:kern w:val="24"/>
      <w:sz w:val="24"/>
      <w:lang w:val="en-US" w:eastAsia="zh-CN"/>
    </w:rPr>
  </w:style>
  <w:style w:type="character" w:customStyle="1" w:styleId="1655">
    <w:name w:val="样式 标题 1章标题1.1标题 1HTS 1章标题 1副标题 11.标题 1h11headingHeader... Char Char"/>
    <w:link w:val="1656"/>
    <w:qFormat/>
    <w:uiPriority w:val="0"/>
    <w:rPr>
      <w:b/>
      <w:color w:val="0000FF"/>
      <w:kern w:val="44"/>
      <w:sz w:val="24"/>
    </w:rPr>
  </w:style>
  <w:style w:type="paragraph" w:customStyle="1" w:styleId="1656">
    <w:name w:val="样式 标题 1章标题1.1标题 1HTS 1章标题 1副标题 11.标题 1h11headingHeader..."/>
    <w:basedOn w:val="5"/>
    <w:link w:val="1655"/>
    <w:qFormat/>
    <w:uiPriority w:val="0"/>
    <w:pPr>
      <w:keepLines w:val="0"/>
      <w:widowControl/>
      <w:numPr>
        <w:numId w:val="0"/>
      </w:numPr>
      <w:spacing w:before="0" w:after="0" w:line="360" w:lineRule="auto"/>
      <w:jc w:val="left"/>
    </w:pPr>
    <w:rPr>
      <w:rFonts w:asciiTheme="minorHAnsi" w:hAnsiTheme="minorHAnsi"/>
      <w:bCs w:val="0"/>
      <w:color w:val="0000FF"/>
      <w:sz w:val="24"/>
      <w:szCs w:val="22"/>
    </w:rPr>
  </w:style>
  <w:style w:type="character" w:customStyle="1" w:styleId="1657">
    <w:name w:val="文本框五号 Char Char Char"/>
    <w:qFormat/>
    <w:uiPriority w:val="0"/>
    <w:rPr>
      <w:rFonts w:ascii="Verdana" w:hAnsi="Verdana" w:eastAsia="Times New Roman"/>
      <w:kern w:val="2"/>
      <w:sz w:val="21"/>
      <w:lang w:val="en-US" w:eastAsia="zh-CN"/>
    </w:rPr>
  </w:style>
  <w:style w:type="character" w:customStyle="1" w:styleId="1658">
    <w:name w:val="unnamed11"/>
    <w:qFormat/>
    <w:uiPriority w:val="0"/>
    <w:rPr>
      <w:rFonts w:ascii="??" w:hAnsi="??"/>
      <w:sz w:val="12"/>
    </w:rPr>
  </w:style>
  <w:style w:type="character" w:customStyle="1" w:styleId="1659">
    <w:name w:val="表、图名 Char Char"/>
    <w:link w:val="1660"/>
    <w:qFormat/>
    <w:uiPriority w:val="0"/>
    <w:rPr>
      <w:rFonts w:ascii="仿宋_GB2312" w:eastAsia="仿宋_GB2312"/>
      <w:b/>
      <w:sz w:val="24"/>
    </w:rPr>
  </w:style>
  <w:style w:type="paragraph" w:customStyle="1" w:styleId="1660">
    <w:name w:val="表、图名"/>
    <w:basedOn w:val="1"/>
    <w:link w:val="1659"/>
    <w:qFormat/>
    <w:uiPriority w:val="0"/>
    <w:pPr>
      <w:widowControl/>
      <w:adjustRightInd w:val="0"/>
      <w:snapToGrid w:val="0"/>
      <w:ind w:left="-6"/>
      <w:jc w:val="center"/>
    </w:pPr>
    <w:rPr>
      <w:rFonts w:ascii="仿宋_GB2312" w:eastAsia="仿宋_GB2312"/>
      <w:b/>
      <w:sz w:val="24"/>
    </w:rPr>
  </w:style>
  <w:style w:type="character" w:customStyle="1" w:styleId="1661">
    <w:name w:val="样式 首行缩进:  2 字符 Char Char"/>
    <w:qFormat/>
    <w:uiPriority w:val="0"/>
    <w:rPr>
      <w:rFonts w:ascii="宋体" w:eastAsia="宋体"/>
      <w:kern w:val="2"/>
      <w:sz w:val="28"/>
      <w:lang w:val="en-US" w:eastAsia="zh-CN"/>
    </w:rPr>
  </w:style>
  <w:style w:type="character" w:customStyle="1" w:styleId="1662">
    <w:name w:val="txt"/>
    <w:qFormat/>
    <w:uiPriority w:val="0"/>
    <w:rPr>
      <w:rFonts w:ascii="Arial Black" w:hAnsi="Arial Black" w:eastAsia="Times New Roman"/>
      <w:sz w:val="21"/>
      <w:lang w:val="en-US" w:eastAsia="en-US"/>
    </w:rPr>
  </w:style>
  <w:style w:type="character" w:customStyle="1" w:styleId="1663">
    <w:name w:val="日期 Char Char Char"/>
    <w:qFormat/>
    <w:uiPriority w:val="0"/>
    <w:rPr>
      <w:rFonts w:ascii="Times New Roman" w:hAnsi="Times New Roman"/>
      <w:kern w:val="2"/>
      <w:sz w:val="21"/>
    </w:rPr>
  </w:style>
  <w:style w:type="character" w:customStyle="1" w:styleId="1664">
    <w:name w:val="style1"/>
    <w:qFormat/>
    <w:uiPriority w:val="0"/>
    <w:rPr>
      <w:rFonts w:eastAsia="宋体" w:cs="Times New Roman"/>
      <w:kern w:val="2"/>
      <w:sz w:val="24"/>
      <w:szCs w:val="24"/>
      <w:lang w:val="en-US" w:eastAsia="zh-CN" w:bidi="ar-SA"/>
    </w:rPr>
  </w:style>
  <w:style w:type="character" w:customStyle="1" w:styleId="1665">
    <w:name w:val="12block1"/>
    <w:qFormat/>
    <w:uiPriority w:val="0"/>
    <w:rPr>
      <w:rFonts w:ascii="宋体" w:hAnsi="宋体" w:eastAsia="宋体"/>
      <w:color w:val="000000"/>
      <w:spacing w:val="0"/>
      <w:sz w:val="18"/>
    </w:rPr>
  </w:style>
  <w:style w:type="character" w:customStyle="1" w:styleId="1666">
    <w:name w:val="Date Char"/>
    <w:qFormat/>
    <w:uiPriority w:val="0"/>
    <w:rPr>
      <w:rFonts w:ascii="Times New Roman" w:hAnsi="Times New Roman"/>
      <w:kern w:val="2"/>
      <w:sz w:val="24"/>
    </w:rPr>
  </w:style>
  <w:style w:type="character" w:customStyle="1" w:styleId="1667">
    <w:name w:val="标题 2 cg"/>
    <w:qFormat/>
    <w:uiPriority w:val="0"/>
    <w:rPr>
      <w:rFonts w:ascii="Times New Roman" w:hAnsi="Times New Roman" w:eastAsia="楷体"/>
      <w:color w:val="000000"/>
      <w:kern w:val="2"/>
      <w:sz w:val="28"/>
      <w:lang w:val="en-US" w:eastAsia="zh-CN"/>
    </w:rPr>
  </w:style>
  <w:style w:type="character" w:customStyle="1" w:styleId="1668">
    <w:name w:val="1.1.1.1 Char2"/>
    <w:qFormat/>
    <w:uiPriority w:val="0"/>
    <w:rPr>
      <w:rFonts w:eastAsia="仿宋_GB2312"/>
      <w:b/>
      <w:sz w:val="28"/>
      <w:lang w:val="en-US" w:eastAsia="zh-CN"/>
    </w:rPr>
  </w:style>
  <w:style w:type="character" w:customStyle="1" w:styleId="1669">
    <w:name w:val="f91"/>
    <w:qFormat/>
    <w:uiPriority w:val="0"/>
    <w:rPr>
      <w:rFonts w:ascii="Arial Black" w:hAnsi="Arial Black" w:eastAsia="Times New Roman"/>
      <w:sz w:val="18"/>
      <w:u w:val="none"/>
      <w:lang w:val="en-US" w:eastAsia="en-US"/>
    </w:rPr>
  </w:style>
  <w:style w:type="character" w:customStyle="1" w:styleId="1670">
    <w:name w:val="表格四号 Char Char"/>
    <w:link w:val="1671"/>
    <w:qFormat/>
    <w:uiPriority w:val="0"/>
    <w:rPr>
      <w:rFonts w:ascii="Verdana" w:hAnsi="Verdana"/>
      <w:snapToGrid w:val="0"/>
      <w:sz w:val="28"/>
    </w:rPr>
  </w:style>
  <w:style w:type="paragraph" w:customStyle="1" w:styleId="1671">
    <w:name w:val="表格四号"/>
    <w:basedOn w:val="1"/>
    <w:link w:val="1670"/>
    <w:qFormat/>
    <w:uiPriority w:val="0"/>
    <w:pPr>
      <w:widowControl/>
      <w:adjustRightInd w:val="0"/>
      <w:snapToGrid w:val="0"/>
      <w:spacing w:line="240" w:lineRule="auto"/>
      <w:jc w:val="center"/>
    </w:pPr>
    <w:rPr>
      <w:rFonts w:ascii="Verdana" w:hAnsi="Verdana"/>
      <w:snapToGrid w:val="0"/>
      <w:sz w:val="28"/>
    </w:rPr>
  </w:style>
  <w:style w:type="character" w:customStyle="1" w:styleId="1672">
    <w:name w:val="Macro Text Char"/>
    <w:qFormat/>
    <w:uiPriority w:val="0"/>
    <w:rPr>
      <w:rFonts w:ascii="MHei-Medium" w:hAnsi="MHei-Medium"/>
      <w:kern w:val="2"/>
      <w:sz w:val="24"/>
      <w:lang w:val="en-US" w:eastAsia="zh-CN"/>
    </w:rPr>
  </w:style>
  <w:style w:type="character" w:customStyle="1" w:styleId="1673">
    <w:name w:val="Footer Char"/>
    <w:qFormat/>
    <w:uiPriority w:val="0"/>
    <w:rPr>
      <w:rFonts w:ascii="Times New Roman" w:hAnsi="Times New Roman"/>
      <w:kern w:val="2"/>
      <w:sz w:val="18"/>
    </w:rPr>
  </w:style>
  <w:style w:type="character" w:customStyle="1" w:styleId="1674">
    <w:name w:val="Date Char Char"/>
    <w:qFormat/>
    <w:uiPriority w:val="0"/>
    <w:rPr>
      <w:rFonts w:eastAsia="黑体"/>
      <w:kern w:val="2"/>
      <w:sz w:val="24"/>
      <w:lang w:val="en-US" w:eastAsia="zh-CN"/>
    </w:rPr>
  </w:style>
  <w:style w:type="character" w:customStyle="1" w:styleId="1675">
    <w:name w:val="正文文本最新 Char Char Char1 Char Char Char Char Char Char Char Char Char"/>
    <w:qFormat/>
    <w:uiPriority w:val="0"/>
    <w:rPr>
      <w:rFonts w:ascii="Arial Black" w:hAnsi="Arial Black" w:eastAsia="Times New Roman"/>
      <w:b/>
      <w:kern w:val="2"/>
      <w:sz w:val="24"/>
      <w:lang w:val="en-US" w:eastAsia="zh-CN"/>
    </w:rPr>
  </w:style>
  <w:style w:type="character" w:customStyle="1" w:styleId="1676">
    <w:name w:val="Heading 2 Char"/>
    <w:qFormat/>
    <w:uiPriority w:val="0"/>
    <w:rPr>
      <w:rFonts w:eastAsia="宋体"/>
      <w:b/>
      <w:snapToGrid w:val="0"/>
      <w:sz w:val="28"/>
      <w:lang w:val="en-US" w:eastAsia="zh-CN"/>
    </w:rPr>
  </w:style>
  <w:style w:type="character" w:customStyle="1" w:styleId="1677">
    <w:name w:val="泸县焦化二级标题 Char Char"/>
    <w:link w:val="1678"/>
    <w:qFormat/>
    <w:uiPriority w:val="0"/>
    <w:rPr>
      <w:b/>
      <w:color w:val="0000FF"/>
      <w:sz w:val="28"/>
    </w:rPr>
  </w:style>
  <w:style w:type="paragraph" w:customStyle="1" w:styleId="1678">
    <w:name w:val="泸县焦化二级标题"/>
    <w:basedOn w:val="1"/>
    <w:link w:val="1677"/>
    <w:qFormat/>
    <w:uiPriority w:val="0"/>
    <w:pPr>
      <w:keepNext/>
      <w:keepLines/>
      <w:widowControl/>
      <w:autoSpaceDE w:val="0"/>
      <w:autoSpaceDN w:val="0"/>
      <w:adjustRightInd w:val="0"/>
      <w:snapToGrid w:val="0"/>
      <w:jc w:val="left"/>
      <w:outlineLvl w:val="1"/>
    </w:pPr>
    <w:rPr>
      <w:b/>
      <w:color w:val="0000FF"/>
      <w:sz w:val="28"/>
    </w:rPr>
  </w:style>
  <w:style w:type="character" w:customStyle="1" w:styleId="1679">
    <w:name w:val="德胜正文顶格小标题 Char Char"/>
    <w:link w:val="1680"/>
    <w:qFormat/>
    <w:uiPriority w:val="0"/>
    <w:rPr>
      <w:snapToGrid w:val="0"/>
      <w:color w:val="0000FF"/>
      <w:sz w:val="24"/>
    </w:rPr>
  </w:style>
  <w:style w:type="paragraph" w:customStyle="1" w:styleId="1680">
    <w:name w:val="德胜正文顶格小标题"/>
    <w:basedOn w:val="1652"/>
    <w:link w:val="1679"/>
    <w:qFormat/>
    <w:uiPriority w:val="0"/>
    <w:pPr>
      <w:spacing w:line="360" w:lineRule="auto"/>
    </w:pPr>
    <w:rPr>
      <w:sz w:val="24"/>
    </w:rPr>
  </w:style>
  <w:style w:type="character" w:customStyle="1" w:styleId="1681">
    <w:name w:val="style101"/>
    <w:qFormat/>
    <w:uiPriority w:val="0"/>
    <w:rPr>
      <w:rFonts w:eastAsia="宋体" w:cs="Times New Roman"/>
      <w:kern w:val="2"/>
      <w:sz w:val="24"/>
      <w:szCs w:val="24"/>
      <w:lang w:val="en-US" w:eastAsia="zh-CN" w:bidi="ar-SA"/>
    </w:rPr>
  </w:style>
  <w:style w:type="character" w:customStyle="1" w:styleId="1682">
    <w:name w:val="Subtitle Char"/>
    <w:qFormat/>
    <w:uiPriority w:val="0"/>
    <w:rPr>
      <w:rFonts w:ascii="Times New Roman" w:hAnsi="Times New Roman" w:eastAsia="黑体"/>
      <w:kern w:val="28"/>
      <w:sz w:val="32"/>
    </w:rPr>
  </w:style>
  <w:style w:type="character" w:customStyle="1" w:styleId="1683">
    <w:name w:val="style921"/>
    <w:qFormat/>
    <w:uiPriority w:val="0"/>
    <w:rPr>
      <w:rFonts w:ascii="Arial Black" w:hAnsi="Arial Black" w:eastAsia="Times New Roman"/>
      <w:sz w:val="16"/>
      <w:lang w:val="en-US" w:eastAsia="en-US"/>
    </w:rPr>
  </w:style>
  <w:style w:type="character" w:customStyle="1" w:styleId="1684">
    <w:name w:val="干标题(a) Char Char"/>
    <w:qFormat/>
    <w:uiPriority w:val="0"/>
    <w:rPr>
      <w:rFonts w:ascii="Arial" w:hAnsi="Arial" w:eastAsia="黑体"/>
      <w:sz w:val="21"/>
      <w:lang w:val="en-US" w:eastAsia="zh-CN"/>
    </w:rPr>
  </w:style>
  <w:style w:type="character" w:customStyle="1" w:styleId="1685">
    <w:name w:val="mainfirst1"/>
    <w:qFormat/>
    <w:uiPriority w:val="0"/>
    <w:rPr>
      <w:rFonts w:ascii="Verdana" w:hAnsi="Verdana" w:eastAsia="楷体"/>
      <w:b/>
      <w:color w:val="FF0000"/>
      <w:kern w:val="2"/>
      <w:sz w:val="36"/>
      <w:lang w:val="en-US" w:eastAsia="zh-CN"/>
    </w:rPr>
  </w:style>
  <w:style w:type="character" w:customStyle="1" w:styleId="1686">
    <w:name w:val="样式 样式 样式 样式 (符号) 宋体 13 磅 首行缩进:  2 字符 行距: 1.5 倍行距 + 首行缩进:  2 字符 +... Char Char"/>
    <w:link w:val="1687"/>
    <w:qFormat/>
    <w:uiPriority w:val="0"/>
    <w:rPr>
      <w:rFonts w:ascii="Verdana" w:hAnsi="Verdana"/>
      <w:sz w:val="26"/>
    </w:rPr>
  </w:style>
  <w:style w:type="paragraph" w:customStyle="1" w:styleId="1687">
    <w:name w:val="样式 样式 样式 样式 (符号) 宋体 13 磅 首行缩进:  2 字符 行距: 1.5 倍行距 + 首行缩进:  2 字符 +..."/>
    <w:basedOn w:val="1"/>
    <w:link w:val="1686"/>
    <w:qFormat/>
    <w:uiPriority w:val="0"/>
    <w:pPr>
      <w:widowControl/>
      <w:spacing w:line="240" w:lineRule="auto"/>
      <w:ind w:firstLine="563" w:firstLineChars="200"/>
      <w:jc w:val="left"/>
    </w:pPr>
    <w:rPr>
      <w:rFonts w:ascii="Verdana" w:hAnsi="Verdana"/>
      <w:sz w:val="26"/>
    </w:rPr>
  </w:style>
  <w:style w:type="character" w:customStyle="1" w:styleId="1688">
    <w:name w:val="td10"/>
    <w:qFormat/>
    <w:uiPriority w:val="0"/>
    <w:rPr>
      <w:rFonts w:ascii="Arial Black" w:hAnsi="Arial Black" w:eastAsia="Times New Roman"/>
      <w:sz w:val="21"/>
      <w:lang w:val="en-US" w:eastAsia="en-US"/>
    </w:rPr>
  </w:style>
  <w:style w:type="character" w:customStyle="1" w:styleId="1689">
    <w:name w:val="文本框五号1.5倍行距 Char Char"/>
    <w:qFormat/>
    <w:uiPriority w:val="0"/>
    <w:rPr>
      <w:rFonts w:ascii="Verdana" w:hAnsi="Verdana" w:eastAsia="Times New Roman"/>
      <w:kern w:val="2"/>
      <w:sz w:val="21"/>
      <w:lang w:val="en-US" w:eastAsia="zh-CN"/>
    </w:rPr>
  </w:style>
  <w:style w:type="character" w:customStyle="1" w:styleId="1690">
    <w:name w:val="c1"/>
    <w:qFormat/>
    <w:uiPriority w:val="0"/>
    <w:rPr>
      <w:rFonts w:ascii="Tms Rmn" w:hAnsi="Tms Rmn" w:eastAsia="Times New Roman"/>
      <w:color w:val="000000"/>
      <w:sz w:val="21"/>
      <w:u w:val="none"/>
      <w:lang w:val="en-US" w:eastAsia="en-US"/>
    </w:rPr>
  </w:style>
  <w:style w:type="character" w:customStyle="1" w:styleId="1691">
    <w:name w:val="Body Text Indent 3 Char"/>
    <w:qFormat/>
    <w:uiPriority w:val="0"/>
    <w:rPr>
      <w:rFonts w:ascii="Times New Roman" w:hAnsi="Times New Roman"/>
      <w:kern w:val="2"/>
      <w:sz w:val="16"/>
    </w:rPr>
  </w:style>
  <w:style w:type="character" w:customStyle="1" w:styleId="1692">
    <w:name w:val="样式 小四 蓝色 首行缩进:  0.85 厘米 行距: 多倍行距 1.4 字行 Char Char"/>
    <w:qFormat/>
    <w:uiPriority w:val="0"/>
    <w:rPr>
      <w:rFonts w:ascii="仿宋_GB2312" w:eastAsia="仿宋_GB2312"/>
      <w:color w:val="0000FF"/>
      <w:kern w:val="2"/>
      <w:sz w:val="24"/>
    </w:rPr>
  </w:style>
  <w:style w:type="character" w:customStyle="1" w:styleId="1693">
    <w:name w:val="标题 1 cg2 Char Char"/>
    <w:link w:val="1694"/>
    <w:qFormat/>
    <w:uiPriority w:val="0"/>
    <w:rPr>
      <w:b/>
      <w:color w:val="0000FF"/>
      <w:kern w:val="44"/>
      <w:sz w:val="30"/>
    </w:rPr>
  </w:style>
  <w:style w:type="paragraph" w:customStyle="1" w:styleId="1694">
    <w:name w:val="标题 1 cg2"/>
    <w:basedOn w:val="5"/>
    <w:link w:val="1693"/>
    <w:qFormat/>
    <w:uiPriority w:val="0"/>
    <w:pPr>
      <w:keepLines w:val="0"/>
      <w:widowControl/>
      <w:numPr>
        <w:numId w:val="0"/>
      </w:numPr>
      <w:spacing w:before="0" w:after="0" w:line="360" w:lineRule="auto"/>
      <w:ind w:firstLine="573"/>
      <w:jc w:val="left"/>
    </w:pPr>
    <w:rPr>
      <w:rFonts w:asciiTheme="minorHAnsi" w:hAnsiTheme="minorHAnsi"/>
      <w:bCs w:val="0"/>
      <w:color w:val="0000FF"/>
      <w:sz w:val="30"/>
      <w:szCs w:val="22"/>
    </w:rPr>
  </w:style>
  <w:style w:type="character" w:customStyle="1" w:styleId="1695">
    <w:name w:val="px14"/>
    <w:qFormat/>
    <w:uiPriority w:val="0"/>
    <w:rPr>
      <w:rFonts w:eastAsia="宋体" w:cs="Times New Roman"/>
      <w:kern w:val="2"/>
      <w:sz w:val="24"/>
      <w:szCs w:val="24"/>
      <w:lang w:val="en-US" w:eastAsia="zh-CN" w:bidi="ar-SA"/>
    </w:rPr>
  </w:style>
  <w:style w:type="character" w:customStyle="1" w:styleId="1696">
    <w:name w:val="样式 宋体 四号 加粗"/>
    <w:qFormat/>
    <w:uiPriority w:val="0"/>
    <w:rPr>
      <w:rFonts w:ascii="Verdana" w:hAnsi="Verdana" w:eastAsia="Times New Roman"/>
      <w:b/>
      <w:sz w:val="21"/>
      <w:lang w:val="en-US" w:eastAsia="en-US"/>
    </w:rPr>
  </w:style>
  <w:style w:type="character" w:customStyle="1" w:styleId="1697">
    <w:name w:val="Heading 7 Char"/>
    <w:qFormat/>
    <w:uiPriority w:val="0"/>
    <w:rPr>
      <w:rFonts w:ascii="Times New Roman" w:hAnsi="Times New Roman"/>
      <w:b/>
      <w:sz w:val="24"/>
    </w:rPr>
  </w:style>
  <w:style w:type="character" w:customStyle="1" w:styleId="1698">
    <w:name w:val="样式 标题 3 + 四号 蓝色 Char Char"/>
    <w:link w:val="1699"/>
    <w:qFormat/>
    <w:uiPriority w:val="0"/>
    <w:rPr>
      <w:b/>
      <w:color w:val="0000FF"/>
      <w:sz w:val="32"/>
    </w:rPr>
  </w:style>
  <w:style w:type="paragraph" w:customStyle="1" w:styleId="1699">
    <w:name w:val="样式 标题 3 + 四号 蓝色"/>
    <w:basedOn w:val="7"/>
    <w:link w:val="1698"/>
    <w:qFormat/>
    <w:uiPriority w:val="0"/>
    <w:pPr>
      <w:widowControl/>
      <w:numPr>
        <w:ilvl w:val="0"/>
        <w:numId w:val="0"/>
      </w:numPr>
      <w:adjustRightInd w:val="0"/>
      <w:snapToGrid w:val="0"/>
      <w:spacing w:before="0" w:after="0" w:line="360" w:lineRule="auto"/>
      <w:outlineLvl w:val="1"/>
    </w:pPr>
    <w:rPr>
      <w:rFonts w:asciiTheme="minorHAnsi" w:hAnsiTheme="minorHAnsi"/>
      <w:bCs w:val="0"/>
      <w:color w:val="0000FF"/>
      <w:sz w:val="32"/>
      <w:szCs w:val="22"/>
    </w:rPr>
  </w:style>
  <w:style w:type="character" w:customStyle="1" w:styleId="1700">
    <w:name w:val="样式 (西文) 宋体 (中文) 仿宋_GB2312 黑色"/>
    <w:qFormat/>
    <w:uiPriority w:val="0"/>
    <w:rPr>
      <w:rFonts w:ascii="仿宋_GB2312" w:hAnsi="仿宋_GB2312" w:eastAsia="Times New Roman"/>
      <w:color w:val="000000"/>
      <w:kern w:val="2"/>
      <w:sz w:val="32"/>
      <w:lang w:val="en-US" w:eastAsia="zh-CN"/>
    </w:rPr>
  </w:style>
  <w:style w:type="character" w:customStyle="1" w:styleId="1701">
    <w:name w:val="样式 标题 2节标题标题21.1H2h2第一层条4.1二级标题标题 lxb2二级标题 Char表标题单位... Char Char"/>
    <w:qFormat/>
    <w:uiPriority w:val="0"/>
    <w:rPr>
      <w:rFonts w:ascii="Arial Black" w:hAnsi="Arial Black" w:eastAsia="Times New Roman"/>
      <w:b/>
      <w:kern w:val="32"/>
      <w:sz w:val="28"/>
      <w:lang w:val="en-US" w:eastAsia="zh-CN"/>
    </w:rPr>
  </w:style>
  <w:style w:type="character" w:customStyle="1" w:styleId="1702">
    <w:name w:val="样式41"/>
    <w:qFormat/>
    <w:uiPriority w:val="0"/>
    <w:rPr>
      <w:rFonts w:ascii="Arial Black" w:hAnsi="Arial Black" w:eastAsia="Times New Roman"/>
      <w:color w:val="313D42"/>
      <w:sz w:val="21"/>
      <w:lang w:val="en-US" w:eastAsia="en-US"/>
    </w:rPr>
  </w:style>
  <w:style w:type="character" w:customStyle="1" w:styleId="1703">
    <w:name w:val="style81"/>
    <w:qFormat/>
    <w:uiPriority w:val="0"/>
    <w:rPr>
      <w:rFonts w:ascii="Verdana" w:hAnsi="Verdana" w:eastAsia="楷体"/>
      <w:kern w:val="2"/>
      <w:sz w:val="24"/>
      <w:lang w:val="en-US" w:eastAsia="zh-CN"/>
    </w:rPr>
  </w:style>
  <w:style w:type="character" w:customStyle="1" w:styleId="1704">
    <w:name w:val="正文部分 Char Char"/>
    <w:link w:val="1705"/>
    <w:qFormat/>
    <w:uiPriority w:val="0"/>
    <w:rPr>
      <w:rFonts w:ascii="宋体" w:eastAsia="宋体"/>
      <w:sz w:val="32"/>
    </w:rPr>
  </w:style>
  <w:style w:type="paragraph" w:customStyle="1" w:styleId="1705">
    <w:name w:val="正文部分"/>
    <w:basedOn w:val="1"/>
    <w:link w:val="1704"/>
    <w:qFormat/>
    <w:uiPriority w:val="0"/>
    <w:pPr>
      <w:widowControl/>
      <w:spacing w:line="500" w:lineRule="exact"/>
      <w:ind w:firstLine="200" w:firstLineChars="200"/>
      <w:jc w:val="left"/>
    </w:pPr>
    <w:rPr>
      <w:rFonts w:ascii="宋体" w:eastAsia="宋体"/>
      <w:sz w:val="32"/>
    </w:rPr>
  </w:style>
  <w:style w:type="character" w:customStyle="1" w:styleId="1706">
    <w:name w:val="纯文本2 Char"/>
    <w:qFormat/>
    <w:uiPriority w:val="0"/>
    <w:rPr>
      <w:rFonts w:ascii="宋体" w:hAnsi="Courier New" w:eastAsia="宋体"/>
      <w:kern w:val="2"/>
      <w:sz w:val="21"/>
      <w:lang w:val="en-US" w:eastAsia="zh-CN"/>
    </w:rPr>
  </w:style>
  <w:style w:type="character" w:customStyle="1" w:styleId="1707">
    <w:name w:val="正文(首行缩进) Char1"/>
    <w:qFormat/>
    <w:uiPriority w:val="0"/>
    <w:rPr>
      <w:rFonts w:ascii="Arial Black" w:hAnsi="Arial Black" w:eastAsia="Times New Roman"/>
      <w:snapToGrid w:val="0"/>
      <w:color w:val="000000"/>
      <w:sz w:val="24"/>
      <w:lang w:val="en-US" w:eastAsia="zh-CN"/>
    </w:rPr>
  </w:style>
  <w:style w:type="character" w:customStyle="1" w:styleId="1708">
    <w:name w:val="Document Map Char"/>
    <w:qFormat/>
    <w:uiPriority w:val="0"/>
    <w:rPr>
      <w:rFonts w:ascii="Times New Roman" w:hAnsi="Times New Roman"/>
      <w:kern w:val="2"/>
      <w:sz w:val="21"/>
      <w:shd w:val="clear" w:color="auto" w:fill="000080"/>
    </w:rPr>
  </w:style>
  <w:style w:type="character" w:customStyle="1" w:styleId="1709">
    <w:name w:val="标题 21"/>
    <w:qFormat/>
    <w:uiPriority w:val="0"/>
    <w:rPr>
      <w:rFonts w:ascii="楷体" w:hAnsi="Courier New" w:eastAsia="楷体"/>
      <w:kern w:val="2"/>
      <w:sz w:val="30"/>
      <w:lang w:val="en-US" w:eastAsia="zh-CN"/>
    </w:rPr>
  </w:style>
  <w:style w:type="character" w:customStyle="1" w:styleId="1710">
    <w:name w:val="样式 表文 Char Char + Char Char"/>
    <w:link w:val="1711"/>
    <w:qFormat/>
    <w:uiPriority w:val="0"/>
    <w:rPr>
      <w:rFonts w:ascii="Times New Roman" w:hAnsi="Times New Roman"/>
      <w:sz w:val="18"/>
      <w:szCs w:val="18"/>
    </w:rPr>
  </w:style>
  <w:style w:type="paragraph" w:customStyle="1" w:styleId="1711">
    <w:name w:val="样式 表文 Char Char +"/>
    <w:link w:val="1710"/>
    <w:qFormat/>
    <w:uiPriority w:val="0"/>
    <w:pPr>
      <w:overflowPunct w:val="0"/>
      <w:adjustRightInd w:val="0"/>
      <w:snapToGrid w:val="0"/>
      <w:ind w:firstLine="360" w:firstLineChars="200"/>
      <w:textAlignment w:val="baseline"/>
    </w:pPr>
    <w:rPr>
      <w:rFonts w:ascii="Times New Roman" w:hAnsi="Times New Roman" w:eastAsiaTheme="minorEastAsia" w:cstheme="minorBidi"/>
      <w:kern w:val="2"/>
      <w:sz w:val="18"/>
      <w:szCs w:val="18"/>
      <w:lang w:val="en-US" w:eastAsia="zh-CN" w:bidi="ar-SA"/>
    </w:rPr>
  </w:style>
  <w:style w:type="character" w:customStyle="1" w:styleId="1712">
    <w:name w:val="Endnote Text Char"/>
    <w:qFormat/>
    <w:uiPriority w:val="0"/>
    <w:rPr>
      <w:rFonts w:ascii="仿宋_GB2312" w:eastAsia="仿宋_GB2312"/>
      <w:kern w:val="2"/>
      <w:sz w:val="24"/>
    </w:rPr>
  </w:style>
  <w:style w:type="character" w:customStyle="1" w:styleId="1713">
    <w:name w:val="Body Text Indent 2 Char"/>
    <w:qFormat/>
    <w:uiPriority w:val="0"/>
    <w:rPr>
      <w:rFonts w:ascii="Times New Roman" w:hAnsi="Times New Roman"/>
      <w:kern w:val="2"/>
      <w:sz w:val="21"/>
    </w:rPr>
  </w:style>
  <w:style w:type="character" w:customStyle="1" w:styleId="1714">
    <w:name w:val="style781"/>
    <w:qFormat/>
    <w:uiPriority w:val="0"/>
    <w:rPr>
      <w:rFonts w:ascii="Arial Black" w:hAnsi="Arial Black" w:eastAsia="Times New Roman"/>
      <w:sz w:val="24"/>
      <w:lang w:val="en-US" w:eastAsia="en-US"/>
    </w:rPr>
  </w:style>
  <w:style w:type="character" w:customStyle="1" w:styleId="1715">
    <w:name w:val="style12"/>
    <w:qFormat/>
    <w:uiPriority w:val="0"/>
    <w:rPr>
      <w:rFonts w:eastAsia="宋体" w:cs="Times New Roman"/>
      <w:kern w:val="2"/>
      <w:sz w:val="24"/>
      <w:szCs w:val="24"/>
      <w:lang w:val="en-US" w:eastAsia="zh-CN" w:bidi="ar-SA"/>
    </w:rPr>
  </w:style>
  <w:style w:type="character" w:customStyle="1" w:styleId="1716">
    <w:name w:val="Balloon Text Char"/>
    <w:qFormat/>
    <w:uiPriority w:val="0"/>
    <w:rPr>
      <w:rFonts w:ascii="Times New Roman" w:hAnsi="Times New Roman"/>
      <w:kern w:val="2"/>
      <w:sz w:val="18"/>
    </w:rPr>
  </w:style>
  <w:style w:type="paragraph" w:customStyle="1" w:styleId="1717">
    <w:name w:val="列表 5H"/>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718">
    <w:name w:val="edri-title third Char1"/>
    <w:basedOn w:val="1"/>
    <w:qFormat/>
    <w:uiPriority w:val="0"/>
    <w:pPr>
      <w:widowControl/>
      <w:tabs>
        <w:tab w:val="left" w:pos="0"/>
        <w:tab w:val="left" w:pos="945"/>
      </w:tabs>
      <w:spacing w:beforeLines="50" w:line="300" w:lineRule="auto"/>
      <w:ind w:left="964" w:hanging="964"/>
      <w:jc w:val="left"/>
      <w:outlineLvl w:val="2"/>
    </w:pPr>
    <w:rPr>
      <w:rFonts w:ascii="仿宋_GB2312" w:hAnsi="仿宋_GB2312" w:eastAsia="宋体" w:cs="仿宋_GB2312"/>
      <w:bCs/>
      <w:kern w:val="0"/>
      <w:sz w:val="24"/>
      <w:szCs w:val="24"/>
    </w:rPr>
  </w:style>
  <w:style w:type="paragraph" w:customStyle="1" w:styleId="1719">
    <w:name w:val="列表 3I"/>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1720">
    <w:name w:val="edri-正文"/>
    <w:basedOn w:val="1"/>
    <w:qFormat/>
    <w:uiPriority w:val="0"/>
    <w:pPr>
      <w:widowControl/>
      <w:spacing w:beforeLines="50" w:line="300" w:lineRule="auto"/>
      <w:ind w:left="899" w:leftChars="428"/>
      <w:jc w:val="left"/>
    </w:pPr>
    <w:rPr>
      <w:rFonts w:ascii="仿宋_GB2312" w:hAnsi="仿宋_GB2312" w:eastAsia="宋体" w:cs="仿宋_GB2312"/>
      <w:sz w:val="24"/>
      <w:szCs w:val="24"/>
    </w:rPr>
  </w:style>
  <w:style w:type="paragraph" w:customStyle="1" w:styleId="1721">
    <w:name w:val="列表 2T"/>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722">
    <w:name w:val="小四表文左齐"/>
    <w:basedOn w:val="1"/>
    <w:qFormat/>
    <w:uiPriority w:val="0"/>
    <w:pPr>
      <w:widowControl/>
      <w:spacing w:line="360" w:lineRule="exact"/>
      <w:jc w:val="center"/>
    </w:pPr>
    <w:rPr>
      <w:rFonts w:ascii="仿宋_GB2312" w:hAnsi="仿宋_GB2312" w:eastAsia="宋体" w:cs="仿宋_GB2312"/>
    </w:rPr>
  </w:style>
  <w:style w:type="paragraph" w:customStyle="1" w:styleId="1723">
    <w:name w:val="TY"/>
    <w:basedOn w:val="1"/>
    <w:qFormat/>
    <w:uiPriority w:val="0"/>
    <w:pPr>
      <w:widowControl/>
      <w:adjustRightInd w:val="0"/>
      <w:snapToGrid w:val="0"/>
      <w:spacing w:before="40" w:after="40" w:line="240" w:lineRule="auto"/>
      <w:jc w:val="left"/>
    </w:pPr>
    <w:rPr>
      <w:rFonts w:ascii="Verdana" w:hAnsi="Verdana" w:eastAsia="宋体" w:cs="仿宋_GB2312"/>
      <w:sz w:val="24"/>
      <w:szCs w:val="20"/>
    </w:rPr>
  </w:style>
  <w:style w:type="paragraph" w:customStyle="1" w:styleId="1724">
    <w:name w:val="封面标准号2"/>
    <w:qFormat/>
    <w:uiPriority w:val="0"/>
    <w:pPr>
      <w:spacing w:before="357" w:line="280" w:lineRule="exact"/>
      <w:jc w:val="right"/>
    </w:pPr>
    <w:rPr>
      <w:rFonts w:ascii="黑体" w:hAnsi="Times New Roman" w:eastAsia="黑体" w:cs="Times New Roman"/>
      <w:sz w:val="28"/>
      <w:szCs w:val="28"/>
      <w:lang w:val="en-US" w:eastAsia="zh-CN" w:bidi="ar-SA"/>
    </w:rPr>
  </w:style>
  <w:style w:type="paragraph" w:customStyle="1" w:styleId="1725">
    <w:name w:val="样式 标题 2 + 左侧:  0 厘米 悬挂缩进: 5.76 字符 段前: 6 磅 段后: 6 磅 行距: 固定值 20..."/>
    <w:basedOn w:val="6"/>
    <w:qFormat/>
    <w:uiPriority w:val="0"/>
    <w:pPr>
      <w:widowControl/>
      <w:numPr>
        <w:ilvl w:val="0"/>
        <w:numId w:val="0"/>
      </w:numPr>
      <w:spacing w:beforeLines="50" w:after="120" w:line="400" w:lineRule="exact"/>
      <w:ind w:left="576" w:hanging="576"/>
      <w:jc w:val="both"/>
    </w:pPr>
    <w:rPr>
      <w:rFonts w:ascii="Arial" w:hAnsi="Arial" w:eastAsia="黑体" w:cs="Times New Roman"/>
      <w:b w:val="0"/>
      <w:bCs w:val="0"/>
      <w:szCs w:val="20"/>
    </w:rPr>
  </w:style>
  <w:style w:type="paragraph" w:customStyle="1" w:styleId="1726">
    <w:name w:val="燕山正文"/>
    <w:basedOn w:val="1"/>
    <w:qFormat/>
    <w:uiPriority w:val="0"/>
    <w:pPr>
      <w:widowControl/>
      <w:tabs>
        <w:tab w:val="left" w:pos="4680"/>
      </w:tabs>
      <w:adjustRightInd w:val="0"/>
      <w:snapToGrid w:val="0"/>
      <w:ind w:firstLine="520" w:firstLineChars="200"/>
      <w:jc w:val="left"/>
    </w:pPr>
    <w:rPr>
      <w:rFonts w:ascii="Times New Roman" w:hAnsi="Arial" w:eastAsia="宋体" w:cs="Times New Roman"/>
      <w:spacing w:val="10"/>
      <w:kern w:val="0"/>
      <w:sz w:val="24"/>
      <w:szCs w:val="24"/>
    </w:rPr>
  </w:style>
  <w:style w:type="paragraph" w:customStyle="1" w:styleId="1727">
    <w:name w:val="泸县焦化一级标题"/>
    <w:basedOn w:val="1"/>
    <w:qFormat/>
    <w:uiPriority w:val="0"/>
    <w:pPr>
      <w:keepNext/>
      <w:keepLines/>
      <w:widowControl/>
      <w:adjustRightInd w:val="0"/>
      <w:snapToGrid w:val="0"/>
      <w:spacing w:line="720" w:lineRule="auto"/>
      <w:jc w:val="left"/>
      <w:outlineLvl w:val="0"/>
    </w:pPr>
    <w:rPr>
      <w:rFonts w:ascii="仿宋_GB2312" w:hAnsi="仿宋_GB2312" w:eastAsia="宋体" w:cs="仿宋_GB2312"/>
      <w:b/>
      <w:bCs/>
      <w:sz w:val="30"/>
      <w:szCs w:val="30"/>
    </w:rPr>
  </w:style>
  <w:style w:type="paragraph" w:customStyle="1" w:styleId="1728">
    <w:name w:val="13点"/>
    <w:basedOn w:val="1"/>
    <w:qFormat/>
    <w:uiPriority w:val="0"/>
    <w:pPr>
      <w:widowControl/>
      <w:adjustRightInd w:val="0"/>
      <w:snapToGrid w:val="0"/>
      <w:jc w:val="center"/>
    </w:pPr>
    <w:rPr>
      <w:rFonts w:ascii="宋体" w:hAnsi="宋体" w:eastAsia="宋体" w:cs="Times New Roman"/>
    </w:rPr>
  </w:style>
  <w:style w:type="paragraph" w:customStyle="1" w:styleId="1729">
    <w:name w:val="正文文字缩进 31"/>
    <w:basedOn w:val="1"/>
    <w:next w:val="52"/>
    <w:qFormat/>
    <w:uiPriority w:val="0"/>
    <w:pPr>
      <w:widowControl/>
      <w:ind w:firstLine="280" w:firstLineChars="100"/>
      <w:jc w:val="left"/>
    </w:pPr>
    <w:rPr>
      <w:rFonts w:ascii="Verdana" w:hAnsi="Verdana" w:eastAsia="宋体" w:cs="Verdana"/>
      <w:bCs/>
      <w:sz w:val="28"/>
      <w:szCs w:val="30"/>
    </w:rPr>
  </w:style>
  <w:style w:type="paragraph" w:customStyle="1" w:styleId="1730">
    <w:name w:val="列表 2B"/>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731">
    <w:name w:val="标题样式1"/>
    <w:basedOn w:val="36"/>
    <w:qFormat/>
    <w:uiPriority w:val="0"/>
    <w:pPr>
      <w:widowControl/>
      <w:adjustRightInd w:val="0"/>
      <w:snapToGrid w:val="0"/>
      <w:spacing w:after="0" w:line="240" w:lineRule="atLeast"/>
      <w:jc w:val="center"/>
      <w:textAlignment w:val="baseline"/>
    </w:pPr>
    <w:rPr>
      <w:rFonts w:ascii="仿宋_GB2312" w:hAnsi="仿宋_GB2312" w:eastAsia="宋体" w:cs="仿宋_GB2312"/>
      <w:b/>
      <w:bCs/>
      <w:kern w:val="0"/>
      <w:sz w:val="24"/>
      <w:szCs w:val="20"/>
    </w:rPr>
  </w:style>
  <w:style w:type="paragraph" w:customStyle="1" w:styleId="1732">
    <w:name w:val="正文仿宋"/>
    <w:basedOn w:val="1"/>
    <w:qFormat/>
    <w:uiPriority w:val="0"/>
    <w:pPr>
      <w:widowControl/>
      <w:adjustRightInd w:val="0"/>
      <w:snapToGrid w:val="0"/>
      <w:ind w:firstLine="567"/>
      <w:jc w:val="left"/>
    </w:pPr>
    <w:rPr>
      <w:rFonts w:ascii="仿宋_GB2312" w:hAnsi="仿宋_GB2312" w:eastAsia="Times New Roman" w:cs="仿宋_GB2312"/>
      <w:kern w:val="0"/>
      <w:sz w:val="24"/>
      <w:szCs w:val="20"/>
    </w:rPr>
  </w:style>
  <w:style w:type="paragraph" w:customStyle="1" w:styleId="1733">
    <w:name w:val="攀成钢一级标题"/>
    <w:basedOn w:val="1"/>
    <w:qFormat/>
    <w:uiPriority w:val="0"/>
    <w:pPr>
      <w:widowControl/>
      <w:spacing w:line="720" w:lineRule="auto"/>
      <w:jc w:val="left"/>
      <w:outlineLvl w:val="0"/>
    </w:pPr>
    <w:rPr>
      <w:rFonts w:ascii="Times New Roman" w:hAnsi="Times New Roman" w:eastAsia="宋体" w:cs="Times New Roman"/>
      <w:b/>
      <w:color w:val="008000"/>
      <w:kern w:val="0"/>
      <w:sz w:val="30"/>
      <w:szCs w:val="20"/>
    </w:rPr>
  </w:style>
  <w:style w:type="paragraph" w:customStyle="1" w:styleId="1734">
    <w:name w:val="Char Char Char1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1735">
    <w:name w:val="样式 标题 2 + (中文) 宋体"/>
    <w:basedOn w:val="6"/>
    <w:qFormat/>
    <w:uiPriority w:val="0"/>
    <w:pPr>
      <w:keepNext w:val="0"/>
      <w:keepLines w:val="0"/>
      <w:widowControl/>
      <w:numPr>
        <w:ilvl w:val="0"/>
        <w:numId w:val="0"/>
      </w:numPr>
      <w:adjustRightInd w:val="0"/>
      <w:snapToGrid w:val="0"/>
      <w:spacing w:beforeLines="50" w:afterLines="50" w:line="240" w:lineRule="auto"/>
      <w:ind w:left="567" w:hanging="567"/>
      <w:jc w:val="both"/>
    </w:pPr>
    <w:rPr>
      <w:rFonts w:ascii="仿宋_GB2312" w:hAnsi="仿宋_GB2312" w:eastAsia="Times New Roman" w:cs="仿宋_GB2312"/>
      <w:b w:val="0"/>
      <w:color w:val="0000FF"/>
      <w:szCs w:val="28"/>
    </w:rPr>
  </w:style>
  <w:style w:type="paragraph" w:customStyle="1" w:styleId="1736">
    <w:name w:val="Char 正文"/>
    <w:basedOn w:val="5"/>
    <w:qFormat/>
    <w:uiPriority w:val="0"/>
    <w:pPr>
      <w:widowControl/>
      <w:numPr>
        <w:numId w:val="0"/>
      </w:numPr>
      <w:adjustRightInd w:val="0"/>
      <w:snapToGrid w:val="0"/>
      <w:spacing w:before="240" w:after="240" w:line="348" w:lineRule="auto"/>
      <w:jc w:val="left"/>
    </w:pPr>
    <w:rPr>
      <w:rFonts w:ascii="新宋体" w:hAnsi="新宋体" w:eastAsia="宋体" w:cs="仿宋_GB2312"/>
      <w:bCs w:val="0"/>
      <w:sz w:val="24"/>
      <w:szCs w:val="20"/>
    </w:rPr>
  </w:style>
  <w:style w:type="paragraph" w:customStyle="1" w:styleId="1737">
    <w:name w:val="列表 4K"/>
    <w:basedOn w:val="78"/>
    <w:qFormat/>
    <w:uiPriority w:val="0"/>
    <w:pPr>
      <w:widowControl/>
      <w:tabs>
        <w:tab w:val="left" w:pos="1000"/>
      </w:tabs>
      <w:adjustRightInd/>
      <w:spacing w:afterLines="30" w:line="288" w:lineRule="auto"/>
      <w:ind w:left="1000" w:hanging="720"/>
      <w:jc w:val="left"/>
      <w:textAlignment w:val="auto"/>
    </w:pPr>
    <w:rPr>
      <w:rFonts w:ascii="Courier New" w:hAnsi="Courier New" w:cs="仿宋_GB2312"/>
      <w:color w:val="CCFFFF"/>
      <w:kern w:val="2"/>
    </w:rPr>
  </w:style>
  <w:style w:type="paragraph" w:customStyle="1" w:styleId="1738">
    <w:name w:val="列表 F"/>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739">
    <w:name w:val="正文仿宋小四"/>
    <w:basedOn w:val="1"/>
    <w:qFormat/>
    <w:uiPriority w:val="0"/>
    <w:pPr>
      <w:widowControl/>
      <w:adjustRightInd w:val="0"/>
      <w:snapToGrid w:val="0"/>
      <w:ind w:firstLine="480" w:firstLineChars="200"/>
      <w:jc w:val="left"/>
    </w:pPr>
    <w:rPr>
      <w:rFonts w:ascii="仿宋_GB2312" w:hAnsi="仿宋_GB2312" w:eastAsia="Times New Roman" w:cs="仿宋_GB2312"/>
      <w:sz w:val="24"/>
      <w:szCs w:val="24"/>
    </w:rPr>
  </w:style>
  <w:style w:type="paragraph" w:customStyle="1" w:styleId="1740">
    <w:name w:val="一级标题1"/>
    <w:basedOn w:val="770"/>
    <w:next w:val="6"/>
    <w:qFormat/>
    <w:uiPriority w:val="0"/>
    <w:pPr>
      <w:keepNext/>
      <w:keepLines/>
      <w:widowControl/>
      <w:tabs>
        <w:tab w:val="clear" w:pos="425"/>
      </w:tabs>
      <w:adjustRightInd w:val="0"/>
      <w:snapToGrid w:val="0"/>
      <w:spacing w:before="0" w:after="0" w:line="240" w:lineRule="auto"/>
      <w:ind w:left="210" w:leftChars="100" w:right="210" w:rightChars="100" w:firstLine="0"/>
      <w:jc w:val="left"/>
    </w:pPr>
    <w:rPr>
      <w:rFonts w:eastAsia="宋体"/>
      <w:b/>
      <w:color w:val="0000FF"/>
      <w:kern w:val="44"/>
      <w:sz w:val="28"/>
    </w:rPr>
  </w:style>
  <w:style w:type="paragraph" w:customStyle="1" w:styleId="1741">
    <w:name w:val="正文（行首缩进2字）"/>
    <w:basedOn w:val="1"/>
    <w:qFormat/>
    <w:uiPriority w:val="0"/>
    <w:pPr>
      <w:widowControl/>
      <w:ind w:firstLine="200" w:firstLineChars="200"/>
      <w:jc w:val="left"/>
    </w:pPr>
    <w:rPr>
      <w:rFonts w:ascii="仿宋_GB2312" w:hAnsi="仿宋_GB2312" w:eastAsia="宋体" w:cs="仿宋_GB2312"/>
      <w:sz w:val="24"/>
      <w:szCs w:val="24"/>
    </w:rPr>
  </w:style>
  <w:style w:type="paragraph" w:customStyle="1" w:styleId="1742">
    <w:name w:val="样式 样式 样式 首行缩进:  2 字符 + 首行缩进:  2 字符 + 首行缩进:  2 字符"/>
    <w:basedOn w:val="686"/>
    <w:qFormat/>
    <w:uiPriority w:val="0"/>
    <w:pPr>
      <w:widowControl/>
      <w:spacing w:line="240" w:lineRule="auto"/>
      <w:ind w:firstLine="567"/>
      <w:jc w:val="left"/>
    </w:pPr>
    <w:rPr>
      <w:rFonts w:ascii="宋体" w:hAnsi="Times New Roman"/>
      <w:sz w:val="27"/>
      <w:szCs w:val="20"/>
    </w:rPr>
  </w:style>
  <w:style w:type="paragraph" w:customStyle="1" w:styleId="1743">
    <w:name w:val="z-Top of Form1"/>
    <w:next w:val="1"/>
    <w:qFormat/>
    <w:uiPriority w:val="0"/>
    <w:pPr>
      <w:widowControl w:val="0"/>
      <w:pBdr>
        <w:bottom w:val="double" w:color="000000" w:sz="6" w:space="0"/>
      </w:pBdr>
      <w:autoSpaceDE w:val="0"/>
      <w:autoSpaceDN w:val="0"/>
      <w:adjustRightInd w:val="0"/>
      <w:jc w:val="center"/>
    </w:pPr>
    <w:rPr>
      <w:rFonts w:ascii="宋体" w:hAnsi="Tms Rmn" w:eastAsia="宋体" w:cs="Times New Roman"/>
      <w:vanish/>
      <w:sz w:val="16"/>
      <w:lang w:val="en-US" w:eastAsia="zh-CN" w:bidi="ar-SA"/>
    </w:rPr>
  </w:style>
  <w:style w:type="paragraph" w:customStyle="1" w:styleId="1744">
    <w:name w:val="基准页脚样式"/>
    <w:basedOn w:val="36"/>
    <w:qFormat/>
    <w:uiPriority w:val="0"/>
    <w:pPr>
      <w:widowControl/>
      <w:tabs>
        <w:tab w:val="left" w:pos="780"/>
      </w:tabs>
      <w:spacing w:after="0" w:line="320" w:lineRule="exact"/>
      <w:ind w:left="780" w:hanging="360"/>
      <w:jc w:val="center"/>
    </w:pPr>
    <w:rPr>
      <w:rFonts w:ascii="宋体" w:hAnsi="Arial" w:eastAsia="宋体" w:cs="Times New Roman"/>
      <w:spacing w:val="-20"/>
      <w:kern w:val="0"/>
      <w:szCs w:val="20"/>
    </w:rPr>
  </w:style>
  <w:style w:type="paragraph" w:customStyle="1" w:styleId="1745">
    <w:name w:val="xl107"/>
    <w:basedOn w:val="1"/>
    <w:qFormat/>
    <w:uiPriority w:val="0"/>
    <w:pPr>
      <w:widowControl/>
      <w:pBdr>
        <w:top w:val="single" w:color="auto" w:sz="4" w:space="0"/>
        <w:right w:val="single" w:color="auto" w:sz="8"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1746">
    <w:name w:val="表 头"/>
    <w:basedOn w:val="1"/>
    <w:qFormat/>
    <w:uiPriority w:val="0"/>
    <w:pPr>
      <w:widowControl/>
      <w:adjustRightInd w:val="0"/>
      <w:spacing w:before="120" w:after="120" w:line="360" w:lineRule="atLeast"/>
      <w:jc w:val="center"/>
    </w:pPr>
    <w:rPr>
      <w:rFonts w:ascii="Times New Roman" w:hAnsi="Times New Roman" w:eastAsia="黑体" w:cs="Times New Roman"/>
      <w:spacing w:val="10"/>
      <w:kern w:val="0"/>
      <w:sz w:val="24"/>
      <w:szCs w:val="20"/>
    </w:rPr>
  </w:style>
  <w:style w:type="paragraph" w:customStyle="1" w:styleId="1747">
    <w:name w:val="样式 标题 3ReHead 3 WSAh3标题 3 Char标题 32标题 311Re11Head 3 WSA1..."/>
    <w:basedOn w:val="7"/>
    <w:qFormat/>
    <w:uiPriority w:val="0"/>
    <w:pPr>
      <w:keepNext w:val="0"/>
      <w:keepLines w:val="0"/>
      <w:widowControl/>
      <w:numPr>
        <w:ilvl w:val="0"/>
        <w:numId w:val="0"/>
      </w:numPr>
      <w:spacing w:beforeLines="50" w:after="0" w:line="480" w:lineRule="exact"/>
    </w:pPr>
    <w:rPr>
      <w:rFonts w:ascii="宋体" w:hAnsi="宋体" w:eastAsia="宋体" w:cs="宋体"/>
      <w:color w:val="000000"/>
      <w:kern w:val="0"/>
      <w:szCs w:val="20"/>
    </w:rPr>
  </w:style>
  <w:style w:type="paragraph" w:customStyle="1" w:styleId="1748">
    <w:name w:val="附录三级条标题"/>
    <w:basedOn w:val="1749"/>
    <w:next w:val="1"/>
    <w:qFormat/>
    <w:uiPriority w:val="0"/>
    <w:pPr>
      <w:tabs>
        <w:tab w:val="left" w:pos="828"/>
      </w:tabs>
      <w:ind w:left="1068"/>
      <w:outlineLvl w:val="4"/>
    </w:pPr>
  </w:style>
  <w:style w:type="paragraph" w:customStyle="1" w:styleId="1749">
    <w:name w:val="附录二级条标题"/>
    <w:basedOn w:val="1750"/>
    <w:next w:val="1"/>
    <w:qFormat/>
    <w:uiPriority w:val="0"/>
    <w:pPr>
      <w:tabs>
        <w:tab w:val="left" w:pos="828"/>
      </w:tabs>
      <w:ind w:left="360" w:hanging="360"/>
      <w:outlineLvl w:val="3"/>
    </w:pPr>
  </w:style>
  <w:style w:type="paragraph" w:customStyle="1" w:styleId="1750">
    <w:name w:val="附录一级条标题"/>
    <w:basedOn w:val="1751"/>
    <w:next w:val="1"/>
    <w:qFormat/>
    <w:uiPriority w:val="0"/>
    <w:pPr>
      <w:tabs>
        <w:tab w:val="left" w:pos="828"/>
      </w:tabs>
      <w:autoSpaceDN w:val="0"/>
      <w:ind w:left="828" w:hanging="240"/>
      <w:outlineLvl w:val="2"/>
    </w:pPr>
  </w:style>
  <w:style w:type="paragraph" w:customStyle="1" w:styleId="1751">
    <w:name w:val="附录章标题"/>
    <w:next w:val="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752">
    <w:name w:val="Texte"/>
    <w:basedOn w:val="1"/>
    <w:qFormat/>
    <w:uiPriority w:val="0"/>
    <w:pPr>
      <w:widowControl/>
      <w:spacing w:before="120" w:after="120" w:line="240" w:lineRule="auto"/>
      <w:ind w:left="851" w:firstLine="200" w:firstLineChars="200"/>
      <w:jc w:val="left"/>
    </w:pPr>
    <w:rPr>
      <w:rFonts w:ascii="Courier New" w:hAnsi="Courier New" w:eastAsia="宋体" w:cs="仿宋_GB2312"/>
      <w:kern w:val="0"/>
      <w:sz w:val="22"/>
      <w:szCs w:val="20"/>
      <w:lang w:val="en-GB"/>
    </w:rPr>
  </w:style>
  <w:style w:type="paragraph" w:customStyle="1" w:styleId="1753">
    <w:name w:val="连续正文文字"/>
    <w:basedOn w:val="36"/>
    <w:qFormat/>
    <w:uiPriority w:val="0"/>
    <w:pPr>
      <w:keepNext/>
      <w:widowControl/>
      <w:spacing w:after="220" w:line="280" w:lineRule="exact"/>
      <w:jc w:val="center"/>
    </w:pPr>
    <w:rPr>
      <w:rFonts w:ascii="仿宋_GB2312" w:hAnsi="仿宋_GB2312" w:eastAsia="宋体" w:cs="仿宋_GB2312"/>
      <w:kern w:val="0"/>
      <w:sz w:val="30"/>
      <w:szCs w:val="20"/>
    </w:rPr>
  </w:style>
  <w:style w:type="paragraph" w:customStyle="1" w:styleId="1754">
    <w:name w:val="(一)內文"/>
    <w:basedOn w:val="1"/>
    <w:qFormat/>
    <w:uiPriority w:val="0"/>
    <w:pPr>
      <w:widowControl/>
      <w:snapToGrid w:val="0"/>
      <w:spacing w:line="480" w:lineRule="atLeast"/>
      <w:ind w:left="1202" w:firstLine="601"/>
      <w:jc w:val="left"/>
    </w:pPr>
    <w:rPr>
      <w:rFonts w:ascii="仿宋_GB2312" w:hAnsi="仿宋_GB2312" w:eastAsia="MS Gothic" w:cs="仿宋_GB2312"/>
      <w:sz w:val="28"/>
      <w:szCs w:val="20"/>
      <w:lang w:eastAsia="zh-TW"/>
    </w:rPr>
  </w:style>
  <w:style w:type="paragraph" w:customStyle="1" w:styleId="1755">
    <w:name w:val="文章总标题"/>
    <w:basedOn w:val="1"/>
    <w:next w:val="1"/>
    <w:qFormat/>
    <w:uiPriority w:val="0"/>
    <w:pPr>
      <w:widowControl/>
      <w:spacing w:before="566" w:after="544" w:line="566" w:lineRule="atLeast"/>
      <w:jc w:val="center"/>
      <w:textAlignment w:val="baseline"/>
    </w:pPr>
    <w:rPr>
      <w:rFonts w:ascii="Courier New" w:hAnsi="仿宋_GB2312" w:eastAsia="楷体" w:cs="Courier New"/>
      <w:bCs/>
      <w:color w:val="000000"/>
      <w:kern w:val="0"/>
      <w:sz w:val="54"/>
      <w:szCs w:val="54"/>
      <w:u w:color="000000"/>
    </w:rPr>
  </w:style>
  <w:style w:type="paragraph" w:customStyle="1" w:styleId="1756">
    <w:name w:val="正文 + 首行缩进:  2 字符"/>
    <w:basedOn w:val="1"/>
    <w:qFormat/>
    <w:uiPriority w:val="0"/>
    <w:pPr>
      <w:widowControl/>
      <w:spacing w:line="460" w:lineRule="atLeast"/>
      <w:ind w:firstLine="528" w:firstLineChars="200"/>
      <w:jc w:val="left"/>
    </w:pPr>
    <w:rPr>
      <w:rFonts w:ascii="Times New Roman" w:hAnsi="Times New Roman" w:eastAsia="宋体" w:cs="Times New Roman"/>
      <w:spacing w:val="12"/>
      <w:sz w:val="24"/>
      <w:szCs w:val="20"/>
    </w:rPr>
  </w:style>
  <w:style w:type="paragraph" w:customStyle="1" w:styleId="1757">
    <w:name w:val="正文-叶"/>
    <w:basedOn w:val="1"/>
    <w:qFormat/>
    <w:uiPriority w:val="0"/>
    <w:pPr>
      <w:widowControl/>
      <w:topLinePunct/>
      <w:spacing w:line="312" w:lineRule="auto"/>
      <w:ind w:firstLine="465"/>
      <w:jc w:val="left"/>
    </w:pPr>
    <w:rPr>
      <w:rFonts w:ascii="仿宋_GB2312" w:hAnsi="仿宋_GB2312" w:eastAsia="宋体" w:cs="仿宋_GB2312"/>
      <w:sz w:val="24"/>
      <w:szCs w:val="20"/>
    </w:rPr>
  </w:style>
  <w:style w:type="paragraph" w:customStyle="1" w:styleId="1758">
    <w:name w:val="列表 2N"/>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759">
    <w:name w:val="三级无标题条"/>
    <w:basedOn w:val="1"/>
    <w:qFormat/>
    <w:uiPriority w:val="0"/>
    <w:pPr>
      <w:widowControl/>
      <w:spacing w:line="240" w:lineRule="auto"/>
      <w:jc w:val="left"/>
    </w:pPr>
    <w:rPr>
      <w:rFonts w:ascii="Times New Roman" w:hAnsi="Times New Roman" w:eastAsia="宋体" w:cs="Times New Roman"/>
      <w:szCs w:val="20"/>
    </w:rPr>
  </w:style>
  <w:style w:type="paragraph" w:customStyle="1" w:styleId="1760">
    <w:name w:val="样式 标题 2 + 黑体 加粗"/>
    <w:basedOn w:val="6"/>
    <w:qFormat/>
    <w:uiPriority w:val="0"/>
    <w:pPr>
      <w:widowControl/>
      <w:numPr>
        <w:ilvl w:val="0"/>
        <w:numId w:val="0"/>
      </w:numPr>
      <w:spacing w:beforeLines="50" w:after="0" w:line="440" w:lineRule="exact"/>
    </w:pPr>
    <w:rPr>
      <w:rFonts w:ascii="黑体" w:hAnsi="黑体" w:eastAsia="黑体" w:cs="Times New Roman"/>
      <w:b w:val="0"/>
      <w:kern w:val="0"/>
      <w:sz w:val="30"/>
    </w:rPr>
  </w:style>
  <w:style w:type="paragraph" w:customStyle="1" w:styleId="1761">
    <w:name w:val="章标题(不加入目录内)"/>
    <w:basedOn w:val="85"/>
    <w:qFormat/>
    <w:uiPriority w:val="0"/>
    <w:pPr>
      <w:keepLines/>
      <w:pageBreakBefore/>
      <w:widowControl/>
      <w:spacing w:after="120"/>
      <w:outlineLvl w:val="9"/>
    </w:pPr>
    <w:rPr>
      <w:rFonts w:ascii="仿宋_GB2312" w:hAnsi="仿宋_GB2312" w:eastAsia="楷体" w:cs="仿宋_GB2312"/>
      <w:bCs w:val="0"/>
      <w:sz w:val="36"/>
      <w:szCs w:val="20"/>
    </w:rPr>
  </w:style>
  <w:style w:type="paragraph" w:customStyle="1" w:styleId="1762">
    <w:name w:val="正文文本缩进 3111"/>
    <w:basedOn w:val="1"/>
    <w:qFormat/>
    <w:uiPriority w:val="0"/>
    <w:pPr>
      <w:widowControl/>
      <w:adjustRightInd w:val="0"/>
      <w:spacing w:line="360" w:lineRule="atLeast"/>
      <w:ind w:firstLine="480"/>
      <w:jc w:val="left"/>
      <w:textAlignment w:val="baseline"/>
    </w:pPr>
    <w:rPr>
      <w:rFonts w:ascii="Verdana" w:hAnsi="仿宋_GB2312" w:eastAsia="宋体" w:cs="仿宋_GB2312"/>
      <w:kern w:val="0"/>
      <w:sz w:val="24"/>
      <w:szCs w:val="20"/>
    </w:rPr>
  </w:style>
  <w:style w:type="paragraph" w:customStyle="1" w:styleId="1763">
    <w:name w:val="项目点符号"/>
    <w:basedOn w:val="1"/>
    <w:qFormat/>
    <w:uiPriority w:val="0"/>
    <w:pPr>
      <w:widowControl/>
      <w:ind w:firstLine="539" w:firstLineChars="214"/>
      <w:jc w:val="left"/>
    </w:pPr>
    <w:rPr>
      <w:rFonts w:ascii="Times New Roman" w:hAnsi="Times New Roman" w:eastAsia="宋体" w:cs="Times New Roman"/>
      <w:color w:val="000000"/>
      <w:spacing w:val="6"/>
      <w:sz w:val="24"/>
      <w:szCs w:val="24"/>
    </w:rPr>
  </w:style>
  <w:style w:type="paragraph" w:customStyle="1" w:styleId="1764">
    <w:name w:val="列表 2C"/>
    <w:basedOn w:val="38"/>
    <w:qFormat/>
    <w:uiPriority w:val="0"/>
    <w:pPr>
      <w:widowControl/>
      <w:tabs>
        <w:tab w:val="left" w:pos="1275"/>
      </w:tabs>
      <w:adjustRightInd/>
      <w:spacing w:beforeLines="0" w:beforeAutospacing="1" w:after="100" w:afterAutospacing="1" w:line="288" w:lineRule="auto"/>
      <w:ind w:left="1275" w:hanging="705"/>
      <w:jc w:val="left"/>
      <w:textAlignment w:val="auto"/>
    </w:pPr>
    <w:rPr>
      <w:rFonts w:ascii="Courier New" w:hAnsi="Courier New" w:cs="仿宋_GB2312"/>
      <w:color w:val="FFFF99"/>
      <w:kern w:val="2"/>
    </w:rPr>
  </w:style>
  <w:style w:type="paragraph" w:customStyle="1" w:styleId="1765">
    <w:name w:val="正文m"/>
    <w:basedOn w:val="1"/>
    <w:qFormat/>
    <w:uiPriority w:val="0"/>
    <w:pPr>
      <w:widowControl/>
      <w:ind w:firstLine="480" w:firstLineChars="200"/>
      <w:jc w:val="left"/>
    </w:pPr>
    <w:rPr>
      <w:rFonts w:ascii="楷体" w:hAnsi="Symusic" w:eastAsia="Times New Roman" w:cs="仿宋_GB2312"/>
      <w:sz w:val="24"/>
      <w:szCs w:val="24"/>
    </w:rPr>
  </w:style>
  <w:style w:type="paragraph" w:customStyle="1" w:styleId="1766">
    <w:name w:val="二级条标题"/>
    <w:basedOn w:val="1767"/>
    <w:next w:val="1"/>
    <w:qFormat/>
    <w:uiPriority w:val="0"/>
    <w:pPr>
      <w:tabs>
        <w:tab w:val="left" w:pos="360"/>
      </w:tabs>
      <w:outlineLvl w:val="3"/>
    </w:pPr>
  </w:style>
  <w:style w:type="paragraph" w:customStyle="1" w:styleId="1767">
    <w:name w:val="一级条标题"/>
    <w:basedOn w:val="5"/>
    <w:next w:val="1"/>
    <w:qFormat/>
    <w:uiPriority w:val="0"/>
    <w:pPr>
      <w:keepNext w:val="0"/>
      <w:keepLines w:val="0"/>
      <w:widowControl/>
      <w:numPr>
        <w:numId w:val="0"/>
      </w:numPr>
      <w:tabs>
        <w:tab w:val="left" w:pos="360"/>
      </w:tabs>
      <w:spacing w:before="0" w:after="0" w:line="240" w:lineRule="auto"/>
      <w:jc w:val="left"/>
      <w:outlineLvl w:val="2"/>
    </w:pPr>
    <w:rPr>
      <w:rFonts w:ascii="黑体" w:eastAsia="黑体" w:cs="Times New Roman"/>
      <w:b w:val="0"/>
      <w:bCs w:val="0"/>
      <w:kern w:val="0"/>
      <w:sz w:val="21"/>
      <w:szCs w:val="20"/>
    </w:rPr>
  </w:style>
  <w:style w:type="paragraph" w:customStyle="1" w:styleId="176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769">
    <w:name w:val="正文文本最新 Char Char Char1 Char Char Char Char Char"/>
    <w:qFormat/>
    <w:uiPriority w:val="0"/>
    <w:pPr>
      <w:spacing w:line="360" w:lineRule="auto"/>
      <w:ind w:firstLine="200" w:firstLineChars="200"/>
      <w:jc w:val="both"/>
    </w:pPr>
    <w:rPr>
      <w:rFonts w:ascii="仿宋_GB2312" w:hAnsi="仿宋_GB2312" w:eastAsia="宋体" w:cs="仿宋_GB2312"/>
      <w:bCs/>
      <w:kern w:val="2"/>
      <w:sz w:val="28"/>
      <w:szCs w:val="24"/>
      <w:lang w:val="en-US" w:eastAsia="zh-CN" w:bidi="ar-SA"/>
    </w:rPr>
  </w:style>
  <w:style w:type="paragraph" w:customStyle="1" w:styleId="1770">
    <w:name w:val="列表 5D"/>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771">
    <w:name w:val="正文缩进 2字符"/>
    <w:basedOn w:val="1"/>
    <w:qFormat/>
    <w:uiPriority w:val="0"/>
    <w:pPr>
      <w:widowControl/>
      <w:tabs>
        <w:tab w:val="left" w:pos="2160"/>
      </w:tabs>
      <w:snapToGrid w:val="0"/>
      <w:spacing w:before="120" w:after="120" w:line="240" w:lineRule="auto"/>
      <w:ind w:firstLine="480" w:firstLineChars="200"/>
      <w:jc w:val="left"/>
    </w:pPr>
    <w:rPr>
      <w:rFonts w:ascii="仿宋_GB2312" w:hAnsi="仿宋_GB2312" w:eastAsia="Times New Roman" w:cs="仿宋_GB2312"/>
      <w:color w:val="000000"/>
    </w:rPr>
  </w:style>
  <w:style w:type="paragraph" w:customStyle="1" w:styleId="1772">
    <w:name w:val="02"/>
    <w:basedOn w:val="6"/>
    <w:qFormat/>
    <w:uiPriority w:val="0"/>
    <w:pPr>
      <w:widowControl/>
      <w:numPr>
        <w:ilvl w:val="0"/>
        <w:numId w:val="0"/>
      </w:numPr>
      <w:spacing w:beforeLines="50" w:after="0" w:line="480" w:lineRule="auto"/>
      <w:jc w:val="both"/>
    </w:pPr>
    <w:rPr>
      <w:rFonts w:ascii="仿宋_GB2312" w:hAnsi="仿宋_GB2312" w:eastAsia="Times New Roman" w:cs="仿宋_GB2312"/>
      <w:color w:val="333333"/>
      <w:sz w:val="24"/>
      <w:szCs w:val="20"/>
    </w:rPr>
  </w:style>
  <w:style w:type="paragraph" w:customStyle="1" w:styleId="1773">
    <w:name w:val="body 1"/>
    <w:basedOn w:val="1"/>
    <w:qFormat/>
    <w:uiPriority w:val="0"/>
    <w:pPr>
      <w:widowControl/>
      <w:adjustRightInd w:val="0"/>
      <w:spacing w:line="360" w:lineRule="atLeast"/>
      <w:jc w:val="left"/>
      <w:textAlignment w:val="baseline"/>
    </w:pPr>
    <w:rPr>
      <w:rFonts w:ascii="MingLiU" w:hAnsi="仿宋_GB2312" w:eastAsia="MingLiU" w:cs="仿宋_GB2312"/>
      <w:spacing w:val="60"/>
      <w:kern w:val="0"/>
      <w:sz w:val="24"/>
      <w:szCs w:val="20"/>
      <w:lang w:eastAsia="zh-TW"/>
    </w:rPr>
  </w:style>
  <w:style w:type="paragraph" w:customStyle="1" w:styleId="1774">
    <w:name w:val="样式 标题 3小标题小节标题标题3H3h33rd level第二层条标题4 + 非加粗 左 段前: 6 磅..."/>
    <w:basedOn w:val="7"/>
    <w:qFormat/>
    <w:uiPriority w:val="0"/>
    <w:pPr>
      <w:widowControl/>
      <w:numPr>
        <w:ilvl w:val="0"/>
        <w:numId w:val="0"/>
      </w:numPr>
      <w:tabs>
        <w:tab w:val="left" w:pos="1080"/>
      </w:tabs>
      <w:spacing w:before="120" w:after="120" w:line="360" w:lineRule="auto"/>
      <w:ind w:left="851" w:hanging="851"/>
    </w:pPr>
    <w:rPr>
      <w:rFonts w:ascii="Courier New" w:hAnsi="Courier New" w:eastAsia="宋体" w:cs="Courier New"/>
      <w:b w:val="0"/>
      <w:color w:val="000000"/>
      <w:sz w:val="30"/>
      <w:szCs w:val="30"/>
    </w:rPr>
  </w:style>
  <w:style w:type="paragraph" w:customStyle="1" w:styleId="1775">
    <w:name w:val="项目1"/>
    <w:basedOn w:val="1"/>
    <w:qFormat/>
    <w:uiPriority w:val="0"/>
    <w:pPr>
      <w:widowControl/>
      <w:tabs>
        <w:tab w:val="left" w:pos="425"/>
      </w:tabs>
      <w:snapToGrid w:val="0"/>
      <w:spacing w:line="240" w:lineRule="atLeast"/>
      <w:ind w:left="425" w:hanging="425"/>
      <w:jc w:val="left"/>
    </w:pPr>
    <w:rPr>
      <w:rFonts w:ascii="仿宋_GB2312" w:hAnsi="仿宋_GB2312" w:eastAsia="宋体" w:cs="仿宋_GB2312"/>
      <w:sz w:val="28"/>
      <w:szCs w:val="20"/>
    </w:rPr>
  </w:style>
  <w:style w:type="paragraph" w:customStyle="1" w:styleId="1776">
    <w:name w:val="表格方案样式2"/>
    <w:basedOn w:val="1"/>
    <w:qFormat/>
    <w:uiPriority w:val="0"/>
    <w:pPr>
      <w:widowControl/>
      <w:tabs>
        <w:tab w:val="left" w:pos="567"/>
      </w:tabs>
      <w:spacing w:line="240" w:lineRule="auto"/>
      <w:jc w:val="center"/>
    </w:pPr>
    <w:rPr>
      <w:rFonts w:ascii="Times New Roman" w:hAnsi="Times New Roman" w:eastAsia="华文中宋" w:cs="Times New Roman"/>
      <w:sz w:val="24"/>
      <w:szCs w:val="20"/>
    </w:rPr>
  </w:style>
  <w:style w:type="paragraph" w:customStyle="1" w:styleId="1777">
    <w:name w:val="正文文字首航缩2字"/>
    <w:basedOn w:val="1"/>
    <w:qFormat/>
    <w:uiPriority w:val="0"/>
    <w:pPr>
      <w:widowControl/>
      <w:ind w:firstLine="200" w:firstLineChars="200"/>
      <w:jc w:val="left"/>
    </w:pPr>
    <w:rPr>
      <w:rFonts w:ascii="仿宋_GB2312" w:hAnsi="仿宋_GB2312" w:eastAsia="宋体" w:cs="仿宋_GB2312"/>
      <w:sz w:val="24"/>
      <w:szCs w:val="24"/>
    </w:rPr>
  </w:style>
  <w:style w:type="paragraph" w:customStyle="1" w:styleId="1778">
    <w:name w:val="xl94"/>
    <w:basedOn w:val="1"/>
    <w:qFormat/>
    <w:uiPriority w:val="0"/>
    <w:pPr>
      <w:widowControl/>
      <w:pBdr>
        <w:bottom w:val="single" w:color="auto" w:sz="4" w:space="0"/>
      </w:pBdr>
      <w:spacing w:before="100" w:beforeAutospacing="1" w:after="100" w:afterAutospacing="1" w:line="240" w:lineRule="auto"/>
      <w:jc w:val="center"/>
      <w:textAlignment w:val="center"/>
    </w:pPr>
    <w:rPr>
      <w:rFonts w:ascii="宋体" w:hAnsi="宋体" w:eastAsia="宋体" w:cs="Arial Unicode MS"/>
      <w:b/>
      <w:bCs/>
      <w:color w:val="FF0000"/>
      <w:kern w:val="0"/>
      <w:lang w:eastAsia="zh-TW"/>
    </w:rPr>
  </w:style>
  <w:style w:type="paragraph" w:customStyle="1" w:styleId="1779">
    <w:name w:val="排序（1）（2）"/>
    <w:basedOn w:val="1"/>
    <w:qFormat/>
    <w:uiPriority w:val="0"/>
    <w:pPr>
      <w:widowControl/>
      <w:spacing w:line="460" w:lineRule="atLeast"/>
      <w:jc w:val="left"/>
    </w:pPr>
    <w:rPr>
      <w:rFonts w:ascii="Times New Roman" w:hAnsi="Times New Roman" w:eastAsia="宋体" w:cs="Times New Roman"/>
      <w:spacing w:val="12"/>
      <w:sz w:val="24"/>
      <w:szCs w:val="24"/>
    </w:rPr>
  </w:style>
  <w:style w:type="paragraph" w:customStyle="1" w:styleId="1780">
    <w:name w:val="列表 K"/>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781">
    <w:name w:val="列表 5C"/>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782">
    <w:name w:val="列项及编号"/>
    <w:basedOn w:val="1597"/>
    <w:qFormat/>
    <w:uiPriority w:val="0"/>
    <w:pPr>
      <w:adjustRightInd w:val="0"/>
      <w:snapToGrid w:val="0"/>
      <w:spacing w:line="288" w:lineRule="auto"/>
      <w:ind w:firstLine="0" w:firstLineChars="0"/>
    </w:pPr>
  </w:style>
  <w:style w:type="paragraph" w:customStyle="1" w:styleId="1783">
    <w:name w:val="首行缩进"/>
    <w:basedOn w:val="1"/>
    <w:qFormat/>
    <w:uiPriority w:val="0"/>
    <w:pPr>
      <w:widowControl/>
      <w:spacing w:line="460" w:lineRule="exact"/>
      <w:jc w:val="center"/>
    </w:pPr>
    <w:rPr>
      <w:rFonts w:ascii="黑体" w:hAnsi="Times New Roman" w:eastAsia="黑体" w:cs="Times New Roman"/>
      <w:spacing w:val="16"/>
      <w:sz w:val="24"/>
      <w:szCs w:val="20"/>
    </w:rPr>
  </w:style>
  <w:style w:type="paragraph" w:customStyle="1" w:styleId="1784">
    <w:name w:val="2 Char Char Char Char Char Char Char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1785">
    <w:name w:val="样式 标题 2 + 段后: 0.5 行"/>
    <w:basedOn w:val="6"/>
    <w:qFormat/>
    <w:uiPriority w:val="0"/>
    <w:pPr>
      <w:keepNext w:val="0"/>
      <w:keepLines w:val="0"/>
      <w:widowControl/>
      <w:numPr>
        <w:ilvl w:val="0"/>
        <w:numId w:val="0"/>
      </w:numPr>
      <w:adjustRightInd w:val="0"/>
      <w:snapToGrid w:val="0"/>
      <w:spacing w:beforeLines="50" w:after="0" w:line="240" w:lineRule="auto"/>
      <w:ind w:firstLine="567"/>
      <w:jc w:val="both"/>
    </w:pPr>
    <w:rPr>
      <w:rFonts w:ascii="仿宋_GB2312" w:hAnsi="仿宋_GB2312" w:eastAsia="Times New Roman" w:cs="仿宋_GB2312"/>
      <w:bCs w:val="0"/>
      <w:color w:val="000000"/>
      <w:sz w:val="30"/>
    </w:rPr>
  </w:style>
  <w:style w:type="paragraph" w:customStyle="1" w:styleId="1786">
    <w:name w:val="正文表格"/>
    <w:basedOn w:val="1"/>
    <w:qFormat/>
    <w:uiPriority w:val="0"/>
    <w:pPr>
      <w:keepNext/>
      <w:keepLines/>
      <w:widowControl/>
      <w:tabs>
        <w:tab w:val="center" w:pos="6804"/>
      </w:tabs>
      <w:overflowPunct w:val="0"/>
      <w:adjustRightInd w:val="0"/>
      <w:spacing w:before="80" w:line="240" w:lineRule="auto"/>
      <w:jc w:val="center"/>
      <w:textAlignment w:val="bottom"/>
    </w:pPr>
    <w:rPr>
      <w:rFonts w:ascii="Times New Roman" w:hAnsi="Times New Roman" w:eastAsia="宋体" w:cs="Times New Roman"/>
      <w:kern w:val="0"/>
      <w:sz w:val="28"/>
      <w:szCs w:val="20"/>
    </w:rPr>
  </w:style>
  <w:style w:type="paragraph" w:customStyle="1" w:styleId="1787">
    <w:name w:val="8--"/>
    <w:basedOn w:val="1"/>
    <w:qFormat/>
    <w:uiPriority w:val="0"/>
    <w:pPr>
      <w:widowControl/>
      <w:adjustRightInd w:val="0"/>
      <w:spacing w:line="360" w:lineRule="atLeast"/>
      <w:jc w:val="left"/>
      <w:textAlignment w:val="baseline"/>
    </w:pPr>
    <w:rPr>
      <w:rFonts w:ascii="Times New Roman" w:hAnsi="Times New Roman" w:eastAsia="宋体" w:cs="Times New Roman"/>
      <w:kern w:val="0"/>
      <w:sz w:val="24"/>
      <w:szCs w:val="20"/>
    </w:rPr>
  </w:style>
  <w:style w:type="paragraph" w:customStyle="1" w:styleId="1788">
    <w:name w:val="攀成钢表格内容"/>
    <w:basedOn w:val="1"/>
    <w:qFormat/>
    <w:uiPriority w:val="0"/>
    <w:pPr>
      <w:widowControl/>
      <w:adjustRightInd w:val="0"/>
      <w:snapToGrid w:val="0"/>
      <w:spacing w:line="240" w:lineRule="auto"/>
      <w:jc w:val="center"/>
    </w:pPr>
    <w:rPr>
      <w:rFonts w:ascii="Times New Roman" w:hAnsi="Times New Roman" w:eastAsia="宋体" w:cs="Times New Roman"/>
      <w:color w:val="008000"/>
      <w:kern w:val="0"/>
      <w:sz w:val="24"/>
      <w:szCs w:val="20"/>
    </w:rPr>
  </w:style>
  <w:style w:type="paragraph" w:customStyle="1" w:styleId="1789">
    <w:name w:val="报告2"/>
    <w:basedOn w:val="490"/>
    <w:qFormat/>
    <w:uiPriority w:val="0"/>
    <w:pPr>
      <w:widowControl/>
      <w:tabs>
        <w:tab w:val="left" w:pos="895"/>
      </w:tabs>
      <w:ind w:left="895" w:hanging="390"/>
    </w:pPr>
    <w:rPr>
      <w:rFonts w:ascii="Arial Unicode MS" w:hAnsi="Arial Unicode MS" w:cs="仿宋_GB2312"/>
    </w:rPr>
  </w:style>
  <w:style w:type="paragraph" w:customStyle="1" w:styleId="1790">
    <w:name w:val="Char2 Char Char Char Char Char Char"/>
    <w:basedOn w:val="1"/>
    <w:qFormat/>
    <w:uiPriority w:val="0"/>
    <w:pPr>
      <w:widowControl/>
      <w:spacing w:line="240" w:lineRule="auto"/>
      <w:jc w:val="left"/>
    </w:pPr>
    <w:rPr>
      <w:rFonts w:ascii="Times New Roman" w:hAnsi="Times New Roman" w:eastAsia="宋体" w:cs="Times New Roman"/>
      <w:sz w:val="24"/>
      <w:szCs w:val="20"/>
    </w:rPr>
  </w:style>
  <w:style w:type="paragraph" w:customStyle="1" w:styleId="1791">
    <w:name w:val="正文标题3"/>
    <w:basedOn w:val="7"/>
    <w:qFormat/>
    <w:uiPriority w:val="0"/>
    <w:pPr>
      <w:widowControl/>
      <w:numPr>
        <w:ilvl w:val="0"/>
        <w:numId w:val="0"/>
      </w:numPr>
      <w:spacing w:before="0" w:after="0" w:line="240" w:lineRule="auto"/>
    </w:pPr>
    <w:rPr>
      <w:rFonts w:ascii="仿宋_GB2312" w:hAnsi="仿宋_GB2312" w:eastAsia="楷体" w:cs="仿宋_GB2312"/>
      <w:b w:val="0"/>
      <w:sz w:val="28"/>
    </w:rPr>
  </w:style>
  <w:style w:type="paragraph" w:customStyle="1" w:styleId="1792">
    <w:name w:val="图目录"/>
    <w:basedOn w:val="1"/>
    <w:qFormat/>
    <w:uiPriority w:val="0"/>
    <w:pPr>
      <w:widowControl/>
      <w:adjustRightInd w:val="0"/>
      <w:snapToGrid w:val="0"/>
      <w:ind w:firstLine="480" w:firstLineChars="200"/>
      <w:jc w:val="left"/>
    </w:pPr>
    <w:rPr>
      <w:rFonts w:ascii="仿宋_GB2312" w:hAnsi="仿宋_GB2312" w:eastAsia="宋体" w:cs="仿宋_GB2312"/>
      <w:sz w:val="24"/>
      <w:szCs w:val="24"/>
    </w:rPr>
  </w:style>
  <w:style w:type="paragraph" w:customStyle="1" w:styleId="1793">
    <w:name w:val="xl103"/>
    <w:basedOn w:val="1"/>
    <w:qFormat/>
    <w:uiPriority w:val="0"/>
    <w:pPr>
      <w:widowControl/>
      <w:pBdr>
        <w:top w:val="single" w:color="auto" w:sz="4" w:space="0"/>
        <w:left w:val="single" w:color="auto" w:sz="8" w:space="0"/>
      </w:pBdr>
      <w:spacing w:before="100" w:beforeAutospacing="1" w:after="100" w:afterAutospacing="1" w:line="240" w:lineRule="auto"/>
      <w:jc w:val="left"/>
      <w:textAlignment w:val="center"/>
    </w:pPr>
    <w:rPr>
      <w:rFonts w:ascii="華康中楷體" w:hAnsi="華康中楷體" w:eastAsia="華康中楷體" w:cs="華康中楷體"/>
      <w:kern w:val="0"/>
      <w:sz w:val="16"/>
      <w:szCs w:val="16"/>
    </w:rPr>
  </w:style>
  <w:style w:type="paragraph" w:customStyle="1" w:styleId="1794">
    <w:name w:val="列表 2U"/>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795">
    <w:name w:val="正文首行缩进 2 + Times New Roman"/>
    <w:basedOn w:val="1"/>
    <w:qFormat/>
    <w:uiPriority w:val="0"/>
    <w:pPr>
      <w:widowControl/>
      <w:tabs>
        <w:tab w:val="left" w:pos="0"/>
        <w:tab w:val="left" w:pos="870"/>
        <w:tab w:val="left" w:pos="3150"/>
      </w:tabs>
      <w:autoSpaceDE w:val="0"/>
      <w:autoSpaceDN w:val="0"/>
      <w:spacing w:line="312" w:lineRule="auto"/>
      <w:ind w:firstLine="480" w:firstLineChars="200"/>
      <w:jc w:val="left"/>
    </w:pPr>
    <w:rPr>
      <w:rFonts w:ascii="仿宋_GB2312" w:hAnsi="仿宋_GB2312" w:eastAsia="宋体" w:cs="仿宋_GB2312"/>
      <w:kern w:val="0"/>
      <w:sz w:val="24"/>
      <w:szCs w:val="24"/>
    </w:rPr>
  </w:style>
  <w:style w:type="paragraph" w:customStyle="1" w:styleId="1796">
    <w:name w:val="表格后正文"/>
    <w:basedOn w:val="877"/>
    <w:qFormat/>
    <w:uiPriority w:val="0"/>
    <w:pPr>
      <w:widowControl/>
      <w:spacing w:before="200"/>
      <w:jc w:val="left"/>
    </w:pPr>
    <w:rPr>
      <w:rFonts w:eastAsia="华文中宋"/>
    </w:rPr>
  </w:style>
  <w:style w:type="paragraph" w:customStyle="1" w:styleId="1797">
    <w:name w:val="我的标题3"/>
    <w:basedOn w:val="1"/>
    <w:qFormat/>
    <w:uiPriority w:val="0"/>
    <w:pPr>
      <w:widowControl/>
      <w:spacing w:line="240" w:lineRule="auto"/>
      <w:jc w:val="left"/>
    </w:pPr>
    <w:rPr>
      <w:rFonts w:ascii="仿宋_GB2312" w:hAnsi="仿宋_GB2312" w:eastAsia="宋体" w:cs="仿宋_GB2312"/>
      <w:b/>
      <w:sz w:val="28"/>
      <w:szCs w:val="24"/>
    </w:rPr>
  </w:style>
  <w:style w:type="paragraph" w:customStyle="1" w:styleId="1798">
    <w:name w:val="样式 标题 2 + 段前: 6 磅"/>
    <w:basedOn w:val="6"/>
    <w:qFormat/>
    <w:uiPriority w:val="0"/>
    <w:pPr>
      <w:keepNext w:val="0"/>
      <w:keepLines w:val="0"/>
      <w:widowControl/>
      <w:numPr>
        <w:ilvl w:val="0"/>
        <w:numId w:val="0"/>
      </w:numPr>
      <w:adjustRightInd w:val="0"/>
      <w:snapToGrid w:val="0"/>
      <w:spacing w:beforeLines="50" w:after="0" w:line="240" w:lineRule="auto"/>
      <w:ind w:left="567" w:hanging="567"/>
      <w:jc w:val="both"/>
    </w:pPr>
    <w:rPr>
      <w:rFonts w:ascii="仿宋_GB2312" w:hAnsi="仿宋_GB2312" w:eastAsia="楷体" w:cs="Verdana"/>
      <w:b w:val="0"/>
      <w:bCs w:val="0"/>
      <w:color w:val="0000FF"/>
      <w:sz w:val="24"/>
      <w:szCs w:val="20"/>
    </w:rPr>
  </w:style>
  <w:style w:type="paragraph" w:customStyle="1" w:styleId="1799">
    <w:name w:val="符号说明"/>
    <w:basedOn w:val="1"/>
    <w:qFormat/>
    <w:uiPriority w:val="0"/>
    <w:pPr>
      <w:widowControl/>
      <w:tabs>
        <w:tab w:val="left" w:pos="1260"/>
        <w:tab w:val="left" w:pos="3780"/>
        <w:tab w:val="left" w:pos="4680"/>
      </w:tabs>
      <w:ind w:firstLine="840" w:firstLineChars="400"/>
      <w:jc w:val="left"/>
    </w:pPr>
    <w:rPr>
      <w:rFonts w:ascii="仿宋_GB2312" w:hAnsi="仿宋_GB2312" w:eastAsia="宋体" w:cs="仿宋_GB2312"/>
    </w:rPr>
  </w:style>
  <w:style w:type="paragraph" w:customStyle="1" w:styleId="1800">
    <w:name w:val="蒲标题1"/>
    <w:basedOn w:val="5"/>
    <w:qFormat/>
    <w:uiPriority w:val="0"/>
    <w:pPr>
      <w:widowControl/>
      <w:numPr>
        <w:numId w:val="0"/>
      </w:numPr>
      <w:adjustRightInd w:val="0"/>
      <w:snapToGrid w:val="0"/>
      <w:spacing w:before="100" w:after="100" w:line="240" w:lineRule="auto"/>
      <w:jc w:val="left"/>
    </w:pPr>
    <w:rPr>
      <w:rFonts w:eastAsia="宋体" w:cs="Times New Roman"/>
      <w:color w:val="0000FF"/>
      <w:kern w:val="2"/>
      <w:szCs w:val="32"/>
    </w:rPr>
  </w:style>
  <w:style w:type="paragraph" w:customStyle="1" w:styleId="1801">
    <w:name w:val="样式3wf"/>
    <w:basedOn w:val="244"/>
    <w:qFormat/>
    <w:uiPriority w:val="0"/>
    <w:pPr>
      <w:keepNext w:val="0"/>
      <w:keepLines w:val="0"/>
      <w:widowControl/>
      <w:tabs>
        <w:tab w:val="clear" w:pos="1134"/>
      </w:tabs>
      <w:autoSpaceDE w:val="0"/>
      <w:autoSpaceDN w:val="0"/>
      <w:adjustRightInd w:val="0"/>
      <w:snapToGrid w:val="0"/>
      <w:spacing w:beforeLines="0" w:after="0" w:line="240" w:lineRule="auto"/>
      <w:ind w:left="0" w:firstLine="0"/>
      <w:jc w:val="center"/>
      <w:textAlignment w:val="baseline"/>
      <w:outlineLvl w:val="9"/>
    </w:pPr>
    <w:rPr>
      <w:kern w:val="2"/>
      <w:szCs w:val="21"/>
    </w:rPr>
  </w:style>
  <w:style w:type="paragraph" w:customStyle="1" w:styleId="1802">
    <w:name w:val="样式 标题 3小标题小节标题H3h33rd level第二层条标题4标题 3 Char标题 3 Char Ch..."/>
    <w:basedOn w:val="7"/>
    <w:qFormat/>
    <w:uiPriority w:val="0"/>
    <w:pPr>
      <w:widowControl/>
      <w:numPr>
        <w:ilvl w:val="0"/>
        <w:numId w:val="0"/>
      </w:numPr>
      <w:tabs>
        <w:tab w:val="left" w:pos="1080"/>
      </w:tabs>
      <w:adjustRightInd w:val="0"/>
      <w:spacing w:before="120" w:after="120" w:line="240" w:lineRule="auto"/>
      <w:ind w:left="851" w:hanging="851"/>
      <w:textAlignment w:val="baseline"/>
    </w:pPr>
    <w:rPr>
      <w:rFonts w:ascii="Courier New" w:hAnsi="Courier New" w:eastAsia="宋体" w:cs="仿宋_GB2312"/>
      <w:color w:val="0000FF"/>
      <w:kern w:val="32"/>
      <w:sz w:val="32"/>
    </w:rPr>
  </w:style>
  <w:style w:type="paragraph" w:customStyle="1" w:styleId="1803">
    <w:name w:val="图文"/>
    <w:basedOn w:val="1"/>
    <w:qFormat/>
    <w:uiPriority w:val="0"/>
    <w:pPr>
      <w:widowControl/>
      <w:autoSpaceDE w:val="0"/>
      <w:autoSpaceDN w:val="0"/>
      <w:spacing w:afterLines="50" w:line="280" w:lineRule="exact"/>
      <w:ind w:firstLine="200" w:firstLineChars="200"/>
      <w:jc w:val="center"/>
      <w:outlineLvl w:val="1"/>
    </w:pPr>
    <w:rPr>
      <w:rFonts w:ascii="仿宋_GB2312" w:hAnsi="仿宋_GB2312" w:eastAsia="Times New Roman" w:cs="仿宋_GB2312"/>
      <w:szCs w:val="20"/>
    </w:rPr>
  </w:style>
  <w:style w:type="paragraph" w:customStyle="1" w:styleId="1804">
    <w:name w:val="样式 标题 3 + 段前: 0 磅 段后: 8 磅 行距: 固定值 22 磅1"/>
    <w:basedOn w:val="7"/>
    <w:qFormat/>
    <w:uiPriority w:val="0"/>
    <w:pPr>
      <w:widowControl/>
      <w:numPr>
        <w:ilvl w:val="0"/>
        <w:numId w:val="0"/>
      </w:numPr>
      <w:tabs>
        <w:tab w:val="left" w:pos="720"/>
      </w:tabs>
      <w:adjustRightInd w:val="0"/>
      <w:spacing w:before="0" w:after="0" w:line="360" w:lineRule="auto"/>
      <w:ind w:left="720" w:hanging="720"/>
    </w:pPr>
    <w:rPr>
      <w:rFonts w:ascii="Courier New" w:hAnsi="Courier New" w:eastAsia="宋体" w:cs="Courier New"/>
      <w:bCs w:val="0"/>
      <w:color w:val="000000"/>
      <w:sz w:val="28"/>
      <w:szCs w:val="30"/>
    </w:rPr>
  </w:style>
  <w:style w:type="paragraph" w:customStyle="1" w:styleId="1805">
    <w:name w:val="正文居中"/>
    <w:basedOn w:val="87"/>
    <w:qFormat/>
    <w:uiPriority w:val="0"/>
    <w:pPr>
      <w:widowControl/>
      <w:adjustRightInd w:val="0"/>
      <w:spacing w:before="48" w:after="0" w:line="360" w:lineRule="auto"/>
      <w:ind w:firstLine="480" w:firstLineChars="200"/>
      <w:jc w:val="left"/>
      <w:textAlignment w:val="baseline"/>
    </w:pPr>
    <w:rPr>
      <w:rFonts w:ascii="仿宋_GB2312" w:hAnsi="仿宋_GB2312" w:cs="仿宋_GB2312"/>
      <w:kern w:val="0"/>
      <w:sz w:val="24"/>
      <w:lang w:val="zh-CN"/>
    </w:rPr>
  </w:style>
  <w:style w:type="paragraph" w:customStyle="1" w:styleId="1806">
    <w:name w:val="列表 3F"/>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1807">
    <w:name w:val="样式 表头样式 + 两端对齐 段前: 0.5 行 段后: 0.5 行 首行缩进:  1 字符"/>
    <w:basedOn w:val="1808"/>
    <w:qFormat/>
    <w:uiPriority w:val="0"/>
    <w:pPr>
      <w:keepLines/>
      <w:ind w:firstLine="560" w:firstLineChars="200"/>
    </w:pPr>
    <w:rPr>
      <w:bCs w:val="0"/>
      <w:sz w:val="24"/>
      <w:szCs w:val="20"/>
    </w:rPr>
  </w:style>
  <w:style w:type="paragraph" w:customStyle="1" w:styleId="1808">
    <w:name w:val="表头样式"/>
    <w:basedOn w:val="1"/>
    <w:qFormat/>
    <w:uiPriority w:val="0"/>
    <w:pPr>
      <w:keepNext/>
      <w:widowControl/>
      <w:spacing w:beforeLines="50" w:afterLines="50" w:line="520" w:lineRule="exact"/>
      <w:ind w:firstLine="280" w:firstLineChars="100"/>
      <w:jc w:val="left"/>
    </w:pPr>
    <w:rPr>
      <w:rFonts w:ascii="Verdana" w:hAnsi="Verdana" w:eastAsia="宋体" w:cs="Verdana"/>
      <w:bCs/>
      <w:sz w:val="28"/>
      <w:szCs w:val="28"/>
    </w:rPr>
  </w:style>
  <w:style w:type="paragraph" w:customStyle="1" w:styleId="1809">
    <w:name w:val="样式 标题 3标题3小标题1.1.1标题 3Char1 Char1Char1 Char CharChar1 Cha...3"/>
    <w:basedOn w:val="7"/>
    <w:qFormat/>
    <w:uiPriority w:val="0"/>
    <w:pPr>
      <w:widowControl/>
      <w:numPr>
        <w:ilvl w:val="0"/>
        <w:numId w:val="0"/>
      </w:numPr>
      <w:autoSpaceDE w:val="0"/>
      <w:autoSpaceDN w:val="0"/>
      <w:adjustRightInd w:val="0"/>
      <w:spacing w:before="0" w:after="0" w:line="360" w:lineRule="auto"/>
      <w:textAlignment w:val="baseline"/>
    </w:pPr>
    <w:rPr>
      <w:rFonts w:eastAsia="宋体" w:cs="宋体"/>
      <w:color w:val="0000FF"/>
      <w:kern w:val="0"/>
      <w:szCs w:val="20"/>
    </w:rPr>
  </w:style>
  <w:style w:type="paragraph" w:customStyle="1" w:styleId="1810">
    <w:name w:val="副题目"/>
    <w:basedOn w:val="65"/>
    <w:qFormat/>
    <w:uiPriority w:val="0"/>
    <w:pPr>
      <w:keepNext/>
      <w:keepLines/>
      <w:widowControl/>
      <w:spacing w:beforeLines="100" w:after="100" w:afterAutospacing="1" w:line="600" w:lineRule="atLeast"/>
      <w:outlineLvl w:val="9"/>
    </w:pPr>
    <w:rPr>
      <w:rFonts w:ascii="Courier New" w:hAnsi="Courier New" w:eastAsia="华文中宋" w:cs="仿宋_GB2312"/>
      <w:b w:val="0"/>
      <w:iCs/>
      <w:color w:val="CC99FF"/>
      <w:spacing w:val="36"/>
      <w:sz w:val="36"/>
      <w:lang w:bidi="he-IL"/>
    </w:rPr>
  </w:style>
  <w:style w:type="paragraph" w:customStyle="1" w:styleId="1811">
    <w:name w:val="列表 1A"/>
    <w:basedOn w:val="1812"/>
    <w:qFormat/>
    <w:uiPriority w:val="0"/>
    <w:pPr>
      <w:tabs>
        <w:tab w:val="left" w:pos="432"/>
      </w:tabs>
      <w:ind w:left="907" w:hanging="567"/>
    </w:pPr>
  </w:style>
  <w:style w:type="paragraph" w:customStyle="1" w:styleId="1812">
    <w:name w:val="列表 1"/>
    <w:basedOn w:val="1"/>
    <w:qFormat/>
    <w:uiPriority w:val="0"/>
    <w:pPr>
      <w:widowControl/>
      <w:tabs>
        <w:tab w:val="left" w:pos="432"/>
      </w:tabs>
      <w:spacing w:before="120" w:after="60" w:line="288" w:lineRule="auto"/>
      <w:ind w:left="432" w:hanging="432"/>
      <w:jc w:val="left"/>
    </w:pPr>
    <w:rPr>
      <w:rFonts w:ascii="Courier New" w:hAnsi="Courier New" w:eastAsia="宋体" w:cs="仿宋_GB2312"/>
      <w:color w:val="FFCC99"/>
      <w:sz w:val="24"/>
      <w:szCs w:val="20"/>
    </w:rPr>
  </w:style>
  <w:style w:type="paragraph" w:customStyle="1" w:styleId="1813">
    <w:name w:val="样式 样式 标题 2 + 段前: 0.5 行4 + 段前: 0.5 行"/>
    <w:basedOn w:val="1"/>
    <w:qFormat/>
    <w:uiPriority w:val="0"/>
    <w:pPr>
      <w:widowControl/>
      <w:tabs>
        <w:tab w:val="left" w:pos="540"/>
      </w:tabs>
      <w:adjustRightInd w:val="0"/>
      <w:spacing w:before="163"/>
      <w:ind w:left="567" w:hanging="540"/>
      <w:jc w:val="left"/>
      <w:outlineLvl w:val="1"/>
    </w:pPr>
    <w:rPr>
      <w:rFonts w:ascii="仿宋_GB2312" w:hAnsi="仿宋_GB2312" w:eastAsia="楷体" w:cs="Verdana"/>
      <w:sz w:val="24"/>
      <w:szCs w:val="20"/>
    </w:rPr>
  </w:style>
  <w:style w:type="paragraph" w:customStyle="1" w:styleId="1814">
    <w:name w:val="正文图竖五"/>
    <w:basedOn w:val="1"/>
    <w:qFormat/>
    <w:uiPriority w:val="0"/>
    <w:pPr>
      <w:widowControl/>
      <w:spacing w:line="240" w:lineRule="auto"/>
      <w:jc w:val="center"/>
    </w:pPr>
    <w:rPr>
      <w:rFonts w:ascii="仿宋_GB2312" w:hAnsi="仿宋_GB2312" w:eastAsia="Times New Roman" w:cs="仿宋_GB2312"/>
      <w:color w:val="000000"/>
      <w:kern w:val="0"/>
    </w:rPr>
  </w:style>
  <w:style w:type="paragraph" w:customStyle="1" w:styleId="1815">
    <w:name w:val="德胜三级标题"/>
    <w:basedOn w:val="1"/>
    <w:qFormat/>
    <w:uiPriority w:val="0"/>
    <w:pPr>
      <w:keepNext/>
      <w:keepLines/>
      <w:widowControl/>
      <w:adjustRightInd w:val="0"/>
      <w:snapToGrid w:val="0"/>
      <w:jc w:val="left"/>
      <w:outlineLvl w:val="2"/>
    </w:pPr>
    <w:rPr>
      <w:rFonts w:ascii="Times New Roman" w:hAnsi="Times New Roman" w:eastAsia="宋体" w:cs="Times New Roman"/>
      <w:b/>
      <w:color w:val="0000FF"/>
      <w:kern w:val="0"/>
      <w:sz w:val="24"/>
      <w:szCs w:val="20"/>
    </w:rPr>
  </w:style>
  <w:style w:type="paragraph" w:customStyle="1" w:styleId="1816">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widowControl/>
      <w:pBdr>
        <w:right w:val="single" w:color="auto" w:sz="12" w:space="4"/>
      </w:pBdr>
      <w:ind w:firstLine="200" w:firstLineChars="200"/>
      <w:jc w:val="left"/>
    </w:pPr>
    <w:rPr>
      <w:rFonts w:ascii="Verdana" w:hAnsi="Verdana" w:eastAsia="宋体" w:cs="Verdana"/>
      <w:sz w:val="24"/>
      <w:szCs w:val="24"/>
    </w:rPr>
  </w:style>
  <w:style w:type="paragraph" w:customStyle="1" w:styleId="1817">
    <w:name w:val="样式 四号 行距: 1.5 倍行距"/>
    <w:basedOn w:val="1"/>
    <w:qFormat/>
    <w:uiPriority w:val="0"/>
    <w:pPr>
      <w:widowControl/>
      <w:jc w:val="left"/>
    </w:pPr>
    <w:rPr>
      <w:rFonts w:ascii="仿宋_GB2312" w:hAnsi="仿宋_GB2312" w:eastAsia="宋体" w:cs="Verdana"/>
      <w:sz w:val="28"/>
      <w:szCs w:val="20"/>
    </w:rPr>
  </w:style>
  <w:style w:type="paragraph" w:customStyle="1" w:styleId="1818">
    <w:name w:val="三级目录1"/>
    <w:basedOn w:val="1"/>
    <w:next w:val="1"/>
    <w:qFormat/>
    <w:uiPriority w:val="0"/>
    <w:pPr>
      <w:keepNext/>
      <w:keepLines/>
      <w:widowControl/>
      <w:autoSpaceDE w:val="0"/>
      <w:autoSpaceDN w:val="0"/>
      <w:adjustRightInd w:val="0"/>
      <w:snapToGrid w:val="0"/>
      <w:spacing w:beforeLines="50"/>
      <w:ind w:left="-2" w:right="-137" w:firstLine="1"/>
      <w:jc w:val="left"/>
      <w:outlineLvl w:val="0"/>
    </w:pPr>
    <w:rPr>
      <w:rFonts w:ascii="Times New Roman" w:hAnsi="Times New Roman" w:eastAsia="宋体" w:cs="Times New Roman"/>
      <w:b/>
      <w:color w:val="0000FF"/>
      <w:sz w:val="24"/>
      <w:szCs w:val="20"/>
    </w:rPr>
  </w:style>
  <w:style w:type="paragraph" w:customStyle="1" w:styleId="1819">
    <w:name w:val="样式 黑色 首行缩进:  2 字符"/>
    <w:basedOn w:val="1"/>
    <w:qFormat/>
    <w:uiPriority w:val="0"/>
    <w:pPr>
      <w:widowControl/>
      <w:ind w:firstLine="560" w:firstLineChars="200"/>
      <w:jc w:val="left"/>
    </w:pPr>
    <w:rPr>
      <w:rFonts w:ascii="Verdana" w:hAnsi="仿宋_GB2312" w:eastAsia="宋体" w:cs="Verdana"/>
      <w:color w:val="000000"/>
      <w:sz w:val="28"/>
      <w:szCs w:val="28"/>
    </w:rPr>
  </w:style>
  <w:style w:type="paragraph" w:customStyle="1" w:styleId="1820">
    <w:name w:val="wg"/>
    <w:basedOn w:val="1"/>
    <w:qFormat/>
    <w:uiPriority w:val="0"/>
    <w:pPr>
      <w:widowControl/>
      <w:spacing w:line="240" w:lineRule="auto"/>
      <w:jc w:val="left"/>
    </w:pPr>
    <w:rPr>
      <w:rFonts w:ascii="Times New Roman" w:hAnsi="Times New Roman" w:eastAsia="宋体" w:cs="Times New Roman"/>
      <w:sz w:val="28"/>
      <w:szCs w:val="20"/>
    </w:rPr>
  </w:style>
  <w:style w:type="paragraph" w:customStyle="1" w:styleId="1821">
    <w:name w:val="列表 3B"/>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1822">
    <w:name w:val="德胜一级标题"/>
    <w:basedOn w:val="5"/>
    <w:qFormat/>
    <w:uiPriority w:val="0"/>
    <w:pPr>
      <w:widowControl/>
      <w:numPr>
        <w:numId w:val="0"/>
      </w:numPr>
      <w:adjustRightInd w:val="0"/>
      <w:snapToGrid w:val="0"/>
      <w:spacing w:before="0" w:after="0" w:line="360" w:lineRule="auto"/>
      <w:jc w:val="left"/>
    </w:pPr>
    <w:rPr>
      <w:rFonts w:eastAsia="宋体" w:cs="Times New Roman"/>
      <w:color w:val="0000FF"/>
      <w:kern w:val="0"/>
      <w:szCs w:val="32"/>
    </w:rPr>
  </w:style>
  <w:style w:type="paragraph" w:customStyle="1" w:styleId="1823">
    <w:name w:val="样式（三级目录）"/>
    <w:basedOn w:val="1"/>
    <w:qFormat/>
    <w:uiPriority w:val="0"/>
    <w:pPr>
      <w:keepNext/>
      <w:keepLines/>
      <w:widowControl/>
      <w:autoSpaceDE w:val="0"/>
      <w:autoSpaceDN w:val="0"/>
      <w:adjustRightInd w:val="0"/>
      <w:snapToGrid w:val="0"/>
      <w:spacing w:beforeLines="50"/>
      <w:jc w:val="left"/>
      <w:outlineLvl w:val="0"/>
    </w:pPr>
    <w:rPr>
      <w:rFonts w:ascii="Times New Roman" w:hAnsi="Times New Roman" w:eastAsia="宋体" w:cs="Times New Roman"/>
      <w:b/>
      <w:bCs/>
      <w:color w:val="0000FF"/>
      <w:sz w:val="24"/>
      <w:szCs w:val="24"/>
    </w:rPr>
  </w:style>
  <w:style w:type="paragraph" w:customStyle="1" w:styleId="1824">
    <w:name w:val="样式 样式 标题 4第三层条PIM 4h4标题 4 Char + 右侧:  1 字符 + 左侧:  1.87 厘米"/>
    <w:basedOn w:val="1"/>
    <w:qFormat/>
    <w:uiPriority w:val="0"/>
    <w:pPr>
      <w:widowControl/>
      <w:tabs>
        <w:tab w:val="left" w:pos="851"/>
      </w:tabs>
      <w:spacing w:line="240" w:lineRule="auto"/>
      <w:ind w:left="851" w:hanging="851"/>
      <w:jc w:val="left"/>
    </w:pPr>
    <w:rPr>
      <w:rFonts w:ascii="仿宋_GB2312" w:hAnsi="仿宋_GB2312" w:eastAsia="宋体" w:cs="仿宋_GB2312"/>
      <w:szCs w:val="24"/>
    </w:rPr>
  </w:style>
  <w:style w:type="paragraph" w:customStyle="1" w:styleId="1825">
    <w:name w:val="样式 表格 + 居中"/>
    <w:basedOn w:val="1"/>
    <w:qFormat/>
    <w:uiPriority w:val="0"/>
    <w:pPr>
      <w:widowControl/>
      <w:kinsoku w:val="0"/>
      <w:overflowPunct w:val="0"/>
      <w:adjustRightInd w:val="0"/>
      <w:snapToGrid w:val="0"/>
      <w:spacing w:line="240" w:lineRule="auto"/>
      <w:jc w:val="center"/>
    </w:pPr>
    <w:rPr>
      <w:rFonts w:ascii="仿宋_GB2312" w:hAnsi="仿宋_GB2312" w:eastAsia="宋体" w:cs="仿宋_GB2312"/>
      <w:color w:val="000000"/>
      <w:kern w:val="0"/>
      <w:sz w:val="24"/>
      <w:szCs w:val="24"/>
    </w:rPr>
  </w:style>
  <w:style w:type="paragraph" w:customStyle="1" w:styleId="1826">
    <w:name w:val="列表 5G"/>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827">
    <w:name w:val="MG"/>
    <w:basedOn w:val="5"/>
    <w:qFormat/>
    <w:uiPriority w:val="0"/>
    <w:pPr>
      <w:keepLines w:val="0"/>
      <w:widowControl/>
      <w:numPr>
        <w:numId w:val="0"/>
      </w:numPr>
      <w:tabs>
        <w:tab w:val="left" w:pos="2260"/>
        <w:tab w:val="left" w:pos="2820"/>
        <w:tab w:val="left" w:pos="3420"/>
      </w:tabs>
      <w:adjustRightInd w:val="0"/>
      <w:snapToGrid w:val="0"/>
      <w:spacing w:before="440" w:after="0" w:line="240" w:lineRule="auto"/>
      <w:ind w:left="851" w:right="-28" w:hanging="851"/>
      <w:jc w:val="left"/>
    </w:pPr>
    <w:rPr>
      <w:rFonts w:ascii="Courier New" w:hAnsi="Courier New" w:eastAsia="宋体" w:cs="仿宋_GB2312"/>
      <w:bCs w:val="0"/>
      <w:kern w:val="0"/>
      <w:sz w:val="22"/>
      <w:szCs w:val="20"/>
      <w:lang w:val="en-GB"/>
    </w:rPr>
  </w:style>
  <w:style w:type="paragraph" w:customStyle="1" w:styleId="1828">
    <w:name w:val="列表 5T"/>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829">
    <w:name w:val="edri-正文3"/>
    <w:basedOn w:val="1"/>
    <w:qFormat/>
    <w:uiPriority w:val="0"/>
    <w:pPr>
      <w:widowControl/>
      <w:spacing w:beforeLines="50" w:line="300" w:lineRule="auto"/>
      <w:ind w:left="2205" w:leftChars="1050"/>
      <w:jc w:val="left"/>
    </w:pPr>
    <w:rPr>
      <w:rFonts w:ascii="仿宋_GB2312" w:hAnsi="仿宋_GB2312" w:eastAsia="宋体" w:cs="仿宋_GB2312"/>
      <w:sz w:val="24"/>
      <w:szCs w:val="24"/>
    </w:rPr>
  </w:style>
  <w:style w:type="paragraph" w:customStyle="1" w:styleId="1830">
    <w:name w:val="1.1.1-"/>
    <w:basedOn w:val="1"/>
    <w:qFormat/>
    <w:uiPriority w:val="0"/>
    <w:pPr>
      <w:widowControl/>
      <w:tabs>
        <w:tab w:val="left" w:pos="397"/>
      </w:tabs>
      <w:wordWrap w:val="0"/>
      <w:adjustRightInd w:val="0"/>
      <w:snapToGrid w:val="0"/>
      <w:spacing w:line="360" w:lineRule="atLeast"/>
      <w:ind w:left="397" w:firstLine="1021"/>
      <w:jc w:val="left"/>
      <w:textAlignment w:val="baseline"/>
    </w:pPr>
    <w:rPr>
      <w:rFonts w:ascii="Courier New" w:hAnsi="Courier New" w:eastAsia="PMingLiU" w:cs="仿宋_GB2312"/>
      <w:kern w:val="0"/>
      <w:sz w:val="20"/>
      <w:szCs w:val="20"/>
    </w:rPr>
  </w:style>
  <w:style w:type="paragraph" w:customStyle="1" w:styleId="1831">
    <w:name w:val="样式 样式 表格 + (符号) 宋体 五号 居中 + 小五"/>
    <w:basedOn w:val="1"/>
    <w:qFormat/>
    <w:uiPriority w:val="0"/>
    <w:pPr>
      <w:widowControl/>
      <w:kinsoku w:val="0"/>
      <w:overflowPunct w:val="0"/>
      <w:adjustRightInd w:val="0"/>
      <w:snapToGrid w:val="0"/>
      <w:spacing w:line="240" w:lineRule="auto"/>
      <w:jc w:val="center"/>
    </w:pPr>
    <w:rPr>
      <w:rFonts w:ascii="仿宋_GB2312" w:hAnsi="仿宋_GB2312" w:eastAsia="宋体" w:cs="仿宋_GB2312"/>
      <w:kern w:val="0"/>
      <w:sz w:val="18"/>
    </w:rPr>
  </w:style>
  <w:style w:type="paragraph" w:customStyle="1" w:styleId="1832">
    <w:name w:val="列表 5F"/>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833">
    <w:name w:val="Body Text First Indent3"/>
    <w:basedOn w:val="36"/>
    <w:qFormat/>
    <w:uiPriority w:val="0"/>
    <w:pPr>
      <w:widowControl/>
      <w:adjustRightInd w:val="0"/>
      <w:spacing w:after="0" w:line="312" w:lineRule="auto"/>
      <w:ind w:firstLine="567"/>
      <w:jc w:val="left"/>
      <w:textAlignment w:val="baseline"/>
    </w:pPr>
    <w:rPr>
      <w:rFonts w:ascii="仿宋_GB2312" w:hAnsi="仿宋_GB2312" w:eastAsia="宋体" w:cs="仿宋_GB2312"/>
      <w:kern w:val="0"/>
      <w:sz w:val="28"/>
      <w:szCs w:val="20"/>
    </w:rPr>
  </w:style>
  <w:style w:type="paragraph" w:customStyle="1" w:styleId="1834">
    <w:name w:val="列表 5K"/>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835">
    <w:name w:val="图表目录1"/>
    <w:basedOn w:val="1"/>
    <w:next w:val="1"/>
    <w:qFormat/>
    <w:uiPriority w:val="0"/>
    <w:pPr>
      <w:widowControl/>
      <w:tabs>
        <w:tab w:val="right" w:leader="dot" w:pos="8051"/>
      </w:tabs>
      <w:adjustRightInd w:val="0"/>
      <w:spacing w:line="360" w:lineRule="atLeast"/>
      <w:ind w:left="840" w:hanging="840"/>
      <w:jc w:val="left"/>
      <w:textAlignment w:val="baseline"/>
    </w:pPr>
    <w:rPr>
      <w:rFonts w:ascii="Verdana" w:hAnsi="仿宋_GB2312" w:eastAsia="宋体" w:cs="仿宋_GB2312"/>
      <w:kern w:val="0"/>
      <w:sz w:val="24"/>
      <w:szCs w:val="20"/>
    </w:rPr>
  </w:style>
  <w:style w:type="paragraph" w:customStyle="1" w:styleId="1836">
    <w:name w:val="正文样式1"/>
    <w:basedOn w:val="1"/>
    <w:qFormat/>
    <w:uiPriority w:val="0"/>
    <w:pPr>
      <w:widowControl/>
      <w:spacing w:line="520" w:lineRule="exact"/>
      <w:jc w:val="center"/>
    </w:pPr>
    <w:rPr>
      <w:rFonts w:ascii="宋体" w:hAnsi="宋体" w:eastAsia="宋体" w:cs="Times New Roman"/>
      <w:sz w:val="24"/>
      <w:szCs w:val="24"/>
    </w:rPr>
  </w:style>
  <w:style w:type="paragraph" w:customStyle="1" w:styleId="1837">
    <w:name w:val="左五"/>
    <w:basedOn w:val="1"/>
    <w:qFormat/>
    <w:uiPriority w:val="0"/>
    <w:pPr>
      <w:widowControl/>
      <w:adjustRightInd w:val="0"/>
      <w:snapToGrid w:val="0"/>
      <w:spacing w:line="280" w:lineRule="exact"/>
      <w:jc w:val="left"/>
    </w:pPr>
    <w:rPr>
      <w:rFonts w:ascii="Verdana" w:hAnsi="Symbol" w:eastAsia="宋体" w:cs="仿宋_GB2312"/>
      <w:color w:val="000000"/>
      <w:sz w:val="18"/>
      <w:szCs w:val="24"/>
    </w:rPr>
  </w:style>
  <w:style w:type="paragraph" w:customStyle="1" w:styleId="1838">
    <w:name w:val="表内文字 Char"/>
    <w:basedOn w:val="1"/>
    <w:qFormat/>
    <w:uiPriority w:val="0"/>
    <w:pPr>
      <w:widowControl/>
      <w:adjustRightInd w:val="0"/>
      <w:snapToGrid w:val="0"/>
      <w:spacing w:line="240" w:lineRule="auto"/>
      <w:jc w:val="center"/>
    </w:pPr>
    <w:rPr>
      <w:rFonts w:ascii="Times New Roman" w:hAnsi="Times New Roman" w:eastAsia="宋体" w:cs="Times New Roman"/>
      <w:color w:val="FF0000"/>
    </w:rPr>
  </w:style>
  <w:style w:type="paragraph" w:customStyle="1" w:styleId="1839">
    <w:name w:val="四级目录1"/>
    <w:basedOn w:val="1"/>
    <w:qFormat/>
    <w:uiPriority w:val="0"/>
    <w:pPr>
      <w:widowControl/>
      <w:jc w:val="left"/>
    </w:pPr>
    <w:rPr>
      <w:rFonts w:ascii="Times New Roman" w:hAnsi="Times New Roman" w:eastAsia="宋体" w:cs="Times New Roman"/>
      <w:b/>
      <w:color w:val="0000FF"/>
      <w:sz w:val="24"/>
      <w:szCs w:val="20"/>
    </w:rPr>
  </w:style>
  <w:style w:type="paragraph" w:customStyle="1" w:styleId="1840">
    <w:name w:val="文件册号"/>
    <w:basedOn w:val="1"/>
    <w:next w:val="1"/>
    <w:qFormat/>
    <w:uiPriority w:val="0"/>
    <w:pPr>
      <w:widowControl/>
      <w:spacing w:line="800" w:lineRule="atLeast"/>
      <w:jc w:val="center"/>
    </w:pPr>
    <w:rPr>
      <w:rFonts w:ascii="仿宋_GB2312" w:hAnsi="仿宋_GB2312" w:eastAsia="宋体" w:cs="仿宋_GB2312"/>
      <w:sz w:val="52"/>
      <w:szCs w:val="52"/>
    </w:rPr>
  </w:style>
  <w:style w:type="paragraph" w:customStyle="1" w:styleId="1841">
    <w:name w:val="蒲表头"/>
    <w:basedOn w:val="1"/>
    <w:qFormat/>
    <w:uiPriority w:val="0"/>
    <w:pPr>
      <w:widowControl/>
      <w:adjustRightInd w:val="0"/>
      <w:snapToGrid w:val="0"/>
      <w:spacing w:line="240" w:lineRule="auto"/>
      <w:jc w:val="center"/>
    </w:pPr>
    <w:rPr>
      <w:rFonts w:ascii="Times New Roman" w:hAnsi="Times New Roman" w:eastAsia="宋体" w:cs="Times New Roman"/>
      <w:b/>
    </w:rPr>
  </w:style>
  <w:style w:type="paragraph" w:customStyle="1" w:styleId="1842">
    <w:name w:val="小标题(1)"/>
    <w:basedOn w:val="36"/>
    <w:qFormat/>
    <w:uiPriority w:val="0"/>
    <w:pPr>
      <w:widowControl/>
      <w:adjustRightInd w:val="0"/>
      <w:snapToGrid w:val="0"/>
      <w:spacing w:before="60" w:after="60" w:line="264" w:lineRule="auto"/>
      <w:ind w:firstLine="240" w:firstLineChars="100"/>
      <w:jc w:val="left"/>
      <w:textAlignment w:val="baseline"/>
    </w:pPr>
    <w:rPr>
      <w:rFonts w:ascii="仿宋_GB2312" w:hAnsi="仿宋_GB2312" w:eastAsia="Times New Roman" w:cs="仿宋_GB2312"/>
      <w:kern w:val="0"/>
      <w:sz w:val="24"/>
      <w:szCs w:val="24"/>
    </w:rPr>
  </w:style>
  <w:style w:type="paragraph" w:customStyle="1" w:styleId="1843">
    <w:name w:val="文本框文字"/>
    <w:basedOn w:val="1"/>
    <w:qFormat/>
    <w:uiPriority w:val="0"/>
    <w:pPr>
      <w:widowControl/>
      <w:adjustRightInd w:val="0"/>
      <w:spacing w:line="240" w:lineRule="auto"/>
      <w:jc w:val="center"/>
      <w:textAlignment w:val="baseline"/>
    </w:pPr>
    <w:rPr>
      <w:rFonts w:ascii="仿宋_GB2312" w:hAnsi="仿宋_GB2312" w:eastAsia="宋体" w:cs="仿宋_GB2312"/>
      <w:kern w:val="0"/>
      <w:szCs w:val="20"/>
    </w:rPr>
  </w:style>
  <w:style w:type="paragraph" w:customStyle="1" w:styleId="1844">
    <w:name w:val="样式 报告表正文 + 首行缩进:  2 字符 行距: 1.5 倍行距"/>
    <w:basedOn w:val="251"/>
    <w:qFormat/>
    <w:uiPriority w:val="0"/>
    <w:pPr>
      <w:widowControl/>
      <w:spacing w:line="360" w:lineRule="auto"/>
      <w:ind w:firstLine="480" w:firstLineChars="200"/>
      <w:jc w:val="both"/>
      <w:textAlignment w:val="auto"/>
    </w:pPr>
    <w:rPr>
      <w:rFonts w:cs="宋体"/>
    </w:rPr>
  </w:style>
  <w:style w:type="paragraph" w:customStyle="1" w:styleId="1845">
    <w:name w:val="Char Char Char Char Char Char1 Char Char Char Char Char Char Char Char Char Char Char Char Char Char Char Char Char Char"/>
    <w:basedOn w:val="1"/>
    <w:qFormat/>
    <w:uiPriority w:val="0"/>
    <w:pPr>
      <w:widowControl/>
      <w:ind w:firstLine="200" w:firstLineChars="200"/>
      <w:jc w:val="left"/>
    </w:pPr>
    <w:rPr>
      <w:rFonts w:ascii="宋体" w:hAnsi="宋体" w:eastAsia="宋体" w:cs="宋体"/>
      <w:sz w:val="24"/>
      <w:szCs w:val="24"/>
    </w:rPr>
  </w:style>
  <w:style w:type="paragraph" w:customStyle="1" w:styleId="1846">
    <w:name w:val="In Table"/>
    <w:basedOn w:val="1"/>
    <w:qFormat/>
    <w:uiPriority w:val="0"/>
    <w:pPr>
      <w:widowControl/>
      <w:tabs>
        <w:tab w:val="left" w:pos="2200"/>
        <w:tab w:val="left" w:pos="3960"/>
        <w:tab w:val="left" w:pos="5280"/>
      </w:tabs>
      <w:spacing w:before="96" w:after="96" w:line="240" w:lineRule="atLeast"/>
      <w:jc w:val="center"/>
    </w:pPr>
    <w:rPr>
      <w:rFonts w:ascii="Tahoma" w:hAnsi="Tahoma" w:eastAsia="华文中宋" w:cs="Times New Roman"/>
      <w:szCs w:val="20"/>
    </w:rPr>
  </w:style>
  <w:style w:type="paragraph" w:customStyle="1" w:styleId="1847">
    <w:name w:val="5号字表"/>
    <w:basedOn w:val="1"/>
    <w:qFormat/>
    <w:uiPriority w:val="0"/>
    <w:pPr>
      <w:widowControl/>
      <w:tabs>
        <w:tab w:val="left" w:pos="210"/>
      </w:tabs>
      <w:spacing w:line="500" w:lineRule="exact"/>
      <w:ind w:firstLine="200" w:firstLineChars="200"/>
      <w:jc w:val="left"/>
    </w:pPr>
    <w:rPr>
      <w:rFonts w:ascii="宋体" w:hAnsi="宋体" w:eastAsia="宋体" w:cs="宋体"/>
      <w:bCs/>
      <w:sz w:val="28"/>
      <w:szCs w:val="20"/>
    </w:rPr>
  </w:style>
  <w:style w:type="paragraph" w:customStyle="1" w:styleId="1848">
    <w:name w:val="16.7.3.1"/>
    <w:basedOn w:val="8"/>
    <w:qFormat/>
    <w:uiPriority w:val="0"/>
    <w:pPr>
      <w:widowControl/>
      <w:numPr>
        <w:ilvl w:val="0"/>
        <w:numId w:val="0"/>
      </w:numPr>
      <w:tabs>
        <w:tab w:val="left" w:pos="390"/>
        <w:tab w:val="left" w:pos="1800"/>
      </w:tabs>
      <w:spacing w:before="120" w:after="120" w:line="312" w:lineRule="auto"/>
      <w:ind w:left="851" w:hanging="851"/>
    </w:pPr>
    <w:rPr>
      <w:rFonts w:ascii="Arial" w:hAnsi="Arial" w:eastAsia="黑体" w:cs="Times New Roman"/>
      <w:szCs w:val="24"/>
    </w:rPr>
  </w:style>
  <w:style w:type="paragraph" w:customStyle="1" w:styleId="1849">
    <w:name w:val="表格文字1"/>
    <w:basedOn w:val="1"/>
    <w:qFormat/>
    <w:uiPriority w:val="0"/>
    <w:pPr>
      <w:widowControl/>
      <w:tabs>
        <w:tab w:val="left" w:pos="0"/>
      </w:tabs>
      <w:autoSpaceDE w:val="0"/>
      <w:autoSpaceDN w:val="0"/>
      <w:adjustRightInd w:val="0"/>
      <w:spacing w:before="60" w:line="240" w:lineRule="auto"/>
      <w:ind w:left="57" w:right="57"/>
      <w:jc w:val="center"/>
      <w:textAlignment w:val="baseline"/>
    </w:pPr>
    <w:rPr>
      <w:rFonts w:ascii="仿宋_GB2312" w:hAnsi="仿宋_GB2312" w:eastAsia="宋体" w:cs="仿宋_GB2312"/>
      <w:szCs w:val="24"/>
    </w:rPr>
  </w:style>
  <w:style w:type="paragraph" w:customStyle="1" w:styleId="1850">
    <w:name w:val="新正文"/>
    <w:basedOn w:val="1"/>
    <w:qFormat/>
    <w:uiPriority w:val="0"/>
    <w:pPr>
      <w:widowControl/>
      <w:spacing w:line="480" w:lineRule="exact"/>
      <w:ind w:firstLine="482"/>
      <w:jc w:val="left"/>
    </w:pPr>
    <w:rPr>
      <w:rFonts w:ascii="仿宋_GB2312" w:hAnsi="Times New Roman" w:eastAsia="仿宋_GB2312" w:cs="Times New Roman"/>
      <w:kern w:val="0"/>
      <w:sz w:val="28"/>
      <w:szCs w:val="20"/>
    </w:rPr>
  </w:style>
  <w:style w:type="paragraph" w:customStyle="1" w:styleId="1851">
    <w:name w:val="样式 标题 2二级标题标题 lxb2标题21.1H2h2第一层条二级标题 Char单位名4.1SeHea..."/>
    <w:basedOn w:val="431"/>
    <w:next w:val="431"/>
    <w:qFormat/>
    <w:uiPriority w:val="0"/>
    <w:pPr>
      <w:widowControl/>
      <w:spacing w:line="360" w:lineRule="auto"/>
    </w:pPr>
    <w:rPr>
      <w:rFonts w:ascii="仿宋_GB2312" w:hAnsi="仿宋_GB2312" w:eastAsia="楷体" w:cs="Verdana"/>
      <w:b/>
      <w:color w:val="auto"/>
      <w:szCs w:val="24"/>
    </w:rPr>
  </w:style>
  <w:style w:type="paragraph" w:customStyle="1" w:styleId="1852">
    <w:name w:val="Char1 Char Char Char Char Char1 Char"/>
    <w:basedOn w:val="1"/>
    <w:qFormat/>
    <w:uiPriority w:val="0"/>
    <w:pPr>
      <w:widowControl/>
      <w:spacing w:line="240" w:lineRule="auto"/>
      <w:jc w:val="left"/>
    </w:pPr>
    <w:rPr>
      <w:rFonts w:ascii="新宋体" w:hAnsi="新宋体" w:eastAsia="宋体" w:cs="仿宋_GB2312"/>
      <w:sz w:val="24"/>
      <w:szCs w:val="20"/>
    </w:rPr>
  </w:style>
  <w:style w:type="paragraph" w:customStyle="1" w:styleId="1853">
    <w:name w:val="+列表1"/>
    <w:basedOn w:val="1"/>
    <w:qFormat/>
    <w:uiPriority w:val="0"/>
    <w:pPr>
      <w:widowControl/>
      <w:spacing w:line="240" w:lineRule="auto"/>
      <w:jc w:val="center"/>
    </w:pPr>
    <w:rPr>
      <w:rFonts w:ascii="仿宋_GB2312" w:hAnsi="仿宋_GB2312" w:eastAsia="宋体" w:cs="仿宋_GB2312"/>
    </w:rPr>
  </w:style>
  <w:style w:type="paragraph" w:customStyle="1" w:styleId="1854">
    <w:name w:val="xl97"/>
    <w:basedOn w:val="1"/>
    <w:qFormat/>
    <w:uiPriority w:val="0"/>
    <w:pPr>
      <w:widowControl/>
      <w:pBdr>
        <w:left w:val="single" w:color="auto" w:sz="8" w:space="0"/>
        <w:right w:val="single" w:color="auto" w:sz="4" w:space="0"/>
      </w:pBdr>
      <w:spacing w:before="100" w:beforeAutospacing="1" w:after="100" w:afterAutospacing="1" w:line="240" w:lineRule="auto"/>
      <w:jc w:val="center"/>
      <w:textAlignment w:val="center"/>
    </w:pPr>
    <w:rPr>
      <w:rFonts w:ascii="仿宋_GB2312" w:hAnsi="仿宋_GB2312" w:eastAsia="華康中楷體" w:cs="仿宋_GB2312"/>
      <w:kern w:val="0"/>
      <w:sz w:val="16"/>
      <w:szCs w:val="16"/>
    </w:rPr>
  </w:style>
  <w:style w:type="paragraph" w:customStyle="1" w:styleId="1855">
    <w:name w:val="已有表格"/>
    <w:basedOn w:val="1"/>
    <w:qFormat/>
    <w:uiPriority w:val="0"/>
    <w:pPr>
      <w:widowControl/>
      <w:adjustRightInd w:val="0"/>
      <w:spacing w:before="40" w:after="40" w:line="240" w:lineRule="auto"/>
      <w:jc w:val="center"/>
      <w:textAlignment w:val="baseline"/>
    </w:pPr>
    <w:rPr>
      <w:rFonts w:ascii="仿宋_GB2312" w:hAnsi="仿宋_GB2312" w:eastAsia="宋体" w:cs="仿宋_GB2312"/>
      <w:b/>
      <w:kern w:val="0"/>
      <w:sz w:val="24"/>
      <w:szCs w:val="20"/>
    </w:rPr>
  </w:style>
  <w:style w:type="paragraph" w:customStyle="1" w:styleId="1856">
    <w:name w:val="列表 4S"/>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857">
    <w:name w:val="样式 标题 2 + Times New Roman 小三 居中 行距: 单倍行距"/>
    <w:basedOn w:val="6"/>
    <w:qFormat/>
    <w:uiPriority w:val="0"/>
    <w:pPr>
      <w:widowControl/>
      <w:numPr>
        <w:ilvl w:val="0"/>
        <w:numId w:val="0"/>
      </w:numPr>
      <w:spacing w:beforeLines="50" w:line="240" w:lineRule="auto"/>
      <w:ind w:firstLine="538" w:firstLineChars="192"/>
    </w:pPr>
    <w:rPr>
      <w:rFonts w:ascii="仿宋_GB2312" w:hAnsi="仿宋_GB2312" w:eastAsia="楷体" w:cs="Verdana"/>
      <w:bCs w:val="0"/>
      <w:kern w:val="0"/>
      <w:sz w:val="30"/>
      <w:szCs w:val="20"/>
    </w:rPr>
  </w:style>
  <w:style w:type="paragraph" w:customStyle="1" w:styleId="1858">
    <w:name w:val="xl98"/>
    <w:basedOn w:val="1"/>
    <w:qFormat/>
    <w:uiPriority w:val="0"/>
    <w:pPr>
      <w:widowControl/>
      <w:pBdr>
        <w:left w:val="single" w:color="auto" w:sz="8" w:space="0"/>
        <w:bottom w:val="single" w:color="auto" w:sz="8" w:space="0"/>
        <w:right w:val="single" w:color="auto" w:sz="4" w:space="0"/>
      </w:pBdr>
      <w:spacing w:before="100" w:beforeAutospacing="1" w:after="100" w:afterAutospacing="1" w:line="240" w:lineRule="auto"/>
      <w:jc w:val="center"/>
      <w:textAlignment w:val="center"/>
    </w:pPr>
    <w:rPr>
      <w:rFonts w:ascii="仿宋_GB2312" w:hAnsi="仿宋_GB2312" w:eastAsia="華康中楷體" w:cs="仿宋_GB2312"/>
      <w:kern w:val="0"/>
      <w:sz w:val="16"/>
      <w:szCs w:val="16"/>
    </w:rPr>
  </w:style>
  <w:style w:type="paragraph" w:customStyle="1" w:styleId="1859">
    <w:name w:val="正文 1"/>
    <w:basedOn w:val="52"/>
    <w:qFormat/>
    <w:uiPriority w:val="0"/>
    <w:pPr>
      <w:widowControl/>
      <w:adjustRightInd w:val="0"/>
      <w:snapToGrid w:val="0"/>
      <w:spacing w:line="240" w:lineRule="atLeast"/>
      <w:ind w:firstLine="0" w:firstLineChars="0"/>
      <w:jc w:val="center"/>
    </w:pPr>
    <w:rPr>
      <w:rFonts w:hAnsi="仿宋_GB2312" w:eastAsia="黑体" w:cs="仿宋_GB2312"/>
      <w:sz w:val="21"/>
    </w:rPr>
  </w:style>
  <w:style w:type="paragraph" w:customStyle="1" w:styleId="1860">
    <w:name w:val="样式 标题 3小标题小节标题标题3H3h33rd level第二层条标题4 + Arial 两端对齐"/>
    <w:basedOn w:val="7"/>
    <w:qFormat/>
    <w:uiPriority w:val="0"/>
    <w:pPr>
      <w:widowControl/>
      <w:numPr>
        <w:ilvl w:val="0"/>
        <w:numId w:val="0"/>
      </w:numPr>
      <w:tabs>
        <w:tab w:val="left" w:pos="1050"/>
        <w:tab w:val="left" w:pos="1111"/>
      </w:tabs>
      <w:adjustRightInd w:val="0"/>
      <w:spacing w:before="120" w:after="120" w:line="360" w:lineRule="auto"/>
      <w:ind w:left="851" w:hanging="851"/>
      <w:textAlignment w:val="baseline"/>
    </w:pPr>
    <w:rPr>
      <w:rFonts w:ascii="Courier New" w:hAnsi="Courier New" w:eastAsia="宋体" w:cs="Verdana"/>
      <w:color w:val="000000"/>
      <w:kern w:val="0"/>
      <w:sz w:val="30"/>
      <w:szCs w:val="30"/>
    </w:rPr>
  </w:style>
  <w:style w:type="paragraph" w:customStyle="1" w:styleId="1861">
    <w:name w:val="Pa0"/>
    <w:basedOn w:val="1"/>
    <w:next w:val="1"/>
    <w:qFormat/>
    <w:uiPriority w:val="0"/>
    <w:pPr>
      <w:widowControl/>
      <w:autoSpaceDE w:val="0"/>
      <w:autoSpaceDN w:val="0"/>
      <w:adjustRightInd w:val="0"/>
      <w:spacing w:line="241" w:lineRule="atLeast"/>
      <w:jc w:val="left"/>
    </w:pPr>
    <w:rPr>
      <w:rFonts w:ascii="楷体" w:hAnsi="仿宋_GB2312" w:eastAsia="楷体" w:cs="仿宋_GB2312"/>
      <w:kern w:val="0"/>
      <w:sz w:val="24"/>
      <w:szCs w:val="24"/>
    </w:rPr>
  </w:style>
  <w:style w:type="paragraph" w:customStyle="1" w:styleId="1862">
    <w:name w:val="101"/>
    <w:basedOn w:val="1"/>
    <w:qFormat/>
    <w:uiPriority w:val="0"/>
    <w:pPr>
      <w:widowControl/>
      <w:spacing w:before="100" w:beforeAutospacing="1" w:after="100" w:afterAutospacing="1" w:line="240" w:lineRule="auto"/>
      <w:jc w:val="left"/>
    </w:pPr>
    <w:rPr>
      <w:rFonts w:ascii="華康中楷體" w:hAnsi="華康中楷體" w:eastAsia="華康中楷體" w:cs="華康中楷體"/>
      <w:kern w:val="0"/>
      <w:sz w:val="24"/>
      <w:szCs w:val="24"/>
    </w:rPr>
  </w:style>
  <w:style w:type="paragraph" w:customStyle="1" w:styleId="1863">
    <w:name w:val="8.2.2.1"/>
    <w:basedOn w:val="1"/>
    <w:qFormat/>
    <w:uiPriority w:val="0"/>
    <w:pPr>
      <w:widowControl/>
      <w:tabs>
        <w:tab w:val="left" w:pos="0"/>
      </w:tabs>
      <w:spacing w:line="312" w:lineRule="auto"/>
      <w:jc w:val="left"/>
    </w:pPr>
    <w:rPr>
      <w:rFonts w:ascii="Times New Roman" w:hAnsi="Times New Roman" w:eastAsia="宋体" w:cs="Times New Roman"/>
      <w:sz w:val="24"/>
      <w:szCs w:val="20"/>
    </w:rPr>
  </w:style>
  <w:style w:type="paragraph" w:customStyle="1" w:styleId="1864">
    <w:name w:val="內文縮排 2"/>
    <w:basedOn w:val="23"/>
    <w:qFormat/>
    <w:uiPriority w:val="0"/>
    <w:pPr>
      <w:widowControl/>
      <w:spacing w:before="120" w:line="300" w:lineRule="auto"/>
      <w:ind w:left="794" w:firstLine="0" w:firstLineChars="0"/>
      <w:jc w:val="left"/>
    </w:pPr>
    <w:rPr>
      <w:rFonts w:ascii="Courier New" w:hAnsi="Courier New" w:cs="仿宋_GB2312"/>
      <w:bCs/>
      <w:spacing w:val="20"/>
      <w:szCs w:val="20"/>
      <w:lang w:eastAsia="zh-TW"/>
    </w:rPr>
  </w:style>
  <w:style w:type="paragraph" w:customStyle="1" w:styleId="1865">
    <w:name w:val="三级条标题"/>
    <w:basedOn w:val="1766"/>
    <w:next w:val="1"/>
    <w:qFormat/>
    <w:uiPriority w:val="0"/>
    <w:pPr>
      <w:tabs>
        <w:tab w:val="left" w:pos="2100"/>
      </w:tabs>
      <w:ind w:left="2100" w:hanging="420"/>
      <w:outlineLvl w:val="4"/>
    </w:pPr>
  </w:style>
  <w:style w:type="paragraph" w:customStyle="1" w:styleId="1866">
    <w:name w:val="小于节标题"/>
    <w:basedOn w:val="877"/>
    <w:qFormat/>
    <w:uiPriority w:val="0"/>
    <w:pPr>
      <w:widowControl/>
      <w:ind w:firstLine="0"/>
      <w:jc w:val="left"/>
    </w:pPr>
    <w:rPr>
      <w:rFonts w:eastAsia="华文中宋"/>
    </w:rPr>
  </w:style>
  <w:style w:type="paragraph" w:customStyle="1" w:styleId="1867">
    <w:name w:val="s0"/>
    <w:qFormat/>
    <w:uiPriority w:val="0"/>
    <w:pPr>
      <w:widowControl w:val="0"/>
      <w:autoSpaceDE w:val="0"/>
      <w:autoSpaceDN w:val="0"/>
      <w:adjustRightInd w:val="0"/>
    </w:pPr>
    <w:rPr>
      <w:rFonts w:ascii="汉鼎简书宋" w:hAnsi="仿宋_GB2312" w:eastAsia="汉鼎简书宋" w:cs="仿宋_GB2312"/>
      <w:lang w:val="en-US" w:eastAsia="zh-CN" w:bidi="ar-SA"/>
    </w:rPr>
  </w:style>
  <w:style w:type="paragraph" w:customStyle="1" w:styleId="1868">
    <w:name w:val="t12"/>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1869">
    <w:name w:val="zxz5"/>
    <w:next w:val="1604"/>
    <w:qFormat/>
    <w:uiPriority w:val="0"/>
    <w:pPr>
      <w:tabs>
        <w:tab w:val="left" w:pos="0"/>
      </w:tabs>
      <w:jc w:val="center"/>
    </w:pPr>
    <w:rPr>
      <w:rFonts w:ascii="Verdana" w:hAnsi="Verdana" w:eastAsia="仿宋_GB2312" w:cs="Verdana"/>
      <w:bCs/>
      <w:kern w:val="2"/>
      <w:sz w:val="18"/>
      <w:szCs w:val="18"/>
      <w:lang w:val="en-US" w:eastAsia="zh-CN" w:bidi="ar-SA"/>
    </w:rPr>
  </w:style>
  <w:style w:type="paragraph" w:customStyle="1" w:styleId="1870">
    <w:name w:val="图题"/>
    <w:basedOn w:val="1"/>
    <w:qFormat/>
    <w:uiPriority w:val="0"/>
    <w:pPr>
      <w:widowControl/>
      <w:autoSpaceDE w:val="0"/>
      <w:autoSpaceDN w:val="0"/>
      <w:adjustRightInd w:val="0"/>
      <w:snapToGrid w:val="0"/>
      <w:spacing w:beforeLines="25" w:after="50" w:line="360" w:lineRule="atLeast"/>
      <w:ind w:left="175" w:leftChars="175"/>
      <w:jc w:val="center"/>
    </w:pPr>
    <w:rPr>
      <w:rFonts w:ascii="仿宋_GB2312" w:hAnsi="Times New Roman" w:eastAsia="宋体" w:cs="Times New Roman"/>
      <w:b/>
      <w:szCs w:val="24"/>
    </w:rPr>
  </w:style>
  <w:style w:type="paragraph" w:customStyle="1" w:styleId="1871">
    <w:name w:val="列表 4C"/>
    <w:basedOn w:val="78"/>
    <w:next w:val="78"/>
    <w:qFormat/>
    <w:uiPriority w:val="0"/>
    <w:pPr>
      <w:widowControl/>
      <w:tabs>
        <w:tab w:val="left" w:pos="562"/>
      </w:tabs>
      <w:adjustRightInd/>
      <w:spacing w:beforeLines="20" w:afterLines="20" w:line="288" w:lineRule="auto"/>
      <w:ind w:left="562"/>
      <w:jc w:val="left"/>
      <w:textAlignment w:val="auto"/>
    </w:pPr>
    <w:rPr>
      <w:rFonts w:ascii="Courier New" w:hAnsi="Courier New" w:cs="仿宋_GB2312"/>
      <w:color w:val="CCFFFF"/>
      <w:kern w:val="2"/>
    </w:rPr>
  </w:style>
  <w:style w:type="paragraph" w:customStyle="1" w:styleId="1872">
    <w:name w:val="样式 标题 3小标题小节标题H3h33rd level第二层条标题4标题 3 Char标题 3 Char Ch...2"/>
    <w:basedOn w:val="7"/>
    <w:qFormat/>
    <w:uiPriority w:val="0"/>
    <w:pPr>
      <w:widowControl/>
      <w:numPr>
        <w:ilvl w:val="0"/>
        <w:numId w:val="0"/>
      </w:numPr>
      <w:tabs>
        <w:tab w:val="left" w:pos="709"/>
        <w:tab w:val="left" w:pos="851"/>
        <w:tab w:val="left" w:pos="1364"/>
      </w:tabs>
      <w:adjustRightInd w:val="0"/>
      <w:spacing w:before="120" w:after="120" w:line="240" w:lineRule="auto"/>
      <w:ind w:left="709" w:hanging="709"/>
      <w:textAlignment w:val="baseline"/>
    </w:pPr>
    <w:rPr>
      <w:rFonts w:ascii="Courier New" w:hAnsi="Courier New" w:eastAsia="宋体" w:cs="Courier New"/>
      <w:bCs w:val="0"/>
      <w:color w:val="0000FF"/>
      <w:kern w:val="0"/>
      <w:sz w:val="30"/>
      <w:szCs w:val="30"/>
    </w:rPr>
  </w:style>
  <w:style w:type="paragraph" w:customStyle="1" w:styleId="1873">
    <w:name w:val="列表 4L"/>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874">
    <w:name w:val="样式 标题 2 + Times New Roman 小三 居中 行距: 固定值 20 磅"/>
    <w:basedOn w:val="6"/>
    <w:qFormat/>
    <w:uiPriority w:val="0"/>
    <w:pPr>
      <w:widowControl/>
      <w:numPr>
        <w:ilvl w:val="0"/>
        <w:numId w:val="0"/>
      </w:numPr>
      <w:spacing w:beforeLines="50" w:line="400" w:lineRule="exact"/>
      <w:ind w:firstLine="538" w:firstLineChars="192"/>
    </w:pPr>
    <w:rPr>
      <w:rFonts w:ascii="仿宋_GB2312" w:hAnsi="仿宋_GB2312" w:eastAsia="楷体" w:cs="Verdana"/>
      <w:bCs w:val="0"/>
      <w:kern w:val="0"/>
      <w:sz w:val="30"/>
      <w:szCs w:val="20"/>
    </w:rPr>
  </w:style>
  <w:style w:type="paragraph" w:customStyle="1" w:styleId="1875">
    <w:name w:val="正文图五"/>
    <w:basedOn w:val="1"/>
    <w:qFormat/>
    <w:uiPriority w:val="0"/>
    <w:pPr>
      <w:widowControl/>
      <w:adjustRightInd w:val="0"/>
      <w:snapToGrid w:val="0"/>
      <w:spacing w:line="240" w:lineRule="auto"/>
      <w:jc w:val="center"/>
    </w:pPr>
    <w:rPr>
      <w:rFonts w:ascii="仿宋_GB2312" w:hAnsi="仿宋_GB2312" w:eastAsia="Times New Roman" w:cs="仿宋_GB2312"/>
      <w:spacing w:val="6"/>
      <w:szCs w:val="20"/>
    </w:rPr>
  </w:style>
  <w:style w:type="paragraph" w:customStyle="1" w:styleId="1876">
    <w:name w:val="样式 标题 1 + (中文) 黑体 三号 居中 行距: 单倍行距"/>
    <w:basedOn w:val="5"/>
    <w:qFormat/>
    <w:uiPriority w:val="0"/>
    <w:pPr>
      <w:widowControl/>
      <w:numPr>
        <w:numId w:val="0"/>
      </w:numPr>
      <w:topLinePunct/>
      <w:autoSpaceDE w:val="0"/>
      <w:autoSpaceDN w:val="0"/>
      <w:adjustRightInd w:val="0"/>
      <w:snapToGrid w:val="0"/>
      <w:spacing w:line="240" w:lineRule="auto"/>
      <w:ind w:firstLine="538" w:firstLineChars="224"/>
      <w:jc w:val="left"/>
    </w:pPr>
    <w:rPr>
      <w:rFonts w:ascii="Verdana" w:hAnsi="仿宋_GB2312" w:eastAsia="楷体" w:cs="Verdana"/>
      <w:b w:val="0"/>
      <w:bCs w:val="0"/>
      <w:sz w:val="24"/>
      <w:szCs w:val="20"/>
    </w:rPr>
  </w:style>
  <w:style w:type="paragraph" w:customStyle="1" w:styleId="1877">
    <w:name w:val="样式 标题 2节标题标题21.1H2h2第一层条4.1二级标题标题 lxb2二级标题 Char表标题单位..."/>
    <w:basedOn w:val="1"/>
    <w:qFormat/>
    <w:uiPriority w:val="0"/>
    <w:pPr>
      <w:widowControl/>
      <w:tabs>
        <w:tab w:val="left" w:pos="567"/>
      </w:tabs>
      <w:spacing w:line="240" w:lineRule="auto"/>
      <w:ind w:left="567" w:hanging="567"/>
      <w:jc w:val="left"/>
    </w:pPr>
    <w:rPr>
      <w:rFonts w:ascii="仿宋_GB2312" w:hAnsi="仿宋_GB2312" w:eastAsia="宋体" w:cs="仿宋_GB2312"/>
      <w:szCs w:val="24"/>
    </w:rPr>
  </w:style>
  <w:style w:type="paragraph" w:customStyle="1" w:styleId="1878">
    <w:name w:val="BG1"/>
    <w:basedOn w:val="1"/>
    <w:qFormat/>
    <w:uiPriority w:val="0"/>
    <w:pPr>
      <w:widowControl/>
      <w:autoSpaceDE w:val="0"/>
      <w:autoSpaceDN w:val="0"/>
      <w:spacing w:line="240" w:lineRule="auto"/>
      <w:jc w:val="center"/>
    </w:pPr>
    <w:rPr>
      <w:rFonts w:ascii="仿宋_GB2312" w:hAnsi="仿宋_GB2312" w:eastAsia="宋体" w:cs="仿宋_GB2312"/>
      <w:color w:val="000000"/>
      <w:kern w:val="0"/>
      <w:szCs w:val="24"/>
    </w:rPr>
  </w:style>
  <w:style w:type="paragraph" w:customStyle="1" w:styleId="1879">
    <w:name w:val="标-4"/>
    <w:basedOn w:val="1"/>
    <w:qFormat/>
    <w:uiPriority w:val="0"/>
    <w:pPr>
      <w:widowControl/>
      <w:spacing w:before="120" w:line="240" w:lineRule="auto"/>
      <w:ind w:left="851" w:hanging="851"/>
      <w:jc w:val="left"/>
    </w:pPr>
    <w:rPr>
      <w:rFonts w:ascii="仿宋_GB2312" w:hAnsi="仿宋_GB2312" w:eastAsia="宋体" w:cs="仿宋_GB2312"/>
      <w:sz w:val="24"/>
      <w:szCs w:val="20"/>
    </w:rPr>
  </w:style>
  <w:style w:type="paragraph" w:customStyle="1" w:styleId="1880">
    <w:name w:val="样式 正文缩进正文（首行缩进两字）正文（首行缩进两字） Char Char Char Char Char Char Char..."/>
    <w:basedOn w:val="23"/>
    <w:qFormat/>
    <w:uiPriority w:val="0"/>
    <w:pPr>
      <w:widowControl/>
      <w:tabs>
        <w:tab w:val="left" w:pos="3360"/>
      </w:tabs>
      <w:adjustRightInd w:val="0"/>
      <w:snapToGrid w:val="0"/>
      <w:ind w:firstLine="480"/>
      <w:jc w:val="left"/>
      <w:textAlignment w:val="baseline"/>
    </w:pPr>
    <w:rPr>
      <w:rFonts w:ascii="经典叠圆体简" w:hAnsi="仿宋_GB2312" w:eastAsia="经典叠圆体简" w:cs="仿宋_GB2312"/>
      <w:kern w:val="0"/>
    </w:rPr>
  </w:style>
  <w:style w:type="paragraph" w:customStyle="1" w:styleId="1881">
    <w:name w:val="一级目录1"/>
    <w:basedOn w:val="1"/>
    <w:qFormat/>
    <w:uiPriority w:val="0"/>
    <w:pPr>
      <w:keepNext/>
      <w:keepLines/>
      <w:widowControl/>
      <w:adjustRightInd w:val="0"/>
      <w:snapToGrid w:val="0"/>
      <w:jc w:val="left"/>
      <w:outlineLvl w:val="2"/>
    </w:pPr>
    <w:rPr>
      <w:rFonts w:ascii="Times New Roman" w:hAnsi="宋体" w:eastAsia="宋体" w:cs="Times New Roman"/>
      <w:b/>
      <w:color w:val="0000FF"/>
      <w:sz w:val="30"/>
      <w:szCs w:val="30"/>
    </w:rPr>
  </w:style>
  <w:style w:type="paragraph" w:customStyle="1" w:styleId="1882">
    <w:name w:val="标题 4(1).H41.1.1.1标题 4.1.1.1.1标题 4 Char款四级标题，黑粗，小四，序号h..."/>
    <w:basedOn w:val="8"/>
    <w:qFormat/>
    <w:uiPriority w:val="0"/>
    <w:pPr>
      <w:keepNext w:val="0"/>
      <w:keepLines w:val="0"/>
      <w:widowControl/>
      <w:numPr>
        <w:ilvl w:val="0"/>
        <w:numId w:val="0"/>
      </w:numPr>
      <w:spacing w:before="120" w:after="120" w:line="360" w:lineRule="auto"/>
    </w:pPr>
    <w:rPr>
      <w:rFonts w:eastAsia="华文楷体" w:cs="Times New Roman"/>
      <w:bCs w:val="0"/>
      <w:szCs w:val="20"/>
    </w:rPr>
  </w:style>
  <w:style w:type="paragraph" w:customStyle="1" w:styleId="1883">
    <w:name w:val="图文框"/>
    <w:basedOn w:val="1"/>
    <w:qFormat/>
    <w:uiPriority w:val="0"/>
    <w:pPr>
      <w:widowControl/>
      <w:autoSpaceDE w:val="0"/>
      <w:autoSpaceDN w:val="0"/>
      <w:adjustRightInd w:val="0"/>
      <w:snapToGrid w:val="0"/>
      <w:spacing w:line="400" w:lineRule="atLeast"/>
      <w:jc w:val="center"/>
      <w:textAlignment w:val="baseline"/>
    </w:pPr>
    <w:rPr>
      <w:rFonts w:ascii="宋体" w:hAnsi="Times New Roman" w:eastAsia="宋体" w:cs="Times New Roman"/>
      <w:kern w:val="0"/>
      <w:szCs w:val="20"/>
    </w:rPr>
  </w:style>
  <w:style w:type="paragraph" w:customStyle="1" w:styleId="1884">
    <w:name w:val="样式 正文缩进正文缩进 Char + 首行缩进:  2 字符"/>
    <w:basedOn w:val="23"/>
    <w:qFormat/>
    <w:uiPriority w:val="0"/>
    <w:pPr>
      <w:widowControl/>
      <w:adjustRightInd w:val="0"/>
      <w:snapToGrid w:val="0"/>
      <w:ind w:firstLine="480"/>
      <w:jc w:val="left"/>
    </w:pPr>
    <w:rPr>
      <w:rFonts w:ascii="仿宋_GB2312" w:hAnsi="仿宋_GB2312" w:cs="仿宋_GB2312"/>
      <w:kern w:val="0"/>
    </w:rPr>
  </w:style>
  <w:style w:type="paragraph" w:customStyle="1" w:styleId="1885">
    <w:name w:val="列表 2R"/>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886">
    <w:name w:val="附录五级条标题"/>
    <w:basedOn w:val="1887"/>
    <w:next w:val="1"/>
    <w:qFormat/>
    <w:uiPriority w:val="0"/>
    <w:pPr>
      <w:tabs>
        <w:tab w:val="left" w:pos="828"/>
      </w:tabs>
      <w:ind w:left="435" w:hanging="165"/>
      <w:outlineLvl w:val="6"/>
    </w:pPr>
  </w:style>
  <w:style w:type="paragraph" w:customStyle="1" w:styleId="1887">
    <w:name w:val="附录四级条标题"/>
    <w:basedOn w:val="1748"/>
    <w:next w:val="1"/>
    <w:qFormat/>
    <w:uiPriority w:val="0"/>
    <w:pPr>
      <w:ind w:left="960"/>
      <w:outlineLvl w:val="5"/>
    </w:pPr>
  </w:style>
  <w:style w:type="paragraph" w:customStyle="1" w:styleId="1888">
    <w:name w:val="德胜二级标题"/>
    <w:basedOn w:val="1822"/>
    <w:qFormat/>
    <w:uiPriority w:val="0"/>
    <w:pPr>
      <w:outlineLvl w:val="1"/>
    </w:pPr>
    <w:rPr>
      <w:sz w:val="28"/>
      <w:szCs w:val="28"/>
    </w:rPr>
  </w:style>
  <w:style w:type="paragraph" w:customStyle="1" w:styleId="1889">
    <w:name w:val="6表格"/>
    <w:basedOn w:val="1"/>
    <w:qFormat/>
    <w:uiPriority w:val="0"/>
    <w:pPr>
      <w:widowControl/>
      <w:adjustRightInd w:val="0"/>
      <w:snapToGrid w:val="0"/>
      <w:spacing w:before="60" w:line="312" w:lineRule="auto"/>
      <w:jc w:val="center"/>
    </w:pPr>
    <w:rPr>
      <w:rFonts w:ascii="仿宋_GB2312" w:hAnsi="仿宋_GB2312" w:eastAsia="宋体" w:cs="仿宋_GB2312"/>
      <w:kern w:val="0"/>
      <w:szCs w:val="20"/>
    </w:rPr>
  </w:style>
  <w:style w:type="paragraph" w:customStyle="1" w:styleId="1890">
    <w:name w:val="正文3"/>
    <w:basedOn w:val="1"/>
    <w:qFormat/>
    <w:uiPriority w:val="0"/>
    <w:pPr>
      <w:widowControl/>
      <w:autoSpaceDE w:val="0"/>
      <w:autoSpaceDN w:val="0"/>
      <w:spacing w:after="160" w:line="440" w:lineRule="exact"/>
      <w:ind w:left="567" w:hanging="340"/>
      <w:jc w:val="left"/>
      <w:textAlignment w:val="bottom"/>
    </w:pPr>
    <w:rPr>
      <w:rFonts w:ascii="仿宋_GB2312" w:hAnsi="仿宋_GB2312" w:eastAsia="宋体" w:cs="仿宋_GB2312"/>
      <w:color w:val="000000"/>
      <w:sz w:val="28"/>
      <w:szCs w:val="20"/>
    </w:rPr>
  </w:style>
  <w:style w:type="paragraph" w:customStyle="1" w:styleId="1891">
    <w:name w:val="xl109"/>
    <w:basedOn w:val="1"/>
    <w:qFormat/>
    <w:uiPriority w:val="0"/>
    <w:pPr>
      <w:widowControl/>
      <w:pBdr>
        <w:top w:val="single" w:color="auto" w:sz="4" w:space="0"/>
        <w:right w:val="single" w:color="auto" w:sz="8"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1892">
    <w:name w:val="Indent1"/>
    <w:basedOn w:val="1"/>
    <w:qFormat/>
    <w:uiPriority w:val="0"/>
    <w:pPr>
      <w:widowControl/>
      <w:overflowPunct w:val="0"/>
      <w:autoSpaceDE w:val="0"/>
      <w:autoSpaceDN w:val="0"/>
      <w:adjustRightInd w:val="0"/>
      <w:spacing w:line="240" w:lineRule="auto"/>
      <w:ind w:left="1440" w:hanging="720"/>
      <w:jc w:val="left"/>
      <w:textAlignment w:val="baseline"/>
    </w:pPr>
    <w:rPr>
      <w:rFonts w:ascii="Courier New" w:hAnsi="Courier New" w:eastAsia="宋体" w:cs="仿宋_GB2312"/>
      <w:kern w:val="0"/>
      <w:sz w:val="22"/>
      <w:szCs w:val="20"/>
    </w:rPr>
  </w:style>
  <w:style w:type="paragraph" w:customStyle="1" w:styleId="1893">
    <w:name w:val="文件名称"/>
    <w:basedOn w:val="1"/>
    <w:next w:val="1"/>
    <w:qFormat/>
    <w:uiPriority w:val="0"/>
    <w:pPr>
      <w:widowControl/>
      <w:spacing w:beforeLines="100" w:line="500" w:lineRule="atLeast"/>
      <w:jc w:val="center"/>
    </w:pPr>
    <w:rPr>
      <w:rFonts w:ascii="楷体" w:hAnsi="仿宋_GB2312" w:eastAsia="楷体" w:cs="仿宋_GB2312"/>
      <w:sz w:val="84"/>
      <w:szCs w:val="84"/>
    </w:rPr>
  </w:style>
  <w:style w:type="paragraph" w:customStyle="1" w:styleId="1894">
    <w:name w:val="hb3"/>
    <w:basedOn w:val="7"/>
    <w:qFormat/>
    <w:uiPriority w:val="0"/>
    <w:pPr>
      <w:widowControl/>
      <w:numPr>
        <w:ilvl w:val="0"/>
        <w:numId w:val="0"/>
      </w:numPr>
      <w:adjustRightInd w:val="0"/>
      <w:spacing w:line="500" w:lineRule="exact"/>
      <w:textAlignment w:val="baseline"/>
    </w:pPr>
    <w:rPr>
      <w:rFonts w:ascii="仿宋_GB2312" w:hAnsi="仿宋_GB2312" w:eastAsia="宋体" w:cs="仿宋_GB2312"/>
      <w:bCs w:val="0"/>
      <w:sz w:val="28"/>
      <w:szCs w:val="28"/>
    </w:rPr>
  </w:style>
  <w:style w:type="paragraph" w:customStyle="1" w:styleId="1895">
    <w:name w:val="样式 样式2 + 段前: 6 磅 行距: 单倍行距2"/>
    <w:basedOn w:val="244"/>
    <w:qFormat/>
    <w:uiPriority w:val="0"/>
    <w:pPr>
      <w:keepNext w:val="0"/>
      <w:keepLines w:val="0"/>
      <w:widowControl/>
      <w:tabs>
        <w:tab w:val="clear" w:pos="1134"/>
      </w:tabs>
      <w:autoSpaceDE w:val="0"/>
      <w:autoSpaceDN w:val="0"/>
      <w:adjustRightInd w:val="0"/>
      <w:snapToGrid w:val="0"/>
      <w:spacing w:beforeLines="0" w:after="0" w:line="240" w:lineRule="auto"/>
      <w:ind w:left="0" w:firstLine="0"/>
      <w:jc w:val="center"/>
      <w:textAlignment w:val="baseline"/>
      <w:outlineLvl w:val="9"/>
    </w:pPr>
    <w:rPr>
      <w:spacing w:val="-16"/>
      <w:kern w:val="2"/>
      <w:szCs w:val="21"/>
    </w:rPr>
  </w:style>
  <w:style w:type="paragraph" w:customStyle="1" w:styleId="1896">
    <w:name w:val="列表 4M"/>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897">
    <w:name w:val="样式 标题 2第一层条Head2A2H2h2Heading 2 HiddenHeading 2 CCBS第一章 ..."/>
    <w:basedOn w:val="6"/>
    <w:qFormat/>
    <w:uiPriority w:val="0"/>
    <w:pPr>
      <w:widowControl/>
      <w:numPr>
        <w:ilvl w:val="0"/>
        <w:numId w:val="0"/>
      </w:numPr>
      <w:adjustRightInd w:val="0"/>
      <w:spacing w:beforeLines="50" w:after="0" w:line="360" w:lineRule="auto"/>
      <w:jc w:val="both"/>
      <w:textAlignment w:val="baseline"/>
    </w:pPr>
    <w:rPr>
      <w:rFonts w:ascii="仿宋_GB2312" w:hAnsi="仿宋_GB2312" w:eastAsia="楷体" w:cs="仿宋_GB2312"/>
      <w:color w:val="0000FF"/>
      <w:kern w:val="0"/>
      <w:szCs w:val="20"/>
    </w:rPr>
  </w:style>
  <w:style w:type="paragraph" w:customStyle="1" w:styleId="1898">
    <w:name w:val="Char Char Char1 Char Char Char Char Char Char Char Char Char Char Char Char Char Char Char Char"/>
    <w:basedOn w:val="1"/>
    <w:qFormat/>
    <w:uiPriority w:val="0"/>
    <w:pPr>
      <w:widowControl/>
      <w:spacing w:line="240" w:lineRule="auto"/>
      <w:jc w:val="left"/>
    </w:pPr>
    <w:rPr>
      <w:rFonts w:ascii="Times New Roman" w:hAnsi="Times New Roman" w:eastAsia="宋体" w:cs="Times New Roman"/>
      <w:sz w:val="24"/>
      <w:szCs w:val="24"/>
    </w:rPr>
  </w:style>
  <w:style w:type="paragraph" w:customStyle="1" w:styleId="1899">
    <w:name w:val="样式 标题 2标题21.1H2h2第一层条2Header 2nd PageA.B.C.h2 main head..."/>
    <w:basedOn w:val="6"/>
    <w:qFormat/>
    <w:uiPriority w:val="0"/>
    <w:pPr>
      <w:widowControl/>
      <w:numPr>
        <w:ilvl w:val="0"/>
        <w:numId w:val="0"/>
      </w:numPr>
      <w:snapToGrid w:val="0"/>
      <w:spacing w:beforeLines="50" w:after="0" w:line="360" w:lineRule="auto"/>
      <w:jc w:val="both"/>
    </w:pPr>
    <w:rPr>
      <w:rFonts w:ascii="仿宋_GB2312" w:hAnsi="仿宋_GB2312" w:eastAsia="楷体" w:cs="仿宋_GB2312"/>
      <w:bCs w:val="0"/>
      <w:sz w:val="30"/>
      <w:szCs w:val="30"/>
    </w:rPr>
  </w:style>
  <w:style w:type="paragraph" w:customStyle="1" w:styleId="1900">
    <w:name w:val="样式 正文文本 + 红色"/>
    <w:basedOn w:val="36"/>
    <w:qFormat/>
    <w:uiPriority w:val="0"/>
    <w:pPr>
      <w:widowControl/>
      <w:adjustRightInd w:val="0"/>
      <w:snapToGrid w:val="0"/>
      <w:spacing w:before="60" w:after="60" w:line="264" w:lineRule="auto"/>
      <w:ind w:firstLine="200" w:firstLineChars="200"/>
      <w:jc w:val="left"/>
      <w:textAlignment w:val="baseline"/>
    </w:pPr>
    <w:rPr>
      <w:rFonts w:ascii="仿宋_GB2312" w:hAnsi="仿宋_GB2312" w:eastAsia="Times New Roman" w:cs="仿宋_GB2312"/>
      <w:color w:val="FF0000"/>
      <w:kern w:val="0"/>
      <w:sz w:val="24"/>
      <w:szCs w:val="24"/>
    </w:rPr>
  </w:style>
  <w:style w:type="paragraph" w:customStyle="1" w:styleId="1901">
    <w:name w:val="文本框五号1.5倍行距"/>
    <w:qFormat/>
    <w:uiPriority w:val="0"/>
    <w:pPr>
      <w:spacing w:line="360" w:lineRule="auto"/>
    </w:pPr>
    <w:rPr>
      <w:rFonts w:ascii="Calibri" w:hAnsi="Calibri" w:eastAsia="宋体" w:cs="Times New Roman"/>
      <w:lang w:val="en-US" w:eastAsia="zh-CN" w:bidi="ar-SA"/>
    </w:rPr>
  </w:style>
  <w:style w:type="paragraph" w:customStyle="1" w:styleId="1902">
    <w:name w:val="样式 正文(首行缩进) + 8 磅 加粗 首行缩进:  2 字符1"/>
    <w:basedOn w:val="1"/>
    <w:qFormat/>
    <w:uiPriority w:val="0"/>
    <w:pPr>
      <w:widowControl/>
      <w:adjustRightInd w:val="0"/>
      <w:snapToGrid w:val="0"/>
      <w:spacing w:line="240" w:lineRule="auto"/>
      <w:ind w:firstLine="200" w:firstLineChars="200"/>
      <w:jc w:val="left"/>
    </w:pPr>
    <w:rPr>
      <w:rFonts w:ascii="仿宋_GB2312" w:hAnsi="仿宋_GB2312" w:eastAsia="宋体" w:cs="Verdana"/>
      <w:b/>
      <w:bCs/>
      <w:kern w:val="0"/>
      <w:sz w:val="16"/>
      <w:szCs w:val="20"/>
    </w:rPr>
  </w:style>
  <w:style w:type="paragraph" w:customStyle="1" w:styleId="1903">
    <w:name w:val="標準インデント　2"/>
    <w:basedOn w:val="23"/>
    <w:qFormat/>
    <w:uiPriority w:val="0"/>
    <w:pPr>
      <w:widowControl/>
      <w:overflowPunct w:val="0"/>
      <w:autoSpaceDE w:val="0"/>
      <w:autoSpaceDN w:val="0"/>
      <w:adjustRightInd w:val="0"/>
      <w:spacing w:line="240" w:lineRule="auto"/>
      <w:ind w:left="2900" w:hanging="2038" w:firstLineChars="0"/>
      <w:jc w:val="left"/>
      <w:textAlignment w:val="baseline"/>
    </w:pPr>
    <w:rPr>
      <w:rFonts w:ascii="仿宋_GB2312" w:hAnsi="仿宋_GB2312" w:eastAsia="Times New Roman" w:cs="仿宋_GB2312"/>
      <w:kern w:val="0"/>
      <w:sz w:val="20"/>
      <w:szCs w:val="20"/>
      <w:lang w:eastAsia="ja-JP"/>
    </w:rPr>
  </w:style>
  <w:style w:type="paragraph" w:customStyle="1" w:styleId="1904">
    <w:name w:val="样式 样式 样式 方正宋三简体 14 磅 行距: 1.5 倍行距1 + 首行缩进:  2 字符 + 首行缩进:  2 字符"/>
    <w:basedOn w:val="1"/>
    <w:qFormat/>
    <w:uiPriority w:val="0"/>
    <w:pPr>
      <w:widowControl/>
      <w:spacing w:line="240" w:lineRule="auto"/>
      <w:ind w:firstLine="574" w:firstLineChars="200"/>
      <w:jc w:val="left"/>
    </w:pPr>
    <w:rPr>
      <w:rFonts w:ascii="Verdana" w:hAnsi="Calibri" w:eastAsia="宋体" w:cs="仿宋_GB2312"/>
      <w:sz w:val="27"/>
      <w:szCs w:val="20"/>
    </w:rPr>
  </w:style>
  <w:style w:type="paragraph" w:customStyle="1" w:styleId="1905">
    <w:name w:val="五级无标题条"/>
    <w:basedOn w:val="1"/>
    <w:qFormat/>
    <w:uiPriority w:val="0"/>
    <w:pPr>
      <w:widowControl/>
      <w:spacing w:line="240" w:lineRule="auto"/>
      <w:jc w:val="left"/>
    </w:pPr>
    <w:rPr>
      <w:rFonts w:ascii="Times New Roman" w:hAnsi="Times New Roman" w:eastAsia="宋体" w:cs="Times New Roman"/>
      <w:szCs w:val="20"/>
    </w:rPr>
  </w:style>
  <w:style w:type="paragraph" w:customStyle="1" w:styleId="1906">
    <w:name w:val="0007小四 居中"/>
    <w:basedOn w:val="1"/>
    <w:qFormat/>
    <w:uiPriority w:val="0"/>
    <w:pPr>
      <w:widowControl/>
      <w:autoSpaceDE w:val="0"/>
      <w:autoSpaceDN w:val="0"/>
      <w:adjustRightInd w:val="0"/>
      <w:spacing w:line="500" w:lineRule="exact"/>
      <w:jc w:val="center"/>
    </w:pPr>
    <w:rPr>
      <w:rFonts w:ascii="宋体" w:hAnsi="宋体" w:eastAsia="宋体" w:cs="Times New Roman"/>
      <w:sz w:val="24"/>
      <w:szCs w:val="24"/>
    </w:rPr>
  </w:style>
  <w:style w:type="paragraph" w:customStyle="1" w:styleId="1907">
    <w:name w:val="a9"/>
    <w:basedOn w:val="1"/>
    <w:qFormat/>
    <w:uiPriority w:val="0"/>
    <w:pPr>
      <w:widowControl/>
      <w:spacing w:before="100" w:beforeAutospacing="1" w:after="100" w:afterAutospacing="1" w:line="240" w:lineRule="auto"/>
      <w:jc w:val="left"/>
    </w:pPr>
    <w:rPr>
      <w:rFonts w:ascii="宋体" w:hAnsi="宋体" w:eastAsia="宋体" w:cs="Times New Roman"/>
      <w:color w:val="000000"/>
      <w:kern w:val="0"/>
      <w:sz w:val="24"/>
      <w:szCs w:val="24"/>
    </w:rPr>
  </w:style>
  <w:style w:type="paragraph" w:customStyle="1" w:styleId="1908">
    <w:name w:val="表内-文字"/>
    <w:basedOn w:val="1"/>
    <w:qFormat/>
    <w:uiPriority w:val="0"/>
    <w:pPr>
      <w:widowControl/>
      <w:spacing w:line="320" w:lineRule="exact"/>
      <w:jc w:val="center"/>
    </w:pPr>
    <w:rPr>
      <w:rFonts w:ascii="仿宋_GB2312" w:hAnsi="仿宋_GB2312" w:eastAsia="经典叠圆体简" w:cs="Verdana"/>
      <w:bCs/>
      <w:color w:val="000000"/>
    </w:rPr>
  </w:style>
  <w:style w:type="paragraph" w:customStyle="1" w:styleId="1909">
    <w:name w:val="表格2"/>
    <w:basedOn w:val="1"/>
    <w:qFormat/>
    <w:uiPriority w:val="0"/>
    <w:pPr>
      <w:widowControl/>
      <w:autoSpaceDE w:val="0"/>
      <w:autoSpaceDN w:val="0"/>
      <w:adjustRightInd w:val="0"/>
      <w:snapToGrid w:val="0"/>
      <w:spacing w:line="240" w:lineRule="auto"/>
      <w:jc w:val="center"/>
    </w:pPr>
    <w:rPr>
      <w:rFonts w:ascii="Verdana" w:hAnsi="Verdana" w:eastAsia="宋体" w:cs="仿宋_GB2312"/>
      <w:spacing w:val="-8"/>
      <w:szCs w:val="24"/>
    </w:rPr>
  </w:style>
  <w:style w:type="paragraph" w:customStyle="1" w:styleId="1910">
    <w:name w:val="表左"/>
    <w:basedOn w:val="1"/>
    <w:qFormat/>
    <w:uiPriority w:val="0"/>
    <w:pPr>
      <w:widowControl/>
      <w:spacing w:line="280" w:lineRule="exact"/>
      <w:jc w:val="left"/>
    </w:pPr>
    <w:rPr>
      <w:rFonts w:ascii="Verdana" w:hAnsi="仿宋_GB2312" w:eastAsia="宋体" w:cs="仿宋_GB2312"/>
      <w:color w:val="000000"/>
      <w:sz w:val="18"/>
      <w:szCs w:val="24"/>
    </w:rPr>
  </w:style>
  <w:style w:type="paragraph" w:customStyle="1" w:styleId="1911">
    <w:name w:val="样式 标题 2节标题1.1标题 2节Char节标题 1.1节标题 1.1 Char Char节标题 1.1 Cha..."/>
    <w:basedOn w:val="6"/>
    <w:qFormat/>
    <w:uiPriority w:val="0"/>
    <w:pPr>
      <w:keepLines w:val="0"/>
      <w:widowControl/>
      <w:numPr>
        <w:ilvl w:val="0"/>
        <w:numId w:val="0"/>
      </w:numPr>
      <w:adjustRightInd w:val="0"/>
      <w:snapToGrid w:val="0"/>
      <w:spacing w:beforeLines="50" w:after="0" w:line="360" w:lineRule="auto"/>
      <w:jc w:val="both"/>
      <w:outlineLvl w:val="9"/>
    </w:pPr>
    <w:rPr>
      <w:rFonts w:ascii="Calibri" w:hAnsi="Calibri" w:eastAsia="宋体" w:cs="Times New Roman"/>
      <w:szCs w:val="28"/>
    </w:rPr>
  </w:style>
  <w:style w:type="paragraph" w:customStyle="1" w:styleId="1912">
    <w:name w:val="样式 正文首行缩进 + 首行缩进:  2 字符1"/>
    <w:basedOn w:val="1"/>
    <w:next w:val="660"/>
    <w:qFormat/>
    <w:uiPriority w:val="0"/>
    <w:pPr>
      <w:widowControl/>
      <w:ind w:firstLine="480" w:firstLineChars="200"/>
      <w:jc w:val="left"/>
    </w:pPr>
    <w:rPr>
      <w:rFonts w:ascii="仿宋_GB2312" w:hAnsi="仿宋_GB2312" w:eastAsia="宋体" w:cs="仿宋_GB2312"/>
      <w:sz w:val="24"/>
      <w:szCs w:val="24"/>
    </w:rPr>
  </w:style>
  <w:style w:type="paragraph" w:customStyle="1" w:styleId="1913">
    <w:name w:val="样式 标题 31.1.1条标题 3 Char Char标题 3 Char标3可研-标题 3§1.1.1.. (1..."/>
    <w:basedOn w:val="7"/>
    <w:qFormat/>
    <w:uiPriority w:val="0"/>
    <w:pPr>
      <w:keepNext w:val="0"/>
      <w:keepLines w:val="0"/>
      <w:widowControl/>
      <w:numPr>
        <w:ilvl w:val="0"/>
        <w:numId w:val="0"/>
      </w:numPr>
      <w:tabs>
        <w:tab w:val="left" w:pos="180"/>
        <w:tab w:val="left" w:pos="390"/>
        <w:tab w:val="left" w:pos="628"/>
      </w:tabs>
      <w:autoSpaceDE w:val="0"/>
      <w:autoSpaceDN w:val="0"/>
      <w:adjustRightInd w:val="0"/>
      <w:snapToGrid w:val="0"/>
      <w:spacing w:before="0" w:after="0" w:line="360" w:lineRule="auto"/>
    </w:pPr>
    <w:rPr>
      <w:rFonts w:ascii="宋体" w:hAnsi="宋体" w:eastAsia="宋体" w:cs="Times New Roman"/>
      <w:b w:val="0"/>
      <w:bCs w:val="0"/>
      <w:color w:val="000000"/>
      <w:spacing w:val="3"/>
      <w:sz w:val="28"/>
      <w:szCs w:val="28"/>
      <w:lang w:val="zh-CN"/>
    </w:rPr>
  </w:style>
  <w:style w:type="paragraph" w:customStyle="1" w:styleId="1914">
    <w:name w:val="列表 5L"/>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915">
    <w:name w:val="Char Char Char1 Char Char Char1 Char Char Char Char Char Char1 Char Char Char1 Char"/>
    <w:basedOn w:val="1"/>
    <w:qFormat/>
    <w:uiPriority w:val="0"/>
    <w:pPr>
      <w:widowControl/>
      <w:spacing w:line="240" w:lineRule="auto"/>
      <w:jc w:val="left"/>
    </w:pPr>
    <w:rPr>
      <w:rFonts w:ascii="仿宋_GB2312" w:hAnsi="仿宋_GB2312" w:eastAsia="宋体" w:cs="仿宋_GB2312"/>
      <w:szCs w:val="24"/>
    </w:rPr>
  </w:style>
  <w:style w:type="paragraph" w:customStyle="1" w:styleId="1916">
    <w:name w:val="样式 四号 行距: 1.5 倍行距1"/>
    <w:basedOn w:val="1"/>
    <w:qFormat/>
    <w:uiPriority w:val="0"/>
    <w:pPr>
      <w:widowControl/>
      <w:jc w:val="left"/>
    </w:pPr>
    <w:rPr>
      <w:rFonts w:ascii="仿宋_GB2312" w:hAnsi="仿宋_GB2312" w:eastAsia="宋体" w:cs="Verdana"/>
      <w:sz w:val="28"/>
      <w:szCs w:val="20"/>
    </w:rPr>
  </w:style>
  <w:style w:type="paragraph" w:customStyle="1" w:styleId="1917">
    <w:name w:val="样式 四号 行距: 固定值 24 磅"/>
    <w:basedOn w:val="1"/>
    <w:qFormat/>
    <w:uiPriority w:val="0"/>
    <w:pPr>
      <w:widowControl/>
      <w:spacing w:line="480" w:lineRule="exact"/>
      <w:ind w:firstLine="560" w:firstLineChars="200"/>
      <w:jc w:val="left"/>
    </w:pPr>
    <w:rPr>
      <w:rFonts w:ascii="Times New Roman" w:hAnsi="Times New Roman" w:eastAsia="宋体" w:cs="Times New Roman"/>
      <w:sz w:val="24"/>
      <w:szCs w:val="20"/>
    </w:rPr>
  </w:style>
  <w:style w:type="paragraph" w:customStyle="1" w:styleId="1918">
    <w:name w:val="列表 5E"/>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919">
    <w:name w:val="列表 I"/>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920">
    <w:name w:val="附录"/>
    <w:basedOn w:val="5"/>
    <w:next w:val="1"/>
    <w:qFormat/>
    <w:uiPriority w:val="0"/>
    <w:pPr>
      <w:widowControl/>
      <w:numPr>
        <w:numId w:val="0"/>
      </w:numPr>
      <w:tabs>
        <w:tab w:val="left" w:pos="390"/>
      </w:tabs>
      <w:adjustRightInd w:val="0"/>
      <w:snapToGrid w:val="0"/>
      <w:spacing w:before="0" w:after="220" w:line="240" w:lineRule="auto"/>
      <w:ind w:left="390" w:hanging="390"/>
    </w:pPr>
    <w:rPr>
      <w:rFonts w:eastAsia="宋体" w:cs="Times New Roman"/>
      <w:bCs w:val="0"/>
      <w:color w:val="0000FF"/>
      <w:spacing w:val="-10"/>
      <w:kern w:val="28"/>
      <w:sz w:val="30"/>
      <w:szCs w:val="20"/>
    </w:rPr>
  </w:style>
  <w:style w:type="paragraph" w:customStyle="1" w:styleId="1921">
    <w:name w:val="右五"/>
    <w:basedOn w:val="1837"/>
    <w:next w:val="1"/>
    <w:qFormat/>
    <w:uiPriority w:val="0"/>
    <w:pPr>
      <w:jc w:val="right"/>
    </w:pPr>
  </w:style>
  <w:style w:type="paragraph" w:customStyle="1" w:styleId="1922">
    <w:name w:val="列表 D"/>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923">
    <w:name w:val="样式 标题 2 + 段前: 0 磅 段后: 0 磅 行距: 1.5 倍行距"/>
    <w:basedOn w:val="6"/>
    <w:qFormat/>
    <w:uiPriority w:val="0"/>
    <w:pPr>
      <w:keepLines w:val="0"/>
      <w:widowControl/>
      <w:numPr>
        <w:ilvl w:val="0"/>
        <w:numId w:val="0"/>
      </w:numPr>
      <w:spacing w:beforeLines="50" w:after="0" w:line="360" w:lineRule="auto"/>
      <w:ind w:left="599" w:hanging="576"/>
      <w:jc w:val="both"/>
    </w:pPr>
    <w:rPr>
      <w:rFonts w:ascii="Calibri" w:hAnsi="Calibri" w:eastAsia="黑体" w:cs="宋体"/>
      <w:spacing w:val="20"/>
      <w:kern w:val="0"/>
      <w:szCs w:val="20"/>
      <w:lang w:val="en-GB"/>
    </w:rPr>
  </w:style>
  <w:style w:type="paragraph" w:customStyle="1" w:styleId="1924">
    <w:name w:val="列表 2S"/>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925">
    <w:name w:val="热电厂正文 Char"/>
    <w:basedOn w:val="1"/>
    <w:qFormat/>
    <w:uiPriority w:val="0"/>
    <w:pPr>
      <w:widowControl/>
      <w:spacing w:line="440" w:lineRule="exact"/>
      <w:ind w:firstLine="480" w:firstLineChars="200"/>
      <w:jc w:val="left"/>
    </w:pPr>
    <w:rPr>
      <w:rFonts w:ascii="Times New Roman" w:hAnsi="Times New Roman" w:eastAsia="宋体" w:cs="Times New Roman"/>
      <w:sz w:val="24"/>
      <w:szCs w:val="24"/>
    </w:rPr>
  </w:style>
  <w:style w:type="paragraph" w:customStyle="1" w:styleId="1926">
    <w:name w:val="Char Char Char1 Char1"/>
    <w:basedOn w:val="1"/>
    <w:qFormat/>
    <w:uiPriority w:val="0"/>
    <w:pPr>
      <w:widowControl/>
      <w:spacing w:line="240" w:lineRule="auto"/>
      <w:jc w:val="left"/>
    </w:pPr>
    <w:rPr>
      <w:rFonts w:ascii="仿宋_GB2312" w:hAnsi="仿宋_GB2312" w:eastAsia="宋体" w:cs="仿宋_GB2312"/>
      <w:szCs w:val="24"/>
    </w:rPr>
  </w:style>
  <w:style w:type="paragraph" w:customStyle="1" w:styleId="1927">
    <w:name w:val="Char Char Char Char Char Char Char Char2 Char Char Char Char Char Char Char Char Char Char Char Char Char"/>
    <w:basedOn w:val="1"/>
    <w:next w:val="1"/>
    <w:qFormat/>
    <w:uiPriority w:val="0"/>
    <w:pPr>
      <w:widowControl/>
      <w:spacing w:line="240" w:lineRule="auto"/>
      <w:ind w:firstLine="200" w:firstLineChars="200"/>
      <w:jc w:val="left"/>
    </w:pPr>
    <w:rPr>
      <w:rFonts w:ascii="宋体" w:hAnsi="宋体" w:eastAsia="汉鼎简书宋" w:cs="宋体"/>
      <w:spacing w:val="4"/>
      <w:sz w:val="24"/>
      <w:szCs w:val="24"/>
    </w:rPr>
  </w:style>
  <w:style w:type="paragraph" w:customStyle="1" w:styleId="1928">
    <w:name w:val="样式 小四 加粗 居中"/>
    <w:basedOn w:val="1"/>
    <w:qFormat/>
    <w:uiPriority w:val="0"/>
    <w:pPr>
      <w:widowControl/>
      <w:spacing w:after="120" w:line="240" w:lineRule="auto"/>
      <w:jc w:val="center"/>
    </w:pPr>
    <w:rPr>
      <w:rFonts w:ascii="Times New Roman" w:hAnsi="Times New Roman" w:eastAsia="仿宋_GB2312" w:cs="宋体"/>
      <w:b/>
      <w:bCs/>
      <w:sz w:val="24"/>
      <w:szCs w:val="20"/>
    </w:rPr>
  </w:style>
  <w:style w:type="paragraph" w:customStyle="1" w:styleId="1929">
    <w:name w:val="文本框"/>
    <w:basedOn w:val="1"/>
    <w:qFormat/>
    <w:uiPriority w:val="0"/>
    <w:pPr>
      <w:widowControl/>
      <w:spacing w:line="240" w:lineRule="auto"/>
      <w:jc w:val="center"/>
    </w:pPr>
    <w:rPr>
      <w:rFonts w:ascii="仿宋_GB2312" w:hAnsi="仿宋_GB2312" w:eastAsia="宋体" w:cs="仿宋_GB2312"/>
      <w:sz w:val="24"/>
      <w:szCs w:val="24"/>
    </w:rPr>
  </w:style>
  <w:style w:type="paragraph" w:customStyle="1" w:styleId="1930">
    <w:name w:val="ENUM"/>
    <w:basedOn w:val="1"/>
    <w:qFormat/>
    <w:uiPriority w:val="0"/>
    <w:pPr>
      <w:widowControl/>
      <w:tabs>
        <w:tab w:val="left" w:pos="840"/>
        <w:tab w:val="left" w:pos="1418"/>
      </w:tabs>
      <w:spacing w:before="60" w:after="60" w:line="240" w:lineRule="auto"/>
      <w:ind w:left="1418" w:hanging="284" w:firstLineChars="200"/>
      <w:jc w:val="left"/>
    </w:pPr>
    <w:rPr>
      <w:rFonts w:ascii="Courier New" w:hAnsi="Courier New" w:eastAsia="宋体" w:cs="仿宋_GB2312"/>
      <w:kern w:val="0"/>
      <w:sz w:val="22"/>
      <w:szCs w:val="20"/>
      <w:lang w:val="en-GB"/>
    </w:rPr>
  </w:style>
  <w:style w:type="paragraph" w:customStyle="1" w:styleId="1931">
    <w:name w:val="列表 4Z"/>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932">
    <w:name w:val="圖標題"/>
    <w:basedOn w:val="1"/>
    <w:qFormat/>
    <w:uiPriority w:val="0"/>
    <w:pPr>
      <w:widowControl/>
      <w:topLinePunct/>
      <w:adjustRightInd w:val="0"/>
      <w:spacing w:line="384" w:lineRule="exact"/>
      <w:jc w:val="center"/>
      <w:textAlignment w:val="baseline"/>
    </w:pPr>
    <w:rPr>
      <w:rFonts w:ascii="Courier New" w:hAnsi="Courier New" w:eastAsia="DFKai-SB" w:cs="Courier New"/>
      <w:kern w:val="20"/>
      <w:sz w:val="24"/>
      <w:szCs w:val="20"/>
      <w:lang w:eastAsia="zh-TW"/>
    </w:rPr>
  </w:style>
  <w:style w:type="paragraph" w:customStyle="1" w:styleId="1933">
    <w:name w:val="正文文本缩进 211"/>
    <w:basedOn w:val="1"/>
    <w:qFormat/>
    <w:uiPriority w:val="0"/>
    <w:pPr>
      <w:widowControl/>
      <w:adjustRightInd w:val="0"/>
      <w:ind w:firstLine="510"/>
      <w:jc w:val="left"/>
      <w:textAlignment w:val="baseline"/>
    </w:pPr>
    <w:rPr>
      <w:rFonts w:ascii="Verdana" w:hAnsi="Verdana" w:eastAsia="宋体" w:cs="仿宋_GB2312"/>
      <w:sz w:val="28"/>
      <w:szCs w:val="20"/>
    </w:rPr>
  </w:style>
  <w:style w:type="paragraph" w:customStyle="1" w:styleId="1934">
    <w:name w:val="黑点"/>
    <w:basedOn w:val="1"/>
    <w:qFormat/>
    <w:uiPriority w:val="0"/>
    <w:pPr>
      <w:widowControl/>
      <w:tabs>
        <w:tab w:val="left" w:pos="600"/>
        <w:tab w:val="left" w:pos="2100"/>
      </w:tabs>
      <w:adjustRightInd w:val="0"/>
      <w:ind w:left="2100" w:hanging="420"/>
      <w:jc w:val="left"/>
      <w:textAlignment w:val="baseline"/>
    </w:pPr>
    <w:rPr>
      <w:rFonts w:ascii="Verdana" w:hAnsi="Verdana" w:eastAsia="宋体" w:cs="仿宋_GB2312"/>
      <w:color w:val="000000"/>
      <w:kern w:val="0"/>
      <w:sz w:val="24"/>
      <w:szCs w:val="20"/>
    </w:rPr>
  </w:style>
  <w:style w:type="paragraph" w:customStyle="1" w:styleId="1935">
    <w:name w:val="样式 题注 + 五号 加粗 居中"/>
    <w:basedOn w:val="1"/>
    <w:qFormat/>
    <w:uiPriority w:val="0"/>
    <w:pPr>
      <w:widowControl/>
      <w:spacing w:beforeLines="20" w:afterLines="20"/>
      <w:jc w:val="center"/>
    </w:pPr>
    <w:rPr>
      <w:rFonts w:ascii="Courier New" w:hAnsi="Courier New" w:eastAsia="楷体" w:cs="仿宋_GB2312"/>
      <w:b/>
      <w:bCs/>
      <w:sz w:val="24"/>
    </w:rPr>
  </w:style>
  <w:style w:type="paragraph" w:customStyle="1" w:styleId="1936">
    <w:name w:val="样式 标题 1章标题标题1章节H1NMP Heading 1 + Arial 左 段前: 12 磅 段后: 6 ..."/>
    <w:basedOn w:val="5"/>
    <w:qFormat/>
    <w:uiPriority w:val="0"/>
    <w:pPr>
      <w:widowControl/>
      <w:numPr>
        <w:numId w:val="0"/>
      </w:numPr>
      <w:spacing w:before="240" w:after="120" w:line="240" w:lineRule="auto"/>
      <w:ind w:left="170" w:hanging="170"/>
      <w:jc w:val="left"/>
    </w:pPr>
    <w:rPr>
      <w:rFonts w:ascii="仿宋_GB2312" w:hAnsi="仿宋_GB2312" w:eastAsia="宋体" w:cs="仿宋_GB2312"/>
      <w:color w:val="0000FF"/>
      <w:spacing w:val="-12"/>
      <w:sz w:val="44"/>
    </w:rPr>
  </w:style>
  <w:style w:type="paragraph" w:customStyle="1" w:styleId="1937">
    <w:name w:val="文-7"/>
    <w:basedOn w:val="1"/>
    <w:qFormat/>
    <w:uiPriority w:val="0"/>
    <w:pPr>
      <w:widowControl/>
      <w:tabs>
        <w:tab w:val="right" w:leader="dot" w:pos="8789"/>
      </w:tabs>
      <w:spacing w:before="120" w:line="240" w:lineRule="auto"/>
      <w:ind w:left="1701" w:firstLine="482"/>
      <w:jc w:val="left"/>
    </w:pPr>
    <w:rPr>
      <w:rFonts w:ascii="仿宋_GB2312" w:hAnsi="仿宋_GB2312" w:eastAsia="宋体" w:cs="仿宋_GB2312"/>
      <w:sz w:val="24"/>
      <w:szCs w:val="24"/>
    </w:rPr>
  </w:style>
  <w:style w:type="paragraph" w:customStyle="1" w:styleId="1938">
    <w:name w:val="列表 M"/>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939">
    <w:name w:val="S表格"/>
    <w:basedOn w:val="1"/>
    <w:qFormat/>
    <w:uiPriority w:val="0"/>
    <w:pPr>
      <w:widowControl/>
      <w:spacing w:before="240"/>
      <w:jc w:val="left"/>
      <w:outlineLvl w:val="2"/>
    </w:pPr>
    <w:rPr>
      <w:rFonts w:ascii="Times New Roman" w:hAnsi="Times New Roman" w:eastAsia="宋体" w:cs="Times New Roman"/>
      <w:bCs/>
      <w:sz w:val="24"/>
      <w:szCs w:val="24"/>
    </w:rPr>
  </w:style>
  <w:style w:type="paragraph" w:customStyle="1" w:styleId="1940">
    <w:name w:val="泸县焦化表头"/>
    <w:basedOn w:val="1"/>
    <w:qFormat/>
    <w:uiPriority w:val="0"/>
    <w:pPr>
      <w:widowControl/>
      <w:adjustRightInd w:val="0"/>
      <w:snapToGrid w:val="0"/>
      <w:spacing w:line="240" w:lineRule="auto"/>
      <w:jc w:val="center"/>
    </w:pPr>
    <w:rPr>
      <w:rFonts w:ascii="Times New Roman" w:hAnsi="Times New Roman" w:eastAsia="宋体" w:cs="Times New Roman"/>
      <w:b/>
      <w:color w:val="0000FF"/>
      <w:sz w:val="24"/>
      <w:szCs w:val="24"/>
    </w:rPr>
  </w:style>
  <w:style w:type="paragraph" w:customStyle="1" w:styleId="1941">
    <w:name w:val="表格11"/>
    <w:basedOn w:val="1"/>
    <w:qFormat/>
    <w:uiPriority w:val="0"/>
    <w:pPr>
      <w:widowControl/>
      <w:spacing w:line="240" w:lineRule="atLeast"/>
      <w:jc w:val="center"/>
    </w:pPr>
    <w:rPr>
      <w:rFonts w:ascii="Times New Roman" w:hAnsi="Times New Roman" w:eastAsia="宋体" w:cs="Times New Roman"/>
      <w:sz w:val="24"/>
      <w:szCs w:val="24"/>
    </w:rPr>
  </w:style>
  <w:style w:type="paragraph" w:customStyle="1" w:styleId="1942">
    <w:name w:val="填表内容"/>
    <w:basedOn w:val="1"/>
    <w:qFormat/>
    <w:uiPriority w:val="0"/>
    <w:pPr>
      <w:widowControl/>
      <w:adjustRightInd w:val="0"/>
      <w:spacing w:line="480" w:lineRule="exact"/>
      <w:ind w:firstLine="560" w:firstLineChars="200"/>
      <w:jc w:val="left"/>
      <w:textAlignment w:val="baseline"/>
    </w:pPr>
    <w:rPr>
      <w:rFonts w:ascii="经典叠圆体简" w:hAnsi="仿宋_GB2312" w:eastAsia="经典叠圆体简" w:cs="仿宋_GB2312"/>
      <w:sz w:val="28"/>
      <w:szCs w:val="20"/>
    </w:rPr>
  </w:style>
  <w:style w:type="paragraph" w:customStyle="1" w:styleId="1943">
    <w:name w:val="列表 4A"/>
    <w:basedOn w:val="78"/>
    <w:qFormat/>
    <w:uiPriority w:val="0"/>
    <w:pPr>
      <w:widowControl/>
      <w:tabs>
        <w:tab w:val="left" w:pos="360"/>
      </w:tabs>
      <w:adjustRightInd/>
      <w:spacing w:afterLines="30" w:line="288" w:lineRule="auto"/>
      <w:ind w:left="360" w:hanging="360" w:hangingChars="200"/>
      <w:jc w:val="left"/>
      <w:textAlignment w:val="auto"/>
    </w:pPr>
    <w:rPr>
      <w:rFonts w:ascii="Courier New" w:hAnsi="Courier New" w:cs="仿宋_GB2312"/>
      <w:color w:val="CCFFFF"/>
      <w:kern w:val="2"/>
    </w:rPr>
  </w:style>
  <w:style w:type="paragraph" w:customStyle="1" w:styleId="1944">
    <w:name w:val="单元格"/>
    <w:basedOn w:val="1"/>
    <w:qFormat/>
    <w:uiPriority w:val="0"/>
    <w:pPr>
      <w:widowControl/>
      <w:adjustRightInd w:val="0"/>
      <w:snapToGrid w:val="0"/>
      <w:spacing w:line="320" w:lineRule="exact"/>
      <w:jc w:val="center"/>
    </w:pPr>
    <w:rPr>
      <w:rFonts w:ascii="Verdana" w:hAnsi="Verdana" w:eastAsia="宋体" w:cs="仿宋_GB2312"/>
      <w:kern w:val="0"/>
      <w:szCs w:val="24"/>
    </w:rPr>
  </w:style>
  <w:style w:type="paragraph" w:customStyle="1" w:styleId="1945">
    <w:name w:val="樣式2"/>
    <w:basedOn w:val="7"/>
    <w:qFormat/>
    <w:uiPriority w:val="0"/>
    <w:pPr>
      <w:keepLines w:val="0"/>
      <w:widowControl/>
      <w:numPr>
        <w:ilvl w:val="0"/>
        <w:numId w:val="0"/>
      </w:numPr>
      <w:tabs>
        <w:tab w:val="left" w:pos="1050"/>
        <w:tab w:val="left" w:pos="3640"/>
      </w:tabs>
      <w:spacing w:before="240" w:after="240" w:line="360" w:lineRule="auto"/>
      <w:ind w:left="284"/>
    </w:pPr>
    <w:rPr>
      <w:rFonts w:ascii="Courier New" w:hAnsi="Courier New" w:eastAsia="Times New Roman" w:cs="Courier New"/>
      <w:bCs w:val="0"/>
      <w:color w:val="000000"/>
      <w:spacing w:val="20"/>
      <w:szCs w:val="36"/>
      <w:lang w:eastAsia="zh-TW"/>
    </w:rPr>
  </w:style>
  <w:style w:type="paragraph" w:customStyle="1" w:styleId="1946">
    <w:name w:val="資料來源"/>
    <w:basedOn w:val="1"/>
    <w:qFormat/>
    <w:uiPriority w:val="0"/>
    <w:pPr>
      <w:widowControl/>
      <w:adjustRightInd w:val="0"/>
      <w:snapToGrid w:val="0"/>
      <w:spacing w:before="60" w:line="240" w:lineRule="auto"/>
      <w:jc w:val="left"/>
      <w:textAlignment w:val="baseline"/>
    </w:pPr>
    <w:rPr>
      <w:rFonts w:ascii="仿宋_GB2312" w:hAnsi="仿宋_GB2312" w:eastAsia="Times New Roman" w:cs="仿宋_GB2312"/>
      <w:sz w:val="18"/>
      <w:szCs w:val="20"/>
      <w:lang w:eastAsia="zh-TW"/>
    </w:rPr>
  </w:style>
  <w:style w:type="paragraph" w:customStyle="1" w:styleId="1947">
    <w:name w:val="图1-1"/>
    <w:basedOn w:val="562"/>
    <w:qFormat/>
    <w:uiPriority w:val="0"/>
    <w:pPr>
      <w:keepLines/>
      <w:widowControl/>
      <w:tabs>
        <w:tab w:val="clear" w:pos="720"/>
      </w:tabs>
      <w:adjustRightInd/>
      <w:snapToGrid/>
      <w:spacing w:line="240" w:lineRule="auto"/>
      <w:ind w:left="0" w:leftChars="0" w:right="0" w:rightChars="0"/>
    </w:pPr>
    <w:rPr>
      <w:color w:val="auto"/>
      <w:sz w:val="21"/>
    </w:rPr>
  </w:style>
  <w:style w:type="paragraph" w:customStyle="1" w:styleId="1948">
    <w:name w:val="样式 表格 + 左  25 字符1"/>
    <w:basedOn w:val="462"/>
    <w:qFormat/>
    <w:uiPriority w:val="0"/>
    <w:pPr>
      <w:widowControl/>
      <w:snapToGrid/>
      <w:spacing w:beforeLines="0" w:afterLines="0"/>
    </w:pPr>
    <w:rPr>
      <w:rFonts w:ascii="仿宋_GB2312" w:hAnsi="Verdana" w:eastAsia="Times New Roman" w:cs="Verdana"/>
      <w:kern w:val="0"/>
      <w:sz w:val="18"/>
      <w:szCs w:val="20"/>
    </w:rPr>
  </w:style>
  <w:style w:type="paragraph" w:customStyle="1" w:styleId="1949">
    <w:name w:val="Content"/>
    <w:basedOn w:val="1"/>
    <w:qFormat/>
    <w:uiPriority w:val="0"/>
    <w:pPr>
      <w:widowControl/>
      <w:tabs>
        <w:tab w:val="left" w:pos="9480"/>
        <w:tab w:val="left" w:pos="9600"/>
      </w:tabs>
      <w:spacing w:before="120" w:after="120" w:line="240" w:lineRule="atLeast"/>
      <w:jc w:val="center"/>
    </w:pPr>
    <w:rPr>
      <w:rFonts w:ascii="Courier New" w:hAnsi="Courier New" w:eastAsia="宋体" w:cs="仿宋_GB2312"/>
      <w:b/>
      <w:kern w:val="0"/>
      <w:sz w:val="28"/>
      <w:szCs w:val="20"/>
      <w:lang w:val="fr-FR"/>
    </w:rPr>
  </w:style>
  <w:style w:type="paragraph" w:customStyle="1" w:styleId="1950">
    <w:name w:val="样式 湛江钢铁正文 +"/>
    <w:basedOn w:val="1"/>
    <w:qFormat/>
    <w:uiPriority w:val="0"/>
    <w:pPr>
      <w:widowControl/>
      <w:adjustRightInd w:val="0"/>
      <w:spacing w:afterLines="25"/>
      <w:ind w:firstLine="480" w:firstLineChars="200"/>
      <w:jc w:val="left"/>
      <w:textAlignment w:val="baseline"/>
    </w:pPr>
    <w:rPr>
      <w:rFonts w:ascii="仿宋_GB2312" w:hAnsi="仿宋_GB2312" w:eastAsia="Times New Roman" w:cs="仿宋_GB2312"/>
      <w:color w:val="000000"/>
      <w:kern w:val="0"/>
      <w:sz w:val="24"/>
      <w:szCs w:val="24"/>
    </w:rPr>
  </w:style>
  <w:style w:type="paragraph" w:customStyle="1" w:styleId="1951">
    <w:name w:val="四级"/>
    <w:basedOn w:val="7"/>
    <w:qFormat/>
    <w:uiPriority w:val="0"/>
    <w:pPr>
      <w:keepLines w:val="0"/>
      <w:widowControl/>
      <w:numPr>
        <w:ilvl w:val="0"/>
        <w:numId w:val="0"/>
      </w:numPr>
      <w:adjustRightInd w:val="0"/>
      <w:snapToGrid w:val="0"/>
      <w:spacing w:before="0" w:after="0" w:line="360" w:lineRule="auto"/>
      <w:ind w:right="-50"/>
      <w:outlineLvl w:val="3"/>
    </w:pPr>
    <w:rPr>
      <w:rFonts w:eastAsia="宋体" w:cs="Times New Roman"/>
      <w:color w:val="0000FF"/>
      <w:kern w:val="0"/>
      <w:szCs w:val="24"/>
    </w:rPr>
  </w:style>
  <w:style w:type="paragraph" w:customStyle="1" w:styleId="1952">
    <w:name w:val="样式 标题 1标题 1宋旭峰标题1章节H1h11headingHeader 1st Pageh1 chapte..."/>
    <w:basedOn w:val="5"/>
    <w:qFormat/>
    <w:uiPriority w:val="0"/>
    <w:pPr>
      <w:widowControl/>
      <w:numPr>
        <w:numId w:val="0"/>
      </w:numPr>
      <w:adjustRightInd w:val="0"/>
      <w:snapToGrid w:val="0"/>
      <w:spacing w:before="0" w:after="156" w:line="360" w:lineRule="auto"/>
      <w:jc w:val="left"/>
    </w:pPr>
    <w:rPr>
      <w:rFonts w:ascii="仿宋_GB2312" w:hAnsi="仿宋_GB2312" w:eastAsia="楷体" w:cs="仿宋_GB2312"/>
      <w:kern w:val="2"/>
      <w:sz w:val="24"/>
      <w:szCs w:val="30"/>
    </w:rPr>
  </w:style>
  <w:style w:type="paragraph" w:customStyle="1" w:styleId="1953">
    <w:name w:val="Char Char Char1 Char1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1954">
    <w:name w:val="edri-A title Char1"/>
    <w:basedOn w:val="1718"/>
    <w:next w:val="1718"/>
    <w:qFormat/>
    <w:uiPriority w:val="0"/>
    <w:pPr>
      <w:tabs>
        <w:tab w:val="clear" w:pos="0"/>
        <w:tab w:val="clear" w:pos="945"/>
      </w:tabs>
      <w:ind w:left="851" w:hanging="851"/>
      <w:outlineLvl w:val="3"/>
    </w:pPr>
  </w:style>
  <w:style w:type="paragraph" w:customStyle="1" w:styleId="1955">
    <w:name w:val="文本匡小五号 Char"/>
    <w:qFormat/>
    <w:uiPriority w:val="0"/>
    <w:pPr>
      <w:snapToGrid w:val="0"/>
      <w:spacing w:line="100" w:lineRule="atLeast"/>
      <w:jc w:val="center"/>
    </w:pPr>
    <w:rPr>
      <w:rFonts w:ascii="仿宋_GB2312" w:hAnsi="仿宋_GB2312" w:eastAsia="Times New Roman" w:cs="仿宋_GB2312"/>
      <w:sz w:val="21"/>
      <w:szCs w:val="21"/>
      <w:lang w:val="en-US" w:eastAsia="zh-CN" w:bidi="ar-SA"/>
    </w:rPr>
  </w:style>
  <w:style w:type="paragraph" w:customStyle="1" w:styleId="1956">
    <w:name w:val="M"/>
    <w:basedOn w:val="5"/>
    <w:qFormat/>
    <w:uiPriority w:val="0"/>
    <w:pPr>
      <w:keepLines w:val="0"/>
      <w:widowControl/>
      <w:numPr>
        <w:numId w:val="0"/>
      </w:numPr>
      <w:tabs>
        <w:tab w:val="left" w:pos="2260"/>
        <w:tab w:val="left" w:pos="2820"/>
        <w:tab w:val="left" w:pos="3420"/>
      </w:tabs>
      <w:adjustRightInd w:val="0"/>
      <w:snapToGrid w:val="0"/>
      <w:spacing w:before="440" w:after="0" w:line="240" w:lineRule="auto"/>
      <w:ind w:left="851" w:right="-28" w:hanging="851"/>
      <w:jc w:val="left"/>
    </w:pPr>
    <w:rPr>
      <w:rFonts w:ascii="Courier New" w:hAnsi="Courier New" w:eastAsia="宋体" w:cs="仿宋_GB2312"/>
      <w:b w:val="0"/>
      <w:bCs w:val="0"/>
      <w:kern w:val="0"/>
      <w:sz w:val="22"/>
      <w:szCs w:val="20"/>
      <w:lang w:val="en-GB"/>
    </w:rPr>
  </w:style>
  <w:style w:type="paragraph" w:customStyle="1" w:styleId="1957">
    <w:name w:val="样式 标题 2H2节标题 1.1节标题 1.1 Char1.1  标题 2  节标题 1.1第一章 标题 2Head..."/>
    <w:basedOn w:val="6"/>
    <w:qFormat/>
    <w:uiPriority w:val="0"/>
    <w:pPr>
      <w:widowControl/>
      <w:numPr>
        <w:ilvl w:val="0"/>
        <w:numId w:val="0"/>
      </w:numPr>
      <w:spacing w:beforeLines="50" w:after="0" w:line="360" w:lineRule="auto"/>
      <w:jc w:val="both"/>
    </w:pPr>
    <w:rPr>
      <w:rFonts w:ascii="仿宋_GB2312" w:hAnsi="仿宋_GB2312" w:eastAsia="Times New Roman" w:cs="Verdana"/>
      <w:sz w:val="24"/>
      <w:szCs w:val="20"/>
    </w:rPr>
  </w:style>
  <w:style w:type="paragraph" w:customStyle="1" w:styleId="1958">
    <w:name w:val="样式 正文首行缩进 + 首行缩进:  1 字符"/>
    <w:basedOn w:val="87"/>
    <w:qFormat/>
    <w:uiPriority w:val="0"/>
    <w:pPr>
      <w:widowControl/>
      <w:spacing w:after="0" w:line="440" w:lineRule="exact"/>
      <w:ind w:firstLine="200" w:firstLineChars="200"/>
      <w:jc w:val="left"/>
    </w:pPr>
    <w:rPr>
      <w:spacing w:val="6"/>
      <w:sz w:val="24"/>
      <w:szCs w:val="20"/>
    </w:rPr>
  </w:style>
  <w:style w:type="paragraph" w:customStyle="1" w:styleId="1959">
    <w:name w:val="样式 标题 3标题3小标题1.1.1标题 3 + 段后: 4 磅"/>
    <w:basedOn w:val="7"/>
    <w:qFormat/>
    <w:uiPriority w:val="0"/>
    <w:pPr>
      <w:keepLines w:val="0"/>
      <w:widowControl/>
      <w:numPr>
        <w:ilvl w:val="0"/>
        <w:numId w:val="0"/>
      </w:numPr>
      <w:adjustRightInd w:val="0"/>
      <w:snapToGrid w:val="0"/>
      <w:spacing w:before="0" w:after="80" w:line="360" w:lineRule="auto"/>
    </w:pPr>
    <w:rPr>
      <w:rFonts w:eastAsia="宋体" w:cs="宋体"/>
      <w:bCs w:val="0"/>
      <w:color w:val="0000FF"/>
      <w:spacing w:val="-5"/>
      <w:kern w:val="28"/>
      <w:szCs w:val="20"/>
    </w:rPr>
  </w:style>
  <w:style w:type="paragraph" w:customStyle="1" w:styleId="1960">
    <w:name w:val="列表 3J"/>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1961">
    <w:name w:val="表格文字小四"/>
    <w:basedOn w:val="1"/>
    <w:next w:val="36"/>
    <w:qFormat/>
    <w:uiPriority w:val="0"/>
    <w:pPr>
      <w:widowControl/>
      <w:adjustRightInd w:val="0"/>
      <w:snapToGrid w:val="0"/>
      <w:spacing w:line="240" w:lineRule="auto"/>
      <w:ind w:left="-593"/>
      <w:jc w:val="center"/>
    </w:pPr>
    <w:rPr>
      <w:rFonts w:ascii="Verdana" w:hAnsi="Verdana" w:eastAsia="宋体" w:cs="仿宋_GB2312"/>
      <w:sz w:val="24"/>
      <w:szCs w:val="24"/>
    </w:rPr>
  </w:style>
  <w:style w:type="paragraph" w:customStyle="1" w:styleId="1962">
    <w:name w:val="封面正文"/>
    <w:qFormat/>
    <w:uiPriority w:val="0"/>
    <w:pPr>
      <w:jc w:val="both"/>
    </w:pPr>
    <w:rPr>
      <w:rFonts w:ascii="仿宋_GB2312" w:hAnsi="仿宋_GB2312" w:eastAsia="宋体" w:cs="仿宋_GB2312"/>
      <w:lang w:val="en-US" w:eastAsia="zh-CN" w:bidi="ar-SA"/>
    </w:rPr>
  </w:style>
  <w:style w:type="paragraph" w:customStyle="1" w:styleId="1963">
    <w:name w:val="表格中"/>
    <w:basedOn w:val="1"/>
    <w:qFormat/>
    <w:uiPriority w:val="0"/>
    <w:pPr>
      <w:widowControl/>
      <w:snapToGrid w:val="0"/>
      <w:jc w:val="left"/>
    </w:pPr>
    <w:rPr>
      <w:rFonts w:ascii="Verdana" w:hAnsi="Verdana" w:eastAsia="宋体" w:cs="仿宋_GB2312"/>
      <w:spacing w:val="-20"/>
      <w:sz w:val="28"/>
      <w:szCs w:val="28"/>
    </w:rPr>
  </w:style>
  <w:style w:type="paragraph" w:customStyle="1" w:styleId="1964">
    <w:name w:val="样式 样式 黑色 首行缩进:  2 字符 行距: 固定值 25 磅 + Times New Roman 首行缩进:  2 字符"/>
    <w:basedOn w:val="1"/>
    <w:qFormat/>
    <w:uiPriority w:val="0"/>
    <w:pPr>
      <w:widowControl/>
      <w:spacing w:line="580" w:lineRule="exact"/>
      <w:ind w:firstLine="200" w:firstLineChars="200"/>
      <w:jc w:val="left"/>
    </w:pPr>
    <w:rPr>
      <w:rFonts w:ascii="Times New Roman" w:hAnsi="Times New Roman" w:eastAsia="仿宋_GB2312" w:cs="宋体"/>
      <w:b/>
      <w:bCs/>
      <w:color w:val="000000"/>
      <w:sz w:val="28"/>
      <w:szCs w:val="20"/>
    </w:rPr>
  </w:style>
  <w:style w:type="paragraph" w:customStyle="1" w:styleId="1965">
    <w:name w:val="表格文字居中 Char"/>
    <w:basedOn w:val="87"/>
    <w:qFormat/>
    <w:uiPriority w:val="0"/>
    <w:pPr>
      <w:widowControl/>
      <w:tabs>
        <w:tab w:val="left" w:pos="628"/>
        <w:tab w:val="left" w:pos="1727"/>
        <w:tab w:val="left" w:pos="1884"/>
        <w:tab w:val="left" w:pos="2660"/>
        <w:tab w:val="left" w:pos="5460"/>
      </w:tabs>
      <w:snapToGrid w:val="0"/>
      <w:spacing w:after="0" w:line="320" w:lineRule="exact"/>
      <w:ind w:firstLine="0" w:firstLineChars="0"/>
      <w:jc w:val="left"/>
    </w:pPr>
    <w:rPr>
      <w:color w:val="FF0000"/>
      <w:kern w:val="0"/>
      <w:szCs w:val="20"/>
    </w:rPr>
  </w:style>
  <w:style w:type="paragraph" w:customStyle="1" w:styleId="1966">
    <w:name w:val="样式 标题 2 + 段前: 0.5 行"/>
    <w:basedOn w:val="6"/>
    <w:qFormat/>
    <w:uiPriority w:val="0"/>
    <w:pPr>
      <w:keepNext w:val="0"/>
      <w:keepLines w:val="0"/>
      <w:widowControl/>
      <w:numPr>
        <w:ilvl w:val="0"/>
        <w:numId w:val="0"/>
      </w:numPr>
      <w:snapToGrid w:val="0"/>
      <w:spacing w:beforeLines="50" w:after="0" w:line="240" w:lineRule="auto"/>
      <w:ind w:left="540" w:hanging="540"/>
      <w:jc w:val="both"/>
    </w:pPr>
    <w:rPr>
      <w:rFonts w:ascii="仿宋_GB2312" w:hAnsi="仿宋_GB2312" w:eastAsia="楷体" w:cs="Verdana"/>
      <w:b w:val="0"/>
      <w:bCs w:val="0"/>
      <w:color w:val="0000FF"/>
      <w:sz w:val="24"/>
      <w:szCs w:val="20"/>
    </w:rPr>
  </w:style>
  <w:style w:type="paragraph" w:customStyle="1" w:styleId="1967">
    <w:name w:val="灯泡注释(打印无效)"/>
    <w:basedOn w:val="87"/>
    <w:qFormat/>
    <w:uiPriority w:val="0"/>
    <w:pPr>
      <w:widowControl/>
      <w:snapToGrid w:val="0"/>
      <w:spacing w:after="0"/>
      <w:ind w:firstLine="0" w:firstLineChars="0"/>
      <w:jc w:val="left"/>
    </w:pPr>
    <w:rPr>
      <w:rFonts w:ascii="仿宋_GB2312" w:hAnsi="仿宋_GB2312" w:cs="仿宋_GB2312"/>
      <w:i/>
      <w:vanish/>
      <w:color w:val="FF0000"/>
      <w:szCs w:val="21"/>
    </w:rPr>
  </w:style>
  <w:style w:type="paragraph" w:customStyle="1" w:styleId="1968">
    <w:name w:val="Qzy样式1"/>
    <w:basedOn w:val="5"/>
    <w:qFormat/>
    <w:uiPriority w:val="0"/>
    <w:pPr>
      <w:keepNext w:val="0"/>
      <w:widowControl/>
      <w:numPr>
        <w:numId w:val="0"/>
      </w:numPr>
      <w:spacing w:before="0" w:after="0" w:line="240" w:lineRule="atLeast"/>
      <w:jc w:val="left"/>
    </w:pPr>
    <w:rPr>
      <w:rFonts w:eastAsia="宋体" w:cs="Times New Roman"/>
      <w:bCs w:val="0"/>
      <w:sz w:val="36"/>
      <w:szCs w:val="20"/>
    </w:rPr>
  </w:style>
  <w:style w:type="paragraph" w:customStyle="1" w:styleId="1969">
    <w:name w:val="列表 A"/>
    <w:basedOn w:val="67"/>
    <w:qFormat/>
    <w:uiPriority w:val="0"/>
    <w:pPr>
      <w:widowControl/>
      <w:tabs>
        <w:tab w:val="left" w:pos="1021"/>
      </w:tabs>
      <w:adjustRightInd/>
      <w:spacing w:beforeLines="100" w:afterLines="50" w:line="288" w:lineRule="auto"/>
      <w:ind w:left="1021" w:hanging="454"/>
      <w:jc w:val="left"/>
      <w:textAlignment w:val="auto"/>
    </w:pPr>
    <w:rPr>
      <w:rFonts w:ascii="Courier New" w:hAnsi="Courier New" w:cs="仿宋_GB2312"/>
      <w:b/>
      <w:bCs/>
      <w:color w:val="FF99CC"/>
      <w:kern w:val="2"/>
    </w:rPr>
  </w:style>
  <w:style w:type="paragraph" w:customStyle="1" w:styleId="1970">
    <w:name w:val="Item1"/>
    <w:basedOn w:val="1"/>
    <w:qFormat/>
    <w:uiPriority w:val="0"/>
    <w:pPr>
      <w:widowControl/>
      <w:spacing w:line="240" w:lineRule="auto"/>
      <w:jc w:val="left"/>
    </w:pPr>
    <w:rPr>
      <w:rFonts w:ascii="仿宋_GB2312" w:hAnsi="仿宋_GB2312" w:eastAsia="宋体" w:cs="仿宋_GB2312"/>
      <w:szCs w:val="24"/>
    </w:rPr>
  </w:style>
  <w:style w:type="paragraph" w:customStyle="1" w:styleId="1971">
    <w:name w:val="xl96"/>
    <w:basedOn w:val="1"/>
    <w:qFormat/>
    <w:uiPriority w:val="0"/>
    <w:pPr>
      <w:widowControl/>
      <w:pBdr>
        <w:left w:val="single" w:color="auto" w:sz="8" w:space="0"/>
        <w:right w:val="single" w:color="auto" w:sz="4"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1972">
    <w:name w:val="样式 标题 3标题3小标题1.1.1标题 3Char1 Char1Char1 Char CharChar1 Cha...2"/>
    <w:basedOn w:val="7"/>
    <w:qFormat/>
    <w:uiPriority w:val="0"/>
    <w:pPr>
      <w:widowControl/>
      <w:numPr>
        <w:ilvl w:val="0"/>
        <w:numId w:val="0"/>
      </w:numPr>
      <w:autoSpaceDE w:val="0"/>
      <w:autoSpaceDN w:val="0"/>
      <w:adjustRightInd w:val="0"/>
      <w:spacing w:before="0" w:after="0" w:line="360" w:lineRule="auto"/>
      <w:textAlignment w:val="baseline"/>
    </w:pPr>
    <w:rPr>
      <w:rFonts w:eastAsia="宋体" w:cs="宋体"/>
      <w:color w:val="0000FF"/>
      <w:kern w:val="0"/>
      <w:szCs w:val="20"/>
    </w:rPr>
  </w:style>
  <w:style w:type="paragraph" w:customStyle="1" w:styleId="1973">
    <w:name w:val="样式 标题 3标题3小标题1.1.1标题 3Char1 Char1Char1 Char CharChar1 Cha..."/>
    <w:basedOn w:val="7"/>
    <w:qFormat/>
    <w:uiPriority w:val="0"/>
    <w:pPr>
      <w:widowControl/>
      <w:numPr>
        <w:ilvl w:val="0"/>
        <w:numId w:val="0"/>
      </w:numPr>
      <w:autoSpaceDE w:val="0"/>
      <w:autoSpaceDN w:val="0"/>
      <w:adjustRightInd w:val="0"/>
      <w:snapToGrid w:val="0"/>
      <w:spacing w:before="0" w:after="0" w:line="360" w:lineRule="auto"/>
      <w:textAlignment w:val="baseline"/>
    </w:pPr>
    <w:rPr>
      <w:rFonts w:eastAsia="宋体" w:cs="宋体"/>
      <w:color w:val="0000FF"/>
      <w:kern w:val="0"/>
      <w:szCs w:val="24"/>
    </w:rPr>
  </w:style>
  <w:style w:type="paragraph" w:customStyle="1" w:styleId="1974">
    <w:name w:val="列表 4J"/>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975">
    <w:name w:val="样式 标题 2 + 黑体 (符号) 宋体"/>
    <w:basedOn w:val="6"/>
    <w:qFormat/>
    <w:uiPriority w:val="0"/>
    <w:pPr>
      <w:widowControl/>
      <w:numPr>
        <w:ilvl w:val="0"/>
        <w:numId w:val="0"/>
      </w:numPr>
      <w:spacing w:beforeLines="50" w:after="120" w:line="360" w:lineRule="auto"/>
      <w:jc w:val="center"/>
      <w:outlineLvl w:val="9"/>
    </w:pPr>
    <w:rPr>
      <w:rFonts w:ascii="楷体" w:hAnsi="仿宋_GB2312" w:eastAsia="楷体" w:cs="仿宋_GB2312"/>
      <w:sz w:val="44"/>
      <w:szCs w:val="44"/>
    </w:rPr>
  </w:style>
  <w:style w:type="paragraph" w:customStyle="1" w:styleId="1976">
    <w:name w:val="正文-使用"/>
    <w:basedOn w:val="1"/>
    <w:qFormat/>
    <w:uiPriority w:val="0"/>
    <w:pPr>
      <w:widowControl/>
      <w:ind w:firstLine="482"/>
      <w:jc w:val="left"/>
    </w:pPr>
    <w:rPr>
      <w:rFonts w:ascii="仿宋_GB2312" w:hAnsi="仿宋_GB2312" w:eastAsia="宋体" w:cs="仿宋_GB2312"/>
      <w:sz w:val="24"/>
      <w:szCs w:val="20"/>
    </w:rPr>
  </w:style>
  <w:style w:type="paragraph" w:customStyle="1" w:styleId="1977">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978">
    <w:name w:val="样式 表格文字居中 Char + 自动设置"/>
    <w:basedOn w:val="1965"/>
    <w:qFormat/>
    <w:uiPriority w:val="0"/>
    <w:rPr>
      <w:color w:val="000000"/>
    </w:rPr>
  </w:style>
  <w:style w:type="paragraph" w:customStyle="1" w:styleId="1979">
    <w:name w:val="四级无标题条"/>
    <w:basedOn w:val="1"/>
    <w:qFormat/>
    <w:uiPriority w:val="0"/>
    <w:pPr>
      <w:widowControl/>
      <w:spacing w:line="240" w:lineRule="auto"/>
      <w:jc w:val="left"/>
    </w:pPr>
    <w:rPr>
      <w:rFonts w:ascii="Times New Roman" w:hAnsi="Times New Roman" w:eastAsia="宋体" w:cs="Times New Roman"/>
      <w:szCs w:val="20"/>
    </w:rPr>
  </w:style>
  <w:style w:type="paragraph" w:customStyle="1" w:styleId="1980">
    <w:name w:val="样式 标题 4常用标题 4 + 段前: 6 磅 段后: 6 磅 行距: 固定值 26 磅"/>
    <w:basedOn w:val="8"/>
    <w:qFormat/>
    <w:uiPriority w:val="0"/>
    <w:pPr>
      <w:widowControl/>
      <w:numPr>
        <w:ilvl w:val="0"/>
        <w:numId w:val="0"/>
      </w:numPr>
      <w:tabs>
        <w:tab w:val="left" w:pos="800"/>
        <w:tab w:val="left" w:pos="1440"/>
      </w:tabs>
      <w:spacing w:before="120" w:after="120" w:line="520" w:lineRule="exact"/>
    </w:pPr>
    <w:rPr>
      <w:rFonts w:ascii="Courier New" w:hAnsi="Courier New" w:eastAsia="楷体" w:cs="Verdana"/>
      <w:b w:val="0"/>
      <w:sz w:val="28"/>
      <w:szCs w:val="20"/>
    </w:rPr>
  </w:style>
  <w:style w:type="paragraph" w:customStyle="1" w:styleId="1981">
    <w:name w:val="图注、图的脚注"/>
    <w:basedOn w:val="1597"/>
    <w:qFormat/>
    <w:uiPriority w:val="0"/>
    <w:rPr>
      <w:sz w:val="18"/>
    </w:rPr>
  </w:style>
  <w:style w:type="paragraph" w:customStyle="1" w:styleId="1982">
    <w:name w:val="攀成钢三级标题"/>
    <w:basedOn w:val="1"/>
    <w:qFormat/>
    <w:uiPriority w:val="0"/>
    <w:pPr>
      <w:widowControl/>
      <w:jc w:val="left"/>
      <w:outlineLvl w:val="2"/>
    </w:pPr>
    <w:rPr>
      <w:rFonts w:ascii="Times New Roman" w:hAnsi="Times New Roman" w:eastAsia="宋体" w:cs="Times New Roman"/>
      <w:b/>
      <w:color w:val="008000"/>
      <w:kern w:val="0"/>
      <w:sz w:val="24"/>
      <w:szCs w:val="20"/>
    </w:rPr>
  </w:style>
  <w:style w:type="paragraph" w:customStyle="1" w:styleId="1983">
    <w:name w:val="样式 小四 加粗 行距: 1.5 倍行距"/>
    <w:basedOn w:val="1"/>
    <w:qFormat/>
    <w:uiPriority w:val="0"/>
    <w:pPr>
      <w:widowControl/>
      <w:jc w:val="left"/>
    </w:pPr>
    <w:rPr>
      <w:rFonts w:ascii="仿宋_GB2312" w:hAnsi="仿宋_GB2312" w:eastAsia="宋体" w:cs="Verdana"/>
      <w:b/>
      <w:bCs/>
      <w:sz w:val="24"/>
      <w:szCs w:val="20"/>
    </w:rPr>
  </w:style>
  <w:style w:type="paragraph" w:customStyle="1" w:styleId="1984">
    <w:name w:val="攀成钢加粗顶头小标题"/>
    <w:basedOn w:val="1"/>
    <w:qFormat/>
    <w:uiPriority w:val="0"/>
    <w:pPr>
      <w:widowControl/>
      <w:jc w:val="left"/>
    </w:pPr>
    <w:rPr>
      <w:rFonts w:ascii="Times New Roman" w:hAnsi="Times New Roman" w:eastAsia="宋体" w:cs="Times New Roman"/>
      <w:b/>
      <w:color w:val="008000"/>
      <w:kern w:val="0"/>
      <w:sz w:val="24"/>
      <w:szCs w:val="20"/>
    </w:rPr>
  </w:style>
  <w:style w:type="paragraph" w:customStyle="1" w:styleId="1985">
    <w:name w:val="正文999"/>
    <w:basedOn w:val="1"/>
    <w:qFormat/>
    <w:uiPriority w:val="0"/>
    <w:pPr>
      <w:widowControl/>
      <w:ind w:firstLine="480" w:firstLineChars="200"/>
      <w:jc w:val="left"/>
    </w:pPr>
    <w:rPr>
      <w:rFonts w:ascii="Verdana" w:hAnsi="Verdana" w:eastAsia="宋体" w:cs="仿宋_GB2312"/>
      <w:sz w:val="24"/>
      <w:szCs w:val="24"/>
    </w:rPr>
  </w:style>
  <w:style w:type="paragraph" w:customStyle="1" w:styleId="1986">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1987">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988">
    <w:name w:val="yz"/>
    <w:basedOn w:val="36"/>
    <w:qFormat/>
    <w:uiPriority w:val="0"/>
    <w:pPr>
      <w:widowControl/>
      <w:tabs>
        <w:tab w:val="left" w:pos="900"/>
      </w:tabs>
      <w:adjustRightInd w:val="0"/>
      <w:spacing w:after="0" w:line="240" w:lineRule="auto"/>
      <w:ind w:firstLine="200" w:firstLineChars="200"/>
      <w:jc w:val="left"/>
      <w:textAlignment w:val="baseline"/>
    </w:pPr>
    <w:rPr>
      <w:rFonts w:ascii="宋体" w:hAnsi="宋体" w:eastAsia="宋体" w:cs="Times New Roman"/>
      <w:sz w:val="24"/>
      <w:szCs w:val="20"/>
    </w:rPr>
  </w:style>
  <w:style w:type="paragraph" w:customStyle="1" w:styleId="1989">
    <w:name w:val="样式 德胜三级标题 + 粉红"/>
    <w:basedOn w:val="1815"/>
    <w:qFormat/>
    <w:uiPriority w:val="0"/>
    <w:pPr>
      <w:outlineLvl w:val="3"/>
    </w:pPr>
    <w:rPr>
      <w:bCs/>
      <w:color w:val="FF00FF"/>
      <w:szCs w:val="24"/>
    </w:rPr>
  </w:style>
  <w:style w:type="paragraph" w:customStyle="1" w:styleId="1990">
    <w:name w:val="列表 5R"/>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991">
    <w:name w:val="样式 两端对齐"/>
    <w:basedOn w:val="1"/>
    <w:qFormat/>
    <w:uiPriority w:val="0"/>
    <w:pPr>
      <w:widowControl/>
      <w:spacing w:afterLines="50" w:line="240" w:lineRule="auto"/>
      <w:ind w:right="240" w:rightChars="100" w:firstLine="200" w:firstLineChars="200"/>
      <w:jc w:val="left"/>
    </w:pPr>
    <w:rPr>
      <w:rFonts w:ascii="Times New Roman" w:hAnsi="Times New Roman" w:eastAsia="宋体" w:cs="宋体"/>
      <w:sz w:val="24"/>
      <w:szCs w:val="20"/>
    </w:rPr>
  </w:style>
  <w:style w:type="paragraph" w:customStyle="1" w:styleId="1992">
    <w:name w:val="Char4 Char Char Char Char Char Char Char Char Char Char Char Char Char Char Char Char Char1 Char"/>
    <w:basedOn w:val="1"/>
    <w:qFormat/>
    <w:uiPriority w:val="0"/>
    <w:pPr>
      <w:widowControl/>
      <w:spacing w:line="240" w:lineRule="exact"/>
      <w:ind w:firstLine="200" w:firstLineChars="200"/>
      <w:jc w:val="left"/>
    </w:pPr>
    <w:rPr>
      <w:rFonts w:ascii="仿宋_GB2312" w:hAnsi="仿宋_GB2312" w:eastAsia="宋体" w:cs="仿宋_GB2312"/>
      <w:sz w:val="28"/>
      <w:szCs w:val="28"/>
    </w:rPr>
  </w:style>
  <w:style w:type="paragraph" w:customStyle="1" w:styleId="1993">
    <w:name w:val="样式 表格小四 + 段前: 0.3 行 段后: 0.2 行"/>
    <w:basedOn w:val="1994"/>
    <w:qFormat/>
    <w:uiPriority w:val="0"/>
    <w:pPr>
      <w:spacing w:beforeLines="30" w:afterLines="20"/>
    </w:pPr>
    <w:rPr>
      <w:rFonts w:cs="Verdana"/>
    </w:rPr>
  </w:style>
  <w:style w:type="paragraph" w:customStyle="1" w:styleId="1994">
    <w:name w:val="表格小四"/>
    <w:basedOn w:val="1"/>
    <w:qFormat/>
    <w:uiPriority w:val="0"/>
    <w:pPr>
      <w:widowControl/>
      <w:spacing w:line="240" w:lineRule="auto"/>
      <w:jc w:val="center"/>
    </w:pPr>
    <w:rPr>
      <w:rFonts w:ascii="仿宋_GB2312" w:hAnsi="仿宋_GB2312" w:eastAsia="宋体" w:cs="仿宋_GB2312"/>
      <w:sz w:val="24"/>
      <w:szCs w:val="20"/>
    </w:rPr>
  </w:style>
  <w:style w:type="paragraph" w:customStyle="1" w:styleId="1995">
    <w:name w:val="列表 4F"/>
    <w:basedOn w:val="78"/>
    <w:qFormat/>
    <w:uiPriority w:val="0"/>
    <w:pPr>
      <w:widowControl/>
      <w:tabs>
        <w:tab w:val="left" w:pos="980"/>
      </w:tabs>
      <w:adjustRightInd/>
      <w:spacing w:afterLines="30" w:line="288" w:lineRule="auto"/>
      <w:ind w:left="980"/>
      <w:jc w:val="left"/>
      <w:textAlignment w:val="auto"/>
    </w:pPr>
    <w:rPr>
      <w:rFonts w:ascii="Courier New" w:hAnsi="Courier New" w:cs="仿宋_GB2312"/>
      <w:color w:val="CCFFFF"/>
      <w:kern w:val="2"/>
    </w:rPr>
  </w:style>
  <w:style w:type="paragraph" w:customStyle="1" w:styleId="1996">
    <w:name w:val="文本框五号"/>
    <w:qFormat/>
    <w:uiPriority w:val="0"/>
    <w:pPr>
      <w:adjustRightInd w:val="0"/>
      <w:spacing w:line="240" w:lineRule="atLeast"/>
      <w:jc w:val="center"/>
    </w:pPr>
    <w:rPr>
      <w:rFonts w:ascii="仿宋_GB2312" w:hAnsi="仿宋_GB2312" w:eastAsia="Times New Roman" w:cs="仿宋_GB2312"/>
      <w:kern w:val="2"/>
      <w:sz w:val="21"/>
      <w:szCs w:val="21"/>
      <w:lang w:val="en-US" w:eastAsia="zh-CN" w:bidi="ar-SA"/>
    </w:rPr>
  </w:style>
  <w:style w:type="paragraph" w:customStyle="1" w:styleId="1997">
    <w:name w:val="Char Char Char Char Char Char Char Char Char Char Char Char1 Char"/>
    <w:basedOn w:val="1"/>
    <w:next w:val="1"/>
    <w:qFormat/>
    <w:uiPriority w:val="0"/>
    <w:pPr>
      <w:widowControl/>
      <w:spacing w:line="336" w:lineRule="auto"/>
      <w:ind w:firstLine="200" w:firstLineChars="200"/>
      <w:jc w:val="left"/>
    </w:pPr>
    <w:rPr>
      <w:rFonts w:ascii="Verdana" w:hAnsi="Verdana" w:eastAsia="Batang" w:cs="Verdana"/>
      <w:sz w:val="24"/>
      <w:szCs w:val="24"/>
    </w:rPr>
  </w:style>
  <w:style w:type="paragraph" w:customStyle="1" w:styleId="1998">
    <w:name w:val="样式 (符号) 宋体 首行缩进:  2 字符1"/>
    <w:basedOn w:val="1"/>
    <w:qFormat/>
    <w:uiPriority w:val="0"/>
    <w:pPr>
      <w:widowControl/>
      <w:spacing w:line="240" w:lineRule="auto"/>
      <w:ind w:firstLine="567" w:firstLineChars="200"/>
      <w:jc w:val="left"/>
    </w:pPr>
    <w:rPr>
      <w:rFonts w:ascii="Verdana" w:hAnsi="Verdana" w:eastAsia="宋体" w:cs="Verdana"/>
      <w:sz w:val="27"/>
      <w:szCs w:val="20"/>
    </w:rPr>
  </w:style>
  <w:style w:type="paragraph" w:customStyle="1" w:styleId="1999">
    <w:name w:val="泸县焦化表格文字"/>
    <w:basedOn w:val="1"/>
    <w:qFormat/>
    <w:uiPriority w:val="0"/>
    <w:pPr>
      <w:widowControl/>
      <w:adjustRightInd w:val="0"/>
      <w:snapToGrid w:val="0"/>
      <w:spacing w:line="240" w:lineRule="auto"/>
      <w:jc w:val="center"/>
    </w:pPr>
    <w:rPr>
      <w:rFonts w:ascii="Times New Roman" w:hAnsi="Times New Roman" w:eastAsia="宋体" w:cs="Times New Roman"/>
      <w:bCs/>
      <w:color w:val="0000FF"/>
    </w:rPr>
  </w:style>
  <w:style w:type="paragraph" w:customStyle="1" w:styleId="2000">
    <w:name w:val="表中样式"/>
    <w:basedOn w:val="1"/>
    <w:qFormat/>
    <w:uiPriority w:val="0"/>
    <w:pPr>
      <w:widowControl/>
      <w:spacing w:line="240" w:lineRule="exact"/>
      <w:ind w:left="-25" w:leftChars="-25" w:right="-31" w:rightChars="-31"/>
      <w:jc w:val="center"/>
    </w:pPr>
    <w:rPr>
      <w:rFonts w:ascii="Verdana" w:hAnsi="Verdana" w:eastAsia="宋体" w:cs="Verdana"/>
      <w:bCs/>
      <w:kern w:val="0"/>
      <w:szCs w:val="32"/>
    </w:rPr>
  </w:style>
  <w:style w:type="paragraph" w:customStyle="1" w:styleId="2001">
    <w:name w:val="列表 5B"/>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002">
    <w:name w:val="1.1.1.1-"/>
    <w:basedOn w:val="1"/>
    <w:qFormat/>
    <w:uiPriority w:val="0"/>
    <w:pPr>
      <w:widowControl/>
      <w:tabs>
        <w:tab w:val="left" w:pos="398"/>
        <w:tab w:val="left" w:pos="2268"/>
      </w:tabs>
      <w:wordWrap w:val="0"/>
      <w:adjustRightInd w:val="0"/>
      <w:snapToGrid w:val="0"/>
      <w:spacing w:line="360" w:lineRule="atLeast"/>
      <w:ind w:left="398" w:firstLine="1587"/>
      <w:jc w:val="left"/>
      <w:textAlignment w:val="baseline"/>
    </w:pPr>
    <w:rPr>
      <w:rFonts w:ascii="Courier New" w:hAnsi="Courier New" w:eastAsia="PMingLiU" w:cs="仿宋_GB2312"/>
      <w:kern w:val="0"/>
      <w:sz w:val="20"/>
      <w:szCs w:val="20"/>
    </w:rPr>
  </w:style>
  <w:style w:type="paragraph" w:customStyle="1" w:styleId="2003">
    <w:name w:val="居中"/>
    <w:basedOn w:val="1"/>
    <w:qFormat/>
    <w:uiPriority w:val="0"/>
    <w:pPr>
      <w:widowControl/>
      <w:spacing w:before="40" w:after="40" w:line="480" w:lineRule="exact"/>
      <w:jc w:val="center"/>
    </w:pPr>
    <w:rPr>
      <w:rFonts w:ascii="Courier New" w:hAnsi="Courier New" w:eastAsia="宋体" w:cs="仿宋_GB2312"/>
      <w:sz w:val="24"/>
      <w:szCs w:val="20"/>
    </w:rPr>
  </w:style>
  <w:style w:type="paragraph" w:customStyle="1" w:styleId="2004">
    <w:name w:val="列表 2Y"/>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05">
    <w:name w:val="列表 2K"/>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06">
    <w:name w:val="仿宋体"/>
    <w:basedOn w:val="1"/>
    <w:qFormat/>
    <w:uiPriority w:val="0"/>
    <w:pPr>
      <w:widowControl/>
      <w:spacing w:line="844" w:lineRule="atLeast"/>
      <w:ind w:firstLine="419"/>
      <w:jc w:val="left"/>
      <w:textAlignment w:val="baseline"/>
    </w:pPr>
    <w:rPr>
      <w:rFonts w:ascii="仿宋_GB2312" w:hAnsi="仿宋_GB2312" w:eastAsia="Times New Roman" w:cs="仿宋_GB2312"/>
      <w:color w:val="000000"/>
      <w:kern w:val="0"/>
      <w:sz w:val="31"/>
      <w:szCs w:val="20"/>
      <w:u w:color="000000"/>
    </w:rPr>
  </w:style>
  <w:style w:type="paragraph" w:customStyle="1" w:styleId="2007">
    <w:name w:val="攀成钢二级标题"/>
    <w:basedOn w:val="1"/>
    <w:qFormat/>
    <w:uiPriority w:val="0"/>
    <w:pPr>
      <w:widowControl/>
      <w:spacing w:line="480" w:lineRule="auto"/>
      <w:jc w:val="left"/>
      <w:outlineLvl w:val="1"/>
    </w:pPr>
    <w:rPr>
      <w:rFonts w:ascii="Times New Roman" w:hAnsi="Times New Roman" w:eastAsia="宋体" w:cs="Times New Roman"/>
      <w:b/>
      <w:color w:val="008000"/>
      <w:kern w:val="0"/>
      <w:sz w:val="28"/>
      <w:szCs w:val="20"/>
    </w:rPr>
  </w:style>
  <w:style w:type="paragraph" w:customStyle="1" w:styleId="2008">
    <w:name w:val="样式 标题 3 + 左侧:  0 厘米 首行缩进:  0 厘米"/>
    <w:basedOn w:val="7"/>
    <w:qFormat/>
    <w:uiPriority w:val="0"/>
    <w:pPr>
      <w:widowControl/>
      <w:numPr>
        <w:ilvl w:val="0"/>
        <w:numId w:val="0"/>
      </w:numPr>
      <w:tabs>
        <w:tab w:val="left" w:pos="709"/>
      </w:tabs>
      <w:adjustRightInd w:val="0"/>
      <w:spacing w:before="120" w:after="120" w:line="240" w:lineRule="auto"/>
      <w:ind w:left="709" w:hanging="709"/>
      <w:textAlignment w:val="baseline"/>
    </w:pPr>
    <w:rPr>
      <w:rFonts w:ascii="仿宋_GB2312" w:hAnsi="Verdana" w:eastAsia="宋体" w:cs="Verdana"/>
      <w:color w:val="0000FF"/>
      <w:kern w:val="32"/>
      <w:sz w:val="32"/>
    </w:rPr>
  </w:style>
  <w:style w:type="paragraph" w:customStyle="1" w:styleId="2009">
    <w:name w:val="正文5"/>
    <w:qFormat/>
    <w:uiPriority w:val="0"/>
    <w:pPr>
      <w:widowControl w:val="0"/>
      <w:adjustRightInd w:val="0"/>
      <w:spacing w:line="360" w:lineRule="atLeast"/>
      <w:textAlignment w:val="baseline"/>
    </w:pPr>
    <w:rPr>
      <w:rFonts w:ascii="Verdana" w:hAnsi="仿宋_GB2312" w:eastAsia="宋体" w:cs="仿宋_GB2312"/>
      <w:sz w:val="24"/>
      <w:lang w:val="en-US" w:eastAsia="zh-CN" w:bidi="ar-SA"/>
    </w:rPr>
  </w:style>
  <w:style w:type="paragraph" w:customStyle="1" w:styleId="2010">
    <w:name w:val="內文-1"/>
    <w:basedOn w:val="1"/>
    <w:qFormat/>
    <w:uiPriority w:val="0"/>
    <w:pPr>
      <w:widowControl/>
      <w:topLinePunct/>
      <w:adjustRightInd w:val="0"/>
      <w:spacing w:line="384" w:lineRule="exact"/>
      <w:ind w:firstLine="482"/>
      <w:jc w:val="left"/>
      <w:textAlignment w:val="baseline"/>
    </w:pPr>
    <w:rPr>
      <w:rFonts w:ascii="仿宋_GB2312" w:hAnsi="仿宋_GB2312" w:eastAsia="Times New Roman" w:cs="仿宋_GB2312"/>
      <w:kern w:val="20"/>
      <w:sz w:val="24"/>
      <w:szCs w:val="20"/>
      <w:lang w:eastAsia="zh-TW"/>
    </w:rPr>
  </w:style>
  <w:style w:type="paragraph" w:customStyle="1" w:styleId="2011">
    <w:name w:val="18"/>
    <w:basedOn w:val="1"/>
    <w:qFormat/>
    <w:uiPriority w:val="0"/>
    <w:pPr>
      <w:widowControl/>
      <w:snapToGrid w:val="0"/>
      <w:spacing w:before="120" w:after="100" w:afterAutospacing="1" w:line="240" w:lineRule="atLeast"/>
      <w:jc w:val="center"/>
    </w:pPr>
    <w:rPr>
      <w:rFonts w:ascii="Times New Roman" w:hAnsi="Times New Roman" w:eastAsia="宋体" w:cs="Times New Roman"/>
      <w:b/>
      <w:kern w:val="0"/>
      <w:sz w:val="24"/>
      <w:szCs w:val="20"/>
    </w:rPr>
  </w:style>
  <w:style w:type="paragraph" w:customStyle="1" w:styleId="2012">
    <w:name w:val="列表 5O"/>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013">
    <w:name w:val="标题样式2"/>
    <w:basedOn w:val="6"/>
    <w:qFormat/>
    <w:uiPriority w:val="0"/>
    <w:pPr>
      <w:widowControl/>
      <w:numPr>
        <w:ilvl w:val="0"/>
        <w:numId w:val="0"/>
      </w:numPr>
      <w:spacing w:beforeLines="50" w:after="0" w:line="360" w:lineRule="auto"/>
      <w:jc w:val="both"/>
    </w:pPr>
    <w:rPr>
      <w:rFonts w:ascii="黑体" w:hAnsi="Arial" w:eastAsia="黑体" w:cs="Times New Roman"/>
      <w:szCs w:val="28"/>
    </w:rPr>
  </w:style>
  <w:style w:type="paragraph" w:customStyle="1" w:styleId="2014">
    <w:name w:val="GM"/>
    <w:basedOn w:val="5"/>
    <w:qFormat/>
    <w:uiPriority w:val="0"/>
    <w:pPr>
      <w:keepLines w:val="0"/>
      <w:widowControl/>
      <w:numPr>
        <w:numId w:val="0"/>
      </w:numPr>
      <w:tabs>
        <w:tab w:val="left" w:pos="2260"/>
        <w:tab w:val="left" w:pos="2820"/>
        <w:tab w:val="left" w:pos="3420"/>
      </w:tabs>
      <w:adjustRightInd w:val="0"/>
      <w:snapToGrid w:val="0"/>
      <w:spacing w:before="240" w:after="0" w:line="240" w:lineRule="auto"/>
      <w:ind w:left="851" w:right="-28" w:hanging="851"/>
      <w:jc w:val="left"/>
    </w:pPr>
    <w:rPr>
      <w:rFonts w:ascii="Courier New" w:hAnsi="Courier New" w:eastAsia="宋体" w:cs="仿宋_GB2312"/>
      <w:bCs w:val="0"/>
      <w:kern w:val="0"/>
      <w:sz w:val="22"/>
      <w:szCs w:val="20"/>
      <w:lang w:val="en-GB"/>
    </w:rPr>
  </w:style>
  <w:style w:type="paragraph" w:customStyle="1" w:styleId="2015">
    <w:name w:val="font16"/>
    <w:basedOn w:val="1"/>
    <w:qFormat/>
    <w:uiPriority w:val="0"/>
    <w:pPr>
      <w:widowControl/>
      <w:spacing w:before="100" w:beforeAutospacing="1" w:after="100" w:afterAutospacing="1" w:line="240" w:lineRule="auto"/>
      <w:jc w:val="left"/>
    </w:pPr>
    <w:rPr>
      <w:rFonts w:ascii="Verdana" w:hAnsi="Verdana" w:eastAsia="宋体" w:cs="華康中楷體"/>
      <w:kern w:val="0"/>
      <w:sz w:val="20"/>
      <w:szCs w:val="20"/>
      <w:u w:val="single"/>
    </w:rPr>
  </w:style>
  <w:style w:type="paragraph" w:customStyle="1" w:styleId="2016">
    <w:name w:val="MTDisplayEquation"/>
    <w:basedOn w:val="1"/>
    <w:next w:val="1"/>
    <w:qFormat/>
    <w:uiPriority w:val="0"/>
    <w:pPr>
      <w:widowControl/>
      <w:tabs>
        <w:tab w:val="center" w:pos="4160"/>
        <w:tab w:val="right" w:pos="8320"/>
      </w:tabs>
      <w:spacing w:line="460" w:lineRule="exact"/>
      <w:ind w:firstLine="420" w:firstLineChars="200"/>
      <w:jc w:val="left"/>
    </w:pPr>
    <w:rPr>
      <w:rFonts w:ascii="方正宋三简体" w:hAnsi="Times New Roman" w:eastAsia="宋体" w:cs="Times New Roman"/>
      <w:szCs w:val="24"/>
    </w:rPr>
  </w:style>
  <w:style w:type="paragraph" w:customStyle="1" w:styleId="2017">
    <w:name w:val="湛江码头表"/>
    <w:basedOn w:val="1"/>
    <w:qFormat/>
    <w:uiPriority w:val="0"/>
    <w:pPr>
      <w:widowControl/>
      <w:spacing w:line="240" w:lineRule="auto"/>
      <w:jc w:val="center"/>
    </w:pPr>
    <w:rPr>
      <w:rFonts w:ascii="仿宋_GB2312" w:hAnsi="仿宋_GB2312" w:eastAsia="Times New Roman" w:cs="仿宋_GB2312"/>
      <w:kern w:val="0"/>
      <w:szCs w:val="24"/>
      <w:lang w:eastAsia="zh-TW"/>
    </w:rPr>
  </w:style>
  <w:style w:type="paragraph" w:customStyle="1" w:styleId="2018">
    <w:name w:val="IDC A-Head (2nd Line)"/>
    <w:basedOn w:val="1"/>
    <w:next w:val="1"/>
    <w:qFormat/>
    <w:uiPriority w:val="0"/>
    <w:pPr>
      <w:widowControl/>
      <w:spacing w:line="240" w:lineRule="auto"/>
      <w:jc w:val="center"/>
    </w:pPr>
    <w:rPr>
      <w:rFonts w:ascii="仿宋_GB2312" w:hAnsi="仿宋_GB2312" w:eastAsia="宋体" w:cs="仿宋_GB2312"/>
      <w:caps/>
      <w:kern w:val="0"/>
      <w:sz w:val="24"/>
      <w:szCs w:val="20"/>
    </w:rPr>
  </w:style>
  <w:style w:type="paragraph" w:customStyle="1" w:styleId="2019">
    <w:name w:val="列表 3C"/>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020">
    <w:name w:val="列表 2Q"/>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21">
    <w:name w:val="单位名称"/>
    <w:basedOn w:val="1"/>
    <w:next w:val="1"/>
    <w:qFormat/>
    <w:uiPriority w:val="0"/>
    <w:pPr>
      <w:widowControl/>
      <w:spacing w:line="500" w:lineRule="atLeast"/>
      <w:jc w:val="center"/>
    </w:pPr>
    <w:rPr>
      <w:rFonts w:ascii="仿宋_GB2312" w:hAnsi="仿宋_GB2312" w:eastAsia="宋体" w:cs="仿宋_GB2312"/>
      <w:sz w:val="44"/>
      <w:szCs w:val="44"/>
    </w:rPr>
  </w:style>
  <w:style w:type="paragraph" w:customStyle="1" w:styleId="2022">
    <w:name w:val="样式 宋体 小四 左 行距: 固定值 24 磅"/>
    <w:basedOn w:val="1"/>
    <w:qFormat/>
    <w:uiPriority w:val="0"/>
    <w:pPr>
      <w:widowControl/>
      <w:spacing w:line="480" w:lineRule="exact"/>
      <w:ind w:firstLine="200" w:firstLineChars="200"/>
      <w:jc w:val="left"/>
    </w:pPr>
    <w:rPr>
      <w:rFonts w:ascii="宋体" w:hAnsi="Times New Roman" w:eastAsia="宋体" w:cs="宋体"/>
      <w:kern w:val="0"/>
      <w:sz w:val="24"/>
      <w:szCs w:val="20"/>
    </w:rPr>
  </w:style>
  <w:style w:type="paragraph" w:customStyle="1" w:styleId="2023">
    <w:name w:val="xl110"/>
    <w:basedOn w:val="1"/>
    <w:qFormat/>
    <w:uiPriority w:val="0"/>
    <w:pPr>
      <w:widowControl/>
      <w:pBdr>
        <w:bottom w:val="single" w:color="auto" w:sz="4" w:space="0"/>
        <w:right w:val="single" w:color="auto" w:sz="8"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2024">
    <w:name w:val="7表格(治)"/>
    <w:qFormat/>
    <w:uiPriority w:val="0"/>
    <w:pPr>
      <w:jc w:val="center"/>
    </w:pPr>
    <w:rPr>
      <w:rFonts w:ascii="宋体" w:hAnsi="宋体" w:eastAsia="宋体" w:cs="Times New Roman"/>
      <w:color w:val="0000FF"/>
      <w:sz w:val="21"/>
      <w:lang w:val="en-US" w:eastAsia="zh-CN" w:bidi="ar-SA"/>
    </w:rPr>
  </w:style>
  <w:style w:type="paragraph" w:customStyle="1" w:styleId="2025">
    <w:name w:val="标题样式4"/>
    <w:basedOn w:val="8"/>
    <w:qFormat/>
    <w:uiPriority w:val="0"/>
    <w:pPr>
      <w:keepNext w:val="0"/>
      <w:keepLines w:val="0"/>
      <w:widowControl/>
      <w:numPr>
        <w:ilvl w:val="0"/>
        <w:numId w:val="0"/>
      </w:numPr>
      <w:adjustRightInd w:val="0"/>
      <w:snapToGrid w:val="0"/>
      <w:spacing w:before="0" w:after="0" w:line="360" w:lineRule="auto"/>
    </w:pPr>
    <w:rPr>
      <w:rFonts w:eastAsia="宋体" w:cs="Times New Roman"/>
      <w:kern w:val="0"/>
      <w:szCs w:val="24"/>
      <w:lang w:val="zh-CN"/>
    </w:rPr>
  </w:style>
  <w:style w:type="paragraph" w:customStyle="1" w:styleId="2026">
    <w:name w:val="Char Char Char Char1 Char Char Char"/>
    <w:basedOn w:val="1"/>
    <w:qFormat/>
    <w:uiPriority w:val="0"/>
    <w:pPr>
      <w:widowControl/>
      <w:spacing w:line="240" w:lineRule="auto"/>
      <w:jc w:val="left"/>
    </w:pPr>
    <w:rPr>
      <w:rFonts w:ascii="Times New Roman" w:hAnsi="Times New Roman" w:eastAsia="宋体" w:cs="Times New Roman"/>
      <w:sz w:val="24"/>
      <w:szCs w:val="24"/>
    </w:rPr>
  </w:style>
  <w:style w:type="paragraph" w:customStyle="1" w:styleId="2027">
    <w:name w:val="表式1"/>
    <w:basedOn w:val="1"/>
    <w:qFormat/>
    <w:uiPriority w:val="0"/>
    <w:pPr>
      <w:widowControl/>
      <w:adjustRightInd w:val="0"/>
      <w:spacing w:line="240" w:lineRule="atLeast"/>
      <w:jc w:val="left"/>
      <w:textAlignment w:val="baseline"/>
    </w:pPr>
    <w:rPr>
      <w:rFonts w:ascii="Courier New" w:hAnsi="Courier New" w:eastAsia="仿宋体" w:cs="仿宋_GB2312"/>
      <w:b/>
      <w:kern w:val="0"/>
      <w:sz w:val="24"/>
      <w:szCs w:val="20"/>
      <w:lang w:eastAsia="zh-TW"/>
    </w:rPr>
  </w:style>
  <w:style w:type="paragraph" w:customStyle="1" w:styleId="2028">
    <w:name w:val="注×："/>
    <w:qFormat/>
    <w:uiPriority w:val="0"/>
    <w:pPr>
      <w:widowControl w:val="0"/>
      <w:tabs>
        <w:tab w:val="left" w:pos="630"/>
      </w:tabs>
      <w:autoSpaceDE w:val="0"/>
      <w:autoSpaceDN w:val="0"/>
      <w:jc w:val="both"/>
    </w:pPr>
    <w:rPr>
      <w:rFonts w:ascii="Verdana" w:hAnsi="仿宋_GB2312" w:eastAsia="宋体" w:cs="仿宋_GB2312"/>
      <w:sz w:val="18"/>
      <w:lang w:val="en-US" w:eastAsia="zh-CN" w:bidi="ar-SA"/>
    </w:rPr>
  </w:style>
  <w:style w:type="paragraph" w:customStyle="1" w:styleId="2029">
    <w:name w:val="自定义正文 Char Char Char"/>
    <w:qFormat/>
    <w:uiPriority w:val="0"/>
    <w:pPr>
      <w:widowControl w:val="0"/>
      <w:adjustRightInd w:val="0"/>
      <w:snapToGrid w:val="0"/>
      <w:spacing w:line="360" w:lineRule="auto"/>
      <w:ind w:firstLine="510"/>
      <w:jc w:val="both"/>
    </w:pPr>
    <w:rPr>
      <w:rFonts w:ascii="仿宋_GB2312" w:hAnsi="仿宋_GB2312" w:eastAsia="宋体" w:cs="仿宋_GB2312"/>
      <w:spacing w:val="-2"/>
      <w:kern w:val="2"/>
      <w:sz w:val="28"/>
      <w:szCs w:val="24"/>
      <w:lang w:val="en-US" w:eastAsia="zh-CN" w:bidi="ar-SA"/>
    </w:rPr>
  </w:style>
  <w:style w:type="paragraph" w:customStyle="1" w:styleId="2030">
    <w:name w:val="xl105"/>
    <w:basedOn w:val="1"/>
    <w:qFormat/>
    <w:uiPriority w:val="0"/>
    <w:pPr>
      <w:widowControl/>
      <w:pBdr>
        <w:top w:val="single" w:color="auto" w:sz="4" w:space="0"/>
        <w:right w:val="single" w:color="auto" w:sz="4"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2031">
    <w:name w:val="四级条标题"/>
    <w:basedOn w:val="1865"/>
    <w:next w:val="1"/>
    <w:qFormat/>
    <w:uiPriority w:val="0"/>
    <w:pPr>
      <w:tabs>
        <w:tab w:val="clear" w:pos="360"/>
        <w:tab w:val="clear" w:pos="2100"/>
      </w:tabs>
      <w:ind w:left="2520"/>
      <w:outlineLvl w:val="5"/>
    </w:pPr>
  </w:style>
  <w:style w:type="paragraph" w:customStyle="1" w:styleId="2032">
    <w:name w:val="图表目录2"/>
    <w:basedOn w:val="1086"/>
    <w:next w:val="1086"/>
    <w:qFormat/>
    <w:uiPriority w:val="0"/>
    <w:pPr>
      <w:tabs>
        <w:tab w:val="right" w:leader="dot" w:pos="8051"/>
      </w:tabs>
      <w:adjustRightInd w:val="0"/>
      <w:spacing w:line="360" w:lineRule="atLeast"/>
      <w:ind w:left="840" w:hanging="840" w:firstLineChars="0"/>
      <w:textAlignment w:val="baseline"/>
    </w:pPr>
    <w:rPr>
      <w:rFonts w:ascii="宋体"/>
      <w:kern w:val="0"/>
      <w:szCs w:val="20"/>
    </w:rPr>
  </w:style>
  <w:style w:type="paragraph" w:customStyle="1" w:styleId="2033">
    <w:name w:val="列表 L"/>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034">
    <w:name w:val="正文样式一"/>
    <w:basedOn w:val="1"/>
    <w:qFormat/>
    <w:uiPriority w:val="0"/>
    <w:pPr>
      <w:widowControl/>
      <w:adjustRightInd w:val="0"/>
      <w:spacing w:line="400" w:lineRule="atLeast"/>
      <w:ind w:firstLine="510"/>
      <w:jc w:val="left"/>
      <w:textAlignment w:val="baseline"/>
    </w:pPr>
    <w:rPr>
      <w:rFonts w:ascii="仿宋_GB2312" w:hAnsi="仿宋_GB2312" w:eastAsia="宋体" w:cs="仿宋_GB2312"/>
      <w:kern w:val="0"/>
      <w:sz w:val="24"/>
      <w:szCs w:val="20"/>
    </w:rPr>
  </w:style>
  <w:style w:type="paragraph" w:customStyle="1" w:styleId="2035">
    <w:name w:val="小标题@"/>
    <w:basedOn w:val="1"/>
    <w:qFormat/>
    <w:uiPriority w:val="0"/>
    <w:pPr>
      <w:widowControl/>
      <w:adjustRightInd w:val="0"/>
      <w:spacing w:before="60" w:after="60" w:line="240" w:lineRule="auto"/>
      <w:jc w:val="left"/>
      <w:textAlignment w:val="baseline"/>
    </w:pPr>
    <w:rPr>
      <w:rFonts w:ascii="仿宋_GB2312" w:hAnsi="仿宋_GB2312" w:eastAsia="宋体" w:cs="仿宋_GB2312"/>
      <w:sz w:val="24"/>
      <w:szCs w:val="20"/>
    </w:rPr>
  </w:style>
  <w:style w:type="paragraph" w:customStyle="1" w:styleId="2036">
    <w:name w:val="——"/>
    <w:basedOn w:val="1752"/>
    <w:qFormat/>
    <w:uiPriority w:val="0"/>
    <w:pPr>
      <w:ind w:left="0" w:firstLine="660" w:firstLineChars="300"/>
    </w:pPr>
  </w:style>
  <w:style w:type="paragraph" w:customStyle="1" w:styleId="2037">
    <w:name w:val="标题样式3"/>
    <w:basedOn w:val="7"/>
    <w:qFormat/>
    <w:uiPriority w:val="0"/>
    <w:pPr>
      <w:keepNext w:val="0"/>
      <w:widowControl/>
      <w:numPr>
        <w:ilvl w:val="0"/>
        <w:numId w:val="0"/>
      </w:numPr>
      <w:spacing w:before="0" w:after="0" w:line="360" w:lineRule="auto"/>
    </w:pPr>
    <w:rPr>
      <w:rFonts w:ascii="黑体" w:eastAsia="黑体" w:cs="黑体"/>
      <w:color w:val="000000"/>
      <w:kern w:val="0"/>
      <w:sz w:val="28"/>
      <w:szCs w:val="28"/>
      <w:lang w:val="zh-CN"/>
    </w:rPr>
  </w:style>
  <w:style w:type="paragraph" w:customStyle="1" w:styleId="2038">
    <w:name w:val="正文王"/>
    <w:basedOn w:val="46"/>
    <w:qFormat/>
    <w:uiPriority w:val="0"/>
    <w:pPr>
      <w:widowControl/>
      <w:spacing w:line="440" w:lineRule="exact"/>
      <w:ind w:firstLine="0" w:firstLineChars="0"/>
      <w:jc w:val="left"/>
    </w:pPr>
    <w:rPr>
      <w:rFonts w:ascii="Arial" w:hAnsi="Arial"/>
      <w:kern w:val="0"/>
    </w:rPr>
  </w:style>
  <w:style w:type="paragraph" w:customStyle="1" w:styleId="2039">
    <w:name w:val="样式1－表头"/>
    <w:basedOn w:val="1"/>
    <w:qFormat/>
    <w:uiPriority w:val="0"/>
    <w:pPr>
      <w:widowControl/>
      <w:adjustRightInd w:val="0"/>
      <w:snapToGrid w:val="0"/>
      <w:spacing w:beforeLines="50" w:afterLines="50" w:line="336" w:lineRule="auto"/>
      <w:jc w:val="center"/>
    </w:pPr>
    <w:rPr>
      <w:rFonts w:ascii="Times New Roman" w:hAnsi="Times New Roman" w:eastAsia="黑体" w:cs="Times New Roman"/>
      <w:spacing w:val="6"/>
      <w:sz w:val="24"/>
      <w:szCs w:val="20"/>
    </w:rPr>
  </w:style>
  <w:style w:type="paragraph" w:customStyle="1" w:styleId="2040">
    <w:name w:val="单元格格式"/>
    <w:qFormat/>
    <w:uiPriority w:val="0"/>
    <w:pPr>
      <w:widowControl w:val="0"/>
      <w:adjustRightInd w:val="0"/>
      <w:spacing w:beforeLines="20" w:afterLines="20" w:line="320" w:lineRule="exact"/>
      <w:ind w:left="32" w:leftChars="10" w:right="10" w:rightChars="10"/>
      <w:textAlignment w:val="baseline"/>
    </w:pPr>
    <w:rPr>
      <w:rFonts w:ascii="宋体" w:hAnsi="宋体" w:eastAsia="宋体" w:cs="Times New Roman"/>
      <w:sz w:val="28"/>
      <w:lang w:val="en-US" w:eastAsia="zh-CN" w:bidi="ar-SA"/>
    </w:rPr>
  </w:style>
  <w:style w:type="paragraph" w:customStyle="1" w:styleId="2041">
    <w:name w:val="項目:(一)[a]1.[a](1)[a]"/>
    <w:basedOn w:val="1"/>
    <w:qFormat/>
    <w:uiPriority w:val="0"/>
    <w:pPr>
      <w:widowControl/>
      <w:spacing w:line="320" w:lineRule="atLeast"/>
      <w:ind w:left="1038" w:firstLine="448"/>
      <w:jc w:val="left"/>
    </w:pPr>
    <w:rPr>
      <w:rFonts w:ascii="仿宋_GB2312" w:hAnsi="仿宋_GB2312" w:eastAsia="仿宋体" w:cs="仿宋_GB2312"/>
      <w:sz w:val="22"/>
      <w:szCs w:val="20"/>
      <w:lang w:eastAsia="zh-TW"/>
    </w:rPr>
  </w:style>
  <w:style w:type="paragraph" w:customStyle="1" w:styleId="2042">
    <w:name w:val="文本框5号两端齐"/>
    <w:basedOn w:val="1"/>
    <w:qFormat/>
    <w:uiPriority w:val="0"/>
    <w:pPr>
      <w:widowControl/>
      <w:spacing w:line="240" w:lineRule="auto"/>
      <w:jc w:val="left"/>
    </w:pPr>
    <w:rPr>
      <w:rFonts w:ascii="仿宋_GB2312" w:hAnsi="仿宋_GB2312" w:eastAsia="Times New Roman" w:cs="仿宋_GB2312"/>
    </w:rPr>
  </w:style>
  <w:style w:type="paragraph" w:customStyle="1" w:styleId="2043">
    <w:name w:val="列表 2H"/>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44">
    <w:name w:val="表样式"/>
    <w:basedOn w:val="1808"/>
    <w:qFormat/>
    <w:uiPriority w:val="0"/>
    <w:pPr>
      <w:keepNext w:val="0"/>
      <w:widowControl w:val="0"/>
      <w:spacing w:line="240" w:lineRule="auto"/>
    </w:pPr>
    <w:rPr>
      <w:rFonts w:ascii="??" w:eastAsia="楷体"/>
      <w:sz w:val="21"/>
    </w:rPr>
  </w:style>
  <w:style w:type="paragraph" w:customStyle="1" w:styleId="2045">
    <w:name w:val="样式 纯文本表内文字 + 楷体_GB2312 左"/>
    <w:basedOn w:val="1"/>
    <w:qFormat/>
    <w:uiPriority w:val="0"/>
    <w:pPr>
      <w:widowControl/>
      <w:tabs>
        <w:tab w:val="left" w:pos="1350"/>
      </w:tabs>
      <w:autoSpaceDE w:val="0"/>
      <w:autoSpaceDN w:val="0"/>
      <w:adjustRightInd w:val="0"/>
      <w:snapToGrid w:val="0"/>
      <w:spacing w:line="320" w:lineRule="exact"/>
      <w:jc w:val="left"/>
    </w:pPr>
    <w:rPr>
      <w:rFonts w:ascii="Courier New" w:hAnsi="Courier New" w:eastAsia="经典叠圆体简" w:cs="Verdana"/>
    </w:rPr>
  </w:style>
  <w:style w:type="paragraph" w:customStyle="1" w:styleId="2046">
    <w:name w:val="列表 2J"/>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47">
    <w:name w:val="列表 J"/>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048">
    <w:name w:val="列表 N"/>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049">
    <w:name w:val="首页页眉样式"/>
    <w:basedOn w:val="1"/>
    <w:qFormat/>
    <w:uiPriority w:val="0"/>
    <w:pPr>
      <w:widowControl/>
      <w:tabs>
        <w:tab w:val="left" w:pos="390"/>
      </w:tabs>
      <w:spacing w:line="320" w:lineRule="exact"/>
      <w:ind w:left="390" w:hanging="390"/>
      <w:jc w:val="center"/>
    </w:pPr>
    <w:rPr>
      <w:rFonts w:ascii="宋体" w:hAnsi="宋体" w:eastAsia="宋体" w:cs="Times New Roman"/>
      <w:szCs w:val="20"/>
    </w:rPr>
  </w:style>
  <w:style w:type="paragraph" w:customStyle="1" w:styleId="2050">
    <w:name w:val="xl92"/>
    <w:basedOn w:val="1"/>
    <w:qFormat/>
    <w:uiPriority w:val="0"/>
    <w:pPr>
      <w:widowControl/>
      <w:pBdr>
        <w:top w:val="single" w:color="auto" w:sz="4" w:space="0"/>
        <w:left w:val="single" w:color="auto" w:sz="4" w:space="0"/>
        <w:bottom w:val="single" w:color="auto" w:sz="8" w:space="0"/>
      </w:pBdr>
      <w:spacing w:before="100" w:beforeAutospacing="1" w:after="100" w:afterAutospacing="1" w:line="240" w:lineRule="auto"/>
      <w:jc w:val="center"/>
    </w:pPr>
    <w:rPr>
      <w:rFonts w:ascii="華康中楷體" w:hAnsi="華康中楷體" w:eastAsia="華康中楷體" w:cs="華康中楷體"/>
      <w:kern w:val="0"/>
      <w:sz w:val="16"/>
      <w:szCs w:val="16"/>
    </w:rPr>
  </w:style>
  <w:style w:type="paragraph" w:customStyle="1" w:styleId="2051">
    <w:name w:val="ttop"/>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052">
    <w:name w:val="样式 四号 首行缩进:  0.85 厘米 行距: 1.5 倍行距"/>
    <w:basedOn w:val="1"/>
    <w:qFormat/>
    <w:uiPriority w:val="0"/>
    <w:pPr>
      <w:widowControl/>
      <w:ind w:firstLine="480"/>
      <w:jc w:val="left"/>
    </w:pPr>
    <w:rPr>
      <w:rFonts w:ascii="仿宋_GB2312" w:hAnsi="仿宋_GB2312" w:eastAsia="宋体" w:cs="Verdana"/>
      <w:sz w:val="28"/>
      <w:szCs w:val="20"/>
    </w:rPr>
  </w:style>
  <w:style w:type="paragraph" w:customStyle="1" w:styleId="2053">
    <w:name w:val="列表 2A"/>
    <w:basedOn w:val="38"/>
    <w:qFormat/>
    <w:uiPriority w:val="0"/>
    <w:pPr>
      <w:widowControl/>
      <w:tabs>
        <w:tab w:val="left" w:pos="1335"/>
      </w:tabs>
      <w:adjustRightInd/>
      <w:spacing w:beforeLines="0" w:beforeAutospacing="1" w:after="100" w:afterAutospacing="1" w:line="288" w:lineRule="auto"/>
      <w:ind w:left="1335" w:hanging="705"/>
      <w:jc w:val="left"/>
      <w:textAlignment w:val="auto"/>
    </w:pPr>
    <w:rPr>
      <w:rFonts w:ascii="Courier New" w:hAnsi="Courier New" w:cs="仿宋_GB2312"/>
      <w:color w:val="FFFF99"/>
      <w:kern w:val="2"/>
    </w:rPr>
  </w:style>
  <w:style w:type="paragraph" w:customStyle="1" w:styleId="2054">
    <w:name w:val="列表 4W"/>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055">
    <w:name w:val="报告1"/>
    <w:basedOn w:val="490"/>
    <w:qFormat/>
    <w:uiPriority w:val="0"/>
    <w:pPr>
      <w:widowControl/>
      <w:textAlignment w:val="baseline"/>
    </w:pPr>
    <w:rPr>
      <w:rFonts w:ascii="仿宋_GB2312" w:hAnsi="仿宋_GB2312" w:cs="仿宋_GB2312"/>
      <w:kern w:val="24"/>
    </w:rPr>
  </w:style>
  <w:style w:type="paragraph" w:customStyle="1" w:styleId="2056">
    <w:name w:val="表题 Char Char"/>
    <w:basedOn w:val="1"/>
    <w:qFormat/>
    <w:uiPriority w:val="0"/>
    <w:pPr>
      <w:keepNext/>
      <w:keepLines/>
      <w:widowControl/>
      <w:spacing w:before="120"/>
      <w:jc w:val="center"/>
    </w:pPr>
    <w:rPr>
      <w:rFonts w:ascii="宋体" w:hAnsi="宋体" w:eastAsia="宋体" w:cs="Times New Roman"/>
      <w:b/>
      <w:sz w:val="24"/>
      <w:szCs w:val="20"/>
    </w:rPr>
  </w:style>
  <w:style w:type="paragraph" w:customStyle="1" w:styleId="2057">
    <w:name w:val="样式 标题 3 + Arial"/>
    <w:basedOn w:val="1"/>
    <w:qFormat/>
    <w:uiPriority w:val="0"/>
    <w:pPr>
      <w:widowControl/>
      <w:spacing w:line="240" w:lineRule="auto"/>
      <w:jc w:val="left"/>
    </w:pPr>
    <w:rPr>
      <w:rFonts w:ascii="仿宋_GB2312" w:hAnsi="仿宋_GB2312" w:eastAsia="宋体" w:cs="仿宋_GB2312"/>
      <w:szCs w:val="20"/>
    </w:rPr>
  </w:style>
  <w:style w:type="paragraph" w:customStyle="1" w:styleId="2058">
    <w:name w:val="puce"/>
    <w:basedOn w:val="1"/>
    <w:qFormat/>
    <w:uiPriority w:val="0"/>
    <w:pPr>
      <w:widowControl/>
      <w:tabs>
        <w:tab w:val="left" w:pos="390"/>
      </w:tabs>
      <w:adjustRightInd w:val="0"/>
      <w:snapToGrid w:val="0"/>
      <w:spacing w:line="300" w:lineRule="auto"/>
      <w:ind w:left="1020" w:hanging="340"/>
      <w:jc w:val="left"/>
    </w:pPr>
    <w:rPr>
      <w:rFonts w:ascii="楷体_GB2312" w:hAnsi="Arial" w:eastAsia="楷体_GB2312" w:cs="Times New Roman"/>
      <w:kern w:val="0"/>
      <w:sz w:val="28"/>
      <w:szCs w:val="28"/>
    </w:rPr>
  </w:style>
  <w:style w:type="paragraph" w:customStyle="1" w:styleId="2059">
    <w:name w:val="表格样式1"/>
    <w:basedOn w:val="1"/>
    <w:qFormat/>
    <w:uiPriority w:val="0"/>
    <w:pPr>
      <w:widowControl/>
      <w:adjustRightInd w:val="0"/>
      <w:spacing w:line="20" w:lineRule="atLeast"/>
      <w:jc w:val="center"/>
      <w:textAlignment w:val="baseline"/>
    </w:pPr>
    <w:rPr>
      <w:rFonts w:ascii="Verdana" w:hAnsi="仿宋_GB2312" w:eastAsia="宋体" w:cs="仿宋_GB2312"/>
      <w:kern w:val="0"/>
      <w:szCs w:val="20"/>
    </w:rPr>
  </w:style>
  <w:style w:type="paragraph" w:customStyle="1" w:styleId="2060">
    <w:name w:val="文本块1"/>
    <w:basedOn w:val="1"/>
    <w:qFormat/>
    <w:uiPriority w:val="0"/>
    <w:pPr>
      <w:widowControl/>
      <w:tabs>
        <w:tab w:val="left" w:pos="8100"/>
      </w:tabs>
      <w:adjustRightInd w:val="0"/>
      <w:ind w:left="540" w:right="206" w:firstLine="1260"/>
      <w:jc w:val="left"/>
      <w:textAlignment w:val="baseline"/>
    </w:pPr>
    <w:rPr>
      <w:rFonts w:ascii="Times New Roman" w:hAnsi="Times New Roman" w:eastAsia="宋体" w:cs="Times New Roman"/>
      <w:kern w:val="0"/>
      <w:szCs w:val="20"/>
    </w:rPr>
  </w:style>
  <w:style w:type="paragraph" w:customStyle="1" w:styleId="2061">
    <w:name w:val="默认段落字体 Para Char Char Char Char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2062">
    <w:name w:val="列表 2L"/>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63">
    <w:name w:val="列表 4I"/>
    <w:basedOn w:val="78"/>
    <w:qFormat/>
    <w:uiPriority w:val="0"/>
    <w:pPr>
      <w:widowControl/>
      <w:tabs>
        <w:tab w:val="left" w:pos="785"/>
      </w:tabs>
      <w:adjustRightInd/>
      <w:spacing w:afterLines="30" w:line="288" w:lineRule="auto"/>
      <w:ind w:left="0" w:firstLine="425"/>
      <w:jc w:val="left"/>
      <w:textAlignment w:val="auto"/>
    </w:pPr>
    <w:rPr>
      <w:rFonts w:ascii="Courier New" w:hAnsi="Courier New" w:cs="仿宋_GB2312"/>
      <w:color w:val="CCFFFF"/>
      <w:kern w:val="2"/>
    </w:rPr>
  </w:style>
  <w:style w:type="paragraph" w:customStyle="1" w:styleId="2064">
    <w:name w:val="左侧"/>
    <w:qFormat/>
    <w:uiPriority w:val="0"/>
    <w:pPr>
      <w:spacing w:line="280" w:lineRule="exact"/>
      <w:jc w:val="center"/>
    </w:pPr>
    <w:rPr>
      <w:rFonts w:ascii="Times New Roman" w:hAnsi="Times New Roman" w:eastAsia="宋体" w:cs="仿宋_GB2312"/>
      <w:color w:val="000000"/>
      <w:sz w:val="21"/>
      <w:lang w:val="en-US" w:eastAsia="zh-CN" w:bidi="ar-SA"/>
    </w:rPr>
  </w:style>
  <w:style w:type="paragraph" w:customStyle="1" w:styleId="2065">
    <w:name w:val="edri-title secong"/>
    <w:basedOn w:val="1"/>
    <w:qFormat/>
    <w:uiPriority w:val="0"/>
    <w:pPr>
      <w:widowControl/>
      <w:tabs>
        <w:tab w:val="left" w:pos="2"/>
        <w:tab w:val="left" w:pos="945"/>
      </w:tabs>
      <w:spacing w:beforeLines="50" w:line="300" w:lineRule="auto"/>
      <w:ind w:left="966" w:hanging="964"/>
      <w:jc w:val="left"/>
      <w:outlineLvl w:val="1"/>
    </w:pPr>
    <w:rPr>
      <w:rFonts w:ascii="????" w:hAnsi="????" w:eastAsia="宋体" w:cs="仿宋_GB2312"/>
      <w:b/>
      <w:bCs/>
      <w:kern w:val="0"/>
      <w:sz w:val="28"/>
      <w:szCs w:val="20"/>
    </w:rPr>
  </w:style>
  <w:style w:type="paragraph" w:customStyle="1" w:styleId="2066">
    <w:name w:val="列表 4H"/>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067">
    <w:name w:val="正文4"/>
    <w:basedOn w:val="1"/>
    <w:qFormat/>
    <w:uiPriority w:val="0"/>
    <w:pPr>
      <w:widowControl/>
      <w:autoSpaceDE w:val="0"/>
      <w:autoSpaceDN w:val="0"/>
      <w:spacing w:after="160" w:line="440" w:lineRule="exact"/>
      <w:ind w:left="567" w:hanging="567"/>
      <w:jc w:val="left"/>
      <w:textAlignment w:val="bottom"/>
    </w:pPr>
    <w:rPr>
      <w:rFonts w:ascii="仿宋_GB2312" w:hAnsi="仿宋_GB2312" w:eastAsia="宋体" w:cs="仿宋_GB2312"/>
      <w:sz w:val="28"/>
      <w:szCs w:val="20"/>
    </w:rPr>
  </w:style>
  <w:style w:type="paragraph" w:customStyle="1" w:styleId="2068">
    <w:name w:val="列表 5Q"/>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069">
    <w:name w:val="自定义缩进"/>
    <w:basedOn w:val="1"/>
    <w:qFormat/>
    <w:uiPriority w:val="0"/>
    <w:pPr>
      <w:widowControl/>
      <w:ind w:firstLine="480" w:firstLineChars="200"/>
      <w:jc w:val="left"/>
    </w:pPr>
    <w:rPr>
      <w:rFonts w:ascii="宋体" w:hAnsi="宋体" w:eastAsia="宋体" w:cs="Times New Roman"/>
      <w:kern w:val="0"/>
      <w:sz w:val="24"/>
      <w:szCs w:val="24"/>
    </w:rPr>
  </w:style>
  <w:style w:type="paragraph" w:customStyle="1" w:styleId="2070">
    <w:name w:val="3级"/>
    <w:basedOn w:val="1"/>
    <w:qFormat/>
    <w:uiPriority w:val="0"/>
    <w:pPr>
      <w:widowControl/>
      <w:spacing w:line="240" w:lineRule="auto"/>
      <w:jc w:val="left"/>
    </w:pPr>
    <w:rPr>
      <w:rFonts w:ascii="Times New Roman" w:hAnsi="Times New Roman" w:eastAsia="宋体" w:cs="Times New Roman"/>
      <w:b/>
      <w:sz w:val="28"/>
      <w:szCs w:val="28"/>
    </w:rPr>
  </w:style>
  <w:style w:type="paragraph" w:customStyle="1" w:styleId="2071">
    <w:name w:val="封面项目名称"/>
    <w:basedOn w:val="1"/>
    <w:next w:val="1"/>
    <w:qFormat/>
    <w:uiPriority w:val="0"/>
    <w:pPr>
      <w:widowControl/>
      <w:adjustRightInd w:val="0"/>
      <w:snapToGrid w:val="0"/>
      <w:spacing w:line="480" w:lineRule="exact"/>
      <w:ind w:firstLine="567"/>
      <w:jc w:val="center"/>
    </w:pPr>
    <w:rPr>
      <w:rFonts w:ascii="楷体" w:hAnsi="仿宋_GB2312" w:eastAsia="楷体" w:cs="仿宋_GB2312"/>
      <w:sz w:val="44"/>
      <w:szCs w:val="20"/>
    </w:rPr>
  </w:style>
  <w:style w:type="paragraph" w:customStyle="1" w:styleId="2072">
    <w:name w:val="0003"/>
    <w:basedOn w:val="7"/>
    <w:qFormat/>
    <w:uiPriority w:val="0"/>
    <w:pPr>
      <w:keepNext w:val="0"/>
      <w:keepLines w:val="0"/>
      <w:widowControl/>
      <w:numPr>
        <w:ilvl w:val="0"/>
        <w:numId w:val="0"/>
      </w:numPr>
      <w:adjustRightInd w:val="0"/>
      <w:snapToGrid w:val="0"/>
      <w:spacing w:beforeLines="100" w:after="0" w:line="360" w:lineRule="auto"/>
    </w:pPr>
    <w:rPr>
      <w:rFonts w:ascii="宋体" w:eastAsia="宋体" w:cs="Times New Roman"/>
      <w:b w:val="0"/>
      <w:color w:val="0000FF"/>
      <w:kern w:val="0"/>
      <w:szCs w:val="24"/>
    </w:rPr>
  </w:style>
  <w:style w:type="paragraph" w:customStyle="1" w:styleId="2073">
    <w:name w:val="列表 2P"/>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74">
    <w:name w:val="样式 德胜表格内容 + 10 磅"/>
    <w:basedOn w:val="1469"/>
    <w:qFormat/>
    <w:uiPriority w:val="0"/>
    <w:rPr>
      <w:b/>
    </w:rPr>
  </w:style>
  <w:style w:type="paragraph" w:customStyle="1" w:styleId="2075">
    <w:name w:val="附图编号"/>
    <w:basedOn w:val="1"/>
    <w:qFormat/>
    <w:uiPriority w:val="0"/>
    <w:pPr>
      <w:widowControl/>
      <w:tabs>
        <w:tab w:val="left" w:pos="1760"/>
      </w:tabs>
      <w:spacing w:line="288" w:lineRule="auto"/>
      <w:ind w:left="1021" w:hanging="341"/>
      <w:jc w:val="left"/>
    </w:pPr>
    <w:rPr>
      <w:rFonts w:ascii="Courier New" w:hAnsi="Courier New" w:eastAsia="宋体" w:cs="仿宋_GB2312"/>
      <w:color w:val="CC99FF"/>
      <w:sz w:val="24"/>
      <w:szCs w:val="20"/>
    </w:rPr>
  </w:style>
  <w:style w:type="paragraph" w:customStyle="1" w:styleId="2076">
    <w:name w:val="样式 湛江钢铁表 +"/>
    <w:basedOn w:val="1"/>
    <w:next w:val="1"/>
    <w:qFormat/>
    <w:uiPriority w:val="0"/>
    <w:pPr>
      <w:widowControl/>
      <w:adjustRightInd w:val="0"/>
      <w:snapToGrid w:val="0"/>
      <w:spacing w:beforeLines="20" w:afterLines="20" w:line="240" w:lineRule="auto"/>
      <w:jc w:val="center"/>
      <w:textAlignment w:val="baseline"/>
    </w:pPr>
    <w:rPr>
      <w:rFonts w:ascii="仿宋_GB2312" w:hAnsi="仿宋_GB2312" w:eastAsia="Times New Roman" w:cs="仿宋_GB2312"/>
      <w:kern w:val="0"/>
    </w:rPr>
  </w:style>
  <w:style w:type="paragraph" w:customStyle="1" w:styleId="2077">
    <w:name w:val="样式 标题 2 + 段前: 0.5 行3"/>
    <w:basedOn w:val="6"/>
    <w:qFormat/>
    <w:uiPriority w:val="0"/>
    <w:pPr>
      <w:keepNext w:val="0"/>
      <w:keepLines w:val="0"/>
      <w:widowControl/>
      <w:numPr>
        <w:ilvl w:val="0"/>
        <w:numId w:val="0"/>
      </w:numPr>
      <w:snapToGrid w:val="0"/>
      <w:spacing w:beforeLines="50" w:after="0" w:line="240" w:lineRule="auto"/>
      <w:ind w:left="567" w:hanging="540"/>
      <w:jc w:val="both"/>
    </w:pPr>
    <w:rPr>
      <w:rFonts w:ascii="仿宋_GB2312" w:hAnsi="仿宋_GB2312" w:eastAsia="楷体" w:cs="Verdana"/>
      <w:b w:val="0"/>
      <w:bCs w:val="0"/>
      <w:color w:val="0000FF"/>
      <w:sz w:val="24"/>
      <w:szCs w:val="20"/>
    </w:rPr>
  </w:style>
  <w:style w:type="paragraph" w:customStyle="1" w:styleId="2078">
    <w:name w:val="注："/>
    <w:next w:val="1"/>
    <w:qFormat/>
    <w:uiPriority w:val="0"/>
    <w:pPr>
      <w:widowControl w:val="0"/>
      <w:tabs>
        <w:tab w:val="left" w:pos="895"/>
      </w:tabs>
      <w:autoSpaceDE w:val="0"/>
      <w:autoSpaceDN w:val="0"/>
      <w:ind w:left="895" w:hanging="420"/>
      <w:jc w:val="both"/>
    </w:pPr>
    <w:rPr>
      <w:rFonts w:ascii="Verdana" w:hAnsi="仿宋_GB2312" w:eastAsia="宋体" w:cs="仿宋_GB2312"/>
      <w:sz w:val="18"/>
      <w:lang w:val="en-US" w:eastAsia="zh-CN" w:bidi="ar-SA"/>
    </w:rPr>
  </w:style>
  <w:style w:type="paragraph" w:customStyle="1" w:styleId="2079">
    <w:name w:val="封面三号"/>
    <w:basedOn w:val="1"/>
    <w:qFormat/>
    <w:uiPriority w:val="0"/>
    <w:pPr>
      <w:widowControl/>
      <w:spacing w:line="240" w:lineRule="auto"/>
      <w:jc w:val="center"/>
    </w:pPr>
    <w:rPr>
      <w:rFonts w:ascii="Verdana" w:hAnsi="Verdana" w:eastAsia="宋体" w:cs="Verdana"/>
      <w:spacing w:val="55"/>
      <w:kern w:val="0"/>
      <w:sz w:val="32"/>
      <w:szCs w:val="32"/>
    </w:rPr>
  </w:style>
  <w:style w:type="paragraph" w:customStyle="1" w:styleId="2080">
    <w:name w:val="样式 标题 1 + 自动设置"/>
    <w:basedOn w:val="5"/>
    <w:qFormat/>
    <w:uiPriority w:val="0"/>
    <w:pPr>
      <w:widowControl/>
      <w:numPr>
        <w:numId w:val="0"/>
      </w:numPr>
      <w:tabs>
        <w:tab w:val="left" w:pos="390"/>
        <w:tab w:val="left" w:pos="700"/>
      </w:tabs>
      <w:autoSpaceDE w:val="0"/>
      <w:autoSpaceDN w:val="0"/>
      <w:adjustRightInd w:val="0"/>
      <w:spacing w:before="0" w:after="0" w:line="360" w:lineRule="auto"/>
      <w:ind w:left="431" w:hanging="431"/>
    </w:pPr>
    <w:rPr>
      <w:rFonts w:eastAsia="宋体" w:cs="Times New Roman"/>
      <w:sz w:val="28"/>
      <w:szCs w:val="20"/>
    </w:rPr>
  </w:style>
  <w:style w:type="paragraph" w:customStyle="1" w:styleId="2081">
    <w:name w:val="xl108"/>
    <w:basedOn w:val="1"/>
    <w:qFormat/>
    <w:uiPriority w:val="0"/>
    <w:pPr>
      <w:widowControl/>
      <w:pBdr>
        <w:bottom w:val="single" w:color="auto" w:sz="4" w:space="0"/>
        <w:right w:val="single" w:color="auto" w:sz="8"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2082">
    <w:name w:val="列表 2X"/>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83">
    <w:name w:val="Char3"/>
    <w:basedOn w:val="1"/>
    <w:qFormat/>
    <w:uiPriority w:val="0"/>
    <w:pPr>
      <w:widowControl/>
      <w:spacing w:line="240" w:lineRule="auto"/>
      <w:jc w:val="left"/>
    </w:pPr>
    <w:rPr>
      <w:rFonts w:ascii="Times New Roman" w:hAnsi="Times New Roman" w:eastAsia="宋体" w:cs="Times New Roman"/>
      <w:sz w:val="24"/>
      <w:szCs w:val="24"/>
    </w:rPr>
  </w:style>
  <w:style w:type="paragraph" w:customStyle="1" w:styleId="2084">
    <w:name w:val="最新泸县焦化表格文字"/>
    <w:basedOn w:val="1"/>
    <w:qFormat/>
    <w:uiPriority w:val="0"/>
    <w:pPr>
      <w:keepNext/>
      <w:keepLines/>
      <w:widowControl/>
      <w:autoSpaceDE w:val="0"/>
      <w:autoSpaceDN w:val="0"/>
      <w:adjustRightInd w:val="0"/>
      <w:snapToGrid w:val="0"/>
      <w:spacing w:line="240" w:lineRule="auto"/>
      <w:jc w:val="left"/>
    </w:pPr>
    <w:rPr>
      <w:rFonts w:ascii="Times New Roman" w:hAnsi="Times New Roman" w:eastAsia="宋体" w:cs="Times New Roman"/>
      <w:bCs/>
      <w:color w:val="0000FF"/>
    </w:rPr>
  </w:style>
  <w:style w:type="paragraph" w:customStyle="1" w:styleId="2085">
    <w:name w:val="项目2"/>
    <w:basedOn w:val="1"/>
    <w:qFormat/>
    <w:uiPriority w:val="0"/>
    <w:pPr>
      <w:widowControl/>
      <w:tabs>
        <w:tab w:val="left" w:pos="360"/>
        <w:tab w:val="left" w:pos="780"/>
      </w:tabs>
      <w:snapToGrid w:val="0"/>
      <w:spacing w:line="240" w:lineRule="atLeast"/>
      <w:ind w:left="780" w:hanging="360"/>
      <w:jc w:val="left"/>
    </w:pPr>
    <w:rPr>
      <w:rFonts w:ascii="仿宋_GB2312" w:hAnsi="仿宋_GB2312" w:eastAsia="宋体" w:cs="仿宋_GB2312"/>
      <w:sz w:val="28"/>
      <w:szCs w:val="20"/>
    </w:rPr>
  </w:style>
  <w:style w:type="paragraph" w:customStyle="1" w:styleId="2086">
    <w:name w:val="表格文字样式"/>
    <w:basedOn w:val="877"/>
    <w:qFormat/>
    <w:uiPriority w:val="0"/>
    <w:pPr>
      <w:widowControl/>
      <w:spacing w:line="240" w:lineRule="auto"/>
      <w:ind w:firstLine="0"/>
      <w:jc w:val="center"/>
    </w:pPr>
    <w:rPr>
      <w:rFonts w:eastAsia="华文中宋"/>
    </w:rPr>
  </w:style>
  <w:style w:type="paragraph" w:customStyle="1" w:styleId="2087">
    <w:name w:val="样式 德胜正文 + ?? ??Dˎ̥ Ê×ÐÐËõ½ø:"/>
    <w:basedOn w:val="1518"/>
    <w:qFormat/>
    <w:uiPriority w:val="0"/>
    <w:pPr>
      <w:ind w:firstLine="480"/>
    </w:pPr>
  </w:style>
  <w:style w:type="paragraph" w:customStyle="1" w:styleId="2088">
    <w:name w:val="2级标题"/>
    <w:basedOn w:val="6"/>
    <w:qFormat/>
    <w:uiPriority w:val="0"/>
    <w:pPr>
      <w:keepNext w:val="0"/>
      <w:keepLines w:val="0"/>
      <w:widowControl/>
      <w:numPr>
        <w:ilvl w:val="0"/>
        <w:numId w:val="0"/>
      </w:numPr>
      <w:adjustRightInd w:val="0"/>
      <w:snapToGrid w:val="0"/>
      <w:spacing w:beforeLines="50" w:after="0" w:line="360" w:lineRule="auto"/>
      <w:jc w:val="both"/>
    </w:pPr>
    <w:rPr>
      <w:rFonts w:ascii="楷体" w:hAnsi="Courier New" w:eastAsia="楷体" w:cs="仿宋_GB2312"/>
      <w:b w:val="0"/>
      <w:bCs w:val="0"/>
      <w:kern w:val="0"/>
      <w:sz w:val="30"/>
      <w:szCs w:val="28"/>
    </w:rPr>
  </w:style>
  <w:style w:type="paragraph" w:customStyle="1" w:styleId="2089">
    <w:name w:val="表内式样"/>
    <w:qFormat/>
    <w:uiPriority w:val="0"/>
    <w:pPr>
      <w:widowControl w:val="0"/>
      <w:jc w:val="center"/>
    </w:pPr>
    <w:rPr>
      <w:rFonts w:ascii="仿宋_GB2312" w:hAnsi="仿宋_GB2312" w:eastAsia="宋体" w:cs="仿宋_GB2312"/>
      <w:sz w:val="18"/>
      <w:szCs w:val="24"/>
      <w:lang w:val="en-US" w:eastAsia="zh-CN" w:bidi="ar-SA"/>
    </w:rPr>
  </w:style>
  <w:style w:type="paragraph" w:customStyle="1" w:styleId="2090">
    <w:name w:val="文-1"/>
    <w:basedOn w:val="1"/>
    <w:qFormat/>
    <w:uiPriority w:val="0"/>
    <w:pPr>
      <w:widowControl/>
      <w:spacing w:before="120" w:line="240" w:lineRule="auto"/>
      <w:ind w:left="851" w:firstLine="482"/>
      <w:jc w:val="left"/>
    </w:pPr>
    <w:rPr>
      <w:rFonts w:ascii="仿宋_GB2312" w:hAnsi="仿宋_GB2312" w:eastAsia="宋体" w:cs="仿宋_GB2312"/>
      <w:sz w:val="24"/>
      <w:szCs w:val="20"/>
    </w:rPr>
  </w:style>
  <w:style w:type="paragraph" w:customStyle="1" w:styleId="2091">
    <w:name w:val="Char Char9 Char Char"/>
    <w:basedOn w:val="1"/>
    <w:qFormat/>
    <w:uiPriority w:val="0"/>
    <w:pPr>
      <w:widowControl/>
      <w:adjustRightInd w:val="0"/>
      <w:snapToGrid w:val="0"/>
      <w:spacing w:line="240" w:lineRule="auto"/>
      <w:jc w:val="left"/>
    </w:pPr>
    <w:rPr>
      <w:rFonts w:ascii="Verdana" w:hAnsi="Courier New" w:eastAsia="宋体" w:cs="仿宋_GB2312"/>
      <w:spacing w:val="2"/>
      <w:kern w:val="0"/>
      <w:szCs w:val="20"/>
    </w:rPr>
  </w:style>
  <w:style w:type="paragraph" w:customStyle="1" w:styleId="2092">
    <w:name w:val="样式 标题 5 + 自动设置"/>
    <w:basedOn w:val="9"/>
    <w:qFormat/>
    <w:uiPriority w:val="0"/>
    <w:pPr>
      <w:keepNext w:val="0"/>
      <w:keepLines w:val="0"/>
      <w:widowControl/>
      <w:tabs>
        <w:tab w:val="left" w:pos="2100"/>
      </w:tabs>
      <w:adjustRightInd w:val="0"/>
      <w:snapToGrid w:val="0"/>
      <w:spacing w:before="0" w:after="0" w:line="500" w:lineRule="exact"/>
      <w:ind w:left="2100" w:firstLine="200" w:firstLineChars="200"/>
      <w:jc w:val="left"/>
    </w:pPr>
    <w:rPr>
      <w:rFonts w:eastAsia="宋体" w:cs="Times New Roman"/>
      <w:b w:val="0"/>
      <w:bCs w:val="0"/>
      <w:sz w:val="28"/>
      <w:szCs w:val="20"/>
    </w:rPr>
  </w:style>
  <w:style w:type="paragraph" w:customStyle="1" w:styleId="2093">
    <w:name w:val="列表 3E"/>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094">
    <w:name w:val="样式1 f"/>
    <w:basedOn w:val="5"/>
    <w:qFormat/>
    <w:uiPriority w:val="0"/>
    <w:pPr>
      <w:keepLines w:val="0"/>
      <w:widowControl/>
      <w:numPr>
        <w:numId w:val="0"/>
      </w:numPr>
      <w:spacing w:before="0" w:after="0" w:line="360" w:lineRule="auto"/>
      <w:jc w:val="left"/>
    </w:pPr>
    <w:rPr>
      <w:rFonts w:eastAsia="宋体" w:cs="Times New Roman"/>
      <w:color w:val="0000FF"/>
      <w:sz w:val="30"/>
      <w:szCs w:val="30"/>
    </w:rPr>
  </w:style>
  <w:style w:type="paragraph" w:customStyle="1" w:styleId="2095">
    <w:name w:val="正文段落"/>
    <w:basedOn w:val="1"/>
    <w:qFormat/>
    <w:uiPriority w:val="0"/>
    <w:pPr>
      <w:widowControl/>
      <w:spacing w:line="360" w:lineRule="exact"/>
      <w:ind w:firstLine="476"/>
      <w:jc w:val="left"/>
    </w:pPr>
    <w:rPr>
      <w:rFonts w:ascii="宋体" w:hAnsi="宋体" w:eastAsia="宋体" w:cs="Times New Roman"/>
      <w:sz w:val="24"/>
      <w:szCs w:val="24"/>
    </w:rPr>
  </w:style>
  <w:style w:type="paragraph" w:customStyle="1" w:styleId="2096">
    <w:name w:val="Char Char Char Char Char Char Char Char Char Char Char Char Char Char Char Char Char Char Char Char Char Char Char Char Char Char Char Char Char Char Char Char Char Char Char Char Char Char Char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2097">
    <w:name w:val="1级标题"/>
    <w:basedOn w:val="5"/>
    <w:qFormat/>
    <w:uiPriority w:val="0"/>
    <w:pPr>
      <w:keepNext w:val="0"/>
      <w:keepLines w:val="0"/>
      <w:widowControl/>
      <w:numPr>
        <w:numId w:val="0"/>
      </w:numPr>
      <w:adjustRightInd w:val="0"/>
      <w:snapToGrid w:val="0"/>
      <w:spacing w:before="0" w:after="0" w:line="360" w:lineRule="auto"/>
      <w:jc w:val="left"/>
    </w:pPr>
    <w:rPr>
      <w:rFonts w:ascii="楷体" w:hAnsi="仿宋_GB2312" w:eastAsia="楷体" w:cs="仿宋_GB2312"/>
      <w:b w:val="0"/>
      <w:sz w:val="24"/>
      <w:szCs w:val="30"/>
    </w:rPr>
  </w:style>
  <w:style w:type="paragraph" w:customStyle="1" w:styleId="2098">
    <w:name w:val="Char Char Char Char Char Char Char Char Char Char Char Char Char Char Char1 Char Char Char Char Char Char Char Char Char Char Char Char Char Char Char Char"/>
    <w:basedOn w:val="1"/>
    <w:next w:val="4"/>
    <w:qFormat/>
    <w:uiPriority w:val="0"/>
    <w:pPr>
      <w:widowControl/>
      <w:spacing w:line="240" w:lineRule="auto"/>
      <w:jc w:val="left"/>
    </w:pPr>
    <w:rPr>
      <w:rFonts w:ascii="仿宋_GB2312" w:hAnsi="仿宋_GB2312" w:eastAsia="宋体" w:cs="仿宋_GB2312"/>
      <w:sz w:val="28"/>
      <w:szCs w:val="28"/>
    </w:rPr>
  </w:style>
  <w:style w:type="paragraph" w:customStyle="1" w:styleId="2099">
    <w:name w:val="框图格式2"/>
    <w:basedOn w:val="1"/>
    <w:qFormat/>
    <w:uiPriority w:val="0"/>
    <w:pPr>
      <w:widowControl/>
      <w:spacing w:line="240" w:lineRule="auto"/>
      <w:jc w:val="left"/>
    </w:pPr>
    <w:rPr>
      <w:rFonts w:ascii="仿宋_GB2312" w:hAnsi="仿宋_GB2312" w:eastAsia="宋体" w:cs="仿宋_GB2312"/>
      <w:sz w:val="18"/>
      <w:szCs w:val="24"/>
    </w:rPr>
  </w:style>
  <w:style w:type="paragraph" w:customStyle="1" w:styleId="2100">
    <w:name w:val="OIC1 Company Name"/>
    <w:basedOn w:val="1"/>
    <w:qFormat/>
    <w:uiPriority w:val="0"/>
    <w:pPr>
      <w:widowControl/>
      <w:spacing w:line="240" w:lineRule="auto"/>
      <w:jc w:val="center"/>
    </w:pPr>
    <w:rPr>
      <w:rFonts w:ascii="?????" w:hAnsi="?????" w:eastAsia="宋体" w:cs="仿宋_GB2312"/>
      <w:color w:val="000080"/>
      <w:spacing w:val="40"/>
      <w:kern w:val="0"/>
      <w:sz w:val="28"/>
      <w:szCs w:val="20"/>
    </w:rPr>
  </w:style>
  <w:style w:type="paragraph" w:customStyle="1" w:styleId="2101">
    <w:name w:val="8.2.1.1 标题 31.1.1条标题 3 Char Char标题 3 Char标3§1.1.1.. (1.1.1)- ...1"/>
    <w:basedOn w:val="1"/>
    <w:qFormat/>
    <w:uiPriority w:val="0"/>
    <w:pPr>
      <w:widowControl/>
      <w:tabs>
        <w:tab w:val="left" w:pos="0"/>
        <w:tab w:val="left" w:pos="720"/>
      </w:tabs>
      <w:spacing w:line="312" w:lineRule="auto"/>
      <w:ind w:left="720" w:hanging="720"/>
      <w:jc w:val="left"/>
    </w:pPr>
    <w:rPr>
      <w:rFonts w:ascii="Times New Roman" w:hAnsi="Times New Roman" w:eastAsia="宋体" w:cs="Times New Roman"/>
      <w:sz w:val="24"/>
      <w:szCs w:val="20"/>
    </w:rPr>
  </w:style>
  <w:style w:type="paragraph" w:customStyle="1" w:styleId="2102">
    <w:name w:val="表数"/>
    <w:basedOn w:val="1"/>
    <w:qFormat/>
    <w:uiPriority w:val="0"/>
    <w:pPr>
      <w:widowControl/>
      <w:spacing w:line="300" w:lineRule="atLeast"/>
      <w:jc w:val="center"/>
    </w:pPr>
    <w:rPr>
      <w:rFonts w:ascii="楷体_GB2312" w:hAnsi="宋体" w:eastAsia="楷体_GB2312" w:cs="Times New Roman"/>
      <w:color w:val="000000"/>
      <w:sz w:val="24"/>
      <w:szCs w:val="20"/>
    </w:rPr>
  </w:style>
  <w:style w:type="paragraph" w:customStyle="1" w:styleId="2103">
    <w:name w:val="样式 加粗 左侧:  0.32 厘米"/>
    <w:basedOn w:val="1"/>
    <w:qFormat/>
    <w:uiPriority w:val="0"/>
    <w:pPr>
      <w:widowControl/>
      <w:spacing w:line="500" w:lineRule="exact"/>
      <w:ind w:left="180"/>
      <w:jc w:val="left"/>
    </w:pPr>
    <w:rPr>
      <w:rFonts w:ascii="Times New Roman" w:hAnsi="Times New Roman" w:eastAsia="宋体" w:cs="宋体"/>
      <w:b/>
      <w:bCs/>
      <w:sz w:val="28"/>
      <w:szCs w:val="20"/>
    </w:rPr>
  </w:style>
  <w:style w:type="paragraph" w:customStyle="1" w:styleId="2104">
    <w:name w:val="Char Char Char Char Char Char Char Char Char Char Char Char Char Char Char1 Char Char Char Char Char Char Char Char Char Char Char Char Char Char Char Char Char Char Char Char Char Char Char Char Char"/>
    <w:basedOn w:val="1"/>
    <w:next w:val="4"/>
    <w:qFormat/>
    <w:uiPriority w:val="0"/>
    <w:pPr>
      <w:widowControl/>
      <w:spacing w:line="240" w:lineRule="auto"/>
      <w:jc w:val="left"/>
    </w:pPr>
    <w:rPr>
      <w:rFonts w:ascii="仿宋_GB2312" w:hAnsi="仿宋_GB2312" w:eastAsia="宋体" w:cs="仿宋_GB2312"/>
      <w:sz w:val="28"/>
      <w:szCs w:val="20"/>
    </w:rPr>
  </w:style>
  <w:style w:type="paragraph" w:customStyle="1" w:styleId="2105">
    <w:name w:val="ttopl"/>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106">
    <w:name w:val="xl104"/>
    <w:basedOn w:val="1"/>
    <w:qFormat/>
    <w:uiPriority w:val="0"/>
    <w:pPr>
      <w:widowControl/>
      <w:pBdr>
        <w:left w:val="single" w:color="auto" w:sz="8" w:space="0"/>
      </w:pBdr>
      <w:spacing w:before="100" w:beforeAutospacing="1" w:after="100" w:afterAutospacing="1" w:line="240" w:lineRule="auto"/>
      <w:jc w:val="left"/>
      <w:textAlignment w:val="center"/>
    </w:pPr>
    <w:rPr>
      <w:rFonts w:ascii="華康中楷體" w:hAnsi="華康中楷體" w:eastAsia="華康中楷體" w:cs="華康中楷體"/>
      <w:kern w:val="0"/>
      <w:sz w:val="16"/>
      <w:szCs w:val="16"/>
    </w:rPr>
  </w:style>
  <w:style w:type="paragraph" w:customStyle="1" w:styleId="2107">
    <w:name w:val="样式 标题 1 + Times New Roman 二号 段后: 6 磅 行距: 单倍行距"/>
    <w:basedOn w:val="5"/>
    <w:qFormat/>
    <w:uiPriority w:val="0"/>
    <w:pPr>
      <w:widowControl/>
      <w:numPr>
        <w:numId w:val="0"/>
      </w:numPr>
      <w:tabs>
        <w:tab w:val="left" w:pos="425"/>
      </w:tabs>
      <w:adjustRightInd w:val="0"/>
      <w:spacing w:after="120" w:line="240" w:lineRule="auto"/>
      <w:ind w:left="425" w:hanging="425"/>
      <w:jc w:val="left"/>
      <w:textAlignment w:val="baseline"/>
    </w:pPr>
    <w:rPr>
      <w:rFonts w:ascii="仿宋_GB2312" w:hAnsi="仿宋_GB2312" w:eastAsia="宋体" w:cs="Verdana"/>
      <w:color w:val="0000FF"/>
      <w:sz w:val="44"/>
      <w:szCs w:val="20"/>
    </w:rPr>
  </w:style>
  <w:style w:type="paragraph" w:customStyle="1" w:styleId="2108">
    <w:name w:val="列表 4E"/>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109">
    <w:name w:val="列表 4X"/>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110">
    <w:name w:val="图表名"/>
    <w:basedOn w:val="1"/>
    <w:qFormat/>
    <w:uiPriority w:val="0"/>
    <w:pPr>
      <w:widowControl/>
      <w:adjustRightInd w:val="0"/>
      <w:snapToGrid w:val="0"/>
      <w:jc w:val="center"/>
    </w:pPr>
    <w:rPr>
      <w:rFonts w:ascii="仿宋_GB2312" w:hAnsi="仿宋_GB2312" w:eastAsia="楷体" w:cs="仿宋_GB2312"/>
      <w:color w:val="000000"/>
      <w:kern w:val="0"/>
      <w:sz w:val="28"/>
      <w:szCs w:val="28"/>
    </w:rPr>
  </w:style>
  <w:style w:type="paragraph" w:customStyle="1" w:styleId="2111">
    <w:name w:val="1文章"/>
    <w:basedOn w:val="1"/>
    <w:qFormat/>
    <w:uiPriority w:val="0"/>
    <w:pPr>
      <w:widowControl/>
      <w:snapToGrid w:val="0"/>
      <w:ind w:firstLine="573"/>
      <w:jc w:val="left"/>
    </w:pPr>
    <w:rPr>
      <w:rFonts w:ascii="Times New Roman" w:hAnsi="Times New Roman" w:eastAsia="仿宋_GB2312" w:cs="Times New Roman"/>
      <w:sz w:val="28"/>
      <w:szCs w:val="20"/>
    </w:rPr>
  </w:style>
  <w:style w:type="paragraph" w:customStyle="1" w:styleId="2112">
    <w:name w:val="ttxt"/>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113">
    <w:name w:val="_Style 961"/>
    <w:basedOn w:val="1"/>
    <w:qFormat/>
    <w:uiPriority w:val="0"/>
    <w:pPr>
      <w:widowControl/>
      <w:ind w:firstLine="200" w:firstLineChars="200"/>
      <w:jc w:val="left"/>
    </w:pPr>
    <w:rPr>
      <w:rFonts w:ascii="Times New Roman" w:hAnsi="Times New Roman" w:eastAsia="宋体" w:cs="Times New Roman"/>
      <w:szCs w:val="24"/>
    </w:rPr>
  </w:style>
  <w:style w:type="paragraph" w:customStyle="1" w:styleId="2114">
    <w:name w:val="样式 仿宋_GB2312 小四1"/>
    <w:basedOn w:val="1"/>
    <w:qFormat/>
    <w:uiPriority w:val="0"/>
    <w:pPr>
      <w:widowControl/>
      <w:adjustRightInd w:val="0"/>
      <w:ind w:firstLine="480" w:firstLineChars="200"/>
      <w:jc w:val="left"/>
      <w:textAlignment w:val="baseline"/>
    </w:pPr>
    <w:rPr>
      <w:rFonts w:ascii="仿宋_GB2312" w:hAnsi="仿宋_GB2312" w:eastAsia="Times New Roman" w:cs="仿宋_GB2312"/>
      <w:kern w:val="0"/>
      <w:sz w:val="24"/>
      <w:szCs w:val="24"/>
    </w:rPr>
  </w:style>
  <w:style w:type="paragraph" w:customStyle="1" w:styleId="2115">
    <w:name w:val="列表 2O"/>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116">
    <w:name w:val="0005左缩2"/>
    <w:basedOn w:val="1"/>
    <w:qFormat/>
    <w:uiPriority w:val="0"/>
    <w:pPr>
      <w:widowControl/>
      <w:autoSpaceDE w:val="0"/>
      <w:autoSpaceDN w:val="0"/>
      <w:adjustRightInd w:val="0"/>
      <w:spacing w:afterLines="30" w:line="500" w:lineRule="exact"/>
      <w:ind w:firstLine="200" w:firstLineChars="200"/>
      <w:jc w:val="left"/>
    </w:pPr>
    <w:rPr>
      <w:rFonts w:ascii="宋体" w:hAnsi="宋体" w:eastAsia="宋体" w:cs="Times New Roman"/>
      <w:sz w:val="28"/>
      <w:szCs w:val="28"/>
    </w:rPr>
  </w:style>
  <w:style w:type="paragraph" w:customStyle="1" w:styleId="2117">
    <w:name w:val="列表 4R"/>
    <w:basedOn w:val="78"/>
    <w:qFormat/>
    <w:uiPriority w:val="0"/>
    <w:pPr>
      <w:widowControl/>
      <w:tabs>
        <w:tab w:val="left" w:pos="907"/>
      </w:tabs>
      <w:adjustRightInd/>
      <w:spacing w:afterLines="30" w:line="288" w:lineRule="auto"/>
      <w:ind w:left="907" w:hanging="567"/>
      <w:jc w:val="left"/>
      <w:textAlignment w:val="auto"/>
    </w:pPr>
    <w:rPr>
      <w:rFonts w:ascii="Courier New" w:hAnsi="Courier New" w:cs="仿宋_GB2312"/>
      <w:color w:val="CCFFFF"/>
      <w:kern w:val="2"/>
    </w:rPr>
  </w:style>
  <w:style w:type="paragraph" w:customStyle="1" w:styleId="2118">
    <w:name w:val="样式 样式 左侧:  2 字符 段后: 0.5 行 + 首行缩进:  2 字符 段后: 0.5 行"/>
    <w:basedOn w:val="1"/>
    <w:qFormat/>
    <w:uiPriority w:val="0"/>
    <w:pPr>
      <w:widowControl/>
      <w:spacing w:afterLines="50" w:line="240" w:lineRule="auto"/>
      <w:ind w:firstLine="560" w:firstLineChars="200"/>
      <w:jc w:val="left"/>
    </w:pPr>
    <w:rPr>
      <w:rFonts w:ascii="仿宋_GB2312" w:hAnsi="仿宋_GB2312" w:eastAsia="Times New Roman" w:cs="仿宋_GB2312"/>
      <w:sz w:val="28"/>
      <w:szCs w:val="28"/>
    </w:rPr>
  </w:style>
  <w:style w:type="paragraph" w:customStyle="1" w:styleId="2119">
    <w:name w:val="五级条标题"/>
    <w:basedOn w:val="2031"/>
    <w:next w:val="1"/>
    <w:qFormat/>
    <w:uiPriority w:val="0"/>
    <w:pPr>
      <w:ind w:left="2940"/>
      <w:outlineLvl w:val="6"/>
    </w:pPr>
  </w:style>
  <w:style w:type="paragraph" w:customStyle="1" w:styleId="2120">
    <w:name w:val="1.1.1縮"/>
    <w:basedOn w:val="1"/>
    <w:qFormat/>
    <w:uiPriority w:val="0"/>
    <w:pPr>
      <w:widowControl/>
      <w:autoSpaceDE w:val="0"/>
      <w:autoSpaceDN w:val="0"/>
      <w:snapToGrid w:val="0"/>
      <w:ind w:left="1610" w:firstLine="554"/>
      <w:jc w:val="left"/>
    </w:pPr>
    <w:rPr>
      <w:rFonts w:ascii="仿宋_GB2312" w:hAnsi="仿宋_GB2312" w:eastAsia="MS Gothic" w:cs="仿宋_GB2312"/>
      <w:sz w:val="28"/>
      <w:szCs w:val="20"/>
      <w:lang w:eastAsia="zh-TW"/>
    </w:rPr>
  </w:style>
  <w:style w:type="paragraph" w:customStyle="1" w:styleId="2121">
    <w:name w:val="悬挂式正文"/>
    <w:basedOn w:val="1"/>
    <w:qFormat/>
    <w:uiPriority w:val="0"/>
    <w:pPr>
      <w:widowControl/>
      <w:tabs>
        <w:tab w:val="center" w:pos="6804"/>
        <w:tab w:val="right" w:pos="7371"/>
      </w:tabs>
      <w:overflowPunct w:val="0"/>
      <w:adjustRightInd w:val="0"/>
      <w:ind w:left="1701" w:hanging="1134"/>
      <w:jc w:val="left"/>
      <w:textAlignment w:val="baseline"/>
    </w:pPr>
    <w:rPr>
      <w:rFonts w:ascii="Times New Roman" w:hAnsi="Times New Roman" w:eastAsia="宋体" w:cs="Times New Roman"/>
      <w:kern w:val="0"/>
      <w:sz w:val="28"/>
      <w:szCs w:val="20"/>
    </w:rPr>
  </w:style>
  <w:style w:type="paragraph" w:customStyle="1" w:styleId="2122">
    <w:name w:val="列表 3H"/>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123">
    <w:name w:val="樣式6"/>
    <w:basedOn w:val="1"/>
    <w:qFormat/>
    <w:uiPriority w:val="0"/>
    <w:pPr>
      <w:widowControl/>
      <w:adjustRightInd w:val="0"/>
      <w:spacing w:line="240" w:lineRule="atLeast"/>
      <w:ind w:left="57"/>
      <w:jc w:val="left"/>
      <w:textAlignment w:val="baseline"/>
    </w:pPr>
    <w:rPr>
      <w:rFonts w:ascii="Courier New" w:hAnsi="Courier New" w:eastAsia="仿宋体" w:cs="仿宋_GB2312"/>
      <w:b/>
      <w:kern w:val="0"/>
      <w:sz w:val="24"/>
      <w:szCs w:val="20"/>
      <w:lang w:eastAsia="zh-TW"/>
    </w:rPr>
  </w:style>
  <w:style w:type="paragraph" w:customStyle="1" w:styleId="2124">
    <w:name w:val="尾注文本1"/>
    <w:basedOn w:val="1086"/>
    <w:qFormat/>
    <w:uiPriority w:val="0"/>
    <w:pPr>
      <w:adjustRightInd w:val="0"/>
      <w:spacing w:line="360" w:lineRule="atLeast"/>
      <w:ind w:firstLine="0" w:firstLineChars="0"/>
      <w:textAlignment w:val="baseline"/>
    </w:pPr>
    <w:rPr>
      <w:rFonts w:ascii="宋体"/>
      <w:kern w:val="0"/>
      <w:sz w:val="21"/>
      <w:szCs w:val="20"/>
    </w:rPr>
  </w:style>
  <w:style w:type="paragraph" w:customStyle="1" w:styleId="2125">
    <w:name w:val="样式 图表 + 首行缩进:  2 字符1"/>
    <w:basedOn w:val="1"/>
    <w:qFormat/>
    <w:uiPriority w:val="0"/>
    <w:pPr>
      <w:widowControl/>
      <w:adjustRightInd w:val="0"/>
      <w:snapToGrid w:val="0"/>
      <w:spacing w:beforeLines="20" w:afterLines="20" w:line="240" w:lineRule="auto"/>
      <w:ind w:left="-102" w:leftChars="-50" w:right="-105" w:rightChars="-50" w:hanging="3"/>
      <w:jc w:val="center"/>
    </w:pPr>
    <w:rPr>
      <w:rFonts w:ascii="仿宋_GB2312" w:hAnsi="仿宋_GB2312" w:eastAsia="Times New Roman" w:cs="仿宋_GB2312"/>
      <w:color w:val="000000"/>
      <w:szCs w:val="24"/>
    </w:rPr>
  </w:style>
  <w:style w:type="paragraph" w:customStyle="1" w:styleId="2126">
    <w:name w:val="表后注解"/>
    <w:basedOn w:val="1"/>
    <w:qFormat/>
    <w:uiPriority w:val="0"/>
    <w:pPr>
      <w:widowControl/>
      <w:spacing w:line="300" w:lineRule="atLeast"/>
      <w:jc w:val="left"/>
    </w:pPr>
    <w:rPr>
      <w:rFonts w:ascii="楷体_GB2312" w:hAnsi="宋体" w:eastAsia="楷体_GB2312" w:cs="Times New Roman"/>
      <w:bCs/>
      <w:color w:val="000000"/>
      <w:sz w:val="20"/>
      <w:szCs w:val="20"/>
    </w:rPr>
  </w:style>
  <w:style w:type="paragraph" w:customStyle="1" w:styleId="2127">
    <w:name w:val="Header Base"/>
    <w:basedOn w:val="1"/>
    <w:qFormat/>
    <w:uiPriority w:val="0"/>
    <w:pPr>
      <w:keepLines/>
      <w:widowControl/>
      <w:tabs>
        <w:tab w:val="center" w:pos="4320"/>
        <w:tab w:val="right" w:pos="8640"/>
      </w:tabs>
      <w:spacing w:line="180" w:lineRule="atLeast"/>
      <w:jc w:val="left"/>
    </w:pPr>
    <w:rPr>
      <w:rFonts w:ascii="Arial" w:hAnsi="Arial" w:eastAsia="宋体" w:cs="Times New Roman"/>
      <w:spacing w:val="-5"/>
      <w:kern w:val="0"/>
      <w:sz w:val="28"/>
      <w:szCs w:val="20"/>
    </w:rPr>
  </w:style>
  <w:style w:type="paragraph" w:customStyle="1" w:styleId="2128">
    <w:name w:val="6表(图)头(治)"/>
    <w:next w:val="1"/>
    <w:qFormat/>
    <w:uiPriority w:val="0"/>
    <w:pPr>
      <w:widowControl w:val="0"/>
      <w:adjustRightInd w:val="0"/>
      <w:snapToGrid w:val="0"/>
      <w:jc w:val="center"/>
    </w:pPr>
    <w:rPr>
      <w:rFonts w:ascii="Times New Roman" w:hAnsi="宋体" w:eastAsia="宋体" w:cs="Times New Roman"/>
      <w:sz w:val="21"/>
      <w:szCs w:val="21"/>
      <w:lang w:val="en-US" w:eastAsia="zh-CN" w:bidi="ar-SA"/>
    </w:rPr>
  </w:style>
  <w:style w:type="paragraph" w:customStyle="1" w:styleId="2129">
    <w:name w:val="样式 标题 3H3条标题1.1.11.1.1标题 3H31H32H33u3标题 3 Char Char Char...1"/>
    <w:basedOn w:val="7"/>
    <w:qFormat/>
    <w:uiPriority w:val="0"/>
    <w:pPr>
      <w:widowControl/>
      <w:numPr>
        <w:ilvl w:val="0"/>
        <w:numId w:val="0"/>
      </w:numPr>
      <w:spacing w:beforeLines="100" w:afterLines="50" w:line="240" w:lineRule="auto"/>
    </w:pPr>
    <w:rPr>
      <w:rFonts w:ascii="仿宋_GB2312" w:hAnsi="仿宋_GB2312" w:eastAsia="楷体" w:cs="Verdana"/>
      <w:kern w:val="28"/>
      <w:sz w:val="30"/>
      <w:szCs w:val="20"/>
    </w:rPr>
  </w:style>
  <w:style w:type="paragraph" w:customStyle="1" w:styleId="2130">
    <w:name w:val="样式 标题 2 + Times New Roman"/>
    <w:basedOn w:val="6"/>
    <w:qFormat/>
    <w:uiPriority w:val="0"/>
    <w:pPr>
      <w:widowControl/>
      <w:numPr>
        <w:ilvl w:val="0"/>
        <w:numId w:val="0"/>
      </w:numPr>
      <w:spacing w:beforeLines="50" w:line="415" w:lineRule="auto"/>
      <w:ind w:firstLine="538" w:firstLineChars="192"/>
    </w:pPr>
    <w:rPr>
      <w:rFonts w:ascii="仿宋_GB2312" w:hAnsi="仿宋_GB2312" w:eastAsia="楷体" w:cs="仿宋_GB2312"/>
      <w:bCs w:val="0"/>
      <w:kern w:val="0"/>
      <w:sz w:val="32"/>
    </w:rPr>
  </w:style>
  <w:style w:type="paragraph" w:customStyle="1" w:styleId="2131">
    <w:name w:val="Body Text 22"/>
    <w:basedOn w:val="1"/>
    <w:qFormat/>
    <w:uiPriority w:val="0"/>
    <w:pPr>
      <w:widowControl/>
      <w:adjustRightInd w:val="0"/>
      <w:spacing w:line="440" w:lineRule="atLeast"/>
      <w:ind w:firstLine="480"/>
      <w:jc w:val="left"/>
      <w:textAlignment w:val="baseline"/>
    </w:pPr>
    <w:rPr>
      <w:rFonts w:ascii="仿宋_GB2312" w:hAnsi="仿宋_GB2312" w:eastAsia="Times New Roman" w:cs="仿宋_GB2312"/>
      <w:sz w:val="24"/>
      <w:szCs w:val="20"/>
    </w:rPr>
  </w:style>
  <w:style w:type="paragraph" w:customStyle="1" w:styleId="2132">
    <w:name w:val="样式 德胜正文 + 首行缩进:  2 字符"/>
    <w:basedOn w:val="1518"/>
    <w:qFormat/>
    <w:uiPriority w:val="0"/>
  </w:style>
  <w:style w:type="paragraph" w:customStyle="1" w:styleId="2133">
    <w:name w:val="样式 样式 标题 2 + 段前: 0 磅 段后: 0 磅 行距: 1.5 倍行距 + (中文) 黑体"/>
    <w:basedOn w:val="1"/>
    <w:qFormat/>
    <w:uiPriority w:val="0"/>
    <w:pPr>
      <w:keepNext/>
      <w:widowControl/>
      <w:tabs>
        <w:tab w:val="left" w:pos="851"/>
      </w:tabs>
      <w:ind w:left="576" w:hanging="576"/>
      <w:jc w:val="left"/>
      <w:outlineLvl w:val="1"/>
    </w:pPr>
    <w:rPr>
      <w:rFonts w:ascii="Times New Roman" w:hAnsi="Times New Roman" w:eastAsia="黑体" w:cs="宋体"/>
      <w:b/>
      <w:bCs/>
      <w:spacing w:val="20"/>
      <w:kern w:val="0"/>
      <w:sz w:val="24"/>
      <w:szCs w:val="24"/>
      <w:lang w:val="en-GB"/>
    </w:rPr>
  </w:style>
  <w:style w:type="paragraph" w:customStyle="1" w:styleId="2134">
    <w:name w:val="列表 4P"/>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135">
    <w:name w:val="表字"/>
    <w:basedOn w:val="1"/>
    <w:qFormat/>
    <w:uiPriority w:val="0"/>
    <w:pPr>
      <w:widowControl/>
      <w:spacing w:line="240" w:lineRule="auto"/>
      <w:jc w:val="center"/>
    </w:pPr>
    <w:rPr>
      <w:rFonts w:ascii="宋体" w:hAnsi="Times New Roman" w:eastAsia="宋体" w:cs="Times New Roman"/>
      <w:szCs w:val="20"/>
    </w:rPr>
  </w:style>
  <w:style w:type="paragraph" w:customStyle="1" w:styleId="2136">
    <w:name w:val="标题 2，节"/>
    <w:basedOn w:val="6"/>
    <w:qFormat/>
    <w:uiPriority w:val="0"/>
    <w:pPr>
      <w:widowControl/>
      <w:numPr>
        <w:ilvl w:val="0"/>
        <w:numId w:val="0"/>
      </w:numPr>
      <w:adjustRightInd w:val="0"/>
      <w:snapToGrid w:val="0"/>
      <w:spacing w:beforeLines="50" w:line="415" w:lineRule="auto"/>
      <w:jc w:val="both"/>
    </w:pPr>
    <w:rPr>
      <w:rFonts w:ascii="宋体" w:hAnsi="宋体" w:eastAsia="宋体" w:cs="Times New Roman"/>
      <w:bCs w:val="0"/>
      <w:sz w:val="24"/>
      <w:szCs w:val="20"/>
    </w:rPr>
  </w:style>
  <w:style w:type="paragraph" w:customStyle="1" w:styleId="2137">
    <w:name w:val="表中文字----------------"/>
    <w:basedOn w:val="1"/>
    <w:qFormat/>
    <w:uiPriority w:val="0"/>
    <w:pPr>
      <w:widowControl/>
      <w:spacing w:line="240" w:lineRule="auto"/>
      <w:jc w:val="center"/>
    </w:pPr>
    <w:rPr>
      <w:rFonts w:ascii="仿宋_GB2312" w:hAnsi="仿宋_GB2312" w:eastAsia="宋体" w:cs="仿宋_GB2312"/>
      <w:szCs w:val="20"/>
    </w:rPr>
  </w:style>
  <w:style w:type="paragraph" w:customStyle="1" w:styleId="2138">
    <w:name w:val="新标题样式"/>
    <w:basedOn w:val="1"/>
    <w:qFormat/>
    <w:uiPriority w:val="0"/>
    <w:pPr>
      <w:widowControl/>
      <w:tabs>
        <w:tab w:val="left" w:pos="567"/>
      </w:tabs>
      <w:jc w:val="left"/>
    </w:pPr>
    <w:rPr>
      <w:rFonts w:ascii="Times New Roman" w:hAnsi="Times New Roman" w:eastAsia="黑体" w:cs="Times New Roman"/>
      <w:b/>
      <w:spacing w:val="20"/>
      <w:sz w:val="24"/>
      <w:szCs w:val="20"/>
    </w:rPr>
  </w:style>
  <w:style w:type="paragraph" w:customStyle="1" w:styleId="2139">
    <w:name w:val="text3"/>
    <w:basedOn w:val="1"/>
    <w:qFormat/>
    <w:uiPriority w:val="0"/>
    <w:pPr>
      <w:widowControl/>
      <w:spacing w:before="100" w:beforeAutospacing="1" w:after="100" w:afterAutospacing="1" w:line="300" w:lineRule="atLeast"/>
      <w:jc w:val="left"/>
    </w:pPr>
    <w:rPr>
      <w:rFonts w:ascii="宋体" w:hAnsi="宋体" w:eastAsia="宋体" w:cs="Times New Roman"/>
      <w:color w:val="000000"/>
      <w:kern w:val="0"/>
      <w:sz w:val="24"/>
      <w:szCs w:val="24"/>
    </w:rPr>
  </w:style>
  <w:style w:type="paragraph" w:customStyle="1" w:styleId="2140">
    <w:name w:val="OIC1 Address"/>
    <w:basedOn w:val="1"/>
    <w:qFormat/>
    <w:uiPriority w:val="0"/>
    <w:pPr>
      <w:widowControl/>
      <w:tabs>
        <w:tab w:val="left" w:pos="1440"/>
      </w:tabs>
      <w:spacing w:line="240" w:lineRule="auto"/>
      <w:jc w:val="center"/>
    </w:pPr>
    <w:rPr>
      <w:rFonts w:ascii="Courier New" w:hAnsi="Courier New" w:eastAsia="宋体" w:cs="仿宋_GB2312"/>
      <w:color w:val="000080"/>
      <w:kern w:val="0"/>
      <w:sz w:val="20"/>
      <w:szCs w:val="20"/>
    </w:rPr>
  </w:style>
  <w:style w:type="paragraph" w:customStyle="1" w:styleId="2141">
    <w:name w:val="WW-Body Text Indent 3"/>
    <w:basedOn w:val="1"/>
    <w:qFormat/>
    <w:uiPriority w:val="0"/>
    <w:pPr>
      <w:widowControl/>
      <w:suppressAutoHyphens/>
      <w:spacing w:after="120"/>
      <w:ind w:firstLine="420"/>
      <w:jc w:val="left"/>
    </w:pPr>
    <w:rPr>
      <w:rFonts w:ascii="Courier New" w:hAnsi="Courier New" w:eastAsia="宋体" w:cs="仿宋_GB2312"/>
      <w:kern w:val="20481"/>
      <w:sz w:val="24"/>
      <w:szCs w:val="20"/>
    </w:rPr>
  </w:style>
  <w:style w:type="paragraph" w:customStyle="1" w:styleId="2142">
    <w:name w:val="流程图"/>
    <w:basedOn w:val="1"/>
    <w:qFormat/>
    <w:uiPriority w:val="0"/>
    <w:pPr>
      <w:widowControl/>
      <w:tabs>
        <w:tab w:val="left" w:pos="0"/>
      </w:tabs>
      <w:autoSpaceDE w:val="0"/>
      <w:autoSpaceDN w:val="0"/>
      <w:adjustRightInd w:val="0"/>
      <w:spacing w:line="240" w:lineRule="atLeast"/>
      <w:jc w:val="center"/>
      <w:textAlignment w:val="bottom"/>
    </w:pPr>
    <w:rPr>
      <w:rFonts w:ascii="宋体" w:hAnsi="Times New Roman" w:eastAsia="宋体" w:cs="Times New Roman"/>
      <w:szCs w:val="20"/>
    </w:rPr>
  </w:style>
  <w:style w:type="paragraph" w:customStyle="1" w:styleId="2143">
    <w:name w:val="图表"/>
    <w:basedOn w:val="36"/>
    <w:next w:val="36"/>
    <w:qFormat/>
    <w:uiPriority w:val="0"/>
    <w:pPr>
      <w:widowControl/>
      <w:tabs>
        <w:tab w:val="left" w:pos="360"/>
      </w:tabs>
      <w:adjustRightInd w:val="0"/>
      <w:snapToGrid w:val="0"/>
      <w:spacing w:before="60" w:after="60" w:line="264" w:lineRule="auto"/>
      <w:jc w:val="left"/>
      <w:textAlignment w:val="baseline"/>
    </w:pPr>
    <w:rPr>
      <w:rFonts w:ascii="仿宋_GB2312" w:hAnsi="仿宋_GB2312" w:eastAsia="Times New Roman" w:cs="仿宋_GB2312"/>
      <w:kern w:val="0"/>
      <w:sz w:val="24"/>
      <w:szCs w:val="24"/>
    </w:rPr>
  </w:style>
  <w:style w:type="paragraph" w:customStyle="1" w:styleId="2144">
    <w:name w:val="目录"/>
    <w:basedOn w:val="60"/>
    <w:qFormat/>
    <w:uiPriority w:val="0"/>
    <w:pPr>
      <w:widowControl/>
      <w:tabs>
        <w:tab w:val="right" w:leader="dot" w:pos="9060"/>
      </w:tabs>
      <w:spacing w:line="420" w:lineRule="atLeast"/>
      <w:jc w:val="center"/>
    </w:pPr>
    <w:rPr>
      <w:rFonts w:eastAsia="宋体" w:cs="Times New Roman"/>
      <w:spacing w:val="12"/>
      <w:sz w:val="44"/>
    </w:rPr>
  </w:style>
  <w:style w:type="paragraph" w:customStyle="1" w:styleId="2145">
    <w:name w:val="1."/>
    <w:basedOn w:val="1"/>
    <w:qFormat/>
    <w:uiPriority w:val="0"/>
    <w:pPr>
      <w:widowControl/>
      <w:snapToGrid w:val="0"/>
      <w:ind w:left="1820" w:hanging="323"/>
      <w:jc w:val="left"/>
    </w:pPr>
    <w:rPr>
      <w:rFonts w:ascii="MS Gothic" w:hAnsi="Century" w:eastAsia="MS Gothic" w:cs="仿宋_GB2312"/>
      <w:sz w:val="28"/>
      <w:szCs w:val="20"/>
      <w:lang w:eastAsia="zh-TW"/>
    </w:rPr>
  </w:style>
  <w:style w:type="paragraph" w:customStyle="1" w:styleId="2146">
    <w:name w:val="9点"/>
    <w:basedOn w:val="1"/>
    <w:qFormat/>
    <w:uiPriority w:val="0"/>
    <w:pPr>
      <w:widowControl/>
      <w:tabs>
        <w:tab w:val="left" w:pos="390"/>
      </w:tabs>
      <w:spacing w:line="360" w:lineRule="exact"/>
      <w:jc w:val="left"/>
    </w:pPr>
    <w:rPr>
      <w:rFonts w:ascii="Times New Roman" w:hAnsi="Times New Roman" w:eastAsia="宋体" w:cs="Times New Roman"/>
      <w:szCs w:val="24"/>
    </w:rPr>
  </w:style>
  <w:style w:type="paragraph" w:customStyle="1" w:styleId="2147">
    <w:name w:val="內(1)"/>
    <w:basedOn w:val="1"/>
    <w:qFormat/>
    <w:uiPriority w:val="0"/>
    <w:pPr>
      <w:widowControl/>
      <w:snapToGrid w:val="0"/>
      <w:spacing w:line="420" w:lineRule="atLeast"/>
      <w:ind w:left="1531" w:firstLine="520" w:firstLineChars="200"/>
      <w:jc w:val="left"/>
    </w:pPr>
    <w:rPr>
      <w:rFonts w:ascii="仿宋_GB2312" w:hAnsi="仿宋_GB2312" w:eastAsia="MS Gothic" w:cs="仿宋_GB2312"/>
      <w:sz w:val="26"/>
      <w:szCs w:val="20"/>
      <w:lang w:eastAsia="zh-TW"/>
    </w:rPr>
  </w:style>
  <w:style w:type="paragraph" w:customStyle="1" w:styleId="2148">
    <w:name w:val="样式 标题 2"/>
    <w:basedOn w:val="6"/>
    <w:qFormat/>
    <w:uiPriority w:val="0"/>
    <w:pPr>
      <w:keepNext w:val="0"/>
      <w:keepLines w:val="0"/>
      <w:widowControl/>
      <w:numPr>
        <w:ilvl w:val="0"/>
        <w:numId w:val="0"/>
      </w:numPr>
      <w:spacing w:beforeLines="50" w:afterLines="50" w:line="500" w:lineRule="exact"/>
      <w:jc w:val="both"/>
    </w:pPr>
    <w:rPr>
      <w:rFonts w:ascii="黑体" w:hAnsi="Arial" w:eastAsia="黑体" w:cs="Times New Roman"/>
      <w:b w:val="0"/>
      <w:bCs w:val="0"/>
      <w:spacing w:val="10"/>
      <w:w w:val="96"/>
      <w:sz w:val="30"/>
      <w:szCs w:val="20"/>
    </w:rPr>
  </w:style>
  <w:style w:type="paragraph" w:customStyle="1" w:styleId="2149">
    <w:name w:val="列表 4G"/>
    <w:basedOn w:val="78"/>
    <w:qFormat/>
    <w:uiPriority w:val="0"/>
    <w:pPr>
      <w:widowControl/>
      <w:tabs>
        <w:tab w:val="left" w:pos="645"/>
      </w:tabs>
      <w:adjustRightInd/>
      <w:spacing w:afterLines="30" w:line="288" w:lineRule="auto"/>
      <w:ind w:left="645" w:hanging="645"/>
      <w:jc w:val="left"/>
      <w:textAlignment w:val="auto"/>
    </w:pPr>
    <w:rPr>
      <w:rFonts w:ascii="Courier New" w:hAnsi="Courier New" w:cs="仿宋_GB2312"/>
      <w:color w:val="CCFFFF"/>
      <w:kern w:val="2"/>
    </w:rPr>
  </w:style>
  <w:style w:type="paragraph" w:customStyle="1" w:styleId="2150">
    <w:name w:val="列表 4B"/>
    <w:basedOn w:val="78"/>
    <w:qFormat/>
    <w:uiPriority w:val="0"/>
    <w:pPr>
      <w:widowControl/>
      <w:tabs>
        <w:tab w:val="left" w:pos="360"/>
      </w:tabs>
      <w:adjustRightInd/>
      <w:spacing w:afterLines="30" w:line="288" w:lineRule="auto"/>
      <w:ind w:left="360" w:hanging="360"/>
      <w:jc w:val="left"/>
      <w:textAlignment w:val="auto"/>
    </w:pPr>
    <w:rPr>
      <w:rFonts w:ascii="Courier New" w:hAnsi="Courier New" w:cs="仿宋_GB2312"/>
      <w:color w:val="CCFFFF"/>
      <w:kern w:val="2"/>
    </w:rPr>
  </w:style>
  <w:style w:type="paragraph" w:customStyle="1" w:styleId="2151">
    <w:name w:val="列表 3G"/>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152">
    <w:name w:val="edri-7 title"/>
    <w:basedOn w:val="1829"/>
    <w:qFormat/>
    <w:uiPriority w:val="0"/>
    <w:pPr>
      <w:tabs>
        <w:tab w:val="left" w:pos="425"/>
      </w:tabs>
      <w:ind w:left="425" w:leftChars="0" w:hanging="425"/>
    </w:pPr>
  </w:style>
  <w:style w:type="paragraph" w:customStyle="1" w:styleId="2153">
    <w:name w:val="列表标题"/>
    <w:basedOn w:val="1"/>
    <w:next w:val="1"/>
    <w:qFormat/>
    <w:uiPriority w:val="0"/>
    <w:pPr>
      <w:widowControl/>
      <w:jc w:val="center"/>
    </w:pPr>
    <w:rPr>
      <w:rFonts w:ascii="仿宋_GB2312" w:hAnsi="仿宋_GB2312" w:eastAsia="宋体" w:cs="仿宋_GB2312"/>
      <w:sz w:val="24"/>
      <w:szCs w:val="20"/>
    </w:rPr>
  </w:style>
  <w:style w:type="paragraph" w:customStyle="1" w:styleId="2154">
    <w:name w:val="列表 4D"/>
    <w:basedOn w:val="78"/>
    <w:qFormat/>
    <w:uiPriority w:val="0"/>
    <w:pPr>
      <w:widowControl/>
      <w:tabs>
        <w:tab w:val="left" w:pos="360"/>
      </w:tabs>
      <w:adjustRightInd/>
      <w:spacing w:afterLines="30" w:line="288" w:lineRule="auto"/>
      <w:ind w:left="360" w:hanging="360"/>
      <w:jc w:val="left"/>
      <w:textAlignment w:val="auto"/>
    </w:pPr>
    <w:rPr>
      <w:rFonts w:ascii="Courier New" w:hAnsi="Courier New" w:cs="仿宋_GB2312"/>
      <w:color w:val="CCFFFF"/>
      <w:kern w:val="2"/>
    </w:rPr>
  </w:style>
  <w:style w:type="paragraph" w:customStyle="1" w:styleId="2155">
    <w:name w:val="列表 5M"/>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156">
    <w:name w:val="奉读大示，心折殊深。"/>
    <w:qFormat/>
    <w:uiPriority w:val="0"/>
    <w:pPr>
      <w:widowControl w:val="0"/>
      <w:jc w:val="both"/>
    </w:pPr>
    <w:rPr>
      <w:rFonts w:ascii="仿宋_GB2312" w:hAnsi="仿宋_GB2312" w:eastAsia="宋体" w:cs="仿宋_GB2312"/>
      <w:kern w:val="2"/>
      <w:sz w:val="21"/>
      <w:lang w:val="en-US" w:eastAsia="zh-CN" w:bidi="ar-SA"/>
    </w:rPr>
  </w:style>
  <w:style w:type="paragraph" w:customStyle="1" w:styleId="2157">
    <w:name w:val="th1"/>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158">
    <w:name w:val="19"/>
    <w:basedOn w:val="1"/>
    <w:qFormat/>
    <w:uiPriority w:val="0"/>
    <w:pPr>
      <w:widowControl/>
      <w:snapToGrid w:val="0"/>
      <w:spacing w:before="100" w:beforeAutospacing="1" w:after="100" w:afterAutospacing="1" w:line="460" w:lineRule="atLeast"/>
      <w:jc w:val="left"/>
    </w:pPr>
    <w:rPr>
      <w:rFonts w:ascii="Times New Roman" w:hAnsi="Times New Roman" w:eastAsia="宋体" w:cs="Times New Roman"/>
      <w:kern w:val="0"/>
      <w:sz w:val="24"/>
      <w:szCs w:val="20"/>
    </w:rPr>
  </w:style>
  <w:style w:type="paragraph" w:customStyle="1" w:styleId="2159">
    <w:name w:val="插图标题"/>
    <w:basedOn w:val="1"/>
    <w:qFormat/>
    <w:uiPriority w:val="0"/>
    <w:pPr>
      <w:widowControl/>
      <w:tabs>
        <w:tab w:val="center" w:pos="6804"/>
        <w:tab w:val="right" w:pos="7371"/>
      </w:tabs>
      <w:overflowPunct w:val="0"/>
      <w:adjustRightInd w:val="0"/>
      <w:spacing w:line="240" w:lineRule="auto"/>
      <w:ind w:firstLine="567"/>
      <w:jc w:val="center"/>
      <w:textAlignment w:val="baseline"/>
    </w:pPr>
    <w:rPr>
      <w:rFonts w:ascii="楷体" w:hAnsi="仿宋_GB2312" w:eastAsia="楷体" w:cs="仿宋_GB2312"/>
      <w:kern w:val="0"/>
      <w:sz w:val="28"/>
      <w:szCs w:val="20"/>
    </w:rPr>
  </w:style>
  <w:style w:type="paragraph" w:customStyle="1" w:styleId="2160">
    <w:name w:val="項目:(一)[a]1.[a](1)[a]圈[a]A"/>
    <w:basedOn w:val="1"/>
    <w:qFormat/>
    <w:uiPriority w:val="0"/>
    <w:pPr>
      <w:widowControl/>
      <w:spacing w:line="320" w:lineRule="atLeast"/>
      <w:ind w:left="1548" w:hanging="289"/>
      <w:jc w:val="left"/>
    </w:pPr>
    <w:rPr>
      <w:rFonts w:ascii="仿宋_GB2312" w:hAnsi="仿宋_GB2312" w:eastAsia="仿宋体" w:cs="仿宋_GB2312"/>
      <w:sz w:val="22"/>
      <w:szCs w:val="20"/>
      <w:lang w:eastAsia="zh-TW"/>
    </w:rPr>
  </w:style>
  <w:style w:type="paragraph" w:customStyle="1" w:styleId="2161">
    <w:name w:val="edri-1).title"/>
    <w:basedOn w:val="1954"/>
    <w:qFormat/>
    <w:uiPriority w:val="0"/>
    <w:pPr>
      <w:ind w:left="2250" w:hanging="420"/>
      <w:outlineLvl w:val="4"/>
    </w:pPr>
  </w:style>
  <w:style w:type="paragraph" w:customStyle="1" w:styleId="2162">
    <w:name w:val="样式 样式 宋体 小四 左 行距: 固定值 24 磅 + 黑色 居中 首行缩进:  2 字符 段前: 5 磅 段后: 5..."/>
    <w:basedOn w:val="2022"/>
    <w:qFormat/>
    <w:uiPriority w:val="0"/>
    <w:pPr>
      <w:spacing w:before="100" w:after="100"/>
      <w:ind w:firstLine="0" w:firstLineChars="0"/>
      <w:jc w:val="center"/>
    </w:pPr>
    <w:rPr>
      <w:color w:val="000000"/>
    </w:rPr>
  </w:style>
  <w:style w:type="paragraph" w:customStyle="1" w:styleId="2163">
    <w:name w:val="style12 style13"/>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2164">
    <w:name w:val="5文章(治)"/>
    <w:basedOn w:val="1"/>
    <w:qFormat/>
    <w:uiPriority w:val="0"/>
    <w:pPr>
      <w:widowControl/>
      <w:ind w:firstLine="560" w:firstLineChars="200"/>
      <w:jc w:val="left"/>
    </w:pPr>
    <w:rPr>
      <w:rFonts w:ascii="Times New Roman" w:hAnsi="Times New Roman" w:eastAsia="楷体_GB2312" w:cs="Times New Roman"/>
      <w:sz w:val="28"/>
      <w:szCs w:val="20"/>
    </w:rPr>
  </w:style>
  <w:style w:type="paragraph" w:customStyle="1" w:styleId="2165">
    <w:name w:val="xl99"/>
    <w:basedOn w:val="1"/>
    <w:qFormat/>
    <w:uiPriority w:val="0"/>
    <w:pPr>
      <w:widowControl/>
      <w:pBdr>
        <w:top w:val="single" w:color="auto" w:sz="8" w:space="0"/>
        <w:left w:val="single" w:color="auto" w:sz="8" w:space="0"/>
        <w:bottom w:val="single" w:color="auto" w:sz="4" w:space="0"/>
      </w:pBdr>
      <w:spacing w:before="100" w:beforeAutospacing="1" w:after="100" w:afterAutospacing="1" w:line="240" w:lineRule="auto"/>
      <w:jc w:val="center"/>
    </w:pPr>
    <w:rPr>
      <w:rFonts w:ascii="華康中楷體" w:hAnsi="華康中楷體" w:eastAsia="華康中楷體" w:cs="華康中楷體"/>
      <w:kern w:val="0"/>
      <w:sz w:val="16"/>
      <w:szCs w:val="16"/>
    </w:rPr>
  </w:style>
  <w:style w:type="paragraph" w:customStyle="1" w:styleId="2166">
    <w:name w:val="a4"/>
    <w:basedOn w:val="1"/>
    <w:qFormat/>
    <w:uiPriority w:val="0"/>
    <w:pPr>
      <w:widowControl/>
      <w:spacing w:before="100" w:beforeAutospacing="1" w:after="100" w:afterAutospacing="1" w:line="240" w:lineRule="auto"/>
      <w:jc w:val="left"/>
    </w:pPr>
    <w:rPr>
      <w:rFonts w:ascii="華康中楷體" w:hAnsi="華康中楷體" w:eastAsia="華康中楷體" w:cs="華康中楷體"/>
      <w:kern w:val="0"/>
      <w:sz w:val="24"/>
      <w:szCs w:val="24"/>
    </w:rPr>
  </w:style>
  <w:style w:type="paragraph" w:customStyle="1" w:styleId="2167">
    <w:name w:val="正文-第几条"/>
    <w:basedOn w:val="1"/>
    <w:qFormat/>
    <w:uiPriority w:val="0"/>
    <w:pPr>
      <w:widowControl/>
      <w:tabs>
        <w:tab w:val="left" w:pos="720"/>
      </w:tabs>
      <w:ind w:left="720" w:hanging="720"/>
      <w:jc w:val="left"/>
    </w:pPr>
    <w:rPr>
      <w:rFonts w:ascii="仿宋_GB2312" w:hAnsi="仿宋_GB2312" w:eastAsia="宋体" w:cs="仿宋_GB2312"/>
      <w:sz w:val="24"/>
      <w:szCs w:val="24"/>
    </w:rPr>
  </w:style>
  <w:style w:type="paragraph" w:customStyle="1" w:styleId="2168">
    <w:name w:val="附录标识"/>
    <w:basedOn w:val="1987"/>
    <w:qFormat/>
    <w:uiPriority w:val="0"/>
    <w:pPr>
      <w:tabs>
        <w:tab w:val="clear" w:pos="903"/>
      </w:tabs>
      <w:spacing w:after="200"/>
    </w:pPr>
    <w:rPr>
      <w:sz w:val="21"/>
    </w:rPr>
  </w:style>
  <w:style w:type="paragraph" w:customStyle="1" w:styleId="2169">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華康中楷體" w:hAnsi="華康中楷體" w:eastAsia="華康中楷體" w:cs="華康中楷體"/>
      <w:kern w:val="0"/>
      <w:sz w:val="16"/>
      <w:szCs w:val="16"/>
    </w:rPr>
  </w:style>
  <w:style w:type="paragraph" w:customStyle="1" w:styleId="2170">
    <w:name w:val="列表 E"/>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171">
    <w:name w:val="样式 标题 1 + 段后: 6 磅"/>
    <w:basedOn w:val="5"/>
    <w:qFormat/>
    <w:uiPriority w:val="0"/>
    <w:pPr>
      <w:widowControl/>
      <w:numPr>
        <w:numId w:val="0"/>
      </w:numPr>
      <w:tabs>
        <w:tab w:val="left" w:pos="360"/>
      </w:tabs>
      <w:spacing w:after="120" w:line="240" w:lineRule="auto"/>
      <w:ind w:left="170" w:hanging="170"/>
      <w:jc w:val="left"/>
    </w:pPr>
    <w:rPr>
      <w:rFonts w:ascii="仿宋_GB2312" w:hAnsi="仿宋_GB2312" w:eastAsia="宋体" w:cs="Verdana"/>
      <w:color w:val="0000FF"/>
      <w:sz w:val="84"/>
      <w:szCs w:val="20"/>
    </w:rPr>
  </w:style>
  <w:style w:type="paragraph" w:customStyle="1" w:styleId="2172">
    <w:name w:val="样式 标题 2 + Times New Roman 小三 居中"/>
    <w:basedOn w:val="6"/>
    <w:qFormat/>
    <w:uiPriority w:val="0"/>
    <w:pPr>
      <w:widowControl/>
      <w:numPr>
        <w:ilvl w:val="0"/>
        <w:numId w:val="0"/>
      </w:numPr>
      <w:spacing w:beforeLines="50" w:line="415" w:lineRule="auto"/>
      <w:ind w:firstLine="538" w:firstLineChars="192"/>
    </w:pPr>
    <w:rPr>
      <w:rFonts w:ascii="仿宋_GB2312" w:hAnsi="仿宋_GB2312" w:eastAsia="楷体" w:cs="Verdana"/>
      <w:bCs w:val="0"/>
      <w:kern w:val="0"/>
      <w:sz w:val="30"/>
      <w:szCs w:val="20"/>
    </w:rPr>
  </w:style>
  <w:style w:type="paragraph" w:customStyle="1" w:styleId="2173">
    <w:name w:val="攀成钢表头"/>
    <w:basedOn w:val="1"/>
    <w:qFormat/>
    <w:uiPriority w:val="0"/>
    <w:pPr>
      <w:widowControl/>
      <w:spacing w:line="240" w:lineRule="auto"/>
      <w:jc w:val="center"/>
    </w:pPr>
    <w:rPr>
      <w:rFonts w:ascii="Times New Roman" w:hAnsi="Times New Roman" w:eastAsia="宋体" w:cs="Times New Roman"/>
      <w:b/>
      <w:color w:val="008000"/>
      <w:kern w:val="0"/>
      <w:sz w:val="24"/>
      <w:szCs w:val="20"/>
    </w:rPr>
  </w:style>
  <w:style w:type="paragraph" w:customStyle="1" w:styleId="2174">
    <w:name w:val="1pt line"/>
    <w:qFormat/>
    <w:uiPriority w:val="0"/>
    <w:pPr>
      <w:pBdr>
        <w:bottom w:val="single" w:color="auto" w:sz="8" w:space="1"/>
      </w:pBdr>
      <w:spacing w:line="20" w:lineRule="exact"/>
    </w:pPr>
    <w:rPr>
      <w:rFonts w:ascii="仿宋_GB2312" w:hAnsi="仿宋_GB2312" w:eastAsia="Times New Roman" w:cs="仿宋_GB2312"/>
      <w:lang w:val="en-US" w:eastAsia="zh-TW" w:bidi="ar-SA"/>
    </w:rPr>
  </w:style>
  <w:style w:type="paragraph" w:customStyle="1" w:styleId="2175">
    <w:name w:val="列表 2I"/>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176">
    <w:name w:val="报告书表格"/>
    <w:basedOn w:val="1"/>
    <w:qFormat/>
    <w:uiPriority w:val="0"/>
    <w:pPr>
      <w:widowControl/>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2177">
    <w:name w:val="edri-制表位13"/>
    <w:basedOn w:val="1"/>
    <w:qFormat/>
    <w:uiPriority w:val="0"/>
    <w:pPr>
      <w:widowControl/>
      <w:tabs>
        <w:tab w:val="left" w:pos="3720"/>
        <w:tab w:val="left" w:pos="3750"/>
        <w:tab w:val="left" w:pos="5220"/>
        <w:tab w:val="left" w:pos="5400"/>
      </w:tabs>
      <w:snapToGrid w:val="0"/>
      <w:ind w:left="945" w:leftChars="450" w:firstLine="898" w:firstLineChars="374"/>
      <w:jc w:val="left"/>
    </w:pPr>
    <w:rPr>
      <w:rFonts w:ascii="仿宋_GB2312" w:hAnsi="仿宋_GB2312" w:eastAsia="宋体" w:cs="方正宋三简体"/>
      <w:sz w:val="24"/>
      <w:szCs w:val="24"/>
    </w:rPr>
  </w:style>
  <w:style w:type="paragraph" w:customStyle="1" w:styleId="2178">
    <w:name w:val="样式 正文文字 +"/>
    <w:basedOn w:val="1"/>
    <w:qFormat/>
    <w:uiPriority w:val="0"/>
    <w:pPr>
      <w:widowControl/>
      <w:adjustRightInd w:val="0"/>
      <w:snapToGrid w:val="0"/>
      <w:spacing w:before="60" w:after="60" w:line="264" w:lineRule="auto"/>
      <w:ind w:firstLine="110" w:firstLineChars="110"/>
      <w:jc w:val="left"/>
      <w:textAlignment w:val="baseline"/>
    </w:pPr>
    <w:rPr>
      <w:rFonts w:ascii="仿宋_GB2312" w:hAnsi="仿宋_GB2312" w:eastAsia="Times New Roman" w:cs="仿宋_GB2312"/>
      <w:kern w:val="0"/>
      <w:sz w:val="24"/>
      <w:szCs w:val="24"/>
    </w:rPr>
  </w:style>
  <w:style w:type="paragraph" w:customStyle="1" w:styleId="2179">
    <w:name w:val="2文章"/>
    <w:basedOn w:val="2111"/>
    <w:qFormat/>
    <w:uiPriority w:val="0"/>
    <w:pPr>
      <w:ind w:left="1260" w:hanging="693"/>
    </w:pPr>
  </w:style>
  <w:style w:type="paragraph" w:customStyle="1" w:styleId="2180">
    <w:name w:val="正文（首行缩进两字）m"/>
    <w:basedOn w:val="23"/>
    <w:qFormat/>
    <w:uiPriority w:val="0"/>
    <w:pPr>
      <w:widowControl/>
      <w:spacing w:line="240" w:lineRule="auto"/>
      <w:ind w:firstLine="0" w:firstLineChars="0"/>
      <w:jc w:val="left"/>
    </w:pPr>
    <w:rPr>
      <w:rFonts w:ascii="Calibri" w:hAnsi="Calibri"/>
      <w:sz w:val="21"/>
      <w:szCs w:val="20"/>
    </w:rPr>
  </w:style>
  <w:style w:type="paragraph" w:customStyle="1" w:styleId="2181">
    <w:name w:val="列表 5J"/>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182">
    <w:name w:val="表标"/>
    <w:next w:val="1"/>
    <w:qFormat/>
    <w:uiPriority w:val="0"/>
    <w:pPr>
      <w:tabs>
        <w:tab w:val="left" w:pos="8207"/>
      </w:tabs>
      <w:adjustRightInd w:val="0"/>
      <w:snapToGrid w:val="0"/>
      <w:spacing w:before="120" w:line="312" w:lineRule="auto"/>
      <w:jc w:val="center"/>
      <w:textAlignment w:val="baseline"/>
    </w:pPr>
    <w:rPr>
      <w:rFonts w:ascii="Times New Roman" w:hAnsi="Times New Roman" w:eastAsia="黑体" w:cs="Times New Roman"/>
      <w:kern w:val="2"/>
      <w:sz w:val="24"/>
      <w:lang w:val="en-US" w:eastAsia="zh-CN" w:bidi="ar-SA"/>
    </w:rPr>
  </w:style>
  <w:style w:type="paragraph" w:customStyle="1" w:styleId="2183">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2184">
    <w:name w:val="正文文本 2111"/>
    <w:basedOn w:val="1"/>
    <w:qFormat/>
    <w:uiPriority w:val="0"/>
    <w:pPr>
      <w:widowControl/>
      <w:adjustRightInd w:val="0"/>
      <w:spacing w:line="240" w:lineRule="auto"/>
      <w:ind w:left="425"/>
      <w:jc w:val="left"/>
      <w:textAlignment w:val="baseline"/>
    </w:pPr>
    <w:rPr>
      <w:rFonts w:ascii="Verdana" w:hAnsi="仿宋_GB2312" w:eastAsia="宋体" w:cs="仿宋_GB2312"/>
      <w:kern w:val="0"/>
      <w:sz w:val="24"/>
      <w:szCs w:val="20"/>
    </w:rPr>
  </w:style>
  <w:style w:type="paragraph" w:customStyle="1" w:styleId="2185">
    <w:name w:val="xl100"/>
    <w:basedOn w:val="1"/>
    <w:qFormat/>
    <w:uiPriority w:val="0"/>
    <w:pPr>
      <w:widowControl/>
      <w:pBdr>
        <w:top w:val="single" w:color="auto" w:sz="8" w:space="0"/>
        <w:bottom w:val="single" w:color="auto" w:sz="4" w:space="0"/>
        <w:right w:val="single" w:color="auto" w:sz="8" w:space="0"/>
      </w:pBdr>
      <w:spacing w:before="100" w:beforeAutospacing="1" w:after="100" w:afterAutospacing="1" w:line="240" w:lineRule="auto"/>
      <w:jc w:val="left"/>
    </w:pPr>
    <w:rPr>
      <w:rFonts w:ascii="華康中楷體" w:hAnsi="華康中楷體" w:eastAsia="華康中楷體" w:cs="華康中楷體"/>
      <w:kern w:val="0"/>
      <w:sz w:val="24"/>
      <w:szCs w:val="24"/>
    </w:rPr>
  </w:style>
  <w:style w:type="paragraph" w:customStyle="1" w:styleId="2186">
    <w:name w:val="附图"/>
    <w:basedOn w:val="1"/>
    <w:qFormat/>
    <w:uiPriority w:val="0"/>
    <w:pPr>
      <w:widowControl/>
      <w:spacing w:line="240" w:lineRule="atLeast"/>
      <w:jc w:val="center"/>
    </w:pPr>
    <w:rPr>
      <w:rFonts w:ascii="Times New Roman" w:hAnsi="Times New Roman" w:eastAsia="宋体" w:cs="Times New Roman"/>
      <w:szCs w:val="20"/>
    </w:rPr>
  </w:style>
  <w:style w:type="paragraph" w:customStyle="1" w:styleId="2187">
    <w:name w:val="edri-制表位1"/>
    <w:basedOn w:val="1"/>
    <w:qFormat/>
    <w:uiPriority w:val="0"/>
    <w:pPr>
      <w:widowControl/>
      <w:tabs>
        <w:tab w:val="left" w:pos="4620"/>
      </w:tabs>
      <w:snapToGrid w:val="0"/>
      <w:ind w:left="363" w:leftChars="173" w:firstLine="1440" w:firstLineChars="600"/>
      <w:jc w:val="left"/>
    </w:pPr>
    <w:rPr>
      <w:rFonts w:ascii="仿宋_GB2312" w:hAnsi="仿宋_GB2312" w:eastAsia="宋体" w:cs="仿宋_GB2312"/>
      <w:sz w:val="24"/>
      <w:szCs w:val="24"/>
    </w:rPr>
  </w:style>
  <w:style w:type="paragraph" w:customStyle="1" w:styleId="2188">
    <w:name w:val="zhengwen"/>
    <w:basedOn w:val="1"/>
    <w:qFormat/>
    <w:uiPriority w:val="0"/>
    <w:pPr>
      <w:widowControl/>
      <w:spacing w:before="100" w:beforeAutospacing="1" w:after="100" w:afterAutospacing="1" w:line="240" w:lineRule="auto"/>
      <w:jc w:val="left"/>
    </w:pPr>
    <w:rPr>
      <w:rFonts w:ascii="宋体" w:hAnsi="宋体" w:eastAsia="宋体" w:cs="Times New Roman"/>
      <w:kern w:val="0"/>
      <w:sz w:val="24"/>
      <w:szCs w:val="24"/>
    </w:rPr>
  </w:style>
  <w:style w:type="paragraph" w:customStyle="1" w:styleId="2189">
    <w:name w:val="样式（二级目录）"/>
    <w:basedOn w:val="7"/>
    <w:qFormat/>
    <w:uiPriority w:val="0"/>
    <w:pPr>
      <w:widowControl/>
      <w:numPr>
        <w:ilvl w:val="0"/>
        <w:numId w:val="0"/>
      </w:numPr>
      <w:adjustRightInd w:val="0"/>
      <w:snapToGrid w:val="0"/>
      <w:spacing w:before="0" w:after="0" w:line="360" w:lineRule="auto"/>
    </w:pPr>
    <w:rPr>
      <w:rFonts w:hAnsi="宋体" w:eastAsia="Times New Roman" w:cs="Times New Roman"/>
      <w:bCs w:val="0"/>
      <w:color w:val="0000FF"/>
    </w:rPr>
  </w:style>
  <w:style w:type="paragraph" w:customStyle="1" w:styleId="2190">
    <w:name w:val="hangju"/>
    <w:basedOn w:val="1"/>
    <w:qFormat/>
    <w:uiPriority w:val="0"/>
    <w:pPr>
      <w:widowControl/>
      <w:spacing w:before="100" w:beforeAutospacing="1" w:after="100" w:afterAutospacing="1" w:line="400" w:lineRule="atLeast"/>
      <w:jc w:val="left"/>
    </w:pPr>
    <w:rPr>
      <w:rFonts w:ascii="Verdana" w:hAnsi="Verdana" w:eastAsia="宋体" w:cs="仿宋_GB2312"/>
      <w:kern w:val="0"/>
      <w:sz w:val="24"/>
      <w:szCs w:val="24"/>
    </w:rPr>
  </w:style>
  <w:style w:type="paragraph" w:customStyle="1" w:styleId="2191">
    <w:name w:val="样式 行距: 1.5 倍行距"/>
    <w:basedOn w:val="1"/>
    <w:qFormat/>
    <w:uiPriority w:val="0"/>
    <w:pPr>
      <w:widowControl/>
      <w:ind w:firstLine="200" w:firstLineChars="200"/>
      <w:jc w:val="left"/>
    </w:pPr>
    <w:rPr>
      <w:rFonts w:ascii="Times New Roman" w:hAnsi="Times New Roman" w:eastAsia="宋体" w:cs="宋体"/>
      <w:sz w:val="24"/>
      <w:szCs w:val="24"/>
    </w:rPr>
  </w:style>
  <w:style w:type="paragraph" w:customStyle="1" w:styleId="2192">
    <w:name w:val="brdrw15brsp20 tqctx4153t"/>
    <w:qFormat/>
    <w:uiPriority w:val="0"/>
    <w:pPr>
      <w:widowControl w:val="0"/>
      <w:pBdr>
        <w:bottom w:val="single" w:color="auto" w:sz="6" w:space="0"/>
      </w:pBdr>
      <w:adjustRightInd w:val="0"/>
      <w:spacing w:line="312" w:lineRule="atLeast"/>
      <w:jc w:val="center"/>
    </w:pPr>
    <w:rPr>
      <w:rFonts w:ascii="仿宋_GB2312" w:hAnsi="仿宋_GB2312" w:eastAsia="宋体" w:cs="仿宋_GB2312"/>
      <w:sz w:val="21"/>
      <w:lang w:val="en-US" w:eastAsia="zh-CN" w:bidi="ar-SA"/>
    </w:rPr>
  </w:style>
  <w:style w:type="paragraph" w:customStyle="1" w:styleId="2193">
    <w:name w:val="表题格式"/>
    <w:basedOn w:val="1"/>
    <w:qFormat/>
    <w:uiPriority w:val="0"/>
    <w:pPr>
      <w:widowControl/>
      <w:spacing w:line="440" w:lineRule="exact"/>
      <w:ind w:firstLine="377" w:firstLineChars="377"/>
      <w:jc w:val="left"/>
    </w:pPr>
    <w:rPr>
      <w:rFonts w:ascii="仿宋_GB2312" w:hAnsi="仿宋_GB2312" w:eastAsia="楷体" w:cs="仿宋_GB2312"/>
      <w:kern w:val="0"/>
      <w:sz w:val="24"/>
      <w:szCs w:val="20"/>
    </w:rPr>
  </w:style>
  <w:style w:type="paragraph" w:customStyle="1" w:styleId="2194">
    <w:name w:val="Body Text 21"/>
    <w:basedOn w:val="1"/>
    <w:qFormat/>
    <w:uiPriority w:val="0"/>
    <w:pPr>
      <w:widowControl/>
      <w:adjustRightInd w:val="0"/>
      <w:spacing w:line="500" w:lineRule="exact"/>
      <w:jc w:val="left"/>
      <w:textAlignment w:val="baseline"/>
    </w:pPr>
    <w:rPr>
      <w:rFonts w:ascii="仿宋_GB2312" w:hAnsi="仿宋_GB2312" w:eastAsia="华文仿宋" w:cs="仿宋_GB2312"/>
      <w:sz w:val="24"/>
      <w:szCs w:val="20"/>
    </w:rPr>
  </w:style>
  <w:style w:type="paragraph" w:customStyle="1" w:styleId="2195">
    <w:name w:val="编号"/>
    <w:basedOn w:val="1"/>
    <w:qFormat/>
    <w:uiPriority w:val="0"/>
    <w:pPr>
      <w:widowControl/>
      <w:adjustRightInd w:val="0"/>
      <w:spacing w:line="240" w:lineRule="auto"/>
      <w:ind w:left="1200" w:hanging="600"/>
      <w:jc w:val="left"/>
      <w:textAlignment w:val="baseline"/>
    </w:pPr>
    <w:rPr>
      <w:rFonts w:ascii="MHei-Medium" w:hAnsi="MHei-Medium" w:eastAsia="宋体" w:cs="仿宋_GB2312"/>
      <w:kern w:val="0"/>
      <w:sz w:val="24"/>
      <w:szCs w:val="20"/>
    </w:rPr>
  </w:style>
  <w:style w:type="paragraph" w:customStyle="1" w:styleId="2196">
    <w:name w:val="Bullet_Indent"/>
    <w:basedOn w:val="1"/>
    <w:qFormat/>
    <w:uiPriority w:val="0"/>
    <w:pPr>
      <w:widowControl/>
      <w:adjustRightInd w:val="0"/>
      <w:snapToGrid w:val="0"/>
      <w:spacing w:after="240"/>
      <w:ind w:left="1440" w:hanging="720"/>
      <w:jc w:val="left"/>
    </w:pPr>
    <w:rPr>
      <w:rFonts w:ascii="仿宋_GB2312" w:hAnsi="仿宋_GB2312" w:eastAsia="宋体" w:cs="仿宋_GB2312"/>
      <w:kern w:val="0"/>
      <w:sz w:val="24"/>
      <w:szCs w:val="20"/>
    </w:rPr>
  </w:style>
  <w:style w:type="paragraph" w:customStyle="1" w:styleId="2197">
    <w:name w:val="标题3.5"/>
    <w:basedOn w:val="1"/>
    <w:qFormat/>
    <w:uiPriority w:val="0"/>
    <w:pPr>
      <w:widowControl/>
      <w:spacing w:line="240" w:lineRule="auto"/>
      <w:jc w:val="left"/>
    </w:pPr>
    <w:rPr>
      <w:rFonts w:ascii="Times New Roman" w:hAnsi="Times New Roman" w:eastAsia="仿宋_GB2312" w:cs="Times New Roman"/>
      <w:sz w:val="24"/>
      <w:szCs w:val="24"/>
    </w:rPr>
  </w:style>
  <w:style w:type="paragraph" w:customStyle="1" w:styleId="2198">
    <w:name w:val="Date1"/>
    <w:basedOn w:val="1"/>
    <w:next w:val="1"/>
    <w:qFormat/>
    <w:uiPriority w:val="0"/>
    <w:pPr>
      <w:widowControl/>
      <w:adjustRightInd w:val="0"/>
      <w:spacing w:line="240" w:lineRule="auto"/>
      <w:jc w:val="left"/>
      <w:textAlignment w:val="baseline"/>
    </w:pPr>
    <w:rPr>
      <w:rFonts w:ascii="Times New Roman" w:hAnsi="Times New Roman" w:eastAsia="宋体" w:cs="Times New Roman"/>
      <w:szCs w:val="20"/>
    </w:rPr>
  </w:style>
  <w:style w:type="paragraph" w:customStyle="1" w:styleId="2199">
    <w:name w:val="标标题4.7"/>
    <w:basedOn w:val="1"/>
    <w:qFormat/>
    <w:uiPriority w:val="0"/>
    <w:pPr>
      <w:widowControl/>
      <w:tabs>
        <w:tab w:val="center" w:pos="4060"/>
        <w:tab w:val="right" w:pos="8261"/>
      </w:tabs>
      <w:suppressAutoHyphens/>
      <w:adjustRightInd w:val="0"/>
      <w:snapToGrid w:val="0"/>
      <w:jc w:val="center"/>
    </w:pPr>
    <w:rPr>
      <w:rFonts w:ascii="Times New Roman" w:hAnsi="Times New Roman" w:eastAsia="宋体" w:cs="Times New Roman"/>
      <w:spacing w:val="6"/>
      <w:kern w:val="0"/>
      <w:sz w:val="24"/>
      <w:szCs w:val="26"/>
    </w:rPr>
  </w:style>
  <w:style w:type="paragraph" w:customStyle="1" w:styleId="2200">
    <w:name w:val="尾注文本11"/>
    <w:basedOn w:val="1"/>
    <w:qFormat/>
    <w:uiPriority w:val="0"/>
    <w:pPr>
      <w:widowControl/>
      <w:adjustRightInd w:val="0"/>
      <w:spacing w:line="360" w:lineRule="atLeast"/>
      <w:jc w:val="left"/>
      <w:textAlignment w:val="baseline"/>
    </w:pPr>
    <w:rPr>
      <w:rFonts w:ascii="Verdana" w:hAnsi="仿宋_GB2312" w:eastAsia="宋体" w:cs="仿宋_GB2312"/>
      <w:kern w:val="0"/>
      <w:szCs w:val="20"/>
    </w:rPr>
  </w:style>
  <w:style w:type="paragraph" w:customStyle="1" w:styleId="2201">
    <w:name w:val="样式 标题 3 + 黑色 Char Char Char"/>
    <w:basedOn w:val="7"/>
    <w:qFormat/>
    <w:uiPriority w:val="0"/>
    <w:pPr>
      <w:keepNext w:val="0"/>
      <w:keepLines w:val="0"/>
      <w:widowControl/>
      <w:numPr>
        <w:ilvl w:val="0"/>
        <w:numId w:val="0"/>
      </w:numPr>
      <w:tabs>
        <w:tab w:val="left" w:pos="1260"/>
      </w:tabs>
      <w:adjustRightInd w:val="0"/>
      <w:snapToGrid w:val="0"/>
      <w:spacing w:before="0" w:after="0" w:line="360" w:lineRule="auto"/>
      <w:ind w:left="567" w:hanging="420"/>
    </w:pPr>
    <w:rPr>
      <w:rFonts w:ascii="仿宋_GB2312" w:hAnsi="Verdana" w:eastAsia="宋体" w:cs="仿宋_GB2312"/>
      <w:b w:val="0"/>
      <w:bCs w:val="0"/>
      <w:color w:val="000000"/>
    </w:rPr>
  </w:style>
  <w:style w:type="paragraph" w:customStyle="1" w:styleId="2202">
    <w:name w:val="ｲﾝﾃﾞﾝﾄ-2"/>
    <w:basedOn w:val="1"/>
    <w:qFormat/>
    <w:uiPriority w:val="0"/>
    <w:pPr>
      <w:widowControl/>
      <w:spacing w:line="360" w:lineRule="atLeast"/>
      <w:ind w:left="737"/>
      <w:jc w:val="left"/>
    </w:pPr>
    <w:rPr>
      <w:rFonts w:ascii="Times New Roman" w:hAnsi="楷体_GB2312" w:eastAsia="宋体" w:cs="仿宋_GB2312"/>
      <w:szCs w:val="20"/>
      <w:lang w:eastAsia="ja-JP"/>
    </w:rPr>
  </w:style>
  <w:style w:type="paragraph" w:customStyle="1" w:styleId="2203">
    <w:name w:val="列表 4U"/>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04">
    <w:name w:val="表8.1-1"/>
    <w:basedOn w:val="1"/>
    <w:qFormat/>
    <w:uiPriority w:val="0"/>
    <w:pPr>
      <w:widowControl/>
      <w:tabs>
        <w:tab w:val="left" w:pos="720"/>
        <w:tab w:val="left" w:pos="3480"/>
      </w:tabs>
      <w:adjustRightInd w:val="0"/>
      <w:snapToGrid w:val="0"/>
      <w:spacing w:beforeLines="100" w:line="240" w:lineRule="atLeast"/>
      <w:ind w:left="2820" w:hanging="360"/>
      <w:jc w:val="center"/>
    </w:pPr>
    <w:rPr>
      <w:rFonts w:ascii="黑体" w:hAnsi="Times New Roman" w:eastAsia="黑体" w:cs="Times New Roman"/>
      <w:b/>
      <w:sz w:val="24"/>
      <w:szCs w:val="20"/>
    </w:rPr>
  </w:style>
  <w:style w:type="paragraph" w:customStyle="1" w:styleId="2205">
    <w:name w:val="列表 2M"/>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06">
    <w:name w:val="列表 C"/>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07">
    <w:name w:val="样式 标题 1 + 黑体 三号"/>
    <w:basedOn w:val="5"/>
    <w:qFormat/>
    <w:uiPriority w:val="0"/>
    <w:pPr>
      <w:widowControl/>
      <w:numPr>
        <w:numId w:val="0"/>
      </w:numPr>
      <w:topLinePunct/>
      <w:autoSpaceDE w:val="0"/>
      <w:autoSpaceDN w:val="0"/>
      <w:adjustRightInd w:val="0"/>
      <w:snapToGrid w:val="0"/>
      <w:spacing w:line="240" w:lineRule="auto"/>
      <w:ind w:firstLine="538" w:firstLineChars="224"/>
      <w:jc w:val="left"/>
    </w:pPr>
    <w:rPr>
      <w:rFonts w:ascii="楷体" w:hAnsi="楷体" w:eastAsia="楷体" w:cs="仿宋_GB2312"/>
      <w:b w:val="0"/>
      <w:bCs w:val="0"/>
      <w:sz w:val="24"/>
    </w:rPr>
  </w:style>
  <w:style w:type="paragraph" w:customStyle="1" w:styleId="2208">
    <w:name w:val="正文（首行缩进）"/>
    <w:basedOn w:val="1"/>
    <w:qFormat/>
    <w:uiPriority w:val="0"/>
    <w:pPr>
      <w:widowControl/>
      <w:ind w:firstLine="480" w:firstLineChars="200"/>
      <w:jc w:val="left"/>
    </w:pPr>
    <w:rPr>
      <w:rFonts w:ascii="Verdana" w:hAnsi="Verdana" w:eastAsia="宋体" w:cs="仿宋_GB2312"/>
      <w:color w:val="000000"/>
      <w:sz w:val="24"/>
      <w:szCs w:val="20"/>
    </w:rPr>
  </w:style>
  <w:style w:type="paragraph" w:customStyle="1" w:styleId="2209">
    <w:name w:val="规划正文样式"/>
    <w:basedOn w:val="1"/>
    <w:qFormat/>
    <w:uiPriority w:val="0"/>
    <w:pPr>
      <w:widowControl/>
      <w:spacing w:line="400" w:lineRule="exact"/>
      <w:ind w:firstLine="480" w:firstLineChars="200"/>
      <w:jc w:val="left"/>
    </w:pPr>
    <w:rPr>
      <w:rFonts w:ascii="仿宋_GB2312" w:hAnsi="仿宋_GB2312" w:eastAsia="宋体" w:cs="仿宋_GB2312"/>
      <w:sz w:val="24"/>
      <w:szCs w:val="24"/>
    </w:rPr>
  </w:style>
  <w:style w:type="paragraph" w:customStyle="1" w:styleId="2210">
    <w:name w:val="inhalt1"/>
    <w:basedOn w:val="1"/>
    <w:qFormat/>
    <w:uiPriority w:val="0"/>
    <w:pPr>
      <w:widowControl/>
      <w:spacing w:before="100" w:beforeAutospacing="1" w:after="100" w:afterAutospacing="1" w:line="240" w:lineRule="auto"/>
      <w:jc w:val="left"/>
    </w:pPr>
    <w:rPr>
      <w:rFonts w:ascii="Verdana" w:hAnsi="Verdana" w:eastAsia="宋体" w:cs="仿宋_GB2312"/>
      <w:color w:val="000000"/>
      <w:kern w:val="0"/>
      <w:sz w:val="24"/>
      <w:szCs w:val="24"/>
    </w:rPr>
  </w:style>
  <w:style w:type="paragraph" w:customStyle="1" w:styleId="2211">
    <w:name w:val="Normal1"/>
    <w:qFormat/>
    <w:uiPriority w:val="0"/>
    <w:pPr>
      <w:widowControl w:val="0"/>
      <w:adjustRightInd w:val="0"/>
      <w:spacing w:line="360" w:lineRule="atLeast"/>
      <w:textAlignment w:val="baseline"/>
    </w:pPr>
    <w:rPr>
      <w:rFonts w:ascii="Verdana" w:hAnsi="仿宋_GB2312" w:eastAsia="宋体" w:cs="仿宋_GB2312"/>
      <w:sz w:val="34"/>
      <w:lang w:val="en-US" w:eastAsia="zh-CN" w:bidi="ar-SA"/>
    </w:rPr>
  </w:style>
  <w:style w:type="paragraph" w:customStyle="1" w:styleId="2212">
    <w:name w:val="表格文字中"/>
    <w:basedOn w:val="1"/>
    <w:qFormat/>
    <w:uiPriority w:val="0"/>
    <w:pPr>
      <w:widowControl/>
      <w:tabs>
        <w:tab w:val="left" w:pos="1727"/>
        <w:tab w:val="left" w:pos="1884"/>
      </w:tabs>
      <w:adjustRightInd w:val="0"/>
      <w:snapToGrid w:val="0"/>
      <w:spacing w:line="240" w:lineRule="auto"/>
      <w:jc w:val="center"/>
    </w:pPr>
    <w:rPr>
      <w:rFonts w:ascii="宋体" w:hAnsi="宋体" w:eastAsia="宋体" w:cs="Times New Roman"/>
      <w:color w:val="000000"/>
      <w:kern w:val="0"/>
      <w:sz w:val="24"/>
      <w:szCs w:val="24"/>
    </w:rPr>
  </w:style>
  <w:style w:type="paragraph" w:customStyle="1" w:styleId="2213">
    <w:name w:val="正文样式3"/>
    <w:basedOn w:val="1"/>
    <w:qFormat/>
    <w:uiPriority w:val="0"/>
    <w:pPr>
      <w:keepLines/>
      <w:widowControl/>
      <w:adjustRightInd w:val="0"/>
      <w:spacing w:line="20" w:lineRule="atLeast"/>
      <w:jc w:val="center"/>
      <w:textAlignment w:val="baseline"/>
    </w:pPr>
    <w:rPr>
      <w:rFonts w:ascii="仿宋_GB2312" w:hAnsi="仿宋_GB2312" w:eastAsia="宋体" w:cs="仿宋_GB2312"/>
      <w:kern w:val="0"/>
      <w:sz w:val="24"/>
      <w:szCs w:val="20"/>
    </w:rPr>
  </w:style>
  <w:style w:type="paragraph" w:customStyle="1" w:styleId="2214">
    <w:name w:val="横线"/>
    <w:basedOn w:val="23"/>
    <w:qFormat/>
    <w:uiPriority w:val="0"/>
    <w:pPr>
      <w:widowControl/>
      <w:spacing w:line="240" w:lineRule="auto"/>
      <w:ind w:firstLine="0" w:firstLineChars="0"/>
      <w:jc w:val="left"/>
    </w:pPr>
    <w:rPr>
      <w:rFonts w:ascii="Calibri" w:hAnsi="Calibri"/>
      <w:sz w:val="21"/>
      <w:szCs w:val="20"/>
    </w:rPr>
  </w:style>
  <w:style w:type="paragraph" w:customStyle="1" w:styleId="2215">
    <w:name w:val="indent"/>
    <w:basedOn w:val="1"/>
    <w:qFormat/>
    <w:uiPriority w:val="0"/>
    <w:pPr>
      <w:widowControl/>
      <w:spacing w:before="100" w:beforeAutospacing="1" w:after="100" w:afterAutospacing="1" w:line="240" w:lineRule="auto"/>
      <w:ind w:firstLine="525"/>
      <w:jc w:val="left"/>
    </w:pPr>
    <w:rPr>
      <w:rFonts w:ascii="Verdana" w:hAnsi="Verdana" w:eastAsia="宋体" w:cs="Verdana"/>
      <w:kern w:val="0"/>
      <w:sz w:val="24"/>
      <w:szCs w:val="24"/>
    </w:rPr>
  </w:style>
  <w:style w:type="paragraph" w:customStyle="1" w:styleId="2216">
    <w:name w:val="Char Char Char1 Char Char Char Char Char Char Char Char Char Char Char Char Char"/>
    <w:basedOn w:val="1"/>
    <w:qFormat/>
    <w:uiPriority w:val="0"/>
    <w:pPr>
      <w:widowControl/>
      <w:spacing w:line="240" w:lineRule="auto"/>
      <w:jc w:val="left"/>
    </w:pPr>
    <w:rPr>
      <w:rFonts w:ascii="Times New Roman" w:hAnsi="Times New Roman" w:eastAsia="宋体" w:cs="Times New Roman"/>
      <w:sz w:val="24"/>
      <w:szCs w:val="24"/>
    </w:rPr>
  </w:style>
  <w:style w:type="paragraph" w:customStyle="1" w:styleId="2217">
    <w:name w:val="表格样式"/>
    <w:basedOn w:val="1"/>
    <w:qFormat/>
    <w:uiPriority w:val="0"/>
    <w:pPr>
      <w:widowControl/>
      <w:adjustRightInd w:val="0"/>
      <w:snapToGrid w:val="0"/>
      <w:spacing w:line="240" w:lineRule="auto"/>
      <w:jc w:val="center"/>
      <w:textAlignment w:val="baseline"/>
    </w:pPr>
    <w:rPr>
      <w:rFonts w:ascii="Verdana" w:hAnsi="仿宋_GB2312" w:eastAsia="宋体" w:cs="仿宋_GB2312"/>
      <w:color w:val="000000"/>
      <w:kern w:val="0"/>
      <w:sz w:val="24"/>
      <w:szCs w:val="20"/>
    </w:rPr>
  </w:style>
  <w:style w:type="paragraph" w:customStyle="1" w:styleId="2218">
    <w:name w:val="样式 标题 3小标题小节标题标题3H3h33rd level第二层条标题4标题 3 Char标题 3 Cha..."/>
    <w:basedOn w:val="7"/>
    <w:qFormat/>
    <w:uiPriority w:val="0"/>
    <w:pPr>
      <w:widowControl/>
      <w:numPr>
        <w:ilvl w:val="0"/>
        <w:numId w:val="0"/>
      </w:numPr>
      <w:tabs>
        <w:tab w:val="left" w:pos="851"/>
        <w:tab w:val="left" w:pos="1364"/>
      </w:tabs>
      <w:adjustRightInd w:val="0"/>
      <w:spacing w:before="120" w:after="120" w:line="240" w:lineRule="auto"/>
      <w:ind w:left="1135" w:hanging="1"/>
      <w:textAlignment w:val="baseline"/>
    </w:pPr>
    <w:rPr>
      <w:rFonts w:ascii="仿宋_GB2312" w:hAnsi="Verdana" w:eastAsia="宋体" w:cs="Verdana"/>
      <w:color w:val="000000"/>
      <w:kern w:val="32"/>
      <w:sz w:val="32"/>
    </w:rPr>
  </w:style>
  <w:style w:type="paragraph" w:customStyle="1" w:styleId="2219">
    <w:name w:val="样式 标题 1 + 黑体 三号 居中 行距: 固定值 20 磅"/>
    <w:basedOn w:val="5"/>
    <w:qFormat/>
    <w:uiPriority w:val="0"/>
    <w:pPr>
      <w:widowControl/>
      <w:numPr>
        <w:numId w:val="0"/>
      </w:numPr>
      <w:topLinePunct/>
      <w:autoSpaceDE w:val="0"/>
      <w:autoSpaceDN w:val="0"/>
      <w:adjustRightInd w:val="0"/>
      <w:snapToGrid w:val="0"/>
      <w:spacing w:line="400" w:lineRule="exact"/>
      <w:ind w:firstLine="538" w:firstLineChars="224"/>
      <w:jc w:val="left"/>
    </w:pPr>
    <w:rPr>
      <w:rFonts w:ascii="楷体" w:hAnsi="楷体" w:eastAsia="楷体" w:cs="Verdana"/>
      <w:b w:val="0"/>
      <w:bCs w:val="0"/>
      <w:sz w:val="24"/>
      <w:szCs w:val="20"/>
    </w:rPr>
  </w:style>
  <w:style w:type="paragraph" w:customStyle="1" w:styleId="2220">
    <w:name w:val="页脚11"/>
    <w:basedOn w:val="1086"/>
    <w:qFormat/>
    <w:uiPriority w:val="0"/>
    <w:pPr>
      <w:tabs>
        <w:tab w:val="center" w:pos="4153"/>
        <w:tab w:val="right" w:pos="8306"/>
      </w:tabs>
      <w:adjustRightInd w:val="0"/>
      <w:spacing w:line="240" w:lineRule="atLeast"/>
      <w:ind w:firstLine="0" w:firstLineChars="0"/>
      <w:textAlignment w:val="baseline"/>
    </w:pPr>
    <w:rPr>
      <w:rFonts w:ascii="Verdana" w:hAnsi="仿宋_GB2312" w:cs="仿宋_GB2312"/>
      <w:kern w:val="0"/>
      <w:sz w:val="18"/>
      <w:szCs w:val="20"/>
    </w:rPr>
  </w:style>
  <w:style w:type="paragraph" w:customStyle="1" w:styleId="2221">
    <w:name w:val="列表 3M"/>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22">
    <w:name w:val="样式 标题2　自动设置"/>
    <w:basedOn w:val="6"/>
    <w:qFormat/>
    <w:uiPriority w:val="0"/>
    <w:pPr>
      <w:widowControl/>
      <w:numPr>
        <w:ilvl w:val="0"/>
        <w:numId w:val="0"/>
      </w:numPr>
      <w:spacing w:beforeLines="50" w:afterLines="50" w:line="240" w:lineRule="auto"/>
      <w:ind w:left="576" w:hanging="576"/>
      <w:jc w:val="both"/>
    </w:pPr>
    <w:rPr>
      <w:rFonts w:ascii="Verdana" w:hAnsi="Verdana" w:eastAsia="Times New Roman" w:cs="Verdana"/>
      <w:kern w:val="0"/>
      <w:szCs w:val="20"/>
    </w:rPr>
  </w:style>
  <w:style w:type="paragraph" w:customStyle="1" w:styleId="2223">
    <w:name w:val="列表 3L"/>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24">
    <w:name w:val="湛江钢铁表标题"/>
    <w:basedOn w:val="1"/>
    <w:qFormat/>
    <w:uiPriority w:val="0"/>
    <w:pPr>
      <w:widowControl/>
      <w:spacing w:beforeLines="50"/>
      <w:ind w:firstLine="480" w:firstLineChars="200"/>
      <w:jc w:val="center"/>
    </w:pPr>
    <w:rPr>
      <w:rFonts w:ascii="仿宋_GB2312" w:hAnsi="仿宋_GB2312" w:eastAsia="Times New Roman" w:cs="仿宋_GB2312"/>
      <w:color w:val="000000"/>
      <w:kern w:val="0"/>
      <w:sz w:val="24"/>
      <w:szCs w:val="24"/>
    </w:rPr>
  </w:style>
  <w:style w:type="paragraph" w:customStyle="1" w:styleId="2225">
    <w:name w:val="121111111111"/>
    <w:basedOn w:val="1"/>
    <w:qFormat/>
    <w:uiPriority w:val="0"/>
    <w:pPr>
      <w:widowControl/>
      <w:spacing w:line="460" w:lineRule="exact"/>
      <w:jc w:val="center"/>
    </w:pPr>
    <w:rPr>
      <w:rFonts w:ascii="Times New Roman" w:hAnsi="Times New Roman" w:eastAsia="黑体" w:cs="Times New Roman"/>
      <w:color w:val="000000"/>
      <w:spacing w:val="16"/>
      <w:sz w:val="24"/>
      <w:szCs w:val="24"/>
    </w:rPr>
  </w:style>
  <w:style w:type="paragraph" w:customStyle="1" w:styleId="2226">
    <w:name w:val="ttxtl"/>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227">
    <w:name w:val="表前文字"/>
    <w:basedOn w:val="1"/>
    <w:qFormat/>
    <w:uiPriority w:val="0"/>
    <w:pPr>
      <w:widowControl/>
      <w:spacing w:line="240" w:lineRule="auto"/>
      <w:jc w:val="center"/>
    </w:pPr>
    <w:rPr>
      <w:rFonts w:ascii="仿宋_GB2312" w:hAnsi="仿宋_GB2312" w:eastAsia="宋体" w:cs="仿宋_GB2312"/>
      <w:sz w:val="24"/>
      <w:szCs w:val="24"/>
    </w:rPr>
  </w:style>
  <w:style w:type="paragraph" w:customStyle="1" w:styleId="2228">
    <w:name w:val="style14"/>
    <w:basedOn w:val="1"/>
    <w:qFormat/>
    <w:uiPriority w:val="0"/>
    <w:pPr>
      <w:widowControl/>
      <w:spacing w:before="100" w:beforeAutospacing="1" w:after="100" w:afterAutospacing="1" w:line="240" w:lineRule="auto"/>
      <w:jc w:val="left"/>
    </w:pPr>
    <w:rPr>
      <w:rFonts w:ascii="宋体" w:hAnsi="宋体" w:eastAsia="宋体" w:cs="宋体"/>
      <w:b/>
      <w:bCs/>
      <w:color w:val="FFFFCC"/>
      <w:kern w:val="0"/>
      <w:sz w:val="24"/>
      <w:szCs w:val="24"/>
    </w:rPr>
  </w:style>
  <w:style w:type="paragraph" w:customStyle="1" w:styleId="2229">
    <w:name w:val="列表 2V"/>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30">
    <w:name w:val="样式 标题 2第一层条H2h2 + 左侧:  0 厘米 首行缩进:  0 厘米"/>
    <w:basedOn w:val="6"/>
    <w:qFormat/>
    <w:uiPriority w:val="0"/>
    <w:pPr>
      <w:widowControl/>
      <w:numPr>
        <w:ilvl w:val="0"/>
        <w:numId w:val="0"/>
      </w:numPr>
      <w:adjustRightInd w:val="0"/>
      <w:spacing w:beforeLines="50" w:after="120" w:line="240" w:lineRule="auto"/>
      <w:ind w:left="737" w:hanging="737"/>
      <w:textAlignment w:val="baseline"/>
    </w:pPr>
    <w:rPr>
      <w:rFonts w:ascii="仿宋_GB2312" w:hAnsi="仿宋_GB2312" w:eastAsia="楷体" w:cs="Verdana"/>
      <w:color w:val="0000FF"/>
      <w:kern w:val="32"/>
      <w:sz w:val="32"/>
      <w:szCs w:val="20"/>
    </w:rPr>
  </w:style>
  <w:style w:type="paragraph" w:customStyle="1" w:styleId="2231">
    <w:name w:val="表体宋旭峰"/>
    <w:basedOn w:val="46"/>
    <w:qFormat/>
    <w:uiPriority w:val="0"/>
    <w:pPr>
      <w:widowControl/>
      <w:overflowPunct w:val="0"/>
      <w:spacing w:line="280" w:lineRule="atLeast"/>
      <w:ind w:firstLine="0" w:firstLineChars="0"/>
      <w:jc w:val="center"/>
      <w:textAlignment w:val="baseline"/>
    </w:pPr>
    <w:rPr>
      <w:rFonts w:ascii="Verdana" w:hAnsi="MHei-Medium" w:cs="MHei-Medium"/>
      <w:kern w:val="24"/>
      <w:sz w:val="18"/>
    </w:rPr>
  </w:style>
  <w:style w:type="paragraph" w:customStyle="1" w:styleId="2232">
    <w:name w:val="edri-title first"/>
    <w:basedOn w:val="1"/>
    <w:qFormat/>
    <w:uiPriority w:val="0"/>
    <w:pPr>
      <w:widowControl/>
      <w:tabs>
        <w:tab w:val="left" w:pos="2"/>
        <w:tab w:val="left" w:pos="945"/>
      </w:tabs>
      <w:spacing w:beforeLines="50" w:line="300" w:lineRule="auto"/>
      <w:ind w:left="966" w:hanging="964"/>
      <w:jc w:val="left"/>
      <w:outlineLvl w:val="0"/>
    </w:pPr>
    <w:rPr>
      <w:rFonts w:ascii="????" w:hAnsi="????" w:eastAsia="宋体" w:cs="仿宋_GB2312"/>
      <w:b/>
      <w:bCs/>
      <w:kern w:val="0"/>
      <w:sz w:val="30"/>
      <w:szCs w:val="20"/>
    </w:rPr>
  </w:style>
  <w:style w:type="paragraph" w:customStyle="1" w:styleId="2233">
    <w:name w:val="couv"/>
    <w:basedOn w:val="1"/>
    <w:qFormat/>
    <w:uiPriority w:val="0"/>
    <w:pPr>
      <w:widowControl/>
      <w:spacing w:before="120" w:after="120" w:line="240" w:lineRule="auto"/>
      <w:ind w:firstLine="200" w:firstLineChars="200"/>
      <w:jc w:val="center"/>
    </w:pPr>
    <w:rPr>
      <w:rFonts w:ascii="仿宋_GB2312" w:hAnsi="仿宋_GB2312" w:eastAsia="宋体" w:cs="仿宋_GB2312"/>
      <w:b/>
      <w:kern w:val="0"/>
      <w:sz w:val="40"/>
      <w:szCs w:val="20"/>
      <w:lang w:val="en-GB"/>
    </w:rPr>
  </w:style>
  <w:style w:type="paragraph" w:customStyle="1" w:styleId="2234">
    <w:name w:val="04"/>
    <w:basedOn w:val="1"/>
    <w:qFormat/>
    <w:uiPriority w:val="0"/>
    <w:pPr>
      <w:widowControl/>
      <w:spacing w:line="312" w:lineRule="auto"/>
      <w:jc w:val="left"/>
    </w:pPr>
    <w:rPr>
      <w:rFonts w:ascii="仿宋_GB2312" w:hAnsi="仿宋_GB2312" w:eastAsia="Times New Roman" w:cs="仿宋_GB2312"/>
      <w:sz w:val="24"/>
      <w:szCs w:val="30"/>
    </w:rPr>
  </w:style>
  <w:style w:type="paragraph" w:customStyle="1" w:styleId="2235">
    <w:name w:val="ST20_1"/>
    <w:basedOn w:val="1"/>
    <w:qFormat/>
    <w:uiPriority w:val="0"/>
    <w:pPr>
      <w:widowControl/>
      <w:adjustRightInd w:val="0"/>
      <w:spacing w:line="240" w:lineRule="auto"/>
      <w:jc w:val="center"/>
      <w:textAlignment w:val="baseline"/>
    </w:pPr>
    <w:rPr>
      <w:rFonts w:ascii="Verdana" w:hAnsi="仿宋_GB2312" w:eastAsia="宋体" w:cs="仿宋_GB2312"/>
      <w:kern w:val="0"/>
      <w:szCs w:val="20"/>
    </w:rPr>
  </w:style>
  <w:style w:type="paragraph" w:customStyle="1" w:styleId="2236">
    <w:name w:val="Pa3"/>
    <w:basedOn w:val="1"/>
    <w:next w:val="1"/>
    <w:qFormat/>
    <w:uiPriority w:val="0"/>
    <w:pPr>
      <w:widowControl/>
      <w:autoSpaceDE w:val="0"/>
      <w:autoSpaceDN w:val="0"/>
      <w:adjustRightInd w:val="0"/>
      <w:spacing w:line="240" w:lineRule="auto"/>
      <w:jc w:val="left"/>
    </w:pPr>
    <w:rPr>
      <w:rFonts w:ascii="Gulim" w:hAnsi="仿宋_GB2312" w:eastAsia="Gulim" w:cs="仿宋_GB2312"/>
      <w:kern w:val="0"/>
      <w:sz w:val="20"/>
      <w:szCs w:val="24"/>
    </w:rPr>
  </w:style>
  <w:style w:type="paragraph" w:customStyle="1" w:styleId="2237">
    <w:name w:val="表后空行"/>
    <w:basedOn w:val="1"/>
    <w:next w:val="1"/>
    <w:qFormat/>
    <w:uiPriority w:val="0"/>
    <w:pPr>
      <w:widowControl/>
      <w:spacing w:line="240" w:lineRule="auto"/>
      <w:jc w:val="left"/>
    </w:pPr>
    <w:rPr>
      <w:rFonts w:ascii="仿宋_GB2312" w:hAnsi="仿宋_GB2312" w:eastAsia="宋体" w:cs="仿宋_GB2312"/>
      <w:kern w:val="18"/>
      <w:sz w:val="18"/>
      <w:szCs w:val="24"/>
    </w:rPr>
  </w:style>
  <w:style w:type="paragraph" w:customStyle="1" w:styleId="2238">
    <w:name w:val="Char2 Char Char Char Char Char Char1 Char Char Char Char Char Char1"/>
    <w:basedOn w:val="1"/>
    <w:qFormat/>
    <w:uiPriority w:val="0"/>
    <w:pPr>
      <w:widowControl/>
      <w:ind w:firstLine="200" w:firstLineChars="200"/>
      <w:jc w:val="left"/>
    </w:pPr>
    <w:rPr>
      <w:rFonts w:ascii="Verdana" w:hAnsi="Verdana" w:eastAsia="宋体" w:cs="Verdana"/>
      <w:sz w:val="24"/>
      <w:szCs w:val="24"/>
    </w:rPr>
  </w:style>
  <w:style w:type="paragraph" w:customStyle="1" w:styleId="2239">
    <w:name w:val="列表 B"/>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40">
    <w:name w:val="xl106"/>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2241">
    <w:name w:val="样式 首行缩进:  1.01 厘米"/>
    <w:basedOn w:val="1"/>
    <w:qFormat/>
    <w:uiPriority w:val="0"/>
    <w:pPr>
      <w:widowControl/>
      <w:spacing w:line="500" w:lineRule="exact"/>
      <w:ind w:firstLine="570"/>
      <w:jc w:val="left"/>
    </w:pPr>
    <w:rPr>
      <w:rFonts w:ascii="Times New Roman" w:hAnsi="Times New Roman" w:eastAsia="宋体" w:cs="宋体"/>
      <w:kern w:val="28"/>
      <w:sz w:val="28"/>
      <w:szCs w:val="20"/>
    </w:rPr>
  </w:style>
  <w:style w:type="paragraph" w:customStyle="1" w:styleId="2242">
    <w:name w:val="列表 2G"/>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43">
    <w:name w:val="样式 样式 宋体 13 磅 白色 首行缩进:  0.74 厘米 + 自动设置 首行缩进:  2 字符"/>
    <w:basedOn w:val="1"/>
    <w:qFormat/>
    <w:uiPriority w:val="0"/>
    <w:pPr>
      <w:widowControl/>
      <w:spacing w:line="240" w:lineRule="auto"/>
      <w:ind w:firstLine="520" w:firstLineChars="200"/>
      <w:jc w:val="left"/>
    </w:pPr>
    <w:rPr>
      <w:rFonts w:ascii="Verdana" w:hAnsi="Verdana" w:eastAsia="宋体" w:cs="Verdana"/>
      <w:sz w:val="27"/>
      <w:szCs w:val="27"/>
    </w:rPr>
  </w:style>
  <w:style w:type="paragraph" w:customStyle="1" w:styleId="2244">
    <w:name w:val="环保篇"/>
    <w:basedOn w:val="1"/>
    <w:qFormat/>
    <w:uiPriority w:val="0"/>
    <w:pPr>
      <w:widowControl/>
      <w:tabs>
        <w:tab w:val="left" w:pos="360"/>
      </w:tabs>
      <w:adjustRightInd w:val="0"/>
      <w:jc w:val="left"/>
      <w:textAlignment w:val="baseline"/>
    </w:pPr>
    <w:rPr>
      <w:rFonts w:ascii="仿宋_GB2312" w:hAnsi="仿宋_GB2312" w:eastAsia="宋体" w:cs="仿宋_GB2312"/>
      <w:sz w:val="28"/>
      <w:szCs w:val="20"/>
    </w:rPr>
  </w:style>
  <w:style w:type="paragraph" w:customStyle="1" w:styleId="2245">
    <w:name w:val="表头王"/>
    <w:basedOn w:val="1"/>
    <w:qFormat/>
    <w:uiPriority w:val="0"/>
    <w:pPr>
      <w:widowControl/>
      <w:adjustRightInd w:val="0"/>
      <w:snapToGrid w:val="0"/>
      <w:jc w:val="center"/>
    </w:pPr>
    <w:rPr>
      <w:rFonts w:ascii="黑体" w:hAnsi="Times New Roman" w:eastAsia="黑体" w:cs="Times New Roman"/>
      <w:b/>
      <w:sz w:val="24"/>
      <w:szCs w:val="24"/>
    </w:rPr>
  </w:style>
  <w:style w:type="paragraph" w:customStyle="1" w:styleId="2246">
    <w:name w:val="我的2"/>
    <w:basedOn w:val="1"/>
    <w:qFormat/>
    <w:uiPriority w:val="0"/>
    <w:pPr>
      <w:widowControl/>
      <w:spacing w:line="240" w:lineRule="auto"/>
      <w:jc w:val="left"/>
    </w:pPr>
    <w:rPr>
      <w:rFonts w:ascii="仿宋_GB2312" w:hAnsi="仿宋_GB2312" w:eastAsia="宋体" w:cs="仿宋_GB2312"/>
      <w:b/>
      <w:sz w:val="28"/>
      <w:szCs w:val="24"/>
    </w:rPr>
  </w:style>
  <w:style w:type="paragraph" w:customStyle="1" w:styleId="2247">
    <w:name w:val="正文21"/>
    <w:qFormat/>
    <w:uiPriority w:val="0"/>
    <w:pPr>
      <w:widowControl w:val="0"/>
      <w:suppressAutoHyphens/>
      <w:spacing w:line="520" w:lineRule="atLeast"/>
      <w:ind w:firstLine="200"/>
      <w:jc w:val="both"/>
    </w:pPr>
    <w:rPr>
      <w:rFonts w:ascii="Times New Roman" w:hAnsi="Times New Roman" w:eastAsia="宋体" w:cs="Times New Roman"/>
      <w:spacing w:val="18"/>
      <w:sz w:val="32"/>
      <w:lang w:val="en-US" w:eastAsia="zh-CN" w:bidi="ar-SA"/>
    </w:rPr>
  </w:style>
  <w:style w:type="paragraph" w:customStyle="1" w:styleId="2248">
    <w:name w:val="样式 四号 首行缩进:  2 字符"/>
    <w:basedOn w:val="1"/>
    <w:qFormat/>
    <w:uiPriority w:val="0"/>
    <w:pPr>
      <w:widowControl/>
      <w:spacing w:line="480" w:lineRule="atLeast"/>
      <w:ind w:firstLine="200" w:firstLineChars="200"/>
      <w:jc w:val="left"/>
    </w:pPr>
    <w:rPr>
      <w:rFonts w:ascii="Times New Roman" w:hAnsi="Times New Roman" w:eastAsia="宋体" w:cs="Times New Roman"/>
      <w:sz w:val="24"/>
      <w:szCs w:val="24"/>
    </w:rPr>
  </w:style>
  <w:style w:type="paragraph" w:customStyle="1" w:styleId="2249">
    <w:name w:val="标标题1.9"/>
    <w:basedOn w:val="1"/>
    <w:qFormat/>
    <w:uiPriority w:val="0"/>
    <w:pPr>
      <w:widowControl/>
      <w:tabs>
        <w:tab w:val="left" w:pos="390"/>
        <w:tab w:val="center" w:pos="4060"/>
        <w:tab w:val="right" w:pos="8261"/>
      </w:tabs>
      <w:suppressAutoHyphens/>
      <w:adjustRightInd w:val="0"/>
      <w:spacing w:before="240" w:line="240" w:lineRule="atLeast"/>
      <w:ind w:left="390" w:hanging="390"/>
      <w:jc w:val="center"/>
    </w:pPr>
    <w:rPr>
      <w:rFonts w:ascii="黑体" w:hAnsi="Times New Roman" w:eastAsia="黑体" w:cs="Times New Roman"/>
      <w:b/>
      <w:spacing w:val="6"/>
      <w:kern w:val="0"/>
      <w:sz w:val="26"/>
      <w:szCs w:val="26"/>
    </w:rPr>
  </w:style>
  <w:style w:type="paragraph" w:customStyle="1" w:styleId="2250">
    <w:name w:val="列表 4T"/>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51">
    <w:name w:val="tian"/>
    <w:basedOn w:val="1"/>
    <w:qFormat/>
    <w:uiPriority w:val="0"/>
    <w:pPr>
      <w:widowControl/>
      <w:spacing w:line="240" w:lineRule="auto"/>
      <w:jc w:val="left"/>
    </w:pPr>
    <w:rPr>
      <w:rFonts w:ascii="仿宋_GB2312" w:hAnsi="仿宋_GB2312" w:eastAsia="宋体" w:cs="仿宋_GB2312"/>
      <w:sz w:val="24"/>
      <w:szCs w:val="20"/>
    </w:rPr>
  </w:style>
  <w:style w:type="paragraph" w:customStyle="1" w:styleId="2252">
    <w:name w:val="列图"/>
    <w:basedOn w:val="67"/>
    <w:next w:val="1"/>
    <w:qFormat/>
    <w:uiPriority w:val="0"/>
    <w:pPr>
      <w:keepLines/>
      <w:widowControl/>
      <w:snapToGrid w:val="0"/>
      <w:spacing w:beforeLines="0" w:line="276" w:lineRule="auto"/>
      <w:ind w:left="0" w:firstLine="0"/>
      <w:jc w:val="center"/>
    </w:pPr>
    <w:rPr>
      <w:rFonts w:ascii="仿宋_GB2312" w:hAnsi="仿宋_GB2312" w:cs="仿宋_GB2312"/>
      <w:kern w:val="28"/>
    </w:rPr>
  </w:style>
  <w:style w:type="paragraph" w:customStyle="1" w:styleId="2253">
    <w:name w:val="图目"/>
    <w:basedOn w:val="1"/>
    <w:qFormat/>
    <w:uiPriority w:val="0"/>
    <w:pPr>
      <w:widowControl/>
      <w:adjustRightInd w:val="0"/>
      <w:spacing w:line="360" w:lineRule="atLeast"/>
      <w:jc w:val="center"/>
      <w:textAlignment w:val="baseline"/>
    </w:pPr>
    <w:rPr>
      <w:rFonts w:ascii="仿宋_GB2312" w:hAnsi="仿宋_GB2312" w:eastAsia="宋体" w:cs="仿宋_GB2312"/>
      <w:kern w:val="0"/>
      <w:sz w:val="24"/>
      <w:szCs w:val="20"/>
    </w:rPr>
  </w:style>
  <w:style w:type="paragraph" w:customStyle="1" w:styleId="2254">
    <w:name w:val="font17"/>
    <w:basedOn w:val="1"/>
    <w:qFormat/>
    <w:uiPriority w:val="0"/>
    <w:pPr>
      <w:widowControl/>
      <w:spacing w:before="100" w:beforeAutospacing="1" w:after="100" w:afterAutospacing="1" w:line="240" w:lineRule="auto"/>
      <w:jc w:val="left"/>
    </w:pPr>
    <w:rPr>
      <w:rFonts w:ascii="仿宋_GB2312" w:hAnsi="仿宋_GB2312" w:eastAsia="華康中楷體" w:cs="仿宋_GB2312"/>
      <w:kern w:val="0"/>
      <w:sz w:val="20"/>
      <w:szCs w:val="20"/>
      <w:u w:val="single"/>
    </w:rPr>
  </w:style>
  <w:style w:type="paragraph" w:customStyle="1" w:styleId="2255">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華康中楷體" w:hAnsi="華康中楷體" w:eastAsia="華康中楷體" w:cs="華康中楷體"/>
      <w:kern w:val="0"/>
      <w:sz w:val="16"/>
      <w:szCs w:val="16"/>
    </w:rPr>
  </w:style>
  <w:style w:type="paragraph" w:customStyle="1" w:styleId="2256">
    <w:name w:val="一级无标题条"/>
    <w:basedOn w:val="1"/>
    <w:qFormat/>
    <w:uiPriority w:val="0"/>
    <w:pPr>
      <w:widowControl/>
      <w:spacing w:line="240" w:lineRule="auto"/>
      <w:jc w:val="left"/>
    </w:pPr>
    <w:rPr>
      <w:rFonts w:ascii="Times New Roman" w:hAnsi="Times New Roman" w:eastAsia="宋体" w:cs="Times New Roman"/>
      <w:szCs w:val="20"/>
    </w:rPr>
  </w:style>
  <w:style w:type="paragraph" w:customStyle="1" w:styleId="2257">
    <w:name w:val="列表 5I"/>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58">
    <w:name w:val="样式 标题 3样式　标题 3　自动设置标题 3 Char章 + Times New 表题3"/>
    <w:basedOn w:val="7"/>
    <w:qFormat/>
    <w:uiPriority w:val="0"/>
    <w:pPr>
      <w:widowControl/>
      <w:numPr>
        <w:ilvl w:val="0"/>
        <w:numId w:val="0"/>
      </w:numPr>
      <w:tabs>
        <w:tab w:val="left" w:pos="3800"/>
        <w:tab w:val="left" w:pos="5200"/>
      </w:tabs>
      <w:autoSpaceDE w:val="0"/>
      <w:autoSpaceDN w:val="0"/>
      <w:adjustRightInd w:val="0"/>
      <w:snapToGrid w:val="0"/>
      <w:spacing w:beforeLines="50" w:afterLines="50" w:line="240" w:lineRule="auto"/>
      <w:ind w:left="-1523" w:firstLine="1523"/>
    </w:pPr>
    <w:rPr>
      <w:rFonts w:ascii="仿宋_GB2312" w:hAnsi="仿宋_GB2312" w:eastAsia="宋体" w:cs="Verdana"/>
      <w:sz w:val="28"/>
      <w:szCs w:val="28"/>
    </w:rPr>
  </w:style>
  <w:style w:type="paragraph" w:customStyle="1" w:styleId="2259">
    <w:name w:val="右侧"/>
    <w:qFormat/>
    <w:uiPriority w:val="0"/>
    <w:pPr>
      <w:spacing w:line="280" w:lineRule="exact"/>
      <w:jc w:val="right"/>
    </w:pPr>
    <w:rPr>
      <w:rFonts w:ascii="Times New Roman" w:hAnsi="Times New Roman" w:eastAsia="宋体" w:cs="仿宋_GB2312"/>
      <w:color w:val="000000"/>
      <w:sz w:val="18"/>
      <w:lang w:val="en-US" w:eastAsia="zh-CN" w:bidi="ar-SA"/>
    </w:rPr>
  </w:style>
  <w:style w:type="paragraph" w:customStyle="1" w:styleId="2260">
    <w:name w:val="!Texte courant"/>
    <w:qFormat/>
    <w:uiPriority w:val="0"/>
    <w:pPr>
      <w:spacing w:before="120" w:line="280" w:lineRule="atLeast"/>
      <w:jc w:val="both"/>
    </w:pPr>
    <w:rPr>
      <w:rFonts w:ascii="仿宋_GB2312" w:hAnsi="仿宋_GB2312" w:eastAsia="宋体" w:cs="仿宋_GB2312"/>
      <w:sz w:val="24"/>
      <w:lang w:val="fr-FR" w:eastAsia="en-US" w:bidi="ar-SA"/>
    </w:rPr>
  </w:style>
  <w:style w:type="paragraph" w:customStyle="1" w:styleId="2261">
    <w:name w:val="列表 4O"/>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62">
    <w:name w:val="列表 2D"/>
    <w:basedOn w:val="38"/>
    <w:qFormat/>
    <w:uiPriority w:val="0"/>
    <w:pPr>
      <w:widowControl/>
      <w:tabs>
        <w:tab w:val="left" w:pos="885"/>
      </w:tabs>
      <w:adjustRightInd/>
      <w:spacing w:beforeLines="0" w:beforeAutospacing="1" w:after="100" w:afterAutospacing="1" w:line="288" w:lineRule="auto"/>
      <w:ind w:left="885" w:hanging="315"/>
      <w:jc w:val="left"/>
      <w:textAlignment w:val="auto"/>
    </w:pPr>
    <w:rPr>
      <w:rFonts w:ascii="Courier New" w:hAnsi="Courier New" w:cs="仿宋_GB2312"/>
      <w:color w:val="FFFF99"/>
      <w:kern w:val="2"/>
    </w:rPr>
  </w:style>
  <w:style w:type="paragraph" w:customStyle="1" w:styleId="2263">
    <w:name w:val="列表 2F"/>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64">
    <w:name w:val="封面"/>
    <w:qFormat/>
    <w:uiPriority w:val="0"/>
    <w:pPr>
      <w:spacing w:line="360" w:lineRule="auto"/>
      <w:jc w:val="center"/>
    </w:pPr>
    <w:rPr>
      <w:rFonts w:ascii="Verdana" w:hAnsi="Verdana" w:eastAsia="宋体" w:cs="仿宋_GB2312"/>
      <w:b/>
      <w:spacing w:val="-20"/>
      <w:sz w:val="36"/>
      <w:szCs w:val="36"/>
      <w:lang w:val="en-US" w:eastAsia="zh-CN" w:bidi="ar-SA"/>
    </w:rPr>
  </w:style>
  <w:style w:type="paragraph" w:customStyle="1" w:styleId="2265">
    <w:name w:val="列表 2E"/>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66">
    <w:name w:val="列表 5A"/>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67">
    <w:name w:val="列表 3D"/>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68">
    <w:name w:val="列表 4N"/>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69">
    <w:name w:val="列表 3A"/>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70">
    <w:name w:val="列表 3K"/>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71">
    <w:name w:val="列表 3N"/>
    <w:basedOn w:val="14"/>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72">
    <w:name w:val="列表 4Q"/>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73">
    <w:name w:val="列表 4V"/>
    <w:basedOn w:val="78"/>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74">
    <w:name w:val="列表 G"/>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75">
    <w:name w:val="列表 2W"/>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76">
    <w:name w:val="列表 5N"/>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77">
    <w:name w:val="列表 5P"/>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78">
    <w:name w:val="列表 5S"/>
    <w:basedOn w:val="70"/>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79">
    <w:name w:val="小五表文"/>
    <w:qFormat/>
    <w:uiPriority w:val="0"/>
    <w:pPr>
      <w:spacing w:beforeLines="50"/>
      <w:ind w:firstLine="3304" w:firstLineChars="1180"/>
    </w:pPr>
    <w:rPr>
      <w:rFonts w:ascii="仿宋_GB2312" w:hAnsi="仿宋_GB2312" w:eastAsia="楷体" w:cs="仿宋_GB2312"/>
      <w:bCs/>
      <w:spacing w:val="20"/>
      <w:sz w:val="24"/>
      <w:lang w:val="en-US" w:eastAsia="zh-CN" w:bidi="ar-SA"/>
    </w:rPr>
  </w:style>
  <w:style w:type="paragraph" w:customStyle="1" w:styleId="2280">
    <w:name w:val="列表D"/>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81">
    <w:name w:val="正文表标题"/>
    <w:next w:val="8"/>
    <w:qFormat/>
    <w:uiPriority w:val="0"/>
    <w:pPr>
      <w:tabs>
        <w:tab w:val="left" w:pos="390"/>
      </w:tabs>
      <w:ind w:left="390" w:hanging="390"/>
      <w:jc w:val="center"/>
    </w:pPr>
    <w:rPr>
      <w:rFonts w:ascii="楷体" w:hAnsi="仿宋_GB2312" w:eastAsia="楷体" w:cs="仿宋_GB2312"/>
      <w:sz w:val="21"/>
      <w:lang w:val="en-US" w:eastAsia="zh-CN" w:bidi="ar-SA"/>
    </w:rPr>
  </w:style>
  <w:style w:type="paragraph" w:customStyle="1" w:styleId="2282">
    <w:name w:val="列表 H"/>
    <w:basedOn w:val="67"/>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83">
    <w:name w:val="列表 2Z"/>
    <w:basedOn w:val="38"/>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84">
    <w:name w:val="样式 标题 2节标题1.1标题 2节Char节标题 1.1节标题 1.1 Char Char节标题 1.1 Cha...1"/>
    <w:basedOn w:val="6"/>
    <w:qFormat/>
    <w:uiPriority w:val="0"/>
    <w:pPr>
      <w:keepLines w:val="0"/>
      <w:widowControl/>
      <w:numPr>
        <w:ilvl w:val="0"/>
        <w:numId w:val="0"/>
      </w:numPr>
      <w:spacing w:beforeLines="50" w:after="0" w:line="360" w:lineRule="auto"/>
      <w:jc w:val="both"/>
    </w:pPr>
    <w:rPr>
      <w:rFonts w:ascii="Calibri" w:hAnsi="Calibri" w:eastAsia="楷体" w:cs="宋体"/>
      <w:color w:val="0000FF"/>
      <w:szCs w:val="20"/>
    </w:rPr>
  </w:style>
  <w:style w:type="paragraph" w:customStyle="1" w:styleId="2285">
    <w:name w:val="公司名"/>
    <w:basedOn w:val="1"/>
    <w:qFormat/>
    <w:uiPriority w:val="0"/>
    <w:pPr>
      <w:keepNext/>
      <w:keepLines/>
      <w:widowControl/>
      <w:spacing w:beforeLines="50" w:afterLines="50" w:line="320" w:lineRule="atLeast"/>
      <w:jc w:val="center"/>
    </w:pPr>
    <w:rPr>
      <w:rFonts w:ascii="Courier New" w:hAnsi="Courier New" w:eastAsia="经典叠圆体简" w:cs="仿宋_GB2312"/>
      <w:b/>
      <w:bCs/>
      <w:color w:val="CCFFCC"/>
      <w:kern w:val="28"/>
      <w:sz w:val="32"/>
      <w:szCs w:val="20"/>
      <w:lang w:bidi="he-IL"/>
    </w:rPr>
  </w:style>
  <w:style w:type="paragraph" w:customStyle="1" w:styleId="2286">
    <w:name w:val="尾消息标题"/>
    <w:basedOn w:val="1"/>
    <w:next w:val="36"/>
    <w:qFormat/>
    <w:uiPriority w:val="0"/>
    <w:pPr>
      <w:widowControl/>
      <w:pBdr>
        <w:bottom w:val="single" w:color="auto" w:sz="6" w:space="19"/>
        <w:between w:val="single" w:color="auto" w:sz="6" w:space="19"/>
      </w:pBdr>
      <w:tabs>
        <w:tab w:val="left" w:pos="1260"/>
        <w:tab w:val="left" w:pos="2940"/>
      </w:tabs>
      <w:spacing w:line="240" w:lineRule="atLeast"/>
      <w:jc w:val="left"/>
    </w:pPr>
    <w:rPr>
      <w:rFonts w:ascii="仿宋_GB2312" w:hAnsi="仿宋_GB2312" w:eastAsia="宋体" w:cs="仿宋_GB2312"/>
      <w:kern w:val="0"/>
      <w:sz w:val="18"/>
      <w:szCs w:val="18"/>
    </w:rPr>
  </w:style>
  <w:style w:type="paragraph" w:customStyle="1" w:styleId="2287">
    <w:name w:val="依据文字"/>
    <w:basedOn w:val="2"/>
    <w:qFormat/>
    <w:uiPriority w:val="0"/>
    <w:pPr>
      <w:widowControl/>
      <w:tabs>
        <w:tab w:val="left" w:pos="420"/>
        <w:tab w:val="left" w:pos="870"/>
        <w:tab w:val="left" w:pos="3150"/>
      </w:tabs>
      <w:autoSpaceDE w:val="0"/>
      <w:autoSpaceDN w:val="0"/>
      <w:adjustRightInd w:val="0"/>
      <w:snapToGrid w:val="0"/>
      <w:spacing w:before="60" w:line="336" w:lineRule="auto"/>
      <w:ind w:left="0" w:leftChars="0" w:firstLine="527" w:firstLineChars="0"/>
      <w:jc w:val="left"/>
      <w:textAlignment w:val="baseline"/>
    </w:pPr>
    <w:rPr>
      <w:rFonts w:ascii="Verdana" w:hAnsi="仿宋_GB2312"/>
      <w:color w:val="0000FF"/>
      <w:szCs w:val="20"/>
    </w:rPr>
  </w:style>
  <w:style w:type="paragraph" w:customStyle="1" w:styleId="2288">
    <w:name w:val="Char1 Char Char Char1 Char Char Char Char Char Char Char Char Char Char Char Char"/>
    <w:basedOn w:val="1"/>
    <w:qFormat/>
    <w:uiPriority w:val="0"/>
    <w:pPr>
      <w:widowControl/>
      <w:spacing w:line="240" w:lineRule="auto"/>
      <w:jc w:val="left"/>
    </w:pPr>
    <w:rPr>
      <w:rFonts w:ascii="仿宋_GB2312" w:hAnsi="仿宋_GB2312" w:eastAsia="宋体" w:cs="仿宋_GB2312"/>
      <w:sz w:val="24"/>
      <w:szCs w:val="24"/>
    </w:rPr>
  </w:style>
  <w:style w:type="paragraph" w:customStyle="1" w:styleId="2289">
    <w:name w:val="附录1"/>
    <w:basedOn w:val="5"/>
    <w:next w:val="1"/>
    <w:qFormat/>
    <w:uiPriority w:val="0"/>
    <w:pPr>
      <w:widowControl/>
      <w:numPr>
        <w:numId w:val="0"/>
      </w:numPr>
      <w:tabs>
        <w:tab w:val="left" w:pos="720"/>
      </w:tabs>
      <w:spacing w:before="0" w:after="220" w:line="360" w:lineRule="auto"/>
      <w:ind w:left="680" w:hanging="680"/>
    </w:pPr>
    <w:rPr>
      <w:rFonts w:ascii="仿宋_GB2312" w:hAnsi="仿宋_GB2312" w:eastAsia="宋体" w:cs="仿宋_GB2312"/>
      <w:bCs w:val="0"/>
      <w:spacing w:val="-10"/>
      <w:kern w:val="28"/>
      <w:sz w:val="30"/>
      <w:szCs w:val="20"/>
    </w:rPr>
  </w:style>
  <w:style w:type="paragraph" w:customStyle="1" w:styleId="2290">
    <w:name w:val="表内"/>
    <w:basedOn w:val="1"/>
    <w:next w:val="1"/>
    <w:qFormat/>
    <w:uiPriority w:val="0"/>
    <w:pPr>
      <w:widowControl/>
      <w:adjustRightInd w:val="0"/>
      <w:snapToGrid w:val="0"/>
      <w:spacing w:before="120" w:after="120" w:line="288" w:lineRule="auto"/>
      <w:jc w:val="center"/>
    </w:pPr>
    <w:rPr>
      <w:rFonts w:ascii="仿宋_GB2312" w:hAnsi="仿宋_GB2312" w:eastAsia="宋体" w:cs="仿宋_GB2312"/>
      <w:szCs w:val="20"/>
    </w:rPr>
  </w:style>
  <w:style w:type="paragraph" w:customStyle="1" w:styleId="2291">
    <w:name w:val="Char Char Char Char Char Char Char Char Char Char Char Char Char1"/>
    <w:basedOn w:val="1"/>
    <w:next w:val="4"/>
    <w:qFormat/>
    <w:uiPriority w:val="0"/>
    <w:pPr>
      <w:widowControl/>
      <w:spacing w:line="240" w:lineRule="auto"/>
      <w:jc w:val="left"/>
    </w:pPr>
    <w:rPr>
      <w:rFonts w:ascii="仿宋_GB2312" w:hAnsi="仿宋_GB2312" w:eastAsia="宋体" w:cs="仿宋_GB2312"/>
      <w:sz w:val="28"/>
      <w:szCs w:val="28"/>
    </w:rPr>
  </w:style>
  <w:style w:type="paragraph" w:customStyle="1" w:styleId="2292">
    <w:name w:val="标题 3  cg"/>
    <w:basedOn w:val="7"/>
    <w:qFormat/>
    <w:uiPriority w:val="0"/>
    <w:pPr>
      <w:widowControl/>
      <w:numPr>
        <w:ilvl w:val="0"/>
        <w:numId w:val="0"/>
      </w:numPr>
      <w:spacing w:before="0" w:after="0" w:line="360" w:lineRule="auto"/>
      <w:textAlignment w:val="baseline"/>
    </w:pPr>
    <w:rPr>
      <w:rFonts w:eastAsia="宋体" w:cs="Times New Roman"/>
      <w:color w:val="0000FF"/>
      <w:szCs w:val="24"/>
    </w:rPr>
  </w:style>
  <w:style w:type="paragraph" w:customStyle="1" w:styleId="2293">
    <w:name w:val="表格内容格式"/>
    <w:basedOn w:val="1"/>
    <w:qFormat/>
    <w:uiPriority w:val="0"/>
    <w:pPr>
      <w:widowControl/>
      <w:adjustRightInd w:val="0"/>
      <w:snapToGrid w:val="0"/>
      <w:spacing w:line="240" w:lineRule="auto"/>
      <w:jc w:val="center"/>
      <w:textAlignment w:val="baseline"/>
    </w:pPr>
    <w:rPr>
      <w:rFonts w:ascii="Verdana" w:hAnsi="Verdana" w:eastAsia="宋体" w:cs="仿宋_GB2312"/>
      <w:kern w:val="0"/>
      <w:szCs w:val="20"/>
    </w:rPr>
  </w:style>
  <w:style w:type="paragraph" w:customStyle="1" w:styleId="2294">
    <w:name w:val="样式 目录 2 + 左侧:  2 字符 首行缩进:  2 字符"/>
    <w:basedOn w:val="75"/>
    <w:qFormat/>
    <w:uiPriority w:val="0"/>
    <w:pPr>
      <w:widowControl/>
      <w:tabs>
        <w:tab w:val="right" w:leader="dot" w:pos="8296"/>
        <w:tab w:val="right" w:leader="dot" w:pos="9060"/>
      </w:tabs>
      <w:snapToGrid w:val="0"/>
      <w:spacing w:after="40"/>
      <w:ind w:left="420" w:firstLine="476"/>
    </w:pPr>
    <w:rPr>
      <w:rFonts w:ascii="仿宋_GB2312" w:hAnsi="仿宋_GB2312" w:eastAsia="楷体" w:cs="Verdana"/>
      <w:spacing w:val="20"/>
      <w:sz w:val="24"/>
    </w:rPr>
  </w:style>
  <w:style w:type="paragraph" w:customStyle="1" w:styleId="2295">
    <w:name w:val="In Table (II)"/>
    <w:basedOn w:val="1846"/>
    <w:qFormat/>
    <w:uiPriority w:val="0"/>
    <w:pPr>
      <w:spacing w:beforeLines="25" w:afterLines="25"/>
      <w:ind w:left="52" w:leftChars="20"/>
      <w:jc w:val="left"/>
    </w:pPr>
  </w:style>
  <w:style w:type="paragraph" w:customStyle="1" w:styleId="2296">
    <w:name w:val="正文文本缩进 311"/>
    <w:basedOn w:val="1"/>
    <w:qFormat/>
    <w:uiPriority w:val="0"/>
    <w:pPr>
      <w:widowControl/>
      <w:adjustRightInd w:val="0"/>
      <w:spacing w:line="360" w:lineRule="atLeast"/>
      <w:ind w:firstLine="480"/>
      <w:jc w:val="left"/>
      <w:textAlignment w:val="baseline"/>
    </w:pPr>
    <w:rPr>
      <w:rFonts w:ascii="Verdana" w:hAnsi="仿宋_GB2312" w:eastAsia="宋体" w:cs="仿宋_GB2312"/>
      <w:kern w:val="0"/>
      <w:sz w:val="24"/>
      <w:szCs w:val="20"/>
    </w:rPr>
  </w:style>
  <w:style w:type="paragraph" w:customStyle="1" w:styleId="2297">
    <w:name w:val="样式 标题 31.1.1条标题 3 Char Char标题 3 Char标3§1.1.1.. (1.1.1)- ...1"/>
    <w:basedOn w:val="1"/>
    <w:qFormat/>
    <w:uiPriority w:val="0"/>
    <w:pPr>
      <w:widowControl/>
      <w:tabs>
        <w:tab w:val="left" w:pos="0"/>
      </w:tabs>
      <w:spacing w:line="312" w:lineRule="auto"/>
      <w:jc w:val="left"/>
    </w:pPr>
    <w:rPr>
      <w:rFonts w:ascii="Times New Roman" w:hAnsi="Times New Roman" w:eastAsia="宋体" w:cs="Times New Roman"/>
      <w:sz w:val="24"/>
      <w:szCs w:val="20"/>
    </w:rPr>
  </w:style>
  <w:style w:type="paragraph" w:customStyle="1" w:styleId="2298">
    <w:name w:val="正文单倍行距"/>
    <w:basedOn w:val="1"/>
    <w:qFormat/>
    <w:uiPriority w:val="0"/>
    <w:pPr>
      <w:widowControl/>
      <w:tabs>
        <w:tab w:val="left" w:pos="8640"/>
      </w:tabs>
      <w:snapToGrid w:val="0"/>
      <w:spacing w:line="240" w:lineRule="auto"/>
      <w:ind w:firstLine="200" w:firstLineChars="200"/>
      <w:jc w:val="left"/>
    </w:pPr>
    <w:rPr>
      <w:rFonts w:ascii="仿宋_GB2312" w:hAnsi="仿宋_GB2312" w:eastAsia="Times New Roman" w:cs="仿宋_GB2312"/>
      <w:sz w:val="24"/>
      <w:szCs w:val="24"/>
    </w:rPr>
  </w:style>
  <w:style w:type="paragraph" w:customStyle="1" w:styleId="2299">
    <w:name w:val="表格文本"/>
    <w:basedOn w:val="1"/>
    <w:next w:val="1"/>
    <w:qFormat/>
    <w:uiPriority w:val="0"/>
    <w:pPr>
      <w:widowControl/>
      <w:spacing w:line="240" w:lineRule="exact"/>
      <w:jc w:val="left"/>
    </w:pPr>
    <w:rPr>
      <w:rFonts w:ascii="仿宋_GB2312" w:hAnsi="仿宋_GB2312" w:eastAsia="宋体" w:cs="仿宋_GB2312"/>
      <w:szCs w:val="20"/>
    </w:rPr>
  </w:style>
  <w:style w:type="paragraph" w:customStyle="1" w:styleId="2300">
    <w:name w:val="框图内容"/>
    <w:basedOn w:val="1"/>
    <w:qFormat/>
    <w:uiPriority w:val="0"/>
    <w:pPr>
      <w:widowControl/>
      <w:spacing w:line="240" w:lineRule="auto"/>
      <w:jc w:val="center"/>
    </w:pPr>
    <w:rPr>
      <w:rFonts w:ascii="Verdana" w:hAnsi="仿宋_GB2312" w:eastAsia="宋体" w:cs="仿宋_GB2312"/>
      <w:szCs w:val="24"/>
      <w:lang w:val="en-GB"/>
    </w:rPr>
  </w:style>
  <w:style w:type="paragraph" w:customStyle="1" w:styleId="2301">
    <w:name w:val="列项·"/>
    <w:qFormat/>
    <w:uiPriority w:val="0"/>
    <w:pPr>
      <w:tabs>
        <w:tab w:val="left" w:pos="360"/>
        <w:tab w:val="left" w:pos="840"/>
      </w:tabs>
      <w:ind w:left="840" w:leftChars="200" w:hanging="420" w:hangingChars="200"/>
      <w:jc w:val="both"/>
    </w:pPr>
    <w:rPr>
      <w:rFonts w:ascii="Verdana" w:hAnsi="仿宋_GB2312" w:eastAsia="宋体" w:cs="仿宋_GB2312"/>
      <w:sz w:val="21"/>
      <w:lang w:val="en-US" w:eastAsia="zh-CN" w:bidi="ar-SA"/>
    </w:rPr>
  </w:style>
  <w:style w:type="paragraph" w:customStyle="1" w:styleId="2302">
    <w:name w:val="正文图小四"/>
    <w:basedOn w:val="1"/>
    <w:qFormat/>
    <w:uiPriority w:val="0"/>
    <w:pPr>
      <w:widowControl/>
      <w:adjustRightInd w:val="0"/>
      <w:snapToGrid w:val="0"/>
      <w:spacing w:line="240" w:lineRule="auto"/>
      <w:jc w:val="center"/>
      <w:textAlignment w:val="baseline"/>
    </w:pPr>
    <w:rPr>
      <w:rFonts w:ascii="Verdana" w:hAnsi="仿宋_GB2312" w:eastAsia="宋体" w:cs="仿宋_GB2312"/>
      <w:kern w:val="0"/>
      <w:sz w:val="24"/>
      <w:szCs w:val="24"/>
    </w:rPr>
  </w:style>
  <w:style w:type="paragraph" w:customStyle="1" w:styleId="2303">
    <w:name w:val="正文文本 211"/>
    <w:basedOn w:val="1"/>
    <w:qFormat/>
    <w:uiPriority w:val="0"/>
    <w:pPr>
      <w:widowControl/>
      <w:adjustRightInd w:val="0"/>
      <w:spacing w:line="240" w:lineRule="auto"/>
      <w:ind w:left="425"/>
      <w:jc w:val="left"/>
      <w:textAlignment w:val="baseline"/>
    </w:pPr>
    <w:rPr>
      <w:rFonts w:ascii="Verdana" w:hAnsi="仿宋_GB2312" w:eastAsia="宋体" w:cs="仿宋_GB2312"/>
      <w:kern w:val="0"/>
      <w:sz w:val="24"/>
      <w:szCs w:val="20"/>
    </w:rPr>
  </w:style>
  <w:style w:type="paragraph" w:customStyle="1" w:styleId="2304">
    <w:name w:val="表－居中列"/>
    <w:basedOn w:val="1"/>
    <w:qFormat/>
    <w:uiPriority w:val="0"/>
    <w:pPr>
      <w:widowControl/>
      <w:suppressLineNumbers/>
      <w:suppressAutoHyphens/>
      <w:snapToGrid w:val="0"/>
      <w:spacing w:before="60" w:after="60" w:line="240" w:lineRule="auto"/>
      <w:jc w:val="center"/>
    </w:pPr>
    <w:rPr>
      <w:rFonts w:ascii="Times New Roman" w:hAnsi="Times New Roman" w:eastAsia="宋体" w:cs="Times New Roman"/>
      <w:kern w:val="0"/>
      <w:szCs w:val="20"/>
      <w:lang w:eastAsia="ja-JP"/>
    </w:rPr>
  </w:style>
  <w:style w:type="paragraph" w:customStyle="1" w:styleId="2305">
    <w:name w:val="文-5"/>
    <w:basedOn w:val="1"/>
    <w:qFormat/>
    <w:uiPriority w:val="0"/>
    <w:pPr>
      <w:widowControl/>
      <w:tabs>
        <w:tab w:val="right" w:leader="dot" w:pos="8789"/>
      </w:tabs>
      <w:spacing w:before="120" w:line="240" w:lineRule="auto"/>
      <w:ind w:left="1276" w:firstLine="482"/>
      <w:jc w:val="left"/>
    </w:pPr>
    <w:rPr>
      <w:rFonts w:ascii="仿宋_GB2312" w:hAnsi="仿宋_GB2312" w:eastAsia="宋体" w:cs="仿宋_GB2312"/>
      <w:sz w:val="24"/>
      <w:szCs w:val="20"/>
    </w:rPr>
  </w:style>
  <w:style w:type="paragraph" w:customStyle="1" w:styleId="2306">
    <w:name w:val="表、图名宋旭峰"/>
    <w:basedOn w:val="205"/>
    <w:qFormat/>
    <w:uiPriority w:val="0"/>
    <w:pPr>
      <w:widowControl w:val="0"/>
      <w:spacing w:line="360" w:lineRule="auto"/>
      <w:ind w:firstLine="0"/>
    </w:pPr>
    <w:rPr>
      <w:rFonts w:ascii="楷体" w:hAnsi="Verdana" w:eastAsia="楷体" w:cs="仿宋_GB2312"/>
      <w:b w:val="0"/>
      <w:bCs w:val="0"/>
      <w:kern w:val="0"/>
    </w:rPr>
  </w:style>
  <w:style w:type="paragraph" w:customStyle="1" w:styleId="2307">
    <w:name w:val="kk"/>
    <w:basedOn w:val="36"/>
    <w:qFormat/>
    <w:uiPriority w:val="0"/>
    <w:pPr>
      <w:widowControl/>
      <w:autoSpaceDE w:val="0"/>
      <w:autoSpaceDN w:val="0"/>
      <w:adjustRightInd w:val="0"/>
      <w:spacing w:after="0"/>
      <w:jc w:val="left"/>
      <w:textAlignment w:val="baseline"/>
    </w:pPr>
    <w:rPr>
      <w:rFonts w:ascii="仿宋_GB2312" w:hAnsi="仿宋_GB2312" w:eastAsia="宋体" w:cs="仿宋_GB2312"/>
      <w:spacing w:val="10"/>
      <w:kern w:val="0"/>
      <w:sz w:val="24"/>
      <w:szCs w:val="20"/>
    </w:rPr>
  </w:style>
  <w:style w:type="paragraph" w:customStyle="1" w:styleId="2308">
    <w:name w:val="框图文字1"/>
    <w:basedOn w:val="1"/>
    <w:qFormat/>
    <w:uiPriority w:val="0"/>
    <w:pPr>
      <w:widowControl/>
      <w:adjustRightInd w:val="0"/>
      <w:snapToGrid w:val="0"/>
      <w:spacing w:beforeLines="25" w:line="240" w:lineRule="auto"/>
      <w:jc w:val="center"/>
    </w:pPr>
    <w:rPr>
      <w:rFonts w:ascii="仿宋_GB2312" w:hAnsi="仿宋_GB2312" w:eastAsia="宋体" w:cs="仿宋_GB2312"/>
      <w:sz w:val="18"/>
      <w:szCs w:val="24"/>
    </w:rPr>
  </w:style>
  <w:style w:type="paragraph" w:customStyle="1" w:styleId="2309">
    <w:name w:val="acee正文"/>
    <w:basedOn w:val="1"/>
    <w:qFormat/>
    <w:uiPriority w:val="0"/>
    <w:pPr>
      <w:widowControl/>
      <w:adjustRightInd w:val="0"/>
      <w:snapToGrid w:val="0"/>
      <w:spacing w:line="480" w:lineRule="exact"/>
      <w:ind w:firstLine="640" w:firstLineChars="200"/>
      <w:jc w:val="left"/>
    </w:pPr>
    <w:rPr>
      <w:rFonts w:ascii="??" w:hAnsi="Verdana" w:eastAsia="Times New Roman" w:cs="仿宋_GB2312"/>
      <w:sz w:val="32"/>
      <w:szCs w:val="24"/>
    </w:rPr>
  </w:style>
  <w:style w:type="paragraph" w:customStyle="1" w:styleId="2310">
    <w:name w:val="正文（缩进）"/>
    <w:basedOn w:val="1"/>
    <w:qFormat/>
    <w:uiPriority w:val="0"/>
    <w:pPr>
      <w:widowControl/>
      <w:adjustRightInd w:val="0"/>
      <w:snapToGrid w:val="0"/>
      <w:ind w:firstLine="200" w:firstLineChars="200"/>
      <w:jc w:val="left"/>
    </w:pPr>
    <w:rPr>
      <w:rFonts w:ascii="仿宋_GB2312" w:hAnsi="仿宋_GB2312" w:eastAsia="宋体" w:cs="仿宋_GB2312"/>
      <w:kern w:val="0"/>
      <w:sz w:val="24"/>
      <w:szCs w:val="24"/>
    </w:rPr>
  </w:style>
  <w:style w:type="paragraph" w:customStyle="1" w:styleId="2311">
    <w:name w:val="正文图"/>
    <w:basedOn w:val="1"/>
    <w:qFormat/>
    <w:uiPriority w:val="0"/>
    <w:pPr>
      <w:widowControl/>
      <w:adjustRightInd w:val="0"/>
      <w:snapToGrid w:val="0"/>
      <w:spacing w:before="40" w:line="240" w:lineRule="auto"/>
      <w:jc w:val="center"/>
      <w:textAlignment w:val="baseline"/>
    </w:pPr>
    <w:rPr>
      <w:rFonts w:ascii="Verdana" w:hAnsi="仿宋_GB2312" w:eastAsia="宋体" w:cs="仿宋_GB2312"/>
      <w:kern w:val="0"/>
      <w:sz w:val="24"/>
      <w:szCs w:val="20"/>
    </w:rPr>
  </w:style>
  <w:style w:type="paragraph" w:customStyle="1" w:styleId="2312">
    <w:name w:val="ourfont3"/>
    <w:basedOn w:val="1"/>
    <w:qFormat/>
    <w:uiPriority w:val="0"/>
    <w:pPr>
      <w:widowControl/>
      <w:spacing w:before="100" w:beforeAutospacing="1" w:after="100" w:afterAutospacing="1" w:line="240" w:lineRule="auto"/>
      <w:jc w:val="left"/>
    </w:pPr>
    <w:rPr>
      <w:rFonts w:ascii="Verdana" w:hAnsi="Verdana" w:eastAsia="宋体" w:cs="Verdana"/>
      <w:kern w:val="0"/>
      <w:sz w:val="24"/>
      <w:szCs w:val="24"/>
    </w:rPr>
  </w:style>
  <w:style w:type="paragraph" w:customStyle="1" w:styleId="2313">
    <w:name w:val="Char1 Char Char Char1 Char Char Char"/>
    <w:basedOn w:val="1"/>
    <w:qFormat/>
    <w:uiPriority w:val="0"/>
    <w:pPr>
      <w:widowControl/>
      <w:spacing w:line="240" w:lineRule="auto"/>
      <w:jc w:val="left"/>
    </w:pPr>
    <w:rPr>
      <w:rFonts w:ascii="仿宋_GB2312" w:hAnsi="仿宋_GB2312" w:eastAsia="宋体" w:cs="仿宋_GB2312"/>
      <w:sz w:val="24"/>
      <w:szCs w:val="24"/>
    </w:rPr>
  </w:style>
  <w:style w:type="paragraph" w:customStyle="1" w:styleId="2314">
    <w:name w:val="定表"/>
    <w:basedOn w:val="1"/>
    <w:qFormat/>
    <w:uiPriority w:val="0"/>
    <w:pPr>
      <w:widowControl/>
      <w:snapToGrid w:val="0"/>
      <w:spacing w:afterLines="50" w:line="240" w:lineRule="auto"/>
      <w:jc w:val="left"/>
    </w:pPr>
    <w:rPr>
      <w:rFonts w:ascii="黑体" w:hAnsi="黑体" w:eastAsia="宋体" w:cs="黑体"/>
      <w:szCs w:val="24"/>
    </w:rPr>
  </w:style>
  <w:style w:type="paragraph" w:customStyle="1" w:styleId="2315">
    <w:name w:val="样式 纯文本 + (西文) Times New Roman (中文) 楷体_GB2312 四号 行距: 固定值 25 磅"/>
    <w:basedOn w:val="46"/>
    <w:qFormat/>
    <w:uiPriority w:val="0"/>
    <w:pPr>
      <w:widowControl/>
      <w:snapToGrid w:val="0"/>
      <w:spacing w:line="500" w:lineRule="exact"/>
      <w:ind w:firstLine="555"/>
      <w:jc w:val="left"/>
    </w:pPr>
    <w:rPr>
      <w:rFonts w:ascii="仿宋_GB2312" w:hAnsi="仿宋_GB2312" w:eastAsia="经典叠圆体简" w:cs="Verdana"/>
      <w:sz w:val="28"/>
    </w:rPr>
  </w:style>
  <w:style w:type="paragraph" w:customStyle="1" w:styleId="2316">
    <w:name w:val="样式 标题 3 + 左侧:  0 厘米 悬挂缩进: 7.2 字符 段前: 4.65 磅 段后: 6 磅 行距: 固定值 ..."/>
    <w:basedOn w:val="7"/>
    <w:qFormat/>
    <w:uiPriority w:val="0"/>
    <w:pPr>
      <w:widowControl/>
      <w:numPr>
        <w:ilvl w:val="0"/>
        <w:numId w:val="0"/>
      </w:numPr>
      <w:spacing w:before="93" w:after="120" w:line="440" w:lineRule="exact"/>
      <w:ind w:left="720" w:hanging="720"/>
    </w:pPr>
    <w:rPr>
      <w:rFonts w:eastAsia="黑体" w:cs="Times New Roman"/>
      <w:b w:val="0"/>
      <w:bCs w:val="0"/>
      <w:sz w:val="26"/>
      <w:szCs w:val="20"/>
    </w:rPr>
  </w:style>
  <w:style w:type="paragraph" w:customStyle="1" w:styleId="2317">
    <w:name w:val="样式 正文(首行缩进) + 8 磅 加粗 首行缩进:  2 字符"/>
    <w:basedOn w:val="1"/>
    <w:qFormat/>
    <w:uiPriority w:val="0"/>
    <w:pPr>
      <w:widowControl/>
      <w:adjustRightInd w:val="0"/>
      <w:snapToGrid w:val="0"/>
      <w:spacing w:line="240" w:lineRule="auto"/>
      <w:ind w:firstLine="200" w:firstLineChars="200"/>
      <w:jc w:val="left"/>
    </w:pPr>
    <w:rPr>
      <w:rFonts w:ascii="仿宋_GB2312" w:hAnsi="仿宋_GB2312" w:eastAsia="宋体" w:cs="Verdana"/>
      <w:b/>
      <w:bCs/>
      <w:kern w:val="0"/>
      <w:sz w:val="16"/>
      <w:szCs w:val="20"/>
    </w:rPr>
  </w:style>
  <w:style w:type="paragraph" w:customStyle="1" w:styleId="2318">
    <w:name w:val="wenzi"/>
    <w:basedOn w:val="1"/>
    <w:qFormat/>
    <w:uiPriority w:val="0"/>
    <w:pPr>
      <w:widowControl/>
      <w:spacing w:before="100" w:beforeAutospacing="1" w:after="100" w:afterAutospacing="1" w:line="360" w:lineRule="atLeast"/>
      <w:jc w:val="left"/>
    </w:pPr>
    <w:rPr>
      <w:rFonts w:ascii="Verdana" w:hAnsi="Verdana" w:eastAsia="宋体" w:cs="仿宋_GB2312"/>
      <w:color w:val="000000"/>
      <w:kern w:val="0"/>
      <w:sz w:val="18"/>
      <w:szCs w:val="18"/>
    </w:rPr>
  </w:style>
  <w:style w:type="paragraph" w:customStyle="1" w:styleId="2319">
    <w:name w:val="样式 标题 3标题3小标题1.1.1标题 3Char1 Char1Char1 Char CharChar1 Cha...1"/>
    <w:basedOn w:val="7"/>
    <w:qFormat/>
    <w:uiPriority w:val="0"/>
    <w:pPr>
      <w:widowControl/>
      <w:numPr>
        <w:ilvl w:val="0"/>
        <w:numId w:val="0"/>
      </w:numPr>
      <w:autoSpaceDE w:val="0"/>
      <w:autoSpaceDN w:val="0"/>
      <w:adjustRightInd w:val="0"/>
      <w:spacing w:before="0" w:after="0" w:line="360" w:lineRule="auto"/>
      <w:textAlignment w:val="baseline"/>
    </w:pPr>
    <w:rPr>
      <w:rFonts w:eastAsia="宋体" w:cs="宋体"/>
      <w:color w:val="0000FF"/>
      <w:kern w:val="0"/>
      <w:szCs w:val="20"/>
    </w:rPr>
  </w:style>
  <w:style w:type="paragraph" w:customStyle="1" w:styleId="2320">
    <w:name w:val="标题4."/>
    <w:basedOn w:val="8"/>
    <w:qFormat/>
    <w:uiPriority w:val="0"/>
    <w:pPr>
      <w:widowControl/>
      <w:numPr>
        <w:ilvl w:val="0"/>
        <w:numId w:val="0"/>
      </w:numPr>
      <w:tabs>
        <w:tab w:val="left" w:pos="1800"/>
      </w:tabs>
      <w:spacing w:before="120" w:after="120" w:line="312" w:lineRule="auto"/>
      <w:ind w:left="851" w:hanging="851"/>
    </w:pPr>
    <w:rPr>
      <w:rFonts w:eastAsia="黑体" w:cs="Times New Roman"/>
      <w:bCs w:val="0"/>
      <w:szCs w:val="20"/>
    </w:rPr>
  </w:style>
  <w:style w:type="paragraph" w:customStyle="1" w:styleId="2321">
    <w:name w:val="调研内容"/>
    <w:basedOn w:val="1"/>
    <w:qFormat/>
    <w:uiPriority w:val="0"/>
    <w:pPr>
      <w:widowControl/>
      <w:jc w:val="left"/>
    </w:pPr>
    <w:rPr>
      <w:rFonts w:ascii="Times New Roman" w:hAnsi="Times New Roman" w:eastAsia="宋体" w:cs="Times New Roman"/>
      <w:szCs w:val="20"/>
    </w:rPr>
  </w:style>
  <w:style w:type="paragraph" w:customStyle="1" w:styleId="2322">
    <w:name w:val="样式 标题 3 + 黑体 加粗"/>
    <w:basedOn w:val="7"/>
    <w:qFormat/>
    <w:uiPriority w:val="0"/>
    <w:pPr>
      <w:widowControl/>
      <w:numPr>
        <w:ilvl w:val="0"/>
        <w:numId w:val="0"/>
      </w:numPr>
      <w:spacing w:before="0" w:after="0" w:line="440" w:lineRule="exact"/>
    </w:pPr>
    <w:rPr>
      <w:rFonts w:ascii="黑体" w:hAnsi="黑体" w:eastAsia="黑体" w:cs="Times New Roman"/>
      <w:b w:val="0"/>
      <w:kern w:val="0"/>
      <w:sz w:val="28"/>
    </w:rPr>
  </w:style>
  <w:style w:type="paragraph" w:customStyle="1" w:styleId="2323">
    <w:name w:val="列出段落11"/>
    <w:basedOn w:val="1"/>
    <w:qFormat/>
    <w:uiPriority w:val="0"/>
    <w:pPr>
      <w:widowControl/>
      <w:ind w:firstLine="420" w:firstLineChars="200"/>
      <w:jc w:val="left"/>
    </w:pPr>
    <w:rPr>
      <w:rFonts w:ascii="Times New Roman" w:hAnsi="Times New Roman" w:eastAsia="宋体" w:cs="Times New Roman"/>
      <w:sz w:val="24"/>
    </w:rPr>
  </w:style>
  <w:style w:type="paragraph" w:customStyle="1" w:styleId="2324">
    <w:name w:val="正文首行缩进11"/>
    <w:basedOn w:val="36"/>
    <w:qFormat/>
    <w:uiPriority w:val="0"/>
    <w:pPr>
      <w:widowControl/>
      <w:spacing w:line="240" w:lineRule="auto"/>
      <w:ind w:firstLine="420" w:firstLineChars="100"/>
      <w:jc w:val="left"/>
    </w:pPr>
    <w:rPr>
      <w:rFonts w:ascii="Times New Roman" w:hAnsi="Times New Roman" w:eastAsia="宋体" w:cs="Times New Roman"/>
      <w:kern w:val="0"/>
      <w:sz w:val="24"/>
      <w:szCs w:val="24"/>
    </w:rPr>
  </w:style>
  <w:style w:type="paragraph" w:customStyle="1" w:styleId="2325">
    <w:name w:val="日期11"/>
    <w:basedOn w:val="1"/>
    <w:next w:val="1"/>
    <w:qFormat/>
    <w:uiPriority w:val="0"/>
    <w:pPr>
      <w:widowControl/>
      <w:ind w:left="100" w:leftChars="2500" w:firstLine="200" w:firstLineChars="200"/>
      <w:jc w:val="left"/>
    </w:pPr>
    <w:rPr>
      <w:rFonts w:ascii="Calibri" w:hAnsi="Calibri" w:eastAsia="宋体" w:cs="Times New Roman"/>
      <w:kern w:val="0"/>
      <w:sz w:val="24"/>
      <w:szCs w:val="20"/>
    </w:rPr>
  </w:style>
  <w:style w:type="paragraph" w:customStyle="1" w:styleId="2326">
    <w:name w:val="Char Char Char1 Char Char Char Char Char Char Char Char Char Char1"/>
    <w:basedOn w:val="1"/>
    <w:qFormat/>
    <w:uiPriority w:val="0"/>
    <w:pPr>
      <w:widowControl/>
      <w:spacing w:line="240" w:lineRule="atLeast"/>
      <w:ind w:left="420" w:firstLine="420"/>
      <w:jc w:val="left"/>
    </w:pPr>
    <w:rPr>
      <w:rFonts w:ascii="Times New Roman" w:hAnsi="Times New Roman" w:eastAsia="宋体" w:cs="Times New Roman"/>
      <w:szCs w:val="24"/>
    </w:rPr>
  </w:style>
  <w:style w:type="paragraph" w:customStyle="1" w:styleId="2327">
    <w:name w:val="Char Char3 Char Char1"/>
    <w:basedOn w:val="1"/>
    <w:qFormat/>
    <w:uiPriority w:val="0"/>
    <w:pPr>
      <w:widowControl/>
      <w:ind w:firstLine="200" w:firstLineChars="200"/>
      <w:jc w:val="left"/>
    </w:pPr>
    <w:rPr>
      <w:rFonts w:ascii="Times New Roman" w:hAnsi="Times New Roman" w:eastAsia="宋体" w:cs="Times New Roman"/>
      <w:szCs w:val="24"/>
    </w:rPr>
  </w:style>
  <w:style w:type="paragraph" w:customStyle="1" w:styleId="2328">
    <w:name w:val="正文1 Char Char Char Char"/>
    <w:basedOn w:val="1"/>
    <w:qFormat/>
    <w:uiPriority w:val="0"/>
    <w:pPr>
      <w:widowControl/>
      <w:tabs>
        <w:tab w:val="left" w:pos="5327"/>
        <w:tab w:val="left" w:pos="6326"/>
        <w:tab w:val="left" w:pos="7230"/>
        <w:tab w:val="left" w:pos="9301"/>
      </w:tabs>
      <w:autoSpaceDE w:val="0"/>
      <w:autoSpaceDN w:val="0"/>
      <w:adjustRightInd w:val="0"/>
      <w:snapToGrid w:val="0"/>
      <w:spacing w:line="600" w:lineRule="exact"/>
      <w:ind w:firstLine="200" w:firstLineChars="200"/>
      <w:jc w:val="left"/>
    </w:pPr>
    <w:rPr>
      <w:rFonts w:ascii="Arial Narrow" w:hAnsi="Arial Narrow" w:eastAsia="仿宋_GB2312" w:cs="Times New Roman"/>
      <w:color w:val="000000"/>
      <w:kern w:val="10"/>
      <w:sz w:val="28"/>
      <w:szCs w:val="28"/>
    </w:rPr>
  </w:style>
  <w:style w:type="paragraph" w:customStyle="1" w:styleId="2329">
    <w:name w:val="标题 5项"/>
    <w:basedOn w:val="9"/>
    <w:link w:val="2330"/>
    <w:qFormat/>
    <w:uiPriority w:val="0"/>
    <w:pPr>
      <w:keepLines w:val="0"/>
      <w:adjustRightInd w:val="0"/>
      <w:snapToGrid w:val="0"/>
      <w:spacing w:before="0" w:after="0" w:line="360" w:lineRule="auto"/>
      <w:ind w:firstLine="280" w:firstLineChars="100"/>
    </w:pPr>
    <w:rPr>
      <w:rFonts w:eastAsia="宋体" w:cs="Times New Roman"/>
      <w:b w:val="0"/>
      <w:bCs w:val="0"/>
      <w:sz w:val="28"/>
    </w:rPr>
  </w:style>
  <w:style w:type="character" w:customStyle="1" w:styleId="2330">
    <w:name w:val="标题 5项 Char"/>
    <w:link w:val="2329"/>
    <w:qFormat/>
    <w:uiPriority w:val="0"/>
    <w:rPr>
      <w:rFonts w:ascii="Times New Roman" w:hAnsi="Times New Roman" w:eastAsia="宋体" w:cs="Times New Roman"/>
      <w:sz w:val="28"/>
      <w:szCs w:val="28"/>
    </w:rPr>
  </w:style>
  <w:style w:type="character" w:customStyle="1" w:styleId="2331">
    <w:name w:val="页眉 字符"/>
    <w:qFormat/>
    <w:uiPriority w:val="0"/>
    <w:rPr>
      <w:sz w:val="18"/>
      <w:szCs w:val="18"/>
    </w:rPr>
  </w:style>
  <w:style w:type="character" w:customStyle="1" w:styleId="2332">
    <w:name w:val="页脚 字符"/>
    <w:qFormat/>
    <w:uiPriority w:val="0"/>
    <w:rPr>
      <w:sz w:val="18"/>
      <w:szCs w:val="18"/>
    </w:rPr>
  </w:style>
  <w:style w:type="character" w:customStyle="1" w:styleId="2333">
    <w:name w:val="标题 4 Char1"/>
    <w:qFormat/>
    <w:uiPriority w:val="0"/>
    <w:rPr>
      <w:rFonts w:eastAsia="黑体"/>
      <w:sz w:val="30"/>
      <w:szCs w:val="30"/>
      <w:lang w:val="en-US" w:eastAsia="zh-CN" w:bidi="ar-SA"/>
    </w:rPr>
  </w:style>
  <w:style w:type="paragraph" w:customStyle="1" w:styleId="2334">
    <w:name w:val="样式 小四 行距: 1.5 倍行距 首行缩进:  2 字符"/>
    <w:basedOn w:val="1"/>
    <w:qFormat/>
    <w:uiPriority w:val="0"/>
    <w:pPr>
      <w:adjustRightInd w:val="0"/>
      <w:snapToGrid w:val="0"/>
      <w:ind w:firstLine="600" w:firstLineChars="200"/>
    </w:pPr>
    <w:rPr>
      <w:rFonts w:ascii="Times New Roman" w:hAnsi="Times New Roman" w:eastAsia="宋体" w:cs="宋体"/>
      <w:sz w:val="24"/>
      <w:szCs w:val="24"/>
    </w:rPr>
  </w:style>
  <w:style w:type="character" w:customStyle="1" w:styleId="2335">
    <w:name w:val="标准表格 Char"/>
    <w:link w:val="2336"/>
    <w:qFormat/>
    <w:uiPriority w:val="0"/>
    <w:rPr>
      <w:rFonts w:eastAsia="宋体"/>
      <w:szCs w:val="21"/>
    </w:rPr>
  </w:style>
  <w:style w:type="paragraph" w:customStyle="1" w:styleId="2336">
    <w:name w:val="标准表格"/>
    <w:basedOn w:val="1"/>
    <w:link w:val="2335"/>
    <w:qFormat/>
    <w:uiPriority w:val="0"/>
    <w:pPr>
      <w:widowControl/>
      <w:adjustRightInd w:val="0"/>
      <w:snapToGrid w:val="0"/>
      <w:spacing w:line="240" w:lineRule="auto"/>
      <w:jc w:val="center"/>
    </w:pPr>
    <w:rPr>
      <w:rFonts w:eastAsia="宋体"/>
    </w:rPr>
  </w:style>
  <w:style w:type="character" w:customStyle="1" w:styleId="2337">
    <w:name w:val="图名表头 Char"/>
    <w:link w:val="2338"/>
    <w:qFormat/>
    <w:uiPriority w:val="0"/>
    <w:rPr>
      <w:b/>
      <w:sz w:val="24"/>
      <w:szCs w:val="21"/>
    </w:rPr>
  </w:style>
  <w:style w:type="paragraph" w:customStyle="1" w:styleId="2338">
    <w:name w:val="图名表头"/>
    <w:basedOn w:val="1"/>
    <w:link w:val="2337"/>
    <w:qFormat/>
    <w:uiPriority w:val="0"/>
    <w:pPr>
      <w:overflowPunct w:val="0"/>
      <w:adjustRightInd w:val="0"/>
      <w:snapToGrid w:val="0"/>
      <w:spacing w:line="240" w:lineRule="auto"/>
      <w:jc w:val="center"/>
      <w:textAlignment w:val="baseline"/>
    </w:pPr>
    <w:rPr>
      <w:b/>
      <w:sz w:val="24"/>
    </w:rPr>
  </w:style>
  <w:style w:type="paragraph" w:customStyle="1" w:styleId="2339">
    <w:name w:val="表格格式"/>
    <w:qFormat/>
    <w:uiPriority w:val="0"/>
    <w:pPr>
      <w:jc w:val="center"/>
    </w:pPr>
    <w:rPr>
      <w:rFonts w:ascii="Times New Roman" w:hAnsi="Times New Roman" w:eastAsia="宋体" w:cs="Times New Roman"/>
      <w:sz w:val="21"/>
      <w:szCs w:val="21"/>
      <w:lang w:val="en-US" w:eastAsia="zh-CN" w:bidi="ar-SA"/>
    </w:rPr>
  </w:style>
  <w:style w:type="paragraph" w:customStyle="1" w:styleId="2340">
    <w:name w:val="楷体样式 正文文本"/>
    <w:basedOn w:val="1"/>
    <w:qFormat/>
    <w:uiPriority w:val="0"/>
    <w:pPr>
      <w:snapToGrid w:val="0"/>
      <w:ind w:firstLine="560" w:firstLineChars="200"/>
    </w:pPr>
    <w:rPr>
      <w:rFonts w:ascii="Times New Roman" w:hAnsi="Times New Roman" w:eastAsia="楷体_GB2312" w:cs="Times New Roman"/>
      <w:sz w:val="28"/>
      <w:szCs w:val="24"/>
    </w:rPr>
  </w:style>
  <w:style w:type="paragraph" w:customStyle="1" w:styleId="2341">
    <w:name w:val="表头和图名"/>
    <w:basedOn w:val="1"/>
    <w:qFormat/>
    <w:uiPriority w:val="0"/>
    <w:pPr>
      <w:autoSpaceDE w:val="0"/>
      <w:autoSpaceDN w:val="0"/>
      <w:adjustRightInd w:val="0"/>
      <w:snapToGrid w:val="0"/>
      <w:spacing w:line="240" w:lineRule="auto"/>
      <w:jc w:val="center"/>
      <w:textAlignment w:val="baseline"/>
    </w:pPr>
    <w:rPr>
      <w:rFonts w:ascii="Times New Roman" w:hAnsi="Times New Roman" w:eastAsia="宋体" w:cs="Times New Roman"/>
      <w:b/>
      <w:kern w:val="0"/>
      <w:sz w:val="24"/>
      <w:szCs w:val="24"/>
    </w:rPr>
  </w:style>
  <w:style w:type="character" w:customStyle="1" w:styleId="2342">
    <w:name w:val="16"/>
    <w:qFormat/>
    <w:uiPriority w:val="0"/>
    <w:rPr>
      <w:rFonts w:hint="default" w:ascii="Times New Roman" w:hAnsi="Times New Roman" w:eastAsia="黑体" w:cs="宋体"/>
      <w:b/>
      <w:bCs/>
      <w:kern w:val="2"/>
      <w:sz w:val="24"/>
      <w:szCs w:val="24"/>
      <w:lang w:val="en-US" w:eastAsia="zh-CN" w:bidi="ar-SA"/>
    </w:rPr>
  </w:style>
  <w:style w:type="character" w:customStyle="1" w:styleId="2343">
    <w:name w:val="+++++正文 Char"/>
    <w:qFormat/>
    <w:uiPriority w:val="0"/>
    <w:rPr>
      <w:rFonts w:eastAsia="黑体"/>
      <w:b/>
      <w:kern w:val="2"/>
      <w:sz w:val="24"/>
      <w:szCs w:val="24"/>
      <w:lang w:val="en-US" w:eastAsia="zh-CN" w:bidi="ar-SA"/>
    </w:rPr>
  </w:style>
  <w:style w:type="character" w:customStyle="1" w:styleId="2344">
    <w:name w:val="章 Char Char1"/>
    <w:qFormat/>
    <w:uiPriority w:val="0"/>
    <w:rPr>
      <w:rFonts w:eastAsia="宋体"/>
      <w:b/>
      <w:bCs/>
      <w:kern w:val="2"/>
      <w:sz w:val="32"/>
      <w:szCs w:val="32"/>
      <w:lang w:val="en-US" w:eastAsia="zh-CN" w:bidi="ar-SA"/>
    </w:rPr>
  </w:style>
  <w:style w:type="character" w:customStyle="1" w:styleId="2345">
    <w:name w:val="h2 Char3"/>
    <w:qFormat/>
    <w:uiPriority w:val="0"/>
    <w:rPr>
      <w:rFonts w:eastAsia="宋体"/>
      <w:b/>
      <w:kern w:val="2"/>
      <w:sz w:val="24"/>
      <w:szCs w:val="30"/>
      <w:lang w:val="en-US" w:eastAsia="zh-CN" w:bidi="ar-SA"/>
    </w:rPr>
  </w:style>
  <w:style w:type="character" w:customStyle="1" w:styleId="2346">
    <w:name w:val="标题 3 Char Char Char Char"/>
    <w:semiHidden/>
    <w:qFormat/>
    <w:uiPriority w:val="0"/>
    <w:rPr>
      <w:rFonts w:eastAsia="宋体"/>
      <w:kern w:val="2"/>
      <w:sz w:val="28"/>
      <w:szCs w:val="24"/>
      <w:lang w:val="en-US" w:eastAsia="zh-CN" w:bidi="ar-SA"/>
    </w:rPr>
  </w:style>
  <w:style w:type="character" w:customStyle="1" w:styleId="2347">
    <w:name w:val="款标题1.1.1.1 Char2"/>
    <w:semiHidden/>
    <w:qFormat/>
    <w:uiPriority w:val="0"/>
    <w:rPr>
      <w:rFonts w:eastAsia="宋体"/>
      <w:bCs/>
      <w:kern w:val="2"/>
      <w:sz w:val="24"/>
      <w:szCs w:val="30"/>
      <w:lang w:val="en-US" w:eastAsia="zh-CN" w:bidi="ar-SA"/>
    </w:rPr>
  </w:style>
  <w:style w:type="character" w:customStyle="1" w:styleId="2348">
    <w:name w:val="标题 5 Char Char1"/>
    <w:basedOn w:val="91"/>
    <w:semiHidden/>
    <w:qFormat/>
    <w:uiPriority w:val="0"/>
    <w:rPr>
      <w:rFonts w:eastAsia="宋体"/>
      <w:kern w:val="2"/>
      <w:sz w:val="24"/>
      <w:szCs w:val="24"/>
      <w:lang w:val="en-US" w:eastAsia="zh-CN" w:bidi="ar-SA"/>
    </w:rPr>
  </w:style>
  <w:style w:type="character" w:customStyle="1" w:styleId="2349">
    <w:name w:val="图标题 Char"/>
    <w:semiHidden/>
    <w:qFormat/>
    <w:uiPriority w:val="0"/>
    <w:rPr>
      <w:rFonts w:ascii="Arial" w:hAnsi="Arial" w:eastAsia="黑体"/>
      <w:b/>
      <w:bCs/>
      <w:kern w:val="2"/>
      <w:sz w:val="24"/>
      <w:szCs w:val="24"/>
      <w:lang w:val="en-US" w:eastAsia="zh-CN" w:bidi="ar-SA"/>
    </w:rPr>
  </w:style>
  <w:style w:type="character" w:customStyle="1" w:styleId="2350">
    <w:name w:val="Char Char45"/>
    <w:qFormat/>
    <w:uiPriority w:val="0"/>
    <w:rPr>
      <w:rFonts w:eastAsia="宋体"/>
      <w:b/>
      <w:bCs/>
      <w:kern w:val="2"/>
      <w:sz w:val="24"/>
      <w:szCs w:val="24"/>
      <w:lang w:val="en-US" w:eastAsia="zh-CN" w:bidi="ar-SA"/>
    </w:rPr>
  </w:style>
  <w:style w:type="character" w:customStyle="1" w:styleId="2351">
    <w:name w:val="Char Char44"/>
    <w:qFormat/>
    <w:uiPriority w:val="0"/>
    <w:rPr>
      <w:rFonts w:ascii="Arial" w:hAnsi="Arial" w:eastAsia="黑体"/>
      <w:kern w:val="2"/>
      <w:sz w:val="24"/>
      <w:szCs w:val="24"/>
      <w:lang w:val="en-US" w:eastAsia="zh-CN" w:bidi="ar-SA"/>
    </w:rPr>
  </w:style>
  <w:style w:type="character" w:customStyle="1" w:styleId="2352">
    <w:name w:val="正文文字缩进 2 Char Char1"/>
    <w:qFormat/>
    <w:uiPriority w:val="0"/>
    <w:rPr>
      <w:rFonts w:ascii="仿宋_GB2312" w:eastAsia="仿宋_GB2312"/>
      <w:kern w:val="2"/>
      <w:sz w:val="28"/>
      <w:szCs w:val="24"/>
      <w:lang w:val="en-US" w:eastAsia="zh-CN" w:bidi="ar-SA"/>
    </w:rPr>
  </w:style>
  <w:style w:type="character" w:customStyle="1" w:styleId="2353">
    <w:name w:val="四号 Char"/>
    <w:qFormat/>
    <w:uiPriority w:val="0"/>
    <w:rPr>
      <w:rFonts w:eastAsia="宋体"/>
      <w:kern w:val="2"/>
      <w:sz w:val="24"/>
      <w:szCs w:val="24"/>
      <w:lang w:val="en-US" w:eastAsia="zh-CN" w:bidi="ar-SA"/>
    </w:rPr>
  </w:style>
  <w:style w:type="character" w:customStyle="1" w:styleId="2354">
    <w:name w:val="正文文字缩进 3 Char Char1"/>
    <w:qFormat/>
    <w:uiPriority w:val="0"/>
    <w:rPr>
      <w:rFonts w:eastAsia="宋体"/>
      <w:kern w:val="2"/>
      <w:sz w:val="24"/>
      <w:szCs w:val="24"/>
      <w:lang w:val="en-US" w:eastAsia="zh-CN" w:bidi="ar-SA"/>
    </w:rPr>
  </w:style>
  <w:style w:type="character" w:customStyle="1" w:styleId="2355">
    <w:name w:val="正文文字 21 Char1"/>
    <w:qFormat/>
    <w:uiPriority w:val="0"/>
    <w:rPr>
      <w:rFonts w:ascii="仿宋_GB2312" w:eastAsia="仿宋_GB2312"/>
      <w:kern w:val="2"/>
      <w:sz w:val="32"/>
      <w:szCs w:val="32"/>
      <w:lang w:val="en-US" w:eastAsia="zh-CN" w:bidi="ar-SA"/>
    </w:rPr>
  </w:style>
  <w:style w:type="paragraph" w:customStyle="1" w:styleId="2356">
    <w:name w:val="Char4 Char Char Char2"/>
    <w:basedOn w:val="1"/>
    <w:qFormat/>
    <w:uiPriority w:val="0"/>
    <w:pPr>
      <w:adjustRightInd w:val="0"/>
      <w:snapToGrid w:val="0"/>
      <w:ind w:firstLine="200" w:firstLineChars="200"/>
    </w:pPr>
    <w:rPr>
      <w:rFonts w:ascii="Times New Roman" w:hAnsi="Times New Roman" w:eastAsia="宋体" w:cs="Times New Roman"/>
      <w:sz w:val="24"/>
      <w:szCs w:val="20"/>
    </w:rPr>
  </w:style>
  <w:style w:type="paragraph" w:customStyle="1" w:styleId="2357">
    <w:name w:val="Char2 Char Char Char Char Char Char1 Char Char Char Char Char Char2"/>
    <w:basedOn w:val="1"/>
    <w:qFormat/>
    <w:uiPriority w:val="0"/>
    <w:pPr>
      <w:ind w:firstLine="200" w:firstLineChars="200"/>
    </w:pPr>
    <w:rPr>
      <w:rFonts w:ascii="宋体" w:hAnsi="宋体" w:eastAsia="宋体" w:cs="宋体"/>
      <w:sz w:val="24"/>
      <w:szCs w:val="24"/>
    </w:rPr>
  </w:style>
  <w:style w:type="paragraph" w:customStyle="1" w:styleId="2358">
    <w:name w:val="Char22"/>
    <w:basedOn w:val="1"/>
    <w:qFormat/>
    <w:uiPriority w:val="0"/>
    <w:pPr>
      <w:tabs>
        <w:tab w:val="left" w:pos="360"/>
        <w:tab w:val="left" w:pos="1545"/>
      </w:tabs>
      <w:spacing w:line="240" w:lineRule="auto"/>
    </w:pPr>
    <w:rPr>
      <w:rFonts w:ascii="Times New Roman" w:hAnsi="Times New Roman" w:eastAsia="宋体" w:cs="Times New Roman"/>
      <w:szCs w:val="24"/>
    </w:rPr>
  </w:style>
  <w:style w:type="paragraph" w:customStyle="1" w:styleId="2359">
    <w:name w:val="Char Char Char3"/>
    <w:basedOn w:val="1"/>
    <w:qFormat/>
    <w:uiPriority w:val="0"/>
    <w:pPr>
      <w:spacing w:line="240" w:lineRule="auto"/>
    </w:pPr>
    <w:rPr>
      <w:rFonts w:ascii="Times New Roman" w:hAnsi="Times New Roman" w:eastAsia="宋体" w:cs="Times New Roman"/>
      <w:sz w:val="24"/>
      <w:szCs w:val="24"/>
    </w:rPr>
  </w:style>
  <w:style w:type="character" w:customStyle="1" w:styleId="2360">
    <w:name w:val="Char Char222"/>
    <w:qFormat/>
    <w:uiPriority w:val="0"/>
    <w:rPr>
      <w:rFonts w:ascii="宋体" w:hAnsi="宋体" w:eastAsia="仿宋_GB2312"/>
      <w:kern w:val="2"/>
      <w:sz w:val="28"/>
      <w:lang w:val="en-US" w:eastAsia="zh-CN" w:bidi="ar-SA"/>
    </w:rPr>
  </w:style>
  <w:style w:type="paragraph" w:customStyle="1" w:styleId="2361">
    <w:name w:val="列出段落3"/>
    <w:basedOn w:val="1"/>
    <w:qFormat/>
    <w:uiPriority w:val="0"/>
    <w:pPr>
      <w:spacing w:line="240" w:lineRule="auto"/>
      <w:jc w:val="left"/>
    </w:pPr>
    <w:rPr>
      <w:rFonts w:ascii="Calibri" w:hAnsi="Calibri" w:eastAsia="宋体" w:cs="Calibri"/>
      <w:kern w:val="0"/>
      <w:sz w:val="22"/>
      <w:szCs w:val="22"/>
      <w:lang w:eastAsia="en-US"/>
    </w:rPr>
  </w:style>
  <w:style w:type="paragraph" w:customStyle="1" w:styleId="2362">
    <w:name w:val="Char1 Char Char Char Char Char Char Char Char2"/>
    <w:basedOn w:val="1"/>
    <w:qFormat/>
    <w:uiPriority w:val="0"/>
    <w:pPr>
      <w:ind w:firstLine="200" w:firstLineChars="200"/>
    </w:pPr>
    <w:rPr>
      <w:rFonts w:ascii="Times New Roman" w:hAnsi="Times New Roman" w:eastAsia="宋体" w:cs="Times New Roman"/>
      <w:szCs w:val="24"/>
    </w:rPr>
  </w:style>
  <w:style w:type="character" w:customStyle="1" w:styleId="2363">
    <w:name w:val="Char Char362"/>
    <w:qFormat/>
    <w:uiPriority w:val="0"/>
    <w:rPr>
      <w:b/>
      <w:kern w:val="2"/>
      <w:sz w:val="28"/>
    </w:rPr>
  </w:style>
  <w:style w:type="character" w:customStyle="1" w:styleId="2364">
    <w:name w:val="Char Char143"/>
    <w:qFormat/>
    <w:uiPriority w:val="0"/>
    <w:rPr>
      <w:kern w:val="2"/>
      <w:sz w:val="18"/>
      <w:szCs w:val="18"/>
    </w:rPr>
  </w:style>
  <w:style w:type="character" w:customStyle="1" w:styleId="2365">
    <w:name w:val="Char Char402"/>
    <w:qFormat/>
    <w:uiPriority w:val="0"/>
    <w:rPr>
      <w:rFonts w:ascii="宋体" w:eastAsia="黑体"/>
      <w:b/>
      <w:kern w:val="44"/>
      <w:sz w:val="44"/>
      <w:lang w:val="en-US" w:eastAsia="zh-CN" w:bidi="ar-SA"/>
    </w:rPr>
  </w:style>
  <w:style w:type="character" w:customStyle="1" w:styleId="2366">
    <w:name w:val="Char Char382"/>
    <w:qFormat/>
    <w:uiPriority w:val="0"/>
    <w:rPr>
      <w:rFonts w:eastAsia="宋体"/>
      <w:b/>
      <w:bCs/>
      <w:kern w:val="2"/>
      <w:sz w:val="26"/>
      <w:szCs w:val="32"/>
      <w:lang w:val="en-US" w:eastAsia="zh-CN" w:bidi="ar-SA"/>
    </w:rPr>
  </w:style>
  <w:style w:type="character" w:customStyle="1" w:styleId="2367">
    <w:name w:val="Char Char Char Char Char Char Char Char Char Char2"/>
    <w:qFormat/>
    <w:uiPriority w:val="0"/>
    <w:rPr>
      <w:rFonts w:ascii="宋体" w:hAnsi="宋体" w:eastAsia="宋体" w:cs="宋体"/>
      <w:kern w:val="2"/>
      <w:sz w:val="24"/>
      <w:szCs w:val="28"/>
    </w:rPr>
  </w:style>
  <w:style w:type="character" w:customStyle="1" w:styleId="2368">
    <w:name w:val="Char Char Char Char Char Char Char Char Char Char Char Char2"/>
    <w:qFormat/>
    <w:uiPriority w:val="0"/>
    <w:rPr>
      <w:rFonts w:ascii="宋体" w:hAnsi="宋体" w:eastAsia="宋体" w:cs="宋体"/>
      <w:kern w:val="2"/>
      <w:sz w:val="24"/>
      <w:szCs w:val="28"/>
    </w:rPr>
  </w:style>
  <w:style w:type="character" w:customStyle="1" w:styleId="2369">
    <w:name w:val="Char Char Char Char Char Char Char Char Char Char Char2"/>
    <w:link w:val="2370"/>
    <w:qFormat/>
    <w:uiPriority w:val="0"/>
  </w:style>
  <w:style w:type="paragraph" w:customStyle="1" w:styleId="2370">
    <w:name w:val="Char Char Char Char Char Char Char Char Char2"/>
    <w:basedOn w:val="1"/>
    <w:link w:val="2369"/>
    <w:qFormat/>
    <w:uiPriority w:val="0"/>
    <w:pPr>
      <w:spacing w:line="240" w:lineRule="auto"/>
    </w:pPr>
  </w:style>
  <w:style w:type="character" w:customStyle="1" w:styleId="2371">
    <w:name w:val="Char Char372"/>
    <w:qFormat/>
    <w:uiPriority w:val="0"/>
    <w:rPr>
      <w:rFonts w:eastAsia="黑体"/>
      <w:kern w:val="2"/>
      <w:sz w:val="24"/>
      <w:lang w:val="en-US" w:eastAsia="zh-CN" w:bidi="ar-SA"/>
    </w:rPr>
  </w:style>
  <w:style w:type="character" w:customStyle="1" w:styleId="2372">
    <w:name w:val="Char Char292"/>
    <w:qFormat/>
    <w:uiPriority w:val="0"/>
    <w:rPr>
      <w:rFonts w:eastAsia="宋体"/>
      <w:kern w:val="2"/>
      <w:sz w:val="24"/>
      <w:lang w:val="en-US" w:eastAsia="zh-CN" w:bidi="ar-SA"/>
    </w:rPr>
  </w:style>
  <w:style w:type="character" w:customStyle="1" w:styleId="2373">
    <w:name w:val="Char Char182"/>
    <w:qFormat/>
    <w:uiPriority w:val="0"/>
    <w:rPr>
      <w:kern w:val="2"/>
      <w:sz w:val="24"/>
      <w:szCs w:val="21"/>
    </w:rPr>
  </w:style>
  <w:style w:type="character" w:customStyle="1" w:styleId="2374">
    <w:name w:val="Char Char392"/>
    <w:qFormat/>
    <w:uiPriority w:val="0"/>
    <w:rPr>
      <w:rFonts w:ascii="Arial" w:hAnsi="Arial" w:eastAsia="黑体"/>
      <w:b/>
      <w:kern w:val="2"/>
      <w:sz w:val="28"/>
      <w:lang w:val="en-US" w:eastAsia="zh-CN" w:bidi="ar-SA"/>
    </w:rPr>
  </w:style>
  <w:style w:type="character" w:customStyle="1" w:styleId="2375">
    <w:name w:val="Char Char Char Char12"/>
    <w:qFormat/>
    <w:uiPriority w:val="0"/>
    <w:rPr>
      <w:rFonts w:ascii="宋体" w:eastAsia="宋体"/>
      <w:kern w:val="2"/>
      <w:sz w:val="24"/>
      <w:lang w:val="en-US" w:eastAsia="zh-CN"/>
    </w:rPr>
  </w:style>
  <w:style w:type="character" w:customStyle="1" w:styleId="2376">
    <w:name w:val="Char Char272"/>
    <w:qFormat/>
    <w:uiPriority w:val="0"/>
    <w:rPr>
      <w:rFonts w:eastAsia="幼圆"/>
      <w:kern w:val="2"/>
      <w:sz w:val="21"/>
      <w:szCs w:val="18"/>
      <w:lang w:val="en-US" w:eastAsia="zh-CN" w:bidi="ar-SA"/>
    </w:rPr>
  </w:style>
  <w:style w:type="character" w:customStyle="1" w:styleId="2377">
    <w:name w:val="Char Char92"/>
    <w:qFormat/>
    <w:uiPriority w:val="0"/>
    <w:rPr>
      <w:kern w:val="2"/>
      <w:sz w:val="18"/>
    </w:rPr>
  </w:style>
  <w:style w:type="character" w:customStyle="1" w:styleId="2378">
    <w:name w:val="Char Char352"/>
    <w:qFormat/>
    <w:uiPriority w:val="0"/>
    <w:rPr>
      <w:rFonts w:ascii="Arial" w:hAnsi="Arial" w:eastAsia="黑体"/>
      <w:b/>
      <w:kern w:val="2"/>
      <w:sz w:val="24"/>
    </w:rPr>
  </w:style>
  <w:style w:type="paragraph" w:customStyle="1" w:styleId="2379">
    <w:name w:val="Char4 Char Char Char Char Char Char12"/>
    <w:basedOn w:val="1"/>
    <w:qFormat/>
    <w:uiPriority w:val="0"/>
    <w:pPr>
      <w:ind w:firstLine="200" w:firstLineChars="200"/>
    </w:pPr>
    <w:rPr>
      <w:rFonts w:ascii="宋体" w:hAnsi="宋体" w:eastAsia="宋体" w:cs="宋体"/>
      <w:sz w:val="24"/>
      <w:szCs w:val="24"/>
    </w:rPr>
  </w:style>
  <w:style w:type="paragraph" w:customStyle="1" w:styleId="2380">
    <w:name w:val="正文文本 22"/>
    <w:basedOn w:val="1"/>
    <w:qFormat/>
    <w:uiPriority w:val="0"/>
    <w:pPr>
      <w:adjustRightInd w:val="0"/>
      <w:spacing w:line="240" w:lineRule="auto"/>
      <w:textAlignment w:val="baseline"/>
    </w:pPr>
    <w:rPr>
      <w:rFonts w:ascii="Times New Roman" w:hAnsi="Times New Roman" w:eastAsia="宋体" w:cs="Times New Roman"/>
      <w:kern w:val="0"/>
      <w:sz w:val="24"/>
      <w:szCs w:val="20"/>
    </w:rPr>
  </w:style>
  <w:style w:type="paragraph" w:customStyle="1" w:styleId="2381">
    <w:name w:val="修订2"/>
    <w:qFormat/>
    <w:uiPriority w:val="0"/>
    <w:rPr>
      <w:rFonts w:ascii="Times New Roman" w:hAnsi="Times New Roman" w:eastAsia="宋体" w:cs="Times New Roman"/>
      <w:kern w:val="2"/>
      <w:sz w:val="21"/>
      <w:lang w:val="en-US" w:eastAsia="zh-CN" w:bidi="ar-SA"/>
    </w:rPr>
  </w:style>
  <w:style w:type="paragraph" w:customStyle="1" w:styleId="2382">
    <w:name w:val="Char Char Char12"/>
    <w:basedOn w:val="1"/>
    <w:qFormat/>
    <w:uiPriority w:val="0"/>
    <w:pPr>
      <w:ind w:firstLine="200" w:firstLineChars="200"/>
    </w:pPr>
    <w:rPr>
      <w:rFonts w:ascii="宋体" w:hAnsi="宋体" w:eastAsia="宋体" w:cs="Times New Roman"/>
      <w:sz w:val="24"/>
      <w:szCs w:val="20"/>
    </w:rPr>
  </w:style>
  <w:style w:type="paragraph" w:customStyle="1" w:styleId="2383">
    <w:name w:val="Char1 Char Char Char2"/>
    <w:basedOn w:val="1"/>
    <w:qFormat/>
    <w:uiPriority w:val="0"/>
    <w:pPr>
      <w:spacing w:line="240" w:lineRule="auto"/>
    </w:pPr>
    <w:rPr>
      <w:rFonts w:ascii="Times New Roman" w:hAnsi="Times New Roman" w:eastAsia="宋体" w:cs="Times New Roman"/>
      <w:szCs w:val="20"/>
    </w:rPr>
  </w:style>
  <w:style w:type="paragraph" w:customStyle="1" w:styleId="2384">
    <w:name w:val="Char12"/>
    <w:basedOn w:val="1"/>
    <w:qFormat/>
    <w:uiPriority w:val="0"/>
    <w:pPr>
      <w:ind w:firstLine="200" w:firstLineChars="200"/>
    </w:pPr>
    <w:rPr>
      <w:rFonts w:ascii="宋体" w:hAnsi="宋体" w:eastAsia="宋体" w:cs="宋体"/>
      <w:sz w:val="24"/>
      <w:szCs w:val="24"/>
    </w:rPr>
  </w:style>
  <w:style w:type="paragraph" w:customStyle="1" w:styleId="2385">
    <w:name w:val="Char Char Char Char Char Char Char Char Char Char Char Char Char Char Char Char Char Char1 Char Char Char Char Char Char Char Char Char Char Char Char Char Char Char Char2"/>
    <w:basedOn w:val="1"/>
    <w:qFormat/>
    <w:uiPriority w:val="0"/>
    <w:pPr>
      <w:ind w:firstLine="200" w:firstLineChars="200"/>
    </w:pPr>
    <w:rPr>
      <w:rFonts w:ascii="宋体" w:hAnsi="Times New Roman" w:eastAsia="宋体" w:cs="Times New Roman"/>
      <w:sz w:val="24"/>
      <w:szCs w:val="20"/>
    </w:rPr>
  </w:style>
  <w:style w:type="paragraph" w:customStyle="1" w:styleId="2386">
    <w:name w:val="Char Char Char Char Char Char1 Char2"/>
    <w:basedOn w:val="1"/>
    <w:qFormat/>
    <w:uiPriority w:val="0"/>
    <w:pPr>
      <w:ind w:firstLine="200" w:firstLineChars="200"/>
    </w:pPr>
    <w:rPr>
      <w:rFonts w:ascii="宋体" w:hAnsi="宋体" w:eastAsia="宋体" w:cs="Times New Roman"/>
      <w:sz w:val="24"/>
      <w:szCs w:val="20"/>
    </w:rPr>
  </w:style>
  <w:style w:type="paragraph" w:customStyle="1" w:styleId="2387">
    <w:name w:val="Char52"/>
    <w:basedOn w:val="1"/>
    <w:qFormat/>
    <w:uiPriority w:val="0"/>
    <w:pPr>
      <w:shd w:val="clear" w:color="auto" w:fill="000080"/>
      <w:adjustRightInd w:val="0"/>
      <w:spacing w:line="436" w:lineRule="exact"/>
      <w:ind w:left="357"/>
      <w:jc w:val="left"/>
      <w:outlineLvl w:val="3"/>
    </w:pPr>
    <w:rPr>
      <w:rFonts w:ascii="Tahoma" w:hAnsi="Tahoma" w:eastAsia="宋体" w:cs="Times New Roman"/>
      <w:b/>
      <w:sz w:val="24"/>
      <w:szCs w:val="28"/>
      <w:shd w:val="clear" w:color="auto" w:fill="000080"/>
    </w:rPr>
  </w:style>
  <w:style w:type="paragraph" w:customStyle="1" w:styleId="2388">
    <w:name w:val="Char6"/>
    <w:basedOn w:val="1"/>
    <w:qFormat/>
    <w:uiPriority w:val="0"/>
    <w:pPr>
      <w:adjustRightInd w:val="0"/>
      <w:ind w:firstLine="200" w:firstLineChars="200"/>
    </w:pPr>
    <w:rPr>
      <w:rFonts w:ascii="宋体" w:hAnsi="宋体" w:eastAsia="宋体" w:cs="宋体"/>
      <w:sz w:val="24"/>
      <w:szCs w:val="24"/>
    </w:rPr>
  </w:style>
  <w:style w:type="paragraph" w:customStyle="1" w:styleId="2389">
    <w:name w:val="Char Char Char Char3"/>
    <w:basedOn w:val="1"/>
    <w:qFormat/>
    <w:uiPriority w:val="0"/>
    <w:pPr>
      <w:ind w:firstLine="200" w:firstLineChars="200"/>
    </w:pPr>
    <w:rPr>
      <w:rFonts w:ascii="宋体" w:hAnsi="宋体" w:eastAsia="宋体" w:cs="宋体"/>
      <w:sz w:val="24"/>
      <w:szCs w:val="24"/>
    </w:rPr>
  </w:style>
  <w:style w:type="paragraph" w:customStyle="1" w:styleId="2390">
    <w:name w:val="Char Char Char Char Char Char Char Char Char Char Char Char Char Char Char Char Char Char Char Char Char Char Char Char Char2"/>
    <w:basedOn w:val="1"/>
    <w:qFormat/>
    <w:uiPriority w:val="0"/>
    <w:pPr>
      <w:ind w:firstLine="200" w:firstLineChars="200"/>
    </w:pPr>
    <w:rPr>
      <w:rFonts w:ascii="宋体" w:hAnsi="宋体" w:eastAsia="宋体" w:cs="宋体"/>
      <w:sz w:val="24"/>
      <w:szCs w:val="24"/>
    </w:rPr>
  </w:style>
  <w:style w:type="paragraph" w:customStyle="1" w:styleId="2391">
    <w:name w:val="Char Char Char Char Char Char Char Char Char Char Char Char Char Char Char Char Char Char Char2"/>
    <w:basedOn w:val="1"/>
    <w:qFormat/>
    <w:uiPriority w:val="0"/>
    <w:pPr>
      <w:ind w:firstLine="200" w:firstLineChars="200"/>
    </w:pPr>
    <w:rPr>
      <w:rFonts w:ascii="宋体" w:hAnsi="宋体" w:eastAsia="宋体" w:cs="宋体"/>
      <w:sz w:val="24"/>
      <w:szCs w:val="24"/>
    </w:rPr>
  </w:style>
  <w:style w:type="paragraph" w:customStyle="1" w:styleId="2392">
    <w:name w:val="Char Char Char Char Char Char4"/>
    <w:basedOn w:val="1"/>
    <w:qFormat/>
    <w:uiPriority w:val="0"/>
    <w:pPr>
      <w:ind w:firstLine="200" w:firstLineChars="200"/>
    </w:pPr>
    <w:rPr>
      <w:rFonts w:ascii="宋体" w:hAnsi="宋体" w:eastAsia="宋体" w:cs="宋体"/>
      <w:sz w:val="24"/>
      <w:szCs w:val="24"/>
    </w:rPr>
  </w:style>
  <w:style w:type="paragraph" w:customStyle="1" w:styleId="2393">
    <w:name w:val="日期2"/>
    <w:basedOn w:val="1"/>
    <w:next w:val="1"/>
    <w:qFormat/>
    <w:uiPriority w:val="0"/>
    <w:pPr>
      <w:adjustRightInd w:val="0"/>
      <w:spacing w:line="240" w:lineRule="auto"/>
      <w:textAlignment w:val="baseline"/>
    </w:pPr>
    <w:rPr>
      <w:rFonts w:ascii="Times New Roman" w:hAnsi="Times New Roman" w:eastAsia="宋体" w:cs="Times New Roman"/>
      <w:snapToGrid w:val="0"/>
      <w:sz w:val="24"/>
      <w:szCs w:val="20"/>
    </w:rPr>
  </w:style>
  <w:style w:type="paragraph" w:customStyle="1" w:styleId="2394">
    <w:name w:val="Char Char Char Char Char Char Char Char Char Char Char Char Char Char Char Char Char Char2"/>
    <w:basedOn w:val="1"/>
    <w:qFormat/>
    <w:uiPriority w:val="0"/>
    <w:pPr>
      <w:spacing w:line="240" w:lineRule="auto"/>
    </w:pPr>
    <w:rPr>
      <w:rFonts w:ascii="宋体" w:hAnsi="Times New Roman" w:eastAsia="宋体" w:cs="Times New Roman"/>
      <w:sz w:val="24"/>
      <w:szCs w:val="20"/>
    </w:rPr>
  </w:style>
  <w:style w:type="paragraph" w:customStyle="1" w:styleId="2395">
    <w:name w:val="Char Char Char Char Char Char Char Char Char Char Char Char Char Char Char Char Char Char1 Char Char Char Char2"/>
    <w:basedOn w:val="1"/>
    <w:qFormat/>
    <w:uiPriority w:val="0"/>
    <w:pPr>
      <w:spacing w:line="240" w:lineRule="auto"/>
    </w:pPr>
    <w:rPr>
      <w:rFonts w:ascii="Times New Roman" w:hAnsi="Times New Roman" w:eastAsia="宋体" w:cs="Times New Roman"/>
      <w:szCs w:val="24"/>
    </w:rPr>
  </w:style>
  <w:style w:type="paragraph" w:customStyle="1" w:styleId="2396">
    <w:name w:val="正文文本缩进 32"/>
    <w:basedOn w:val="1"/>
    <w:qFormat/>
    <w:uiPriority w:val="0"/>
    <w:pPr>
      <w:adjustRightInd w:val="0"/>
      <w:spacing w:line="300" w:lineRule="auto"/>
      <w:ind w:firstLine="691"/>
      <w:textAlignment w:val="baseline"/>
    </w:pPr>
    <w:rPr>
      <w:rFonts w:ascii="宋体" w:hAnsi="Times New Roman" w:eastAsia="宋体" w:cs="Times New Roman"/>
      <w:kern w:val="0"/>
      <w:sz w:val="28"/>
      <w:szCs w:val="20"/>
    </w:rPr>
  </w:style>
  <w:style w:type="paragraph" w:customStyle="1" w:styleId="2397">
    <w:name w:val="Char Char Char Char Char Char Char Char Char Char Char Char Char Char Char Char Char Char Char Char Char Char Char Char Char Char Char Char Char Char Char Char Char2"/>
    <w:basedOn w:val="1"/>
    <w:qFormat/>
    <w:uiPriority w:val="0"/>
    <w:pPr>
      <w:widowControl/>
      <w:spacing w:after="160" w:line="240" w:lineRule="exact"/>
      <w:jc w:val="left"/>
    </w:pPr>
    <w:rPr>
      <w:rFonts w:ascii="Times New Roman" w:hAnsi="Times New Roman" w:eastAsia="宋体" w:cs="Times New Roman"/>
      <w:sz w:val="32"/>
      <w:szCs w:val="20"/>
    </w:rPr>
  </w:style>
  <w:style w:type="paragraph" w:customStyle="1" w:styleId="2398">
    <w:name w:val="Char Char Char Char Char Char Char2"/>
    <w:basedOn w:val="1"/>
    <w:qFormat/>
    <w:uiPriority w:val="0"/>
    <w:pPr>
      <w:spacing w:line="240" w:lineRule="auto"/>
    </w:pPr>
    <w:rPr>
      <w:rFonts w:ascii="宋体" w:hAnsi="Times New Roman" w:eastAsia="宋体" w:cs="Times New Roman"/>
      <w:sz w:val="24"/>
      <w:szCs w:val="20"/>
    </w:rPr>
  </w:style>
  <w:style w:type="character" w:customStyle="1" w:styleId="2399">
    <w:name w:val="占位符文本2"/>
    <w:qFormat/>
    <w:uiPriority w:val="0"/>
    <w:rPr>
      <w:rFonts w:eastAsia="黑体"/>
      <w:b/>
      <w:color w:val="808080"/>
      <w:kern w:val="2"/>
      <w:sz w:val="21"/>
      <w:szCs w:val="22"/>
      <w:lang w:val="en-US" w:eastAsia="zh-CN" w:bidi="ar-SA"/>
    </w:rPr>
  </w:style>
  <w:style w:type="paragraph" w:customStyle="1" w:styleId="2400">
    <w:name w:val="TOC 标题3"/>
    <w:basedOn w:val="5"/>
    <w:next w:val="1"/>
    <w:qFormat/>
    <w:uiPriority w:val="0"/>
    <w:pPr>
      <w:numPr>
        <w:numId w:val="0"/>
      </w:numPr>
      <w:jc w:val="both"/>
      <w:outlineLvl w:val="9"/>
    </w:pPr>
    <w:rPr>
      <w:rFonts w:eastAsia="宋体" w:cs="Wingdings"/>
      <w:kern w:val="2"/>
      <w:sz w:val="21"/>
      <w:szCs w:val="22"/>
    </w:rPr>
  </w:style>
  <w:style w:type="paragraph" w:customStyle="1" w:styleId="2401">
    <w:name w:val="标题 12"/>
    <w:next w:val="1"/>
    <w:qFormat/>
    <w:uiPriority w:val="0"/>
    <w:pPr>
      <w:keepNext/>
      <w:keepLines/>
      <w:snapToGrid w:val="0"/>
      <w:spacing w:beforeLines="50" w:afterLines="50"/>
      <w:jc w:val="center"/>
      <w:outlineLvl w:val="0"/>
    </w:pPr>
    <w:rPr>
      <w:rFonts w:ascii="黑体" w:hAnsi="黑体" w:eastAsia="宋体" w:cs="Times New Roman"/>
      <w:b/>
      <w:snapToGrid w:val="0"/>
      <w:color w:val="000000"/>
      <w:kern w:val="2"/>
      <w:sz w:val="44"/>
      <w:szCs w:val="24"/>
      <w:lang w:val="en-US" w:eastAsia="zh-CN" w:bidi="ar-SA"/>
    </w:rPr>
  </w:style>
  <w:style w:type="paragraph" w:customStyle="1" w:styleId="2402">
    <w:name w:val="纯文本5"/>
    <w:basedOn w:val="1"/>
    <w:qFormat/>
    <w:uiPriority w:val="0"/>
    <w:pPr>
      <w:spacing w:line="240" w:lineRule="auto"/>
    </w:pPr>
    <w:rPr>
      <w:rFonts w:ascii="宋体" w:hAnsi="宋体" w:eastAsia="宋体" w:cs="Times New Roman"/>
      <w:sz w:val="24"/>
      <w:szCs w:val="24"/>
    </w:rPr>
  </w:style>
  <w:style w:type="paragraph" w:customStyle="1" w:styleId="2403">
    <w:name w:val="正文缩进4"/>
    <w:basedOn w:val="1"/>
    <w:qFormat/>
    <w:uiPriority w:val="0"/>
    <w:pPr>
      <w:spacing w:line="240" w:lineRule="auto"/>
      <w:ind w:firstLine="420"/>
    </w:pPr>
    <w:rPr>
      <w:rFonts w:ascii="宋体" w:hAnsi="宋体" w:eastAsia="宋体" w:cs="Times New Roman"/>
      <w:sz w:val="24"/>
      <w:szCs w:val="24"/>
    </w:rPr>
  </w:style>
  <w:style w:type="paragraph" w:customStyle="1" w:styleId="2404">
    <w:name w:val="标题 32"/>
    <w:basedOn w:val="1"/>
    <w:next w:val="1"/>
    <w:qFormat/>
    <w:uiPriority w:val="0"/>
    <w:pPr>
      <w:keepNext/>
      <w:keepLines/>
      <w:snapToGrid w:val="0"/>
      <w:outlineLvl w:val="2"/>
    </w:pPr>
    <w:rPr>
      <w:rFonts w:hint="eastAsia" w:ascii="黑体" w:hAnsi="黑体" w:eastAsia="黑体" w:cs="Times New Roman"/>
      <w:b/>
      <w:snapToGrid w:val="0"/>
      <w:color w:val="008000"/>
      <w:sz w:val="24"/>
      <w:szCs w:val="24"/>
    </w:rPr>
  </w:style>
  <w:style w:type="paragraph" w:customStyle="1" w:styleId="2405">
    <w:name w:val="正文文本缩进 23"/>
    <w:basedOn w:val="1"/>
    <w:qFormat/>
    <w:uiPriority w:val="0"/>
    <w:pPr>
      <w:snapToGrid w:val="0"/>
      <w:ind w:firstLine="200" w:firstLineChars="200"/>
    </w:pPr>
    <w:rPr>
      <w:rFonts w:ascii="宋体" w:hAnsi="Times New Roman" w:eastAsia="宋体" w:cs="Times New Roman"/>
      <w:color w:val="339966"/>
      <w:sz w:val="24"/>
      <w:szCs w:val="20"/>
    </w:rPr>
  </w:style>
  <w:style w:type="paragraph" w:customStyle="1" w:styleId="2406">
    <w:name w:val="标题 52"/>
    <w:basedOn w:val="1"/>
    <w:next w:val="1"/>
    <w:qFormat/>
    <w:uiPriority w:val="0"/>
    <w:pPr>
      <w:keepNext/>
      <w:keepLines/>
      <w:tabs>
        <w:tab w:val="left" w:pos="1800"/>
      </w:tabs>
      <w:snapToGrid w:val="0"/>
      <w:ind w:left="1009" w:hanging="1009"/>
      <w:jc w:val="left"/>
      <w:outlineLvl w:val="4"/>
    </w:pPr>
    <w:rPr>
      <w:rFonts w:ascii="Times New Roman" w:hAnsi="Times New Roman" w:eastAsia="宋体" w:cs="Times New Roman"/>
      <w:b/>
      <w:sz w:val="28"/>
      <w:szCs w:val="20"/>
    </w:rPr>
  </w:style>
  <w:style w:type="paragraph" w:customStyle="1" w:styleId="2407">
    <w:name w:val="标题 42"/>
    <w:basedOn w:val="1"/>
    <w:next w:val="1"/>
    <w:qFormat/>
    <w:uiPriority w:val="0"/>
    <w:pPr>
      <w:keepNext/>
      <w:keepLines/>
      <w:tabs>
        <w:tab w:val="left" w:pos="864"/>
      </w:tabs>
      <w:snapToGrid w:val="0"/>
      <w:spacing w:line="460" w:lineRule="atLeast"/>
      <w:ind w:left="864" w:hanging="864"/>
      <w:outlineLvl w:val="3"/>
    </w:pPr>
    <w:rPr>
      <w:rFonts w:ascii="Times New Roman" w:hAnsi="Times New Roman" w:eastAsia="宋体" w:cs="Times New Roman"/>
      <w:sz w:val="28"/>
      <w:szCs w:val="20"/>
    </w:rPr>
  </w:style>
  <w:style w:type="paragraph" w:customStyle="1" w:styleId="2408">
    <w:name w:val="正文文本2"/>
    <w:basedOn w:val="1"/>
    <w:qFormat/>
    <w:uiPriority w:val="0"/>
    <w:pPr>
      <w:spacing w:after="120" w:line="240" w:lineRule="auto"/>
    </w:pPr>
    <w:rPr>
      <w:rFonts w:ascii="Times New Roman" w:hAnsi="Times New Roman" w:eastAsia="宋体" w:cs="Times New Roman"/>
      <w:sz w:val="24"/>
      <w:szCs w:val="20"/>
    </w:rPr>
  </w:style>
  <w:style w:type="paragraph" w:customStyle="1" w:styleId="2409">
    <w:name w:val="普通(网站)3"/>
    <w:basedOn w:val="1"/>
    <w:qFormat/>
    <w:uiPriority w:val="0"/>
    <w:pPr>
      <w:widowControl/>
      <w:spacing w:before="100" w:beforeAutospacing="1" w:after="100" w:afterAutospacing="1" w:line="240" w:lineRule="auto"/>
      <w:jc w:val="left"/>
    </w:pPr>
    <w:rPr>
      <w:rFonts w:ascii="宋体" w:hAnsi="宋体" w:eastAsia="宋体" w:cs="Times New Roman"/>
      <w:sz w:val="24"/>
      <w:szCs w:val="20"/>
    </w:rPr>
  </w:style>
  <w:style w:type="paragraph" w:customStyle="1" w:styleId="2410">
    <w:name w:val="批注框文本2"/>
    <w:basedOn w:val="1"/>
    <w:qFormat/>
    <w:uiPriority w:val="0"/>
    <w:pPr>
      <w:spacing w:line="240" w:lineRule="auto"/>
    </w:pPr>
    <w:rPr>
      <w:rFonts w:ascii="Times New Roman" w:hAnsi="Times New Roman" w:eastAsia="宋体" w:cs="Times New Roman"/>
      <w:sz w:val="18"/>
      <w:szCs w:val="20"/>
    </w:rPr>
  </w:style>
  <w:style w:type="paragraph" w:customStyle="1" w:styleId="2411">
    <w:name w:val="标题 62"/>
    <w:basedOn w:val="1"/>
    <w:next w:val="1"/>
    <w:qFormat/>
    <w:uiPriority w:val="0"/>
    <w:pPr>
      <w:keepNext/>
      <w:keepLines/>
      <w:tabs>
        <w:tab w:val="left" w:pos="1152"/>
      </w:tabs>
      <w:snapToGrid w:val="0"/>
      <w:spacing w:before="240" w:after="64" w:line="316" w:lineRule="auto"/>
      <w:ind w:left="1152" w:hanging="1152"/>
      <w:outlineLvl w:val="5"/>
    </w:pPr>
    <w:rPr>
      <w:rFonts w:ascii="Arial" w:hAnsi="Arial" w:eastAsia="黑体" w:cs="Times New Roman"/>
      <w:b/>
      <w:sz w:val="24"/>
      <w:szCs w:val="20"/>
    </w:rPr>
  </w:style>
  <w:style w:type="paragraph" w:customStyle="1" w:styleId="2412">
    <w:name w:val="目录 12"/>
    <w:basedOn w:val="1"/>
    <w:next w:val="1"/>
    <w:qFormat/>
    <w:uiPriority w:val="0"/>
    <w:pPr>
      <w:spacing w:before="120" w:after="120" w:line="240" w:lineRule="auto"/>
      <w:jc w:val="left"/>
    </w:pPr>
    <w:rPr>
      <w:rFonts w:ascii="Times New Roman" w:hAnsi="Times New Roman" w:eastAsia="宋体" w:cs="Times New Roman"/>
      <w:b/>
      <w:caps/>
      <w:sz w:val="20"/>
      <w:szCs w:val="20"/>
    </w:rPr>
  </w:style>
  <w:style w:type="paragraph" w:customStyle="1" w:styleId="2413">
    <w:name w:val="标题 72"/>
    <w:basedOn w:val="1"/>
    <w:next w:val="1"/>
    <w:qFormat/>
    <w:uiPriority w:val="0"/>
    <w:pPr>
      <w:keepNext/>
      <w:keepLines/>
      <w:tabs>
        <w:tab w:val="left" w:pos="1296"/>
      </w:tabs>
      <w:snapToGrid w:val="0"/>
      <w:spacing w:before="240" w:after="64" w:line="316" w:lineRule="auto"/>
      <w:ind w:left="1296" w:hanging="1296"/>
      <w:outlineLvl w:val="6"/>
    </w:pPr>
    <w:rPr>
      <w:rFonts w:ascii="Times New Roman" w:hAnsi="Times New Roman" w:eastAsia="宋体" w:cs="Times New Roman"/>
      <w:b/>
      <w:sz w:val="24"/>
      <w:szCs w:val="20"/>
    </w:rPr>
  </w:style>
  <w:style w:type="paragraph" w:customStyle="1" w:styleId="2414">
    <w:name w:val="页脚3"/>
    <w:basedOn w:val="1"/>
    <w:qFormat/>
    <w:uiPriority w:val="0"/>
    <w:pPr>
      <w:tabs>
        <w:tab w:val="center" w:pos="4153"/>
        <w:tab w:val="right" w:pos="8306"/>
      </w:tabs>
      <w:snapToGrid w:val="0"/>
      <w:spacing w:line="240" w:lineRule="auto"/>
      <w:jc w:val="left"/>
    </w:pPr>
    <w:rPr>
      <w:rFonts w:ascii="Times New Roman" w:hAnsi="Times New Roman" w:eastAsia="宋体" w:cs="Times New Roman"/>
      <w:sz w:val="18"/>
      <w:szCs w:val="20"/>
    </w:rPr>
  </w:style>
  <w:style w:type="paragraph" w:customStyle="1" w:styleId="2415">
    <w:name w:val="批注主题2"/>
    <w:basedOn w:val="30"/>
    <w:next w:val="30"/>
    <w:qFormat/>
    <w:uiPriority w:val="0"/>
    <w:pPr>
      <w:spacing w:line="240" w:lineRule="auto"/>
      <w:ind w:firstLine="0" w:firstLineChars="0"/>
    </w:pPr>
    <w:rPr>
      <w:rFonts w:hint="eastAsia" w:ascii="宋体" w:hAnsi="宋体"/>
      <w:b/>
      <w:sz w:val="21"/>
      <w:szCs w:val="20"/>
    </w:rPr>
  </w:style>
  <w:style w:type="paragraph" w:customStyle="1" w:styleId="2416">
    <w:name w:val="正文文本缩进3"/>
    <w:basedOn w:val="1"/>
    <w:qFormat/>
    <w:uiPriority w:val="0"/>
    <w:pPr>
      <w:spacing w:after="120" w:line="240" w:lineRule="auto"/>
      <w:ind w:left="420" w:leftChars="200"/>
    </w:pPr>
    <w:rPr>
      <w:rFonts w:ascii="Times New Roman" w:hAnsi="Times New Roman" w:eastAsia="宋体" w:cs="Times New Roman"/>
      <w:sz w:val="24"/>
      <w:szCs w:val="20"/>
    </w:rPr>
  </w:style>
  <w:style w:type="paragraph" w:customStyle="1" w:styleId="2417">
    <w:name w:val="标题 92"/>
    <w:basedOn w:val="1"/>
    <w:next w:val="1"/>
    <w:qFormat/>
    <w:uiPriority w:val="0"/>
    <w:pPr>
      <w:keepNext/>
      <w:keepLines/>
      <w:tabs>
        <w:tab w:val="left" w:pos="1584"/>
      </w:tabs>
      <w:snapToGrid w:val="0"/>
      <w:spacing w:before="240" w:after="64" w:line="316" w:lineRule="auto"/>
      <w:ind w:left="1584" w:hanging="1584"/>
      <w:outlineLvl w:val="8"/>
    </w:pPr>
    <w:rPr>
      <w:rFonts w:ascii="Arial" w:hAnsi="Arial" w:eastAsia="黑体" w:cs="Times New Roman"/>
      <w:sz w:val="24"/>
      <w:szCs w:val="20"/>
    </w:rPr>
  </w:style>
  <w:style w:type="paragraph" w:customStyle="1" w:styleId="2418">
    <w:name w:val="标题 82"/>
    <w:basedOn w:val="1"/>
    <w:next w:val="1"/>
    <w:qFormat/>
    <w:uiPriority w:val="0"/>
    <w:pPr>
      <w:keepNext/>
      <w:keepLines/>
      <w:tabs>
        <w:tab w:val="left" w:pos="1440"/>
      </w:tabs>
      <w:snapToGrid w:val="0"/>
      <w:spacing w:before="240" w:after="64" w:line="316" w:lineRule="auto"/>
      <w:ind w:left="1440" w:hanging="1440"/>
      <w:outlineLvl w:val="7"/>
    </w:pPr>
    <w:rPr>
      <w:rFonts w:ascii="Arial" w:hAnsi="Arial" w:eastAsia="黑体" w:cs="Times New Roman"/>
      <w:sz w:val="24"/>
      <w:szCs w:val="20"/>
    </w:rPr>
  </w:style>
  <w:style w:type="character" w:customStyle="1" w:styleId="2419">
    <w:name w:val="已访问的超链接2"/>
    <w:qFormat/>
    <w:uiPriority w:val="0"/>
    <w:rPr>
      <w:color w:val="800080"/>
      <w:u w:val="single"/>
    </w:rPr>
  </w:style>
  <w:style w:type="paragraph" w:customStyle="1" w:styleId="2420">
    <w:name w:val="Char Char Char Char Char Char1 Char Char Char1 Char2"/>
    <w:basedOn w:val="1"/>
    <w:qFormat/>
    <w:uiPriority w:val="0"/>
    <w:pPr>
      <w:ind w:firstLine="200" w:firstLineChars="200"/>
    </w:pPr>
    <w:rPr>
      <w:rFonts w:hint="eastAsia" w:ascii="宋体" w:hAnsi="宋体" w:eastAsia="宋体" w:cs="Times New Roman"/>
      <w:sz w:val="24"/>
      <w:szCs w:val="20"/>
    </w:rPr>
  </w:style>
  <w:style w:type="paragraph" w:customStyle="1" w:styleId="2421">
    <w:name w:val="Char Char Char Char Char Char32"/>
    <w:basedOn w:val="1"/>
    <w:qFormat/>
    <w:uiPriority w:val="0"/>
    <w:pPr>
      <w:ind w:firstLine="200" w:firstLineChars="200"/>
    </w:pPr>
    <w:rPr>
      <w:rFonts w:hint="eastAsia" w:ascii="宋体" w:hAnsi="宋体" w:eastAsia="宋体" w:cs="Times New Roman"/>
      <w:sz w:val="24"/>
      <w:szCs w:val="20"/>
    </w:rPr>
  </w:style>
  <w:style w:type="paragraph" w:customStyle="1" w:styleId="2422">
    <w:name w:val="Char Char Char1 Char Char Char Char Char Char2"/>
    <w:basedOn w:val="1"/>
    <w:qFormat/>
    <w:uiPriority w:val="0"/>
    <w:rPr>
      <w:rFonts w:hint="eastAsia" w:ascii="Times New Roman" w:hAnsi="Times New Roman" w:eastAsia="宋体" w:cs="Times New Roman"/>
      <w:sz w:val="24"/>
      <w:szCs w:val="20"/>
    </w:rPr>
  </w:style>
  <w:style w:type="paragraph" w:customStyle="1" w:styleId="2423">
    <w:name w:val="Char Char Char Char Char Char3 Char Char Char2"/>
    <w:basedOn w:val="1"/>
    <w:qFormat/>
    <w:uiPriority w:val="0"/>
    <w:pPr>
      <w:ind w:firstLine="200" w:firstLineChars="200"/>
    </w:pPr>
    <w:rPr>
      <w:rFonts w:hint="eastAsia" w:ascii="宋体" w:hAnsi="宋体" w:eastAsia="宋体" w:cs="Times New Roman"/>
      <w:sz w:val="24"/>
      <w:szCs w:val="20"/>
    </w:rPr>
  </w:style>
  <w:style w:type="paragraph" w:customStyle="1" w:styleId="2424">
    <w:name w:val="Char Char Char Char Char Char Char Char Char1 Char Char Char Char2"/>
    <w:basedOn w:val="1"/>
    <w:qFormat/>
    <w:uiPriority w:val="0"/>
    <w:pPr>
      <w:spacing w:line="240" w:lineRule="auto"/>
    </w:pPr>
    <w:rPr>
      <w:rFonts w:hint="eastAsia" w:ascii="Times New Roman" w:hAnsi="Times New Roman" w:eastAsia="宋体" w:cs="Times New Roman"/>
      <w:sz w:val="24"/>
      <w:szCs w:val="20"/>
    </w:rPr>
  </w:style>
  <w:style w:type="paragraph" w:customStyle="1" w:styleId="2425">
    <w:name w:val="Char Char Char Char Char Char1 Char Char Char3"/>
    <w:basedOn w:val="1"/>
    <w:qFormat/>
    <w:uiPriority w:val="0"/>
    <w:pPr>
      <w:ind w:firstLine="200" w:firstLineChars="200"/>
    </w:pPr>
    <w:rPr>
      <w:rFonts w:hint="eastAsia" w:ascii="宋体" w:hAnsi="宋体" w:eastAsia="宋体" w:cs="Times New Roman"/>
      <w:sz w:val="24"/>
      <w:szCs w:val="20"/>
    </w:rPr>
  </w:style>
  <w:style w:type="paragraph" w:customStyle="1" w:styleId="2426">
    <w:name w:val="Char Char Char Char Char Char1 Char Char Char1 Char Char Char2"/>
    <w:basedOn w:val="1"/>
    <w:qFormat/>
    <w:uiPriority w:val="0"/>
    <w:pPr>
      <w:ind w:firstLine="200" w:firstLineChars="200"/>
    </w:pPr>
    <w:rPr>
      <w:rFonts w:hint="eastAsia" w:ascii="宋体" w:hAnsi="宋体" w:eastAsia="宋体" w:cs="Times New Roman"/>
      <w:sz w:val="24"/>
      <w:szCs w:val="20"/>
    </w:rPr>
  </w:style>
  <w:style w:type="paragraph" w:customStyle="1" w:styleId="2427">
    <w:name w:val="Char Char Char Char Char Char22"/>
    <w:basedOn w:val="1"/>
    <w:qFormat/>
    <w:uiPriority w:val="0"/>
    <w:pPr>
      <w:ind w:firstLine="200" w:firstLineChars="200"/>
    </w:pPr>
    <w:rPr>
      <w:rFonts w:hint="eastAsia" w:ascii="宋体" w:hAnsi="宋体" w:eastAsia="宋体" w:cs="Times New Roman"/>
      <w:sz w:val="24"/>
      <w:szCs w:val="20"/>
    </w:rPr>
  </w:style>
  <w:style w:type="paragraph" w:customStyle="1" w:styleId="2428">
    <w:name w:val="Char Char Char Char Char Char3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29">
    <w:name w:val="Char42"/>
    <w:basedOn w:val="1"/>
    <w:qFormat/>
    <w:uiPriority w:val="0"/>
    <w:pPr>
      <w:ind w:firstLine="200" w:firstLineChars="200"/>
    </w:pPr>
    <w:rPr>
      <w:rFonts w:hint="eastAsia" w:ascii="宋体" w:hAnsi="宋体" w:eastAsia="宋体" w:cs="Times New Roman"/>
      <w:sz w:val="24"/>
      <w:szCs w:val="20"/>
    </w:rPr>
  </w:style>
  <w:style w:type="paragraph" w:customStyle="1" w:styleId="2430">
    <w:name w:val="Char Char Char Char Char Char Char Char Char Char1 Char Char Char Char2"/>
    <w:basedOn w:val="1"/>
    <w:qFormat/>
    <w:uiPriority w:val="0"/>
    <w:pPr>
      <w:spacing w:line="240" w:lineRule="auto"/>
    </w:pPr>
    <w:rPr>
      <w:rFonts w:hint="eastAsia" w:ascii="Times New Roman" w:hAnsi="Times New Roman" w:eastAsia="宋体" w:cs="Times New Roman"/>
      <w:szCs w:val="20"/>
    </w:rPr>
  </w:style>
  <w:style w:type="paragraph" w:customStyle="1" w:styleId="2431">
    <w:name w:val="Char Char Char1 Char Char Char Char Char Char Char2"/>
    <w:basedOn w:val="1"/>
    <w:qFormat/>
    <w:uiPriority w:val="0"/>
    <w:rPr>
      <w:rFonts w:hint="eastAsia" w:ascii="Times New Roman" w:hAnsi="Times New Roman" w:eastAsia="宋体" w:cs="Times New Roman"/>
      <w:sz w:val="24"/>
      <w:szCs w:val="20"/>
    </w:rPr>
  </w:style>
  <w:style w:type="paragraph" w:customStyle="1" w:styleId="2432">
    <w:name w:val="Char Char Char Char Char Char1 Char Char Char1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3">
    <w:name w:val="Char1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4">
    <w:name w:val="Char Char Char Char Char Char1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5">
    <w:name w:val="Char Char Char1 Char2"/>
    <w:basedOn w:val="1"/>
    <w:qFormat/>
    <w:uiPriority w:val="0"/>
    <w:pPr>
      <w:spacing w:line="240" w:lineRule="auto"/>
    </w:pPr>
    <w:rPr>
      <w:rFonts w:hint="eastAsia" w:ascii="Times New Roman" w:hAnsi="Times New Roman" w:eastAsia="宋体" w:cs="Times New Roman"/>
      <w:szCs w:val="20"/>
    </w:rPr>
  </w:style>
  <w:style w:type="paragraph" w:customStyle="1" w:styleId="2436">
    <w:name w:val="Char Char Char Char Char Char1 Char Char Char12"/>
    <w:basedOn w:val="1"/>
    <w:qFormat/>
    <w:uiPriority w:val="0"/>
    <w:pPr>
      <w:ind w:firstLine="200" w:firstLineChars="200"/>
    </w:pPr>
    <w:rPr>
      <w:rFonts w:hint="eastAsia" w:ascii="宋体" w:hAnsi="宋体" w:eastAsia="宋体" w:cs="Times New Roman"/>
      <w:sz w:val="24"/>
      <w:szCs w:val="20"/>
    </w:rPr>
  </w:style>
  <w:style w:type="paragraph" w:customStyle="1" w:styleId="2437">
    <w:name w:val="Char Char Char Char Char Char3 Char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8">
    <w:name w:val="Char Char Char Char Char Char Char Char Char Char Char Char Char Char Char Char Char Char Char Char Char Char Char Char Char Char Char Char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9">
    <w:name w:val="Char Char Char Char Char Char Char Char Char Char Char Char Char Char Char Char Char Char Char Char Char1 Char2"/>
    <w:basedOn w:val="1"/>
    <w:qFormat/>
    <w:uiPriority w:val="0"/>
    <w:pPr>
      <w:ind w:firstLine="200" w:firstLineChars="200"/>
    </w:pPr>
    <w:rPr>
      <w:rFonts w:hint="eastAsia" w:ascii="宋体" w:hAnsi="宋体" w:eastAsia="宋体" w:cs="Times New Roman"/>
      <w:sz w:val="24"/>
      <w:szCs w:val="20"/>
    </w:rPr>
  </w:style>
  <w:style w:type="paragraph" w:customStyle="1" w:styleId="2440">
    <w:name w:val="Char2 Char Char Char Char Char Char Char Char Char Char Char Char Char1 Char Char Char Char Char Char Char Char Char Char Char Char Char Char Char1 Char2"/>
    <w:basedOn w:val="1"/>
    <w:qFormat/>
    <w:uiPriority w:val="0"/>
    <w:pPr>
      <w:spacing w:line="240" w:lineRule="auto"/>
    </w:pPr>
    <w:rPr>
      <w:rFonts w:ascii="Tahoma" w:hAnsi="Tahoma" w:eastAsia="宋体" w:cs="Tahoma"/>
      <w:b/>
      <w:bCs/>
      <w:sz w:val="24"/>
      <w:szCs w:val="44"/>
    </w:rPr>
  </w:style>
  <w:style w:type="paragraph" w:customStyle="1" w:styleId="2441">
    <w:name w:val="Char Char Char Char Char Char1 Char Char Char1 Char Char Char Char Char Char Char2"/>
    <w:basedOn w:val="1"/>
    <w:qFormat/>
    <w:uiPriority w:val="0"/>
    <w:pPr>
      <w:ind w:firstLine="200" w:firstLineChars="200"/>
    </w:pPr>
    <w:rPr>
      <w:rFonts w:ascii="Times New Roman" w:hAnsi="Times New Roman" w:eastAsia="宋体" w:cs="Times New Roman"/>
      <w:sz w:val="24"/>
      <w:szCs w:val="20"/>
    </w:rPr>
  </w:style>
  <w:style w:type="character" w:customStyle="1" w:styleId="2442">
    <w:name w:val="Char Char432"/>
    <w:qFormat/>
    <w:uiPriority w:val="0"/>
    <w:rPr>
      <w:rFonts w:ascii="黑体" w:eastAsia="宋体"/>
      <w:b/>
      <w:snapToGrid w:val="0"/>
      <w:color w:val="000000"/>
      <w:kern w:val="2"/>
      <w:sz w:val="44"/>
      <w:szCs w:val="24"/>
      <w:lang w:val="en-US" w:eastAsia="zh-CN" w:bidi="ar-SA"/>
    </w:rPr>
  </w:style>
  <w:style w:type="character" w:customStyle="1" w:styleId="2443">
    <w:name w:val="Char Char422"/>
    <w:qFormat/>
    <w:uiPriority w:val="0"/>
    <w:rPr>
      <w:rFonts w:hint="eastAsia" w:ascii="黑体" w:eastAsia="黑体"/>
      <w:b/>
      <w:snapToGrid w:val="0"/>
      <w:color w:val="008000"/>
      <w:kern w:val="2"/>
      <w:sz w:val="28"/>
      <w:szCs w:val="24"/>
      <w:lang w:val="en-US" w:eastAsia="zh-CN" w:bidi="ar-SA"/>
    </w:rPr>
  </w:style>
  <w:style w:type="character" w:customStyle="1" w:styleId="2444">
    <w:name w:val="Char Char412"/>
    <w:qFormat/>
    <w:uiPriority w:val="0"/>
    <w:rPr>
      <w:rFonts w:hint="eastAsia" w:ascii="黑体" w:eastAsia="黑体"/>
      <w:b/>
      <w:snapToGrid w:val="0"/>
      <w:color w:val="008000"/>
      <w:kern w:val="2"/>
      <w:sz w:val="24"/>
      <w:szCs w:val="24"/>
      <w:lang w:val="en-US" w:eastAsia="zh-CN" w:bidi="ar-SA"/>
    </w:rPr>
  </w:style>
  <w:style w:type="paragraph" w:customStyle="1" w:styleId="2445">
    <w:name w:val="Char2 Char Char Char Char Char Char Char Char1 Char1"/>
    <w:basedOn w:val="1"/>
    <w:qFormat/>
    <w:uiPriority w:val="0"/>
    <w:pPr>
      <w:spacing w:line="440" w:lineRule="exact"/>
      <w:ind w:firstLine="200" w:firstLineChars="200"/>
    </w:pPr>
    <w:rPr>
      <w:rFonts w:ascii="宋体" w:hAnsi="宋体" w:eastAsia="宋体" w:cs="Courier New"/>
      <w:sz w:val="32"/>
      <w:szCs w:val="32"/>
    </w:rPr>
  </w:style>
  <w:style w:type="paragraph" w:customStyle="1" w:styleId="2446">
    <w:name w:val="无间隔4"/>
    <w:qFormat/>
    <w:uiPriority w:val="0"/>
    <w:pPr>
      <w:widowControl w:val="0"/>
      <w:adjustRightInd w:val="0"/>
    </w:pPr>
    <w:rPr>
      <w:rFonts w:ascii="Times New Roman" w:hAnsi="Times New Roman" w:eastAsia="宋体" w:cs="Times New Roman"/>
      <w:kern w:val="2"/>
      <w:sz w:val="21"/>
      <w:szCs w:val="24"/>
      <w:lang w:val="en-US" w:eastAsia="zh-CN" w:bidi="ar-SA"/>
    </w:rPr>
  </w:style>
  <w:style w:type="character" w:customStyle="1" w:styleId="2447">
    <w:name w:val="Char Char451"/>
    <w:qFormat/>
    <w:uiPriority w:val="0"/>
    <w:rPr>
      <w:rFonts w:eastAsia="宋体"/>
      <w:b/>
      <w:bCs/>
      <w:kern w:val="2"/>
      <w:sz w:val="24"/>
      <w:szCs w:val="24"/>
      <w:lang w:val="en-US" w:eastAsia="zh-CN" w:bidi="ar-SA"/>
    </w:rPr>
  </w:style>
  <w:style w:type="character" w:customStyle="1" w:styleId="2448">
    <w:name w:val="Char Char441"/>
    <w:qFormat/>
    <w:uiPriority w:val="0"/>
    <w:rPr>
      <w:rFonts w:ascii="Arial" w:hAnsi="Arial" w:eastAsia="黑体"/>
      <w:kern w:val="2"/>
      <w:sz w:val="24"/>
      <w:szCs w:val="24"/>
      <w:lang w:val="en-US" w:eastAsia="zh-CN" w:bidi="ar-SA"/>
    </w:rPr>
  </w:style>
  <w:style w:type="paragraph" w:customStyle="1" w:styleId="2449">
    <w:name w:val="样式 标题 6"/>
    <w:basedOn w:val="10"/>
    <w:link w:val="2450"/>
    <w:qFormat/>
    <w:uiPriority w:val="0"/>
    <w:pPr>
      <w:keepLines w:val="0"/>
      <w:adjustRightInd w:val="0"/>
      <w:spacing w:before="0" w:after="0" w:line="360" w:lineRule="auto"/>
      <w:ind w:firstLine="560" w:firstLineChars="200"/>
    </w:pPr>
    <w:rPr>
      <w:rFonts w:eastAsia="宋体" w:cs="Times New Roman"/>
      <w:b w:val="0"/>
      <w:bCs w:val="0"/>
      <w:snapToGrid w:val="0"/>
      <w:kern w:val="0"/>
      <w:sz w:val="28"/>
      <w:szCs w:val="20"/>
    </w:rPr>
  </w:style>
  <w:style w:type="character" w:customStyle="1" w:styleId="2450">
    <w:name w:val="样式 标题 6 Char"/>
    <w:basedOn w:val="373"/>
    <w:link w:val="2449"/>
    <w:qFormat/>
    <w:uiPriority w:val="0"/>
    <w:rPr>
      <w:rFonts w:ascii="Times New Roman" w:hAnsi="Times New Roman" w:eastAsia="宋体" w:cs="Times New Roman"/>
      <w:snapToGrid w:val="0"/>
      <w:kern w:val="0"/>
      <w:sz w:val="28"/>
      <w:szCs w:val="20"/>
    </w:rPr>
  </w:style>
  <w:style w:type="paragraph" w:customStyle="1" w:styleId="2451">
    <w:name w:val="样式 标题 1章 + 段前: 0.5 行 段后: 0.5 行 行距: 单倍行距"/>
    <w:basedOn w:val="5"/>
    <w:qFormat/>
    <w:uiPriority w:val="0"/>
    <w:pPr>
      <w:keepLines w:val="0"/>
      <w:numPr>
        <w:numId w:val="0"/>
      </w:numPr>
      <w:adjustRightInd w:val="0"/>
      <w:snapToGrid w:val="0"/>
      <w:spacing w:before="0" w:afterLines="50" w:line="240" w:lineRule="auto"/>
      <w:jc w:val="both"/>
    </w:pPr>
    <w:rPr>
      <w:rFonts w:ascii="Arial" w:hAnsi="Arial" w:eastAsia="黑体" w:cs="宋体"/>
      <w:b w:val="0"/>
      <w:bCs w:val="0"/>
      <w:snapToGrid w:val="0"/>
      <w:spacing w:val="10"/>
      <w:kern w:val="0"/>
      <w:szCs w:val="32"/>
    </w:rPr>
  </w:style>
  <w:style w:type="paragraph" w:customStyle="1" w:styleId="2452">
    <w:name w:val="标题 63"/>
    <w:basedOn w:val="1"/>
    <w:qFormat/>
    <w:uiPriority w:val="1"/>
    <w:pPr>
      <w:autoSpaceDE w:val="0"/>
      <w:autoSpaceDN w:val="0"/>
      <w:adjustRightInd w:val="0"/>
      <w:spacing w:line="240" w:lineRule="auto"/>
      <w:ind w:left="600"/>
      <w:jc w:val="left"/>
      <w:outlineLvl w:val="5"/>
    </w:pPr>
    <w:rPr>
      <w:rFonts w:ascii="Times New Roman" w:hAnsi="Times New Roman" w:cs="Times New Roman"/>
      <w:b/>
      <w:bCs/>
      <w:kern w:val="0"/>
      <w:sz w:val="24"/>
      <w:szCs w:val="24"/>
    </w:rPr>
  </w:style>
  <w:style w:type="paragraph" w:customStyle="1" w:styleId="2453">
    <w:name w:val="标题 43"/>
    <w:basedOn w:val="1"/>
    <w:qFormat/>
    <w:uiPriority w:val="1"/>
    <w:pPr>
      <w:autoSpaceDE w:val="0"/>
      <w:autoSpaceDN w:val="0"/>
      <w:adjustRightInd w:val="0"/>
      <w:spacing w:line="240" w:lineRule="auto"/>
      <w:ind w:left="240"/>
      <w:jc w:val="left"/>
      <w:outlineLvl w:val="3"/>
    </w:pPr>
    <w:rPr>
      <w:rFonts w:ascii="Microsoft JhengHei" w:hAnsi="Times New Roman" w:eastAsia="Microsoft JhengHei" w:cs="Microsoft JhengHei"/>
      <w:b/>
      <w:bCs/>
      <w:kern w:val="0"/>
      <w:sz w:val="28"/>
      <w:szCs w:val="28"/>
    </w:rPr>
  </w:style>
  <w:style w:type="character" w:customStyle="1" w:styleId="2454">
    <w:name w:val="title1"/>
    <w:basedOn w:val="91"/>
    <w:qFormat/>
    <w:uiPriority w:val="0"/>
    <w:rPr>
      <w:color w:val="000000"/>
    </w:rPr>
  </w:style>
  <w:style w:type="character" w:customStyle="1" w:styleId="2455">
    <w:name w:val="正文小四 Char"/>
    <w:basedOn w:val="91"/>
    <w:link w:val="2456"/>
    <w:qFormat/>
    <w:uiPriority w:val="0"/>
    <w:rPr>
      <w:rFonts w:eastAsia="宋体"/>
      <w:sz w:val="24"/>
      <w:szCs w:val="24"/>
    </w:rPr>
  </w:style>
  <w:style w:type="paragraph" w:customStyle="1" w:styleId="2456">
    <w:name w:val="正文小四"/>
    <w:basedOn w:val="1"/>
    <w:link w:val="2455"/>
    <w:qFormat/>
    <w:uiPriority w:val="0"/>
    <w:pPr>
      <w:ind w:firstLine="200" w:firstLineChars="200"/>
      <w:jc w:val="left"/>
    </w:pPr>
    <w:rPr>
      <w:rFonts w:eastAsia="宋体"/>
      <w:sz w:val="24"/>
      <w:szCs w:val="24"/>
    </w:rPr>
  </w:style>
  <w:style w:type="paragraph" w:customStyle="1" w:styleId="2457">
    <w:name w:val="标题 13"/>
    <w:basedOn w:val="1"/>
    <w:qFormat/>
    <w:uiPriority w:val="1"/>
    <w:pPr>
      <w:autoSpaceDE w:val="0"/>
      <w:autoSpaceDN w:val="0"/>
      <w:adjustRightInd w:val="0"/>
      <w:spacing w:line="240" w:lineRule="auto"/>
      <w:ind w:left="120"/>
      <w:jc w:val="left"/>
      <w:outlineLvl w:val="0"/>
    </w:pPr>
    <w:rPr>
      <w:rFonts w:ascii="Microsoft JhengHei" w:hAnsi="Times New Roman" w:eastAsia="Microsoft JhengHei" w:cs="Microsoft JhengHei"/>
      <w:b/>
      <w:bCs/>
      <w:kern w:val="0"/>
      <w:sz w:val="36"/>
      <w:szCs w:val="36"/>
    </w:rPr>
  </w:style>
  <w:style w:type="paragraph" w:customStyle="1" w:styleId="2458">
    <w:name w:val="标题 22"/>
    <w:basedOn w:val="1"/>
    <w:qFormat/>
    <w:uiPriority w:val="1"/>
    <w:pPr>
      <w:autoSpaceDE w:val="0"/>
      <w:autoSpaceDN w:val="0"/>
      <w:adjustRightInd w:val="0"/>
      <w:spacing w:line="240" w:lineRule="auto"/>
      <w:ind w:left="120"/>
      <w:jc w:val="left"/>
      <w:outlineLvl w:val="1"/>
    </w:pPr>
    <w:rPr>
      <w:rFonts w:ascii="Microsoft JhengHei" w:hAnsi="Times New Roman" w:eastAsia="Microsoft JhengHei" w:cs="Microsoft JhengHei"/>
      <w:b/>
      <w:bCs/>
      <w:kern w:val="0"/>
      <w:sz w:val="32"/>
      <w:szCs w:val="32"/>
    </w:rPr>
  </w:style>
  <w:style w:type="paragraph" w:customStyle="1" w:styleId="2459">
    <w:name w:val="标题 33"/>
    <w:basedOn w:val="1"/>
    <w:qFormat/>
    <w:uiPriority w:val="1"/>
    <w:pPr>
      <w:autoSpaceDE w:val="0"/>
      <w:autoSpaceDN w:val="0"/>
      <w:adjustRightInd w:val="0"/>
      <w:spacing w:line="240" w:lineRule="auto"/>
      <w:ind w:left="120"/>
      <w:jc w:val="left"/>
      <w:outlineLvl w:val="2"/>
    </w:pPr>
    <w:rPr>
      <w:rFonts w:ascii="Times New Roman" w:hAnsi="Times New Roman" w:cs="Times New Roman"/>
      <w:b/>
      <w:bCs/>
      <w:kern w:val="0"/>
      <w:sz w:val="30"/>
      <w:szCs w:val="30"/>
    </w:rPr>
  </w:style>
  <w:style w:type="paragraph" w:customStyle="1" w:styleId="2460">
    <w:name w:val="标题 53"/>
    <w:basedOn w:val="1"/>
    <w:qFormat/>
    <w:uiPriority w:val="1"/>
    <w:pPr>
      <w:autoSpaceDE w:val="0"/>
      <w:autoSpaceDN w:val="0"/>
      <w:adjustRightInd w:val="0"/>
      <w:spacing w:line="240" w:lineRule="auto"/>
      <w:jc w:val="left"/>
      <w:outlineLvl w:val="4"/>
    </w:pPr>
    <w:rPr>
      <w:rFonts w:ascii="Times New Roman" w:hAnsi="Times New Roman" w:cs="Times New Roman"/>
      <w:kern w:val="0"/>
      <w:sz w:val="25"/>
      <w:szCs w:val="25"/>
    </w:rPr>
  </w:style>
  <w:style w:type="table" w:customStyle="1" w:styleId="2461">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2462">
    <w:name w:val="description"/>
    <w:basedOn w:val="91"/>
    <w:qFormat/>
    <w:uiPriority w:val="0"/>
  </w:style>
  <w:style w:type="character" w:customStyle="1" w:styleId="2463">
    <w:name w:val="表格文字内容 Char"/>
    <w:link w:val="2464"/>
    <w:qFormat/>
    <w:uiPriority w:val="0"/>
    <w:rPr>
      <w:rFonts w:cs="宋体"/>
      <w:kern w:val="2"/>
      <w:sz w:val="18"/>
    </w:rPr>
  </w:style>
  <w:style w:type="paragraph" w:customStyle="1" w:styleId="2464">
    <w:name w:val="表格文字内容"/>
    <w:basedOn w:val="1"/>
    <w:link w:val="2463"/>
    <w:qFormat/>
    <w:uiPriority w:val="0"/>
    <w:pPr>
      <w:spacing w:line="240" w:lineRule="exact"/>
      <w:jc w:val="center"/>
    </w:pPr>
    <w:rPr>
      <w:rFonts w:cs="宋体"/>
      <w:sz w:val="18"/>
      <w:szCs w:val="20"/>
    </w:rPr>
  </w:style>
  <w:style w:type="paragraph" w:customStyle="1" w:styleId="2465">
    <w:name w:val="1111111"/>
    <w:basedOn w:val="1"/>
    <w:link w:val="2466"/>
    <w:qFormat/>
    <w:uiPriority w:val="0"/>
    <w:pPr>
      <w:adjustRightInd w:val="0"/>
      <w:snapToGrid w:val="0"/>
      <w:ind w:firstLine="480" w:firstLineChars="200"/>
      <w:jc w:val="left"/>
    </w:pPr>
    <w:rPr>
      <w:rFonts w:ascii="Times New Roman" w:hAnsi="Times New Roman" w:eastAsia="宋体" w:cs="Arial Unicode MS"/>
      <w:color w:val="00B050"/>
      <w:sz w:val="24"/>
      <w:szCs w:val="24"/>
    </w:rPr>
  </w:style>
  <w:style w:type="character" w:customStyle="1" w:styleId="2466">
    <w:name w:val="1111111 Char"/>
    <w:link w:val="2465"/>
    <w:qFormat/>
    <w:uiPriority w:val="0"/>
    <w:rPr>
      <w:rFonts w:ascii="Times New Roman" w:hAnsi="Times New Roman" w:eastAsia="宋体" w:cs="Arial Unicode MS"/>
      <w:color w:val="00B050"/>
      <w:kern w:val="2"/>
      <w:sz w:val="24"/>
      <w:szCs w:val="24"/>
    </w:rPr>
  </w:style>
  <w:style w:type="paragraph" w:customStyle="1" w:styleId="2467">
    <w:name w:val="样式35"/>
    <w:basedOn w:val="1"/>
    <w:qFormat/>
    <w:uiPriority w:val="0"/>
    <w:pPr>
      <w:adjustRightInd w:val="0"/>
      <w:spacing w:line="312" w:lineRule="auto"/>
      <w:ind w:firstLine="567"/>
    </w:pPr>
    <w:rPr>
      <w:rFonts w:ascii="宋体" w:hAnsi="Times New Roman" w:eastAsia="宋体" w:cs="Times New Roman"/>
      <w:kern w:val="0"/>
      <w:sz w:val="28"/>
      <w:szCs w:val="20"/>
    </w:rPr>
  </w:style>
  <w:style w:type="paragraph" w:customStyle="1" w:styleId="2468">
    <w:name w:val="正文l"/>
    <w:basedOn w:val="1"/>
    <w:link w:val="2469"/>
    <w:qFormat/>
    <w:uiPriority w:val="0"/>
    <w:pPr>
      <w:autoSpaceDE w:val="0"/>
      <w:autoSpaceDN w:val="0"/>
      <w:adjustRightInd w:val="0"/>
      <w:ind w:firstLine="200" w:firstLineChars="200"/>
    </w:pPr>
    <w:rPr>
      <w:rFonts w:ascii="Times New Roman" w:hAnsi="Times New Roman" w:eastAsia="Times New Roman" w:cs="Arial Unicode MS"/>
      <w:sz w:val="24"/>
      <w:szCs w:val="24"/>
    </w:rPr>
  </w:style>
  <w:style w:type="character" w:customStyle="1" w:styleId="2469">
    <w:name w:val="正文l Char"/>
    <w:link w:val="2468"/>
    <w:qFormat/>
    <w:uiPriority w:val="0"/>
    <w:rPr>
      <w:rFonts w:ascii="Times New Roman" w:hAnsi="Times New Roman" w:eastAsia="Times New Roman" w:cs="Arial Unicode MS"/>
      <w:kern w:val="2"/>
      <w:sz w:val="24"/>
      <w:szCs w:val="24"/>
    </w:rPr>
  </w:style>
  <w:style w:type="character" w:customStyle="1" w:styleId="2470">
    <w:name w:val="正式正文 Char"/>
    <w:link w:val="2471"/>
    <w:qFormat/>
    <w:uiPriority w:val="0"/>
    <w:rPr>
      <w:kern w:val="2"/>
      <w:sz w:val="24"/>
      <w:szCs w:val="24"/>
    </w:rPr>
  </w:style>
  <w:style w:type="paragraph" w:customStyle="1" w:styleId="2471">
    <w:name w:val="正式正文"/>
    <w:basedOn w:val="1"/>
    <w:link w:val="2470"/>
    <w:qFormat/>
    <w:uiPriority w:val="0"/>
    <w:pPr>
      <w:ind w:firstLine="480"/>
    </w:pPr>
    <w:rPr>
      <w:sz w:val="24"/>
      <w:szCs w:val="24"/>
    </w:rPr>
  </w:style>
  <w:style w:type="paragraph" w:customStyle="1" w:styleId="2472">
    <w:name w:val="A-正文"/>
    <w:basedOn w:val="1"/>
    <w:link w:val="2473"/>
    <w:qFormat/>
    <w:uiPriority w:val="0"/>
    <w:pPr>
      <w:widowControl/>
      <w:adjustRightInd w:val="0"/>
      <w:snapToGrid w:val="0"/>
      <w:ind w:firstLine="480" w:firstLineChars="200"/>
    </w:pPr>
    <w:rPr>
      <w:rFonts w:ascii="Times New Roman" w:hAnsi="Times New Roman" w:eastAsia="宋体" w:cs="Arial Unicode MS"/>
      <w:color w:val="00B050"/>
      <w:sz w:val="24"/>
      <w:szCs w:val="24"/>
    </w:rPr>
  </w:style>
  <w:style w:type="character" w:customStyle="1" w:styleId="2473">
    <w:name w:val="A-正文 Char"/>
    <w:link w:val="2472"/>
    <w:qFormat/>
    <w:uiPriority w:val="0"/>
    <w:rPr>
      <w:rFonts w:ascii="Times New Roman" w:hAnsi="Times New Roman" w:eastAsia="宋体" w:cs="Arial Unicode MS"/>
      <w:color w:val="00B050"/>
      <w:kern w:val="2"/>
      <w:sz w:val="24"/>
      <w:szCs w:val="24"/>
    </w:rPr>
  </w:style>
  <w:style w:type="paragraph" w:customStyle="1" w:styleId="2474">
    <w:name w:val="正文lcc"/>
    <w:basedOn w:val="1"/>
    <w:link w:val="2475"/>
    <w:qFormat/>
    <w:uiPriority w:val="0"/>
    <w:pPr>
      <w:widowControl/>
      <w:adjustRightInd w:val="0"/>
      <w:snapToGrid w:val="0"/>
      <w:ind w:firstLine="200" w:firstLineChars="200"/>
      <w:jc w:val="left"/>
    </w:pPr>
    <w:rPr>
      <w:rFonts w:ascii="Times New Roman" w:hAnsi="Times New Roman" w:eastAsia="Times New Roman" w:cs="Arial Unicode MS"/>
      <w:sz w:val="24"/>
      <w:szCs w:val="24"/>
    </w:rPr>
  </w:style>
  <w:style w:type="character" w:customStyle="1" w:styleId="2475">
    <w:name w:val="正文lcc Char"/>
    <w:link w:val="2474"/>
    <w:qFormat/>
    <w:uiPriority w:val="0"/>
    <w:rPr>
      <w:rFonts w:ascii="Times New Roman" w:hAnsi="Times New Roman" w:eastAsia="Times New Roman" w:cs="Arial Unicode MS"/>
      <w:kern w:val="2"/>
      <w:sz w:val="24"/>
      <w:szCs w:val="24"/>
    </w:rPr>
  </w:style>
  <w:style w:type="paragraph" w:customStyle="1" w:styleId="2476">
    <w:name w:val="正文-蓝色"/>
    <w:basedOn w:val="1"/>
    <w:qFormat/>
    <w:uiPriority w:val="0"/>
    <w:pPr>
      <w:ind w:firstLine="200" w:firstLineChars="200"/>
    </w:pPr>
    <w:rPr>
      <w:rFonts w:ascii="Times New Roman" w:hAnsi="Times New Roman" w:eastAsia="宋体" w:cs="Times New Roman"/>
      <w:color w:val="0000FF"/>
      <w:sz w:val="24"/>
      <w:szCs w:val="28"/>
    </w:rPr>
  </w:style>
  <w:style w:type="paragraph" w:customStyle="1" w:styleId="2477">
    <w:name w:val="表格标题-7"/>
    <w:basedOn w:val="1"/>
    <w:next w:val="1"/>
    <w:qFormat/>
    <w:uiPriority w:val="0"/>
    <w:pPr>
      <w:tabs>
        <w:tab w:val="left" w:pos="851"/>
      </w:tabs>
      <w:adjustRightInd w:val="0"/>
      <w:snapToGrid w:val="0"/>
      <w:jc w:val="center"/>
    </w:pPr>
    <w:rPr>
      <w:rFonts w:ascii="Times New Roman" w:hAnsi="Times New Roman" w:eastAsia="宋体" w:cs="Times New Roman"/>
      <w:b/>
      <w:sz w:val="24"/>
      <w:szCs w:val="24"/>
    </w:rPr>
  </w:style>
  <w:style w:type="paragraph" w:customStyle="1" w:styleId="2478">
    <w:name w:val="p19"/>
    <w:basedOn w:val="1"/>
    <w:qFormat/>
    <w:uiPriority w:val="0"/>
    <w:pPr>
      <w:widowControl/>
      <w:spacing w:line="240" w:lineRule="auto"/>
      <w:jc w:val="center"/>
    </w:pPr>
    <w:rPr>
      <w:rFonts w:ascii="Times New Roman" w:hAnsi="Times New Roman" w:eastAsia="宋体" w:cs="Times New Roman"/>
      <w:b/>
      <w:bCs/>
      <w:kern w:val="0"/>
      <w:szCs w:val="24"/>
    </w:rPr>
  </w:style>
  <w:style w:type="paragraph" w:customStyle="1" w:styleId="2479">
    <w:name w:val="Char7"/>
    <w:basedOn w:val="1"/>
    <w:qFormat/>
    <w:uiPriority w:val="0"/>
    <w:pPr>
      <w:spacing w:line="240" w:lineRule="auto"/>
    </w:pPr>
    <w:rPr>
      <w:rFonts w:ascii="Times New Roman" w:hAnsi="Times New Roman" w:eastAsia="宋体" w:cs="Times New Roman"/>
      <w:szCs w:val="24"/>
    </w:rPr>
  </w:style>
  <w:style w:type="paragraph" w:styleId="2480">
    <w:name w:val="List Paragraph"/>
    <w:basedOn w:val="1"/>
    <w:qFormat/>
    <w:uiPriority w:val="1"/>
    <w:pPr>
      <w:spacing w:line="240" w:lineRule="auto"/>
      <w:ind w:firstLine="420" w:firstLineChars="200"/>
    </w:pPr>
    <w:rPr>
      <w:szCs w:val="22"/>
    </w:rPr>
  </w:style>
  <w:style w:type="paragraph" w:customStyle="1" w:styleId="2481">
    <w:name w:val="正文新"/>
    <w:basedOn w:val="1"/>
    <w:next w:val="1"/>
    <w:qFormat/>
    <w:uiPriority w:val="0"/>
    <w:pPr>
      <w:ind w:firstLine="200" w:firstLineChars="200"/>
    </w:pPr>
    <w:rPr>
      <w:rFonts w:ascii="Times New Roman" w:hAnsi="Times New Roman" w:eastAsia="宋体" w:cs="Times New Roman"/>
      <w:sz w:val="24"/>
      <w:szCs w:val="24"/>
    </w:rPr>
  </w:style>
  <w:style w:type="character" w:customStyle="1" w:styleId="2482">
    <w:name w:val="题注 Char2"/>
    <w:qFormat/>
    <w:uiPriority w:val="35"/>
    <w:rPr>
      <w:rFonts w:ascii="Times New Roman" w:hAnsi="Times New Roman" w:cs="Times New Roman"/>
      <w:b/>
      <w:szCs w:val="21"/>
    </w:rPr>
  </w:style>
  <w:style w:type="paragraph" w:customStyle="1" w:styleId="2483">
    <w:name w:val="样式 正文标题2 + 段前: 12 磅 段后: 6 磅"/>
    <w:basedOn w:val="1"/>
    <w:qFormat/>
    <w:uiPriority w:val="0"/>
    <w:pPr>
      <w:keepNext/>
      <w:keepLines/>
      <w:spacing w:before="240" w:after="240"/>
      <w:outlineLvl w:val="0"/>
    </w:pPr>
    <w:rPr>
      <w:rFonts w:ascii="Times New Roman" w:hAnsi="Times New Roman" w:eastAsia="黑体" w:cs="宋体"/>
      <w:b/>
      <w:sz w:val="30"/>
      <w:szCs w:val="20"/>
    </w:rPr>
  </w:style>
  <w:style w:type="paragraph" w:customStyle="1" w:styleId="2484">
    <w:name w:val="样式 正文标题3 + 段前: 6 磅 段后: 6 磅 行距: 多倍行距 1.25 字行"/>
    <w:basedOn w:val="1"/>
    <w:qFormat/>
    <w:uiPriority w:val="0"/>
    <w:pPr>
      <w:keepNext/>
      <w:keepLines/>
      <w:adjustRightInd w:val="0"/>
      <w:snapToGrid w:val="0"/>
      <w:spacing w:before="240" w:after="240" w:line="300" w:lineRule="auto"/>
      <w:outlineLvl w:val="1"/>
    </w:pPr>
    <w:rPr>
      <w:rFonts w:ascii="Times New Roman" w:hAnsi="Times New Roman" w:eastAsia="黑体" w:cs="宋体"/>
      <w:sz w:val="28"/>
      <w:szCs w:val="20"/>
    </w:rPr>
  </w:style>
  <w:style w:type="paragraph" w:customStyle="1" w:styleId="2485">
    <w:name w:val="3级标题"/>
    <w:basedOn w:val="1"/>
    <w:qFormat/>
    <w:uiPriority w:val="0"/>
    <w:pPr>
      <w:jc w:val="left"/>
      <w:outlineLvl w:val="2"/>
    </w:pPr>
    <w:rPr>
      <w:rFonts w:ascii="Times New Roman" w:hAnsi="Times New Roman" w:eastAsia="宋体" w:cs="Times New Roman"/>
      <w:b/>
      <w:kern w:val="18"/>
      <w:sz w:val="24"/>
      <w:szCs w:val="24"/>
    </w:rPr>
  </w:style>
  <w:style w:type="character" w:customStyle="1" w:styleId="2486">
    <w:name w:val="正文wei Char Char"/>
    <w:basedOn w:val="91"/>
    <w:link w:val="2487"/>
    <w:qFormat/>
    <w:uiPriority w:val="0"/>
    <w:rPr>
      <w:rFonts w:ascii="黑体" w:hAnsi="黑体" w:eastAsia="黑体" w:cs="黑体"/>
      <w:color w:val="000000"/>
      <w:kern w:val="2"/>
      <w:sz w:val="24"/>
      <w:szCs w:val="24"/>
      <w:lang w:val="zh-CN"/>
    </w:rPr>
  </w:style>
  <w:style w:type="paragraph" w:customStyle="1" w:styleId="2487">
    <w:name w:val="正文wei"/>
    <w:basedOn w:val="1"/>
    <w:next w:val="1"/>
    <w:link w:val="2486"/>
    <w:qFormat/>
    <w:uiPriority w:val="0"/>
    <w:pPr>
      <w:adjustRightInd w:val="0"/>
      <w:snapToGrid w:val="0"/>
      <w:ind w:firstLine="480" w:firstLineChars="200"/>
    </w:pPr>
    <w:rPr>
      <w:rFonts w:ascii="黑体" w:hAnsi="黑体" w:eastAsia="黑体" w:cs="黑体"/>
      <w:color w:val="000000"/>
      <w:sz w:val="24"/>
      <w:szCs w:val="24"/>
      <w:lang w:val="zh-CN"/>
    </w:rPr>
  </w:style>
  <w:style w:type="character" w:customStyle="1" w:styleId="2488">
    <w:name w:val="表 题注 + 左 段前: 0.5 行1 Char"/>
    <w:basedOn w:val="91"/>
    <w:link w:val="2489"/>
    <w:qFormat/>
    <w:uiPriority w:val="0"/>
    <w:rPr>
      <w:rFonts w:ascii="黑体" w:hAnsi="黑体" w:eastAsia="黑体" w:cs="宋体"/>
      <w:kern w:val="2"/>
      <w:sz w:val="24"/>
    </w:rPr>
  </w:style>
  <w:style w:type="paragraph" w:customStyle="1" w:styleId="2489">
    <w:name w:val="表 题注 + 左 段前: 0.5 行1"/>
    <w:basedOn w:val="24"/>
    <w:link w:val="2488"/>
    <w:qFormat/>
    <w:uiPriority w:val="0"/>
    <w:pPr>
      <w:spacing w:line="240" w:lineRule="auto"/>
      <w:outlineLvl w:val="4"/>
    </w:pPr>
    <w:rPr>
      <w:rFonts w:ascii="黑体" w:hAnsi="黑体" w:eastAsia="黑体" w:cs="宋体"/>
      <w:b w:val="0"/>
      <w:sz w:val="24"/>
    </w:rPr>
  </w:style>
  <w:style w:type="paragraph" w:customStyle="1" w:styleId="2490">
    <w:name w:val="样式56"/>
    <w:basedOn w:val="1"/>
    <w:qFormat/>
    <w:uiPriority w:val="0"/>
    <w:pPr>
      <w:widowControl/>
      <w:spacing w:line="240" w:lineRule="auto"/>
      <w:jc w:val="center"/>
    </w:pPr>
    <w:rPr>
      <w:rFonts w:ascii="Times New Roman" w:hAnsi="Times New Roman" w:eastAsia="宋体" w:cs="Times New Roman"/>
      <w:kern w:val="0"/>
      <w:szCs w:val="20"/>
    </w:rPr>
  </w:style>
  <w:style w:type="character" w:customStyle="1" w:styleId="2491">
    <w:name w:val="【表内字】 Char"/>
    <w:link w:val="2492"/>
    <w:qFormat/>
    <w:uiPriority w:val="0"/>
    <w:rPr>
      <w:rFonts w:ascii="Times New Roman" w:hAnsi="Times New Roman" w:cs="Times New Roman"/>
      <w:szCs w:val="24"/>
    </w:rPr>
  </w:style>
  <w:style w:type="paragraph" w:customStyle="1" w:styleId="2492">
    <w:name w:val="【表内字】"/>
    <w:basedOn w:val="1"/>
    <w:link w:val="2491"/>
    <w:qFormat/>
    <w:uiPriority w:val="0"/>
    <w:pPr>
      <w:spacing w:line="240" w:lineRule="auto"/>
      <w:jc w:val="center"/>
    </w:pPr>
    <w:rPr>
      <w:rFonts w:ascii="Times New Roman" w:hAnsi="Times New Roman" w:cs="Times New Roman"/>
      <w:kern w:val="0"/>
      <w:sz w:val="20"/>
      <w:szCs w:val="24"/>
    </w:rPr>
  </w:style>
  <w:style w:type="character" w:customStyle="1" w:styleId="2493">
    <w:name w:val="C表后正文 Char"/>
    <w:basedOn w:val="91"/>
    <w:link w:val="2494"/>
    <w:qFormat/>
    <w:uiPriority w:val="0"/>
    <w:rPr>
      <w:rFonts w:ascii="Times New Roman" w:hAnsi="Times New Roman" w:eastAsia="宋体" w:cs="Times New Roman"/>
      <w:sz w:val="24"/>
      <w:szCs w:val="24"/>
    </w:rPr>
  </w:style>
  <w:style w:type="paragraph" w:customStyle="1" w:styleId="2494">
    <w:name w:val="C表后正文"/>
    <w:basedOn w:val="1"/>
    <w:link w:val="2493"/>
    <w:qFormat/>
    <w:uiPriority w:val="0"/>
    <w:pPr>
      <w:spacing w:beforeLines="50"/>
      <w:ind w:firstLine="200" w:firstLineChars="200"/>
    </w:pPr>
    <w:rPr>
      <w:rFonts w:ascii="Times New Roman" w:hAnsi="Times New Roman" w:eastAsia="宋体" w:cs="Times New Roman"/>
      <w:kern w:val="0"/>
      <w:sz w:val="24"/>
      <w:szCs w:val="24"/>
    </w:rPr>
  </w:style>
  <w:style w:type="character" w:styleId="2495">
    <w:name w:val="Placeholder Text"/>
    <w:basedOn w:val="91"/>
    <w:unhideWhenUsed/>
    <w:qFormat/>
    <w:uiPriority w:val="99"/>
    <w:rPr>
      <w:color w:val="808080"/>
    </w:rPr>
  </w:style>
  <w:style w:type="paragraph" w:customStyle="1" w:styleId="2496">
    <w:name w:val="Normal+2"/>
    <w:basedOn w:val="266"/>
    <w:next w:val="266"/>
    <w:qFormat/>
    <w:uiPriority w:val="99"/>
    <w:rPr>
      <w:rFonts w:ascii="Arial" w:hAnsi="Arial" w:cs="Arial" w:eastAsiaTheme="minorEastAsia"/>
      <w:color w:val="auto"/>
    </w:rPr>
  </w:style>
  <w:style w:type="paragraph" w:customStyle="1" w:styleId="2497">
    <w:name w:val="修订3"/>
    <w:hidden/>
    <w:unhideWhenUsed/>
    <w:qFormat/>
    <w:uiPriority w:val="99"/>
    <w:rPr>
      <w:rFonts w:asciiTheme="minorHAnsi" w:hAnsiTheme="minorHAnsi" w:eastAsiaTheme="minorEastAsia" w:cstheme="minorBidi"/>
      <w:kern w:val="2"/>
      <w:sz w:val="21"/>
      <w:szCs w:val="21"/>
      <w:lang w:val="en-US" w:eastAsia="zh-CN" w:bidi="ar-SA"/>
    </w:rPr>
  </w:style>
  <w:style w:type="paragraph" w:customStyle="1" w:styleId="2498">
    <w:name w:val="表格标题-3"/>
    <w:basedOn w:val="1"/>
    <w:next w:val="1"/>
    <w:qFormat/>
    <w:uiPriority w:val="0"/>
    <w:pPr>
      <w:numPr>
        <w:ilvl w:val="0"/>
        <w:numId w:val="2"/>
      </w:numPr>
      <w:adjustRightInd w:val="0"/>
      <w:snapToGrid w:val="0"/>
      <w:jc w:val="center"/>
    </w:pPr>
    <w:rPr>
      <w:rFonts w:ascii="Times New Roman" w:hAnsi="Times New Roman" w:eastAsia="黑体" w:cs="Times New Roman"/>
      <w:sz w:val="24"/>
      <w:szCs w:val="24"/>
    </w:rPr>
  </w:style>
  <w:style w:type="character" w:customStyle="1" w:styleId="2499">
    <w:name w:val="排版正文 Char"/>
    <w:qFormat/>
    <w:uiPriority w:val="0"/>
    <w:rPr>
      <w:kern w:val="0"/>
      <w:sz w:val="20"/>
    </w:rPr>
  </w:style>
  <w:style w:type="paragraph" w:customStyle="1" w:styleId="2500">
    <w:name w:val="1 Char Char Char Char"/>
    <w:basedOn w:val="1"/>
    <w:qFormat/>
    <w:uiPriority w:val="0"/>
    <w:pPr>
      <w:spacing w:line="240" w:lineRule="auto"/>
    </w:pPr>
    <w:rPr>
      <w:rFonts w:ascii="Times New Roman" w:hAnsi="Times New Roman" w:eastAsia="宋体" w:cs="Times New Roman"/>
      <w:szCs w:val="24"/>
    </w:rPr>
  </w:style>
  <w:style w:type="paragraph" w:customStyle="1" w:styleId="2501">
    <w:name w:val="正文6"/>
    <w:basedOn w:val="1"/>
    <w:qFormat/>
    <w:uiPriority w:val="0"/>
    <w:pPr>
      <w:adjustRightInd w:val="0"/>
      <w:spacing w:line="480" w:lineRule="exact"/>
      <w:ind w:firstLine="465"/>
      <w:textAlignment w:val="baseline"/>
    </w:pPr>
    <w:rPr>
      <w:rFonts w:ascii="Calibri" w:hAnsi="Calibri" w:eastAsia="宋体" w:cs="Times New Roman"/>
      <w:spacing w:val="-2"/>
      <w:kern w:val="0"/>
      <w:sz w:val="28"/>
      <w:szCs w:val="20"/>
    </w:rPr>
  </w:style>
  <w:style w:type="paragraph" w:customStyle="1" w:styleId="2502">
    <w:name w:val="正文7"/>
    <w:basedOn w:val="1"/>
    <w:qFormat/>
    <w:uiPriority w:val="0"/>
    <w:pPr>
      <w:adjustRightInd w:val="0"/>
      <w:spacing w:line="480" w:lineRule="exact"/>
      <w:ind w:firstLine="465"/>
      <w:textAlignment w:val="baseline"/>
    </w:pPr>
    <w:rPr>
      <w:rFonts w:ascii="Calibri" w:hAnsi="Calibri" w:eastAsia="宋体" w:cs="Times New Roman"/>
      <w:spacing w:val="-2"/>
      <w:kern w:val="0"/>
      <w:sz w:val="28"/>
      <w:szCs w:val="20"/>
    </w:rPr>
  </w:style>
  <w:style w:type="paragraph" w:customStyle="1" w:styleId="2503">
    <w:name w:val="图件标题"/>
    <w:basedOn w:val="1"/>
    <w:qFormat/>
    <w:uiPriority w:val="0"/>
    <w:pPr>
      <w:spacing w:before="156" w:beforeLines="50" w:line="240" w:lineRule="exact"/>
      <w:ind w:firstLine="0" w:firstLineChars="0"/>
      <w:jc w:val="center"/>
    </w:pPr>
    <w:rPr>
      <w:b/>
      <w:sz w:val="21"/>
    </w:rPr>
  </w:style>
  <w:style w:type="paragraph" w:customStyle="1" w:styleId="2504">
    <w:name w:val="正文-黑体"/>
    <w:qFormat/>
    <w:uiPriority w:val="0"/>
    <w:rPr>
      <w:rFonts w:ascii="Times New Roman" w:hAnsi="Times New Roman" w:eastAsia="黑体" w:cs="Times New Roman"/>
      <w:lang w:val="en-US" w:eastAsia="zh-CN" w:bidi="ar-SA"/>
    </w:rPr>
  </w:style>
  <w:style w:type="character" w:customStyle="1" w:styleId="2505">
    <w:name w:val="fontstyle01"/>
    <w:qFormat/>
    <w:uiPriority w:val="0"/>
    <w:rPr>
      <w:rFonts w:hint="eastAsia" w:ascii="宋体" w:hAnsi="宋体" w:eastAsia="宋体"/>
      <w:color w:val="000000"/>
      <w:sz w:val="24"/>
      <w:szCs w:val="24"/>
    </w:rPr>
  </w:style>
  <w:style w:type="paragraph" w:customStyle="1" w:styleId="2506">
    <w:name w:val="hj-正文"/>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Calibri" w:hAnsi="Calibri" w:eastAsia="宋体" w:cs="Times New Roman"/>
      <w:kern w:val="2"/>
      <w:sz w:val="24"/>
      <w:szCs w:val="24"/>
      <w:lang w:val="en-US" w:eastAsia="zh-CN" w:bidi="ar"/>
    </w:rPr>
  </w:style>
  <w:style w:type="paragraph" w:customStyle="1" w:styleId="2507">
    <w:name w:val="样式 正文缩进 + 首行缩进:  2 字符"/>
    <w:basedOn w:val="23"/>
    <w:qFormat/>
    <w:uiPriority w:val="0"/>
    <w:pPr>
      <w:widowControl/>
      <w:spacing w:line="500" w:lineRule="exact"/>
      <w:ind w:firstLine="200" w:firstLineChars="200"/>
      <w:jc w:val="left"/>
    </w:pPr>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4.xml"/><Relationship Id="rId69" Type="http://schemas.openxmlformats.org/officeDocument/2006/relationships/image" Target="media/image44.jpeg"/><Relationship Id="rId68" Type="http://schemas.openxmlformats.org/officeDocument/2006/relationships/image" Target="media/image43.jpeg"/><Relationship Id="rId67" Type="http://schemas.openxmlformats.org/officeDocument/2006/relationships/image" Target="media/image42.jpeg"/><Relationship Id="rId66" Type="http://schemas.openxmlformats.org/officeDocument/2006/relationships/image" Target="media/image41.jpeg"/><Relationship Id="rId65" Type="http://schemas.openxmlformats.org/officeDocument/2006/relationships/image" Target="media/image40.jpeg"/><Relationship Id="rId64" Type="http://schemas.openxmlformats.org/officeDocument/2006/relationships/image" Target="media/image39.jpeg"/><Relationship Id="rId63" Type="http://schemas.openxmlformats.org/officeDocument/2006/relationships/image" Target="media/image38.jpeg"/><Relationship Id="rId62" Type="http://schemas.openxmlformats.org/officeDocument/2006/relationships/image" Target="media/image37.jpe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3.xml"/><Relationship Id="rId59" Type="http://schemas.openxmlformats.org/officeDocument/2006/relationships/image" Target="media/image34.png"/><Relationship Id="rId58" Type="http://schemas.openxmlformats.org/officeDocument/2006/relationships/image" Target="media/image33.wmf"/><Relationship Id="rId57" Type="http://schemas.openxmlformats.org/officeDocument/2006/relationships/oleObject" Target="embeddings/oleObject8.bin"/><Relationship Id="rId56" Type="http://schemas.openxmlformats.org/officeDocument/2006/relationships/image" Target="media/image32.wmf"/><Relationship Id="rId55" Type="http://schemas.openxmlformats.org/officeDocument/2006/relationships/oleObject" Target="embeddings/oleObject7.bin"/><Relationship Id="rId54" Type="http://schemas.openxmlformats.org/officeDocument/2006/relationships/chart" Target="charts/chart6.xml"/><Relationship Id="rId53" Type="http://schemas.openxmlformats.org/officeDocument/2006/relationships/chart" Target="charts/chart5.xml"/><Relationship Id="rId52" Type="http://schemas.openxmlformats.org/officeDocument/2006/relationships/chart" Target="charts/chart4.xml"/><Relationship Id="rId51" Type="http://schemas.openxmlformats.org/officeDocument/2006/relationships/chart" Target="charts/chart3.xml"/><Relationship Id="rId50" Type="http://schemas.openxmlformats.org/officeDocument/2006/relationships/chart" Target="charts/chart2.xml"/><Relationship Id="rId5" Type="http://schemas.openxmlformats.org/officeDocument/2006/relationships/header" Target="header1.xml"/><Relationship Id="rId49" Type="http://schemas.openxmlformats.org/officeDocument/2006/relationships/chart" Target="charts/chart1.xml"/><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wmf"/><Relationship Id="rId45" Type="http://schemas.openxmlformats.org/officeDocument/2006/relationships/oleObject" Target="embeddings/oleObject6.bin"/><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wmf"/><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wmf"/><Relationship Id="rId32" Type="http://schemas.openxmlformats.org/officeDocument/2006/relationships/image" Target="media/image16.wmf"/><Relationship Id="rId31" Type="http://schemas.openxmlformats.org/officeDocument/2006/relationships/image" Target="media/image15.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emf"/><Relationship Id="rId25" Type="http://schemas.openxmlformats.org/officeDocument/2006/relationships/oleObject" Target="embeddings/oleObject4.bin"/><Relationship Id="rId24" Type="http://schemas.openxmlformats.org/officeDocument/2006/relationships/image" Target="media/image10.emf"/><Relationship Id="rId23" Type="http://schemas.openxmlformats.org/officeDocument/2006/relationships/oleObject" Target="embeddings/oleObject3.bin"/><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1.bin"/><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my%20documents\documents\tencent%20files\447349083\filerecv\&#22320;&#19979;&#27700;&#31639;&#34920;(&#27491;&#65289;33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my%20documents\documents\tencent%20files\447349083\filerecv\&#22320;&#19979;&#27700;&#31639;&#34920;(&#27491;&#65289;33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my%20documents\documents\tencent%20files\447349083\filerecv\&#22320;&#19979;&#27700;&#31639;&#34920;(&#27491;&#65289;333.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my%20documents\documents\tencent%20files\447349083\filerecv\&#22320;&#19979;&#27700;&#31639;&#34920;(&#27491;&#65289;333.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my%20documents\documents\tencent%20files\447349083\filerecv\&#22320;&#19979;&#27700;&#31639;&#34920;(&#27491;&#65289;333.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my%20documents\documents\tencent%20files\447349083\filerecv\&#22320;&#19979;&#27700;&#31639;&#34920;(&#27491;&#65289;3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10</a:t>
            </a:r>
            <a:r>
              <a:rPr lang="en-US" altLang="zh-CN"/>
              <a:t>d</a:t>
            </a:r>
            <a:endParaRPr lang="en-US" altLang="zh-CN"/>
          </a:p>
        </c:rich>
      </c:tx>
      <c:layout>
        <c:manualLayout>
          <c:xMode val="edge"/>
          <c:yMode val="edge"/>
          <c:x val="0.474688796680498"/>
          <c:y val="0.0280701754385965"/>
        </c:manualLayout>
      </c:layout>
      <c:overlay val="0"/>
      <c:spPr>
        <a:noFill/>
        <a:ln>
          <a:noFill/>
        </a:ln>
        <a:effectLst/>
      </c:spPr>
    </c:title>
    <c:autoTitleDeleted val="0"/>
    <c:plotArea>
      <c:layout/>
      <c:lineChart>
        <c:grouping val="standard"/>
        <c:varyColors val="0"/>
        <c:ser>
          <c:idx val="0"/>
          <c:order val="0"/>
          <c:tx>
            <c:strRef>
              <c:f>'[地下水算表(正）333.xlsx]Sheet1'!$S$143</c:f>
              <c:strCache>
                <c:ptCount val="1"/>
                <c:pt idx="0">
                  <c:v>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'[地下水算表(正）333.xlsx]Sheet1'!$R$144:$R$158</c:f>
              <c:numCache>
                <c:formatCode>General</c:formatCode>
                <c:ptCount val="15"/>
                <c:pt idx="0">
                  <c:v>0</c:v>
                </c:pt>
                <c:pt idx="1">
                  <c:v>5</c:v>
                </c:pt>
                <c:pt idx="2">
                  <c:v>8</c:v>
                </c:pt>
                <c:pt idx="3">
                  <c:v>10</c:v>
                </c:pt>
                <c:pt idx="4">
                  <c:v>12</c:v>
                </c:pt>
                <c:pt idx="5">
                  <c:v>14</c:v>
                </c:pt>
                <c:pt idx="6">
                  <c:v>15</c:v>
                </c:pt>
                <c:pt idx="7">
                  <c:v>16</c:v>
                </c:pt>
                <c:pt idx="8">
                  <c:v>17</c:v>
                </c:pt>
                <c:pt idx="9">
                  <c:v>18</c:v>
                </c:pt>
                <c:pt idx="10">
                  <c:v>20</c:v>
                </c:pt>
                <c:pt idx="11">
                  <c:v>30</c:v>
                </c:pt>
                <c:pt idx="12">
                  <c:v>40</c:v>
                </c:pt>
                <c:pt idx="13">
                  <c:v>50</c:v>
                </c:pt>
              </c:numCache>
            </c:numRef>
          </c:cat>
          <c:val>
            <c:numRef>
              <c:f>'[地下水算表(正）333.xlsx]Sheet1'!$S$144:$S$158</c:f>
              <c:numCache>
                <c:formatCode>0.000_ </c:formatCode>
                <c:ptCount val="15"/>
                <c:pt idx="0">
                  <c:v>3.13176902074066</c:v>
                </c:pt>
                <c:pt idx="1">
                  <c:v>0.41223417461962</c:v>
                </c:pt>
                <c:pt idx="2">
                  <c:v>0.0186088440316507</c:v>
                </c:pt>
                <c:pt idx="3">
                  <c:v>0.000996360928557903</c:v>
                </c:pt>
                <c:pt idx="4">
                  <c:v>2.67689662751195e-5</c:v>
                </c:pt>
                <c:pt idx="5">
                  <c:v>3.60881094667728e-7</c:v>
                </c:pt>
                <c:pt idx="6">
                  <c:v>3.23537409623625e-8</c:v>
                </c:pt>
                <c:pt idx="7">
                  <c:v>2.44126138333364e-9</c:v>
                </c:pt>
                <c:pt idx="8">
                  <c:v>1.55036324360621e-10</c:v>
                </c:pt>
                <c:pt idx="9">
                  <c:v>8.28670827696535e-12</c:v>
                </c:pt>
                <c:pt idx="10">
                  <c:v>1.41145630582975e-14</c:v>
                </c:pt>
                <c:pt idx="11">
                  <c:v>6.51416363602258e-33</c:v>
                </c:pt>
                <c:pt idx="12">
                  <c:v>9.79468255979395e-59</c:v>
                </c:pt>
                <c:pt idx="13">
                  <c:v>4.79802539969016e-92</c:v>
                </c:pt>
              </c:numCache>
            </c:numRef>
          </c:val>
          <c:smooth val="0"/>
        </c:ser>
        <c:dLbls>
          <c:showLegendKey val="0"/>
          <c:showVal val="0"/>
          <c:showCatName val="0"/>
          <c:showSerName val="0"/>
          <c:showPercent val="0"/>
          <c:showBubbleSize val="0"/>
        </c:dLbls>
        <c:marker val="1"/>
        <c:smooth val="0"/>
        <c:axId val="240195133"/>
        <c:axId val="938027835"/>
      </c:lineChart>
      <c:catAx>
        <c:axId val="24019513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8027835"/>
        <c:crosses val="autoZero"/>
        <c:auto val="1"/>
        <c:lblAlgn val="ctr"/>
        <c:lblOffset val="100"/>
        <c:noMultiLvlLbl val="0"/>
      </c:catAx>
      <c:valAx>
        <c:axId val="938027835"/>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019513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100</a:t>
            </a:r>
            <a:r>
              <a:rPr lang="en-US" altLang="zh-CN"/>
              <a:t>d</a:t>
            </a:r>
            <a:endParaRPr lang="en-US" altLang="zh-CN"/>
          </a:p>
        </c:rich>
      </c:tx>
      <c:layout/>
      <c:overlay val="0"/>
      <c:spPr>
        <a:noFill/>
        <a:ln>
          <a:noFill/>
        </a:ln>
        <a:effectLst/>
      </c:spPr>
    </c:title>
    <c:autoTitleDeleted val="0"/>
    <c:plotArea>
      <c:layout/>
      <c:lineChart>
        <c:grouping val="standard"/>
        <c:varyColors val="0"/>
        <c:ser>
          <c:idx val="0"/>
          <c:order val="0"/>
          <c:tx>
            <c:strRef>
              <c:f>'[地下水算表(正）333.xlsx]Sheet1'!$U$143</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'[地下水算表(正）333.xlsx]Sheet1'!$T$144:$T$161</c:f>
              <c:numCache>
                <c:formatCode>General</c:formatCode>
                <c:ptCount val="18"/>
                <c:pt idx="0">
                  <c:v>0</c:v>
                </c:pt>
                <c:pt idx="1">
                  <c:v>5</c:v>
                </c:pt>
                <c:pt idx="2">
                  <c:v>10</c:v>
                </c:pt>
                <c:pt idx="3">
                  <c:v>20</c:v>
                </c:pt>
                <c:pt idx="4">
                  <c:v>30</c:v>
                </c:pt>
                <c:pt idx="5">
                  <c:v>40</c:v>
                </c:pt>
                <c:pt idx="6">
                  <c:v>45</c:v>
                </c:pt>
                <c:pt idx="7">
                  <c:v>48</c:v>
                </c:pt>
                <c:pt idx="8">
                  <c:v>50</c:v>
                </c:pt>
                <c:pt idx="9">
                  <c:v>51</c:v>
                </c:pt>
                <c:pt idx="10">
                  <c:v>53</c:v>
                </c:pt>
                <c:pt idx="11">
                  <c:v>55</c:v>
                </c:pt>
                <c:pt idx="12">
                  <c:v>56</c:v>
                </c:pt>
                <c:pt idx="13">
                  <c:v>58</c:v>
                </c:pt>
                <c:pt idx="14">
                  <c:v>60</c:v>
                </c:pt>
                <c:pt idx="15">
                  <c:v>70</c:v>
                </c:pt>
                <c:pt idx="16">
                  <c:v>80</c:v>
                </c:pt>
                <c:pt idx="17">
                  <c:v>100</c:v>
                </c:pt>
              </c:numCache>
            </c:numRef>
          </c:cat>
          <c:val>
            <c:numRef>
              <c:f>'[地下水算表(正）333.xlsx]Sheet1'!$U$144:$U$161</c:f>
              <c:numCache>
                <c:formatCode>0.000_ </c:formatCode>
                <c:ptCount val="18"/>
                <c:pt idx="0">
                  <c:v>0.592207804931149</c:v>
                </c:pt>
                <c:pt idx="1">
                  <c:v>0.740979001316253</c:v>
                </c:pt>
                <c:pt idx="2">
                  <c:v>0.602505736682317</c:v>
                </c:pt>
                <c:pt idx="3">
                  <c:v>0.109330741471806</c:v>
                </c:pt>
                <c:pt idx="4">
                  <c:v>0.00353848572714033</c:v>
                </c:pt>
                <c:pt idx="5">
                  <c:v>2.04261562852782e-5</c:v>
                </c:pt>
                <c:pt idx="6">
                  <c:v>8.13029903672875e-7</c:v>
                </c:pt>
                <c:pt idx="7">
                  <c:v>9.55462676107551e-8</c:v>
                </c:pt>
                <c:pt idx="8">
                  <c:v>2.10305146342953e-8</c:v>
                </c:pt>
                <c:pt idx="9">
                  <c:v>9.61473675334188e-9</c:v>
                </c:pt>
                <c:pt idx="10">
                  <c:v>1.90832005582465e-9</c:v>
                </c:pt>
                <c:pt idx="11">
                  <c:v>3.535222829838e-10</c:v>
                </c:pt>
                <c:pt idx="12">
                  <c:v>1.48275362051648e-10</c:v>
                </c:pt>
                <c:pt idx="13">
                  <c:v>2.47692133830944e-11</c:v>
                </c:pt>
                <c:pt idx="14">
                  <c:v>3.86195490070683e-12</c:v>
                </c:pt>
                <c:pt idx="15">
                  <c:v>1.26490684551801e-16</c:v>
                </c:pt>
                <c:pt idx="16">
                  <c:v>7.38931083235995e-22</c:v>
                </c:pt>
                <c:pt idx="17">
                  <c:v>1.43079318769814e-34</c:v>
                </c:pt>
              </c:numCache>
            </c:numRef>
          </c:val>
          <c:smooth val="0"/>
        </c:ser>
        <c:dLbls>
          <c:showLegendKey val="0"/>
          <c:showVal val="0"/>
          <c:showCatName val="0"/>
          <c:showSerName val="0"/>
          <c:showPercent val="0"/>
          <c:showBubbleSize val="0"/>
        </c:dLbls>
        <c:marker val="1"/>
        <c:smooth val="0"/>
        <c:axId val="36385803"/>
        <c:axId val="588088759"/>
      </c:lineChart>
      <c:catAx>
        <c:axId val="3638580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8088759"/>
        <c:crosses val="autoZero"/>
        <c:auto val="1"/>
        <c:lblAlgn val="ctr"/>
        <c:lblOffset val="100"/>
        <c:noMultiLvlLbl val="0"/>
      </c:catAx>
      <c:valAx>
        <c:axId val="588088759"/>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3858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1000</a:t>
            </a:r>
            <a:r>
              <a:rPr lang="en-US" altLang="zh-CN"/>
              <a:t>d</a:t>
            </a:r>
            <a:endParaRPr lang="en-US" altLang="zh-CN"/>
          </a:p>
        </c:rich>
      </c:tx>
      <c:layout>
        <c:manualLayout>
          <c:xMode val="edge"/>
          <c:yMode val="edge"/>
          <c:x val="0.450837834095001"/>
          <c:y val="0.0315789473684211"/>
        </c:manualLayout>
      </c:layout>
      <c:overlay val="0"/>
      <c:spPr>
        <a:noFill/>
        <a:ln>
          <a:noFill/>
        </a:ln>
        <a:effectLst/>
      </c:spPr>
    </c:title>
    <c:autoTitleDeleted val="0"/>
    <c:plotArea>
      <c:layout/>
      <c:lineChart>
        <c:grouping val="standard"/>
        <c:varyColors val="0"/>
        <c:ser>
          <c:idx val="0"/>
          <c:order val="0"/>
          <c:tx>
            <c:strRef>
              <c:f>'[地下水算表(正）333.xlsx]Sheet1'!$W$143</c:f>
              <c:strCache>
                <c:ptCount val="1"/>
                <c:pt idx="0">
                  <c:v>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'[地下水算表(正）333.xlsx]Sheet1'!$V$144:$V$167</c:f>
              <c:numCache>
                <c:formatCode>General</c:formatCode>
                <c:ptCount val="24"/>
                <c:pt idx="0">
                  <c:v>0</c:v>
                </c:pt>
                <c:pt idx="1">
                  <c:v>10</c:v>
                </c:pt>
                <c:pt idx="2">
                  <c:v>20</c:v>
                </c:pt>
                <c:pt idx="3">
                  <c:v>60</c:v>
                </c:pt>
                <c:pt idx="4">
                  <c:v>80</c:v>
                </c:pt>
                <c:pt idx="5">
                  <c:v>100</c:v>
                </c:pt>
                <c:pt idx="6">
                  <c:v>120</c:v>
                </c:pt>
                <c:pt idx="7">
                  <c:v>140</c:v>
                </c:pt>
                <c:pt idx="8">
                  <c:v>160</c:v>
                </c:pt>
                <c:pt idx="9">
                  <c:v>180</c:v>
                </c:pt>
                <c:pt idx="10">
                  <c:v>190</c:v>
                </c:pt>
                <c:pt idx="11">
                  <c:v>195</c:v>
                </c:pt>
                <c:pt idx="12">
                  <c:v>200</c:v>
                </c:pt>
                <c:pt idx="13">
                  <c:v>205</c:v>
                </c:pt>
                <c:pt idx="14">
                  <c:v>210</c:v>
                </c:pt>
                <c:pt idx="15">
                  <c:v>220</c:v>
                </c:pt>
                <c:pt idx="16">
                  <c:v>230</c:v>
                </c:pt>
                <c:pt idx="17">
                  <c:v>240</c:v>
                </c:pt>
                <c:pt idx="18">
                  <c:v>250</c:v>
                </c:pt>
                <c:pt idx="19">
                  <c:v>300</c:v>
                </c:pt>
                <c:pt idx="20">
                  <c:v>400</c:v>
                </c:pt>
                <c:pt idx="21">
                  <c:v>500</c:v>
                </c:pt>
                <c:pt idx="22">
                  <c:v>600</c:v>
                </c:pt>
                <c:pt idx="23">
                  <c:v>800</c:v>
                </c:pt>
              </c:numCache>
            </c:numRef>
          </c:cat>
          <c:val>
            <c:numRef>
              <c:f>'[地下水算表(正）333.xlsx]Sheet1'!$W$144:$W$167</c:f>
              <c:numCache>
                <c:formatCode>0.000_ </c:formatCode>
                <c:ptCount val="24"/>
                <c:pt idx="0">
                  <c:v>0.0248972422395099</c:v>
                </c:pt>
                <c:pt idx="1">
                  <c:v>0.0550244845510027</c:v>
                </c:pt>
                <c:pt idx="2">
                  <c:v>0.102350537045916</c:v>
                </c:pt>
                <c:pt idx="3">
                  <c:v>0.218534870429006</c:v>
                </c:pt>
                <c:pt idx="4">
                  <c:v>0.113504343980798</c:v>
                </c:pt>
                <c:pt idx="5">
                  <c:v>0.0295816122464043</c:v>
                </c:pt>
                <c:pt idx="6">
                  <c:v>0.00386855536111636</c:v>
                </c:pt>
                <c:pt idx="7">
                  <c:v>0.000253859494791949</c:v>
                </c:pt>
                <c:pt idx="8">
                  <c:v>8.35902502970223e-6</c:v>
                </c:pt>
                <c:pt idx="9">
                  <c:v>1.38113286246077e-7</c:v>
                </c:pt>
                <c:pt idx="10">
                  <c:v>1.37078543949225e-8</c:v>
                </c:pt>
                <c:pt idx="11">
                  <c:v>4.04818192441672e-9</c:v>
                </c:pt>
                <c:pt idx="12">
                  <c:v>1.14507230602456e-9</c:v>
                </c:pt>
                <c:pt idx="13">
                  <c:v>3.10233114095257e-10</c:v>
                </c:pt>
                <c:pt idx="14">
                  <c:v>8.05055357534735e-11</c:v>
                </c:pt>
                <c:pt idx="15">
                  <c:v>4.76373925916719e-12</c:v>
                </c:pt>
                <c:pt idx="16">
                  <c:v>2.37246396865926e-13</c:v>
                </c:pt>
                <c:pt idx="17">
                  <c:v>9.94444781224092e-15</c:v>
                </c:pt>
                <c:pt idx="18">
                  <c:v>3.50825477737576e-16</c:v>
                </c:pt>
                <c:pt idx="19">
                  <c:v>1.44405740638708e-24</c:v>
                </c:pt>
                <c:pt idx="20">
                  <c:v>5.93302913934932e-47</c:v>
                </c:pt>
                <c:pt idx="21">
                  <c:v>7.94161776301999e-77</c:v>
                </c:pt>
                <c:pt idx="22">
                  <c:v>3.46323494607914e-114</c:v>
                </c:pt>
                <c:pt idx="23">
                  <c:v>2.27745252504249e-211</c:v>
                </c:pt>
              </c:numCache>
            </c:numRef>
          </c:val>
          <c:smooth val="0"/>
        </c:ser>
        <c:dLbls>
          <c:showLegendKey val="0"/>
          <c:showVal val="0"/>
          <c:showCatName val="0"/>
          <c:showSerName val="0"/>
          <c:showPercent val="0"/>
          <c:showBubbleSize val="0"/>
        </c:dLbls>
        <c:marker val="1"/>
        <c:smooth val="0"/>
        <c:axId val="439662147"/>
        <c:axId val="737102104"/>
      </c:lineChart>
      <c:catAx>
        <c:axId val="43966214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7102104"/>
        <c:crosses val="autoZero"/>
        <c:auto val="1"/>
        <c:lblAlgn val="ctr"/>
        <c:lblOffset val="100"/>
        <c:noMultiLvlLbl val="0"/>
      </c:catAx>
      <c:valAx>
        <c:axId val="737102104"/>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96621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10</a:t>
            </a:r>
            <a:r>
              <a:rPr lang="en-US" altLang="zh-CN"/>
              <a:t>d</a:t>
            </a:r>
            <a:endParaRPr lang="en-US" altLang="zh-CN"/>
          </a:p>
        </c:rich>
      </c:tx>
      <c:layout>
        <c:manualLayout>
          <c:xMode val="edge"/>
          <c:yMode val="edge"/>
          <c:x val="0.474688796680498"/>
          <c:y val="0.0280701754385965"/>
        </c:manualLayout>
      </c:layout>
      <c:overlay val="0"/>
      <c:spPr>
        <a:noFill/>
        <a:ln>
          <a:noFill/>
        </a:ln>
        <a:effectLst/>
      </c:spPr>
    </c:title>
    <c:autoTitleDeleted val="0"/>
    <c:plotArea>
      <c:layout/>
      <c:lineChart>
        <c:grouping val="standard"/>
        <c:varyColors val="0"/>
        <c:ser>
          <c:idx val="0"/>
          <c:order val="0"/>
          <c:tx>
            <c:strRef>
              <c:f>'[地下水算表(正）333.xlsx]Sheet1'!$S$143</c:f>
              <c:strCache>
                <c:ptCount val="1"/>
                <c:pt idx="0">
                  <c:v>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'[地下水算表(正）333.xlsx]Sheet1'!$R$144:$R$158</c:f>
              <c:numCache>
                <c:formatCode>General</c:formatCode>
                <c:ptCount val="15"/>
                <c:pt idx="0">
                  <c:v>0</c:v>
                </c:pt>
                <c:pt idx="1">
                  <c:v>5</c:v>
                </c:pt>
                <c:pt idx="2">
                  <c:v>8</c:v>
                </c:pt>
                <c:pt idx="3">
                  <c:v>10</c:v>
                </c:pt>
                <c:pt idx="4">
                  <c:v>12</c:v>
                </c:pt>
                <c:pt idx="5">
                  <c:v>14</c:v>
                </c:pt>
                <c:pt idx="6">
                  <c:v>15</c:v>
                </c:pt>
                <c:pt idx="7">
                  <c:v>16</c:v>
                </c:pt>
                <c:pt idx="8">
                  <c:v>17</c:v>
                </c:pt>
                <c:pt idx="9">
                  <c:v>18</c:v>
                </c:pt>
                <c:pt idx="10">
                  <c:v>20</c:v>
                </c:pt>
                <c:pt idx="11">
                  <c:v>30</c:v>
                </c:pt>
                <c:pt idx="12">
                  <c:v>40</c:v>
                </c:pt>
                <c:pt idx="13">
                  <c:v>50</c:v>
                </c:pt>
              </c:numCache>
            </c:numRef>
          </c:cat>
          <c:val>
            <c:numRef>
              <c:f>'[地下水算表(正）333.xlsx]Sheet1'!$S$144:$S$158</c:f>
              <c:numCache>
                <c:formatCode>0.000_ </c:formatCode>
                <c:ptCount val="15"/>
                <c:pt idx="0">
                  <c:v>0.316340305125319</c:v>
                </c:pt>
                <c:pt idx="1">
                  <c:v>0.0416398156181434</c:v>
                </c:pt>
                <c:pt idx="2">
                  <c:v>0.00187968121531825</c:v>
                </c:pt>
                <c:pt idx="3">
                  <c:v>0.000100642518036152</c:v>
                </c:pt>
                <c:pt idx="4">
                  <c:v>2.70393598738581e-6</c:v>
                </c:pt>
                <c:pt idx="5">
                  <c:v>3.6452635825023e-8</c:v>
                </c:pt>
                <c:pt idx="6">
                  <c:v>3.26805464266288e-9</c:v>
                </c:pt>
                <c:pt idx="7">
                  <c:v>2.4659205892259e-10</c:v>
                </c:pt>
                <c:pt idx="8">
                  <c:v>1.56602347839011e-11</c:v>
                </c:pt>
                <c:pt idx="9">
                  <c:v>8.3704124009751e-13</c:v>
                </c:pt>
                <c:pt idx="10">
                  <c:v>1.42571344023207e-15</c:v>
                </c:pt>
                <c:pt idx="11">
                  <c:v>6.57996326870968e-34</c:v>
                </c:pt>
                <c:pt idx="12">
                  <c:v>9.89361874726662e-60</c:v>
                </c:pt>
                <c:pt idx="13">
                  <c:v>4.84649030271733e-93</c:v>
                </c:pt>
              </c:numCache>
            </c:numRef>
          </c:val>
          <c:smooth val="0"/>
        </c:ser>
        <c:dLbls>
          <c:showLegendKey val="0"/>
          <c:showVal val="0"/>
          <c:showCatName val="0"/>
          <c:showSerName val="0"/>
          <c:showPercent val="0"/>
          <c:showBubbleSize val="0"/>
        </c:dLbls>
        <c:marker val="1"/>
        <c:smooth val="0"/>
        <c:axId val="240195133"/>
        <c:axId val="938027835"/>
      </c:lineChart>
      <c:catAx>
        <c:axId val="24019513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8027835"/>
        <c:crosses val="autoZero"/>
        <c:auto val="1"/>
        <c:lblAlgn val="ctr"/>
        <c:lblOffset val="100"/>
        <c:noMultiLvlLbl val="0"/>
      </c:catAx>
      <c:valAx>
        <c:axId val="938027835"/>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019513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100</a:t>
            </a:r>
            <a:r>
              <a:rPr lang="en-US" altLang="zh-CN"/>
              <a:t>d</a:t>
            </a:r>
            <a:endParaRPr lang="en-US" altLang="zh-CN"/>
          </a:p>
        </c:rich>
      </c:tx>
      <c:layout/>
      <c:overlay val="0"/>
      <c:spPr>
        <a:noFill/>
        <a:ln>
          <a:noFill/>
        </a:ln>
        <a:effectLst/>
      </c:spPr>
    </c:title>
    <c:autoTitleDeleted val="0"/>
    <c:plotArea>
      <c:layout/>
      <c:lineChart>
        <c:grouping val="standard"/>
        <c:varyColors val="0"/>
        <c:ser>
          <c:idx val="0"/>
          <c:order val="0"/>
          <c:tx>
            <c:strRef>
              <c:f>'[地下水算表(正）333.xlsx]Sheet1'!$U$143</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'[地下水算表(正）333.xlsx]Sheet1'!$T$144:$T$161</c:f>
              <c:numCache>
                <c:formatCode>General</c:formatCode>
                <c:ptCount val="18"/>
                <c:pt idx="0">
                  <c:v>0</c:v>
                </c:pt>
                <c:pt idx="1">
                  <c:v>5</c:v>
                </c:pt>
                <c:pt idx="2">
                  <c:v>10</c:v>
                </c:pt>
                <c:pt idx="3">
                  <c:v>20</c:v>
                </c:pt>
                <c:pt idx="4">
                  <c:v>30</c:v>
                </c:pt>
                <c:pt idx="5">
                  <c:v>40</c:v>
                </c:pt>
                <c:pt idx="6">
                  <c:v>45</c:v>
                </c:pt>
                <c:pt idx="7">
                  <c:v>48</c:v>
                </c:pt>
                <c:pt idx="8">
                  <c:v>50</c:v>
                </c:pt>
                <c:pt idx="9">
                  <c:v>51</c:v>
                </c:pt>
                <c:pt idx="10">
                  <c:v>53</c:v>
                </c:pt>
                <c:pt idx="11">
                  <c:v>55</c:v>
                </c:pt>
                <c:pt idx="12">
                  <c:v>56</c:v>
                </c:pt>
                <c:pt idx="13">
                  <c:v>58</c:v>
                </c:pt>
                <c:pt idx="14">
                  <c:v>60</c:v>
                </c:pt>
                <c:pt idx="15">
                  <c:v>70</c:v>
                </c:pt>
                <c:pt idx="16">
                  <c:v>80</c:v>
                </c:pt>
                <c:pt idx="17">
                  <c:v>100</c:v>
                </c:pt>
              </c:numCache>
            </c:numRef>
          </c:cat>
          <c:val>
            <c:numRef>
              <c:f>'[地下水算表(正）333.xlsx]Sheet1'!$U$144:$U$161</c:f>
              <c:numCache>
                <c:formatCode>0.000_ </c:formatCode>
                <c:ptCount val="18"/>
                <c:pt idx="0">
                  <c:v>0.0598189701950655</c:v>
                </c:pt>
                <c:pt idx="1">
                  <c:v>0.0748463637693185</c:v>
                </c:pt>
                <c:pt idx="2">
                  <c:v>0.0608591653214462</c:v>
                </c:pt>
                <c:pt idx="3">
                  <c:v>0.0110435092395764</c:v>
                </c:pt>
                <c:pt idx="4">
                  <c:v>0.000357422800721245</c:v>
                </c:pt>
                <c:pt idx="5">
                  <c:v>2.06324810962406e-6</c:v>
                </c:pt>
                <c:pt idx="6">
                  <c:v>8.21242326942298e-8</c:v>
                </c:pt>
                <c:pt idx="7">
                  <c:v>9.65113814250051e-9</c:v>
                </c:pt>
                <c:pt idx="8">
                  <c:v>2.12429440750457e-9</c:v>
                </c:pt>
                <c:pt idx="9">
                  <c:v>9.71185530640594e-10</c:v>
                </c:pt>
                <c:pt idx="10">
                  <c:v>1.9275960159845e-10</c:v>
                </c:pt>
                <c:pt idx="11">
                  <c:v>3.57093215135152e-11</c:v>
                </c:pt>
                <c:pt idx="12">
                  <c:v>1.49773092981463e-11</c:v>
                </c:pt>
                <c:pt idx="13">
                  <c:v>2.50194074576711e-12</c:v>
                </c:pt>
                <c:pt idx="14">
                  <c:v>3.90096454616852e-13</c:v>
                </c:pt>
                <c:pt idx="15">
                  <c:v>1.27768368234142e-17</c:v>
                </c:pt>
                <c:pt idx="16">
                  <c:v>7.46395033571712e-23</c:v>
                </c:pt>
                <c:pt idx="17">
                  <c:v>1.44524564413954e-35</c:v>
                </c:pt>
              </c:numCache>
            </c:numRef>
          </c:val>
          <c:smooth val="0"/>
        </c:ser>
        <c:dLbls>
          <c:showLegendKey val="0"/>
          <c:showVal val="0"/>
          <c:showCatName val="0"/>
          <c:showSerName val="0"/>
          <c:showPercent val="0"/>
          <c:showBubbleSize val="0"/>
        </c:dLbls>
        <c:marker val="1"/>
        <c:smooth val="0"/>
        <c:axId val="36385803"/>
        <c:axId val="588088759"/>
      </c:lineChart>
      <c:catAx>
        <c:axId val="3638580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8088759"/>
        <c:crosses val="autoZero"/>
        <c:auto val="1"/>
        <c:lblAlgn val="ctr"/>
        <c:lblOffset val="100"/>
        <c:noMultiLvlLbl val="0"/>
      </c:catAx>
      <c:valAx>
        <c:axId val="588088759"/>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3858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1000</a:t>
            </a:r>
            <a:r>
              <a:rPr lang="en-US" altLang="zh-CN"/>
              <a:t>d</a:t>
            </a:r>
            <a:endParaRPr lang="en-US" altLang="zh-CN"/>
          </a:p>
        </c:rich>
      </c:tx>
      <c:layout>
        <c:manualLayout>
          <c:xMode val="edge"/>
          <c:yMode val="edge"/>
          <c:x val="0.450837834095001"/>
          <c:y val="0.0315789473684211"/>
        </c:manualLayout>
      </c:layout>
      <c:overlay val="0"/>
      <c:spPr>
        <a:noFill/>
        <a:ln>
          <a:noFill/>
        </a:ln>
        <a:effectLst/>
      </c:spPr>
    </c:title>
    <c:autoTitleDeleted val="0"/>
    <c:plotArea>
      <c:layout/>
      <c:lineChart>
        <c:grouping val="standard"/>
        <c:varyColors val="0"/>
        <c:ser>
          <c:idx val="0"/>
          <c:order val="0"/>
          <c:tx>
            <c:strRef>
              <c:f>'[地下水算表(正）333.xlsx]Sheet1'!$W$143</c:f>
              <c:strCache>
                <c:ptCount val="1"/>
                <c:pt idx="0">
                  <c:v>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'[地下水算表(正）333.xlsx]Sheet1'!$V$144:$V$167</c:f>
              <c:numCache>
                <c:formatCode>General</c:formatCode>
                <c:ptCount val="24"/>
                <c:pt idx="0">
                  <c:v>0</c:v>
                </c:pt>
                <c:pt idx="1">
                  <c:v>10</c:v>
                </c:pt>
                <c:pt idx="2">
                  <c:v>20</c:v>
                </c:pt>
                <c:pt idx="3">
                  <c:v>60</c:v>
                </c:pt>
                <c:pt idx="4">
                  <c:v>80</c:v>
                </c:pt>
                <c:pt idx="5">
                  <c:v>100</c:v>
                </c:pt>
                <c:pt idx="6">
                  <c:v>120</c:v>
                </c:pt>
                <c:pt idx="7">
                  <c:v>140</c:v>
                </c:pt>
                <c:pt idx="8">
                  <c:v>160</c:v>
                </c:pt>
                <c:pt idx="9">
                  <c:v>180</c:v>
                </c:pt>
                <c:pt idx="10">
                  <c:v>190</c:v>
                </c:pt>
                <c:pt idx="11">
                  <c:v>195</c:v>
                </c:pt>
                <c:pt idx="12">
                  <c:v>200</c:v>
                </c:pt>
                <c:pt idx="13">
                  <c:v>205</c:v>
                </c:pt>
                <c:pt idx="14">
                  <c:v>210</c:v>
                </c:pt>
                <c:pt idx="15">
                  <c:v>220</c:v>
                </c:pt>
                <c:pt idx="16">
                  <c:v>230</c:v>
                </c:pt>
                <c:pt idx="17">
                  <c:v>240</c:v>
                </c:pt>
                <c:pt idx="18">
                  <c:v>250</c:v>
                </c:pt>
                <c:pt idx="19">
                  <c:v>300</c:v>
                </c:pt>
                <c:pt idx="20">
                  <c:v>400</c:v>
                </c:pt>
                <c:pt idx="21">
                  <c:v>500</c:v>
                </c:pt>
                <c:pt idx="22">
                  <c:v>600</c:v>
                </c:pt>
                <c:pt idx="23">
                  <c:v>800</c:v>
                </c:pt>
              </c:numCache>
            </c:numRef>
          </c:cat>
          <c:val>
            <c:numRef>
              <c:f>'[地下水算表(正）333.xlsx]Sheet1'!$W$144:$W$167</c:f>
              <c:numCache>
                <c:formatCode>0.000_ </c:formatCode>
                <c:ptCount val="24"/>
                <c:pt idx="0">
                  <c:v>0.00251487295348585</c:v>
                </c:pt>
                <c:pt idx="1">
                  <c:v>0.00555802874252552</c:v>
                </c:pt>
                <c:pt idx="2">
                  <c:v>0.0103384380854461</c:v>
                </c:pt>
                <c:pt idx="3">
                  <c:v>0.0220742293362632</c:v>
                </c:pt>
                <c:pt idx="4">
                  <c:v>0.0114650852505856</c:v>
                </c:pt>
                <c:pt idx="5">
                  <c:v>0.00298804164105094</c:v>
                </c:pt>
                <c:pt idx="6">
                  <c:v>0.000390763167789531</c:v>
                </c:pt>
                <c:pt idx="7">
                  <c:v>2.5642373211308e-5</c:v>
                </c:pt>
                <c:pt idx="8">
                  <c:v>8.44345962596185e-7</c:v>
                </c:pt>
                <c:pt idx="9">
                  <c:v>1.39508369945532e-8</c:v>
                </c:pt>
                <c:pt idx="10">
                  <c:v>1.38463175706288e-9</c:v>
                </c:pt>
                <c:pt idx="11">
                  <c:v>4.08907265092598e-10</c:v>
                </c:pt>
                <c:pt idx="12">
                  <c:v>1.1566386929541e-10</c:v>
                </c:pt>
                <c:pt idx="13">
                  <c:v>3.13366781914401e-11</c:v>
                </c:pt>
                <c:pt idx="14">
                  <c:v>8.13187229833065e-12</c:v>
                </c:pt>
                <c:pt idx="15">
                  <c:v>4.81185783754261e-13</c:v>
                </c:pt>
                <c:pt idx="16">
                  <c:v>2.39642825117097e-14</c:v>
                </c:pt>
                <c:pt idx="17">
                  <c:v>1.00448967800413e-15</c:v>
                </c:pt>
                <c:pt idx="18">
                  <c:v>3.54369169431895e-17</c:v>
                </c:pt>
                <c:pt idx="19">
                  <c:v>1.45864384483543e-25</c:v>
                </c:pt>
                <c:pt idx="20">
                  <c:v>5.99295872661548e-48</c:v>
                </c:pt>
                <c:pt idx="21">
                  <c:v>8.02183612426262e-78</c:v>
                </c:pt>
                <c:pt idx="22">
                  <c:v>3.49821711725166e-115</c:v>
                </c:pt>
                <c:pt idx="23">
                  <c:v>2.30045709600251e-212</c:v>
                </c:pt>
              </c:numCache>
            </c:numRef>
          </c:val>
          <c:smooth val="0"/>
        </c:ser>
        <c:dLbls>
          <c:showLegendKey val="0"/>
          <c:showVal val="0"/>
          <c:showCatName val="0"/>
          <c:showSerName val="0"/>
          <c:showPercent val="0"/>
          <c:showBubbleSize val="0"/>
        </c:dLbls>
        <c:marker val="1"/>
        <c:smooth val="0"/>
        <c:axId val="439662147"/>
        <c:axId val="737102104"/>
      </c:lineChart>
      <c:catAx>
        <c:axId val="43966214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7102104"/>
        <c:crosses val="autoZero"/>
        <c:auto val="1"/>
        <c:lblAlgn val="ctr"/>
        <c:lblOffset val="100"/>
        <c:noMultiLvlLbl val="0"/>
      </c:catAx>
      <c:valAx>
        <c:axId val="737102104"/>
        <c:scaling>
          <c:orientation val="minMax"/>
        </c:scaling>
        <c:delete val="0"/>
        <c:axPos val="l"/>
        <c:majorGridlines>
          <c:spPr>
            <a:ln w="9525" cap="flat" cmpd="sng" algn="ctr">
              <a:solidFill>
                <a:schemeClr val="tx1">
                  <a:lumMod val="15000"/>
                  <a:lumOff val="85000"/>
                </a:schemeClr>
              </a:solidFill>
              <a:round/>
            </a:ln>
            <a:effectLst/>
          </c:spPr>
        </c:majorGridlines>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96621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3077" textRotate="1"/>
    <customShpInfo spid="_x0000_s3075" textRotate="1"/>
    <customShpInfo spid="_x0000_s3076"/>
    <customShpInfo spid="_x0000_s2050"/>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52"/>
    <customShpInfo spid="_x0000_s2062"/>
    <customShpInfo spid="_x0000_s206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26D6DB-5706-46C3-98F0-2B4064683D9D}">
  <ds:schemaRefs/>
</ds:datastoreItem>
</file>

<file path=docProps/app.xml><?xml version="1.0" encoding="utf-8"?>
<Properties xmlns="http://schemas.openxmlformats.org/officeDocument/2006/extended-properties" xmlns:vt="http://schemas.openxmlformats.org/officeDocument/2006/docPropsVTypes">
  <Template>Normal</Template>
  <Pages>139</Pages>
  <Words>16449</Words>
  <Characters>93762</Characters>
  <Lines>781</Lines>
  <Paragraphs>219</Paragraphs>
  <TotalTime>185</TotalTime>
  <ScaleCrop>false</ScaleCrop>
  <LinksUpToDate>false</LinksUpToDate>
  <CharactersWithSpaces>109992</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2019-04-21T15:19:00Z</dcterms:created>
  <dc:creator>60974</dc:creator>
  <cp:lastModifiedBy>MI</cp:lastModifiedBy>
  <cp:lastPrinted>2019-07-12T08:36:00Z</cp:lastPrinted>
  <dcterms:modified xsi:type="dcterms:W3CDTF">2020-09-18T08:18:16Z</dcterms:modified>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