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outlineLvl w:val="0"/>
        <w:rPr>
          <w:rFonts w:hint="eastAsia" w:ascii="方正小标宋简体" w:hAnsi="Times New Roman" w:eastAsia="方正小标宋简体"/>
          <w:b/>
          <w:bCs/>
          <w:kern w:val="36"/>
          <w:sz w:val="44"/>
          <w:szCs w:val="44"/>
          <w:lang w:eastAsia="zh-CN"/>
        </w:rPr>
      </w:pPr>
      <w:r>
        <w:rPr>
          <w:rFonts w:hint="eastAsia" w:ascii="方正小标宋简体" w:hAnsi="Times New Roman" w:eastAsia="方正小标宋简体"/>
          <w:b/>
          <w:bCs/>
          <w:kern w:val="36"/>
          <w:sz w:val="44"/>
          <w:szCs w:val="44"/>
        </w:rPr>
        <w:t>巴中</w:t>
      </w:r>
      <w:r>
        <w:rPr>
          <w:rFonts w:hint="eastAsia" w:ascii="方正小标宋简体" w:hAnsi="Times New Roman" w:eastAsia="方正小标宋简体"/>
          <w:b/>
          <w:bCs/>
          <w:kern w:val="36"/>
          <w:sz w:val="44"/>
          <w:szCs w:val="44"/>
          <w:lang w:eastAsia="zh-CN"/>
        </w:rPr>
        <w:t>市</w:t>
      </w:r>
      <w:r>
        <w:rPr>
          <w:rFonts w:hint="eastAsia" w:ascii="方正小标宋简体" w:hAnsi="Times New Roman" w:eastAsia="方正小标宋简体"/>
          <w:b/>
          <w:bCs/>
          <w:kern w:val="36"/>
          <w:sz w:val="44"/>
          <w:szCs w:val="44"/>
          <w:lang w:val="en-US" w:eastAsia="zh-CN"/>
        </w:rPr>
        <w:t>1—4月</w:t>
      </w:r>
      <w:r>
        <w:rPr>
          <w:rFonts w:hint="eastAsia" w:ascii="方正小标宋简体" w:hAnsi="Times New Roman" w:eastAsia="方正小标宋简体"/>
          <w:b/>
          <w:bCs/>
          <w:kern w:val="36"/>
          <w:sz w:val="44"/>
          <w:szCs w:val="44"/>
        </w:rPr>
        <w:t>“</w:t>
      </w:r>
      <w:r>
        <w:rPr>
          <w:rFonts w:ascii="方正小标宋简体" w:hAnsi="Times New Roman" w:eastAsia="方正小标宋简体"/>
          <w:b/>
          <w:bCs/>
          <w:kern w:val="36"/>
          <w:sz w:val="44"/>
          <w:szCs w:val="44"/>
        </w:rPr>
        <w:t>12369</w:t>
      </w:r>
      <w:r>
        <w:rPr>
          <w:rFonts w:hint="eastAsia" w:ascii="方正小标宋简体" w:hAnsi="Times New Roman" w:eastAsia="方正小标宋简体"/>
          <w:b/>
          <w:bCs/>
          <w:kern w:val="36"/>
          <w:sz w:val="44"/>
          <w:szCs w:val="44"/>
        </w:rPr>
        <w:t>”环保热线投诉处理结果信息公开</w:t>
      </w:r>
      <w:r>
        <w:rPr>
          <w:rFonts w:hint="eastAsia" w:ascii="方正小标宋简体" w:hAnsi="Times New Roman" w:eastAsia="方正小标宋简体"/>
          <w:b/>
          <w:bCs/>
          <w:kern w:val="36"/>
          <w:sz w:val="44"/>
          <w:szCs w:val="44"/>
          <w:lang w:eastAsia="zh-CN"/>
        </w:rPr>
        <w:t>月报表</w:t>
      </w:r>
    </w:p>
    <w:p>
      <w:pPr>
        <w:widowControl/>
        <w:shd w:val="clear" w:color="auto" w:fill="FFFFFF"/>
        <w:spacing w:line="700" w:lineRule="exact"/>
        <w:jc w:val="left"/>
        <w:outlineLvl w:val="0"/>
        <w:rPr>
          <w:rFonts w:hint="default" w:ascii="仿宋" w:hAnsi="仿宋" w:eastAsia="仿宋" w:cs="仿宋"/>
          <w:b w:val="0"/>
          <w:bCs w:val="0"/>
          <w:kern w:val="36"/>
          <w:sz w:val="32"/>
          <w:szCs w:val="32"/>
          <w:lang w:val="en-US" w:eastAsia="zh-CN"/>
        </w:rPr>
      </w:pPr>
      <w:r>
        <w:rPr>
          <w:rFonts w:hint="eastAsia" w:ascii="仿宋" w:hAnsi="仿宋" w:eastAsia="仿宋" w:cs="仿宋"/>
          <w:b w:val="0"/>
          <w:bCs w:val="0"/>
          <w:kern w:val="36"/>
          <w:sz w:val="32"/>
          <w:szCs w:val="32"/>
          <w:lang w:eastAsia="zh-CN"/>
        </w:rPr>
        <w:t>填报单位：巴中市生态环境局</w:t>
      </w:r>
      <w:r>
        <w:rPr>
          <w:rFonts w:hint="eastAsia" w:ascii="仿宋" w:hAnsi="仿宋" w:eastAsia="仿宋" w:cs="仿宋"/>
          <w:b w:val="0"/>
          <w:bCs w:val="0"/>
          <w:kern w:val="36"/>
          <w:sz w:val="32"/>
          <w:szCs w:val="32"/>
          <w:lang w:val="en-US" w:eastAsia="zh-CN"/>
        </w:rPr>
        <w:t xml:space="preserve">                               </w:t>
      </w:r>
      <w:r>
        <w:rPr>
          <w:rFonts w:hint="eastAsia" w:ascii="仿宋" w:hAnsi="仿宋" w:eastAsia="仿宋" w:cs="仿宋"/>
          <w:b w:val="0"/>
          <w:bCs w:val="0"/>
          <w:kern w:val="36"/>
          <w:sz w:val="32"/>
          <w:szCs w:val="32"/>
          <w:lang w:eastAsia="zh-CN"/>
        </w:rPr>
        <w:t>填报时间：</w:t>
      </w:r>
      <w:r>
        <w:rPr>
          <w:rFonts w:hint="eastAsia" w:ascii="仿宋" w:hAnsi="仿宋" w:eastAsia="仿宋" w:cs="仿宋"/>
          <w:b w:val="0"/>
          <w:bCs w:val="0"/>
          <w:kern w:val="36"/>
          <w:sz w:val="32"/>
          <w:szCs w:val="32"/>
          <w:lang w:val="en-US" w:eastAsia="zh-CN"/>
        </w:rPr>
        <w:t>2020年5月13日</w:t>
      </w:r>
    </w:p>
    <w:tbl>
      <w:tblPr>
        <w:tblStyle w:val="6"/>
        <w:tblW w:w="142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417"/>
        <w:gridCol w:w="4253"/>
        <w:gridCol w:w="992"/>
        <w:gridCol w:w="6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pacing w:line="440" w:lineRule="exact"/>
              <w:jc w:val="center"/>
              <w:outlineLvl w:val="0"/>
              <w:rPr>
                <w:rFonts w:ascii="方正楷体_GBK" w:hAnsi="Times New Roman" w:eastAsia="方正楷体_GBK"/>
                <w:b/>
                <w:bCs/>
                <w:kern w:val="36"/>
                <w:sz w:val="32"/>
                <w:szCs w:val="44"/>
              </w:rPr>
            </w:pPr>
            <w:r>
              <w:rPr>
                <w:rFonts w:hint="eastAsia" w:ascii="方正楷体_GBK" w:hAnsi="Times New Roman" w:eastAsia="方正楷体_GBK"/>
                <w:b/>
                <w:bCs/>
                <w:kern w:val="36"/>
                <w:sz w:val="32"/>
                <w:szCs w:val="44"/>
              </w:rPr>
              <w:t>序号</w:t>
            </w:r>
          </w:p>
        </w:tc>
        <w:tc>
          <w:tcPr>
            <w:tcW w:w="1417" w:type="dxa"/>
            <w:vAlign w:val="center"/>
          </w:tcPr>
          <w:p>
            <w:pPr>
              <w:widowControl/>
              <w:spacing w:line="440" w:lineRule="exact"/>
              <w:jc w:val="center"/>
              <w:outlineLvl w:val="0"/>
              <w:rPr>
                <w:rFonts w:ascii="方正楷体_GBK" w:hAnsi="Times New Roman" w:eastAsia="方正楷体_GBK"/>
                <w:b/>
                <w:bCs/>
                <w:kern w:val="36"/>
                <w:sz w:val="32"/>
                <w:szCs w:val="44"/>
              </w:rPr>
            </w:pPr>
            <w:r>
              <w:rPr>
                <w:rFonts w:hint="eastAsia" w:ascii="方正楷体_GBK" w:hAnsi="Times New Roman" w:eastAsia="方正楷体_GBK"/>
                <w:b/>
                <w:bCs/>
                <w:kern w:val="36"/>
                <w:sz w:val="32"/>
                <w:szCs w:val="44"/>
              </w:rPr>
              <w:t>举报</w:t>
            </w:r>
          </w:p>
          <w:p>
            <w:pPr>
              <w:widowControl/>
              <w:spacing w:line="440" w:lineRule="exact"/>
              <w:jc w:val="center"/>
              <w:outlineLvl w:val="0"/>
              <w:rPr>
                <w:rFonts w:ascii="方正楷体_GBK" w:hAnsi="Times New Roman" w:eastAsia="方正楷体_GBK"/>
                <w:b/>
                <w:bCs/>
                <w:kern w:val="36"/>
                <w:sz w:val="32"/>
                <w:szCs w:val="44"/>
              </w:rPr>
            </w:pPr>
            <w:r>
              <w:rPr>
                <w:rFonts w:hint="eastAsia" w:ascii="方正楷体_GBK" w:hAnsi="Times New Roman" w:eastAsia="方正楷体_GBK"/>
                <w:b/>
                <w:bCs/>
                <w:kern w:val="36"/>
                <w:sz w:val="32"/>
                <w:szCs w:val="44"/>
              </w:rPr>
              <w:t>企业</w:t>
            </w:r>
          </w:p>
        </w:tc>
        <w:tc>
          <w:tcPr>
            <w:tcW w:w="4253" w:type="dxa"/>
            <w:vAlign w:val="center"/>
          </w:tcPr>
          <w:p>
            <w:pPr>
              <w:widowControl/>
              <w:spacing w:line="440" w:lineRule="exact"/>
              <w:jc w:val="center"/>
              <w:outlineLvl w:val="0"/>
              <w:rPr>
                <w:rFonts w:ascii="方正楷体_GBK" w:hAnsi="Times New Roman" w:eastAsia="方正楷体_GBK"/>
                <w:b/>
                <w:bCs/>
                <w:kern w:val="36"/>
                <w:sz w:val="32"/>
                <w:szCs w:val="44"/>
              </w:rPr>
            </w:pPr>
            <w:r>
              <w:rPr>
                <w:rFonts w:hint="eastAsia" w:ascii="方正楷体_GBK" w:hAnsi="Times New Roman" w:eastAsia="方正楷体_GBK"/>
                <w:b/>
                <w:bCs/>
                <w:kern w:val="36"/>
                <w:sz w:val="32"/>
                <w:szCs w:val="44"/>
              </w:rPr>
              <w:t>举报内容</w:t>
            </w:r>
          </w:p>
        </w:tc>
        <w:tc>
          <w:tcPr>
            <w:tcW w:w="992" w:type="dxa"/>
            <w:vAlign w:val="center"/>
          </w:tcPr>
          <w:p>
            <w:pPr>
              <w:widowControl/>
              <w:spacing w:line="440" w:lineRule="exact"/>
              <w:jc w:val="center"/>
              <w:outlineLvl w:val="0"/>
              <w:rPr>
                <w:rFonts w:ascii="方正楷体_GBK" w:hAnsi="Times New Roman" w:eastAsia="方正楷体_GBK"/>
                <w:b/>
                <w:bCs/>
                <w:kern w:val="36"/>
                <w:sz w:val="32"/>
                <w:szCs w:val="44"/>
              </w:rPr>
            </w:pPr>
            <w:r>
              <w:rPr>
                <w:rFonts w:hint="eastAsia" w:ascii="方正楷体_GBK" w:hAnsi="Times New Roman" w:eastAsia="方正楷体_GBK"/>
                <w:b/>
                <w:bCs/>
                <w:kern w:val="36"/>
                <w:sz w:val="32"/>
                <w:szCs w:val="44"/>
              </w:rPr>
              <w:t>查实</w:t>
            </w:r>
          </w:p>
          <w:p>
            <w:pPr>
              <w:widowControl/>
              <w:spacing w:line="440" w:lineRule="exact"/>
              <w:jc w:val="center"/>
              <w:outlineLvl w:val="0"/>
              <w:rPr>
                <w:rFonts w:ascii="方正楷体_GBK" w:hAnsi="Times New Roman" w:eastAsia="方正楷体_GBK"/>
                <w:b/>
                <w:bCs/>
                <w:kern w:val="36"/>
                <w:sz w:val="32"/>
                <w:szCs w:val="44"/>
              </w:rPr>
            </w:pPr>
            <w:r>
              <w:rPr>
                <w:rFonts w:hint="eastAsia" w:ascii="方正楷体_GBK" w:hAnsi="Times New Roman" w:eastAsia="方正楷体_GBK"/>
                <w:b/>
                <w:bCs/>
                <w:kern w:val="36"/>
                <w:sz w:val="32"/>
                <w:szCs w:val="44"/>
              </w:rPr>
              <w:t>情况</w:t>
            </w:r>
          </w:p>
        </w:tc>
        <w:tc>
          <w:tcPr>
            <w:tcW w:w="6605" w:type="dxa"/>
            <w:vAlign w:val="center"/>
          </w:tcPr>
          <w:p>
            <w:pPr>
              <w:widowControl/>
              <w:spacing w:line="440" w:lineRule="exact"/>
              <w:jc w:val="center"/>
              <w:outlineLvl w:val="0"/>
              <w:rPr>
                <w:rFonts w:ascii="方正楷体_GBK" w:hAnsi="Times New Roman" w:eastAsia="方正楷体_GBK"/>
                <w:b/>
                <w:bCs/>
                <w:kern w:val="36"/>
                <w:sz w:val="32"/>
                <w:szCs w:val="44"/>
              </w:rPr>
            </w:pPr>
            <w:r>
              <w:rPr>
                <w:rFonts w:hint="eastAsia" w:ascii="方正楷体_GBK" w:hAnsi="Times New Roman" w:eastAsia="方正楷体_GBK"/>
                <w:b/>
                <w:bCs/>
                <w:kern w:val="36"/>
                <w:sz w:val="32"/>
                <w:szCs w:val="44"/>
              </w:rPr>
              <w:t>处理情况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trPr>
        <w:tc>
          <w:tcPr>
            <w:tcW w:w="959" w:type="dxa"/>
            <w:vAlign w:val="center"/>
          </w:tcPr>
          <w:p>
            <w:pPr>
              <w:widowControl/>
              <w:spacing w:line="360" w:lineRule="exact"/>
              <w:jc w:val="center"/>
              <w:outlineLvl w:val="0"/>
              <w:rPr>
                <w:rFonts w:hint="eastAsia" w:ascii="Times New Roman" w:hAnsi="Times New Roman" w:eastAsia="方正仿宋_GBK"/>
                <w:bCs/>
                <w:kern w:val="36"/>
                <w:sz w:val="32"/>
                <w:szCs w:val="44"/>
                <w:lang w:val="en-US" w:eastAsia="zh-CN"/>
              </w:rPr>
            </w:pPr>
            <w:r>
              <w:rPr>
                <w:rFonts w:hint="eastAsia" w:ascii="Times New Roman" w:hAnsi="Times New Roman" w:eastAsia="方正仿宋_GBK"/>
                <w:bCs/>
                <w:kern w:val="36"/>
                <w:sz w:val="32"/>
                <w:szCs w:val="44"/>
                <w:lang w:val="en-US" w:eastAsia="zh-CN"/>
              </w:rPr>
              <w:t>1</w:t>
            </w:r>
          </w:p>
        </w:tc>
        <w:tc>
          <w:tcPr>
            <w:tcW w:w="1417" w:type="dxa"/>
            <w:vAlign w:val="center"/>
          </w:tcPr>
          <w:p>
            <w:pPr>
              <w:widowControl/>
              <w:spacing w:line="360" w:lineRule="exact"/>
              <w:jc w:val="left"/>
              <w:outlineLvl w:val="0"/>
              <w:rPr>
                <w:rFonts w:hint="eastAsia" w:ascii="Times New Roman" w:hAnsi="Times New Roman" w:eastAsia="方正仿宋_GBK"/>
                <w:bCs/>
                <w:kern w:val="36"/>
                <w:sz w:val="24"/>
                <w:szCs w:val="44"/>
                <w:lang w:eastAsia="zh-CN"/>
              </w:rPr>
            </w:pPr>
          </w:p>
        </w:tc>
        <w:tc>
          <w:tcPr>
            <w:tcW w:w="4253" w:type="dxa"/>
            <w:vAlign w:val="center"/>
          </w:tcPr>
          <w:p>
            <w:pPr>
              <w:widowControl/>
              <w:spacing w:line="360" w:lineRule="exact"/>
              <w:jc w:val="left"/>
              <w:outlineLvl w:val="0"/>
              <w:rPr>
                <w:rFonts w:hint="eastAsia" w:ascii="Times New Roman" w:hAnsi="Times New Roman" w:eastAsia="宋体"/>
                <w:bCs/>
                <w:kern w:val="36"/>
                <w:sz w:val="24"/>
                <w:szCs w:val="44"/>
                <w:lang w:val="en-US" w:eastAsia="zh-CN"/>
              </w:rPr>
            </w:pPr>
            <w:r>
              <w:rPr>
                <w:rFonts w:hint="eastAsia"/>
                <w:sz w:val="21"/>
              </w:rPr>
              <w:t>巴州区柳津桥至三号桥河段河水呈现红色，并且河面漂浮一层黄色污垢，严重污染居民生活质量</w:t>
            </w:r>
            <w:r>
              <w:rPr>
                <w:rFonts w:hint="eastAsia"/>
                <w:sz w:val="21"/>
                <w:lang w:val="en-US" w:eastAsia="zh-CN"/>
              </w:rPr>
              <w:t>.</w:t>
            </w:r>
          </w:p>
        </w:tc>
        <w:tc>
          <w:tcPr>
            <w:tcW w:w="992" w:type="dxa"/>
            <w:vAlign w:val="center"/>
          </w:tcPr>
          <w:p>
            <w:pPr>
              <w:widowControl/>
              <w:spacing w:line="360" w:lineRule="exact"/>
              <w:jc w:val="left"/>
              <w:outlineLvl w:val="0"/>
              <w:rPr>
                <w:rFonts w:hint="eastAsia" w:ascii="Times New Roman" w:hAnsi="Times New Roman" w:eastAsia="方正仿宋_GBK"/>
                <w:bCs/>
                <w:kern w:val="36"/>
                <w:sz w:val="24"/>
                <w:szCs w:val="44"/>
                <w:lang w:eastAsia="zh-CN"/>
              </w:rPr>
            </w:pPr>
            <w:r>
              <w:rPr>
                <w:rFonts w:hint="eastAsia" w:ascii="Times New Roman" w:hAnsi="Times New Roman" w:eastAsia="方正仿宋_GBK"/>
                <w:bCs/>
                <w:kern w:val="36"/>
                <w:sz w:val="24"/>
                <w:szCs w:val="44"/>
                <w:lang w:eastAsia="zh-CN"/>
              </w:rPr>
              <w:t>不属实</w:t>
            </w:r>
          </w:p>
        </w:tc>
        <w:tc>
          <w:tcPr>
            <w:tcW w:w="6605" w:type="dxa"/>
            <w:vAlign w:val="center"/>
          </w:tcPr>
          <w:p>
            <w:pPr>
              <w:jc w:val="left"/>
              <w:rPr>
                <w:rFonts w:hint="eastAsia"/>
                <w:sz w:val="21"/>
              </w:rPr>
            </w:pPr>
            <w:r>
              <w:rPr>
                <w:rFonts w:hint="eastAsia"/>
                <w:sz w:val="21"/>
                <w:lang w:eastAsia="zh-CN"/>
              </w:rPr>
              <w:t>经现场巡</w:t>
            </w:r>
            <w:r>
              <w:rPr>
                <w:rFonts w:hint="eastAsia"/>
                <w:sz w:val="21"/>
              </w:rPr>
              <w:t>查，巴河巴城段上下游部分区域、河段水质变成黑褐色（颜色随时间段和观察角度而变化），变色区域初期呈带状、丝状分布。经初步分析，主要原因为：1—3月为我市传统枯水期，河流流量明显减小，河道水流流速较慢，水体自净能力较弱。且近期气温回升较快，水温宜于藻类生长繁殖。特别是气温较高时，水藻上浮，水体颜色呈黑褐色最为明显。应对措施：一是市生态环境局牵头会同巴州区、南江县人民政府，以及市住建、水利、气象、水文部门和巴中供电公司、圣泉水务公司等，开展了现场踏勘，进行会商研判。二是已邀请西华师范大学的专家来巴中现场查看并取样监测分析，全面综合研判，找准问题根源，提出有效的治理措施。三是督促市河长制办公室，统筹实施水资源调度，在枯水期进行生态补水换水；督促市气象部门适时开展人工降雨，市水利局及时清理打捞河道垃圾，有效提升巴河流量流速和水质。四是加密巴河巴城段上下游水环境质量监测频次，加大沿河排污单位监管执法力度，对发现的环境违法问题及时立案查处。五是市生态环境局将会同有关区县和部门，针对专家分析的成因，及时采取有效措施。</w:t>
            </w:r>
          </w:p>
          <w:p>
            <w:pPr>
              <w:spacing w:line="360" w:lineRule="exact"/>
              <w:jc w:val="left"/>
              <w:rPr>
                <w:rFonts w:hint="eastAsia" w:ascii="Times New Roman" w:hAnsi="Times New Roman" w:eastAsia="方正仿宋_GBK"/>
                <w:bCs/>
                <w:kern w:val="36"/>
                <w:sz w:val="24"/>
                <w:szCs w:val="4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trPr>
        <w:tc>
          <w:tcPr>
            <w:tcW w:w="959" w:type="dxa"/>
            <w:vAlign w:val="center"/>
          </w:tcPr>
          <w:p>
            <w:pPr>
              <w:ind w:firstLine="210" w:firstLineChars="100"/>
              <w:jc w:val="left"/>
              <w:rPr>
                <w:rFonts w:hint="eastAsia"/>
                <w:sz w:val="21"/>
                <w:lang w:val="en-US" w:eastAsia="zh-CN"/>
              </w:rPr>
            </w:pPr>
            <w:r>
              <w:rPr>
                <w:rFonts w:hint="eastAsia"/>
                <w:sz w:val="21"/>
                <w:lang w:val="en-US" w:eastAsia="zh-CN"/>
              </w:rPr>
              <w:t>2</w:t>
            </w:r>
          </w:p>
        </w:tc>
        <w:tc>
          <w:tcPr>
            <w:tcW w:w="1417" w:type="dxa"/>
            <w:vAlign w:val="center"/>
          </w:tcPr>
          <w:p>
            <w:pPr>
              <w:jc w:val="left"/>
              <w:rPr>
                <w:rFonts w:hint="eastAsia"/>
                <w:sz w:val="21"/>
                <w:lang w:eastAsia="zh-CN"/>
              </w:rPr>
            </w:pPr>
            <w:r>
              <w:rPr>
                <w:rFonts w:hint="eastAsia"/>
                <w:sz w:val="21"/>
              </w:rPr>
              <w:t>巴州区绿谷酒吧</w:t>
            </w:r>
          </w:p>
        </w:tc>
        <w:tc>
          <w:tcPr>
            <w:tcW w:w="4253" w:type="dxa"/>
            <w:vAlign w:val="center"/>
          </w:tcPr>
          <w:p>
            <w:pPr>
              <w:jc w:val="left"/>
              <w:rPr>
                <w:rFonts w:hint="eastAsia"/>
                <w:sz w:val="21"/>
                <w:lang w:eastAsia="zh-CN"/>
              </w:rPr>
            </w:pPr>
            <w:r>
              <w:rPr>
                <w:rFonts w:hint="eastAsia"/>
                <w:sz w:val="21"/>
                <w:lang w:eastAsia="zh-CN"/>
              </w:rPr>
              <w:t>巴州区江湾城绿谷酒吧噪音扰民</w:t>
            </w:r>
          </w:p>
        </w:tc>
        <w:tc>
          <w:tcPr>
            <w:tcW w:w="992" w:type="dxa"/>
            <w:vAlign w:val="center"/>
          </w:tcPr>
          <w:p>
            <w:pPr>
              <w:ind w:firstLine="210" w:firstLineChars="100"/>
              <w:jc w:val="left"/>
              <w:rPr>
                <w:rFonts w:hint="eastAsia"/>
                <w:sz w:val="21"/>
                <w:lang w:eastAsia="zh-CN"/>
              </w:rPr>
            </w:pPr>
            <w:r>
              <w:rPr>
                <w:rFonts w:hint="eastAsia"/>
                <w:sz w:val="21"/>
                <w:lang w:eastAsia="zh-CN"/>
              </w:rPr>
              <w:t>属实</w:t>
            </w:r>
          </w:p>
        </w:tc>
        <w:tc>
          <w:tcPr>
            <w:tcW w:w="6605" w:type="dxa"/>
            <w:vAlign w:val="center"/>
          </w:tcPr>
          <w:p>
            <w:pPr>
              <w:jc w:val="left"/>
              <w:rPr>
                <w:rFonts w:hint="eastAsia"/>
                <w:sz w:val="21"/>
              </w:rPr>
            </w:pPr>
            <w:r>
              <w:rPr>
                <w:rFonts w:hint="eastAsia"/>
                <w:sz w:val="21"/>
              </w:rPr>
              <w:t>巴州区生态环境局向绿谷酒吧送达了《行政执法限期整改决定书》，责令其立即停止超标排放娱乐噪声行为，采取有效噪音污染防治措施，确保娱乐噪声排放标准。同时严格控制经营时间，降低音量，晚22:00时至次日凌晨6:00时禁止外排超过国家规定排放标准的娱乐噪声。目前，该酒吧</w:t>
            </w:r>
            <w:r>
              <w:rPr>
                <w:rFonts w:hint="eastAsia"/>
                <w:sz w:val="21"/>
                <w:lang w:eastAsia="zh-CN"/>
              </w:rPr>
              <w:t>已实施</w:t>
            </w:r>
            <w:r>
              <w:rPr>
                <w:rFonts w:hint="eastAsia"/>
                <w:sz w:val="21"/>
              </w:rPr>
              <w:t>以下整改措施：一是将DJ台后面(3层至5层)从20厘米单加气砖墙增加为中空20厘米玻璃纤维隔音棉及20厘米实芯红砖墙；二是将DJ台右侧安全疏散门由单层玻璃门添加一道阻燃板加玻璃纤维隔音棉的实芯隔音门；三是DJ台右侧安全疏散门加挂2层隔音帘；四是后勤区疏散通道加挂2层隔音帘</w:t>
            </w:r>
          </w:p>
          <w:p>
            <w:pPr>
              <w:jc w:val="left"/>
              <w:rPr>
                <w:rFonts w:hint="eastAsia"/>
                <w:sz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trPr>
        <w:tc>
          <w:tcPr>
            <w:tcW w:w="959" w:type="dxa"/>
            <w:vAlign w:val="center"/>
          </w:tcPr>
          <w:p>
            <w:pPr>
              <w:jc w:val="left"/>
              <w:rPr>
                <w:rFonts w:hint="default"/>
                <w:sz w:val="21"/>
                <w:lang w:val="en-US" w:eastAsia="zh-CN"/>
              </w:rPr>
            </w:pPr>
            <w:r>
              <w:rPr>
                <w:rFonts w:hint="eastAsia"/>
                <w:sz w:val="21"/>
                <w:lang w:val="en-US" w:eastAsia="zh-CN"/>
              </w:rPr>
              <w:t>3</w:t>
            </w:r>
          </w:p>
        </w:tc>
        <w:tc>
          <w:tcPr>
            <w:tcW w:w="1417" w:type="dxa"/>
            <w:vAlign w:val="center"/>
          </w:tcPr>
          <w:p>
            <w:pPr>
              <w:jc w:val="left"/>
              <w:rPr>
                <w:rFonts w:hint="eastAsia"/>
                <w:sz w:val="21"/>
              </w:rPr>
            </w:pPr>
          </w:p>
        </w:tc>
        <w:tc>
          <w:tcPr>
            <w:tcW w:w="4253" w:type="dxa"/>
            <w:vAlign w:val="center"/>
          </w:tcPr>
          <w:p>
            <w:pPr>
              <w:jc w:val="left"/>
              <w:rPr>
                <w:rFonts w:hint="eastAsia"/>
                <w:sz w:val="21"/>
                <w:lang w:eastAsia="zh-CN"/>
              </w:rPr>
            </w:pPr>
            <w:r>
              <w:rPr>
                <w:rFonts w:hint="eastAsia"/>
                <w:sz w:val="21"/>
              </w:rPr>
              <w:t>平昌县城区“两江国际”外面通河和巴河交界处，污水直排进河流，导致河水现在已成黑色，河面上有很多漂浮物</w:t>
            </w:r>
          </w:p>
        </w:tc>
        <w:tc>
          <w:tcPr>
            <w:tcW w:w="992" w:type="dxa"/>
            <w:vAlign w:val="center"/>
          </w:tcPr>
          <w:p>
            <w:pPr>
              <w:jc w:val="left"/>
              <w:rPr>
                <w:rFonts w:hint="eastAsia"/>
                <w:sz w:val="21"/>
                <w:lang w:eastAsia="zh-CN"/>
              </w:rPr>
            </w:pPr>
            <w:r>
              <w:rPr>
                <w:rFonts w:hint="eastAsia"/>
                <w:sz w:val="21"/>
                <w:lang w:eastAsia="zh-CN"/>
              </w:rPr>
              <w:t>部分属实</w:t>
            </w:r>
          </w:p>
        </w:tc>
        <w:tc>
          <w:tcPr>
            <w:tcW w:w="6605" w:type="dxa"/>
            <w:vAlign w:val="center"/>
          </w:tcPr>
          <w:p>
            <w:pPr>
              <w:jc w:val="left"/>
              <w:rPr>
                <w:rFonts w:hint="eastAsia"/>
                <w:sz w:val="21"/>
              </w:rPr>
            </w:pPr>
            <w:r>
              <w:rPr>
                <w:rFonts w:hint="eastAsia"/>
                <w:sz w:val="21"/>
              </w:rPr>
              <w:t>经</w:t>
            </w:r>
            <w:bookmarkStart w:id="0" w:name="_GoBack"/>
            <w:bookmarkEnd w:id="0"/>
            <w:r>
              <w:rPr>
                <w:rFonts w:hint="eastAsia"/>
                <w:sz w:val="21"/>
              </w:rPr>
              <w:t>查，通河桥过河污水管道管径管径为400毫米，而城区截污干管管径为800毫米，当早晚排污高峰期，截污干管超负荷输送污水时，过河污水管道不能将污水完全收集输送到一污水处理厂处理，导致部分生活污水从截污干管溢流口外溢直排；加之今年冬季少雨，致使水体流动性不足，自净能力减弱，河道底泥发酵，滋生萍类和藻类等微生物，使河面呈现黑色带状物质。</w:t>
            </w:r>
            <w:r>
              <w:rPr>
                <w:rFonts w:hint="eastAsia"/>
                <w:sz w:val="21"/>
                <w:lang w:eastAsia="zh-CN"/>
              </w:rPr>
              <w:t>目前，</w:t>
            </w:r>
            <w:r>
              <w:rPr>
                <w:rFonts w:hint="eastAsia"/>
                <w:sz w:val="21"/>
              </w:rPr>
              <w:t>县住建局已启动雷坡石生活污水过河管网建设，建成后，将汉王庙、信义片区生活污水引入第二污水处理厂处理，让城区生活污水在排放高峰时不再外溢。</w:t>
            </w:r>
          </w:p>
          <w:p>
            <w:pPr>
              <w:jc w:val="left"/>
              <w:rPr>
                <w:rFonts w:hint="eastAsia"/>
                <w:sz w:val="21"/>
              </w:rPr>
            </w:pPr>
          </w:p>
          <w:p>
            <w:pPr>
              <w:jc w:val="left"/>
              <w:rPr>
                <w:rFonts w:hint="eastAsia"/>
                <w:sz w:val="21"/>
                <w:lang w:eastAsia="zh-CN"/>
              </w:rPr>
            </w:pPr>
          </w:p>
        </w:tc>
      </w:tr>
    </w:tbl>
    <w:p>
      <w:pPr>
        <w:jc w:val="left"/>
        <w:rPr>
          <w:rFonts w:hint="eastAsia"/>
          <w:sz w:val="21"/>
          <w:lang w:eastAsia="zh-CN"/>
        </w:rPr>
      </w:pPr>
    </w:p>
    <w:sectPr>
      <w:pgSz w:w="16838" w:h="11906" w:orient="landscape"/>
      <w:pgMar w:top="1644" w:right="1361" w:bottom="164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04"/>
    <w:rsid w:val="00001DE4"/>
    <w:rsid w:val="00007E12"/>
    <w:rsid w:val="00021F4B"/>
    <w:rsid w:val="00030EF9"/>
    <w:rsid w:val="00037C39"/>
    <w:rsid w:val="00050B7F"/>
    <w:rsid w:val="00056834"/>
    <w:rsid w:val="0006458E"/>
    <w:rsid w:val="000B2377"/>
    <w:rsid w:val="000E662B"/>
    <w:rsid w:val="000F4BA7"/>
    <w:rsid w:val="001005D5"/>
    <w:rsid w:val="00146464"/>
    <w:rsid w:val="00153A94"/>
    <w:rsid w:val="001717E5"/>
    <w:rsid w:val="00171F67"/>
    <w:rsid w:val="001F09DD"/>
    <w:rsid w:val="00215E1E"/>
    <w:rsid w:val="002237C7"/>
    <w:rsid w:val="0029107A"/>
    <w:rsid w:val="00293641"/>
    <w:rsid w:val="002A4304"/>
    <w:rsid w:val="002C7D22"/>
    <w:rsid w:val="00305966"/>
    <w:rsid w:val="00335900"/>
    <w:rsid w:val="00346859"/>
    <w:rsid w:val="00357EA0"/>
    <w:rsid w:val="00374237"/>
    <w:rsid w:val="0038458C"/>
    <w:rsid w:val="003B53E4"/>
    <w:rsid w:val="003B6D4D"/>
    <w:rsid w:val="003C193A"/>
    <w:rsid w:val="003D3A68"/>
    <w:rsid w:val="004003E4"/>
    <w:rsid w:val="004035AE"/>
    <w:rsid w:val="004219D7"/>
    <w:rsid w:val="004305DB"/>
    <w:rsid w:val="004305EE"/>
    <w:rsid w:val="00434FEC"/>
    <w:rsid w:val="004737A5"/>
    <w:rsid w:val="004D0116"/>
    <w:rsid w:val="004D5BD3"/>
    <w:rsid w:val="004D704E"/>
    <w:rsid w:val="004F2BCB"/>
    <w:rsid w:val="00541C22"/>
    <w:rsid w:val="005973DC"/>
    <w:rsid w:val="005C36BD"/>
    <w:rsid w:val="005F24A4"/>
    <w:rsid w:val="00620378"/>
    <w:rsid w:val="00652A79"/>
    <w:rsid w:val="00686173"/>
    <w:rsid w:val="006B223A"/>
    <w:rsid w:val="006B5AA6"/>
    <w:rsid w:val="006F7DA1"/>
    <w:rsid w:val="0074465D"/>
    <w:rsid w:val="0075447C"/>
    <w:rsid w:val="00797EA8"/>
    <w:rsid w:val="007A1A8C"/>
    <w:rsid w:val="007B3147"/>
    <w:rsid w:val="00807834"/>
    <w:rsid w:val="00840377"/>
    <w:rsid w:val="00892CFD"/>
    <w:rsid w:val="008A432A"/>
    <w:rsid w:val="009600C3"/>
    <w:rsid w:val="00962E6E"/>
    <w:rsid w:val="00966E2A"/>
    <w:rsid w:val="00981875"/>
    <w:rsid w:val="009A0501"/>
    <w:rsid w:val="009B2638"/>
    <w:rsid w:val="009D2061"/>
    <w:rsid w:val="009F404C"/>
    <w:rsid w:val="00A75DCA"/>
    <w:rsid w:val="00A84B84"/>
    <w:rsid w:val="00A90EAD"/>
    <w:rsid w:val="00B2082B"/>
    <w:rsid w:val="00B26C52"/>
    <w:rsid w:val="00B426D3"/>
    <w:rsid w:val="00B4358D"/>
    <w:rsid w:val="00B51A25"/>
    <w:rsid w:val="00B5366F"/>
    <w:rsid w:val="00B61072"/>
    <w:rsid w:val="00B71147"/>
    <w:rsid w:val="00B75E15"/>
    <w:rsid w:val="00B769D0"/>
    <w:rsid w:val="00B77819"/>
    <w:rsid w:val="00BD29AE"/>
    <w:rsid w:val="00BF4659"/>
    <w:rsid w:val="00C451C5"/>
    <w:rsid w:val="00C5726E"/>
    <w:rsid w:val="00C94F9D"/>
    <w:rsid w:val="00CE641C"/>
    <w:rsid w:val="00CF7903"/>
    <w:rsid w:val="00D40533"/>
    <w:rsid w:val="00D566EC"/>
    <w:rsid w:val="00D712E0"/>
    <w:rsid w:val="00D7596B"/>
    <w:rsid w:val="00D83E11"/>
    <w:rsid w:val="00D85221"/>
    <w:rsid w:val="00D85CB8"/>
    <w:rsid w:val="00D8769F"/>
    <w:rsid w:val="00DA75E1"/>
    <w:rsid w:val="00DE6562"/>
    <w:rsid w:val="00E222A4"/>
    <w:rsid w:val="00E87484"/>
    <w:rsid w:val="00EB0214"/>
    <w:rsid w:val="00EC6089"/>
    <w:rsid w:val="00EE57FF"/>
    <w:rsid w:val="00EF0C19"/>
    <w:rsid w:val="00F176BE"/>
    <w:rsid w:val="00F34D29"/>
    <w:rsid w:val="00F41847"/>
    <w:rsid w:val="00F464A1"/>
    <w:rsid w:val="00F7769F"/>
    <w:rsid w:val="00FB2C88"/>
    <w:rsid w:val="00FB4581"/>
    <w:rsid w:val="00FC24CE"/>
    <w:rsid w:val="00FD334C"/>
    <w:rsid w:val="00FD56DC"/>
    <w:rsid w:val="00FE4F24"/>
    <w:rsid w:val="03F51400"/>
    <w:rsid w:val="0655517B"/>
    <w:rsid w:val="09BD6AF4"/>
    <w:rsid w:val="0AE506C3"/>
    <w:rsid w:val="0E7D1F01"/>
    <w:rsid w:val="13D76F8C"/>
    <w:rsid w:val="18934C87"/>
    <w:rsid w:val="22436380"/>
    <w:rsid w:val="22782E48"/>
    <w:rsid w:val="37C2263E"/>
    <w:rsid w:val="3A8027CB"/>
    <w:rsid w:val="3B5B419C"/>
    <w:rsid w:val="3C496232"/>
    <w:rsid w:val="42564B4F"/>
    <w:rsid w:val="42762F39"/>
    <w:rsid w:val="4581286D"/>
    <w:rsid w:val="45F074CC"/>
    <w:rsid w:val="47975F91"/>
    <w:rsid w:val="4B274794"/>
    <w:rsid w:val="4F0942CE"/>
    <w:rsid w:val="527E6A82"/>
    <w:rsid w:val="59861E7E"/>
    <w:rsid w:val="5B2273C4"/>
    <w:rsid w:val="5F131D98"/>
    <w:rsid w:val="60962EBF"/>
    <w:rsid w:val="646F19A7"/>
    <w:rsid w:val="6877770B"/>
    <w:rsid w:val="6DA468A6"/>
    <w:rsid w:val="6E374625"/>
    <w:rsid w:val="6EC93EFA"/>
    <w:rsid w:val="6F064B47"/>
    <w:rsid w:val="7964547B"/>
    <w:rsid w:val="7ABF71DD"/>
    <w:rsid w:val="7BB65C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customStyle="1" w:styleId="10">
    <w:name w:val="标题 1 Char"/>
    <w:basedOn w:val="8"/>
    <w:link w:val="2"/>
    <w:qFormat/>
    <w:locked/>
    <w:uiPriority w:val="99"/>
    <w:rPr>
      <w:rFonts w:ascii="宋体" w:hAnsi="宋体" w:eastAsia="宋体" w:cs="宋体"/>
      <w:b/>
      <w:bCs/>
      <w:kern w:val="36"/>
      <w:sz w:val="48"/>
      <w:szCs w:val="48"/>
    </w:rPr>
  </w:style>
  <w:style w:type="character" w:customStyle="1" w:styleId="11">
    <w:name w:val="页眉 Char"/>
    <w:basedOn w:val="8"/>
    <w:link w:val="4"/>
    <w:semiHidden/>
    <w:qFormat/>
    <w:locked/>
    <w:uiPriority w:val="99"/>
    <w:rPr>
      <w:rFonts w:cs="Times New Roman"/>
      <w:sz w:val="18"/>
      <w:szCs w:val="18"/>
    </w:rPr>
  </w:style>
  <w:style w:type="character" w:customStyle="1" w:styleId="12">
    <w:name w:val="页脚 Char"/>
    <w:basedOn w:val="8"/>
    <w:link w:val="3"/>
    <w:semiHidden/>
    <w:qFormat/>
    <w:locked/>
    <w:uiPriority w:val="99"/>
    <w:rPr>
      <w:rFonts w:cs="Times New Roman"/>
      <w:sz w:val="18"/>
      <w:szCs w:val="18"/>
    </w:rPr>
  </w:style>
  <w:style w:type="character" w:customStyle="1" w:styleId="13">
    <w:name w:val="apple-converted-space"/>
    <w:basedOn w:val="8"/>
    <w:qFormat/>
    <w:uiPriority w:val="99"/>
    <w:rPr>
      <w:rFonts w:cs="Times New Roman"/>
    </w:rPr>
  </w:style>
  <w:style w:type="character" w:customStyle="1" w:styleId="14">
    <w:name w:val="ng-binding"/>
    <w:basedOn w:val="8"/>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618</Characters>
  <Lines>5</Lines>
  <Paragraphs>1</Paragraphs>
  <TotalTime>12</TotalTime>
  <ScaleCrop>false</ScaleCrop>
  <LinksUpToDate>false</LinksUpToDate>
  <CharactersWithSpaces>725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2018-03-29T07:57:00Z</dcterms:created>
  <dc:creator>中科软</dc:creator>
  <cp:lastModifiedBy>笑面人生(こ)nn~</cp:lastModifiedBy>
  <cp:lastPrinted>2020-05-13T02:28:00Z</cp:lastPrinted>
  <dcterms:modified xsi:type="dcterms:W3CDTF">2020-05-13T08:43:52Z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